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2120" w14:textId="77777777" w:rsidR="009B7FAC" w:rsidRPr="00F737D1" w:rsidRDefault="009B7FAC" w:rsidP="009B7FAC">
      <w:pPr>
        <w:ind w:left="5760"/>
        <w:jc w:val="center"/>
        <w:rPr>
          <w:b/>
        </w:rPr>
      </w:pPr>
      <w:r w:rsidRPr="00F737D1">
        <w:rPr>
          <w:b/>
        </w:rPr>
        <w:t>УТВЕРЖДАЮ</w:t>
      </w:r>
    </w:p>
    <w:p w14:paraId="4C617AC0" w14:textId="77777777" w:rsidR="009B7FAC" w:rsidRPr="00F737D1" w:rsidRDefault="009B7FAC" w:rsidP="009B7FAC">
      <w:pPr>
        <w:ind w:left="5760"/>
        <w:jc w:val="both"/>
        <w:rPr>
          <w:b/>
        </w:rPr>
      </w:pPr>
      <w:r w:rsidRPr="00F737D1">
        <w:rPr>
          <w:b/>
        </w:rPr>
        <w:t>председатель контрольно-счетной палаты Волгоградской области</w:t>
      </w:r>
      <w:r>
        <w:rPr>
          <w:b/>
        </w:rPr>
        <w:t xml:space="preserve"> ___</w:t>
      </w:r>
      <w:r w:rsidRPr="00F737D1">
        <w:rPr>
          <w:b/>
        </w:rPr>
        <w:t>_____________</w:t>
      </w:r>
      <w:proofErr w:type="gramStart"/>
      <w:r w:rsidRPr="00F737D1">
        <w:rPr>
          <w:b/>
        </w:rPr>
        <w:t>_</w:t>
      </w:r>
      <w:r>
        <w:rPr>
          <w:b/>
        </w:rPr>
        <w:t xml:space="preserve">  </w:t>
      </w:r>
      <w:r w:rsidRPr="00F737D1">
        <w:rPr>
          <w:b/>
        </w:rPr>
        <w:t>И.</w:t>
      </w:r>
      <w:proofErr w:type="gramEnd"/>
      <w:r w:rsidRPr="00F737D1">
        <w:rPr>
          <w:b/>
        </w:rPr>
        <w:t xml:space="preserve"> А. Дьяченко</w:t>
      </w:r>
    </w:p>
    <w:p w14:paraId="52AF0572" w14:textId="77777777" w:rsidR="009B7FAC" w:rsidRPr="00F737D1" w:rsidRDefault="009B7FAC" w:rsidP="009B7FAC">
      <w:pPr>
        <w:ind w:left="5760"/>
        <w:rPr>
          <w:b/>
        </w:rPr>
      </w:pPr>
      <w:r>
        <w:rPr>
          <w:b/>
        </w:rPr>
        <w:t>«</w:t>
      </w:r>
      <w:r w:rsidR="00794F73">
        <w:rPr>
          <w:b/>
        </w:rPr>
        <w:t xml:space="preserve">     </w:t>
      </w:r>
      <w:r>
        <w:rPr>
          <w:b/>
        </w:rPr>
        <w:t xml:space="preserve">» </w:t>
      </w:r>
      <w:r w:rsidR="006F3554">
        <w:rPr>
          <w:b/>
        </w:rPr>
        <w:t>апреля</w:t>
      </w:r>
      <w:r>
        <w:rPr>
          <w:b/>
        </w:rPr>
        <w:t xml:space="preserve"> 201</w:t>
      </w:r>
      <w:r w:rsidR="00544EF9">
        <w:rPr>
          <w:b/>
        </w:rPr>
        <w:t>9</w:t>
      </w:r>
      <w:r w:rsidRPr="00F737D1">
        <w:rPr>
          <w:b/>
        </w:rPr>
        <w:t xml:space="preserve"> года</w:t>
      </w:r>
    </w:p>
    <w:p w14:paraId="1F70BD42" w14:textId="77777777" w:rsidR="009B7FAC" w:rsidRDefault="009B7FAC" w:rsidP="009B7FAC">
      <w:pPr>
        <w:pStyle w:val="21"/>
        <w:spacing w:after="0" w:line="240" w:lineRule="auto"/>
        <w:jc w:val="center"/>
        <w:rPr>
          <w:b/>
          <w:i/>
        </w:rPr>
      </w:pPr>
    </w:p>
    <w:p w14:paraId="43195475" w14:textId="77777777" w:rsidR="009B7FAC" w:rsidRPr="006D6B86" w:rsidRDefault="009B7FAC" w:rsidP="009B7FAC">
      <w:pPr>
        <w:pStyle w:val="21"/>
        <w:spacing w:after="0" w:line="240" w:lineRule="auto"/>
        <w:jc w:val="center"/>
        <w:rPr>
          <w:b/>
          <w:i/>
        </w:rPr>
      </w:pPr>
      <w:r w:rsidRPr="006D6B86">
        <w:rPr>
          <w:b/>
          <w:i/>
        </w:rPr>
        <w:t>ЗАКЛЮЧЕНИЕ</w:t>
      </w:r>
    </w:p>
    <w:p w14:paraId="3DC9F148" w14:textId="77777777" w:rsidR="00A0358E" w:rsidRPr="00110740" w:rsidRDefault="009B7FAC" w:rsidP="00A0358E">
      <w:pPr>
        <w:ind w:firstLine="708"/>
        <w:jc w:val="center"/>
        <w:rPr>
          <w:b/>
        </w:rPr>
      </w:pPr>
      <w:r>
        <w:rPr>
          <w:b/>
        </w:rPr>
        <w:t xml:space="preserve">по результатам </w:t>
      </w:r>
      <w:r w:rsidR="00A0358E" w:rsidRPr="00110740">
        <w:rPr>
          <w:b/>
        </w:rPr>
        <w:t>внешней проверки бюджетной отчетности и отдельных вопросов исполнения областного бюджета за 201</w:t>
      </w:r>
      <w:r w:rsidR="00356FF9">
        <w:rPr>
          <w:b/>
        </w:rPr>
        <w:t>8</w:t>
      </w:r>
      <w:r w:rsidR="00A0358E" w:rsidRPr="00110740">
        <w:rPr>
          <w:b/>
        </w:rPr>
        <w:t xml:space="preserve"> год главным администратором средств областного бюджета – </w:t>
      </w:r>
      <w:r w:rsidR="006F3554" w:rsidRPr="007B45E9">
        <w:rPr>
          <w:b/>
        </w:rPr>
        <w:t>комитетом промышленности и торговли Волгоградской области</w:t>
      </w:r>
    </w:p>
    <w:p w14:paraId="073A3CC3" w14:textId="77777777" w:rsidR="001976BC" w:rsidRDefault="001976BC" w:rsidP="009B7FAC">
      <w:pPr>
        <w:pStyle w:val="21"/>
        <w:spacing w:after="0" w:line="240" w:lineRule="auto"/>
        <w:jc w:val="center"/>
        <w:rPr>
          <w:b/>
        </w:rPr>
      </w:pPr>
    </w:p>
    <w:p w14:paraId="6039C401" w14:textId="21B42E09" w:rsidR="001976BC" w:rsidRPr="00A0743C" w:rsidRDefault="004302E5" w:rsidP="00A5647F">
      <w:pPr>
        <w:autoSpaceDE w:val="0"/>
        <w:autoSpaceDN w:val="0"/>
        <w:adjustRightInd w:val="0"/>
        <w:ind w:firstLine="680"/>
        <w:jc w:val="both"/>
      </w:pPr>
      <w:r w:rsidRPr="00A0743C">
        <w:t>В</w:t>
      </w:r>
      <w:r w:rsidR="00C279EB" w:rsidRPr="00A0743C">
        <w:t xml:space="preserve"> соответствии с </w:t>
      </w:r>
      <w:r w:rsidR="00A5647F">
        <w:t xml:space="preserve">пунктом 2.1.15 </w:t>
      </w:r>
      <w:r w:rsidR="00C279EB" w:rsidRPr="00A0743C">
        <w:t>план</w:t>
      </w:r>
      <w:r w:rsidR="00A5647F">
        <w:t>а</w:t>
      </w:r>
      <w:r w:rsidR="00C279EB" w:rsidRPr="00A0743C">
        <w:t xml:space="preserve"> работы</w:t>
      </w:r>
      <w:r w:rsidRPr="00A0743C">
        <w:t xml:space="preserve"> контрольно-счетной палаты Волгоградской области (далее – КСП)</w:t>
      </w:r>
      <w:r w:rsidR="00C279EB" w:rsidRPr="00A0743C">
        <w:t xml:space="preserve"> на 201</w:t>
      </w:r>
      <w:r w:rsidR="00045549">
        <w:t>9</w:t>
      </w:r>
      <w:r w:rsidR="00C279EB" w:rsidRPr="00A0743C">
        <w:t xml:space="preserve"> год, </w:t>
      </w:r>
      <w:r w:rsidR="001976BC" w:rsidRPr="00A0743C">
        <w:t>утвержденн</w:t>
      </w:r>
      <w:r w:rsidR="00A5647F">
        <w:t>ого</w:t>
      </w:r>
      <w:bookmarkStart w:id="0" w:name="_GoBack"/>
      <w:bookmarkEnd w:id="0"/>
      <w:r w:rsidR="001976BC" w:rsidRPr="00A0743C">
        <w:t xml:space="preserve"> постановлением коллегии КСП </w:t>
      </w:r>
      <w:r w:rsidR="00045549" w:rsidRPr="00045549">
        <w:t>от 17.12.2018 № 23/2</w:t>
      </w:r>
      <w:r w:rsidR="001976BC" w:rsidRPr="00A0743C">
        <w:t>,</w:t>
      </w:r>
      <w:r w:rsidRPr="00A0743C">
        <w:t xml:space="preserve"> </w:t>
      </w:r>
      <w:r w:rsidRPr="00A0743C">
        <w:rPr>
          <w:bCs/>
        </w:rPr>
        <w:t>в целях подготовки заключения на годовой отчет об исполнении областного бюджета за 201</w:t>
      </w:r>
      <w:r w:rsidR="00045549">
        <w:rPr>
          <w:bCs/>
        </w:rPr>
        <w:t>8</w:t>
      </w:r>
      <w:r w:rsidR="008365AE" w:rsidRPr="00A0743C">
        <w:rPr>
          <w:bCs/>
        </w:rPr>
        <w:t xml:space="preserve"> год </w:t>
      </w:r>
      <w:r w:rsidRPr="00A0743C">
        <w:t>проведена камеральная внешняя проверка бюджетной отчетности и отдельных вопросов исполнения областного бюджета за 201</w:t>
      </w:r>
      <w:r w:rsidR="00045549">
        <w:t>8</w:t>
      </w:r>
      <w:r w:rsidRPr="00A0743C">
        <w:t xml:space="preserve"> год главным администратором средств областного бюджета – </w:t>
      </w:r>
      <w:r w:rsidR="006F3554" w:rsidRPr="00553251">
        <w:t>комитетом промышленности и торговли Волгоградской области (далее - Комитет).</w:t>
      </w:r>
    </w:p>
    <w:p w14:paraId="232138ED" w14:textId="77777777" w:rsidR="006F3554" w:rsidRPr="00553251" w:rsidRDefault="006F3554" w:rsidP="00B81750">
      <w:pPr>
        <w:ind w:firstLine="680"/>
        <w:jc w:val="both"/>
        <w:rPr>
          <w:lang w:eastAsia="en-US"/>
        </w:rPr>
      </w:pPr>
      <w:bookmarkStart w:id="1" w:name="sub_408"/>
      <w:bookmarkStart w:id="2" w:name="sub_22"/>
      <w:r w:rsidRPr="00553251">
        <w:t xml:space="preserve">Согласно Положению о Комитете, утвержденному постановлением </w:t>
      </w:r>
      <w:r w:rsidR="007454FB">
        <w:t>А</w:t>
      </w:r>
      <w:r w:rsidRPr="00553251">
        <w:t xml:space="preserve">дминистрации Волгоградской области 24.11.2014 №31-п, он является органом </w:t>
      </w:r>
      <w:r w:rsidRPr="00553251">
        <w:rPr>
          <w:lang w:eastAsia="en-US"/>
        </w:rPr>
        <w:t>исполнительной власти Волгоградской области, уполномоченным в сфере промышленности и торговой деятельности, в области защиты прав потребителей, производства и оборота этилового спирта, алкогольной и спиртосодержащей продукции, лицензирования заготовки, хранения, переработки и реализации лома черных и цветных металлов на территории Волгоградской области.</w:t>
      </w:r>
    </w:p>
    <w:p w14:paraId="4C91986A" w14:textId="77777777" w:rsidR="006F3554" w:rsidRPr="00553251" w:rsidRDefault="006F3554" w:rsidP="00B81750">
      <w:pPr>
        <w:autoSpaceDE w:val="0"/>
        <w:autoSpaceDN w:val="0"/>
        <w:adjustRightInd w:val="0"/>
        <w:ind w:firstLine="680"/>
        <w:jc w:val="both"/>
      </w:pPr>
      <w:r w:rsidRPr="00553251">
        <w:t>Комитет не имеет подведомственных учреждений.</w:t>
      </w:r>
    </w:p>
    <w:p w14:paraId="0890FCD1" w14:textId="77777777" w:rsidR="00045549" w:rsidRPr="0025602D" w:rsidRDefault="00045549" w:rsidP="00B81750">
      <w:pPr>
        <w:autoSpaceDE w:val="0"/>
        <w:autoSpaceDN w:val="0"/>
        <w:adjustRightInd w:val="0"/>
        <w:ind w:firstLine="680"/>
        <w:jc w:val="both"/>
      </w:pPr>
      <w:r w:rsidRPr="00E56BF2">
        <w:t>В соответствии с Законом Волгог</w:t>
      </w:r>
      <w:r>
        <w:t>радской области от 15.12.2017 №</w:t>
      </w:r>
      <w:r w:rsidRPr="00E56BF2">
        <w:t>12</w:t>
      </w:r>
      <w:r>
        <w:t>4</w:t>
      </w:r>
      <w:r w:rsidRPr="00E56BF2">
        <w:t>-ОД «Об областном бюджете на 201</w:t>
      </w:r>
      <w:r>
        <w:t>8</w:t>
      </w:r>
      <w:r w:rsidRPr="00E56BF2">
        <w:t xml:space="preserve"> год и на плановый период 201</w:t>
      </w:r>
      <w:r>
        <w:t>9</w:t>
      </w:r>
      <w:r w:rsidRPr="00E56BF2">
        <w:t xml:space="preserve"> и 20</w:t>
      </w:r>
      <w:r>
        <w:t>20</w:t>
      </w:r>
      <w:r w:rsidRPr="00E56BF2">
        <w:t xml:space="preserve"> годов» (далее - Зак</w:t>
      </w:r>
      <w:r>
        <w:t xml:space="preserve">он об областном бюджете) </w:t>
      </w:r>
      <w:r w:rsidR="006F3554">
        <w:t>Комитет</w:t>
      </w:r>
      <w:r w:rsidRPr="00E56BF2">
        <w:t xml:space="preserve"> в 201</w:t>
      </w:r>
      <w:r>
        <w:t>8</w:t>
      </w:r>
      <w:r w:rsidRPr="00E56BF2">
        <w:t xml:space="preserve"> году являл</w:t>
      </w:r>
      <w:r w:rsidR="00B81750">
        <w:t>ся</w:t>
      </w:r>
      <w:r w:rsidRPr="00E56BF2">
        <w:t xml:space="preserve"> главным </w:t>
      </w:r>
      <w:r w:rsidRPr="0025602D">
        <w:t>администратором доходов областного бюджета и главным распорядителем средств областного бюджета.</w:t>
      </w:r>
    </w:p>
    <w:p w14:paraId="3D3F9D64" w14:textId="77777777" w:rsidR="006F3554" w:rsidRPr="00553251" w:rsidRDefault="006F3554" w:rsidP="00B81750">
      <w:pPr>
        <w:pStyle w:val="ab"/>
        <w:spacing w:after="0"/>
        <w:ind w:left="0" w:firstLine="680"/>
        <w:jc w:val="both"/>
        <w:rPr>
          <w:b/>
        </w:rPr>
      </w:pPr>
      <w:r w:rsidRPr="00553251">
        <w:t xml:space="preserve">Предельная штатная численность государственных гражданских служащих (далее – ГГС) Комитета </w:t>
      </w:r>
      <w:r w:rsidR="00EC2782" w:rsidRPr="00553251">
        <w:t xml:space="preserve">на 2018 год </w:t>
      </w:r>
      <w:r w:rsidRPr="00553251">
        <w:t xml:space="preserve">утверждена Законом </w:t>
      </w:r>
      <w:r w:rsidR="00EC2782">
        <w:t xml:space="preserve">об областном бюджете </w:t>
      </w:r>
      <w:r w:rsidRPr="00553251">
        <w:t xml:space="preserve">в количестве 46 единиц. Штатная численность утверждена </w:t>
      </w:r>
      <w:r w:rsidR="0019687F">
        <w:t>п</w:t>
      </w:r>
      <w:r w:rsidRPr="00553251">
        <w:t xml:space="preserve">остановлением Губернатора Волгоградской области от 19.12.2016 №945 в количестве 49 ед., в том числе: 1 государственная должность, 46 ГГС и 2 </w:t>
      </w:r>
      <w:r w:rsidR="00DB395F" w:rsidRPr="00395B15">
        <w:t>должност</w:t>
      </w:r>
      <w:r w:rsidR="00DB395F">
        <w:t>и</w:t>
      </w:r>
      <w:r w:rsidR="00DB395F" w:rsidRPr="00395B15">
        <w:t>, не отнесенны</w:t>
      </w:r>
      <w:r w:rsidR="00DB395F">
        <w:t>е</w:t>
      </w:r>
      <w:r w:rsidR="00DB395F" w:rsidRPr="00395B15">
        <w:t xml:space="preserve"> к должностям государственной гражданской службы</w:t>
      </w:r>
      <w:r w:rsidRPr="00553251">
        <w:t>. На конец 2018 года в Комитете вакантные должности отсутствовали.</w:t>
      </w:r>
      <w:r w:rsidRPr="00553251">
        <w:rPr>
          <w:b/>
        </w:rPr>
        <w:t xml:space="preserve"> </w:t>
      </w:r>
    </w:p>
    <w:p w14:paraId="4C85D966" w14:textId="77777777" w:rsidR="000478DA" w:rsidRPr="00DB395F" w:rsidRDefault="000478DA" w:rsidP="00B81750">
      <w:pPr>
        <w:autoSpaceDE w:val="0"/>
        <w:autoSpaceDN w:val="0"/>
        <w:adjustRightInd w:val="0"/>
        <w:ind w:firstLine="709"/>
        <w:jc w:val="center"/>
        <w:rPr>
          <w:b/>
          <w:i/>
        </w:rPr>
      </w:pPr>
      <w:bookmarkStart w:id="3" w:name="sub_1405"/>
    </w:p>
    <w:p w14:paraId="45F1F040" w14:textId="77777777" w:rsidR="009A208B" w:rsidRPr="00794F73" w:rsidRDefault="009A208B" w:rsidP="00B81750">
      <w:pPr>
        <w:autoSpaceDE w:val="0"/>
        <w:autoSpaceDN w:val="0"/>
        <w:adjustRightInd w:val="0"/>
        <w:ind w:firstLine="709"/>
        <w:jc w:val="center"/>
        <w:rPr>
          <w:b/>
          <w:i/>
        </w:rPr>
      </w:pPr>
      <w:r w:rsidRPr="00794F73">
        <w:rPr>
          <w:b/>
          <w:i/>
        </w:rPr>
        <w:t xml:space="preserve">Проверка полноты и правильности заполнения бюджетной отчетности </w:t>
      </w:r>
    </w:p>
    <w:bookmarkEnd w:id="1"/>
    <w:bookmarkEnd w:id="2"/>
    <w:bookmarkEnd w:id="3"/>
    <w:p w14:paraId="6D9AAB0D" w14:textId="77777777" w:rsidR="00EC2782" w:rsidRDefault="00EE23F1" w:rsidP="00B81750">
      <w:pPr>
        <w:ind w:firstLine="709"/>
        <w:jc w:val="both"/>
      </w:pPr>
      <w:r w:rsidRPr="002B20A2">
        <w:t xml:space="preserve">Бюджетная отчетность </w:t>
      </w:r>
      <w:r w:rsidR="00B81750">
        <w:t>Комитета</w:t>
      </w:r>
      <w:r w:rsidRPr="002B20A2">
        <w:t xml:space="preserve"> за 201</w:t>
      </w:r>
      <w:r w:rsidR="00ED0AA4">
        <w:t>8</w:t>
      </w:r>
      <w:r w:rsidRPr="002B20A2">
        <w:t xml:space="preserve"> год представлена к проверке в составе, определенном ст. 264.1 БК РФ и п. 11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 191н (далее - </w:t>
      </w:r>
      <w:r w:rsidRPr="009137FD">
        <w:t>Инструкция № 191н).</w:t>
      </w:r>
      <w:r w:rsidR="00B81750" w:rsidRPr="00B81750">
        <w:t xml:space="preserve"> </w:t>
      </w:r>
    </w:p>
    <w:p w14:paraId="61A10FD3" w14:textId="77777777" w:rsidR="00B81750" w:rsidRPr="00553251" w:rsidRDefault="00B81750" w:rsidP="00B81750">
      <w:pPr>
        <w:ind w:firstLine="709"/>
        <w:jc w:val="both"/>
      </w:pPr>
      <w:r w:rsidRPr="00553251">
        <w:t>По Соглашению от 29.05.2015 №1 полномочия по ведению бюджетного учета и формированию бюджетной отчетности Комитета осуществляет государственное казенное учреждение Волгоградской области «Центр бюджетного учета и отчетности» (далее - ГКУ «ЦБУ»).</w:t>
      </w:r>
    </w:p>
    <w:p w14:paraId="7AE90676" w14:textId="77777777" w:rsidR="000478DA" w:rsidRPr="00553251" w:rsidRDefault="000478DA" w:rsidP="000478DA">
      <w:pPr>
        <w:ind w:firstLine="709"/>
        <w:jc w:val="both"/>
      </w:pPr>
      <w:r w:rsidRPr="00553251">
        <w:t xml:space="preserve">В соответствии с ч. 1 ст. 13 Закона о бухгалтерском учете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</w:t>
      </w:r>
    </w:p>
    <w:p w14:paraId="58A9E3E3" w14:textId="77777777" w:rsidR="000478DA" w:rsidRPr="00553251" w:rsidRDefault="00DB395F" w:rsidP="000478DA">
      <w:pPr>
        <w:ind w:firstLine="709"/>
        <w:jc w:val="both"/>
      </w:pPr>
      <w:r>
        <w:t>В</w:t>
      </w:r>
      <w:r w:rsidR="000478DA" w:rsidRPr="00553251">
        <w:t xml:space="preserve"> ходе проверки КСП выявлено </w:t>
      </w:r>
      <w:r w:rsidR="007454FB">
        <w:t xml:space="preserve">следующее </w:t>
      </w:r>
      <w:r w:rsidR="000478DA" w:rsidRPr="00553251">
        <w:t>нарушение ведения бухгалтерского учета и составления бюджетной (бухгалтерской) отчетности в соответствии с требованиями Инструкции № 191н.</w:t>
      </w:r>
    </w:p>
    <w:p w14:paraId="08986199" w14:textId="77777777" w:rsidR="000478DA" w:rsidRPr="00553251" w:rsidRDefault="000478DA" w:rsidP="000478DA">
      <w:pPr>
        <w:pStyle w:val="afb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553251">
        <w:rPr>
          <w:rFonts w:eastAsiaTheme="minorHAnsi"/>
          <w:lang w:eastAsia="en-US"/>
        </w:rPr>
        <w:t xml:space="preserve">Согласно требованиям п. 20 Инструкции №191н в </w:t>
      </w:r>
      <w:r w:rsidRPr="00553251">
        <w:rPr>
          <w:rFonts w:eastAsiaTheme="minorHAnsi"/>
          <w:b/>
          <w:i/>
          <w:lang w:eastAsia="en-US"/>
        </w:rPr>
        <w:t>Справке о наличии имущества и обязательств на забалансовых счетах (в составе Баланса ф. 0503130)</w:t>
      </w:r>
      <w:r w:rsidRPr="00553251">
        <w:rPr>
          <w:rFonts w:eastAsiaTheme="minorHAnsi"/>
          <w:lang w:eastAsia="en-US"/>
        </w:rPr>
        <w:t xml:space="preserve"> по </w:t>
      </w:r>
      <w:r w:rsidRPr="00553251">
        <w:rPr>
          <w:rFonts w:eastAsiaTheme="minorHAnsi"/>
          <w:lang w:eastAsia="en-US"/>
        </w:rPr>
        <w:lastRenderedPageBreak/>
        <w:t>счетам 17 «Поступления денежных средств» и 18 «Выбытие денежных средств» должно отражаться поступление и выбытие денежных средств в разрезе итоговых сумм по доходам, расходам, источникам финансирования дефицита бюджета.</w:t>
      </w:r>
    </w:p>
    <w:p w14:paraId="58E4CDCC" w14:textId="77777777" w:rsidR="000478DA" w:rsidRPr="00553251" w:rsidRDefault="000478DA" w:rsidP="000478DA">
      <w:pPr>
        <w:pStyle w:val="afb"/>
        <w:autoSpaceDE w:val="0"/>
        <w:autoSpaceDN w:val="0"/>
        <w:adjustRightInd w:val="0"/>
        <w:ind w:left="0" w:firstLine="900"/>
        <w:jc w:val="both"/>
        <w:rPr>
          <w:rFonts w:eastAsiaTheme="minorHAnsi"/>
          <w:lang w:eastAsia="en-US"/>
        </w:rPr>
      </w:pPr>
      <w:r w:rsidRPr="00553251">
        <w:rPr>
          <w:rFonts w:eastAsiaTheme="minorHAnsi"/>
          <w:lang w:eastAsia="en-US"/>
        </w:rPr>
        <w:t xml:space="preserve">Как предусмотрено п.п. 365, 367 </w:t>
      </w:r>
      <w:r w:rsidR="007454FB" w:rsidRPr="00553251">
        <w:t>Единым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</w:t>
      </w:r>
      <w:r w:rsidR="008135E4">
        <w:t>нению, утвержденным</w:t>
      </w:r>
      <w:r w:rsidR="007454FB" w:rsidRPr="00553251">
        <w:t xml:space="preserve"> </w:t>
      </w:r>
      <w:r w:rsidR="008135E4">
        <w:t>п</w:t>
      </w:r>
      <w:r w:rsidR="007454FB" w:rsidRPr="00553251">
        <w:t>риказом Минфина РФ от  01.12.2010 №157н (далее – Инструкция №157н)</w:t>
      </w:r>
      <w:r w:rsidRPr="00553251">
        <w:rPr>
          <w:rFonts w:eastAsiaTheme="minorHAnsi"/>
          <w:lang w:eastAsia="en-US"/>
        </w:rPr>
        <w:t xml:space="preserve">, указанные забалансовые счета открыты Комитетом к счетам 0 201 00 000 "Денежные средства учреждения", 0 201 34 000 «Касса» и 0 210 03 000 "Расчеты с финансовым органом по наличным денежным средствам", на которых осуществляется аналитический учет поступлений денежных средств и выбытий денежных средств соответственно. </w:t>
      </w:r>
    </w:p>
    <w:p w14:paraId="5CB7F32F" w14:textId="77777777" w:rsidR="000478DA" w:rsidRPr="008B5512" w:rsidRDefault="000478DA" w:rsidP="000478DA">
      <w:pPr>
        <w:pStyle w:val="afb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553251">
        <w:rPr>
          <w:rFonts w:eastAsiaTheme="minorHAnsi"/>
          <w:lang w:eastAsia="en-US"/>
        </w:rPr>
        <w:t xml:space="preserve">Операции по перечислению возвратов поступлений в соответствии с п.365 </w:t>
      </w:r>
      <w:r w:rsidRPr="008B5512">
        <w:rPr>
          <w:rFonts w:eastAsiaTheme="minorHAnsi"/>
          <w:lang w:eastAsia="en-US"/>
        </w:rPr>
        <w:t xml:space="preserve">Инструкции №157н, учитываемые на соответствующих счетах аналитического учета </w:t>
      </w:r>
      <w:hyperlink r:id="rId8" w:history="1">
        <w:r w:rsidRPr="008B5512">
          <w:rPr>
            <w:rFonts w:eastAsiaTheme="minorHAnsi"/>
            <w:lang w:eastAsia="en-US"/>
          </w:rPr>
          <w:t>счета 17</w:t>
        </w:r>
      </w:hyperlink>
      <w:r w:rsidRPr="008B5512">
        <w:rPr>
          <w:rFonts w:eastAsiaTheme="minorHAnsi"/>
          <w:lang w:eastAsia="en-US"/>
        </w:rPr>
        <w:t xml:space="preserve"> "Поступления денежных средств", отражаются со знаком "минус".</w:t>
      </w:r>
    </w:p>
    <w:p w14:paraId="17F93761" w14:textId="77777777" w:rsidR="000478DA" w:rsidRPr="00553251" w:rsidRDefault="000478DA" w:rsidP="000478DA">
      <w:pPr>
        <w:pStyle w:val="afb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553251">
        <w:rPr>
          <w:rFonts w:eastAsiaTheme="minorHAnsi"/>
          <w:lang w:eastAsia="en-US"/>
        </w:rPr>
        <w:t>Проверкой установлено, что Комитетом операция по перечислению на лицевой счет возвращенной в кассу излишне выплаченной заработной платы за 2016 год в сумме 1,0 тыс. руб. отражена на забалансовом счете 18 «Выбытие денежных средств», тогда как указанная операция подлежит отражению на забалансовом счете 17 «Поступления денежных средств» со знаком «минус».</w:t>
      </w:r>
    </w:p>
    <w:p w14:paraId="4ECE4DE4" w14:textId="77777777" w:rsidR="00E31190" w:rsidRPr="00553251" w:rsidRDefault="000478DA" w:rsidP="00DB395F">
      <w:pPr>
        <w:pStyle w:val="afb"/>
        <w:autoSpaceDE w:val="0"/>
        <w:autoSpaceDN w:val="0"/>
        <w:adjustRightInd w:val="0"/>
        <w:ind w:left="0" w:firstLine="709"/>
        <w:jc w:val="both"/>
      </w:pPr>
      <w:r w:rsidRPr="00553251">
        <w:rPr>
          <w:rFonts w:eastAsiaTheme="minorHAnsi"/>
          <w:lang w:eastAsia="en-US"/>
        </w:rPr>
        <w:t xml:space="preserve">Отражение операции по перечислению возврата поступлений в нарушение п.365 Инструкции №157н на забалансовом счете 18 привело к искажению </w:t>
      </w:r>
      <w:r>
        <w:rPr>
          <w:rFonts w:eastAsiaTheme="minorHAnsi"/>
          <w:lang w:eastAsia="en-US"/>
        </w:rPr>
        <w:t xml:space="preserve">двух строк </w:t>
      </w:r>
      <w:r w:rsidRPr="00553251">
        <w:rPr>
          <w:rFonts w:eastAsiaTheme="minorHAnsi"/>
          <w:lang w:eastAsia="en-US"/>
        </w:rPr>
        <w:t>Справки о наличии имущества и обязательств на забалансовых счетах в составе Баланса (ф.0503130)</w:t>
      </w:r>
      <w:r>
        <w:rPr>
          <w:rFonts w:eastAsiaTheme="minorHAnsi"/>
          <w:lang w:eastAsia="en-US"/>
        </w:rPr>
        <w:t xml:space="preserve"> </w:t>
      </w:r>
      <w:r w:rsidR="007454FB">
        <w:rPr>
          <w:rFonts w:eastAsiaTheme="minorHAnsi"/>
          <w:lang w:eastAsia="en-US"/>
        </w:rPr>
        <w:t xml:space="preserve">- по </w:t>
      </w:r>
      <w:r>
        <w:rPr>
          <w:rFonts w:eastAsiaTheme="minorHAnsi"/>
          <w:lang w:eastAsia="en-US"/>
        </w:rPr>
        <w:t>стр.</w:t>
      </w:r>
      <w:r w:rsidRPr="00553251">
        <w:rPr>
          <w:rFonts w:eastAsiaTheme="minorHAnsi"/>
          <w:lang w:eastAsia="en-US"/>
        </w:rPr>
        <w:t xml:space="preserve"> 170 гр.5 </w:t>
      </w:r>
      <w:r>
        <w:rPr>
          <w:rFonts w:eastAsiaTheme="minorHAnsi"/>
          <w:lang w:eastAsia="en-US"/>
        </w:rPr>
        <w:t xml:space="preserve">и </w:t>
      </w:r>
      <w:r w:rsidRPr="00553251">
        <w:rPr>
          <w:rFonts w:eastAsiaTheme="minorHAnsi"/>
          <w:lang w:eastAsia="en-US"/>
        </w:rPr>
        <w:t>по стр.171 гр.5</w:t>
      </w:r>
      <w:r>
        <w:rPr>
          <w:rFonts w:eastAsiaTheme="minorHAnsi"/>
          <w:lang w:eastAsia="en-US"/>
        </w:rPr>
        <w:t xml:space="preserve"> </w:t>
      </w:r>
      <w:r w:rsidRPr="00553251">
        <w:rPr>
          <w:rFonts w:eastAsiaTheme="minorHAnsi"/>
          <w:lang w:eastAsia="en-US"/>
        </w:rPr>
        <w:t>на 1,0 тыс. руб.</w:t>
      </w:r>
      <w:r>
        <w:rPr>
          <w:rFonts w:eastAsiaTheme="minorHAnsi"/>
          <w:lang w:eastAsia="en-US"/>
        </w:rPr>
        <w:t xml:space="preserve"> (по каждой строке)</w:t>
      </w:r>
      <w:r w:rsidR="007F6E58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. </w:t>
      </w:r>
      <w:r w:rsidR="007F6E58" w:rsidRPr="00553251">
        <w:t xml:space="preserve">чем нарушен п.1 ст. 13 </w:t>
      </w:r>
      <w:r w:rsidR="007F6E58" w:rsidRPr="00553251">
        <w:rPr>
          <w:color w:val="000000"/>
          <w:shd w:val="clear" w:color="auto" w:fill="FFFFFF"/>
        </w:rPr>
        <w:t>Закона о бухгалтерском учете</w:t>
      </w:r>
      <w:r w:rsidR="007F6E58">
        <w:rPr>
          <w:color w:val="000000"/>
          <w:shd w:val="clear" w:color="auto" w:fill="FFFFFF"/>
        </w:rPr>
        <w:t xml:space="preserve">. </w:t>
      </w:r>
      <w:r>
        <w:rPr>
          <w:rFonts w:eastAsiaTheme="minorHAnsi"/>
          <w:lang w:eastAsia="en-US"/>
        </w:rPr>
        <w:t>Искажение строки 171 составило более 10</w:t>
      </w:r>
      <w:r w:rsidR="00E31190">
        <w:rPr>
          <w:rFonts w:eastAsiaTheme="minorHAnsi"/>
          <w:lang w:eastAsia="en-US"/>
        </w:rPr>
        <w:t xml:space="preserve">%, </w:t>
      </w:r>
      <w:r w:rsidR="00E31190" w:rsidRPr="00553251">
        <w:rPr>
          <w:b/>
        </w:rPr>
        <w:t>что является грубым нарушением</w:t>
      </w:r>
      <w:r w:rsidR="00E31190" w:rsidRPr="00553251">
        <w:t xml:space="preserve"> требований к бухгалтерской (финансовой) отчетности, за </w:t>
      </w:r>
      <w:r w:rsidR="007F6E58">
        <w:t>которое</w:t>
      </w:r>
      <w:r w:rsidR="00E31190" w:rsidRPr="00553251">
        <w:t xml:space="preserve"> предусмотрена административная ответственность в соответствии со ст. 15.11 КоАП РФ.</w:t>
      </w:r>
      <w:r w:rsidR="007454FB">
        <w:t xml:space="preserve"> </w:t>
      </w:r>
    </w:p>
    <w:p w14:paraId="5B8F12DF" w14:textId="77777777" w:rsidR="00E31190" w:rsidRPr="00553251" w:rsidRDefault="00E31190" w:rsidP="00E31190">
      <w:pPr>
        <w:spacing w:line="240" w:lineRule="atLeast"/>
        <w:ind w:firstLine="709"/>
        <w:jc w:val="both"/>
      </w:pPr>
      <w:r w:rsidRPr="00553251">
        <w:t>В соответствии с ч.2 ст.15.11 КоАП РФ должностные лица освобождаются от административной ответственности за административные правонарушения, предусмотренные указанной статьей</w:t>
      </w:r>
      <w:r w:rsidR="008135E4">
        <w:t>,</w:t>
      </w:r>
      <w:r w:rsidRPr="00553251">
        <w:t xml:space="preserve"> в случае исправление ошибки, включая представление пересмотренной формы отчетности.</w:t>
      </w:r>
    </w:p>
    <w:p w14:paraId="1AD3D632" w14:textId="77777777" w:rsidR="00EC2782" w:rsidRDefault="000478DA" w:rsidP="000478DA">
      <w:pPr>
        <w:spacing w:line="240" w:lineRule="atLeast"/>
        <w:ind w:firstLine="709"/>
        <w:jc w:val="both"/>
        <w:rPr>
          <w:rFonts w:eastAsiaTheme="minorHAnsi"/>
          <w:lang w:eastAsia="en-US"/>
        </w:rPr>
      </w:pPr>
      <w:r w:rsidRPr="00553251">
        <w:t xml:space="preserve">В ходе проверки Комитетом вышеприведенное нарушение устранено. В </w:t>
      </w:r>
      <w:r w:rsidR="00F54C50">
        <w:t xml:space="preserve">Комитет финансов Волгоградской области (далее – </w:t>
      </w:r>
      <w:proofErr w:type="spellStart"/>
      <w:r w:rsidRPr="00553251">
        <w:t>Облфин</w:t>
      </w:r>
      <w:proofErr w:type="spellEnd"/>
      <w:r w:rsidR="00F54C50">
        <w:t>)</w:t>
      </w:r>
      <w:r w:rsidRPr="00553251">
        <w:t xml:space="preserve"> представлена уточненная форма 0503130 «Баланс», в том числе Справка о </w:t>
      </w:r>
      <w:r w:rsidRPr="00553251">
        <w:rPr>
          <w:rFonts w:eastAsiaTheme="minorHAnsi"/>
          <w:lang w:eastAsia="en-US"/>
        </w:rPr>
        <w:t>наличии имущества и обязательств на забалансовых счетах</w:t>
      </w:r>
      <w:r w:rsidR="00EC2782">
        <w:rPr>
          <w:rFonts w:eastAsiaTheme="minorHAnsi"/>
          <w:lang w:eastAsia="en-US"/>
        </w:rPr>
        <w:t>.</w:t>
      </w:r>
    </w:p>
    <w:p w14:paraId="4BCD0631" w14:textId="77777777" w:rsidR="00E528F8" w:rsidRDefault="00E528F8" w:rsidP="00B81750">
      <w:pPr>
        <w:autoSpaceDE w:val="0"/>
        <w:autoSpaceDN w:val="0"/>
        <w:adjustRightInd w:val="0"/>
        <w:ind w:firstLine="709"/>
        <w:jc w:val="center"/>
        <w:rPr>
          <w:b/>
          <w:i/>
        </w:rPr>
      </w:pPr>
    </w:p>
    <w:p w14:paraId="13737153" w14:textId="77777777" w:rsidR="00817B67" w:rsidRPr="004A3F44" w:rsidRDefault="00817B67" w:rsidP="00B81750">
      <w:pPr>
        <w:autoSpaceDE w:val="0"/>
        <w:autoSpaceDN w:val="0"/>
        <w:adjustRightInd w:val="0"/>
        <w:ind w:firstLine="709"/>
        <w:jc w:val="center"/>
        <w:rPr>
          <w:b/>
          <w:i/>
        </w:rPr>
      </w:pPr>
      <w:r w:rsidRPr="00656A22">
        <w:rPr>
          <w:b/>
          <w:i/>
        </w:rPr>
        <w:t xml:space="preserve">Исполнение доходов </w:t>
      </w:r>
    </w:p>
    <w:p w14:paraId="4ECF49BA" w14:textId="77777777" w:rsidR="003521D4" w:rsidRPr="003521D4" w:rsidRDefault="003521D4" w:rsidP="003521D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 w:rsidRPr="003521D4">
        <w:rPr>
          <w:rFonts w:eastAsia="Calibri"/>
        </w:rPr>
        <w:t>Данные об администрируемых Комитетом доходах и фактическом их поступлении за 2018 год отражены в таблице.</w:t>
      </w:r>
    </w:p>
    <w:p w14:paraId="014C56D7" w14:textId="77777777" w:rsidR="003521D4" w:rsidRPr="003521D4" w:rsidRDefault="003521D4" w:rsidP="003521D4">
      <w:pPr>
        <w:rPr>
          <w:rFonts w:eastAsia="Calibri"/>
          <w:sz w:val="16"/>
          <w:szCs w:val="16"/>
        </w:rPr>
      </w:pPr>
      <w:r w:rsidRPr="003521D4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0221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1"/>
        <w:gridCol w:w="1134"/>
        <w:gridCol w:w="992"/>
        <w:gridCol w:w="992"/>
        <w:gridCol w:w="992"/>
      </w:tblGrid>
      <w:tr w:rsidR="003521D4" w:rsidRPr="00E31190" w14:paraId="3D735522" w14:textId="77777777" w:rsidTr="002A5507">
        <w:trPr>
          <w:trHeight w:val="336"/>
        </w:trPr>
        <w:tc>
          <w:tcPr>
            <w:tcW w:w="6111" w:type="dxa"/>
            <w:vMerge w:val="restart"/>
            <w:shd w:val="clear" w:color="auto" w:fill="EAF1DD" w:themeFill="accent3" w:themeFillTint="33"/>
            <w:vAlign w:val="center"/>
            <w:hideMark/>
          </w:tcPr>
          <w:p w14:paraId="68AC29A7" w14:textId="77777777" w:rsidR="003521D4" w:rsidRPr="00E31190" w:rsidRDefault="003521D4" w:rsidP="003521D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31190">
              <w:rPr>
                <w:b/>
                <w:bCs/>
                <w:i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  <w:vAlign w:val="center"/>
            <w:hideMark/>
          </w:tcPr>
          <w:p w14:paraId="2FC6EAAD" w14:textId="77777777" w:rsidR="003521D4" w:rsidRPr="00E31190" w:rsidRDefault="003521D4" w:rsidP="003521D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31190">
              <w:rPr>
                <w:b/>
                <w:bCs/>
                <w:i/>
                <w:color w:val="000000"/>
                <w:sz w:val="16"/>
                <w:szCs w:val="16"/>
              </w:rPr>
              <w:t>Плановые показатели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  <w:hideMark/>
          </w:tcPr>
          <w:p w14:paraId="7D25A937" w14:textId="77777777" w:rsidR="003521D4" w:rsidRPr="00E31190" w:rsidRDefault="003521D4" w:rsidP="003521D4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31190">
              <w:rPr>
                <w:b/>
                <w:bCs/>
                <w:i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  <w:vAlign w:val="center"/>
            <w:hideMark/>
          </w:tcPr>
          <w:p w14:paraId="28D98FEE" w14:textId="77777777" w:rsidR="003521D4" w:rsidRPr="00E31190" w:rsidRDefault="003521D4" w:rsidP="003521D4">
            <w:pPr>
              <w:ind w:left="-104" w:right="-108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31190">
              <w:rPr>
                <w:b/>
                <w:bCs/>
                <w:i/>
                <w:color w:val="000000"/>
                <w:sz w:val="16"/>
                <w:szCs w:val="16"/>
              </w:rPr>
              <w:t>К бюджетным назначениям</w:t>
            </w:r>
          </w:p>
        </w:tc>
      </w:tr>
      <w:tr w:rsidR="003521D4" w:rsidRPr="00E31190" w14:paraId="1712F856" w14:textId="77777777" w:rsidTr="002A5507">
        <w:trPr>
          <w:trHeight w:val="408"/>
        </w:trPr>
        <w:tc>
          <w:tcPr>
            <w:tcW w:w="6111" w:type="dxa"/>
            <w:vMerge/>
            <w:shd w:val="clear" w:color="auto" w:fill="EAF1DD" w:themeFill="accent3" w:themeFillTint="33"/>
            <w:vAlign w:val="center"/>
            <w:hideMark/>
          </w:tcPr>
          <w:p w14:paraId="0C95D19F" w14:textId="77777777" w:rsidR="003521D4" w:rsidRPr="00E31190" w:rsidRDefault="003521D4" w:rsidP="003521D4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  <w:vAlign w:val="center"/>
            <w:hideMark/>
          </w:tcPr>
          <w:p w14:paraId="6A977330" w14:textId="77777777" w:rsidR="003521D4" w:rsidRPr="00E31190" w:rsidRDefault="003521D4" w:rsidP="003521D4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  <w:hideMark/>
          </w:tcPr>
          <w:p w14:paraId="4F2ADBA4" w14:textId="77777777" w:rsidR="003521D4" w:rsidRPr="00E31190" w:rsidRDefault="003521D4" w:rsidP="003521D4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14:paraId="3A390F4D" w14:textId="77777777" w:rsidR="003521D4" w:rsidRPr="00E31190" w:rsidRDefault="003521D4" w:rsidP="003521D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1190">
              <w:rPr>
                <w:b/>
                <w:i/>
                <w:color w:val="000000"/>
                <w:sz w:val="16"/>
                <w:szCs w:val="16"/>
              </w:rPr>
              <w:t>отклонение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  <w:hideMark/>
          </w:tcPr>
          <w:p w14:paraId="3A0CC5F4" w14:textId="77777777" w:rsidR="003521D4" w:rsidRPr="00E31190" w:rsidRDefault="003521D4" w:rsidP="003521D4">
            <w:pPr>
              <w:ind w:left="-104" w:right="-108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1190">
              <w:rPr>
                <w:b/>
                <w:i/>
                <w:color w:val="000000"/>
                <w:sz w:val="16"/>
                <w:szCs w:val="16"/>
              </w:rPr>
              <w:t>% исполнения</w:t>
            </w:r>
          </w:p>
        </w:tc>
      </w:tr>
      <w:tr w:rsidR="003521D4" w:rsidRPr="00E31190" w14:paraId="528100C5" w14:textId="77777777" w:rsidTr="002A5507">
        <w:trPr>
          <w:trHeight w:val="225"/>
        </w:trPr>
        <w:tc>
          <w:tcPr>
            <w:tcW w:w="6111" w:type="dxa"/>
            <w:shd w:val="clear" w:color="auto" w:fill="auto"/>
            <w:vAlign w:val="center"/>
            <w:hideMark/>
          </w:tcPr>
          <w:p w14:paraId="4DCDB4C9" w14:textId="77777777" w:rsidR="003521D4" w:rsidRPr="00E31190" w:rsidRDefault="003521D4" w:rsidP="003521D4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E31190">
              <w:rPr>
                <w:rFonts w:eastAsia="Calibri"/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9D700A" w14:textId="77777777" w:rsidR="003521D4" w:rsidRPr="00E31190" w:rsidRDefault="003521D4" w:rsidP="003521D4">
            <w:pPr>
              <w:jc w:val="right"/>
              <w:rPr>
                <w:rFonts w:eastAsia="Calibri"/>
                <w:b/>
                <w:bCs/>
                <w:sz w:val="16"/>
                <w:szCs w:val="16"/>
              </w:rPr>
            </w:pPr>
            <w:r w:rsidRPr="00E31190">
              <w:rPr>
                <w:rFonts w:eastAsia="Calibri"/>
                <w:b/>
                <w:bCs/>
                <w:sz w:val="16"/>
                <w:szCs w:val="16"/>
              </w:rPr>
              <w:t>62 994,2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DE0147D" w14:textId="77777777" w:rsidR="003521D4" w:rsidRPr="00E31190" w:rsidRDefault="003521D4" w:rsidP="003521D4">
            <w:pPr>
              <w:jc w:val="right"/>
              <w:rPr>
                <w:rFonts w:eastAsia="Calibri"/>
                <w:b/>
                <w:bCs/>
                <w:sz w:val="16"/>
                <w:szCs w:val="16"/>
              </w:rPr>
            </w:pPr>
            <w:r w:rsidRPr="00E31190">
              <w:rPr>
                <w:rFonts w:eastAsia="Calibri"/>
                <w:b/>
                <w:bCs/>
                <w:sz w:val="16"/>
                <w:szCs w:val="16"/>
              </w:rPr>
              <w:t>65 528,7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7EC59E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2 534,5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01FCD" w14:textId="77777777" w:rsidR="003521D4" w:rsidRPr="00E31190" w:rsidRDefault="003521D4" w:rsidP="003521D4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E31190">
              <w:rPr>
                <w:b/>
                <w:color w:val="000000"/>
                <w:sz w:val="16"/>
                <w:szCs w:val="16"/>
              </w:rPr>
              <w:t>104,0</w:t>
            </w:r>
          </w:p>
        </w:tc>
      </w:tr>
      <w:tr w:rsidR="003521D4" w:rsidRPr="00E31190" w14:paraId="1DB2798D" w14:textId="77777777" w:rsidTr="002A5507">
        <w:trPr>
          <w:trHeight w:val="225"/>
        </w:trPr>
        <w:tc>
          <w:tcPr>
            <w:tcW w:w="6111" w:type="dxa"/>
            <w:shd w:val="clear" w:color="auto" w:fill="auto"/>
            <w:vAlign w:val="center"/>
            <w:hideMark/>
          </w:tcPr>
          <w:p w14:paraId="3A0764CD" w14:textId="77777777" w:rsidR="003521D4" w:rsidRPr="00E31190" w:rsidRDefault="003521D4" w:rsidP="003521D4">
            <w:pPr>
              <w:rPr>
                <w:rFonts w:eastAsia="Calibri"/>
                <w:i/>
                <w:sz w:val="16"/>
                <w:szCs w:val="16"/>
              </w:rPr>
            </w:pPr>
            <w:r w:rsidRPr="00E31190">
              <w:rPr>
                <w:rFonts w:eastAsia="Calibri"/>
                <w:i/>
                <w:sz w:val="16"/>
                <w:szCs w:val="16"/>
              </w:rPr>
              <w:t xml:space="preserve">   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B2E124" w14:textId="77777777" w:rsidR="003521D4" w:rsidRPr="00E31190" w:rsidRDefault="003521D4" w:rsidP="003521D4">
            <w:pPr>
              <w:jc w:val="right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7405A9" w14:textId="77777777" w:rsidR="003521D4" w:rsidRPr="00E31190" w:rsidRDefault="003521D4" w:rsidP="003521D4">
            <w:pPr>
              <w:jc w:val="right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9E73B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89D2C" w14:textId="77777777" w:rsidR="003521D4" w:rsidRPr="00E31190" w:rsidRDefault="003521D4" w:rsidP="003521D4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3521D4" w:rsidRPr="00E31190" w14:paraId="15F0E206" w14:textId="77777777" w:rsidTr="002A5507">
        <w:trPr>
          <w:trHeight w:val="225"/>
        </w:trPr>
        <w:tc>
          <w:tcPr>
            <w:tcW w:w="6111" w:type="dxa"/>
            <w:shd w:val="clear" w:color="auto" w:fill="auto"/>
            <w:vAlign w:val="center"/>
            <w:hideMark/>
          </w:tcPr>
          <w:p w14:paraId="62EDE485" w14:textId="77777777" w:rsidR="003521D4" w:rsidRPr="00E31190" w:rsidRDefault="003521D4" w:rsidP="003521D4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E31190">
              <w:rPr>
                <w:rFonts w:eastAsia="Calibri"/>
                <w:b/>
                <w:sz w:val="16"/>
                <w:szCs w:val="16"/>
              </w:rPr>
              <w:t>Налоговые и неналоговые доходы</w:t>
            </w:r>
          </w:p>
          <w:p w14:paraId="5B64BB66" w14:textId="77777777" w:rsidR="003521D4" w:rsidRPr="00E31190" w:rsidRDefault="003521D4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 w:rsidRPr="00E31190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E31190">
              <w:rPr>
                <w:rFonts w:eastAsia="Calibri"/>
                <w:sz w:val="16"/>
                <w:szCs w:val="16"/>
              </w:rPr>
              <w:t>(</w:t>
            </w:r>
            <w:r w:rsidRPr="00E31190">
              <w:rPr>
                <w:rFonts w:eastAsia="Calibri"/>
                <w:i/>
                <w:sz w:val="16"/>
                <w:szCs w:val="16"/>
              </w:rPr>
              <w:t>841 1 00 00000 00 0000 000</w:t>
            </w:r>
            <w:r w:rsidRPr="00E31190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762646" w14:textId="77777777" w:rsidR="003521D4" w:rsidRPr="00E31190" w:rsidRDefault="003521D4" w:rsidP="003521D4">
            <w:pPr>
              <w:jc w:val="right"/>
              <w:rPr>
                <w:rFonts w:eastAsia="Calibri"/>
                <w:b/>
                <w:bCs/>
                <w:sz w:val="16"/>
                <w:szCs w:val="16"/>
              </w:rPr>
            </w:pPr>
            <w:r w:rsidRPr="00E31190">
              <w:rPr>
                <w:rFonts w:eastAsia="Calibri"/>
                <w:b/>
                <w:bCs/>
                <w:sz w:val="16"/>
                <w:szCs w:val="16"/>
              </w:rPr>
              <w:t>62 994,2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72CB0" w14:textId="77777777" w:rsidR="003521D4" w:rsidRPr="00E31190" w:rsidRDefault="003521D4" w:rsidP="003521D4">
            <w:pPr>
              <w:jc w:val="right"/>
              <w:rPr>
                <w:rFonts w:eastAsia="Calibri"/>
                <w:b/>
                <w:bCs/>
                <w:sz w:val="16"/>
                <w:szCs w:val="16"/>
              </w:rPr>
            </w:pPr>
            <w:r w:rsidRPr="00E31190">
              <w:rPr>
                <w:rFonts w:eastAsia="Calibri"/>
                <w:b/>
                <w:bCs/>
                <w:sz w:val="16"/>
                <w:szCs w:val="16"/>
              </w:rPr>
              <w:t>65 528,7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6A2CF0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2 534,5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AB439" w14:textId="77777777" w:rsidR="003521D4" w:rsidRPr="00E31190" w:rsidRDefault="003521D4" w:rsidP="003521D4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E31190">
              <w:rPr>
                <w:b/>
                <w:color w:val="000000"/>
                <w:sz w:val="16"/>
                <w:szCs w:val="16"/>
              </w:rPr>
              <w:t>104,0</w:t>
            </w:r>
          </w:p>
        </w:tc>
      </w:tr>
      <w:tr w:rsidR="003521D4" w:rsidRPr="00E31190" w14:paraId="2B93926F" w14:textId="77777777" w:rsidTr="002A5507">
        <w:trPr>
          <w:trHeight w:val="420"/>
        </w:trPr>
        <w:tc>
          <w:tcPr>
            <w:tcW w:w="6111" w:type="dxa"/>
            <w:shd w:val="clear" w:color="auto" w:fill="auto"/>
            <w:vAlign w:val="center"/>
            <w:hideMark/>
          </w:tcPr>
          <w:p w14:paraId="551BC88F" w14:textId="77777777" w:rsidR="003521D4" w:rsidRPr="00E31190" w:rsidRDefault="003521D4" w:rsidP="003521D4">
            <w:pPr>
              <w:jc w:val="both"/>
              <w:rPr>
                <w:color w:val="000000"/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РФ, зачисляемая в бюджеты субъектов РФ </w:t>
            </w:r>
            <w:r w:rsidRPr="00E31190">
              <w:rPr>
                <w:rFonts w:eastAsia="Calibri"/>
                <w:sz w:val="16"/>
                <w:szCs w:val="16"/>
              </w:rPr>
              <w:t>(</w:t>
            </w:r>
            <w:r w:rsidRPr="00E31190">
              <w:rPr>
                <w:rFonts w:eastAsia="Calibri"/>
                <w:i/>
                <w:sz w:val="16"/>
                <w:szCs w:val="16"/>
              </w:rPr>
              <w:t>841 1 08 07080 01 0000 110</w:t>
            </w:r>
            <w:r w:rsidRPr="00E31190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EA01A0" w14:textId="77777777" w:rsidR="003521D4" w:rsidRPr="00E31190" w:rsidRDefault="003521D4" w:rsidP="003521D4">
            <w:pPr>
              <w:jc w:val="right"/>
              <w:rPr>
                <w:bCs/>
                <w:sz w:val="16"/>
                <w:szCs w:val="16"/>
              </w:rPr>
            </w:pPr>
            <w:r w:rsidRPr="00E31190">
              <w:rPr>
                <w:bCs/>
                <w:sz w:val="16"/>
                <w:szCs w:val="16"/>
              </w:rPr>
              <w:t>44 000,0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4D0B47" w14:textId="77777777" w:rsidR="003521D4" w:rsidRPr="00E31190" w:rsidRDefault="003521D4" w:rsidP="003521D4">
            <w:pPr>
              <w:jc w:val="right"/>
              <w:rPr>
                <w:bCs/>
                <w:sz w:val="16"/>
                <w:szCs w:val="16"/>
              </w:rPr>
            </w:pPr>
            <w:r w:rsidRPr="00E31190">
              <w:rPr>
                <w:bCs/>
                <w:sz w:val="16"/>
                <w:szCs w:val="16"/>
              </w:rPr>
              <w:t>46 225,6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6667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2 225,6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854ACF" w14:textId="77777777" w:rsidR="003521D4" w:rsidRPr="00E31190" w:rsidRDefault="003521D4" w:rsidP="003521D4">
            <w:pPr>
              <w:jc w:val="right"/>
              <w:rPr>
                <w:color w:val="000000"/>
                <w:sz w:val="16"/>
                <w:szCs w:val="16"/>
              </w:rPr>
            </w:pPr>
            <w:r w:rsidRPr="00E31190">
              <w:rPr>
                <w:color w:val="000000"/>
                <w:sz w:val="16"/>
                <w:szCs w:val="16"/>
              </w:rPr>
              <w:t>105,1</w:t>
            </w:r>
          </w:p>
        </w:tc>
      </w:tr>
      <w:tr w:rsidR="003521D4" w:rsidRPr="00E31190" w14:paraId="0C6CF5EF" w14:textId="77777777" w:rsidTr="002A5507">
        <w:trPr>
          <w:trHeight w:val="377"/>
        </w:trPr>
        <w:tc>
          <w:tcPr>
            <w:tcW w:w="6111" w:type="dxa"/>
            <w:shd w:val="clear" w:color="auto" w:fill="auto"/>
            <w:hideMark/>
          </w:tcPr>
          <w:p w14:paraId="57657EBF" w14:textId="77777777" w:rsidR="003521D4" w:rsidRPr="00E31190" w:rsidRDefault="0019687F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</w:t>
            </w:r>
            <w:r w:rsidR="003521D4" w:rsidRPr="00E31190">
              <w:rPr>
                <w:rFonts w:eastAsia="Calibri"/>
                <w:sz w:val="16"/>
                <w:szCs w:val="16"/>
              </w:rPr>
              <w:t>осударственная пошлина за выдачу лицензий на розничную продажу алкогольной продукции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C37B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43 750,0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2F2A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45 840,6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4A68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2 090,6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443333" w14:textId="77777777" w:rsidR="003521D4" w:rsidRPr="00E31190" w:rsidRDefault="003521D4" w:rsidP="003521D4">
            <w:pPr>
              <w:jc w:val="right"/>
              <w:rPr>
                <w:color w:val="000000"/>
                <w:sz w:val="16"/>
                <w:szCs w:val="16"/>
              </w:rPr>
            </w:pPr>
            <w:r w:rsidRPr="00E31190">
              <w:rPr>
                <w:color w:val="000000"/>
                <w:sz w:val="16"/>
                <w:szCs w:val="16"/>
              </w:rPr>
              <w:t>104,8</w:t>
            </w:r>
          </w:p>
        </w:tc>
      </w:tr>
      <w:tr w:rsidR="003521D4" w:rsidRPr="00E31190" w14:paraId="1DFB2E8E" w14:textId="77777777" w:rsidTr="002A5507">
        <w:trPr>
          <w:trHeight w:val="373"/>
        </w:trPr>
        <w:tc>
          <w:tcPr>
            <w:tcW w:w="6111" w:type="dxa"/>
            <w:shd w:val="clear" w:color="auto" w:fill="auto"/>
            <w:hideMark/>
          </w:tcPr>
          <w:p w14:paraId="4B239376" w14:textId="77777777" w:rsidR="003521D4" w:rsidRPr="00E31190" w:rsidRDefault="0019687F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</w:t>
            </w:r>
            <w:r w:rsidR="003521D4" w:rsidRPr="00E31190">
              <w:rPr>
                <w:rFonts w:eastAsia="Calibri"/>
                <w:sz w:val="16"/>
                <w:szCs w:val="16"/>
              </w:rPr>
              <w:t>осударственная пошлина за выдачу лицензий на заготовку, хранение, переработку и реализацию лома черных и цветных металлов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CF43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13CA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1346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51E61" w14:textId="77777777" w:rsidR="003521D4" w:rsidRPr="00E31190" w:rsidRDefault="003521D4" w:rsidP="003521D4">
            <w:pPr>
              <w:jc w:val="right"/>
              <w:rPr>
                <w:color w:val="000000"/>
                <w:sz w:val="16"/>
                <w:szCs w:val="16"/>
              </w:rPr>
            </w:pPr>
            <w:r w:rsidRPr="00E31190">
              <w:rPr>
                <w:color w:val="000000"/>
                <w:sz w:val="16"/>
                <w:szCs w:val="16"/>
              </w:rPr>
              <w:t>154,0</w:t>
            </w:r>
          </w:p>
        </w:tc>
      </w:tr>
      <w:tr w:rsidR="003521D4" w:rsidRPr="00E31190" w14:paraId="4D6D3944" w14:textId="77777777" w:rsidTr="002A5507">
        <w:trPr>
          <w:trHeight w:val="373"/>
        </w:trPr>
        <w:tc>
          <w:tcPr>
            <w:tcW w:w="6111" w:type="dxa"/>
            <w:shd w:val="clear" w:color="auto" w:fill="auto"/>
            <w:vAlign w:val="center"/>
            <w:hideMark/>
          </w:tcPr>
          <w:p w14:paraId="4835C3B8" w14:textId="77777777" w:rsidR="003521D4" w:rsidRPr="00E31190" w:rsidRDefault="003521D4" w:rsidP="003521D4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E31190">
              <w:rPr>
                <w:rFonts w:eastAsia="Calibri"/>
                <w:b/>
                <w:sz w:val="16"/>
                <w:szCs w:val="16"/>
              </w:rPr>
              <w:lastRenderedPageBreak/>
              <w:t>Доходы от оказания платных услуг (работ) и компенсации затрат государства</w:t>
            </w:r>
          </w:p>
          <w:p w14:paraId="51A24448" w14:textId="77777777" w:rsidR="003521D4" w:rsidRPr="00E31190" w:rsidRDefault="003521D4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 w:rsidRPr="00E31190">
              <w:rPr>
                <w:rFonts w:eastAsia="Calibri"/>
                <w:sz w:val="16"/>
                <w:szCs w:val="16"/>
              </w:rPr>
              <w:t>(</w:t>
            </w:r>
            <w:r w:rsidRPr="00E31190">
              <w:rPr>
                <w:rFonts w:eastAsia="Calibri"/>
                <w:i/>
                <w:sz w:val="16"/>
                <w:szCs w:val="16"/>
              </w:rPr>
              <w:t>841 1 13  00000 00 0000 000</w:t>
            </w:r>
            <w:r w:rsidRPr="00E31190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226136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18 994,2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F83368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18 995,2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D8C7A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FB485" w14:textId="77777777" w:rsidR="003521D4" w:rsidRPr="00E31190" w:rsidRDefault="003521D4" w:rsidP="003521D4">
            <w:pPr>
              <w:jc w:val="right"/>
              <w:rPr>
                <w:color w:val="000000"/>
                <w:sz w:val="16"/>
                <w:szCs w:val="16"/>
              </w:rPr>
            </w:pPr>
            <w:r w:rsidRPr="00E3119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521D4" w:rsidRPr="00E31190" w14:paraId="33A78947" w14:textId="77777777" w:rsidTr="002A5507">
        <w:trPr>
          <w:trHeight w:val="373"/>
        </w:trPr>
        <w:tc>
          <w:tcPr>
            <w:tcW w:w="6111" w:type="dxa"/>
            <w:shd w:val="clear" w:color="auto" w:fill="auto"/>
            <w:vAlign w:val="center"/>
            <w:hideMark/>
          </w:tcPr>
          <w:p w14:paraId="723AD5B8" w14:textId="77777777" w:rsidR="003521D4" w:rsidRPr="00E31190" w:rsidRDefault="003521D4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 w:rsidRPr="00E31190">
              <w:rPr>
                <w:rFonts w:eastAsia="Calibri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  <w:p w14:paraId="5625E2E3" w14:textId="77777777" w:rsidR="003521D4" w:rsidRPr="00E31190" w:rsidRDefault="003521D4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 w:rsidRPr="00E31190">
              <w:rPr>
                <w:rFonts w:eastAsia="Calibri"/>
                <w:sz w:val="16"/>
                <w:szCs w:val="16"/>
              </w:rPr>
              <w:t>(</w:t>
            </w:r>
            <w:r w:rsidRPr="00E31190">
              <w:rPr>
                <w:rFonts w:eastAsia="Calibri"/>
                <w:i/>
                <w:sz w:val="16"/>
                <w:szCs w:val="16"/>
              </w:rPr>
              <w:t>841 1 13 02000 00 0000 130</w:t>
            </w:r>
            <w:r w:rsidRPr="00E31190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DFFC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18 994,2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CB0D1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18 995,2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C1752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95966" w14:textId="77777777" w:rsidR="003521D4" w:rsidRPr="00E31190" w:rsidRDefault="003521D4" w:rsidP="003521D4">
            <w:pPr>
              <w:jc w:val="right"/>
              <w:rPr>
                <w:color w:val="000000"/>
                <w:sz w:val="16"/>
                <w:szCs w:val="16"/>
              </w:rPr>
            </w:pPr>
            <w:r w:rsidRPr="00E3119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521D4" w:rsidRPr="00E31190" w14:paraId="61C53459" w14:textId="77777777" w:rsidTr="002A5507">
        <w:trPr>
          <w:trHeight w:val="373"/>
        </w:trPr>
        <w:tc>
          <w:tcPr>
            <w:tcW w:w="6111" w:type="dxa"/>
            <w:shd w:val="clear" w:color="auto" w:fill="auto"/>
            <w:vAlign w:val="center"/>
            <w:hideMark/>
          </w:tcPr>
          <w:p w14:paraId="3D4A3FEF" w14:textId="77777777" w:rsidR="003521D4" w:rsidRPr="00E31190" w:rsidRDefault="003521D4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 w:rsidRPr="00E31190">
              <w:rPr>
                <w:rFonts w:eastAsia="Calibri"/>
                <w:sz w:val="16"/>
                <w:szCs w:val="16"/>
              </w:rPr>
              <w:t>Прочие неналоговые доходы (</w:t>
            </w:r>
            <w:r w:rsidRPr="00E31190">
              <w:rPr>
                <w:rFonts w:eastAsia="Calibri"/>
                <w:i/>
                <w:sz w:val="16"/>
                <w:szCs w:val="16"/>
              </w:rPr>
              <w:t>841 1 17 00000 00 0000 000</w:t>
            </w:r>
            <w:r w:rsidRPr="00E31190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3972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B940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308,0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79D17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6599AB" w14:textId="77777777" w:rsidR="003521D4" w:rsidRPr="00E31190" w:rsidRDefault="003521D4" w:rsidP="003521D4">
            <w:pPr>
              <w:jc w:val="right"/>
              <w:rPr>
                <w:color w:val="000000"/>
                <w:sz w:val="16"/>
                <w:szCs w:val="16"/>
              </w:rPr>
            </w:pPr>
            <w:r w:rsidRPr="00E31190">
              <w:rPr>
                <w:color w:val="000000"/>
                <w:sz w:val="16"/>
                <w:szCs w:val="16"/>
              </w:rPr>
              <w:t>-</w:t>
            </w:r>
          </w:p>
        </w:tc>
      </w:tr>
      <w:tr w:rsidR="003521D4" w:rsidRPr="00E31190" w14:paraId="1E6E5854" w14:textId="77777777" w:rsidTr="002A5507">
        <w:trPr>
          <w:trHeight w:val="373"/>
        </w:trPr>
        <w:tc>
          <w:tcPr>
            <w:tcW w:w="6111" w:type="dxa"/>
            <w:shd w:val="clear" w:color="auto" w:fill="auto"/>
            <w:vAlign w:val="center"/>
            <w:hideMark/>
          </w:tcPr>
          <w:p w14:paraId="657624A7" w14:textId="77777777" w:rsidR="003521D4" w:rsidRPr="00E31190" w:rsidRDefault="003521D4" w:rsidP="003521D4">
            <w:pPr>
              <w:jc w:val="both"/>
              <w:rPr>
                <w:rFonts w:eastAsia="Calibri"/>
                <w:sz w:val="16"/>
                <w:szCs w:val="16"/>
              </w:rPr>
            </w:pPr>
            <w:r w:rsidRPr="00E31190">
              <w:rPr>
                <w:rFonts w:eastAsia="Calibri"/>
                <w:sz w:val="16"/>
                <w:szCs w:val="16"/>
              </w:rPr>
              <w:t>Невыясненные поступления (</w:t>
            </w:r>
            <w:r w:rsidRPr="00E31190">
              <w:rPr>
                <w:rFonts w:eastAsia="Calibri"/>
                <w:i/>
                <w:sz w:val="16"/>
                <w:szCs w:val="16"/>
              </w:rPr>
              <w:t>841 1 17 01020 02 0000 180</w:t>
            </w:r>
            <w:r w:rsidRPr="00E31190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9113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C5DF5E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308,0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16ED13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919E2F" w14:textId="77777777" w:rsidR="003521D4" w:rsidRPr="00E31190" w:rsidRDefault="003521D4" w:rsidP="003521D4">
            <w:pPr>
              <w:jc w:val="right"/>
              <w:rPr>
                <w:color w:val="000000"/>
                <w:sz w:val="16"/>
                <w:szCs w:val="16"/>
              </w:rPr>
            </w:pPr>
            <w:r w:rsidRPr="00E31190">
              <w:rPr>
                <w:color w:val="000000"/>
                <w:sz w:val="16"/>
                <w:szCs w:val="16"/>
              </w:rPr>
              <w:t>-</w:t>
            </w:r>
          </w:p>
        </w:tc>
      </w:tr>
    </w:tbl>
    <w:p w14:paraId="0A3F4D89" w14:textId="77777777" w:rsidR="003521D4" w:rsidRPr="003521D4" w:rsidRDefault="003521D4" w:rsidP="003521D4">
      <w:pPr>
        <w:ind w:firstLine="709"/>
        <w:jc w:val="both"/>
        <w:rPr>
          <w:rFonts w:eastAsia="Calibri"/>
        </w:rPr>
      </w:pPr>
      <w:r w:rsidRPr="003521D4">
        <w:rPr>
          <w:rFonts w:eastAsia="Calibri"/>
        </w:rPr>
        <w:t xml:space="preserve">Согласно </w:t>
      </w:r>
      <w:r w:rsidR="00DB395F">
        <w:rPr>
          <w:rFonts w:eastAsia="Calibri"/>
        </w:rPr>
        <w:t>б</w:t>
      </w:r>
      <w:r w:rsidRPr="003521D4">
        <w:rPr>
          <w:rFonts w:eastAsia="Calibri"/>
        </w:rPr>
        <w:t xml:space="preserve">юджетной отчетности </w:t>
      </w:r>
      <w:r w:rsidR="00DB395F">
        <w:rPr>
          <w:rFonts w:eastAsia="Calibri"/>
        </w:rPr>
        <w:t xml:space="preserve">ф. </w:t>
      </w:r>
      <w:r w:rsidRPr="003521D4">
        <w:rPr>
          <w:rFonts w:eastAsia="Calibri"/>
        </w:rPr>
        <w:t xml:space="preserve">0503164 «Сведения об исполнении бюджета» доходы поступили в сумме 65 528,7 тыс.руб., что превышает плановые назначения на 2 534,5 тыс.руб., или </w:t>
      </w:r>
      <w:r w:rsidR="00DB395F">
        <w:rPr>
          <w:rFonts w:eastAsia="Calibri"/>
        </w:rPr>
        <w:t xml:space="preserve">на </w:t>
      </w:r>
      <w:r w:rsidRPr="003521D4">
        <w:rPr>
          <w:rFonts w:eastAsia="Calibri"/>
        </w:rPr>
        <w:t>4 процента.</w:t>
      </w:r>
    </w:p>
    <w:p w14:paraId="398E2B08" w14:textId="77777777" w:rsidR="003521D4" w:rsidRPr="003521D4" w:rsidRDefault="00EC2782" w:rsidP="003521D4">
      <w:pPr>
        <w:autoSpaceDE w:val="0"/>
        <w:autoSpaceDN w:val="0"/>
        <w:adjustRightInd w:val="0"/>
        <w:ind w:firstLine="709"/>
        <w:jc w:val="both"/>
      </w:pPr>
      <w:r>
        <w:t>П</w:t>
      </w:r>
      <w:r w:rsidR="003521D4" w:rsidRPr="003521D4">
        <w:t>рогнозн</w:t>
      </w:r>
      <w:r>
        <w:t>ый</w:t>
      </w:r>
      <w:r w:rsidR="003521D4" w:rsidRPr="003521D4">
        <w:t xml:space="preserve"> показател</w:t>
      </w:r>
      <w:r>
        <w:t>ь</w:t>
      </w:r>
      <w:r w:rsidR="003521D4" w:rsidRPr="003521D4">
        <w:t xml:space="preserve"> по государственной пошлине за выдачу лицензии на розничную продажу алкогольной продукции </w:t>
      </w:r>
      <w:r>
        <w:t>п</w:t>
      </w:r>
      <w:r w:rsidRPr="003521D4">
        <w:t xml:space="preserve">еревыполнен </w:t>
      </w:r>
      <w:r w:rsidR="003521D4" w:rsidRPr="003521D4">
        <w:t xml:space="preserve">на 2 090,6 тыс. руб., или на 4,8%, за выдачу лицензии на заготовку, переработку и реализацию лома черных и цветных металлов </w:t>
      </w:r>
      <w:r>
        <w:t>– на 135,0 тыс. руб., или на 54 процент</w:t>
      </w:r>
      <w:r w:rsidR="00DB395F">
        <w:t>а</w:t>
      </w:r>
      <w:r>
        <w:t>. Перевыполнение</w:t>
      </w:r>
      <w:r w:rsidR="003521D4" w:rsidRPr="003521D4">
        <w:t xml:space="preserve"> объясняется </w:t>
      </w:r>
      <w:r w:rsidR="00DB395F">
        <w:t xml:space="preserve">заявительным характером выдачи </w:t>
      </w:r>
      <w:r w:rsidR="003521D4" w:rsidRPr="003521D4">
        <w:t>лицензий</w:t>
      </w:r>
      <w:r w:rsidR="00DB395F">
        <w:t>.</w:t>
      </w:r>
      <w:r w:rsidR="003521D4" w:rsidRPr="003521D4">
        <w:t xml:space="preserve"> </w:t>
      </w:r>
    </w:p>
    <w:p w14:paraId="1E159678" w14:textId="77777777" w:rsidR="003521D4" w:rsidRPr="003521D4" w:rsidRDefault="003521D4" w:rsidP="003521D4">
      <w:pPr>
        <w:ind w:firstLine="709"/>
        <w:jc w:val="both"/>
        <w:rPr>
          <w:rFonts w:eastAsia="Calibri"/>
        </w:rPr>
      </w:pPr>
      <w:r w:rsidRPr="003521D4">
        <w:rPr>
          <w:rFonts w:eastAsia="Calibri"/>
        </w:rPr>
        <w:t>Кроме того, в доходах областного бюджета отражен</w:t>
      </w:r>
      <w:r w:rsidR="00DB395F">
        <w:rPr>
          <w:rFonts w:eastAsia="Calibri"/>
        </w:rPr>
        <w:t>ы</w:t>
      </w:r>
      <w:r w:rsidRPr="003521D4">
        <w:rPr>
          <w:rFonts w:eastAsia="Calibri"/>
        </w:rPr>
        <w:t xml:space="preserve"> </w:t>
      </w:r>
      <w:r w:rsidR="00DB395F" w:rsidRPr="003521D4">
        <w:rPr>
          <w:rFonts w:eastAsia="Calibri"/>
        </w:rPr>
        <w:t xml:space="preserve">по КБК </w:t>
      </w:r>
      <w:r w:rsidR="00DB395F" w:rsidRPr="003521D4">
        <w:t xml:space="preserve">841 1 13 02992 02 0000 000 </w:t>
      </w:r>
      <w:r w:rsidRPr="003521D4">
        <w:rPr>
          <w:rFonts w:eastAsia="Calibri"/>
        </w:rPr>
        <w:t>сумма поступлений 18 995,2 тыс. руб. (возврат Фондом «Перспективное развитие Волгоградской области» остатка неиспользованной субсидии за 2017 год), по КБК 841 1 17 01020 02 0000 180 - 308,0 тыс. руб. (невыясненные поступления).</w:t>
      </w:r>
    </w:p>
    <w:p w14:paraId="3D3A34CA" w14:textId="77777777" w:rsidR="003521D4" w:rsidRPr="003521D4" w:rsidRDefault="003521D4" w:rsidP="003521D4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3521D4">
        <w:rPr>
          <w:rFonts w:cs="Arial"/>
        </w:rPr>
        <w:t>Помимо областных доходов Комитет является администратором отдельных доходов местных бюджетов (бюджета г. Волгограда) по кодам бюджетной классификации доходов 841 1 16 08010 01 0000 140 «Денежные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продукции» и 841 1 16 90040 04 0000 140 «</w:t>
      </w:r>
      <w:r w:rsidRPr="003521D4">
        <w:rPr>
          <w:rFonts w:eastAsia="Calibri" w:cs="Arial"/>
        </w:rPr>
        <w:t>Прочие поступления от денежных взысканий (штрафов) и иных сумм в возмещение ущерба, зачисляемые в бюджеты городских округов» по ш</w:t>
      </w:r>
      <w:r w:rsidRPr="003521D4">
        <w:rPr>
          <w:rFonts w:cs="Arial"/>
        </w:rPr>
        <w:t>трафам за нарушение условий лицензирования заготовки, хранения, переработки и реализации лома черных и (или) цветных металлов.</w:t>
      </w:r>
    </w:p>
    <w:p w14:paraId="7D07EFE3" w14:textId="77777777" w:rsidR="003521D4" w:rsidRPr="003521D4" w:rsidRDefault="003521D4" w:rsidP="003521D4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3521D4">
        <w:rPr>
          <w:rFonts w:cs="Arial"/>
        </w:rPr>
        <w:t xml:space="preserve">Полномочия по администрированию данных доходов возложены на Комитет в соответствии с </w:t>
      </w:r>
      <w:r w:rsidRPr="003521D4">
        <w:rPr>
          <w:rFonts w:eastAsia="Calibri" w:cs="Arial"/>
        </w:rPr>
        <w:t>Порядком осуществления органами государственной власти Волгоградской области, органами управления территориальными государственными внебюджетными фондами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Pr="003521D4">
        <w:rPr>
          <w:rFonts w:cs="Arial"/>
        </w:rPr>
        <w:t xml:space="preserve">, утвержденным постановлением Правительства Волгоградской области от 09.04.2013 №153-п, и </w:t>
      </w:r>
      <w:r w:rsidR="007F6E58">
        <w:rPr>
          <w:rFonts w:cs="Arial"/>
        </w:rPr>
        <w:t>р</w:t>
      </w:r>
      <w:r w:rsidRPr="003521D4">
        <w:rPr>
          <w:rFonts w:cs="Arial"/>
        </w:rPr>
        <w:t xml:space="preserve">ешением Волгоградской городской Думы от 22.12.2017 №63/1863 «О бюджете Волгограда на 2018 год и на плановый период 2019 и 2020 годов». </w:t>
      </w:r>
    </w:p>
    <w:p w14:paraId="348AD4BF" w14:textId="77777777" w:rsidR="003521D4" w:rsidRPr="003521D4" w:rsidRDefault="003521D4" w:rsidP="003521D4">
      <w:pPr>
        <w:ind w:firstLine="709"/>
        <w:jc w:val="both"/>
        <w:rPr>
          <w:rFonts w:eastAsia="Calibri"/>
        </w:rPr>
      </w:pPr>
      <w:r w:rsidRPr="003521D4">
        <w:rPr>
          <w:rFonts w:eastAsia="Calibri"/>
        </w:rPr>
        <w:t>В соответствии с п.п.1 п.7 ст. 47 БК РФ указанные штрафы зачисляются по месту нахождения органа или должностного лица, принявшего решение о наложении денежного взыскания (штрафа), по нормативу 100 процентов.</w:t>
      </w:r>
    </w:p>
    <w:p w14:paraId="4D1071D6" w14:textId="77777777" w:rsidR="003521D4" w:rsidRDefault="003521D4" w:rsidP="00DB395F">
      <w:pPr>
        <w:ind w:firstLine="709"/>
        <w:jc w:val="both"/>
        <w:rPr>
          <w:rFonts w:eastAsia="Calibri"/>
        </w:rPr>
      </w:pPr>
      <w:r w:rsidRPr="003521D4">
        <w:rPr>
          <w:rFonts w:eastAsia="Calibri"/>
        </w:rPr>
        <w:t xml:space="preserve">Информация о начислениях, поступлениях и задолженности на начало и конец отчетного периода приведена в таблице. </w:t>
      </w:r>
    </w:p>
    <w:p w14:paraId="0AEBFF67" w14:textId="77777777" w:rsidR="003521D4" w:rsidRPr="003521D4" w:rsidRDefault="003521D4" w:rsidP="003521D4">
      <w:pPr>
        <w:ind w:firstLine="567"/>
        <w:jc w:val="right"/>
        <w:rPr>
          <w:sz w:val="16"/>
          <w:szCs w:val="16"/>
        </w:rPr>
      </w:pPr>
      <w:r w:rsidRPr="003521D4">
        <w:rPr>
          <w:sz w:val="16"/>
          <w:szCs w:val="16"/>
        </w:rPr>
        <w:t>тыс. руб.</w:t>
      </w:r>
    </w:p>
    <w:tbl>
      <w:tblPr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9"/>
        <w:gridCol w:w="1089"/>
        <w:gridCol w:w="1019"/>
        <w:gridCol w:w="1224"/>
        <w:gridCol w:w="1473"/>
        <w:gridCol w:w="1054"/>
      </w:tblGrid>
      <w:tr w:rsidR="003521D4" w:rsidRPr="00E31190" w14:paraId="43A0D86A" w14:textId="77777777" w:rsidTr="003521D4">
        <w:trPr>
          <w:trHeight w:val="20"/>
          <w:jc w:val="center"/>
        </w:trPr>
        <w:tc>
          <w:tcPr>
            <w:tcW w:w="4489" w:type="dxa"/>
            <w:shd w:val="clear" w:color="auto" w:fill="EAF1DD" w:themeFill="accent3" w:themeFillTint="33"/>
            <w:vAlign w:val="center"/>
            <w:hideMark/>
          </w:tcPr>
          <w:p w14:paraId="1AB1D209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9" w:type="dxa"/>
            <w:shd w:val="clear" w:color="auto" w:fill="EAF1DD" w:themeFill="accent3" w:themeFillTint="33"/>
            <w:vAlign w:val="center"/>
            <w:hideMark/>
          </w:tcPr>
          <w:p w14:paraId="32D35EEA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E31190">
              <w:rPr>
                <w:b/>
                <w:i/>
                <w:sz w:val="16"/>
                <w:szCs w:val="16"/>
              </w:rPr>
              <w:t>Сальдо на 01.01.201</w:t>
            </w:r>
            <w:r w:rsidRPr="00E31190">
              <w:rPr>
                <w:b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019" w:type="dxa"/>
            <w:shd w:val="clear" w:color="auto" w:fill="EAF1DD" w:themeFill="accent3" w:themeFillTint="33"/>
            <w:vAlign w:val="center"/>
          </w:tcPr>
          <w:p w14:paraId="71ED00F6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Начислено в 201</w:t>
            </w:r>
            <w:r w:rsidRPr="00E31190">
              <w:rPr>
                <w:b/>
                <w:i/>
                <w:sz w:val="16"/>
                <w:szCs w:val="16"/>
                <w:lang w:val="en-US"/>
              </w:rPr>
              <w:t>8</w:t>
            </w:r>
            <w:r w:rsidRPr="00E31190">
              <w:rPr>
                <w:b/>
                <w:i/>
                <w:sz w:val="16"/>
                <w:szCs w:val="16"/>
              </w:rPr>
              <w:t xml:space="preserve"> году</w:t>
            </w:r>
          </w:p>
        </w:tc>
        <w:tc>
          <w:tcPr>
            <w:tcW w:w="1224" w:type="dxa"/>
            <w:shd w:val="clear" w:color="auto" w:fill="EAF1DD" w:themeFill="accent3" w:themeFillTint="33"/>
            <w:vAlign w:val="center"/>
            <w:hideMark/>
          </w:tcPr>
          <w:p w14:paraId="2C4AC1EC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Поступило в 201</w:t>
            </w:r>
            <w:r w:rsidRPr="00E31190">
              <w:rPr>
                <w:b/>
                <w:i/>
                <w:sz w:val="16"/>
                <w:szCs w:val="16"/>
                <w:lang w:val="en-US"/>
              </w:rPr>
              <w:t>8</w:t>
            </w:r>
            <w:r w:rsidRPr="00E31190">
              <w:rPr>
                <w:b/>
                <w:i/>
                <w:sz w:val="16"/>
                <w:szCs w:val="16"/>
              </w:rPr>
              <w:t xml:space="preserve"> году</w:t>
            </w:r>
          </w:p>
        </w:tc>
        <w:tc>
          <w:tcPr>
            <w:tcW w:w="1473" w:type="dxa"/>
            <w:shd w:val="clear" w:color="auto" w:fill="EAF1DD" w:themeFill="accent3" w:themeFillTint="33"/>
            <w:vAlign w:val="center"/>
            <w:hideMark/>
          </w:tcPr>
          <w:p w14:paraId="4AFE4B95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Списана дебиторская задолженность</w:t>
            </w:r>
          </w:p>
        </w:tc>
        <w:tc>
          <w:tcPr>
            <w:tcW w:w="1054" w:type="dxa"/>
            <w:shd w:val="clear" w:color="auto" w:fill="EAF1DD" w:themeFill="accent3" w:themeFillTint="33"/>
            <w:vAlign w:val="center"/>
            <w:hideMark/>
          </w:tcPr>
          <w:p w14:paraId="18A66C99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E31190">
              <w:rPr>
                <w:b/>
                <w:i/>
                <w:sz w:val="16"/>
                <w:szCs w:val="16"/>
              </w:rPr>
              <w:t>Сальдо на 01.01.201</w:t>
            </w:r>
            <w:r w:rsidRPr="00E31190">
              <w:rPr>
                <w:b/>
                <w:i/>
                <w:sz w:val="16"/>
                <w:szCs w:val="16"/>
                <w:lang w:val="en-US"/>
              </w:rPr>
              <w:t>9</w:t>
            </w:r>
          </w:p>
        </w:tc>
      </w:tr>
      <w:tr w:rsidR="003521D4" w:rsidRPr="00E31190" w14:paraId="3954794C" w14:textId="77777777" w:rsidTr="003521D4">
        <w:trPr>
          <w:trHeight w:val="276"/>
          <w:jc w:val="center"/>
        </w:trPr>
        <w:tc>
          <w:tcPr>
            <w:tcW w:w="4489" w:type="dxa"/>
            <w:shd w:val="clear" w:color="auto" w:fill="auto"/>
            <w:hideMark/>
          </w:tcPr>
          <w:p w14:paraId="0C9B2225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Доходы, поступающие в бюджет г.Волгограда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14:paraId="36798B6E" w14:textId="77777777" w:rsidR="003521D4" w:rsidRPr="00E31190" w:rsidRDefault="003521D4" w:rsidP="003521D4">
            <w:pPr>
              <w:jc w:val="center"/>
              <w:rPr>
                <w:sz w:val="16"/>
                <w:szCs w:val="16"/>
              </w:rPr>
            </w:pPr>
            <w:r w:rsidRPr="00E31190">
              <w:rPr>
                <w:iCs/>
                <w:sz w:val="16"/>
                <w:szCs w:val="16"/>
              </w:rPr>
              <w:t>16 741,9</w:t>
            </w:r>
          </w:p>
        </w:tc>
        <w:tc>
          <w:tcPr>
            <w:tcW w:w="1019" w:type="dxa"/>
            <w:vAlign w:val="center"/>
          </w:tcPr>
          <w:p w14:paraId="6FE6D852" w14:textId="77777777" w:rsidR="003521D4" w:rsidRPr="00E31190" w:rsidRDefault="003521D4" w:rsidP="003521D4">
            <w:pPr>
              <w:jc w:val="center"/>
              <w:rPr>
                <w:iCs/>
                <w:sz w:val="16"/>
                <w:szCs w:val="16"/>
              </w:rPr>
            </w:pPr>
            <w:r w:rsidRPr="00E31190">
              <w:rPr>
                <w:iCs/>
                <w:sz w:val="16"/>
                <w:szCs w:val="16"/>
              </w:rPr>
              <w:t>11 555,0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0605A812" w14:textId="77777777" w:rsidR="003521D4" w:rsidRPr="00E31190" w:rsidRDefault="003521D4" w:rsidP="003521D4">
            <w:pPr>
              <w:jc w:val="center"/>
              <w:rPr>
                <w:iCs/>
                <w:sz w:val="16"/>
                <w:szCs w:val="16"/>
              </w:rPr>
            </w:pPr>
            <w:r w:rsidRPr="00E31190">
              <w:rPr>
                <w:iCs/>
                <w:sz w:val="16"/>
                <w:szCs w:val="16"/>
              </w:rPr>
              <w:t>3 107,9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0D6BC5" w14:textId="77777777" w:rsidR="003521D4" w:rsidRPr="00E31190" w:rsidRDefault="003521D4" w:rsidP="003521D4">
            <w:pPr>
              <w:jc w:val="center"/>
              <w:rPr>
                <w:iCs/>
                <w:sz w:val="16"/>
                <w:szCs w:val="16"/>
              </w:rPr>
            </w:pPr>
            <w:r w:rsidRPr="00E31190">
              <w:rPr>
                <w:iCs/>
                <w:sz w:val="16"/>
                <w:szCs w:val="16"/>
              </w:rPr>
              <w:t>11 721,1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14:paraId="77EC2500" w14:textId="77777777" w:rsidR="003521D4" w:rsidRPr="00E31190" w:rsidRDefault="003521D4" w:rsidP="003521D4">
            <w:pPr>
              <w:jc w:val="center"/>
              <w:rPr>
                <w:iCs/>
                <w:sz w:val="16"/>
                <w:szCs w:val="16"/>
              </w:rPr>
            </w:pPr>
            <w:r w:rsidRPr="00E31190">
              <w:rPr>
                <w:iCs/>
                <w:sz w:val="16"/>
                <w:szCs w:val="16"/>
              </w:rPr>
              <w:t>13 467,9</w:t>
            </w:r>
          </w:p>
        </w:tc>
      </w:tr>
    </w:tbl>
    <w:p w14:paraId="78BE1BAB" w14:textId="77777777" w:rsidR="003521D4" w:rsidRDefault="003521D4" w:rsidP="003521D4">
      <w:pPr>
        <w:ind w:firstLine="567"/>
        <w:jc w:val="both"/>
        <w:rPr>
          <w:rFonts w:eastAsia="Calibri"/>
        </w:rPr>
      </w:pPr>
      <w:r w:rsidRPr="003521D4">
        <w:rPr>
          <w:rFonts w:eastAsia="Calibri"/>
        </w:rPr>
        <w:t>По данным Комитета в общей сумме дебиторской задолженности просроченная задолженность составила 13 294,5 тыс. рублей.</w:t>
      </w:r>
      <w:r w:rsidR="0087451A">
        <w:rPr>
          <w:rFonts w:eastAsia="Calibri"/>
        </w:rPr>
        <w:t xml:space="preserve"> По истечени</w:t>
      </w:r>
      <w:r w:rsidR="007F6E58">
        <w:rPr>
          <w:rFonts w:eastAsia="Calibri"/>
        </w:rPr>
        <w:t>и</w:t>
      </w:r>
      <w:r w:rsidR="0087451A">
        <w:rPr>
          <w:rFonts w:eastAsia="Calibri"/>
        </w:rPr>
        <w:t xml:space="preserve"> срока добровольного погашения задолженности (70 дней) Комитетом в службу судебных приставов направляются документы для возбуждения исполнительного производства с целью принудительного взыскания.</w:t>
      </w:r>
      <w:r w:rsidR="0087451A" w:rsidRPr="0087451A">
        <w:rPr>
          <w:rFonts w:eastAsia="Calibri"/>
        </w:rPr>
        <w:t xml:space="preserve"> </w:t>
      </w:r>
    </w:p>
    <w:p w14:paraId="30385EC4" w14:textId="77777777" w:rsidR="00817B67" w:rsidRPr="004A3F44" w:rsidRDefault="00817B67" w:rsidP="00817B67">
      <w:pPr>
        <w:autoSpaceDE w:val="0"/>
        <w:autoSpaceDN w:val="0"/>
        <w:adjustRightInd w:val="0"/>
        <w:jc w:val="center"/>
        <w:rPr>
          <w:b/>
          <w:i/>
        </w:rPr>
      </w:pPr>
      <w:r w:rsidRPr="00412178">
        <w:rPr>
          <w:b/>
          <w:i/>
        </w:rPr>
        <w:t>Исполнение расходов</w:t>
      </w:r>
    </w:p>
    <w:p w14:paraId="7D98518D" w14:textId="77777777" w:rsidR="003521D4" w:rsidRDefault="003521D4" w:rsidP="003521D4">
      <w:pPr>
        <w:ind w:firstLine="709"/>
        <w:jc w:val="both"/>
      </w:pPr>
      <w:r w:rsidRPr="00DE6988">
        <w:t>Законом об областном бюджете Комитету предусмотрен</w:t>
      </w:r>
      <w:r>
        <w:t>ы ассигнования в сумме        148 777,9</w:t>
      </w:r>
      <w:r w:rsidRPr="00DE6988">
        <w:t xml:space="preserve"> тыс. руб., согласно бюджетной росписи и отчету об исполнении бюджета </w:t>
      </w:r>
      <w:r w:rsidRPr="00DE6988">
        <w:lastRenderedPageBreak/>
        <w:t xml:space="preserve">(ф.0305127) </w:t>
      </w:r>
      <w:r w:rsidRPr="007B45E9">
        <w:t>бюджетные назначения составили 149 076,0 тыс. руб., или на 298,1 тыс. руб.</w:t>
      </w:r>
      <w:r w:rsidR="007F6E58">
        <w:t xml:space="preserve"> </w:t>
      </w:r>
      <w:r w:rsidRPr="007B45E9">
        <w:t>больше утвержденного Законом об областном бюджете, что обусловлено доведением бюджетных</w:t>
      </w:r>
      <w:r w:rsidRPr="006A4426">
        <w:t xml:space="preserve"> ассигнований в большем размере уведомлениями </w:t>
      </w:r>
      <w:proofErr w:type="spellStart"/>
      <w:r w:rsidRPr="006A4426">
        <w:t>Облфина</w:t>
      </w:r>
      <w:proofErr w:type="spellEnd"/>
      <w:r w:rsidRPr="006A4426">
        <w:t xml:space="preserve"> об изменении бюджетных </w:t>
      </w:r>
      <w:r w:rsidRPr="00873886">
        <w:t>ассигнований в связи с выплатой руководителю Комитета денежного поощрения за успешное и добросовестное осуществление своих полномочий на основании Распоряжения Губернатора Волгоградской области от 20.12.2018 №230-р.</w:t>
      </w:r>
    </w:p>
    <w:p w14:paraId="577D91F2" w14:textId="77777777" w:rsidR="003521D4" w:rsidRDefault="003521D4" w:rsidP="003521D4">
      <w:pPr>
        <w:ind w:firstLine="567"/>
        <w:jc w:val="both"/>
        <w:rPr>
          <w:bCs/>
        </w:rPr>
      </w:pPr>
      <w:r w:rsidRPr="001F1D09">
        <w:rPr>
          <w:bCs/>
        </w:rPr>
        <w:t xml:space="preserve">Изменения в сводную бюджетную роспись внесены </w:t>
      </w:r>
      <w:r w:rsidRPr="001F1D09">
        <w:t xml:space="preserve">без внесения изменений в закон о бюджете в соответствии с решением руководителя финансового органа в рамках полномочий, определенных п. </w:t>
      </w:r>
      <w:r>
        <w:t>8</w:t>
      </w:r>
      <w:r w:rsidRPr="001F1D09">
        <w:t xml:space="preserve"> ст. 217 БК РФ.</w:t>
      </w:r>
    </w:p>
    <w:p w14:paraId="0754D758" w14:textId="77777777" w:rsidR="00E528F8" w:rsidRDefault="00E528F8" w:rsidP="00031FF8">
      <w:pPr>
        <w:ind w:firstLine="680"/>
        <w:jc w:val="center"/>
        <w:rPr>
          <w:b/>
          <w:i/>
        </w:rPr>
      </w:pPr>
    </w:p>
    <w:p w14:paraId="5CD60A0F" w14:textId="77777777" w:rsidR="00817B67" w:rsidRPr="00031FF8" w:rsidRDefault="00817B67" w:rsidP="00031FF8">
      <w:pPr>
        <w:ind w:firstLine="680"/>
        <w:jc w:val="center"/>
        <w:rPr>
          <w:b/>
          <w:i/>
        </w:rPr>
      </w:pPr>
      <w:r w:rsidRPr="00031FF8">
        <w:rPr>
          <w:b/>
          <w:i/>
        </w:rPr>
        <w:t xml:space="preserve">Анализ исполнения бюджетных назначений </w:t>
      </w:r>
      <w:r w:rsidR="003521D4">
        <w:rPr>
          <w:b/>
          <w:i/>
        </w:rPr>
        <w:t>Комитета</w:t>
      </w:r>
      <w:r w:rsidRPr="00031FF8">
        <w:rPr>
          <w:b/>
          <w:i/>
        </w:rPr>
        <w:t xml:space="preserve"> </w:t>
      </w:r>
    </w:p>
    <w:p w14:paraId="1A4CB90B" w14:textId="77777777" w:rsidR="003521D4" w:rsidRPr="00DC343A" w:rsidRDefault="003521D4" w:rsidP="003521D4">
      <w:pPr>
        <w:ind w:firstLine="709"/>
        <w:jc w:val="both"/>
      </w:pPr>
      <w:r w:rsidRPr="00DC343A">
        <w:t xml:space="preserve">Анализ исполнения бюджетных назначений </w:t>
      </w:r>
      <w:r>
        <w:t>Комитета</w:t>
      </w:r>
      <w:r w:rsidRPr="00DC343A">
        <w:t xml:space="preserve"> представлен в таблице.</w:t>
      </w:r>
    </w:p>
    <w:p w14:paraId="0C639B70" w14:textId="77777777" w:rsidR="003521D4" w:rsidRPr="00712566" w:rsidRDefault="003521D4" w:rsidP="003521D4">
      <w:pPr>
        <w:ind w:firstLine="709"/>
        <w:jc w:val="right"/>
        <w:rPr>
          <w:sz w:val="16"/>
          <w:szCs w:val="16"/>
        </w:rPr>
      </w:pPr>
      <w:r>
        <w:rPr>
          <w:sz w:val="16"/>
          <w:szCs w:val="16"/>
        </w:rPr>
        <w:t>тыс.руб.</w:t>
      </w: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2126"/>
        <w:gridCol w:w="993"/>
        <w:gridCol w:w="1134"/>
        <w:gridCol w:w="992"/>
        <w:gridCol w:w="992"/>
        <w:gridCol w:w="851"/>
        <w:gridCol w:w="850"/>
      </w:tblGrid>
      <w:tr w:rsidR="003521D4" w:rsidRPr="00E31190" w14:paraId="0CDF1BAE" w14:textId="77777777" w:rsidTr="003521D4">
        <w:trPr>
          <w:trHeight w:val="255"/>
        </w:trPr>
        <w:tc>
          <w:tcPr>
            <w:tcW w:w="283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4ED341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0B4DF6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2FBABF0B" w14:textId="77777777" w:rsidR="003521D4" w:rsidRPr="00E31190" w:rsidRDefault="003521D4" w:rsidP="003521D4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14:paraId="2A3FD952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color w:val="000000"/>
                <w:sz w:val="16"/>
                <w:szCs w:val="16"/>
              </w:rPr>
              <w:t>Закон об областном бюджете</w:t>
            </w:r>
          </w:p>
          <w:p w14:paraId="6E80EDD6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311CC8" w14:textId="77777777" w:rsidR="003521D4" w:rsidRPr="00E31190" w:rsidRDefault="003521D4" w:rsidP="003521D4">
            <w:pPr>
              <w:ind w:left="-71" w:right="-108"/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Утвержденные бюджетные назначения в росписи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2A102D" w14:textId="77777777" w:rsidR="003521D4" w:rsidRPr="00E31190" w:rsidRDefault="003521D4" w:rsidP="003521D4">
            <w:pPr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BB8149" w14:textId="77777777" w:rsidR="003521D4" w:rsidRPr="00E31190" w:rsidRDefault="003521D4" w:rsidP="003521D4">
            <w:pPr>
              <w:ind w:left="-108" w:right="-108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31190">
              <w:rPr>
                <w:b/>
                <w:i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A5BBFEF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Отклонения</w:t>
            </w:r>
          </w:p>
        </w:tc>
      </w:tr>
      <w:tr w:rsidR="003521D4" w:rsidRPr="00E31190" w14:paraId="324FD041" w14:textId="77777777" w:rsidTr="00AF392B">
        <w:trPr>
          <w:trHeight w:val="665"/>
        </w:trPr>
        <w:tc>
          <w:tcPr>
            <w:tcW w:w="283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358C3E" w14:textId="77777777" w:rsidR="003521D4" w:rsidRPr="00E31190" w:rsidRDefault="003521D4" w:rsidP="003521D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5222E8" w14:textId="77777777" w:rsidR="003521D4" w:rsidRPr="00E31190" w:rsidRDefault="003521D4" w:rsidP="003521D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7D11E5D6" w14:textId="77777777" w:rsidR="003521D4" w:rsidRPr="00E31190" w:rsidRDefault="003521D4" w:rsidP="003521D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AB2E7D" w14:textId="77777777" w:rsidR="003521D4" w:rsidRPr="00E31190" w:rsidRDefault="003521D4" w:rsidP="003521D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23530A" w14:textId="77777777" w:rsidR="003521D4" w:rsidRPr="00E31190" w:rsidRDefault="003521D4" w:rsidP="003521D4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359A79" w14:textId="77777777" w:rsidR="003521D4" w:rsidRPr="00E31190" w:rsidRDefault="003521D4" w:rsidP="003521D4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73E6E6" w14:textId="77777777" w:rsidR="003521D4" w:rsidRPr="00E31190" w:rsidRDefault="003521D4" w:rsidP="003521D4">
            <w:pPr>
              <w:ind w:left="-108" w:right="-108"/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гр.6- гр.4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6E08AD" w14:textId="77777777" w:rsidR="003521D4" w:rsidRPr="00E31190" w:rsidRDefault="003521D4" w:rsidP="003521D4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 xml:space="preserve">% </w:t>
            </w:r>
          </w:p>
        </w:tc>
      </w:tr>
      <w:tr w:rsidR="003521D4" w:rsidRPr="00E31190" w14:paraId="04F4F5AD" w14:textId="77777777" w:rsidTr="003521D4">
        <w:trPr>
          <w:trHeight w:val="77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F52DAC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5F413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7FE1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23A1B3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F0408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A5CA1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D06F64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B4E4689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8</w:t>
            </w:r>
          </w:p>
        </w:tc>
      </w:tr>
      <w:tr w:rsidR="003521D4" w:rsidRPr="00E31190" w14:paraId="1226FB28" w14:textId="77777777" w:rsidTr="003521D4">
        <w:trPr>
          <w:trHeight w:val="77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81A3B9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C72BAB0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70BA8C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148 777,9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B140B6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149 076,0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60C5445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148 731,6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2099FDA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148 489,3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463E4C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-586,7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FD0A3C1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-0,4</w:t>
            </w:r>
          </w:p>
        </w:tc>
      </w:tr>
      <w:tr w:rsidR="003521D4" w:rsidRPr="00E31190" w14:paraId="3CA05C81" w14:textId="77777777" w:rsidTr="003521D4">
        <w:trPr>
          <w:trHeight w:val="77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7DF16A" w14:textId="77777777" w:rsidR="003521D4" w:rsidRPr="00E31190" w:rsidRDefault="003521D4" w:rsidP="003521D4">
            <w:pPr>
              <w:jc w:val="both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A35F14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0400 0000000000 000 000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834793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141 956,0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5DACEA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143 558,6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3BF7708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143 508,5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34648A4" w14:textId="77777777" w:rsidR="003521D4" w:rsidRPr="00E31190" w:rsidRDefault="003521D4" w:rsidP="003521D4">
            <w:pPr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143 266,2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A5DBA81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-292,4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8C8DBAE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-0,2</w:t>
            </w:r>
          </w:p>
        </w:tc>
      </w:tr>
      <w:tr w:rsidR="003521D4" w:rsidRPr="00E31190" w14:paraId="5CFA5AE0" w14:textId="77777777" w:rsidTr="003521D4">
        <w:trPr>
          <w:trHeight w:val="77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09A6D7" w14:textId="77777777" w:rsidR="003521D4" w:rsidRPr="00E31190" w:rsidRDefault="003521D4" w:rsidP="003521D4">
            <w:pPr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 xml:space="preserve">ОБЕСПЕЧЕНИЕ ДЕЯТЕЛЬНОСТИ ГОСУДАРСТВЕННЫХ ОРГАНОВ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052681C" w14:textId="77777777" w:rsidR="003521D4" w:rsidRPr="00E31190" w:rsidRDefault="003521D4" w:rsidP="003521D4">
            <w:pPr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0412 9000000010 000 000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70EA7D" w14:textId="77777777" w:rsidR="003521D4" w:rsidRPr="00E31190" w:rsidRDefault="003521D4" w:rsidP="003521D4">
            <w:pPr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41 922,5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E0A1F8" w14:textId="77777777" w:rsidR="003521D4" w:rsidRPr="00E31190" w:rsidRDefault="003521D4" w:rsidP="003521D4">
            <w:pPr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40 551,6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6B2516D" w14:textId="77777777" w:rsidR="003521D4" w:rsidRPr="00E31190" w:rsidRDefault="003521D4" w:rsidP="003521D4">
            <w:pPr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40 501,5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1EAB47D" w14:textId="77777777" w:rsidR="003521D4" w:rsidRPr="00E31190" w:rsidRDefault="003521D4" w:rsidP="003521D4">
            <w:pPr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40 259,3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41AFCDA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-292,3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A62D7B8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-0,6</w:t>
            </w:r>
          </w:p>
        </w:tc>
      </w:tr>
      <w:tr w:rsidR="003521D4" w:rsidRPr="00E31190" w14:paraId="0E9E42B9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7D2396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Оплата труда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CAEDA9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0412 9000000010 121 211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0C40C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F1D66E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29 993,4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601CBF6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29 993,4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FA9BF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29 940,1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3E5FD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-53,3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DEED64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-0,2</w:t>
            </w:r>
          </w:p>
        </w:tc>
      </w:tr>
      <w:tr w:rsidR="003521D4" w:rsidRPr="00E31190" w14:paraId="70948F21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727524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Прочие выплаты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04E04A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0412 9000000010 122 212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D342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676C2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1 163,9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ACEAD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1 163,9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1BAD9D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1 057,6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43870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-106,3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1A0602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-9,1</w:t>
            </w:r>
          </w:p>
        </w:tc>
      </w:tr>
      <w:tr w:rsidR="003521D4" w:rsidRPr="00E31190" w14:paraId="0710DE09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43C739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Начисление на оплату труда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3E8E47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0412 9000000010 129 213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518F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FB165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8 684,8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594EF4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8 684,8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AD6C2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8 627,2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11B3F2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-57,6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D52A85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-0,7</w:t>
            </w:r>
          </w:p>
        </w:tc>
      </w:tr>
      <w:tr w:rsidR="003521D4" w:rsidRPr="00E31190" w14:paraId="2FE3023E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22BD3D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Услуги по содержанию имущества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8C288F4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0412 9000000010 242 225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0CD08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A8CDB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EE8DD4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7E4AB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605C286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604594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4FE8D424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D9D67F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A069509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0412 9000000010 242 226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05E6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81562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180,7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D1EDE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177,7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9FABE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167,7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937F1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-13,0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B80311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-7,2</w:t>
            </w:r>
          </w:p>
        </w:tc>
      </w:tr>
      <w:tr w:rsidR="003521D4" w:rsidRPr="00E31190" w14:paraId="68462262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1F422B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43A4455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0412 9000000010 242 340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C737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7C7003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60F3C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A76294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19B9B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FF7961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-100,0</w:t>
            </w:r>
          </w:p>
        </w:tc>
      </w:tr>
      <w:tr w:rsidR="003521D4" w:rsidRPr="00E31190" w14:paraId="5D74DAA6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A1F99E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Услуги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F21172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0412 9000000010 244 221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93FD3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E66B0D3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9A7A2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4DDCE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213C0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107A5E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1B0CBE07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F4E792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Прочие работы,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64C100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0412 9000000010 244 226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4D0B9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C2A3F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217,6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18AA66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4DCDF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171,6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0E35E7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DAAC32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-21,1</w:t>
            </w:r>
          </w:p>
        </w:tc>
      </w:tr>
      <w:tr w:rsidR="003521D4" w:rsidRPr="00E31190" w14:paraId="3F78725D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E2E1E4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00CF61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0412 9000000010 244 340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20972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528D2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FCF10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B82CD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9CA83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3ED3E3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-2,6</w:t>
            </w:r>
          </w:p>
        </w:tc>
      </w:tr>
      <w:tr w:rsidR="003521D4" w:rsidRPr="00E31190" w14:paraId="7342D079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C81DF9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Налоги, пошлины и сборы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32982C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0412 9000000010 851 291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4AB1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824B32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2F8B2A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EBB82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05263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79892C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-71,4</w:t>
            </w:r>
          </w:p>
        </w:tc>
      </w:tr>
      <w:tr w:rsidR="003521D4" w:rsidRPr="00E31190" w14:paraId="100B6CF6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44B468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Штрафы за нарушение закон. о налогах и сборах, и страховых взносах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7C9DCC4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0412 9000000010 852 292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26FCA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0B78E6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DDCE7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445AF8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06B85D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7FB557D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7ED6DE57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FD6F6" w14:textId="77777777" w:rsidR="003521D4" w:rsidRPr="00E31190" w:rsidRDefault="003521D4" w:rsidP="003521D4">
            <w:pPr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ОБЕСПЕЧЕНИЕ ДЕЯТЕЛЬНОСТИ ГОСУДАРСТВЕННЫХ ОРГАНОВ (расходы по обязательствам прошлых лет)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4C65AAE" w14:textId="77777777" w:rsidR="003521D4" w:rsidRPr="00E31190" w:rsidRDefault="003521D4" w:rsidP="003521D4">
            <w:pPr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0412 900000001К 000 000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91B1B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85B4732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982,6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C705EF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982,6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E3B6136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982,6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0D4815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39323F2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0,0</w:t>
            </w:r>
          </w:p>
        </w:tc>
      </w:tr>
      <w:tr w:rsidR="003521D4" w:rsidRPr="00E31190" w14:paraId="5D6765B0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1CB13C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Оплата труда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BC80791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0412 9000000010 121 211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D7051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EA2A4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498,9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64BC1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498,9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791619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498,9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5A2C3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15ED03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1C6FD8B5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B4ED53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Прочие выплаты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016191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0412 9000000010 121 212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08DE6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148F06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3AA6B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31A560E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642AE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1CFD01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668E4F90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D94804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Начисление на оплату труда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AC64AB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0412 9000000010 121 213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9EDC3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724F8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305,9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62581E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305,9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DB61D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305,9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4496E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C5EA936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78D24838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8F2412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Работы по содержанию имущества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67C1CC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900000001К 242 225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82814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A7712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AC49D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98CBA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20,2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CA1273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7328983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5712ABE5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29802F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Прочие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275E04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900000001К 242 226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4EC29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E8B7CCE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83FF14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1745B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FDA8E6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95776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357AB40B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259453D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Прочие работы,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C1EEDB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0412 9000000010 244 226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51C2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45F7C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3F97F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B680B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674514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75F137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24626A09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59CE7B" w14:textId="77777777" w:rsidR="003521D4" w:rsidRPr="00E31190" w:rsidRDefault="003521D4" w:rsidP="003521D4">
            <w:pPr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 xml:space="preserve">ПРЕМИАЛЬНЫЕ ВЫПЛАТЫ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3531F45" w14:textId="77777777" w:rsidR="003521D4" w:rsidRPr="00E31190" w:rsidRDefault="003521D4" w:rsidP="003521D4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0412 900000001П 000 000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E38B0F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5A94FD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1 980,9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12A63F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1 980,9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E808DF0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1 980,8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D1FBDD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-0,1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6B838A8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0,0</w:t>
            </w:r>
          </w:p>
        </w:tc>
      </w:tr>
      <w:tr w:rsidR="003521D4" w:rsidRPr="00E31190" w14:paraId="21F591BA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8AAF69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Заработная плата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784EAC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900000001П 121 211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6EFC5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7D2957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1 549,5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BD527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1 549,5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10B342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1 549,5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B9CEA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038E6A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37946A5A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4E4461D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Начисление на оплату труда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62C1F2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900000001П 129 213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7BB71A9B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84A74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11B865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DBA24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431,3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EC6DD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3F4706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4BCFEED6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C0C8E0" w14:textId="77777777" w:rsidR="003521D4" w:rsidRPr="00E31190" w:rsidRDefault="003521D4" w:rsidP="003521D4">
            <w:pPr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СУБСИДИИ ФОНДУ «ПЕРСПЕКТИВНОЕ РАЗВИТИЕ ВОЛГОГРАДСКОЙ ОБЛАСТИ» ДЛЯ ФИНАНСОВОГО ОБЕСПЕЧЕНИЯ ПРОЕКТОВ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E70C79" w14:textId="77777777" w:rsidR="003521D4" w:rsidRPr="00E31190" w:rsidRDefault="003521D4" w:rsidP="003521D4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0412 9900061120 000 000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2BD6424B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100 033,5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BA03E6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100 000,0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C34616D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100 000,0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08A6864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100 000,0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D39D58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9480AB8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0,0</w:t>
            </w:r>
          </w:p>
        </w:tc>
      </w:tr>
      <w:tr w:rsidR="003521D4" w:rsidRPr="00E31190" w14:paraId="21EE2E6E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30A7837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B27BBF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0412 9900061120 634 242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314216D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733FC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100 000,0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61761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100 000,0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CFBA221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100 000,0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877CB0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4C76EAF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7DC104D2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77F95E" w14:textId="77777777" w:rsidR="003521D4" w:rsidRPr="00E31190" w:rsidRDefault="003521D4" w:rsidP="003521D4">
            <w:pPr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 xml:space="preserve">ИСПОЛНЕНИЕ СУДЕБНЫХ АКТОВ РФ И МИРОВЫХ СОГЛАШЕНИЙ ПО ВОЗМЕЩЕНИЮ </w:t>
            </w:r>
            <w:r w:rsidRPr="00E31190">
              <w:rPr>
                <w:i/>
                <w:sz w:val="16"/>
                <w:szCs w:val="16"/>
              </w:rPr>
              <w:lastRenderedPageBreak/>
              <w:t>ПРИЧИНЕННОГО ВРЕДА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A668F6" w14:textId="77777777" w:rsidR="003521D4" w:rsidRPr="00E31190" w:rsidRDefault="003521D4" w:rsidP="003521D4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lastRenderedPageBreak/>
              <w:t>0412 9900080870 831 000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7D1568B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5F8CB9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1A67771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40E28D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43,5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63FED0C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D75DD8C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0,0</w:t>
            </w:r>
          </w:p>
        </w:tc>
      </w:tr>
      <w:tr w:rsidR="003521D4" w:rsidRPr="00E31190" w14:paraId="3724093E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E2D8A2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Иные расходы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9DB1DE" w14:textId="77777777" w:rsidR="003521D4" w:rsidRPr="00E31190" w:rsidRDefault="003521D4" w:rsidP="003521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0412 9900080870 831 296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41BD6498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C8F7FC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DE2D14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F742A63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8AF4CE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BDE3856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0,0</w:t>
            </w:r>
          </w:p>
        </w:tc>
      </w:tr>
      <w:tr w:rsidR="003521D4" w:rsidRPr="00E31190" w14:paraId="529653B5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836CBB" w14:textId="77777777" w:rsidR="003521D4" w:rsidRPr="00E31190" w:rsidRDefault="003521D4" w:rsidP="003521D4">
            <w:pPr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EF40A3" w14:textId="77777777" w:rsidR="003521D4" w:rsidRPr="00E31190" w:rsidRDefault="003521D4" w:rsidP="003521D4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0500 0000000000 000 000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6D8F8D0C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6 821,9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22EB6A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5 517,4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1AE0445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5 223,1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BE69ED7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5 223,1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968546D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-294,3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27BCDE3" w14:textId="77777777" w:rsidR="003521D4" w:rsidRPr="00E31190" w:rsidRDefault="003521D4" w:rsidP="003521D4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-5,3</w:t>
            </w:r>
          </w:p>
        </w:tc>
      </w:tr>
      <w:tr w:rsidR="003521D4" w:rsidRPr="00E31190" w14:paraId="2015AF19" w14:textId="77777777" w:rsidTr="003521D4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C162337" w14:textId="77777777" w:rsidR="003521D4" w:rsidRPr="00E31190" w:rsidRDefault="003521D4" w:rsidP="003521D4">
            <w:pPr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851D45E" w14:textId="77777777" w:rsidR="003521D4" w:rsidRPr="00E31190" w:rsidRDefault="003521D4" w:rsidP="003521D4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0505 9900081390 811 241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664CD677" w14:textId="77777777" w:rsidR="003521D4" w:rsidRPr="00E31190" w:rsidRDefault="003521D4" w:rsidP="003521D4">
            <w:pPr>
              <w:jc w:val="right"/>
              <w:rPr>
                <w:i/>
                <w:sz w:val="16"/>
                <w:szCs w:val="16"/>
              </w:rPr>
            </w:pPr>
            <w:r w:rsidRPr="00E31190">
              <w:rPr>
                <w:i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CCC758A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5 517,4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C5EE99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5 223,1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5F37A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5 223,1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E6D3DE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-294,3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B5AA917" w14:textId="77777777" w:rsidR="003521D4" w:rsidRPr="00E31190" w:rsidRDefault="003521D4" w:rsidP="003521D4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-5,3</w:t>
            </w:r>
          </w:p>
        </w:tc>
      </w:tr>
    </w:tbl>
    <w:p w14:paraId="7AEB2074" w14:textId="77777777" w:rsidR="0087451A" w:rsidRDefault="00523F1A" w:rsidP="00523F1A">
      <w:pPr>
        <w:ind w:firstLine="709"/>
        <w:jc w:val="both"/>
      </w:pPr>
      <w:r w:rsidRPr="00661828">
        <w:t>Неисполнение бюджетных назначений составило 586,7 тыс. руб., или 0,4%</w:t>
      </w:r>
      <w:r w:rsidR="0087451A">
        <w:t>, что</w:t>
      </w:r>
      <w:r w:rsidRPr="00661828">
        <w:t xml:space="preserve"> связано</w:t>
      </w:r>
      <w:r w:rsidR="002148D2">
        <w:t xml:space="preserve"> в основном</w:t>
      </w:r>
      <w:r w:rsidR="0087451A">
        <w:t>:</w:t>
      </w:r>
    </w:p>
    <w:p w14:paraId="29490232" w14:textId="77777777" w:rsidR="002148D2" w:rsidRDefault="002148D2" w:rsidP="00523F1A">
      <w:pPr>
        <w:ind w:firstLine="709"/>
        <w:jc w:val="both"/>
      </w:pPr>
      <w:r>
        <w:t>-с экономией средств, предоставленных на обеспечение деятельности государственных органов, по оплате труда и прочим выплатам с начислениями (исполнение бюджетных назначений по указанным видам расходов составило 99,5%);</w:t>
      </w:r>
    </w:p>
    <w:p w14:paraId="70E5FBF9" w14:textId="77777777" w:rsidR="002148D2" w:rsidRPr="00450BA5" w:rsidRDefault="0087451A" w:rsidP="002148D2">
      <w:pPr>
        <w:ind w:firstLine="709"/>
        <w:jc w:val="both"/>
      </w:pPr>
      <w:r>
        <w:t>-</w:t>
      </w:r>
      <w:r w:rsidR="002148D2">
        <w:t>с не</w:t>
      </w:r>
      <w:r w:rsidR="0019687F">
        <w:t xml:space="preserve">полной </w:t>
      </w:r>
      <w:r w:rsidR="002148D2">
        <w:t xml:space="preserve">востребованностью субсидии МУП «Водопроводно-канализационное хозяйство» городского округа – город Волжский в связи с </w:t>
      </w:r>
      <w:r w:rsidR="0019687F">
        <w:t xml:space="preserve">ее </w:t>
      </w:r>
      <w:r w:rsidR="002148D2">
        <w:t>заявительным характером, исходя из расчета фа</w:t>
      </w:r>
      <w:r w:rsidR="0019687F">
        <w:t xml:space="preserve">ктически недополученных доходов </w:t>
      </w:r>
      <w:r w:rsidR="002148D2">
        <w:t xml:space="preserve">(исполнение </w:t>
      </w:r>
      <w:r w:rsidR="002A5507">
        <w:t>-</w:t>
      </w:r>
      <w:r w:rsidR="002148D2">
        <w:t xml:space="preserve"> 94,6%). </w:t>
      </w:r>
    </w:p>
    <w:p w14:paraId="4200680F" w14:textId="77777777" w:rsidR="00523F1A" w:rsidRPr="00553251" w:rsidRDefault="00523F1A" w:rsidP="00523F1A">
      <w:pPr>
        <w:ind w:firstLine="708"/>
        <w:jc w:val="both"/>
      </w:pPr>
      <w:r w:rsidRPr="00C73596">
        <w:t>В расходах на обеспечение деятельности Комитета наибольший объем занимают расходы</w:t>
      </w:r>
      <w:r>
        <w:t xml:space="preserve"> </w:t>
      </w:r>
      <w:r w:rsidRPr="00553251">
        <w:t xml:space="preserve">по перечислению субсидии фонду «Перспективное развитие Волгоградской области» </w:t>
      </w:r>
      <w:r w:rsidR="00946F8E" w:rsidRPr="00553251">
        <w:t xml:space="preserve">(далее – </w:t>
      </w:r>
      <w:r w:rsidR="00E95C54">
        <w:t>Региональный ф</w:t>
      </w:r>
      <w:r w:rsidR="00946F8E" w:rsidRPr="00553251">
        <w:t>онд)</w:t>
      </w:r>
      <w:r w:rsidR="00946F8E">
        <w:t xml:space="preserve"> </w:t>
      </w:r>
      <w:r w:rsidRPr="00553251">
        <w:t xml:space="preserve">для финансового обеспечения проектов развития совместно с </w:t>
      </w:r>
      <w:r w:rsidR="00E95C54">
        <w:t xml:space="preserve">Государственным </w:t>
      </w:r>
      <w:r w:rsidRPr="00553251">
        <w:t>Фондом развития промышленности (67,4%) и на оплату труда с начислениями (27,3%).</w:t>
      </w:r>
    </w:p>
    <w:p w14:paraId="24A4D0CE" w14:textId="77777777" w:rsidR="00523F1A" w:rsidRPr="00553251" w:rsidRDefault="00523F1A" w:rsidP="00523F1A">
      <w:pPr>
        <w:ind w:firstLine="709"/>
        <w:jc w:val="both"/>
      </w:pPr>
      <w:r w:rsidRPr="00553251">
        <w:t xml:space="preserve">Предоставление субсидии </w:t>
      </w:r>
      <w:r w:rsidR="00E95C54">
        <w:t>Региональному ф</w:t>
      </w:r>
      <w:r w:rsidRPr="00553251">
        <w:t>онду произведено в целях финансового обеспечения затрат, связанных с финансированием проектов развития, направленных на внедрение передовых технологий, создание новых продуктов или организацию импортозамещающих производств в Волгоградской области.</w:t>
      </w:r>
    </w:p>
    <w:p w14:paraId="61EB4201" w14:textId="77777777" w:rsidR="00523F1A" w:rsidRPr="00E31190" w:rsidRDefault="00523F1A" w:rsidP="00523F1A">
      <w:pPr>
        <w:ind w:firstLine="709"/>
        <w:jc w:val="both"/>
      </w:pPr>
      <w:r w:rsidRPr="00553251">
        <w:t xml:space="preserve">Соглашением между Комитетом и </w:t>
      </w:r>
      <w:r w:rsidR="00E95C54">
        <w:t>Региональным ф</w:t>
      </w:r>
      <w:r w:rsidRPr="00553251">
        <w:t xml:space="preserve">ондом от 29.03.2018 №С-1/2018 о предоставлении </w:t>
      </w:r>
      <w:r w:rsidRPr="00E31190">
        <w:t xml:space="preserve">ему субсидии из областного бюджета в 2018 году (далее – Соглашение) размер субсидии определен в сумме 6 000,0 тыс. рублей. Дополнительным соглашением №1 от 22.08.2018 изменен размер субсидии </w:t>
      </w:r>
      <w:r w:rsidR="0019687F">
        <w:t>на</w:t>
      </w:r>
      <w:r w:rsidRPr="00E31190">
        <w:t xml:space="preserve"> 100 000,0 тыс. рублей.</w:t>
      </w:r>
    </w:p>
    <w:p w14:paraId="19501208" w14:textId="77777777" w:rsidR="00523F1A" w:rsidRPr="00553251" w:rsidRDefault="00523F1A" w:rsidP="00523F1A">
      <w:pPr>
        <w:spacing w:line="240" w:lineRule="atLeast"/>
        <w:ind w:firstLine="709"/>
        <w:jc w:val="both"/>
      </w:pPr>
      <w:r w:rsidRPr="00E31190">
        <w:t xml:space="preserve">Порядок определения объема и предоставления в 2018 году субсидии из областного бюджета </w:t>
      </w:r>
      <w:r w:rsidR="00E95C54">
        <w:t xml:space="preserve">Региональному </w:t>
      </w:r>
      <w:r w:rsidRPr="00E31190">
        <w:t>фонду для финансового обеспечения проектов (далее – Порядок) утвержден постановлением Администрации Волгоградской области от 12.03.2018 №104-п.</w:t>
      </w:r>
    </w:p>
    <w:p w14:paraId="2FD08570" w14:textId="77777777" w:rsidR="00523F1A" w:rsidRDefault="00523F1A" w:rsidP="00523F1A">
      <w:pPr>
        <w:ind w:firstLine="709"/>
        <w:jc w:val="both"/>
      </w:pPr>
      <w:r>
        <w:t xml:space="preserve">Перечисление субсидии </w:t>
      </w:r>
      <w:r w:rsidR="0019687F">
        <w:t xml:space="preserve">Региональному фонду </w:t>
      </w:r>
      <w:r>
        <w:t xml:space="preserve">произведено </w:t>
      </w:r>
      <w:r w:rsidR="0019687F">
        <w:t xml:space="preserve">Комитетом платежным поручением от 27.11.2018 №55564 </w:t>
      </w:r>
      <w:r>
        <w:t>в сумме 100 000,0 тыс. руб</w:t>
      </w:r>
      <w:r w:rsidR="00946F8E">
        <w:t>лей</w:t>
      </w:r>
      <w:r>
        <w:t>.</w:t>
      </w:r>
    </w:p>
    <w:p w14:paraId="6D9BECEE" w14:textId="77777777" w:rsidR="00E95C54" w:rsidRDefault="00E95C54" w:rsidP="00E95C54">
      <w:pPr>
        <w:ind w:firstLine="709"/>
        <w:jc w:val="both"/>
      </w:pPr>
      <w:r w:rsidRPr="000874D6">
        <w:t xml:space="preserve">Согласно отчету об осуществлении расходов, источником финансового обеспечения которых является субсидия </w:t>
      </w:r>
      <w:r>
        <w:t xml:space="preserve">в 2018 году за счет средств областного бюджета, </w:t>
      </w:r>
      <w:r w:rsidRPr="000874D6">
        <w:t xml:space="preserve">был представлен </w:t>
      </w:r>
      <w:r>
        <w:t xml:space="preserve">один </w:t>
      </w:r>
      <w:proofErr w:type="spellStart"/>
      <w:r>
        <w:t>займ</w:t>
      </w:r>
      <w:proofErr w:type="spellEnd"/>
      <w:r>
        <w:t xml:space="preserve"> </w:t>
      </w:r>
      <w:r w:rsidRPr="000874D6">
        <w:t>предприяти</w:t>
      </w:r>
      <w:r>
        <w:t>ю</w:t>
      </w:r>
      <w:r w:rsidRPr="000874D6">
        <w:t xml:space="preserve"> </w:t>
      </w:r>
      <w:r>
        <w:t>ОО</w:t>
      </w:r>
      <w:r w:rsidRPr="000874D6">
        <w:t>О «</w:t>
      </w:r>
      <w:r>
        <w:t>Константа-2</w:t>
      </w:r>
      <w:r w:rsidRPr="000874D6">
        <w:t>»</w:t>
      </w:r>
      <w:r>
        <w:t xml:space="preserve"> </w:t>
      </w:r>
      <w:r w:rsidRPr="000874D6">
        <w:t xml:space="preserve">на сумму </w:t>
      </w:r>
      <w:r>
        <w:t>6 750,0</w:t>
      </w:r>
      <w:r w:rsidRPr="000874D6">
        <w:t xml:space="preserve"> тыс.</w:t>
      </w:r>
      <w:r>
        <w:t xml:space="preserve"> </w:t>
      </w:r>
      <w:r w:rsidRPr="000874D6">
        <w:t>руб</w:t>
      </w:r>
      <w:r>
        <w:t>лей</w:t>
      </w:r>
      <w:r w:rsidRPr="000874D6">
        <w:t>.</w:t>
      </w:r>
      <w:r>
        <w:t xml:space="preserve"> </w:t>
      </w:r>
    </w:p>
    <w:p w14:paraId="11DD5F19" w14:textId="77777777" w:rsidR="0019687F" w:rsidRDefault="0019687F" w:rsidP="0019687F">
      <w:pPr>
        <w:ind w:firstLine="709"/>
        <w:jc w:val="both"/>
      </w:pPr>
      <w:r>
        <w:t>О</w:t>
      </w:r>
      <w:r w:rsidRPr="000874D6">
        <w:t xml:space="preserve">статок неиспользованных целевых средств </w:t>
      </w:r>
      <w:r>
        <w:t xml:space="preserve">в сумме 93 250,0 тыс. руб. </w:t>
      </w:r>
      <w:r w:rsidRPr="00213636">
        <w:t>был перечислен в доход бюджета Волгоградской области платежным поручением №2 от 30.01.2019.</w:t>
      </w:r>
    </w:p>
    <w:p w14:paraId="749606A3" w14:textId="77777777" w:rsidR="00E95C54" w:rsidRDefault="004563E5" w:rsidP="00523F1A">
      <w:pPr>
        <w:ind w:firstLine="709"/>
        <w:jc w:val="both"/>
      </w:pPr>
      <w:r>
        <w:t>Комитетом в соответствии с Порядком установлен показатель результативности использования субсидии</w:t>
      </w:r>
      <w:r w:rsidRPr="00773B26">
        <w:t xml:space="preserve"> </w:t>
      </w:r>
      <w:r w:rsidR="0019687F">
        <w:t xml:space="preserve">Региональным фондом </w:t>
      </w:r>
      <w:r>
        <w:t xml:space="preserve">в виде количества выданных займов - </w:t>
      </w:r>
      <w:r w:rsidRPr="0096342C">
        <w:t>не менее 1 займа.</w:t>
      </w:r>
    </w:p>
    <w:p w14:paraId="3A89A323" w14:textId="77777777" w:rsidR="00523F1A" w:rsidRDefault="00523F1A" w:rsidP="00523F1A">
      <w:pPr>
        <w:ind w:firstLine="708"/>
        <w:jc w:val="both"/>
      </w:pPr>
      <w:r>
        <w:t xml:space="preserve">Согласно отчету о целевых показателях результативности использования субсидии, предоставленной </w:t>
      </w:r>
      <w:r w:rsidR="007B64F3">
        <w:t>Реги</w:t>
      </w:r>
      <w:r w:rsidR="00F3525C">
        <w:t>ональному ф</w:t>
      </w:r>
      <w:r>
        <w:t>онду в 2018 году</w:t>
      </w:r>
      <w:r w:rsidR="003F1F62">
        <w:t>,</w:t>
      </w:r>
      <w:r>
        <w:t xml:space="preserve"> достижение вышеуказанного целевого показателя составило 100%, в то время как использование средств субсидии, полученной </w:t>
      </w:r>
      <w:r w:rsidR="003F1F62">
        <w:t>Региональным ф</w:t>
      </w:r>
      <w:r>
        <w:t>ондом в 2018 году</w:t>
      </w:r>
      <w:r w:rsidR="003F1F62">
        <w:t>,</w:t>
      </w:r>
      <w:r>
        <w:t xml:space="preserve"> составило 6,8% от о</w:t>
      </w:r>
      <w:r w:rsidR="00F3525C">
        <w:t>бщего объема полученных средств, что свидетельствует о</w:t>
      </w:r>
      <w:r w:rsidR="007F6E58">
        <w:t xml:space="preserve">б отсутствии взаимосвязи объема </w:t>
      </w:r>
      <w:r w:rsidR="001D64D0">
        <w:t>выданных средств и количества выданных займов.</w:t>
      </w:r>
    </w:p>
    <w:p w14:paraId="4D443C5F" w14:textId="77777777" w:rsidR="002D432E" w:rsidRPr="004775A4" w:rsidRDefault="002D432E" w:rsidP="002D432E">
      <w:pPr>
        <w:ind w:firstLine="680"/>
        <w:jc w:val="both"/>
      </w:pPr>
      <w:r w:rsidRPr="004775A4">
        <w:t xml:space="preserve">Согласно Отчету о движении денежных средств (ф. 0503123) по строке 302 «Выбытия по текущим операциям за счет уплаты штрафов за нарушение законодательства о налогах и сборах, законодательствах о страховых взносах» отражены пени и штрафы по страховым взносам, пени по налогу на доходы физических лиц и налогу на имущество организаций в </w:t>
      </w:r>
      <w:r w:rsidRPr="004775A4">
        <w:lastRenderedPageBreak/>
        <w:t>размере 3,5 тыс. руб., оплаченные  в результате несвоевременного финансирования заявок на оплату расходов.</w:t>
      </w:r>
    </w:p>
    <w:p w14:paraId="4DCCED5D" w14:textId="77777777" w:rsidR="002D432E" w:rsidRPr="001C5BB7" w:rsidRDefault="002D432E" w:rsidP="002D432E">
      <w:pPr>
        <w:ind w:firstLine="680"/>
        <w:jc w:val="both"/>
        <w:rPr>
          <w:iCs/>
        </w:rPr>
      </w:pPr>
      <w:r w:rsidRPr="004775A4">
        <w:t xml:space="preserve">В результате увеличиваются расходы областного бюджета в виде оплаты судебных издержек, пени и штрафов в бюджет и государственные внебюджетные фонды, которые не отвечают принципу эффективности </w:t>
      </w:r>
      <w:r w:rsidRPr="004775A4">
        <w:rPr>
          <w:iCs/>
        </w:rPr>
        <w:t>использования бюджетных средств, определенному ст. 34 БК РФ.</w:t>
      </w:r>
    </w:p>
    <w:p w14:paraId="49BAF55B" w14:textId="77777777" w:rsidR="00E033F0" w:rsidRPr="00031FF8" w:rsidRDefault="00E033F0" w:rsidP="00031FF8">
      <w:pPr>
        <w:ind w:firstLine="567"/>
        <w:jc w:val="center"/>
        <w:rPr>
          <w:b/>
          <w:i/>
        </w:rPr>
      </w:pPr>
      <w:r w:rsidRPr="00031FF8">
        <w:rPr>
          <w:b/>
          <w:i/>
        </w:rPr>
        <w:t xml:space="preserve">Сравнительный анализ показателей исполнения расходов за 2018 год по сравнению с 2017 годом </w:t>
      </w:r>
    </w:p>
    <w:p w14:paraId="24638578" w14:textId="77777777" w:rsidR="00523F1A" w:rsidRPr="00712566" w:rsidRDefault="00523F1A" w:rsidP="00523F1A">
      <w:pPr>
        <w:ind w:firstLine="708"/>
        <w:jc w:val="right"/>
        <w:rPr>
          <w:sz w:val="16"/>
          <w:szCs w:val="16"/>
        </w:rPr>
      </w:pPr>
      <w:r w:rsidRPr="00712566">
        <w:rPr>
          <w:sz w:val="16"/>
          <w:szCs w:val="16"/>
        </w:rPr>
        <w:t>тыс. руб.</w:t>
      </w:r>
    </w:p>
    <w:tbl>
      <w:tblPr>
        <w:tblW w:w="10361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1134"/>
        <w:gridCol w:w="993"/>
        <w:gridCol w:w="1134"/>
        <w:gridCol w:w="1038"/>
      </w:tblGrid>
      <w:tr w:rsidR="00523F1A" w:rsidRPr="00E31190" w14:paraId="4F83034E" w14:textId="77777777" w:rsidTr="0054208B">
        <w:trPr>
          <w:trHeight w:val="60"/>
        </w:trPr>
        <w:tc>
          <w:tcPr>
            <w:tcW w:w="4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904052B" w14:textId="77777777" w:rsidR="00523F1A" w:rsidRPr="00E31190" w:rsidRDefault="00523F1A" w:rsidP="0054208B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A46FB6B" w14:textId="77777777" w:rsidR="00523F1A" w:rsidRPr="00E31190" w:rsidRDefault="00523F1A" w:rsidP="0054208B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0280593" w14:textId="77777777" w:rsidR="00523F1A" w:rsidRPr="00E31190" w:rsidRDefault="00523F1A" w:rsidP="0054208B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6A99BE" w14:textId="77777777" w:rsidR="00523F1A" w:rsidRPr="00E31190" w:rsidRDefault="00523F1A" w:rsidP="0054208B">
            <w:pPr>
              <w:jc w:val="center"/>
              <w:rPr>
                <w:b/>
                <w:i/>
                <w:sz w:val="16"/>
                <w:szCs w:val="16"/>
              </w:rPr>
            </w:pPr>
            <w:r w:rsidRPr="00E31190">
              <w:rPr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217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bottom"/>
            <w:hideMark/>
          </w:tcPr>
          <w:p w14:paraId="2698D07D" w14:textId="77777777" w:rsidR="00523F1A" w:rsidRPr="00E31190" w:rsidRDefault="00523F1A" w:rsidP="0054208B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31190">
              <w:rPr>
                <w:b/>
                <w:bCs/>
                <w:i/>
                <w:sz w:val="16"/>
                <w:szCs w:val="16"/>
              </w:rPr>
              <w:t>Увеличение, снижение (-)</w:t>
            </w:r>
          </w:p>
        </w:tc>
      </w:tr>
      <w:tr w:rsidR="00523F1A" w:rsidRPr="00E31190" w14:paraId="68C04DB1" w14:textId="77777777" w:rsidTr="0054208B">
        <w:trPr>
          <w:trHeight w:val="60"/>
        </w:trPr>
        <w:tc>
          <w:tcPr>
            <w:tcW w:w="45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2B481" w14:textId="77777777" w:rsidR="00523F1A" w:rsidRPr="00E31190" w:rsidRDefault="00523F1A" w:rsidP="0054208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73ABA6" w14:textId="77777777" w:rsidR="00523F1A" w:rsidRPr="00E31190" w:rsidRDefault="00523F1A" w:rsidP="0054208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68D09FF" w14:textId="77777777" w:rsidR="00523F1A" w:rsidRPr="00E31190" w:rsidRDefault="00523F1A" w:rsidP="0054208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C55DDE" w14:textId="77777777" w:rsidR="00523F1A" w:rsidRPr="00E31190" w:rsidRDefault="00523F1A" w:rsidP="0054208B">
            <w:pPr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3DAEEC82" w14:textId="77777777" w:rsidR="00523F1A" w:rsidRPr="00E31190" w:rsidRDefault="00523F1A" w:rsidP="0054208B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31190">
              <w:rPr>
                <w:b/>
                <w:bCs/>
                <w:i/>
                <w:sz w:val="16"/>
                <w:szCs w:val="16"/>
              </w:rPr>
              <w:t>тыс. руб.</w:t>
            </w:r>
          </w:p>
        </w:tc>
        <w:tc>
          <w:tcPr>
            <w:tcW w:w="103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14:paraId="7AB40F6A" w14:textId="77777777" w:rsidR="00523F1A" w:rsidRPr="00E31190" w:rsidRDefault="00523F1A" w:rsidP="0054208B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E31190">
              <w:rPr>
                <w:b/>
                <w:bCs/>
                <w:i/>
                <w:sz w:val="16"/>
                <w:szCs w:val="16"/>
              </w:rPr>
              <w:t>%</w:t>
            </w:r>
          </w:p>
        </w:tc>
      </w:tr>
      <w:tr w:rsidR="00523F1A" w:rsidRPr="00E31190" w14:paraId="5F2FD2A8" w14:textId="77777777" w:rsidTr="0054208B">
        <w:trPr>
          <w:trHeight w:val="60"/>
        </w:trPr>
        <w:tc>
          <w:tcPr>
            <w:tcW w:w="45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66A1" w14:textId="77777777" w:rsidR="00523F1A" w:rsidRPr="00E31190" w:rsidRDefault="00523F1A" w:rsidP="0054208B">
            <w:pPr>
              <w:jc w:val="both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F478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9275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101 872,9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7DE0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148 489,3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DF74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46 616,4</w:t>
            </w:r>
          </w:p>
        </w:tc>
        <w:tc>
          <w:tcPr>
            <w:tcW w:w="103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6A4041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45,8</w:t>
            </w:r>
          </w:p>
        </w:tc>
      </w:tr>
      <w:tr w:rsidR="00523F1A" w:rsidRPr="00E31190" w14:paraId="76742A95" w14:textId="77777777" w:rsidTr="0054208B">
        <w:trPr>
          <w:trHeight w:val="60"/>
        </w:trPr>
        <w:tc>
          <w:tcPr>
            <w:tcW w:w="45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5717" w14:textId="77777777" w:rsidR="00523F1A" w:rsidRPr="00E31190" w:rsidRDefault="00523F1A" w:rsidP="0054208B">
            <w:pPr>
              <w:jc w:val="both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E1F3" w14:textId="77777777" w:rsidR="00523F1A" w:rsidRPr="00E31190" w:rsidRDefault="00523F1A" w:rsidP="0054208B">
            <w:pPr>
              <w:jc w:val="center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04 00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03E4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95 353,2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08C8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143 266,2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E161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47 913,0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0A148D6" w14:textId="77777777" w:rsidR="00523F1A" w:rsidRPr="00E31190" w:rsidRDefault="00523F1A" w:rsidP="0054208B">
            <w:pPr>
              <w:jc w:val="right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50,3</w:t>
            </w:r>
          </w:p>
        </w:tc>
      </w:tr>
      <w:tr w:rsidR="00523F1A" w:rsidRPr="00E31190" w14:paraId="4D5CE63C" w14:textId="77777777" w:rsidTr="0054208B">
        <w:trPr>
          <w:trHeight w:val="60"/>
        </w:trPr>
        <w:tc>
          <w:tcPr>
            <w:tcW w:w="45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853F" w14:textId="77777777" w:rsidR="00523F1A" w:rsidRPr="00E31190" w:rsidRDefault="00523F1A" w:rsidP="0054208B">
            <w:pPr>
              <w:jc w:val="both"/>
              <w:rPr>
                <w:sz w:val="16"/>
                <w:szCs w:val="16"/>
              </w:rPr>
            </w:pPr>
            <w:proofErr w:type="spellStart"/>
            <w:r w:rsidRPr="00E31190">
              <w:rPr>
                <w:sz w:val="16"/>
                <w:szCs w:val="16"/>
              </w:rPr>
              <w:t>Непрограммые</w:t>
            </w:r>
            <w:proofErr w:type="spellEnd"/>
            <w:r w:rsidRPr="00E31190">
              <w:rPr>
                <w:sz w:val="16"/>
                <w:szCs w:val="16"/>
              </w:rPr>
              <w:t xml:space="preserve"> направления обеспечения деятельности государственных органов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AA1D" w14:textId="77777777" w:rsidR="00523F1A" w:rsidRPr="00E31190" w:rsidRDefault="00523F1A" w:rsidP="0054208B">
            <w:pPr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0412 90  0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E769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40 353,2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8EEC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40 259,3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D2A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 xml:space="preserve">-93,9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CACE66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-0,2%</w:t>
            </w:r>
          </w:p>
        </w:tc>
      </w:tr>
      <w:tr w:rsidR="00523F1A" w:rsidRPr="00E31190" w14:paraId="00A01158" w14:textId="77777777" w:rsidTr="0054208B">
        <w:trPr>
          <w:trHeight w:val="60"/>
        </w:trPr>
        <w:tc>
          <w:tcPr>
            <w:tcW w:w="450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7B10" w14:textId="77777777" w:rsidR="00523F1A" w:rsidRPr="00E31190" w:rsidRDefault="00523F1A" w:rsidP="0054208B">
            <w:pPr>
              <w:jc w:val="both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Непрограммные расходы государственных органов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0AE7" w14:textId="77777777" w:rsidR="00523F1A" w:rsidRPr="00E31190" w:rsidRDefault="00523F1A" w:rsidP="0054208B">
            <w:pPr>
              <w:jc w:val="center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0412 99 0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FD96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55 000,0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29C6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794E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45 000,0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7EB8026" w14:textId="77777777" w:rsidR="00523F1A" w:rsidRPr="00E31190" w:rsidRDefault="00523F1A" w:rsidP="0054208B">
            <w:pPr>
              <w:jc w:val="right"/>
              <w:rPr>
                <w:sz w:val="16"/>
                <w:szCs w:val="16"/>
              </w:rPr>
            </w:pPr>
            <w:r w:rsidRPr="00E31190">
              <w:rPr>
                <w:sz w:val="16"/>
                <w:szCs w:val="16"/>
              </w:rPr>
              <w:t>81,8%</w:t>
            </w:r>
          </w:p>
        </w:tc>
      </w:tr>
      <w:tr w:rsidR="00523F1A" w:rsidRPr="00E31190" w14:paraId="4C40164D" w14:textId="77777777" w:rsidTr="0054208B">
        <w:trPr>
          <w:trHeight w:val="60"/>
        </w:trPr>
        <w:tc>
          <w:tcPr>
            <w:tcW w:w="450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00CA" w14:textId="77777777" w:rsidR="00523F1A" w:rsidRPr="00E31190" w:rsidRDefault="00523F1A" w:rsidP="0054208B">
            <w:pPr>
              <w:jc w:val="both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F21E" w14:textId="77777777" w:rsidR="00523F1A" w:rsidRPr="00E31190" w:rsidRDefault="00523F1A" w:rsidP="0054208B">
            <w:pPr>
              <w:jc w:val="center"/>
              <w:rPr>
                <w:b/>
                <w:bCs/>
                <w:sz w:val="16"/>
                <w:szCs w:val="16"/>
              </w:rPr>
            </w:pPr>
            <w:r w:rsidRPr="00E31190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38BC" w14:textId="77777777" w:rsidR="00523F1A" w:rsidRPr="00E31190" w:rsidRDefault="00523F1A" w:rsidP="0054208B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6 519,7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5F99" w14:textId="77777777" w:rsidR="00523F1A" w:rsidRPr="00E31190" w:rsidRDefault="00523F1A" w:rsidP="0054208B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5 223,1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43DD" w14:textId="77777777" w:rsidR="00523F1A" w:rsidRPr="00E31190" w:rsidRDefault="00523F1A" w:rsidP="0054208B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-1 296,6</w:t>
            </w:r>
          </w:p>
        </w:tc>
        <w:tc>
          <w:tcPr>
            <w:tcW w:w="103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0E5E30" w14:textId="77777777" w:rsidR="00523F1A" w:rsidRPr="00E31190" w:rsidRDefault="00523F1A" w:rsidP="0054208B">
            <w:pPr>
              <w:jc w:val="right"/>
              <w:rPr>
                <w:b/>
                <w:sz w:val="16"/>
                <w:szCs w:val="16"/>
              </w:rPr>
            </w:pPr>
            <w:r w:rsidRPr="00E31190">
              <w:rPr>
                <w:b/>
                <w:sz w:val="16"/>
                <w:szCs w:val="16"/>
              </w:rPr>
              <w:t>-19,9%</w:t>
            </w:r>
          </w:p>
        </w:tc>
      </w:tr>
    </w:tbl>
    <w:p w14:paraId="51A47105" w14:textId="77777777" w:rsidR="00523F1A" w:rsidRPr="00863072" w:rsidRDefault="00523F1A" w:rsidP="00523F1A">
      <w:pPr>
        <w:ind w:firstLine="708"/>
        <w:jc w:val="both"/>
        <w:rPr>
          <w:b/>
        </w:rPr>
      </w:pPr>
      <w:r w:rsidRPr="00A667AA">
        <w:t>Как видно из данной таблицы, кассовые расходы Комитета в 201</w:t>
      </w:r>
      <w:r>
        <w:t>8</w:t>
      </w:r>
      <w:r w:rsidRPr="00A667AA">
        <w:t xml:space="preserve"> году увеличились по о</w:t>
      </w:r>
      <w:r>
        <w:t xml:space="preserve">тношению к 2017 году на 46 616,4,8 тыс. руб., или на 45,8% </w:t>
      </w:r>
      <w:r w:rsidRPr="004E0AF9">
        <w:t xml:space="preserve">в связи с увеличением </w:t>
      </w:r>
      <w:r w:rsidRPr="00EF43A5">
        <w:t xml:space="preserve">бюджетных ассигнований, предусмотренных на выплату субсидии </w:t>
      </w:r>
      <w:r w:rsidR="00F3525C">
        <w:t>Региональному ф</w:t>
      </w:r>
      <w:r w:rsidRPr="00EF43A5">
        <w:t>онду для финансового обеспечени</w:t>
      </w:r>
      <w:r w:rsidR="00F3525C">
        <w:t xml:space="preserve">я проектов развития совместно с Государственным </w:t>
      </w:r>
      <w:r w:rsidRPr="00EF43A5">
        <w:t>Ф</w:t>
      </w:r>
      <w:r w:rsidR="00F3525C">
        <w:t>ондом развития промышленности</w:t>
      </w:r>
      <w:r w:rsidRPr="00EF43A5">
        <w:t xml:space="preserve"> на 45 000,0 тыс. рублей.</w:t>
      </w:r>
      <w:r>
        <w:t xml:space="preserve"> </w:t>
      </w:r>
    </w:p>
    <w:p w14:paraId="2C90BFFC" w14:textId="77777777" w:rsidR="00523F1A" w:rsidRDefault="00523F1A" w:rsidP="0004294A">
      <w:pPr>
        <w:autoSpaceDE w:val="0"/>
        <w:ind w:firstLine="680"/>
        <w:contextualSpacing/>
        <w:jc w:val="center"/>
        <w:rPr>
          <w:b/>
          <w:i/>
        </w:rPr>
      </w:pPr>
    </w:p>
    <w:p w14:paraId="4821E0FE" w14:textId="77777777" w:rsidR="0004294A" w:rsidRPr="00D95AFB" w:rsidRDefault="0004294A" w:rsidP="0004294A">
      <w:pPr>
        <w:autoSpaceDE w:val="0"/>
        <w:ind w:firstLine="680"/>
        <w:contextualSpacing/>
        <w:jc w:val="center"/>
        <w:rPr>
          <w:b/>
          <w:i/>
        </w:rPr>
      </w:pPr>
      <w:r w:rsidRPr="00D95AFB">
        <w:rPr>
          <w:b/>
          <w:i/>
        </w:rPr>
        <w:t>Динамика изменения дебиторской и кредиторской задолженностей</w:t>
      </w:r>
    </w:p>
    <w:p w14:paraId="56C13DD3" w14:textId="77777777" w:rsidR="00523F1A" w:rsidRPr="006F184F" w:rsidRDefault="00523F1A" w:rsidP="00523F1A">
      <w:pPr>
        <w:ind w:firstLine="567"/>
        <w:jc w:val="both"/>
      </w:pPr>
      <w:r w:rsidRPr="006F184F">
        <w:t>Информация о динамике дебиторской и кредиторской задолженности в 201</w:t>
      </w:r>
      <w:r>
        <w:t>8</w:t>
      </w:r>
      <w:r w:rsidRPr="006F184F">
        <w:t xml:space="preserve"> году приведена в следующей таблице</w:t>
      </w:r>
    </w:p>
    <w:p w14:paraId="4E6DA16A" w14:textId="77777777" w:rsidR="00523F1A" w:rsidRPr="00EA46FF" w:rsidRDefault="00523F1A" w:rsidP="00523F1A">
      <w:pPr>
        <w:ind w:left="707" w:firstLine="709"/>
        <w:jc w:val="center"/>
        <w:rPr>
          <w:sz w:val="16"/>
          <w:szCs w:val="16"/>
        </w:rPr>
      </w:pPr>
      <w:r w:rsidRPr="00EA46FF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EA46FF">
        <w:rPr>
          <w:sz w:val="16"/>
          <w:szCs w:val="16"/>
        </w:rPr>
        <w:t xml:space="preserve"> тыс. руб.</w:t>
      </w:r>
    </w:p>
    <w:tbl>
      <w:tblPr>
        <w:tblW w:w="959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8"/>
        <w:gridCol w:w="1318"/>
        <w:gridCol w:w="1277"/>
        <w:gridCol w:w="1343"/>
        <w:gridCol w:w="1281"/>
      </w:tblGrid>
      <w:tr w:rsidR="00523F1A" w:rsidRPr="00A522C5" w14:paraId="7BEE0131" w14:textId="77777777" w:rsidTr="0054208B">
        <w:trPr>
          <w:trHeight w:val="20"/>
          <w:jc w:val="center"/>
        </w:trPr>
        <w:tc>
          <w:tcPr>
            <w:tcW w:w="437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D65093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A46FF">
              <w:rPr>
                <w:b/>
                <w:i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5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DDF4E9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A46FF">
              <w:rPr>
                <w:b/>
                <w:bCs/>
                <w:i/>
                <w:color w:val="000000"/>
                <w:sz w:val="18"/>
                <w:szCs w:val="18"/>
              </w:rPr>
              <w:t>Данные о задолженности</w:t>
            </w:r>
          </w:p>
        </w:tc>
        <w:tc>
          <w:tcPr>
            <w:tcW w:w="262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0982DD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A46FF">
              <w:rPr>
                <w:b/>
                <w:i/>
                <w:sz w:val="20"/>
                <w:szCs w:val="20"/>
                <w:lang w:eastAsia="en-US"/>
              </w:rPr>
              <w:t>Отклонение</w:t>
            </w:r>
          </w:p>
        </w:tc>
      </w:tr>
      <w:tr w:rsidR="00523F1A" w:rsidRPr="00A522C5" w14:paraId="33116D77" w14:textId="77777777" w:rsidTr="0054208B">
        <w:trPr>
          <w:trHeight w:val="20"/>
          <w:jc w:val="center"/>
        </w:trPr>
        <w:tc>
          <w:tcPr>
            <w:tcW w:w="437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B0BBBE" w14:textId="77777777" w:rsidR="00523F1A" w:rsidRPr="00EA46FF" w:rsidRDefault="00523F1A" w:rsidP="0054208B">
            <w:pPr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B1F6D79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  <w:lang w:eastAsia="en-US"/>
              </w:rPr>
            </w:pPr>
            <w:r w:rsidRPr="00EA46FF">
              <w:rPr>
                <w:b/>
                <w:bCs/>
                <w:i/>
                <w:sz w:val="16"/>
                <w:szCs w:val="16"/>
                <w:lang w:eastAsia="en-US"/>
              </w:rPr>
              <w:t xml:space="preserve">на </w:t>
            </w:r>
          </w:p>
          <w:p w14:paraId="3FB781C4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EA46FF">
              <w:rPr>
                <w:b/>
                <w:bCs/>
                <w:i/>
                <w:sz w:val="16"/>
                <w:szCs w:val="16"/>
                <w:lang w:eastAsia="en-US"/>
              </w:rPr>
              <w:t>31.12.17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FA08A0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bCs/>
                <w:i/>
                <w:sz w:val="16"/>
                <w:szCs w:val="16"/>
                <w:lang w:eastAsia="en-US"/>
              </w:rPr>
            </w:pPr>
            <w:r w:rsidRPr="00EA46FF">
              <w:rPr>
                <w:b/>
                <w:bCs/>
                <w:i/>
                <w:sz w:val="16"/>
                <w:szCs w:val="16"/>
                <w:lang w:eastAsia="en-US"/>
              </w:rPr>
              <w:t xml:space="preserve">на </w:t>
            </w:r>
          </w:p>
          <w:p w14:paraId="7C29ECD0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 w:rsidRPr="00EA46FF">
              <w:rPr>
                <w:b/>
                <w:bCs/>
                <w:i/>
                <w:sz w:val="16"/>
                <w:szCs w:val="16"/>
                <w:lang w:eastAsia="en-US"/>
              </w:rPr>
              <w:t>31.12.18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6EF027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A46FF">
              <w:rPr>
                <w:b/>
                <w:bCs/>
                <w:i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000D78" w14:textId="77777777" w:rsidR="00523F1A" w:rsidRPr="00EA46FF" w:rsidRDefault="00523F1A" w:rsidP="0054208B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A46FF">
              <w:rPr>
                <w:b/>
                <w:bCs/>
                <w:i/>
                <w:sz w:val="20"/>
                <w:szCs w:val="20"/>
                <w:lang w:eastAsia="en-US"/>
              </w:rPr>
              <w:t>в % (раз)</w:t>
            </w:r>
          </w:p>
        </w:tc>
      </w:tr>
      <w:tr w:rsidR="00523F1A" w:rsidRPr="00A522C5" w14:paraId="5447BD12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142E6" w14:textId="77777777" w:rsidR="00523F1A" w:rsidRPr="0021659E" w:rsidRDefault="00523F1A" w:rsidP="0054208B">
            <w:pPr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659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Дебиторская задолженность, в т.ч.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905522" w14:textId="77777777" w:rsidR="00523F1A" w:rsidRPr="0021659E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21659E">
              <w:rPr>
                <w:sz w:val="20"/>
                <w:szCs w:val="20"/>
                <w:lang w:eastAsia="en-US"/>
              </w:rPr>
              <w:t>19 012,3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1EE28C" w14:textId="77777777" w:rsidR="00523F1A" w:rsidRPr="0021659E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  <w:r w:rsidRPr="0021659E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256</w:t>
            </w:r>
            <w:r w:rsidRPr="0021659E">
              <w:rPr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615F5" w14:textId="77777777" w:rsidR="00523F1A" w:rsidRPr="0021659E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74 244,0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17E55703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5 раз</w:t>
            </w:r>
          </w:p>
        </w:tc>
      </w:tr>
      <w:tr w:rsidR="00523F1A" w:rsidRPr="00A522C5" w14:paraId="7792B623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D311B" w14:textId="77777777" w:rsidR="00523F1A" w:rsidRPr="0021659E" w:rsidRDefault="00523F1A" w:rsidP="0054208B">
            <w:pPr>
              <w:spacing w:line="276" w:lineRule="auto"/>
              <w:jc w:val="both"/>
              <w:rPr>
                <w:bCs/>
                <w:iCs/>
                <w:sz w:val="20"/>
                <w:szCs w:val="20"/>
                <w:lang w:eastAsia="en-US"/>
              </w:rPr>
            </w:pPr>
            <w:r w:rsidRPr="0021659E">
              <w:rPr>
                <w:bCs/>
                <w:iCs/>
                <w:sz w:val="20"/>
                <w:szCs w:val="20"/>
                <w:lang w:eastAsia="en-US"/>
              </w:rPr>
              <w:t xml:space="preserve">Расчеты по доходам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C1C348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Pr="00966C0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B6D7F45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Pr="00966C0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832F0" w14:textId="77777777" w:rsidR="00523F1A" w:rsidRPr="0021659E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7F86F5DA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523F1A" w:rsidRPr="00A522C5" w14:paraId="2DC76C90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245FD" w14:textId="77777777" w:rsidR="00523F1A" w:rsidRPr="0021659E" w:rsidRDefault="00523F1A" w:rsidP="005420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1659E">
              <w:rPr>
                <w:sz w:val="20"/>
                <w:szCs w:val="20"/>
                <w:lang w:eastAsia="en-US"/>
              </w:rPr>
              <w:t>Расчеты по выданным авансам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F23DCB2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966C0D">
              <w:rPr>
                <w:sz w:val="20"/>
                <w:szCs w:val="20"/>
                <w:lang w:eastAsia="en-US"/>
              </w:rPr>
              <w:t>18 987,3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D64DB7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  <w:r w:rsidRPr="00966C0D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251</w:t>
            </w:r>
            <w:r w:rsidRPr="00966C0D">
              <w:rPr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03008" w14:textId="77777777" w:rsidR="00523F1A" w:rsidRPr="0021659E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74 264,0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27EF98D8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4,9 раза</w:t>
            </w:r>
          </w:p>
        </w:tc>
      </w:tr>
      <w:tr w:rsidR="00523F1A" w:rsidRPr="00A522C5" w14:paraId="728AA83C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C9ED6" w14:textId="77777777" w:rsidR="00523F1A" w:rsidRPr="0021659E" w:rsidRDefault="00523F1A" w:rsidP="005420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Расчеты по ущербу и иным доходам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1865F5E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B057B02" w14:textId="77777777" w:rsidR="00523F1A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CB7BF" w14:textId="77777777" w:rsidR="00523F1A" w:rsidRPr="0021659E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7631E0D1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23F1A" w:rsidRPr="00A522C5" w14:paraId="3B92435B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4FECE" w14:textId="77777777" w:rsidR="00523F1A" w:rsidRPr="0021659E" w:rsidRDefault="00523F1A" w:rsidP="005420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1659E">
              <w:rPr>
                <w:sz w:val="20"/>
                <w:szCs w:val="20"/>
                <w:lang w:eastAsia="en-US"/>
              </w:rPr>
              <w:t>Расчеты по платежам в бюджеты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900C29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966C0D"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2F6D3F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Pr="00966C0D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EB006" w14:textId="77777777" w:rsidR="00523F1A" w:rsidRPr="0021659E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-25,0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6B33C17A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-100,0</w:t>
            </w:r>
          </w:p>
        </w:tc>
      </w:tr>
      <w:tr w:rsidR="00523F1A" w:rsidRPr="00A522C5" w14:paraId="08426F37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ED265" w14:textId="77777777" w:rsidR="00523F1A" w:rsidRPr="0021659E" w:rsidRDefault="00523F1A" w:rsidP="0054208B">
            <w:pPr>
              <w:spacing w:line="276" w:lineRule="auto"/>
              <w:jc w:val="both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1659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Кредиторская задолженность, в т.ч.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A72D1" w14:textId="77777777" w:rsidR="00523F1A" w:rsidRPr="0021659E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2 380,9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2374CB" w14:textId="77777777" w:rsidR="00523F1A" w:rsidRPr="0021659E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5 320,2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48AC7" w14:textId="77777777" w:rsidR="00523F1A" w:rsidRPr="0021659E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2 939,3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7A8CD7DF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2,2 раза</w:t>
            </w:r>
          </w:p>
        </w:tc>
      </w:tr>
      <w:tr w:rsidR="00523F1A" w:rsidRPr="00A522C5" w14:paraId="02A8049C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1455A" w14:textId="77777777" w:rsidR="00523F1A" w:rsidRPr="0021659E" w:rsidRDefault="00523F1A" w:rsidP="0054208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21659E">
              <w:rPr>
                <w:sz w:val="20"/>
                <w:szCs w:val="20"/>
                <w:lang w:eastAsia="en-US"/>
              </w:rPr>
              <w:t>Расчеты по платежам в бюджеты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BE8C9F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966C0D">
              <w:rPr>
                <w:sz w:val="20"/>
                <w:szCs w:val="20"/>
                <w:lang w:eastAsia="en-US"/>
              </w:rPr>
              <w:t>337,1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25A493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0,7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77C0F" w14:textId="77777777" w:rsidR="00523F1A" w:rsidRPr="00966C0D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-336,4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7CF316E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-99,8</w:t>
            </w:r>
          </w:p>
        </w:tc>
      </w:tr>
      <w:tr w:rsidR="00523F1A" w:rsidRPr="00A522C5" w14:paraId="0D8A8956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2C57844" w14:textId="77777777" w:rsidR="00523F1A" w:rsidRPr="0021659E" w:rsidRDefault="00523F1A" w:rsidP="005420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1659E">
              <w:rPr>
                <w:sz w:val="20"/>
                <w:szCs w:val="20"/>
                <w:lang w:eastAsia="en-US"/>
              </w:rPr>
              <w:t>Расчеты по доходам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CA386E5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966C0D">
              <w:rPr>
                <w:sz w:val="20"/>
                <w:szCs w:val="20"/>
                <w:lang w:eastAsia="en-US"/>
              </w:rPr>
              <w:t>1 398,0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7AE6E3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966C0D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317</w:t>
            </w:r>
            <w:r w:rsidRPr="00966C0D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873CB" w14:textId="77777777" w:rsidR="00523F1A" w:rsidRPr="00966C0D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3 919,2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F7F3113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3,8 раза</w:t>
            </w:r>
          </w:p>
        </w:tc>
      </w:tr>
      <w:tr w:rsidR="00523F1A" w:rsidRPr="00A522C5" w14:paraId="5639F592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6C35D25" w14:textId="77777777" w:rsidR="00523F1A" w:rsidRPr="0021659E" w:rsidRDefault="00523F1A" w:rsidP="005420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1659E">
              <w:rPr>
                <w:sz w:val="20"/>
                <w:szCs w:val="20"/>
                <w:lang w:eastAsia="en-US"/>
              </w:rPr>
              <w:t>Ра</w:t>
            </w:r>
            <w:r>
              <w:rPr>
                <w:sz w:val="20"/>
                <w:szCs w:val="20"/>
                <w:lang w:eastAsia="en-US"/>
              </w:rPr>
              <w:t>счеты по принятым обязательствам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FD9110F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966C0D">
              <w:rPr>
                <w:sz w:val="20"/>
                <w:szCs w:val="20"/>
                <w:lang w:eastAsia="en-US"/>
              </w:rPr>
              <w:t>612,3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704444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7BA0B" w14:textId="77777777" w:rsidR="00523F1A" w:rsidRPr="00966C0D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-612,3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0A933ED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-100,0</w:t>
            </w:r>
          </w:p>
        </w:tc>
      </w:tr>
      <w:tr w:rsidR="00523F1A" w:rsidRPr="00A522C5" w14:paraId="0E2C05FA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88EC027" w14:textId="77777777" w:rsidR="00523F1A" w:rsidRPr="00C26F8E" w:rsidRDefault="00523F1A" w:rsidP="005420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26F8E">
              <w:rPr>
                <w:sz w:val="20"/>
                <w:szCs w:val="20"/>
                <w:lang w:eastAsia="en-US"/>
              </w:rPr>
              <w:t xml:space="preserve">Расчеты по удержаниям 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76E5109" w14:textId="77777777" w:rsidR="00523F1A" w:rsidRPr="00C26F8E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27C14E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F8A8E" w14:textId="77777777" w:rsidR="00523F1A" w:rsidRPr="00966C0D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-0,3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8E32C6D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-100,0</w:t>
            </w:r>
          </w:p>
        </w:tc>
      </w:tr>
      <w:tr w:rsidR="00523F1A" w:rsidRPr="00A522C5" w14:paraId="5E16F8F4" w14:textId="77777777" w:rsidTr="0054208B">
        <w:trPr>
          <w:trHeight w:val="20"/>
          <w:jc w:val="center"/>
        </w:trPr>
        <w:tc>
          <w:tcPr>
            <w:tcW w:w="43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49EDFA06" w14:textId="77777777" w:rsidR="00523F1A" w:rsidRPr="00D15317" w:rsidRDefault="00523F1A" w:rsidP="005420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15317">
              <w:rPr>
                <w:sz w:val="20"/>
                <w:szCs w:val="20"/>
                <w:lang w:eastAsia="en-US"/>
              </w:rPr>
              <w:t>Расчеты с подотчетными лицами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9D867B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966C0D"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3CEF68" w14:textId="77777777" w:rsidR="00523F1A" w:rsidRPr="00966C0D" w:rsidRDefault="00523F1A" w:rsidP="0054208B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2BB930A4" w14:textId="77777777" w:rsidR="00523F1A" w:rsidRPr="00966C0D" w:rsidRDefault="00523F1A" w:rsidP="0054208B">
            <w:pPr>
              <w:spacing w:line="276" w:lineRule="auto"/>
              <w:ind w:right="87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-30,9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8BBE78" w14:textId="77777777" w:rsidR="00523F1A" w:rsidRPr="0021659E" w:rsidRDefault="00523F1A" w:rsidP="0054208B">
            <w:pPr>
              <w:spacing w:line="276" w:lineRule="auto"/>
              <w:ind w:right="9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-93,1</w:t>
            </w:r>
          </w:p>
        </w:tc>
      </w:tr>
    </w:tbl>
    <w:p w14:paraId="3259901E" w14:textId="77777777" w:rsidR="00523F1A" w:rsidRPr="007A2021" w:rsidRDefault="00523F1A" w:rsidP="00523F1A">
      <w:pPr>
        <w:spacing w:line="240" w:lineRule="atLeast"/>
        <w:ind w:firstLine="851"/>
        <w:jc w:val="both"/>
      </w:pPr>
      <w:r w:rsidRPr="007A2021">
        <w:t>Дебиторская задолженность Комитета на конец 201</w:t>
      </w:r>
      <w:r>
        <w:t>8</w:t>
      </w:r>
      <w:r w:rsidRPr="007A2021">
        <w:t xml:space="preserve"> года составила </w:t>
      </w:r>
      <w:r w:rsidRPr="00384BBF">
        <w:rPr>
          <w:lang w:eastAsia="en-US"/>
        </w:rPr>
        <w:t>93 256,3</w:t>
      </w:r>
      <w:r>
        <w:rPr>
          <w:sz w:val="20"/>
          <w:szCs w:val="20"/>
          <w:lang w:eastAsia="en-US"/>
        </w:rPr>
        <w:t xml:space="preserve"> </w:t>
      </w:r>
      <w:r w:rsidRPr="007A2021">
        <w:t>тыс. руб.</w:t>
      </w:r>
      <w:r w:rsidR="00EF43A5">
        <w:t xml:space="preserve"> (в том числе просроченная – 5,0 тыс. руб.)</w:t>
      </w:r>
      <w:r w:rsidRPr="007A2021">
        <w:t xml:space="preserve">, что на </w:t>
      </w:r>
      <w:r w:rsidRPr="00384BBF">
        <w:t>74</w:t>
      </w:r>
      <w:r>
        <w:t> </w:t>
      </w:r>
      <w:r w:rsidRPr="00384BBF">
        <w:t>244,0</w:t>
      </w:r>
      <w:r w:rsidRPr="007A2021">
        <w:t xml:space="preserve"> тыс. руб., или в 5 раз больше, чем на начало года. </w:t>
      </w:r>
    </w:p>
    <w:p w14:paraId="30FAA2D2" w14:textId="77777777" w:rsidR="00523F1A" w:rsidRPr="007A2021" w:rsidRDefault="00523F1A" w:rsidP="00523F1A">
      <w:pPr>
        <w:spacing w:line="240" w:lineRule="atLeast"/>
        <w:ind w:firstLine="851"/>
        <w:jc w:val="both"/>
      </w:pPr>
      <w:r w:rsidRPr="007A2021">
        <w:t xml:space="preserve">Основная сумма дебиторской задолженности сложилась в сумме </w:t>
      </w:r>
      <w:r>
        <w:t>93 250,0</w:t>
      </w:r>
      <w:r w:rsidRPr="007A2021">
        <w:t xml:space="preserve"> тыс. руб. по Соглашению от </w:t>
      </w:r>
      <w:r>
        <w:t>29.03.2018 №С-1/2018</w:t>
      </w:r>
      <w:r w:rsidRPr="007A2021">
        <w:t xml:space="preserve"> с </w:t>
      </w:r>
      <w:r w:rsidR="00F3525C">
        <w:t>Региональным ф</w:t>
      </w:r>
      <w:r w:rsidRPr="007A2021">
        <w:t>ондом</w:t>
      </w:r>
      <w:r w:rsidR="00F3525C">
        <w:t xml:space="preserve"> (возвращена в январе 2019 года)</w:t>
      </w:r>
      <w:r w:rsidR="00E31190">
        <w:t>.</w:t>
      </w:r>
    </w:p>
    <w:p w14:paraId="1A45168D" w14:textId="77777777" w:rsidR="00523F1A" w:rsidRDefault="00523F1A" w:rsidP="00523F1A">
      <w:pPr>
        <w:ind w:firstLine="709"/>
        <w:jc w:val="both"/>
      </w:pPr>
      <w:r w:rsidRPr="00234901">
        <w:t>Кредиторская задолженность Комитета на конец 201</w:t>
      </w:r>
      <w:r>
        <w:t>8</w:t>
      </w:r>
      <w:r w:rsidRPr="00234901">
        <w:t xml:space="preserve"> года составила </w:t>
      </w:r>
      <w:r>
        <w:t>5 320</w:t>
      </w:r>
      <w:r w:rsidRPr="00384BBF">
        <w:t>,</w:t>
      </w:r>
      <w:r>
        <w:t>2</w:t>
      </w:r>
      <w:r w:rsidR="003F1F62">
        <w:t xml:space="preserve"> </w:t>
      </w:r>
      <w:r w:rsidRPr="00234901">
        <w:t xml:space="preserve">тыс. руб., что на </w:t>
      </w:r>
      <w:r w:rsidRPr="00384BBF">
        <w:t>2</w:t>
      </w:r>
      <w:r>
        <w:t> </w:t>
      </w:r>
      <w:r w:rsidRPr="00384BBF">
        <w:t>939,3</w:t>
      </w:r>
      <w:r w:rsidRPr="00234901">
        <w:t xml:space="preserve"> тыс. руб., или </w:t>
      </w:r>
      <w:r>
        <w:t>в 2,2 раза бол</w:t>
      </w:r>
      <w:r w:rsidRPr="00234901">
        <w:t xml:space="preserve">ьше, чем на начало года за счет </w:t>
      </w:r>
      <w:r>
        <w:t>увеличения</w:t>
      </w:r>
      <w:r w:rsidRPr="00234901">
        <w:t xml:space="preserve"> задолженности по доходам</w:t>
      </w:r>
      <w:r w:rsidR="00EF43A5">
        <w:t xml:space="preserve"> </w:t>
      </w:r>
      <w:r w:rsidRPr="0059627A">
        <w:t>по причине оплаты соискателями государственной пошлины за лицензии</w:t>
      </w:r>
      <w:r>
        <w:t xml:space="preserve"> на розничную продажу алкогольной продукции</w:t>
      </w:r>
      <w:r w:rsidRPr="0059627A">
        <w:t xml:space="preserve">, но </w:t>
      </w:r>
      <w:r>
        <w:t>не</w:t>
      </w:r>
      <w:r w:rsidRPr="0059627A">
        <w:t>получением ими лицензий на конец года.</w:t>
      </w:r>
    </w:p>
    <w:p w14:paraId="677EE4E7" w14:textId="77777777" w:rsidR="00523F1A" w:rsidRDefault="00523F1A" w:rsidP="00523F1A">
      <w:pPr>
        <w:ind w:firstLine="709"/>
        <w:jc w:val="both"/>
      </w:pPr>
      <w:r>
        <w:lastRenderedPageBreak/>
        <w:t>Просроченная кредиторская задолженность</w:t>
      </w:r>
      <w:r w:rsidR="00F3525C">
        <w:t xml:space="preserve"> по оплате госпошлины </w:t>
      </w:r>
      <w:r>
        <w:t>на конец года составила 81,8 тыс. рублей. Дата возникновения указанной задолженности, как следует из раздела 2 «Сведения о просроченной задолженности</w:t>
      </w:r>
      <w:r w:rsidR="001D64D0">
        <w:t>»</w:t>
      </w:r>
      <w:r>
        <w:t xml:space="preserve"> ф.0503169, варьируется от ноября 2014 года до ноября 2015 года.</w:t>
      </w:r>
    </w:p>
    <w:p w14:paraId="0A206F47" w14:textId="77777777" w:rsidR="000500D7" w:rsidRDefault="000500D7" w:rsidP="000500D7">
      <w:pPr>
        <w:ind w:firstLine="709"/>
        <w:jc w:val="both"/>
      </w:pPr>
      <w:r>
        <w:t>В соответствии с п</w:t>
      </w:r>
      <w:r w:rsidR="00EF43A5">
        <w:t>.</w:t>
      </w:r>
      <w:r>
        <w:t xml:space="preserve">371 </w:t>
      </w:r>
      <w:r w:rsidRPr="005E0712">
        <w:rPr>
          <w:rFonts w:eastAsiaTheme="minorHAnsi"/>
          <w:lang w:eastAsia="en-US"/>
        </w:rPr>
        <w:t>Инструкции№157н</w:t>
      </w:r>
      <w:r>
        <w:rPr>
          <w:rFonts w:eastAsiaTheme="minorHAnsi"/>
          <w:lang w:eastAsia="en-US"/>
        </w:rPr>
        <w:t xml:space="preserve"> и </w:t>
      </w:r>
      <w:r w:rsidR="00EF43A5">
        <w:rPr>
          <w:rFonts w:eastAsiaTheme="minorHAnsi"/>
          <w:lang w:eastAsia="en-US"/>
        </w:rPr>
        <w:t>п.</w:t>
      </w:r>
      <w:r>
        <w:t>78 Инструкции №162н кредиторская задолженность, невостребованная кредиторами, подлежит списанию с балансового учета с одновременным отражением ее на забалансовом счете 20 «Задолженность, невостребованная кредиторами».</w:t>
      </w:r>
    </w:p>
    <w:p w14:paraId="1959A5DA" w14:textId="77777777" w:rsidR="000500D7" w:rsidRDefault="000500D7" w:rsidP="000500D7">
      <w:pPr>
        <w:pStyle w:val="Default"/>
        <w:ind w:firstLine="709"/>
        <w:jc w:val="both"/>
      </w:pPr>
      <w:r>
        <w:t>П</w:t>
      </w:r>
      <w:r w:rsidRPr="000D452D">
        <w:t>риказ</w:t>
      </w:r>
      <w:r>
        <w:t>ом</w:t>
      </w:r>
      <w:r w:rsidRPr="000D452D">
        <w:t xml:space="preserve"> Комитета от 24.09.2018 №155-од «Об утверждении учетной политика для целей бюджетного учета и целей налогообложения комитета промышленности и торговли </w:t>
      </w:r>
      <w:r w:rsidRPr="00553251">
        <w:t xml:space="preserve">Волгоградской области» (далее – Приказ об учетной политике) установлен </w:t>
      </w:r>
      <w:r w:rsidR="003F1F62">
        <w:t>П</w:t>
      </w:r>
      <w:r w:rsidRPr="00553251">
        <w:t>орядок списания невостребованной кредиторской задолженности, учета ее на забалансовом учете и списания с забалансового учета.</w:t>
      </w:r>
    </w:p>
    <w:p w14:paraId="1F3C525F" w14:textId="77777777" w:rsidR="000500D7" w:rsidRPr="00553251" w:rsidRDefault="004F3AC8" w:rsidP="000500D7">
      <w:pPr>
        <w:pStyle w:val="Default"/>
        <w:ind w:firstLine="709"/>
        <w:jc w:val="both"/>
      </w:pPr>
      <w:r>
        <w:t>Так, в соответствии с п.</w:t>
      </w:r>
      <w:r w:rsidR="000500D7" w:rsidRPr="00553251">
        <w:t>п.5.3</w:t>
      </w:r>
      <w:r w:rsidR="000500D7">
        <w:t xml:space="preserve"> и 9.7</w:t>
      </w:r>
      <w:r w:rsidR="000500D7" w:rsidRPr="00553251">
        <w:t xml:space="preserve"> Приказа об учетной политике кредиторская задолженность, невостребованная кредитор</w:t>
      </w:r>
      <w:r w:rsidR="000500D7">
        <w:t>ами</w:t>
      </w:r>
      <w:r w:rsidR="000500D7" w:rsidRPr="00553251">
        <w:t>,</w:t>
      </w:r>
      <w:r w:rsidR="000500D7">
        <w:t xml:space="preserve"> подлежит списанию на основании приказа руководителя Комитета. Указанное решение принимается на основании докладной записки руководителю о выявлении кредиторской задолженности, невостребованной кредиторами, </w:t>
      </w:r>
      <w:r w:rsidR="000500D7" w:rsidRPr="00553251">
        <w:t>данных проведенной</w:t>
      </w:r>
      <w:r w:rsidR="000500D7" w:rsidRPr="000D452D">
        <w:t xml:space="preserve"> инвентаризации</w:t>
      </w:r>
      <w:r w:rsidR="000500D7">
        <w:t xml:space="preserve"> и решения инвентаризационной комиссии. </w:t>
      </w:r>
    </w:p>
    <w:p w14:paraId="6830C680" w14:textId="77777777" w:rsidR="0044043B" w:rsidRDefault="000500D7" w:rsidP="000500D7">
      <w:pPr>
        <w:pStyle w:val="Default"/>
        <w:ind w:firstLine="709"/>
        <w:jc w:val="both"/>
      </w:pPr>
      <w:r w:rsidRPr="007B45E9">
        <w:t>В 2018 году инвентаризация имущества, в том числе финансовых обязательств, Комитетом проведена на основании приказа от 16.10.2018 №174-од</w:t>
      </w:r>
      <w:r>
        <w:t xml:space="preserve"> в соответствии </w:t>
      </w:r>
      <w:r w:rsidR="001D64D0">
        <w:t xml:space="preserve">с </w:t>
      </w:r>
      <w:r w:rsidR="001B653E">
        <w:t>п</w:t>
      </w:r>
      <w:r>
        <w:t xml:space="preserve">риказом Министерства </w:t>
      </w:r>
      <w:r w:rsidR="001D64D0">
        <w:t>ф</w:t>
      </w:r>
      <w:r>
        <w:t>инансов Российской Федерации от 13.06.1995 №49</w:t>
      </w:r>
      <w:r w:rsidR="003F1F62">
        <w:t>,</w:t>
      </w:r>
      <w:r>
        <w:t xml:space="preserve"> утвердившим «Методические </w:t>
      </w:r>
      <w:r w:rsidRPr="0050132C">
        <w:t xml:space="preserve">указания по инвентаризации имущества и финансовых обязательств» (далее – Методические </w:t>
      </w:r>
      <w:r w:rsidRPr="007B45E9">
        <w:t>рекомендации по инвентаризации).</w:t>
      </w:r>
      <w:r>
        <w:t xml:space="preserve"> </w:t>
      </w:r>
      <w:r w:rsidRPr="007B45E9">
        <w:t>Результаты инвентаризации</w:t>
      </w:r>
      <w:r w:rsidR="001B653E">
        <w:t>, в том числе задолженность, невостребованная кредиторами (просроченная задолженность в сумме 81,8 тыс. руб.),</w:t>
      </w:r>
      <w:r w:rsidRPr="007B45E9">
        <w:t xml:space="preserve"> отражены в акте от 18.10.2018 №0031-000002.</w:t>
      </w:r>
      <w:r w:rsidR="001B653E">
        <w:t xml:space="preserve"> </w:t>
      </w:r>
    </w:p>
    <w:p w14:paraId="323BFAFC" w14:textId="77777777" w:rsidR="0044043B" w:rsidRPr="004775A4" w:rsidRDefault="0044043B" w:rsidP="0044043B">
      <w:pPr>
        <w:autoSpaceDE w:val="0"/>
        <w:autoSpaceDN w:val="0"/>
        <w:adjustRightInd w:val="0"/>
        <w:ind w:firstLine="539"/>
        <w:jc w:val="both"/>
      </w:pPr>
      <w:r w:rsidRPr="004775A4">
        <w:t xml:space="preserve">В соответствии с п.п. «в» п. 3.48 Методических рекомендаций по инвентаризации </w:t>
      </w:r>
      <w:proofErr w:type="spellStart"/>
      <w:r w:rsidRPr="004775A4">
        <w:t>инвентаризациионой</w:t>
      </w:r>
      <w:proofErr w:type="spellEnd"/>
      <w:r w:rsidRPr="004775A4">
        <w:t xml:space="preserve"> комиссией </w:t>
      </w:r>
      <w:proofErr w:type="spellStart"/>
      <w:r w:rsidRPr="004775A4">
        <w:t>установливается</w:t>
      </w:r>
      <w:proofErr w:type="spellEnd"/>
      <w:r w:rsidRPr="004775A4">
        <w:t xml:space="preserve"> правильность и обоснованность сумм дебиторской, кредиторской и депонентской задолженности, включая суммы дебиторской и кредиторской задолженности, по которым истекли сроки исковой давности.</w:t>
      </w:r>
      <w:r w:rsidR="004F3AC8" w:rsidRPr="004775A4">
        <w:t xml:space="preserve"> </w:t>
      </w:r>
    </w:p>
    <w:p w14:paraId="42187142" w14:textId="77777777" w:rsidR="000500D7" w:rsidRDefault="001B653E" w:rsidP="000500D7">
      <w:pPr>
        <w:pStyle w:val="Default"/>
        <w:ind w:firstLine="709"/>
        <w:jc w:val="both"/>
      </w:pPr>
      <w:r w:rsidRPr="004775A4">
        <w:t>Комитетом по состоянию на 01.01.2019 списание задолженности, невостребованной кредиторами (просроченной задолженности) на сумму 81,8 тыс. руб. не произведено</w:t>
      </w:r>
      <w:r w:rsidR="0044043B" w:rsidRPr="004775A4">
        <w:t>, чем нарушен п.п. «в» п. 3.48 Методических рекомендаций по инвентаризации</w:t>
      </w:r>
      <w:r w:rsidR="004F3AC8" w:rsidRPr="004775A4">
        <w:t xml:space="preserve"> и с п.п.5.3 и 9.7 Приказа об учетной политике, </w:t>
      </w:r>
      <w:proofErr w:type="spellStart"/>
      <w:r w:rsidR="004F3AC8" w:rsidRPr="004775A4">
        <w:t>устанавливающиго</w:t>
      </w:r>
      <w:proofErr w:type="spellEnd"/>
      <w:r w:rsidR="004F3AC8" w:rsidRPr="004775A4">
        <w:t xml:space="preserve"> Порядок списания невостребованной кредиторской задолженности</w:t>
      </w:r>
      <w:r w:rsidRPr="004775A4">
        <w:t>.</w:t>
      </w:r>
    </w:p>
    <w:p w14:paraId="3EBDD767" w14:textId="77777777" w:rsidR="005153AE" w:rsidRDefault="005153AE" w:rsidP="000500D7">
      <w:pPr>
        <w:pStyle w:val="Default"/>
        <w:ind w:firstLine="709"/>
        <w:jc w:val="both"/>
      </w:pPr>
      <w:r>
        <w:t>Проверкой установлено, что сумма кредиторской задолженности, срок исковой давности которой истечет в 2019 году, состави</w:t>
      </w:r>
      <w:r w:rsidR="003F1F62">
        <w:t>т</w:t>
      </w:r>
      <w:r>
        <w:t xml:space="preserve"> 126,5 тыс. рублей. В случае </w:t>
      </w:r>
      <w:r w:rsidR="003F1F62">
        <w:t xml:space="preserve">ее </w:t>
      </w:r>
      <w:r>
        <w:t xml:space="preserve">невостребованности кредиторами указанная задолженность подлежит списанию в соответствии с установленным </w:t>
      </w:r>
      <w:r w:rsidR="003F1F62">
        <w:t>П</w:t>
      </w:r>
      <w:r>
        <w:t>орядком в 2019 году.</w:t>
      </w:r>
    </w:p>
    <w:p w14:paraId="13FD6FE0" w14:textId="77777777" w:rsidR="000500D7" w:rsidRDefault="000500D7" w:rsidP="000500D7">
      <w:pPr>
        <w:autoSpaceDE w:val="0"/>
        <w:autoSpaceDN w:val="0"/>
        <w:adjustRightInd w:val="0"/>
        <w:ind w:firstLine="567"/>
        <w:jc w:val="center"/>
        <w:rPr>
          <w:b/>
          <w:i/>
        </w:rPr>
      </w:pPr>
    </w:p>
    <w:p w14:paraId="7CB99599" w14:textId="77777777" w:rsidR="000500D7" w:rsidRPr="00E37776" w:rsidRDefault="000500D7" w:rsidP="000500D7">
      <w:pPr>
        <w:autoSpaceDE w:val="0"/>
        <w:autoSpaceDN w:val="0"/>
        <w:adjustRightInd w:val="0"/>
        <w:ind w:firstLine="567"/>
        <w:jc w:val="center"/>
        <w:rPr>
          <w:b/>
          <w:i/>
        </w:rPr>
      </w:pPr>
      <w:r w:rsidRPr="00E37776">
        <w:rPr>
          <w:b/>
          <w:i/>
        </w:rPr>
        <w:t>Анализ достижения поставленных целей и ожидаемых результатов.</w:t>
      </w:r>
    </w:p>
    <w:p w14:paraId="76AD1BBE" w14:textId="77777777" w:rsidR="00523F1A" w:rsidRDefault="00523F1A" w:rsidP="00523F1A">
      <w:pPr>
        <w:ind w:firstLine="567"/>
        <w:jc w:val="both"/>
      </w:pPr>
      <w:r w:rsidRPr="00584C11">
        <w:t>Комитет определен ответственным исполнителем государственной программы «Развитие промышленности Волгоградской области и повышение ее конкурентоспособности» на 2014-2020 годы</w:t>
      </w:r>
      <w:r w:rsidRPr="00A1773A">
        <w:t>, утвержденной постановлением Правительства Волгоградской области от 29.10.2013 №573-п.</w:t>
      </w:r>
    </w:p>
    <w:p w14:paraId="6A0E5051" w14:textId="77777777" w:rsidR="00523F1A" w:rsidRPr="00A1773A" w:rsidRDefault="00523F1A" w:rsidP="00523F1A">
      <w:pPr>
        <w:ind w:firstLine="567"/>
        <w:jc w:val="both"/>
      </w:pPr>
      <w:r w:rsidRPr="00682399">
        <w:rPr>
          <w:bCs/>
        </w:rPr>
        <w:t>Объем финансирования государственной программы Комитету на 201</w:t>
      </w:r>
      <w:r>
        <w:rPr>
          <w:bCs/>
        </w:rPr>
        <w:t>8</w:t>
      </w:r>
      <w:r w:rsidRPr="00682399">
        <w:rPr>
          <w:bCs/>
        </w:rPr>
        <w:t xml:space="preserve"> год за счёт средств областного и федерального бюджетов не предусмотрен.</w:t>
      </w:r>
    </w:p>
    <w:p w14:paraId="422C1CDA" w14:textId="77777777" w:rsidR="00523F1A" w:rsidRPr="00FB4694" w:rsidRDefault="00523F1A" w:rsidP="00523F1A">
      <w:pPr>
        <w:ind w:firstLine="567"/>
        <w:jc w:val="both"/>
        <w:rPr>
          <w:bCs/>
        </w:rPr>
      </w:pPr>
      <w:r w:rsidRPr="00FB4694">
        <w:rPr>
          <w:bCs/>
        </w:rPr>
        <w:t xml:space="preserve">Госпрограммой установлено </w:t>
      </w:r>
      <w:r>
        <w:rPr>
          <w:bCs/>
        </w:rPr>
        <w:t>25</w:t>
      </w:r>
      <w:r w:rsidRPr="00FB4694">
        <w:rPr>
          <w:bCs/>
        </w:rPr>
        <w:t xml:space="preserve"> целевых показателей.</w:t>
      </w:r>
    </w:p>
    <w:p w14:paraId="315BA07A" w14:textId="77777777" w:rsidR="00523F1A" w:rsidRDefault="00523F1A" w:rsidP="00523F1A">
      <w:pPr>
        <w:ind w:firstLine="567"/>
        <w:jc w:val="both"/>
      </w:pPr>
      <w:r w:rsidRPr="00FB4694">
        <w:t>В таблице приведена информация о выполнении плановых значений целевых показателей Госпрограммы в 201</w:t>
      </w:r>
      <w:r>
        <w:t>8</w:t>
      </w:r>
      <w:r w:rsidRPr="00FB4694">
        <w:t xml:space="preserve"> году.</w:t>
      </w:r>
    </w:p>
    <w:tbl>
      <w:tblPr>
        <w:tblW w:w="10142" w:type="dxa"/>
        <w:tblInd w:w="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7088"/>
        <w:gridCol w:w="851"/>
        <w:gridCol w:w="850"/>
        <w:gridCol w:w="710"/>
      </w:tblGrid>
      <w:tr w:rsidR="00523F1A" w:rsidRPr="003B5035" w14:paraId="15308980" w14:textId="77777777" w:rsidTr="00523F1A">
        <w:trPr>
          <w:trHeight w:val="330"/>
        </w:trPr>
        <w:tc>
          <w:tcPr>
            <w:tcW w:w="643" w:type="dxa"/>
            <w:vMerge w:val="restart"/>
            <w:shd w:val="clear" w:color="auto" w:fill="EAF1DD" w:themeFill="accent3" w:themeFillTint="33"/>
            <w:vAlign w:val="center"/>
            <w:hideMark/>
          </w:tcPr>
          <w:p w14:paraId="23283486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  <w:r w:rsidRPr="003B5035">
              <w:rPr>
                <w:b/>
                <w:i/>
                <w:sz w:val="18"/>
                <w:szCs w:val="18"/>
              </w:rPr>
              <w:t>№ п.п.</w:t>
            </w:r>
          </w:p>
        </w:tc>
        <w:tc>
          <w:tcPr>
            <w:tcW w:w="7088" w:type="dxa"/>
            <w:vMerge w:val="restart"/>
            <w:shd w:val="clear" w:color="auto" w:fill="EAF1DD" w:themeFill="accent3" w:themeFillTint="33"/>
            <w:vAlign w:val="center"/>
            <w:hideMark/>
          </w:tcPr>
          <w:p w14:paraId="5873C81A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  <w:r w:rsidRPr="003B5035">
              <w:rPr>
                <w:b/>
                <w:i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2411" w:type="dxa"/>
            <w:gridSpan w:val="3"/>
            <w:shd w:val="clear" w:color="auto" w:fill="EAF1DD" w:themeFill="accent3" w:themeFillTint="33"/>
            <w:vAlign w:val="center"/>
            <w:hideMark/>
          </w:tcPr>
          <w:p w14:paraId="6CD07BF6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  <w:r w:rsidRPr="003B5035">
              <w:rPr>
                <w:b/>
                <w:i/>
                <w:sz w:val="18"/>
                <w:szCs w:val="18"/>
              </w:rPr>
              <w:t>Целевые показатели</w:t>
            </w:r>
          </w:p>
        </w:tc>
      </w:tr>
      <w:tr w:rsidR="00523F1A" w:rsidRPr="003B5035" w14:paraId="288C1E92" w14:textId="77777777" w:rsidTr="00523F1A">
        <w:trPr>
          <w:trHeight w:val="315"/>
        </w:trPr>
        <w:tc>
          <w:tcPr>
            <w:tcW w:w="643" w:type="dxa"/>
            <w:vMerge/>
            <w:shd w:val="clear" w:color="auto" w:fill="EAF1DD" w:themeFill="accent3" w:themeFillTint="33"/>
            <w:vAlign w:val="center"/>
            <w:hideMark/>
          </w:tcPr>
          <w:p w14:paraId="0217B42B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8" w:type="dxa"/>
            <w:vMerge/>
            <w:shd w:val="clear" w:color="auto" w:fill="EAF1DD" w:themeFill="accent3" w:themeFillTint="33"/>
            <w:vAlign w:val="center"/>
            <w:hideMark/>
          </w:tcPr>
          <w:p w14:paraId="62677FBB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  <w:vAlign w:val="center"/>
            <w:hideMark/>
          </w:tcPr>
          <w:p w14:paraId="379C05EC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  <w:r w:rsidRPr="003B5035">
              <w:rPr>
                <w:b/>
                <w:i/>
                <w:sz w:val="18"/>
                <w:szCs w:val="18"/>
              </w:rPr>
              <w:t>план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  <w:hideMark/>
          </w:tcPr>
          <w:p w14:paraId="779C092B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  <w:r w:rsidRPr="003B5035">
              <w:rPr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10" w:type="dxa"/>
            <w:shd w:val="clear" w:color="auto" w:fill="EAF1DD" w:themeFill="accent3" w:themeFillTint="33"/>
            <w:noWrap/>
            <w:vAlign w:val="center"/>
            <w:hideMark/>
          </w:tcPr>
          <w:p w14:paraId="3818C00A" w14:textId="77777777" w:rsidR="00523F1A" w:rsidRPr="003B5035" w:rsidRDefault="00523F1A" w:rsidP="0054208B">
            <w:pPr>
              <w:jc w:val="center"/>
              <w:rPr>
                <w:b/>
                <w:i/>
                <w:sz w:val="18"/>
                <w:szCs w:val="18"/>
              </w:rPr>
            </w:pPr>
            <w:r w:rsidRPr="003B5035">
              <w:rPr>
                <w:b/>
                <w:i/>
                <w:sz w:val="18"/>
                <w:szCs w:val="18"/>
              </w:rPr>
              <w:t>выполн</w:t>
            </w:r>
            <w:r w:rsidRPr="003B5035">
              <w:rPr>
                <w:b/>
                <w:i/>
                <w:sz w:val="18"/>
                <w:szCs w:val="18"/>
              </w:rPr>
              <w:lastRenderedPageBreak/>
              <w:t>ение</w:t>
            </w:r>
          </w:p>
        </w:tc>
      </w:tr>
      <w:tr w:rsidR="00523F1A" w:rsidRPr="003B5035" w14:paraId="439E0271" w14:textId="77777777" w:rsidTr="00523F1A">
        <w:trPr>
          <w:trHeight w:val="315"/>
        </w:trPr>
        <w:tc>
          <w:tcPr>
            <w:tcW w:w="10142" w:type="dxa"/>
            <w:gridSpan w:val="5"/>
            <w:shd w:val="clear" w:color="000000" w:fill="CCFFCC"/>
            <w:vAlign w:val="center"/>
            <w:hideMark/>
          </w:tcPr>
          <w:p w14:paraId="227D7FD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lastRenderedPageBreak/>
              <w:t>ГП ВО «Развитие промышленности ВО и повышение ее конкурентоспособности» на 2014-2020 г.</w:t>
            </w:r>
          </w:p>
        </w:tc>
      </w:tr>
      <w:tr w:rsidR="00523F1A" w:rsidRPr="003B5035" w14:paraId="1E62EBC7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1FD090C1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F4DFE94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Кол-во субъектов деятельности в сфере промышленности ВО, приобретающих оборудование в целях модернизации производства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E2C2BA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93DF90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F48A1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107,3</w:t>
            </w:r>
          </w:p>
        </w:tc>
      </w:tr>
      <w:tr w:rsidR="00523F1A" w:rsidRPr="003B5035" w14:paraId="4CA4CD38" w14:textId="77777777" w:rsidTr="000500D7">
        <w:trPr>
          <w:trHeight w:val="274"/>
        </w:trPr>
        <w:tc>
          <w:tcPr>
            <w:tcW w:w="643" w:type="dxa"/>
            <w:shd w:val="clear" w:color="auto" w:fill="auto"/>
            <w:vAlign w:val="center"/>
            <w:hideMark/>
          </w:tcPr>
          <w:p w14:paraId="53FBED2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2C61CC2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Количество индустриальных (промышленных) парков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49F04F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94B22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383A6D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3F0FF52F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6961BB7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561305F" w14:textId="77777777" w:rsidR="00523F1A" w:rsidRPr="003B5035" w:rsidRDefault="00523F1A" w:rsidP="0054208B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 w:rsidRPr="003B5035">
              <w:rPr>
                <w:sz w:val="18"/>
                <w:szCs w:val="18"/>
              </w:rPr>
              <w:t>Общее количество региональных предприятий и организаций, производящих композиционные материалы, конструкции и изделия из них</w:t>
            </w:r>
            <w:r w:rsidRPr="003B5035">
              <w:rPr>
                <w:sz w:val="18"/>
                <w:szCs w:val="18"/>
                <w:lang w:eastAsia="en-US"/>
              </w:rPr>
              <w:t xml:space="preserve">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89A78B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ED631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8FEB91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109,1</w:t>
            </w:r>
          </w:p>
        </w:tc>
      </w:tr>
      <w:tr w:rsidR="00523F1A" w:rsidRPr="003B5035" w14:paraId="25C6151A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623DE4A3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B7935E0" w14:textId="77777777" w:rsidR="00523F1A" w:rsidRPr="003B5035" w:rsidRDefault="00523F1A" w:rsidP="0054208B">
            <w:pPr>
              <w:spacing w:line="276" w:lineRule="auto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 w:rsidRPr="003B5035">
              <w:rPr>
                <w:sz w:val="18"/>
                <w:szCs w:val="18"/>
              </w:rPr>
              <w:t>Количество субъектов деятельности в сфере промышленности Волгоградской области, которым оказано содействие по обеспечению рабочими и инженерными кадрами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14CB75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CE35B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161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DEFDB8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100,6</w:t>
            </w:r>
          </w:p>
        </w:tc>
      </w:tr>
      <w:tr w:rsidR="00523F1A" w:rsidRPr="003B5035" w14:paraId="2441A247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3B244383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93ED3D9" w14:textId="77777777" w:rsidR="00523F1A" w:rsidRPr="003B5035" w:rsidRDefault="00523F1A" w:rsidP="0054208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3B5035">
              <w:rPr>
                <w:sz w:val="18"/>
                <w:szCs w:val="18"/>
                <w:lang w:eastAsia="en-US"/>
              </w:rPr>
              <w:t>Кол-во субъектов деятельности в сфере промышленности ВО, освоивших производство импортозамещающих видов продукции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52352C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CED73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0241B8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18B231CB" w14:textId="77777777" w:rsidTr="000500D7">
        <w:trPr>
          <w:trHeight w:val="272"/>
        </w:trPr>
        <w:tc>
          <w:tcPr>
            <w:tcW w:w="643" w:type="dxa"/>
            <w:shd w:val="clear" w:color="auto" w:fill="auto"/>
            <w:vAlign w:val="center"/>
            <w:hideMark/>
          </w:tcPr>
          <w:p w14:paraId="04FB3E2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58C5F7F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мастеров народных художественных промыслов Волгоградской области (чел.)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38523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B7FCD3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96AFE7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116,7</w:t>
            </w:r>
          </w:p>
        </w:tc>
      </w:tr>
      <w:tr w:rsidR="00523F1A" w:rsidRPr="003B5035" w14:paraId="64CD7194" w14:textId="77777777" w:rsidTr="00523F1A">
        <w:trPr>
          <w:trHeight w:val="315"/>
        </w:trPr>
        <w:tc>
          <w:tcPr>
            <w:tcW w:w="10142" w:type="dxa"/>
            <w:gridSpan w:val="5"/>
            <w:shd w:val="clear" w:color="000000" w:fill="CCFFCC"/>
            <w:vAlign w:val="center"/>
            <w:hideMark/>
          </w:tcPr>
          <w:p w14:paraId="072D02B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Подпрограмма «Развитие промышленной инфраструктуры и инфраструктуры поддержки деятельности в сфере промышленности»</w:t>
            </w:r>
          </w:p>
        </w:tc>
      </w:tr>
      <w:tr w:rsidR="00523F1A" w:rsidRPr="003B5035" w14:paraId="0163CA04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388B31D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7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F035D8B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Кол-во субъектов деятельности в сфере промышленности ВО, приобретающих оборудование в целях модернизации производства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287AE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00E9B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112982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107,3</w:t>
            </w:r>
          </w:p>
        </w:tc>
      </w:tr>
      <w:tr w:rsidR="00523F1A" w:rsidRPr="003B5035" w14:paraId="580C3FB6" w14:textId="77777777" w:rsidTr="000500D7">
        <w:trPr>
          <w:trHeight w:val="274"/>
        </w:trPr>
        <w:tc>
          <w:tcPr>
            <w:tcW w:w="643" w:type="dxa"/>
            <w:shd w:val="clear" w:color="auto" w:fill="auto"/>
            <w:vAlign w:val="center"/>
            <w:hideMark/>
          </w:tcPr>
          <w:p w14:paraId="6C49B79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8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3162321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Количество индустриальных (промышленных) парков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4EA298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C099D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9DB2AF8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1F48BFC5" w14:textId="77777777" w:rsidTr="000500D7">
        <w:trPr>
          <w:trHeight w:val="279"/>
        </w:trPr>
        <w:tc>
          <w:tcPr>
            <w:tcW w:w="643" w:type="dxa"/>
            <w:shd w:val="clear" w:color="auto" w:fill="auto"/>
            <w:vAlign w:val="center"/>
            <w:hideMark/>
          </w:tcPr>
          <w:p w14:paraId="68F51E3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9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E95939A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резидентов индустриальных (промышленных) парков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4C5070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B6BC31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25E860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4151CAB6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44F19A65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3BCE684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созданных рабочих мест субъектами деятельности в сфере промышленности, использующими объекты промышленной инфраструктуры, находящиеся в составе индустриального (промышленного) парка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E416EC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4FFB5B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C6A9E90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4E25CC45" w14:textId="77777777" w:rsidTr="00523F1A">
        <w:trPr>
          <w:trHeight w:val="315"/>
        </w:trPr>
        <w:tc>
          <w:tcPr>
            <w:tcW w:w="10142" w:type="dxa"/>
            <w:gridSpan w:val="5"/>
            <w:shd w:val="clear" w:color="000000" w:fill="CCFFCC"/>
            <w:vAlign w:val="center"/>
            <w:hideMark/>
          </w:tcPr>
          <w:p w14:paraId="79DA7E22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Подпрограмма «Развитие производства и потребления композиционных материалов и изделий из них в ВО»</w:t>
            </w:r>
          </w:p>
        </w:tc>
      </w:tr>
      <w:tr w:rsidR="00523F1A" w:rsidRPr="003B5035" w14:paraId="52BE4155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1B1A5EE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DB712EA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  <w:lang w:eastAsia="en-US"/>
              </w:rPr>
              <w:t>Кол-во наименований композитной продукции, производимой промышленными предприятиями ВО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5D7CC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892CCC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D8858A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103,8</w:t>
            </w:r>
          </w:p>
        </w:tc>
      </w:tr>
      <w:tr w:rsidR="00523F1A" w:rsidRPr="003B5035" w14:paraId="3236E507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67DD2FF8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B8631FC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Общее кол-во региональных предприятий и организаций, производящих композиционные материалы, конструкции и изделия из них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3851CF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A7540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507F78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109,1</w:t>
            </w:r>
          </w:p>
        </w:tc>
      </w:tr>
      <w:tr w:rsidR="00523F1A" w:rsidRPr="003B5035" w14:paraId="4350B37D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7EFD0D7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CFB6D58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Кол-во наименований композитной продукции, потребляемой предприятиями и организациями ВО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9EA96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D5A57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03A9AC7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108,0</w:t>
            </w:r>
          </w:p>
        </w:tc>
      </w:tr>
      <w:tr w:rsidR="00523F1A" w:rsidRPr="003B5035" w14:paraId="04F205AA" w14:textId="77777777" w:rsidTr="00523F1A">
        <w:trPr>
          <w:trHeight w:val="315"/>
        </w:trPr>
        <w:tc>
          <w:tcPr>
            <w:tcW w:w="643" w:type="dxa"/>
            <w:shd w:val="clear" w:color="auto" w:fill="auto"/>
            <w:vAlign w:val="center"/>
            <w:hideMark/>
          </w:tcPr>
          <w:p w14:paraId="0A028B2B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EA1B269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Общее кол-во региональных предприятий, потребляющих композиты и изделия из них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C462C0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14DA9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A13CED2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в 4,4 раза</w:t>
            </w:r>
          </w:p>
        </w:tc>
      </w:tr>
      <w:tr w:rsidR="00523F1A" w:rsidRPr="003B5035" w14:paraId="63EF7C6B" w14:textId="77777777" w:rsidTr="000500D7">
        <w:trPr>
          <w:trHeight w:val="594"/>
        </w:trPr>
        <w:tc>
          <w:tcPr>
            <w:tcW w:w="643" w:type="dxa"/>
            <w:shd w:val="clear" w:color="auto" w:fill="auto"/>
            <w:vAlign w:val="center"/>
            <w:hideMark/>
          </w:tcPr>
          <w:p w14:paraId="53D0072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6EAF2614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инновационных разработок региональных образовательных, научных организаций и малых инновационных предприятий в сфере производства композиционных материалов и изделий из них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54AEF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C95AE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6B11E97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07BDEE2E" w14:textId="77777777" w:rsidTr="00523F1A">
        <w:trPr>
          <w:trHeight w:val="315"/>
        </w:trPr>
        <w:tc>
          <w:tcPr>
            <w:tcW w:w="10142" w:type="dxa"/>
            <w:gridSpan w:val="5"/>
            <w:shd w:val="clear" w:color="000000" w:fill="CCFFCC"/>
            <w:vAlign w:val="center"/>
            <w:hideMark/>
          </w:tcPr>
          <w:p w14:paraId="7584EE7B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Подпрограмма «Повышение эффективности взаимодействия с субъектами промышленной деятельности»</w:t>
            </w:r>
          </w:p>
        </w:tc>
      </w:tr>
      <w:tr w:rsidR="00523F1A" w:rsidRPr="003B5035" w14:paraId="6BB92878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1C671A2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16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3A64046B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Кол-во субъектов деятельности в сфере промышленности ВО, освоивших производство импортозамещающих видов продукции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0A4F12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8822F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58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9B2CEE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5E061A6B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395283A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17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D913B1E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Кол-во наименований импортозамещающей продукции, производимой промышленными предприятиями ВО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95B023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92F813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80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5439DB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75D04DFC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2B3069C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18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B565772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Кол-во субъектов деятельности в сфере промышленности ВО, которым оказано содействие в налаживании кооперационных связей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65A90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131C48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D30D7B7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140,0</w:t>
            </w:r>
          </w:p>
        </w:tc>
      </w:tr>
      <w:tr w:rsidR="00523F1A" w:rsidRPr="003B5035" w14:paraId="58EF8167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534CB9D3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19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4181C877" w14:textId="77777777" w:rsidR="00523F1A" w:rsidRPr="003B5035" w:rsidRDefault="00523F1A" w:rsidP="0054208B">
            <w:pPr>
              <w:jc w:val="both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Кол-во субъектов деятельности в сфере промышленности ВО, которым оказано содействие по обеспечению рабочими и инженерными кадрами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F45DE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C2B370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161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76AD80E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100,6</w:t>
            </w:r>
          </w:p>
        </w:tc>
      </w:tr>
      <w:tr w:rsidR="00523F1A" w:rsidRPr="003B5035" w14:paraId="56861B0A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7744310B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20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0E1A7107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субъектов деятельности в сфере промышленности Волгоградской области, которым оказаны нефинансовые меры поддержки экспорта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6EE11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BE67D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80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AA21180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100,0</w:t>
            </w:r>
          </w:p>
        </w:tc>
      </w:tr>
      <w:tr w:rsidR="00523F1A" w:rsidRPr="003B5035" w14:paraId="799D17EE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71C829AB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21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6F37990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выставок и ярмарок, в которых организации и мастера народных художественных промыслов принимают участие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8B4747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3A50F3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740522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183,3</w:t>
            </w:r>
          </w:p>
        </w:tc>
      </w:tr>
      <w:tr w:rsidR="00523F1A" w:rsidRPr="003B5035" w14:paraId="40359D3C" w14:textId="77777777" w:rsidTr="000500D7">
        <w:trPr>
          <w:trHeight w:val="301"/>
        </w:trPr>
        <w:tc>
          <w:tcPr>
            <w:tcW w:w="643" w:type="dxa"/>
            <w:shd w:val="clear" w:color="auto" w:fill="auto"/>
            <w:vAlign w:val="center"/>
            <w:hideMark/>
          </w:tcPr>
          <w:p w14:paraId="1AABFD4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22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3202AFD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мастеров народных художественных промыслов Волгоградской области (чел.)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1E0D78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F77B1A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43A6B5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116,7</w:t>
            </w:r>
          </w:p>
        </w:tc>
      </w:tr>
      <w:tr w:rsidR="00523F1A" w:rsidRPr="003B5035" w14:paraId="10E06865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63DDE774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23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5305331E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изделий, рассмотренных на заседаниях художественно-экспертного совета по народным художественным промыслам Волгоградской области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86E7E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7B793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233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E6D759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111,0</w:t>
            </w:r>
          </w:p>
        </w:tc>
      </w:tr>
      <w:tr w:rsidR="00523F1A" w:rsidRPr="003B5035" w14:paraId="76AD1EAF" w14:textId="77777777" w:rsidTr="000500D7">
        <w:trPr>
          <w:trHeight w:val="276"/>
        </w:trPr>
        <w:tc>
          <w:tcPr>
            <w:tcW w:w="643" w:type="dxa"/>
            <w:shd w:val="clear" w:color="auto" w:fill="auto"/>
            <w:vAlign w:val="center"/>
            <w:hideMark/>
          </w:tcPr>
          <w:p w14:paraId="0C11B64C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24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1E8B3FA7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мест традиционного бытования, включенных в туристические маршруты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15AC6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84CBBB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A88A19F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в 3 раза</w:t>
            </w:r>
          </w:p>
        </w:tc>
      </w:tr>
      <w:tr w:rsidR="00523F1A" w:rsidRPr="003B5035" w14:paraId="6418D018" w14:textId="77777777" w:rsidTr="00523F1A">
        <w:trPr>
          <w:trHeight w:val="510"/>
        </w:trPr>
        <w:tc>
          <w:tcPr>
            <w:tcW w:w="643" w:type="dxa"/>
            <w:shd w:val="clear" w:color="auto" w:fill="auto"/>
            <w:vAlign w:val="center"/>
            <w:hideMark/>
          </w:tcPr>
          <w:p w14:paraId="6A7F1C2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25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2968ED40" w14:textId="77777777" w:rsidR="00523F1A" w:rsidRPr="003B5035" w:rsidRDefault="00523F1A" w:rsidP="0054208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3B5035">
              <w:rPr>
                <w:rFonts w:eastAsiaTheme="minorHAnsi"/>
                <w:sz w:val="18"/>
                <w:szCs w:val="18"/>
                <w:lang w:eastAsia="en-US"/>
              </w:rPr>
              <w:t>Количество семинаров, совещаний, мастер-классов в сфере народных художественных промыслов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62703D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78B2A6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16A3FA8" w14:textId="77777777" w:rsidR="00523F1A" w:rsidRPr="003B5035" w:rsidRDefault="00523F1A" w:rsidP="0054208B">
            <w:pPr>
              <w:jc w:val="center"/>
              <w:rPr>
                <w:sz w:val="18"/>
                <w:szCs w:val="18"/>
              </w:rPr>
            </w:pPr>
            <w:r w:rsidRPr="003B5035">
              <w:rPr>
                <w:sz w:val="18"/>
                <w:szCs w:val="18"/>
              </w:rPr>
              <w:t>в 2 раза</w:t>
            </w:r>
          </w:p>
        </w:tc>
      </w:tr>
    </w:tbl>
    <w:p w14:paraId="26F40E2D" w14:textId="77777777" w:rsidR="00523F1A" w:rsidRDefault="00523F1A" w:rsidP="00523F1A">
      <w:pPr>
        <w:autoSpaceDE w:val="0"/>
        <w:autoSpaceDN w:val="0"/>
        <w:adjustRightInd w:val="0"/>
        <w:ind w:firstLine="709"/>
        <w:jc w:val="both"/>
      </w:pPr>
      <w:r w:rsidRPr="00B3142F">
        <w:rPr>
          <w:lang w:eastAsia="en-US"/>
        </w:rPr>
        <w:t xml:space="preserve">Из таблицы видна степень выполнения целевых показателей, которая колеблется от 100% до </w:t>
      </w:r>
      <w:r w:rsidRPr="00635668">
        <w:rPr>
          <w:lang w:eastAsia="en-US"/>
        </w:rPr>
        <w:t xml:space="preserve">перевыполнения в </w:t>
      </w:r>
      <w:r>
        <w:rPr>
          <w:lang w:eastAsia="en-US"/>
        </w:rPr>
        <w:t>4,4</w:t>
      </w:r>
      <w:r w:rsidRPr="00635668">
        <w:rPr>
          <w:lang w:eastAsia="en-US"/>
        </w:rPr>
        <w:t xml:space="preserve"> раз</w:t>
      </w:r>
      <w:r>
        <w:rPr>
          <w:lang w:eastAsia="en-US"/>
        </w:rPr>
        <w:t>а.</w:t>
      </w:r>
      <w:r w:rsidRPr="00635668">
        <w:rPr>
          <w:lang w:eastAsia="en-US"/>
        </w:rPr>
        <w:t xml:space="preserve"> </w:t>
      </w:r>
      <w:r w:rsidRPr="0083185A">
        <w:t xml:space="preserve">Процент перевыполнения колеблется в пределах от </w:t>
      </w:r>
      <w:r>
        <w:lastRenderedPageBreak/>
        <w:t>0,63</w:t>
      </w:r>
      <w:r w:rsidRPr="0083185A">
        <w:t xml:space="preserve">% до </w:t>
      </w:r>
      <w:r>
        <w:t>4,4</w:t>
      </w:r>
      <w:r w:rsidRPr="0083185A">
        <w:t xml:space="preserve"> раза. </w:t>
      </w:r>
      <w:r>
        <w:t xml:space="preserve">Значительные отклонения </w:t>
      </w:r>
      <w:r w:rsidR="001D64D0">
        <w:t xml:space="preserve">сложились </w:t>
      </w:r>
      <w:r>
        <w:t xml:space="preserve">по четырем целевым показателям </w:t>
      </w:r>
      <w:r w:rsidR="000500D7">
        <w:t xml:space="preserve">(из двух подпрограмм) </w:t>
      </w:r>
      <w:r>
        <w:t>и</w:t>
      </w:r>
      <w:r w:rsidRPr="0083185A">
        <w:t xml:space="preserve"> о</w:t>
      </w:r>
      <w:r>
        <w:t>бусловлены следующими факторами.</w:t>
      </w:r>
      <w:r w:rsidRPr="0083185A">
        <w:t xml:space="preserve"> </w:t>
      </w:r>
    </w:p>
    <w:p w14:paraId="7BD09109" w14:textId="77777777" w:rsidR="00523F1A" w:rsidRDefault="00EC2782" w:rsidP="00523F1A">
      <w:pPr>
        <w:autoSpaceDE w:val="0"/>
        <w:autoSpaceDN w:val="0"/>
        <w:adjustRightInd w:val="0"/>
        <w:ind w:firstLine="709"/>
        <w:jc w:val="both"/>
      </w:pPr>
      <w:r>
        <w:t>1. П</w:t>
      </w:r>
      <w:r w:rsidR="00523F1A">
        <w:t xml:space="preserve">о подпрограмме </w:t>
      </w:r>
      <w:r w:rsidR="00523F1A" w:rsidRPr="001B0627">
        <w:t>«Повышение эффективности взаимодействия с субъектами промышленной деятельности»</w:t>
      </w:r>
      <w:r w:rsidR="00523F1A">
        <w:t xml:space="preserve"> перевыполнение </w:t>
      </w:r>
      <w:r w:rsidR="001D64D0">
        <w:t>отмечено</w:t>
      </w:r>
      <w:r w:rsidR="00523F1A">
        <w:t xml:space="preserve"> по трем показателям:</w:t>
      </w:r>
    </w:p>
    <w:p w14:paraId="0B590B6C" w14:textId="77777777" w:rsidR="00523F1A" w:rsidRDefault="00523F1A" w:rsidP="00523F1A">
      <w:pPr>
        <w:autoSpaceDE w:val="0"/>
        <w:autoSpaceDN w:val="0"/>
        <w:adjustRightInd w:val="0"/>
        <w:ind w:firstLine="709"/>
        <w:jc w:val="both"/>
      </w:pPr>
      <w:r>
        <w:t>-«</w:t>
      </w:r>
      <w:r w:rsidRPr="001B0627">
        <w:t>Количество выставок и ярмарок, в которых организации и мастера народных художественных промыслов принимают участие</w:t>
      </w:r>
      <w:r>
        <w:t xml:space="preserve">» - перевыполнение </w:t>
      </w:r>
      <w:r w:rsidR="001B653E">
        <w:t>на</w:t>
      </w:r>
      <w:r>
        <w:t xml:space="preserve"> 83,3%;</w:t>
      </w:r>
    </w:p>
    <w:p w14:paraId="7217D92A" w14:textId="77777777" w:rsidR="00523F1A" w:rsidRDefault="00523F1A" w:rsidP="00523F1A">
      <w:pPr>
        <w:autoSpaceDE w:val="0"/>
        <w:autoSpaceDN w:val="0"/>
        <w:adjustRightInd w:val="0"/>
        <w:ind w:firstLine="709"/>
        <w:jc w:val="both"/>
      </w:pPr>
      <w:r>
        <w:t>-«</w:t>
      </w:r>
      <w:r w:rsidRPr="001B0627">
        <w:t>Количество мест традиционного бытования, включенных в туристические маршруты</w:t>
      </w:r>
      <w:r>
        <w:t xml:space="preserve">» - </w:t>
      </w:r>
      <w:r w:rsidR="001B653E">
        <w:t>на 200%</w:t>
      </w:r>
      <w:r>
        <w:t>;</w:t>
      </w:r>
    </w:p>
    <w:p w14:paraId="17F32389" w14:textId="77777777" w:rsidR="00523F1A" w:rsidRDefault="00523F1A" w:rsidP="00523F1A">
      <w:pPr>
        <w:autoSpaceDE w:val="0"/>
        <w:autoSpaceDN w:val="0"/>
        <w:adjustRightInd w:val="0"/>
        <w:ind w:firstLine="709"/>
        <w:jc w:val="both"/>
      </w:pPr>
      <w:r>
        <w:t>-«</w:t>
      </w:r>
      <w:r w:rsidRPr="00122938">
        <w:t>Количество семинаров, совещаний, мастер-классов в сфере народных художественных промыслов</w:t>
      </w:r>
      <w:r>
        <w:t xml:space="preserve">» - </w:t>
      </w:r>
      <w:r w:rsidR="001B653E">
        <w:t xml:space="preserve">на </w:t>
      </w:r>
      <w:r>
        <w:t>100 процентов.</w:t>
      </w:r>
    </w:p>
    <w:p w14:paraId="65A6FB3C" w14:textId="77777777" w:rsidR="00523F1A" w:rsidRDefault="00523F1A" w:rsidP="00523F1A">
      <w:pPr>
        <w:autoSpaceDE w:val="0"/>
        <w:autoSpaceDN w:val="0"/>
        <w:adjustRightInd w:val="0"/>
        <w:ind w:firstLine="709"/>
        <w:jc w:val="both"/>
      </w:pPr>
      <w:r>
        <w:t>По пояснениям Комитета значительное перевыполнение в 2018 году указанных целевых показателей обусловлено проведением в 2018 году чемпионата мира по футболу, что привело к увеличению туристического потока и перевыполнению вышеназванных показателей.</w:t>
      </w:r>
    </w:p>
    <w:p w14:paraId="52011D0A" w14:textId="77777777" w:rsidR="00523F1A" w:rsidRDefault="00EC2782" w:rsidP="00523F1A">
      <w:pPr>
        <w:autoSpaceDE w:val="0"/>
        <w:autoSpaceDN w:val="0"/>
        <w:adjustRightInd w:val="0"/>
        <w:ind w:firstLine="709"/>
        <w:jc w:val="both"/>
      </w:pPr>
      <w:r>
        <w:t>2. П</w:t>
      </w:r>
      <w:r w:rsidR="00523F1A">
        <w:t>о подпрограмме</w:t>
      </w:r>
      <w:r w:rsidR="00523F1A" w:rsidRPr="00AB6DD1">
        <w:t xml:space="preserve"> «Развитие производства и потребления композиционных</w:t>
      </w:r>
      <w:r w:rsidR="00523F1A" w:rsidRPr="00AB6DD1">
        <w:rPr>
          <w:sz w:val="20"/>
          <w:szCs w:val="20"/>
          <w:lang w:eastAsia="en-US"/>
        </w:rPr>
        <w:t xml:space="preserve"> </w:t>
      </w:r>
      <w:r w:rsidR="00523F1A" w:rsidRPr="00AB6DD1">
        <w:t>материалов и из</w:t>
      </w:r>
      <w:r w:rsidR="00523F1A">
        <w:t xml:space="preserve">делий из них в ВО» перевыполнение показателя по общему количеству </w:t>
      </w:r>
      <w:r w:rsidR="00523F1A" w:rsidRPr="009E620A">
        <w:t>региональных предприятий, потребляющих композиты и изделия из них</w:t>
      </w:r>
      <w:r w:rsidR="00523F1A">
        <w:t xml:space="preserve">, составило более чем в три раза. Перевыполнение указанного показателя связано с расширением списка композитной продукции и соответственно с ежегодным увеличением количества потребителей композитной продукции. </w:t>
      </w:r>
    </w:p>
    <w:p w14:paraId="0FC3E639" w14:textId="77777777" w:rsidR="00523F1A" w:rsidRDefault="00523F1A" w:rsidP="00523F1A">
      <w:pPr>
        <w:autoSpaceDE w:val="0"/>
        <w:autoSpaceDN w:val="0"/>
        <w:adjustRightInd w:val="0"/>
        <w:ind w:firstLine="709"/>
        <w:jc w:val="both"/>
      </w:pPr>
      <w:r>
        <w:t xml:space="preserve">В 2019 году Комитетом представлен на рассмотрение КСП проект постановления </w:t>
      </w:r>
      <w:r w:rsidR="001D64D0">
        <w:t>А</w:t>
      </w:r>
      <w:r>
        <w:t xml:space="preserve">дминистрации Волгоградской области, вносящий изменения в структуру Госпрограммы. С 2019 года из структуры Госпрограммы исключена подпрограмма </w:t>
      </w:r>
      <w:r w:rsidRPr="00CF610B">
        <w:t>«Развитие производства и потребления композиционных материалов и изделий из них в ВО»</w:t>
      </w:r>
      <w:r w:rsidR="001D64D0">
        <w:t xml:space="preserve"> и соответственно</w:t>
      </w:r>
      <w:r>
        <w:t xml:space="preserve"> показатели, относящиеся к производству и потреблению композитной продукции.</w:t>
      </w:r>
    </w:p>
    <w:p w14:paraId="6963C729" w14:textId="77777777" w:rsidR="00660A43" w:rsidRDefault="00660A43" w:rsidP="0004294A">
      <w:pPr>
        <w:autoSpaceDE w:val="0"/>
        <w:autoSpaceDN w:val="0"/>
        <w:adjustRightInd w:val="0"/>
        <w:ind w:firstLine="709"/>
        <w:jc w:val="both"/>
      </w:pPr>
    </w:p>
    <w:p w14:paraId="33DC6169" w14:textId="77777777" w:rsidR="005A4C4D" w:rsidRPr="006521E0" w:rsidRDefault="005A4C4D" w:rsidP="005A4C4D">
      <w:pPr>
        <w:autoSpaceDE w:val="0"/>
        <w:autoSpaceDN w:val="0"/>
        <w:adjustRightInd w:val="0"/>
        <w:ind w:firstLine="720"/>
        <w:jc w:val="center"/>
        <w:rPr>
          <w:b/>
          <w:i/>
        </w:rPr>
      </w:pPr>
      <w:r w:rsidRPr="00AA7555">
        <w:rPr>
          <w:b/>
          <w:i/>
        </w:rPr>
        <w:t>Организация ведомственного финансового контроля и внутреннего финансового аудита.</w:t>
      </w:r>
    </w:p>
    <w:p w14:paraId="2891DA1A" w14:textId="77777777" w:rsidR="00523F1A" w:rsidRDefault="00523F1A" w:rsidP="00523F1A">
      <w:pPr>
        <w:ind w:firstLine="709"/>
        <w:jc w:val="both"/>
      </w:pPr>
      <w:r>
        <w:t>Во исполнение п. 4 и п.5 ст.160.2-1 БК РФ постановлением Правительства Волгоградской области от 26.05.2014 № 266-п утвержден Порядок осуществления внутреннего финансового контроля и внутреннего финансового аудита на территории Волгоградской области (далее – Постановление №266-п).</w:t>
      </w:r>
    </w:p>
    <w:p w14:paraId="7E68F2EE" w14:textId="77777777" w:rsidR="00523F1A" w:rsidRDefault="00523F1A" w:rsidP="00523F1A">
      <w:pPr>
        <w:autoSpaceDE w:val="0"/>
        <w:autoSpaceDN w:val="0"/>
        <w:adjustRightInd w:val="0"/>
        <w:ind w:firstLine="720"/>
        <w:jc w:val="both"/>
      </w:pPr>
      <w:r w:rsidRPr="007C2348">
        <w:t xml:space="preserve">Согласно информации Комитета о проведении внутреннего финансового контроля полномочие по внутреннему финансовому контролю в 2018 году в соответствии с приказом председателя комитета от </w:t>
      </w:r>
      <w:r w:rsidR="009B1DDF">
        <w:t>24</w:t>
      </w:r>
      <w:r w:rsidRPr="007C2348">
        <w:t>.1</w:t>
      </w:r>
      <w:r w:rsidR="009B1DDF">
        <w:t>1.2017</w:t>
      </w:r>
      <w:r w:rsidRPr="007C2348">
        <w:t xml:space="preserve"> №2</w:t>
      </w:r>
      <w:r w:rsidR="009B1DDF">
        <w:t>11</w:t>
      </w:r>
      <w:r w:rsidRPr="007C2348">
        <w:t xml:space="preserve">-ОД было возложено на отдел финансово-организационного обеспечения, которым </w:t>
      </w:r>
      <w:r>
        <w:t>в 2018 году Комитетом были проведены контрольные мероприятия</w:t>
      </w:r>
      <w:r w:rsidRPr="007C2348">
        <w:t xml:space="preserve"> по 11 бюджетным процедурам. </w:t>
      </w:r>
      <w:r>
        <w:t>Нарушений в ходе проверок не установлено.</w:t>
      </w:r>
    </w:p>
    <w:p w14:paraId="1B3C8C59" w14:textId="77777777" w:rsidR="00523F1A" w:rsidRDefault="00523F1A" w:rsidP="00523F1A">
      <w:pPr>
        <w:autoSpaceDE w:val="0"/>
        <w:autoSpaceDN w:val="0"/>
        <w:adjustRightInd w:val="0"/>
        <w:ind w:firstLine="720"/>
        <w:jc w:val="both"/>
      </w:pPr>
      <w:r>
        <w:t xml:space="preserve">Полномочия по осуществлению внутреннего финансового аудита </w:t>
      </w:r>
      <w:r w:rsidR="009B1DDF">
        <w:t xml:space="preserve">в соответствии с приказом Комитета </w:t>
      </w:r>
      <w:r w:rsidR="009B1DDF" w:rsidRPr="007C2348">
        <w:t xml:space="preserve">от </w:t>
      </w:r>
      <w:r w:rsidR="009B1DDF">
        <w:t>24</w:t>
      </w:r>
      <w:r w:rsidR="009B1DDF" w:rsidRPr="007C2348">
        <w:t>.1</w:t>
      </w:r>
      <w:r w:rsidR="009B1DDF">
        <w:t>1.2017</w:t>
      </w:r>
      <w:r w:rsidR="009B1DDF" w:rsidRPr="007C2348">
        <w:t xml:space="preserve"> №2</w:t>
      </w:r>
      <w:r w:rsidR="009B1DDF">
        <w:t>11</w:t>
      </w:r>
      <w:r w:rsidR="009B1DDF" w:rsidRPr="007C2348">
        <w:t>-ОД</w:t>
      </w:r>
      <w:r w:rsidR="009B1DDF">
        <w:t xml:space="preserve"> </w:t>
      </w:r>
      <w:r>
        <w:t>возложены на заместителя председателя Комитета.</w:t>
      </w:r>
    </w:p>
    <w:p w14:paraId="7CE0FDC8" w14:textId="77777777" w:rsidR="00523F1A" w:rsidRDefault="00523F1A" w:rsidP="00523F1A">
      <w:pPr>
        <w:autoSpaceDE w:val="0"/>
        <w:autoSpaceDN w:val="0"/>
        <w:adjustRightInd w:val="0"/>
        <w:ind w:firstLine="720"/>
        <w:jc w:val="both"/>
      </w:pPr>
      <w:r w:rsidRPr="00F00E2C">
        <w:t xml:space="preserve">Согласно представленному отчету </w:t>
      </w:r>
      <w:r>
        <w:t>в</w:t>
      </w:r>
      <w:r w:rsidRPr="00F00E2C">
        <w:t xml:space="preserve"> 201</w:t>
      </w:r>
      <w:r>
        <w:t>8</w:t>
      </w:r>
      <w:r w:rsidRPr="00F00E2C">
        <w:t xml:space="preserve"> год</w:t>
      </w:r>
      <w:r>
        <w:t>у</w:t>
      </w:r>
      <w:r w:rsidRPr="00F00E2C">
        <w:t xml:space="preserve"> проведено 2 проверки </w:t>
      </w:r>
      <w:r>
        <w:t xml:space="preserve">по соблюдению </w:t>
      </w:r>
      <w:r w:rsidRPr="00E12939">
        <w:t>требований нормативных актов Российской Федерации, Администрации Волгоградской области, локальных нормативных актов Комитета в части исполнения бюджетных процедур, закрепленных в соответствии с приказом №211-од от 24.11.2017</w:t>
      </w:r>
      <w:r w:rsidRPr="00F00E2C">
        <w:t xml:space="preserve">: </w:t>
      </w:r>
    </w:p>
    <w:p w14:paraId="5E74DE7C" w14:textId="77777777" w:rsidR="00523F1A" w:rsidRDefault="00523F1A" w:rsidP="00523F1A">
      <w:pPr>
        <w:pStyle w:val="afb"/>
        <w:numPr>
          <w:ilvl w:val="0"/>
          <w:numId w:val="24"/>
        </w:numPr>
        <w:autoSpaceDE w:val="0"/>
        <w:autoSpaceDN w:val="0"/>
        <w:adjustRightInd w:val="0"/>
        <w:ind w:left="0" w:firstLine="720"/>
        <w:jc w:val="both"/>
      </w:pPr>
      <w:r>
        <w:t>отделом государственных услуг управления регулирования торговой деятельности;</w:t>
      </w:r>
    </w:p>
    <w:p w14:paraId="44882C90" w14:textId="77777777" w:rsidR="00523F1A" w:rsidRDefault="00523F1A" w:rsidP="00523F1A">
      <w:pPr>
        <w:pStyle w:val="afb"/>
        <w:numPr>
          <w:ilvl w:val="0"/>
          <w:numId w:val="24"/>
        </w:numPr>
        <w:autoSpaceDE w:val="0"/>
        <w:autoSpaceDN w:val="0"/>
        <w:adjustRightInd w:val="0"/>
        <w:ind w:left="0" w:firstLine="720"/>
        <w:jc w:val="both"/>
      </w:pPr>
      <w:r>
        <w:t>отделом финансово-организационного обеспечения.</w:t>
      </w:r>
    </w:p>
    <w:p w14:paraId="37227145" w14:textId="77777777" w:rsidR="009B1DDF" w:rsidRDefault="009B1DDF" w:rsidP="009B1DDF">
      <w:pPr>
        <w:pStyle w:val="afb"/>
        <w:autoSpaceDE w:val="0"/>
        <w:autoSpaceDN w:val="0"/>
        <w:adjustRightInd w:val="0"/>
        <w:ind w:left="0" w:firstLine="709"/>
        <w:jc w:val="both"/>
      </w:pPr>
      <w:r>
        <w:t>Нарушений проверками не установлено.</w:t>
      </w:r>
    </w:p>
    <w:p w14:paraId="3F603F8E" w14:textId="77777777" w:rsidR="009A5D7D" w:rsidRDefault="009A5D7D" w:rsidP="00FE3CA9">
      <w:pPr>
        <w:ind w:firstLine="709"/>
        <w:jc w:val="both"/>
        <w:rPr>
          <w:b/>
          <w:i/>
        </w:rPr>
      </w:pPr>
    </w:p>
    <w:p w14:paraId="6A72FC1B" w14:textId="77777777" w:rsidR="004B505E" w:rsidRDefault="004B505E" w:rsidP="00FE3CA9">
      <w:pPr>
        <w:ind w:firstLine="709"/>
        <w:jc w:val="both"/>
        <w:rPr>
          <w:b/>
          <w:i/>
        </w:rPr>
      </w:pPr>
      <w:r w:rsidRPr="002455F9">
        <w:rPr>
          <w:b/>
          <w:i/>
        </w:rPr>
        <w:t>Выводы:</w:t>
      </w:r>
    </w:p>
    <w:p w14:paraId="583E89A0" w14:textId="77777777" w:rsidR="00523F1A" w:rsidRPr="00523F1A" w:rsidRDefault="00523F1A" w:rsidP="00523F1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</w:rPr>
      </w:pPr>
      <w:r w:rsidRPr="00523F1A">
        <w:rPr>
          <w:rFonts w:eastAsia="Calibri"/>
          <w:b/>
        </w:rPr>
        <w:lastRenderedPageBreak/>
        <w:t>1.</w:t>
      </w:r>
      <w:r w:rsidRPr="00523F1A">
        <w:rPr>
          <w:rFonts w:eastAsia="Calibri"/>
        </w:rPr>
        <w:t xml:space="preserve"> При проверке достоверности </w:t>
      </w:r>
      <w:r w:rsidR="00E31190">
        <w:rPr>
          <w:rFonts w:eastAsia="Calibri"/>
        </w:rPr>
        <w:t>бюджетной отчетности установлен</w:t>
      </w:r>
      <w:r w:rsidRPr="00523F1A">
        <w:rPr>
          <w:rFonts w:eastAsia="Calibri"/>
        </w:rPr>
        <w:t xml:space="preserve"> </w:t>
      </w:r>
      <w:r w:rsidR="00E31190">
        <w:rPr>
          <w:rFonts w:eastAsia="Calibri"/>
        </w:rPr>
        <w:t>1</w:t>
      </w:r>
      <w:r w:rsidRPr="00523F1A">
        <w:rPr>
          <w:rFonts w:eastAsia="Calibri"/>
        </w:rPr>
        <w:t xml:space="preserve"> случа</w:t>
      </w:r>
      <w:r w:rsidR="00E31190">
        <w:rPr>
          <w:rFonts w:eastAsia="Calibri"/>
        </w:rPr>
        <w:t>й</w:t>
      </w:r>
      <w:r w:rsidRPr="00523F1A">
        <w:rPr>
          <w:rFonts w:eastAsia="Calibri"/>
        </w:rPr>
        <w:t xml:space="preserve"> </w:t>
      </w:r>
      <w:r w:rsidR="00E31190">
        <w:rPr>
          <w:rFonts w:eastAsia="Calibri"/>
        </w:rPr>
        <w:t xml:space="preserve">грубого </w:t>
      </w:r>
      <w:r w:rsidRPr="00523F1A">
        <w:rPr>
          <w:rFonts w:eastAsia="Calibri"/>
        </w:rPr>
        <w:t>нарушения положений Инструкции №191н. В ходе проверки Комитетом исправлен</w:t>
      </w:r>
      <w:r w:rsidR="00F54C50">
        <w:rPr>
          <w:rFonts w:eastAsia="Calibri"/>
        </w:rPr>
        <w:t>ная</w:t>
      </w:r>
      <w:r w:rsidRPr="00523F1A">
        <w:rPr>
          <w:rFonts w:eastAsia="Calibri"/>
        </w:rPr>
        <w:t xml:space="preserve"> форм</w:t>
      </w:r>
      <w:r w:rsidR="00F54C50">
        <w:rPr>
          <w:rFonts w:eastAsia="Calibri"/>
        </w:rPr>
        <w:t>а</w:t>
      </w:r>
      <w:r w:rsidRPr="00523F1A">
        <w:rPr>
          <w:rFonts w:eastAsia="Calibri"/>
        </w:rPr>
        <w:t xml:space="preserve"> бюджетной отчетности представлен</w:t>
      </w:r>
      <w:r w:rsidR="00F54C50">
        <w:rPr>
          <w:rFonts w:eastAsia="Calibri"/>
        </w:rPr>
        <w:t>а</w:t>
      </w:r>
      <w:r w:rsidRPr="00523F1A">
        <w:rPr>
          <w:rFonts w:eastAsia="Calibri"/>
        </w:rPr>
        <w:t xml:space="preserve"> в </w:t>
      </w:r>
      <w:proofErr w:type="spellStart"/>
      <w:r w:rsidR="00F54C50">
        <w:rPr>
          <w:rFonts w:eastAsia="Calibri"/>
        </w:rPr>
        <w:t>Облфин</w:t>
      </w:r>
      <w:proofErr w:type="spellEnd"/>
      <w:r w:rsidRPr="00523F1A">
        <w:rPr>
          <w:rFonts w:eastAsia="Calibri"/>
        </w:rPr>
        <w:t xml:space="preserve">. </w:t>
      </w:r>
    </w:p>
    <w:p w14:paraId="72329597" w14:textId="77777777" w:rsidR="00065B20" w:rsidRDefault="00F54C50" w:rsidP="00065B20">
      <w:pPr>
        <w:ind w:firstLine="709"/>
        <w:jc w:val="both"/>
      </w:pPr>
      <w:r>
        <w:rPr>
          <w:b/>
        </w:rPr>
        <w:t>2</w:t>
      </w:r>
      <w:r w:rsidR="00523F1A" w:rsidRPr="00523F1A">
        <w:rPr>
          <w:b/>
        </w:rPr>
        <w:t>.</w:t>
      </w:r>
      <w:r w:rsidR="00523F1A" w:rsidRPr="00523F1A">
        <w:t xml:space="preserve"> Расходы, утверждённые Комитету, исполнены на 99,</w:t>
      </w:r>
      <w:r>
        <w:t>6</w:t>
      </w:r>
      <w:r w:rsidR="00523F1A" w:rsidRPr="00523F1A">
        <w:t xml:space="preserve">%, объём неисполненных назначений составил </w:t>
      </w:r>
      <w:r>
        <w:t>586,7</w:t>
      </w:r>
      <w:r w:rsidR="00523F1A" w:rsidRPr="00523F1A">
        <w:t xml:space="preserve"> тыс. руб. </w:t>
      </w:r>
      <w:r w:rsidR="001D1308" w:rsidRPr="004E0AF9">
        <w:t xml:space="preserve">в связи </w:t>
      </w:r>
      <w:r w:rsidR="00065B20">
        <w:t>с экономией средств, предоставленных на обеспечение деятельности государственных органов (по оплате труда и прочим выплатам с начислениями) и с не</w:t>
      </w:r>
      <w:r w:rsidR="003F1F62">
        <w:t xml:space="preserve">полной </w:t>
      </w:r>
      <w:r w:rsidR="00065B20">
        <w:t>востребованностью субсидии МУП «Водопроводно-канализационное хозяйство» городского округа – город Волжский (заявительный характер субсидии).</w:t>
      </w:r>
    </w:p>
    <w:p w14:paraId="19A1B33A" w14:textId="77777777" w:rsidR="00065B20" w:rsidRDefault="001D1308" w:rsidP="001D1308">
      <w:pPr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523F1A" w:rsidRPr="00523F1A">
        <w:rPr>
          <w:b/>
        </w:rPr>
        <w:t>.</w:t>
      </w:r>
      <w:r w:rsidR="00523F1A" w:rsidRPr="00523F1A">
        <w:t xml:space="preserve"> Исполнение по доходам за 201</w:t>
      </w:r>
      <w:r>
        <w:t>8</w:t>
      </w:r>
      <w:r w:rsidR="00523F1A" w:rsidRPr="00523F1A">
        <w:t xml:space="preserve"> год составило </w:t>
      </w:r>
      <w:r w:rsidRPr="003521D4">
        <w:rPr>
          <w:rFonts w:eastAsia="Calibri"/>
        </w:rPr>
        <w:t>65 528,7</w:t>
      </w:r>
      <w:r w:rsidR="00523F1A" w:rsidRPr="00523F1A">
        <w:t xml:space="preserve"> тыс. руб., или на </w:t>
      </w:r>
      <w:r>
        <w:t>4</w:t>
      </w:r>
      <w:r w:rsidR="00523F1A" w:rsidRPr="00523F1A">
        <w:t xml:space="preserve">% больше плановых назначений. Перевыполнение прогнозного показателя </w:t>
      </w:r>
      <w:r w:rsidR="00065B20">
        <w:t xml:space="preserve">(по госпошлине) </w:t>
      </w:r>
      <w:r w:rsidR="00523F1A" w:rsidRPr="00523F1A">
        <w:t xml:space="preserve">произошло по причине </w:t>
      </w:r>
      <w:r w:rsidR="00065B20">
        <w:t xml:space="preserve">заявительного характера выдачи </w:t>
      </w:r>
      <w:r w:rsidR="00065B20" w:rsidRPr="003521D4">
        <w:t>лицензий</w:t>
      </w:r>
      <w:r w:rsidR="00065B20">
        <w:t>.</w:t>
      </w:r>
      <w:r w:rsidR="00065B20" w:rsidRPr="003521D4">
        <w:t xml:space="preserve"> </w:t>
      </w:r>
    </w:p>
    <w:p w14:paraId="6B6564CD" w14:textId="77777777" w:rsidR="00544CD8" w:rsidRDefault="00544CD8" w:rsidP="00523F1A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523F1A" w:rsidRPr="00523F1A">
        <w:rPr>
          <w:b/>
        </w:rPr>
        <w:t xml:space="preserve">. </w:t>
      </w:r>
      <w:r w:rsidR="00523F1A" w:rsidRPr="00523F1A">
        <w:t>Комитет является адм</w:t>
      </w:r>
      <w:r w:rsidR="00065B20">
        <w:t xml:space="preserve">инистратором доходов по штрафам, поступающим в местный бюджет (бюджет г. Волгограда). </w:t>
      </w:r>
      <w:r w:rsidR="00523F1A" w:rsidRPr="00523F1A">
        <w:t>За 201</w:t>
      </w:r>
      <w:r>
        <w:t>8</w:t>
      </w:r>
      <w:r w:rsidR="00523F1A" w:rsidRPr="00523F1A">
        <w:t xml:space="preserve"> год было начислено штрафных </w:t>
      </w:r>
      <w:proofErr w:type="gramStart"/>
      <w:r w:rsidR="00523F1A" w:rsidRPr="00523F1A">
        <w:t>санкций  на</w:t>
      </w:r>
      <w:proofErr w:type="gramEnd"/>
      <w:r w:rsidR="00523F1A" w:rsidRPr="00523F1A">
        <w:t xml:space="preserve"> общую сумму </w:t>
      </w:r>
      <w:r>
        <w:t>11 555,0</w:t>
      </w:r>
      <w:r w:rsidR="00523F1A" w:rsidRPr="00523F1A">
        <w:t xml:space="preserve"> тыс.руб.,  поступило – </w:t>
      </w:r>
      <w:r>
        <w:t>3 107,9</w:t>
      </w:r>
      <w:r w:rsidR="00523F1A" w:rsidRPr="00523F1A">
        <w:t xml:space="preserve"> тыс. руб., </w:t>
      </w:r>
      <w:r>
        <w:t>сумма списанной задолженности – 11 721,1 тыс. рублей</w:t>
      </w:r>
      <w:r w:rsidR="00523F1A" w:rsidRPr="00523F1A">
        <w:t>. Размер дебиторской задолженности на конец 201</w:t>
      </w:r>
      <w:r>
        <w:t>8</w:t>
      </w:r>
      <w:r w:rsidR="00523F1A" w:rsidRPr="00523F1A">
        <w:t xml:space="preserve"> года у</w:t>
      </w:r>
      <w:r>
        <w:t xml:space="preserve">меньшился </w:t>
      </w:r>
      <w:r w:rsidR="00523F1A" w:rsidRPr="00523F1A">
        <w:t xml:space="preserve">на </w:t>
      </w:r>
      <w:r>
        <w:t>3</w:t>
      </w:r>
      <w:r w:rsidR="00523F1A" w:rsidRPr="00523F1A">
        <w:t> </w:t>
      </w:r>
      <w:r>
        <w:t>274</w:t>
      </w:r>
      <w:r w:rsidR="00523F1A" w:rsidRPr="00523F1A">
        <w:t>,</w:t>
      </w:r>
      <w:r>
        <w:t>0</w:t>
      </w:r>
      <w:r w:rsidR="00523F1A" w:rsidRPr="00523F1A">
        <w:t xml:space="preserve"> тыс. руб. (</w:t>
      </w:r>
      <w:r>
        <w:t>-20</w:t>
      </w:r>
      <w:r w:rsidR="00523F1A" w:rsidRPr="00523F1A">
        <w:t>%) и составил 1</w:t>
      </w:r>
      <w:r>
        <w:t>3</w:t>
      </w:r>
      <w:r w:rsidR="00523F1A" w:rsidRPr="00523F1A">
        <w:t> </w:t>
      </w:r>
      <w:r>
        <w:t>467</w:t>
      </w:r>
      <w:r w:rsidR="00523F1A" w:rsidRPr="00523F1A">
        <w:t xml:space="preserve">,9 тыс. рублей. </w:t>
      </w:r>
      <w:r>
        <w:t>Указанная сумма задолженности образовалась, в основном, за счет начислений 2018 года.</w:t>
      </w:r>
      <w:r w:rsidR="003F1F62">
        <w:t xml:space="preserve"> Материалы по неоплаченным штрафам Комитетом переданы в службу судебных приставов для взыскания задолженности в принудительном порядке.</w:t>
      </w:r>
    </w:p>
    <w:p w14:paraId="2BD8F72C" w14:textId="77777777" w:rsidR="00FF73D3" w:rsidRDefault="00544CD8" w:rsidP="00523F1A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b/>
        </w:rPr>
        <w:t>5</w:t>
      </w:r>
      <w:r w:rsidR="00523F1A" w:rsidRPr="00523F1A">
        <w:rPr>
          <w:rFonts w:eastAsia="Calibri"/>
          <w:b/>
        </w:rPr>
        <w:t>.</w:t>
      </w:r>
      <w:r w:rsidR="00523F1A" w:rsidRPr="00523F1A">
        <w:rPr>
          <w:rFonts w:eastAsia="Calibri"/>
        </w:rPr>
        <w:t xml:space="preserve"> </w:t>
      </w:r>
      <w:r w:rsidR="00523F1A" w:rsidRPr="00523F1A">
        <w:rPr>
          <w:rFonts w:eastAsia="Calibri"/>
          <w:bCs/>
        </w:rPr>
        <w:t xml:space="preserve">Государственная программа Комитета утверждена без финансового обеспечения. Госпрограммой установлено </w:t>
      </w:r>
      <w:r>
        <w:rPr>
          <w:rFonts w:eastAsia="Calibri"/>
          <w:bCs/>
        </w:rPr>
        <w:t>25</w:t>
      </w:r>
      <w:r w:rsidR="00523F1A" w:rsidRPr="00523F1A">
        <w:rPr>
          <w:rFonts w:eastAsia="Calibri"/>
          <w:bCs/>
        </w:rPr>
        <w:t xml:space="preserve"> целевых показателей. </w:t>
      </w:r>
      <w:r>
        <w:rPr>
          <w:rFonts w:eastAsia="Calibri"/>
          <w:bCs/>
        </w:rPr>
        <w:t xml:space="preserve">Процент выполнения целевых показателей колеблется в пределах от 0,63% до 4,4 раза. </w:t>
      </w:r>
      <w:r w:rsidR="00FF73D3">
        <w:rPr>
          <w:rFonts w:eastAsia="Calibri"/>
          <w:bCs/>
        </w:rPr>
        <w:t>Значительное перевыполнение наблюдается по четырем показателям Госпрограммы</w:t>
      </w:r>
      <w:r w:rsidR="007B64F3">
        <w:rPr>
          <w:rFonts w:eastAsia="Calibri"/>
          <w:bCs/>
        </w:rPr>
        <w:t>, из которых по</w:t>
      </w:r>
      <w:r w:rsidR="00FF73D3">
        <w:rPr>
          <w:rFonts w:eastAsia="Calibri"/>
          <w:bCs/>
        </w:rPr>
        <w:t xml:space="preserve"> тре</w:t>
      </w:r>
      <w:r w:rsidR="007B64F3">
        <w:rPr>
          <w:rFonts w:eastAsia="Calibri"/>
          <w:bCs/>
        </w:rPr>
        <w:t>м</w:t>
      </w:r>
      <w:r w:rsidR="00FF73D3">
        <w:rPr>
          <w:rFonts w:eastAsia="Calibri"/>
          <w:bCs/>
        </w:rPr>
        <w:t xml:space="preserve"> показател</w:t>
      </w:r>
      <w:r w:rsidR="007B64F3">
        <w:rPr>
          <w:rFonts w:eastAsia="Calibri"/>
          <w:bCs/>
        </w:rPr>
        <w:t>ям -</w:t>
      </w:r>
      <w:r w:rsidR="00FF73D3">
        <w:rPr>
          <w:rFonts w:eastAsia="Calibri"/>
          <w:bCs/>
        </w:rPr>
        <w:t xml:space="preserve"> обусловлено </w:t>
      </w:r>
      <w:r w:rsidR="00FF73D3">
        <w:t>проведением в 2018 году чемпионата мира по футболу, что привело к увеличению туристического потока. Перевыполнение</w:t>
      </w:r>
      <w:r w:rsidR="003F1F62">
        <w:t xml:space="preserve"> </w:t>
      </w:r>
      <w:r w:rsidR="00FF73D3">
        <w:t>четвертого показателя более чем в три раза связано с расширением списка композитной продукции и ежегодным увеличением количества потребителей композитной продукции.</w:t>
      </w:r>
    </w:p>
    <w:p w14:paraId="3D8F1FA3" w14:textId="77777777" w:rsidR="003F1F62" w:rsidRDefault="006B3317" w:rsidP="00F17B60">
      <w:pPr>
        <w:ind w:firstLine="709"/>
        <w:jc w:val="both"/>
      </w:pPr>
      <w:r w:rsidRPr="00F17B60">
        <w:rPr>
          <w:b/>
        </w:rPr>
        <w:t>6.</w:t>
      </w:r>
      <w:r>
        <w:t xml:space="preserve"> </w:t>
      </w:r>
      <w:r w:rsidR="007B64F3">
        <w:t xml:space="preserve">Дебиторская задолженность Комитета на конец 2018 года составила 93 256,3 тыс. руб., что на 74 244,0 тыс. руб., или в 5 раз больше чем на начало года. Образована в основном за счет задолженности по субсидии Регионального фонда (возвращена в январе 2019 года). </w:t>
      </w:r>
    </w:p>
    <w:p w14:paraId="36BD8316" w14:textId="77777777" w:rsidR="00244E1B" w:rsidRDefault="007B64F3" w:rsidP="00244E1B">
      <w:pPr>
        <w:pStyle w:val="Default"/>
        <w:ind w:firstLine="709"/>
        <w:jc w:val="both"/>
      </w:pPr>
      <w:r w:rsidRPr="007B64F3">
        <w:rPr>
          <w:b/>
        </w:rPr>
        <w:t>7</w:t>
      </w:r>
      <w:r>
        <w:t xml:space="preserve">. </w:t>
      </w:r>
      <w:r w:rsidR="00F17B60" w:rsidRPr="00234901">
        <w:t>Кредиторская задолженность на конец 201</w:t>
      </w:r>
      <w:r w:rsidR="00F17B60">
        <w:t>8</w:t>
      </w:r>
      <w:r w:rsidR="00F17B60" w:rsidRPr="00234901">
        <w:t xml:space="preserve"> года составила </w:t>
      </w:r>
      <w:r w:rsidR="00F17B60">
        <w:t>5 320</w:t>
      </w:r>
      <w:r w:rsidR="00F17B60" w:rsidRPr="00384BBF">
        <w:t>,</w:t>
      </w:r>
      <w:r w:rsidR="00F17B60">
        <w:t>2</w:t>
      </w:r>
      <w:r w:rsidR="003F1F62">
        <w:t xml:space="preserve"> </w:t>
      </w:r>
      <w:r w:rsidR="00F17B60" w:rsidRPr="00234901">
        <w:t xml:space="preserve">тыс. руб., что на </w:t>
      </w:r>
      <w:r w:rsidR="00F17B60" w:rsidRPr="00384BBF">
        <w:t>2</w:t>
      </w:r>
      <w:r w:rsidR="00F17B60">
        <w:t> </w:t>
      </w:r>
      <w:r w:rsidR="00F17B60" w:rsidRPr="00384BBF">
        <w:t>939,3</w:t>
      </w:r>
      <w:r w:rsidR="00F17B60" w:rsidRPr="00234901">
        <w:t xml:space="preserve"> тыс. руб., или </w:t>
      </w:r>
      <w:r w:rsidR="00F17B60">
        <w:t>в 2,2 раза бол</w:t>
      </w:r>
      <w:r w:rsidR="00F17B60" w:rsidRPr="00234901">
        <w:t xml:space="preserve">ьше, чем на начало года, за счет </w:t>
      </w:r>
      <w:r w:rsidR="00F17B60">
        <w:t>увеличения</w:t>
      </w:r>
      <w:r w:rsidR="00F17B60" w:rsidRPr="00234901">
        <w:t xml:space="preserve"> задолженности по доходам</w:t>
      </w:r>
      <w:r w:rsidR="00F17B60">
        <w:t xml:space="preserve"> </w:t>
      </w:r>
      <w:r w:rsidR="00F17B60" w:rsidRPr="0059627A">
        <w:t>по причине оплаты соискателями государственной пошлины за лицензии</w:t>
      </w:r>
      <w:r w:rsidR="00F17B60">
        <w:t xml:space="preserve"> на розничную продажу алкогольной продукции</w:t>
      </w:r>
      <w:r w:rsidR="00F17B60" w:rsidRPr="0059627A">
        <w:t xml:space="preserve">, но </w:t>
      </w:r>
      <w:r w:rsidR="00F17B60">
        <w:t>не</w:t>
      </w:r>
      <w:r w:rsidR="00F17B60" w:rsidRPr="0059627A">
        <w:t xml:space="preserve">получением ими лицензий на </w:t>
      </w:r>
      <w:r w:rsidR="00F17B60" w:rsidRPr="00370979">
        <w:t>конец года. Просроченная кредиторская задолженность на конец</w:t>
      </w:r>
      <w:r w:rsidR="00244E1B" w:rsidRPr="00370979">
        <w:t xml:space="preserve"> года составила 81,8 тыс. руб</w:t>
      </w:r>
      <w:r w:rsidR="00F17B60" w:rsidRPr="00370979">
        <w:t>.</w:t>
      </w:r>
      <w:r w:rsidR="00244E1B" w:rsidRPr="00370979">
        <w:t>, списание которой не произведено по состоянию на 01.01.2019, чем нарушен</w:t>
      </w:r>
      <w:r w:rsidR="001145C6" w:rsidRPr="00370979">
        <w:t>ы</w:t>
      </w:r>
      <w:r w:rsidR="00244E1B" w:rsidRPr="00370979">
        <w:t xml:space="preserve"> п.п. «в» п. 3.48 Методических рекомендаций по инвентаризации и с п.п.5.3 и 9.7 Приказа об учетной политике, </w:t>
      </w:r>
      <w:proofErr w:type="spellStart"/>
      <w:r w:rsidR="00244E1B" w:rsidRPr="00370979">
        <w:t>устанавливающиго</w:t>
      </w:r>
      <w:proofErr w:type="spellEnd"/>
      <w:r w:rsidR="00244E1B" w:rsidRPr="00370979">
        <w:t xml:space="preserve"> Порядок списания невостребованной кредиторской задолженности.</w:t>
      </w:r>
    </w:p>
    <w:p w14:paraId="1F5AB8CA" w14:textId="77777777" w:rsidR="005153AE" w:rsidRDefault="003F1F62" w:rsidP="00612692">
      <w:pPr>
        <w:ind w:firstLine="709"/>
        <w:jc w:val="both"/>
      </w:pPr>
      <w:r>
        <w:t xml:space="preserve">Кроме того, </w:t>
      </w:r>
      <w:r w:rsidR="00612692">
        <w:t xml:space="preserve">сумма кредиторской задолженности, срок исковой давности которой истечет в 2019 году, составит 126,5 тыс. рублей. </w:t>
      </w:r>
      <w:r w:rsidR="005153AE">
        <w:t xml:space="preserve">В случае </w:t>
      </w:r>
      <w:r w:rsidR="00612692">
        <w:t xml:space="preserve">ее </w:t>
      </w:r>
      <w:r w:rsidR="005153AE">
        <w:t xml:space="preserve">невостребованности кредиторами указанная задолженность подлежит списанию в соответствии с установленным </w:t>
      </w:r>
      <w:r w:rsidR="00612692">
        <w:t>П</w:t>
      </w:r>
      <w:r w:rsidR="005153AE">
        <w:t>орядком в 2019 году.</w:t>
      </w:r>
    </w:p>
    <w:p w14:paraId="766FD008" w14:textId="77777777" w:rsidR="001D64D0" w:rsidRDefault="005153AE" w:rsidP="001D64D0">
      <w:pPr>
        <w:ind w:firstLine="708"/>
        <w:jc w:val="both"/>
      </w:pPr>
      <w:r w:rsidRPr="005153AE">
        <w:rPr>
          <w:b/>
        </w:rPr>
        <w:t>9</w:t>
      </w:r>
      <w:r w:rsidR="007B64F3" w:rsidRPr="005153AE">
        <w:rPr>
          <w:b/>
        </w:rPr>
        <w:t>.</w:t>
      </w:r>
      <w:r w:rsidR="007B64F3">
        <w:t xml:space="preserve"> </w:t>
      </w:r>
      <w:r w:rsidR="00A7555E">
        <w:t xml:space="preserve">Достижение целевого показателя результативности использования Региональным фондом субсидии, предоставленной из областного бюджета, составило </w:t>
      </w:r>
      <w:r w:rsidR="00612692">
        <w:t xml:space="preserve">по отчету </w:t>
      </w:r>
      <w:r w:rsidR="00A7555E">
        <w:t xml:space="preserve">100%, в то время </w:t>
      </w:r>
      <w:r w:rsidR="00612692">
        <w:t xml:space="preserve">как </w:t>
      </w:r>
      <w:r w:rsidR="00A7555E">
        <w:t xml:space="preserve">использование средств субсидии, полученной Фондом в 2018 году для финансового обеспечения проектов развития, составило 6,8% от общего объема полученных средств, что свидетельствует </w:t>
      </w:r>
      <w:r w:rsidR="001D64D0">
        <w:t>об отсутствии взаимосвязи объема выданных средств и количества выданных займов.</w:t>
      </w:r>
    </w:p>
    <w:p w14:paraId="3A8CBB04" w14:textId="77777777" w:rsidR="0049123F" w:rsidRDefault="0049123F" w:rsidP="0049123F">
      <w:pPr>
        <w:pStyle w:val="ae"/>
        <w:spacing w:before="0" w:beforeAutospacing="0" w:after="0" w:afterAutospacing="0"/>
        <w:ind w:firstLine="680"/>
        <w:jc w:val="both"/>
      </w:pPr>
      <w:r w:rsidRPr="00370979">
        <w:rPr>
          <w:b/>
        </w:rPr>
        <w:lastRenderedPageBreak/>
        <w:t>10</w:t>
      </w:r>
      <w:r w:rsidRPr="00370979">
        <w:t xml:space="preserve">. В связи с несвоевременным исполнением Комитетом обязательств по своевременному внесению платежей во внебюджетные фонды по причине несвоевременного финансирования </w:t>
      </w:r>
      <w:proofErr w:type="spellStart"/>
      <w:r w:rsidRPr="00370979">
        <w:t>Облфином</w:t>
      </w:r>
      <w:proofErr w:type="spellEnd"/>
      <w:r w:rsidRPr="00370979">
        <w:t xml:space="preserve"> заявок на оплату расходов увеличены расходы областного бюджета в виде оплаты пени за нарушение законодательства о налогах и сборах, страховых взносах на общую сумму 3,5 тыс. руб., которые не отвечают принципу эффективности использования бюджетных средств.</w:t>
      </w:r>
      <w:r w:rsidRPr="00E670B2">
        <w:t xml:space="preserve"> </w:t>
      </w:r>
    </w:p>
    <w:p w14:paraId="43EF68E3" w14:textId="77777777" w:rsidR="0049123F" w:rsidRDefault="0049123F" w:rsidP="00A7555E">
      <w:pPr>
        <w:ind w:firstLine="708"/>
        <w:jc w:val="both"/>
      </w:pPr>
    </w:p>
    <w:p w14:paraId="52979D89" w14:textId="77777777" w:rsidR="00A7555E" w:rsidRDefault="00A7555E" w:rsidP="00A7555E">
      <w:pPr>
        <w:ind w:firstLine="709"/>
        <w:rPr>
          <w:b/>
          <w:i/>
          <w:highlight w:val="yellow"/>
        </w:rPr>
      </w:pPr>
    </w:p>
    <w:p w14:paraId="1D837F24" w14:textId="77777777" w:rsidR="00B12A35" w:rsidRDefault="00913D82" w:rsidP="00D748A9">
      <w:pPr>
        <w:ind w:firstLine="709"/>
        <w:rPr>
          <w:b/>
          <w:i/>
        </w:rPr>
      </w:pPr>
      <w:r w:rsidRPr="006903C5">
        <w:rPr>
          <w:b/>
          <w:i/>
        </w:rPr>
        <w:t>Предложени</w:t>
      </w:r>
      <w:r w:rsidR="0040669A">
        <w:rPr>
          <w:b/>
          <w:i/>
        </w:rPr>
        <w:t>я</w:t>
      </w:r>
      <w:r w:rsidR="00B12A35">
        <w:rPr>
          <w:b/>
          <w:i/>
        </w:rPr>
        <w:t>:</w:t>
      </w:r>
    </w:p>
    <w:p w14:paraId="58B150E8" w14:textId="77777777" w:rsidR="00BA7289" w:rsidRDefault="00BA7289" w:rsidP="00F17B60">
      <w:pPr>
        <w:ind w:firstLine="709"/>
        <w:jc w:val="both"/>
      </w:pPr>
    </w:p>
    <w:p w14:paraId="2579C367" w14:textId="77777777" w:rsidR="00BA7289" w:rsidRPr="00612692" w:rsidRDefault="00BA7289" w:rsidP="00BA7289">
      <w:pPr>
        <w:pStyle w:val="afb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</w:rPr>
      </w:pPr>
      <w:r>
        <w:t>Завершить в 2019 году процедуру списания кредиторской задолженности, невостребованной кредиторами на сумму 81,8 тыс. руб., по которой в 2018 году истекли сроки исковой давности</w:t>
      </w:r>
      <w:r w:rsidR="00612692">
        <w:t>.</w:t>
      </w:r>
      <w:r>
        <w:t xml:space="preserve"> </w:t>
      </w:r>
      <w:r w:rsidRPr="00612692">
        <w:rPr>
          <w:bCs/>
        </w:rPr>
        <w:t xml:space="preserve">В </w:t>
      </w:r>
      <w:r w:rsidR="003B51F1">
        <w:rPr>
          <w:bCs/>
        </w:rPr>
        <w:t xml:space="preserve">случае </w:t>
      </w:r>
      <w:r w:rsidRPr="00612692">
        <w:rPr>
          <w:bCs/>
        </w:rPr>
        <w:t>невостребованно</w:t>
      </w:r>
      <w:r w:rsidR="003B51F1">
        <w:rPr>
          <w:bCs/>
        </w:rPr>
        <w:t>сти</w:t>
      </w:r>
      <w:r w:rsidRPr="00612692">
        <w:rPr>
          <w:bCs/>
        </w:rPr>
        <w:t xml:space="preserve"> кредитор</w:t>
      </w:r>
      <w:r w:rsidR="003B51F1">
        <w:rPr>
          <w:bCs/>
        </w:rPr>
        <w:t>ами</w:t>
      </w:r>
      <w:r w:rsidRPr="00612692">
        <w:rPr>
          <w:bCs/>
        </w:rPr>
        <w:t xml:space="preserve"> задолженности</w:t>
      </w:r>
      <w:r w:rsidR="003B51F1" w:rsidRPr="003B51F1">
        <w:rPr>
          <w:bCs/>
        </w:rPr>
        <w:t xml:space="preserve"> </w:t>
      </w:r>
      <w:r w:rsidR="003B51F1" w:rsidRPr="00612692">
        <w:rPr>
          <w:bCs/>
        </w:rPr>
        <w:t>в сумме 126,5 тыс. руб.</w:t>
      </w:r>
      <w:r w:rsidR="003B51F1">
        <w:rPr>
          <w:bCs/>
        </w:rPr>
        <w:t xml:space="preserve">, </w:t>
      </w:r>
      <w:r w:rsidRPr="00612692">
        <w:rPr>
          <w:bCs/>
        </w:rPr>
        <w:t>срок исковой давности</w:t>
      </w:r>
      <w:r w:rsidR="003B51F1">
        <w:rPr>
          <w:bCs/>
        </w:rPr>
        <w:t xml:space="preserve"> которой истечет в 2019 году</w:t>
      </w:r>
      <w:r w:rsidRPr="00612692">
        <w:rPr>
          <w:bCs/>
        </w:rPr>
        <w:t xml:space="preserve">, обеспечить </w:t>
      </w:r>
      <w:r w:rsidR="003B51F1">
        <w:rPr>
          <w:bCs/>
        </w:rPr>
        <w:t xml:space="preserve">ее </w:t>
      </w:r>
      <w:r w:rsidRPr="00612692">
        <w:rPr>
          <w:bCs/>
        </w:rPr>
        <w:t>списани</w:t>
      </w:r>
      <w:r w:rsidR="005153AE" w:rsidRPr="00612692">
        <w:rPr>
          <w:bCs/>
        </w:rPr>
        <w:t>е</w:t>
      </w:r>
      <w:r w:rsidRPr="00612692">
        <w:rPr>
          <w:bCs/>
        </w:rPr>
        <w:t xml:space="preserve"> </w:t>
      </w:r>
      <w:r w:rsidR="005153AE" w:rsidRPr="00612692">
        <w:rPr>
          <w:bCs/>
        </w:rPr>
        <w:t xml:space="preserve">в соответствии с установленным </w:t>
      </w:r>
      <w:r w:rsidR="006C5399">
        <w:rPr>
          <w:bCs/>
        </w:rPr>
        <w:t>П</w:t>
      </w:r>
      <w:r w:rsidR="005153AE" w:rsidRPr="00612692">
        <w:rPr>
          <w:bCs/>
        </w:rPr>
        <w:t>орядком</w:t>
      </w:r>
      <w:r w:rsidR="00601056" w:rsidRPr="00612692">
        <w:rPr>
          <w:bCs/>
        </w:rPr>
        <w:t xml:space="preserve"> до составления годовой бюджетной отчетности</w:t>
      </w:r>
      <w:r w:rsidR="005153AE" w:rsidRPr="00612692">
        <w:rPr>
          <w:bCs/>
        </w:rPr>
        <w:t>.</w:t>
      </w:r>
      <w:r w:rsidR="00601056" w:rsidRPr="00612692">
        <w:rPr>
          <w:bCs/>
        </w:rPr>
        <w:t xml:space="preserve"> </w:t>
      </w:r>
    </w:p>
    <w:p w14:paraId="4B4A0834" w14:textId="77777777" w:rsidR="005153AE" w:rsidRPr="005153AE" w:rsidRDefault="00601056" w:rsidP="00BA7289">
      <w:pPr>
        <w:pStyle w:val="afb"/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Рассмотреть вопрос об </w:t>
      </w:r>
      <w:r w:rsidR="005153AE">
        <w:rPr>
          <w:bCs/>
        </w:rPr>
        <w:t>изменении</w:t>
      </w:r>
      <w:r>
        <w:rPr>
          <w:bCs/>
        </w:rPr>
        <w:t xml:space="preserve"> </w:t>
      </w:r>
      <w:r>
        <w:t xml:space="preserve">показателя результативности использования </w:t>
      </w:r>
      <w:r w:rsidR="005153AE">
        <w:t>Региональным ф</w:t>
      </w:r>
      <w:r>
        <w:t>ондом субсидии</w:t>
      </w:r>
      <w:r w:rsidR="006C5399">
        <w:t>, обеспечив его</w:t>
      </w:r>
      <w:r w:rsidR="005153AE">
        <w:t xml:space="preserve"> увязк</w:t>
      </w:r>
      <w:r w:rsidR="006C5399">
        <w:t>у</w:t>
      </w:r>
      <w:r w:rsidR="005153AE">
        <w:t xml:space="preserve"> с объемом выданной субсидии</w:t>
      </w:r>
      <w:r w:rsidR="006C5399">
        <w:t xml:space="preserve"> для финансового обеспечения проектов развития</w:t>
      </w:r>
      <w:r w:rsidR="005153AE">
        <w:t>.</w:t>
      </w:r>
    </w:p>
    <w:p w14:paraId="72299F29" w14:textId="77777777" w:rsidR="00BA7289" w:rsidRDefault="003435B4" w:rsidP="00F17B60">
      <w:pPr>
        <w:ind w:firstLine="709"/>
        <w:jc w:val="both"/>
      </w:pPr>
      <w:r>
        <w:t xml:space="preserve"> </w:t>
      </w:r>
    </w:p>
    <w:p w14:paraId="41CBD3CB" w14:textId="77777777" w:rsidR="009B2394" w:rsidRDefault="009B2394" w:rsidP="00D63823">
      <w:pPr>
        <w:widowControl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14:paraId="4388DBCD" w14:textId="77777777" w:rsidR="009B2394" w:rsidRDefault="009B2394" w:rsidP="00D63823">
      <w:pPr>
        <w:widowControl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14:paraId="74652521" w14:textId="77777777" w:rsidR="00047BC3" w:rsidRDefault="00D21D4D" w:rsidP="002F2691">
      <w:pPr>
        <w:tabs>
          <w:tab w:val="left" w:pos="2985"/>
        </w:tabs>
        <w:jc w:val="both"/>
        <w:rPr>
          <w:b/>
          <w:i/>
        </w:rPr>
      </w:pPr>
      <w:r w:rsidRPr="006729DF">
        <w:rPr>
          <w:b/>
          <w:i/>
        </w:rPr>
        <w:t>Аудитор</w:t>
      </w:r>
      <w:r>
        <w:rPr>
          <w:b/>
          <w:i/>
        </w:rPr>
        <w:t xml:space="preserve">    </w:t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>
        <w:rPr>
          <w:b/>
          <w:i/>
        </w:rPr>
        <w:t xml:space="preserve">           </w:t>
      </w:r>
      <w:r w:rsidRPr="006729DF">
        <w:rPr>
          <w:b/>
          <w:i/>
        </w:rPr>
        <w:t>Н.Л.</w:t>
      </w:r>
      <w:r>
        <w:rPr>
          <w:b/>
          <w:i/>
        </w:rPr>
        <w:t xml:space="preserve"> </w:t>
      </w:r>
      <w:proofErr w:type="spellStart"/>
      <w:r w:rsidRPr="006729DF">
        <w:rPr>
          <w:b/>
          <w:i/>
        </w:rPr>
        <w:t>Ноздрюхина</w:t>
      </w:r>
      <w:proofErr w:type="spellEnd"/>
    </w:p>
    <w:sectPr w:rsidR="00047BC3" w:rsidSect="000A7096">
      <w:headerReference w:type="even" r:id="rId9"/>
      <w:headerReference w:type="default" r:id="rId10"/>
      <w:footerReference w:type="default" r:id="rId11"/>
      <w:pgSz w:w="11906" w:h="16838"/>
      <w:pgMar w:top="510" w:right="851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1C1DC" w14:textId="77777777" w:rsidR="004B7CE7" w:rsidRDefault="004B7CE7">
      <w:r>
        <w:separator/>
      </w:r>
    </w:p>
  </w:endnote>
  <w:endnote w:type="continuationSeparator" w:id="0">
    <w:p w14:paraId="7D73B995" w14:textId="77777777" w:rsidR="004B7CE7" w:rsidRDefault="004B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B2A6D" w14:textId="77777777" w:rsidR="007454FB" w:rsidRDefault="007454FB">
    <w:pPr>
      <w:pStyle w:val="af4"/>
      <w:jc w:val="center"/>
    </w:pPr>
  </w:p>
  <w:p w14:paraId="51176586" w14:textId="77777777" w:rsidR="007454FB" w:rsidRDefault="007454F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A38FB" w14:textId="77777777" w:rsidR="004B7CE7" w:rsidRDefault="004B7CE7">
      <w:r>
        <w:separator/>
      </w:r>
    </w:p>
  </w:footnote>
  <w:footnote w:type="continuationSeparator" w:id="0">
    <w:p w14:paraId="4B8255B7" w14:textId="77777777" w:rsidR="004B7CE7" w:rsidRDefault="004B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5947" w14:textId="77777777" w:rsidR="007454FB" w:rsidRDefault="007454FB" w:rsidP="003C4B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3AC8AB" w14:textId="77777777" w:rsidR="007454FB" w:rsidRDefault="0074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92552"/>
      <w:docPartObj>
        <w:docPartGallery w:val="Page Numbers (Top of Page)"/>
        <w:docPartUnique/>
      </w:docPartObj>
    </w:sdtPr>
    <w:sdtEndPr/>
    <w:sdtContent>
      <w:p w14:paraId="37CE849D" w14:textId="77777777" w:rsidR="007454FB" w:rsidRDefault="004B7CE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5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23DCD" w14:textId="77777777" w:rsidR="007454FB" w:rsidRDefault="0074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12F1"/>
    <w:multiLevelType w:val="hybridMultilevel"/>
    <w:tmpl w:val="5366CEAC"/>
    <w:lvl w:ilvl="0" w:tplc="828C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07BAD"/>
    <w:multiLevelType w:val="hybridMultilevel"/>
    <w:tmpl w:val="DD5CB2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37746D"/>
    <w:multiLevelType w:val="hybridMultilevel"/>
    <w:tmpl w:val="F9B42D74"/>
    <w:lvl w:ilvl="0" w:tplc="F84C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852AF7"/>
    <w:multiLevelType w:val="hybridMultilevel"/>
    <w:tmpl w:val="E95887D6"/>
    <w:lvl w:ilvl="0" w:tplc="F006B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FA1B0D"/>
    <w:multiLevelType w:val="hybridMultilevel"/>
    <w:tmpl w:val="29E8F454"/>
    <w:lvl w:ilvl="0" w:tplc="B7C48AC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B47FE7"/>
    <w:multiLevelType w:val="hybridMultilevel"/>
    <w:tmpl w:val="716A91F4"/>
    <w:lvl w:ilvl="0" w:tplc="DE90D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B63E9E"/>
    <w:multiLevelType w:val="hybridMultilevel"/>
    <w:tmpl w:val="E95887D6"/>
    <w:lvl w:ilvl="0" w:tplc="F006B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32B67"/>
    <w:multiLevelType w:val="hybridMultilevel"/>
    <w:tmpl w:val="A64A1360"/>
    <w:lvl w:ilvl="0" w:tplc="0C64C3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700650"/>
    <w:multiLevelType w:val="hybridMultilevel"/>
    <w:tmpl w:val="F63044F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1942FD8"/>
    <w:multiLevelType w:val="hybridMultilevel"/>
    <w:tmpl w:val="A5C05D64"/>
    <w:lvl w:ilvl="0" w:tplc="0B9EF09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052FF0"/>
    <w:multiLevelType w:val="hybridMultilevel"/>
    <w:tmpl w:val="212AA67E"/>
    <w:lvl w:ilvl="0" w:tplc="35F45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2317E7"/>
    <w:multiLevelType w:val="multilevel"/>
    <w:tmpl w:val="75781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4DF7B40"/>
    <w:multiLevelType w:val="hybridMultilevel"/>
    <w:tmpl w:val="DBA02FB8"/>
    <w:lvl w:ilvl="0" w:tplc="044E6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0325A"/>
    <w:multiLevelType w:val="hybridMultilevel"/>
    <w:tmpl w:val="18A4C480"/>
    <w:lvl w:ilvl="0" w:tplc="3C6457D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46C06DBF"/>
    <w:multiLevelType w:val="multilevel"/>
    <w:tmpl w:val="1FB006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47F96CF0"/>
    <w:multiLevelType w:val="hybridMultilevel"/>
    <w:tmpl w:val="1162266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FB23340"/>
    <w:multiLevelType w:val="hybridMultilevel"/>
    <w:tmpl w:val="D5E8DF7C"/>
    <w:lvl w:ilvl="0" w:tplc="03ECB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B4E06"/>
    <w:multiLevelType w:val="hybridMultilevel"/>
    <w:tmpl w:val="A02E8690"/>
    <w:lvl w:ilvl="0" w:tplc="0FDCB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510E76"/>
    <w:multiLevelType w:val="hybridMultilevel"/>
    <w:tmpl w:val="3D6A78A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83753E"/>
    <w:multiLevelType w:val="hybridMultilevel"/>
    <w:tmpl w:val="B39CFCB2"/>
    <w:lvl w:ilvl="0" w:tplc="F6DE37D8">
      <w:start w:val="1"/>
      <w:numFmt w:val="decimal"/>
      <w:lvlText w:val="%1."/>
      <w:lvlJc w:val="left"/>
      <w:pPr>
        <w:ind w:left="2013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1209FE"/>
    <w:multiLevelType w:val="hybridMultilevel"/>
    <w:tmpl w:val="18E8EC6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83B7E7C"/>
    <w:multiLevelType w:val="hybridMultilevel"/>
    <w:tmpl w:val="7C0658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1E3BFC"/>
    <w:multiLevelType w:val="hybridMultilevel"/>
    <w:tmpl w:val="B1685C0E"/>
    <w:lvl w:ilvl="0" w:tplc="0FCC6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51120E"/>
    <w:multiLevelType w:val="hybridMultilevel"/>
    <w:tmpl w:val="8E980700"/>
    <w:lvl w:ilvl="0" w:tplc="CA5A722A">
      <w:start w:val="1"/>
      <w:numFmt w:val="decimal"/>
      <w:lvlText w:val="%1."/>
      <w:lvlJc w:val="left"/>
      <w:pPr>
        <w:ind w:left="176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7C791184"/>
    <w:multiLevelType w:val="hybridMultilevel"/>
    <w:tmpl w:val="5DDEA734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7FD30E2C"/>
    <w:multiLevelType w:val="hybridMultilevel"/>
    <w:tmpl w:val="C5CCC80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1"/>
  </w:num>
  <w:num w:numId="5">
    <w:abstractNumId w:val="8"/>
  </w:num>
  <w:num w:numId="6">
    <w:abstractNumId w:val="25"/>
  </w:num>
  <w:num w:numId="7">
    <w:abstractNumId w:val="24"/>
  </w:num>
  <w:num w:numId="8">
    <w:abstractNumId w:val="16"/>
  </w:num>
  <w:num w:numId="9">
    <w:abstractNumId w:val="10"/>
  </w:num>
  <w:num w:numId="10">
    <w:abstractNumId w:val="6"/>
  </w:num>
  <w:num w:numId="11">
    <w:abstractNumId w:val="18"/>
  </w:num>
  <w:num w:numId="12">
    <w:abstractNumId w:val="5"/>
  </w:num>
  <w:num w:numId="13">
    <w:abstractNumId w:val="2"/>
  </w:num>
  <w:num w:numId="14">
    <w:abstractNumId w:val="0"/>
  </w:num>
  <w:num w:numId="15">
    <w:abstractNumId w:val="4"/>
  </w:num>
  <w:num w:numId="16">
    <w:abstractNumId w:val="15"/>
  </w:num>
  <w:num w:numId="17">
    <w:abstractNumId w:val="20"/>
  </w:num>
  <w:num w:numId="18">
    <w:abstractNumId w:val="22"/>
  </w:num>
  <w:num w:numId="19">
    <w:abstractNumId w:val="7"/>
  </w:num>
  <w:num w:numId="20">
    <w:abstractNumId w:val="9"/>
  </w:num>
  <w:num w:numId="21">
    <w:abstractNumId w:val="14"/>
  </w:num>
  <w:num w:numId="22">
    <w:abstractNumId w:val="3"/>
  </w:num>
  <w:num w:numId="23">
    <w:abstractNumId w:val="11"/>
  </w:num>
  <w:num w:numId="24">
    <w:abstractNumId w:val="12"/>
  </w:num>
  <w:num w:numId="25">
    <w:abstractNumId w:val="17"/>
  </w:num>
  <w:num w:numId="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B45"/>
    <w:rsid w:val="00000715"/>
    <w:rsid w:val="00002C95"/>
    <w:rsid w:val="00002CA9"/>
    <w:rsid w:val="00003017"/>
    <w:rsid w:val="0000338C"/>
    <w:rsid w:val="00003CF4"/>
    <w:rsid w:val="00004303"/>
    <w:rsid w:val="00004767"/>
    <w:rsid w:val="00005287"/>
    <w:rsid w:val="0000551C"/>
    <w:rsid w:val="00005CF2"/>
    <w:rsid w:val="00005E77"/>
    <w:rsid w:val="00005FFE"/>
    <w:rsid w:val="000104EF"/>
    <w:rsid w:val="00010858"/>
    <w:rsid w:val="00011781"/>
    <w:rsid w:val="00012B9B"/>
    <w:rsid w:val="00014121"/>
    <w:rsid w:val="000150EA"/>
    <w:rsid w:val="000158A8"/>
    <w:rsid w:val="0002163A"/>
    <w:rsid w:val="00023E49"/>
    <w:rsid w:val="00024B68"/>
    <w:rsid w:val="0002547D"/>
    <w:rsid w:val="00025730"/>
    <w:rsid w:val="0002642F"/>
    <w:rsid w:val="0002698A"/>
    <w:rsid w:val="00031DBC"/>
    <w:rsid w:val="00031FF8"/>
    <w:rsid w:val="0003276F"/>
    <w:rsid w:val="000332F7"/>
    <w:rsid w:val="00034044"/>
    <w:rsid w:val="00034762"/>
    <w:rsid w:val="000350D6"/>
    <w:rsid w:val="00041754"/>
    <w:rsid w:val="00041C6D"/>
    <w:rsid w:val="0004294A"/>
    <w:rsid w:val="0004487A"/>
    <w:rsid w:val="0004530F"/>
    <w:rsid w:val="00045549"/>
    <w:rsid w:val="000458A9"/>
    <w:rsid w:val="0004783E"/>
    <w:rsid w:val="000478DA"/>
    <w:rsid w:val="00047BC3"/>
    <w:rsid w:val="000500D7"/>
    <w:rsid w:val="000518EC"/>
    <w:rsid w:val="000519C0"/>
    <w:rsid w:val="00052F0A"/>
    <w:rsid w:val="00052F9F"/>
    <w:rsid w:val="000535BC"/>
    <w:rsid w:val="00054AC7"/>
    <w:rsid w:val="00055997"/>
    <w:rsid w:val="00055B0D"/>
    <w:rsid w:val="00056616"/>
    <w:rsid w:val="00056896"/>
    <w:rsid w:val="00056AE1"/>
    <w:rsid w:val="000571DB"/>
    <w:rsid w:val="00057429"/>
    <w:rsid w:val="00060B86"/>
    <w:rsid w:val="00061746"/>
    <w:rsid w:val="000617D5"/>
    <w:rsid w:val="00061BC7"/>
    <w:rsid w:val="00061EFE"/>
    <w:rsid w:val="00061F5E"/>
    <w:rsid w:val="00063068"/>
    <w:rsid w:val="00064856"/>
    <w:rsid w:val="00065B20"/>
    <w:rsid w:val="000660BD"/>
    <w:rsid w:val="00070063"/>
    <w:rsid w:val="00070829"/>
    <w:rsid w:val="00070E1A"/>
    <w:rsid w:val="000711B4"/>
    <w:rsid w:val="00074212"/>
    <w:rsid w:val="00075594"/>
    <w:rsid w:val="00076765"/>
    <w:rsid w:val="00076D2D"/>
    <w:rsid w:val="00076DBB"/>
    <w:rsid w:val="0007714E"/>
    <w:rsid w:val="000810EE"/>
    <w:rsid w:val="0008471E"/>
    <w:rsid w:val="00084758"/>
    <w:rsid w:val="00084FDF"/>
    <w:rsid w:val="000852C7"/>
    <w:rsid w:val="0008552A"/>
    <w:rsid w:val="000855DD"/>
    <w:rsid w:val="0008695B"/>
    <w:rsid w:val="00091D55"/>
    <w:rsid w:val="00092A50"/>
    <w:rsid w:val="00093352"/>
    <w:rsid w:val="00094846"/>
    <w:rsid w:val="00094F57"/>
    <w:rsid w:val="000954E2"/>
    <w:rsid w:val="00095DC2"/>
    <w:rsid w:val="000961B4"/>
    <w:rsid w:val="00096297"/>
    <w:rsid w:val="000966C2"/>
    <w:rsid w:val="000969D1"/>
    <w:rsid w:val="00097687"/>
    <w:rsid w:val="00097719"/>
    <w:rsid w:val="000A056E"/>
    <w:rsid w:val="000A064E"/>
    <w:rsid w:val="000A0C11"/>
    <w:rsid w:val="000A2B7B"/>
    <w:rsid w:val="000A40E4"/>
    <w:rsid w:val="000A5D70"/>
    <w:rsid w:val="000A7096"/>
    <w:rsid w:val="000A79E2"/>
    <w:rsid w:val="000B0ABA"/>
    <w:rsid w:val="000B150F"/>
    <w:rsid w:val="000B2D27"/>
    <w:rsid w:val="000B3985"/>
    <w:rsid w:val="000B3AC4"/>
    <w:rsid w:val="000B3E6C"/>
    <w:rsid w:val="000B49FE"/>
    <w:rsid w:val="000B5587"/>
    <w:rsid w:val="000B740A"/>
    <w:rsid w:val="000C038C"/>
    <w:rsid w:val="000C0CD3"/>
    <w:rsid w:val="000C0E1F"/>
    <w:rsid w:val="000C0ED8"/>
    <w:rsid w:val="000C280B"/>
    <w:rsid w:val="000C3899"/>
    <w:rsid w:val="000C42E5"/>
    <w:rsid w:val="000C4419"/>
    <w:rsid w:val="000C4953"/>
    <w:rsid w:val="000C5051"/>
    <w:rsid w:val="000D0CE4"/>
    <w:rsid w:val="000D18A1"/>
    <w:rsid w:val="000D2088"/>
    <w:rsid w:val="000D3579"/>
    <w:rsid w:val="000D3B56"/>
    <w:rsid w:val="000D41A6"/>
    <w:rsid w:val="000D4903"/>
    <w:rsid w:val="000D5EB4"/>
    <w:rsid w:val="000D6B51"/>
    <w:rsid w:val="000D6F73"/>
    <w:rsid w:val="000D72EA"/>
    <w:rsid w:val="000D7C54"/>
    <w:rsid w:val="000D7F8B"/>
    <w:rsid w:val="000E031F"/>
    <w:rsid w:val="000E1BFB"/>
    <w:rsid w:val="000E245F"/>
    <w:rsid w:val="000E4A23"/>
    <w:rsid w:val="000E4BF5"/>
    <w:rsid w:val="000E5A77"/>
    <w:rsid w:val="000E5FA5"/>
    <w:rsid w:val="000E7D8A"/>
    <w:rsid w:val="000E7E71"/>
    <w:rsid w:val="000E7EC1"/>
    <w:rsid w:val="000F0ADD"/>
    <w:rsid w:val="000F0F2C"/>
    <w:rsid w:val="000F373D"/>
    <w:rsid w:val="000F56E5"/>
    <w:rsid w:val="000F799D"/>
    <w:rsid w:val="000F7EC2"/>
    <w:rsid w:val="0010089B"/>
    <w:rsid w:val="0010130C"/>
    <w:rsid w:val="00101AB1"/>
    <w:rsid w:val="00101F87"/>
    <w:rsid w:val="00102728"/>
    <w:rsid w:val="00103A8B"/>
    <w:rsid w:val="00103BFA"/>
    <w:rsid w:val="00103C92"/>
    <w:rsid w:val="00103E6F"/>
    <w:rsid w:val="00103EFC"/>
    <w:rsid w:val="00104B91"/>
    <w:rsid w:val="001054B8"/>
    <w:rsid w:val="00110521"/>
    <w:rsid w:val="00110740"/>
    <w:rsid w:val="001109BF"/>
    <w:rsid w:val="0011194E"/>
    <w:rsid w:val="0011229D"/>
    <w:rsid w:val="00112C8F"/>
    <w:rsid w:val="001145C6"/>
    <w:rsid w:val="0011629B"/>
    <w:rsid w:val="00116AB1"/>
    <w:rsid w:val="00116B4C"/>
    <w:rsid w:val="00117D0B"/>
    <w:rsid w:val="00121BCD"/>
    <w:rsid w:val="0012228A"/>
    <w:rsid w:val="00122640"/>
    <w:rsid w:val="001242CF"/>
    <w:rsid w:val="001249E0"/>
    <w:rsid w:val="001249F2"/>
    <w:rsid w:val="001251C6"/>
    <w:rsid w:val="001276BE"/>
    <w:rsid w:val="00130740"/>
    <w:rsid w:val="001309F1"/>
    <w:rsid w:val="00130ABD"/>
    <w:rsid w:val="00130DFB"/>
    <w:rsid w:val="00132A27"/>
    <w:rsid w:val="00133401"/>
    <w:rsid w:val="00133AC6"/>
    <w:rsid w:val="00137629"/>
    <w:rsid w:val="00137BA3"/>
    <w:rsid w:val="00140373"/>
    <w:rsid w:val="00140E80"/>
    <w:rsid w:val="00141E7F"/>
    <w:rsid w:val="00146678"/>
    <w:rsid w:val="001469F0"/>
    <w:rsid w:val="001473C7"/>
    <w:rsid w:val="00147553"/>
    <w:rsid w:val="0014764C"/>
    <w:rsid w:val="00147FAD"/>
    <w:rsid w:val="00150701"/>
    <w:rsid w:val="00150943"/>
    <w:rsid w:val="00150C95"/>
    <w:rsid w:val="00152548"/>
    <w:rsid w:val="00153C15"/>
    <w:rsid w:val="00157BE7"/>
    <w:rsid w:val="0016119F"/>
    <w:rsid w:val="001625C6"/>
    <w:rsid w:val="00162E6D"/>
    <w:rsid w:val="00163299"/>
    <w:rsid w:val="00163AD7"/>
    <w:rsid w:val="00163EFF"/>
    <w:rsid w:val="00164CB4"/>
    <w:rsid w:val="00165103"/>
    <w:rsid w:val="00166169"/>
    <w:rsid w:val="00167913"/>
    <w:rsid w:val="001700C0"/>
    <w:rsid w:val="00170F10"/>
    <w:rsid w:val="00170F7D"/>
    <w:rsid w:val="00171099"/>
    <w:rsid w:val="00171256"/>
    <w:rsid w:val="001712BA"/>
    <w:rsid w:val="00171674"/>
    <w:rsid w:val="00171908"/>
    <w:rsid w:val="00171EE3"/>
    <w:rsid w:val="0017202E"/>
    <w:rsid w:val="0017228E"/>
    <w:rsid w:val="00172462"/>
    <w:rsid w:val="001737FC"/>
    <w:rsid w:val="00173C42"/>
    <w:rsid w:val="00176CA0"/>
    <w:rsid w:val="0017703B"/>
    <w:rsid w:val="00181DFF"/>
    <w:rsid w:val="001829E6"/>
    <w:rsid w:val="00185E25"/>
    <w:rsid w:val="001879D5"/>
    <w:rsid w:val="00187C96"/>
    <w:rsid w:val="001901EB"/>
    <w:rsid w:val="00191DD7"/>
    <w:rsid w:val="00193462"/>
    <w:rsid w:val="001945E5"/>
    <w:rsid w:val="001948C3"/>
    <w:rsid w:val="00194DFF"/>
    <w:rsid w:val="00195069"/>
    <w:rsid w:val="0019638E"/>
    <w:rsid w:val="0019687F"/>
    <w:rsid w:val="00196F86"/>
    <w:rsid w:val="001976BC"/>
    <w:rsid w:val="00197DB1"/>
    <w:rsid w:val="001A0C85"/>
    <w:rsid w:val="001A312D"/>
    <w:rsid w:val="001A3D3B"/>
    <w:rsid w:val="001A42A4"/>
    <w:rsid w:val="001A443E"/>
    <w:rsid w:val="001A57CB"/>
    <w:rsid w:val="001A6CA5"/>
    <w:rsid w:val="001B07F2"/>
    <w:rsid w:val="001B0F76"/>
    <w:rsid w:val="001B1636"/>
    <w:rsid w:val="001B1DF8"/>
    <w:rsid w:val="001B24E7"/>
    <w:rsid w:val="001B26C3"/>
    <w:rsid w:val="001B298E"/>
    <w:rsid w:val="001B5641"/>
    <w:rsid w:val="001B6299"/>
    <w:rsid w:val="001B653E"/>
    <w:rsid w:val="001B6922"/>
    <w:rsid w:val="001B6BD2"/>
    <w:rsid w:val="001B6D24"/>
    <w:rsid w:val="001B70F1"/>
    <w:rsid w:val="001B74F2"/>
    <w:rsid w:val="001B7AD4"/>
    <w:rsid w:val="001C0FC3"/>
    <w:rsid w:val="001C138C"/>
    <w:rsid w:val="001C35AE"/>
    <w:rsid w:val="001C42B1"/>
    <w:rsid w:val="001C50B8"/>
    <w:rsid w:val="001C5DED"/>
    <w:rsid w:val="001C623B"/>
    <w:rsid w:val="001C6FD7"/>
    <w:rsid w:val="001C6FE2"/>
    <w:rsid w:val="001D1308"/>
    <w:rsid w:val="001D15D2"/>
    <w:rsid w:val="001D2628"/>
    <w:rsid w:val="001D305A"/>
    <w:rsid w:val="001D30F7"/>
    <w:rsid w:val="001D3F26"/>
    <w:rsid w:val="001D4395"/>
    <w:rsid w:val="001D4500"/>
    <w:rsid w:val="001D4610"/>
    <w:rsid w:val="001D603D"/>
    <w:rsid w:val="001D6211"/>
    <w:rsid w:val="001D64D0"/>
    <w:rsid w:val="001E06DD"/>
    <w:rsid w:val="001E1794"/>
    <w:rsid w:val="001E1EF8"/>
    <w:rsid w:val="001E2603"/>
    <w:rsid w:val="001E4866"/>
    <w:rsid w:val="001E51EA"/>
    <w:rsid w:val="001E6892"/>
    <w:rsid w:val="001E6E49"/>
    <w:rsid w:val="001F0A36"/>
    <w:rsid w:val="001F1B6A"/>
    <w:rsid w:val="001F1E09"/>
    <w:rsid w:val="001F222D"/>
    <w:rsid w:val="001F229E"/>
    <w:rsid w:val="001F3BD4"/>
    <w:rsid w:val="001F3E88"/>
    <w:rsid w:val="001F41B6"/>
    <w:rsid w:val="001F42DA"/>
    <w:rsid w:val="001F45A2"/>
    <w:rsid w:val="001F461E"/>
    <w:rsid w:val="001F5088"/>
    <w:rsid w:val="001F73ED"/>
    <w:rsid w:val="002014BE"/>
    <w:rsid w:val="00201DC9"/>
    <w:rsid w:val="00202023"/>
    <w:rsid w:val="002022F6"/>
    <w:rsid w:val="00202BA5"/>
    <w:rsid w:val="00203F7C"/>
    <w:rsid w:val="00205155"/>
    <w:rsid w:val="00205302"/>
    <w:rsid w:val="00206490"/>
    <w:rsid w:val="0020757E"/>
    <w:rsid w:val="00210A83"/>
    <w:rsid w:val="00212DAD"/>
    <w:rsid w:val="00213C9D"/>
    <w:rsid w:val="00214103"/>
    <w:rsid w:val="0021442C"/>
    <w:rsid w:val="002148D2"/>
    <w:rsid w:val="002160E5"/>
    <w:rsid w:val="00216A6E"/>
    <w:rsid w:val="00216D98"/>
    <w:rsid w:val="002172E3"/>
    <w:rsid w:val="002174E9"/>
    <w:rsid w:val="0021753D"/>
    <w:rsid w:val="00217D9F"/>
    <w:rsid w:val="00221649"/>
    <w:rsid w:val="00222214"/>
    <w:rsid w:val="0022236F"/>
    <w:rsid w:val="00222583"/>
    <w:rsid w:val="00222DFA"/>
    <w:rsid w:val="00222E49"/>
    <w:rsid w:val="00223BD5"/>
    <w:rsid w:val="00224338"/>
    <w:rsid w:val="00225468"/>
    <w:rsid w:val="002261EC"/>
    <w:rsid w:val="002269E2"/>
    <w:rsid w:val="00227BFC"/>
    <w:rsid w:val="00230396"/>
    <w:rsid w:val="00230A4E"/>
    <w:rsid w:val="00232728"/>
    <w:rsid w:val="00232E4C"/>
    <w:rsid w:val="00232F95"/>
    <w:rsid w:val="00235039"/>
    <w:rsid w:val="0023605B"/>
    <w:rsid w:val="002364D4"/>
    <w:rsid w:val="00236B00"/>
    <w:rsid w:val="00237C5C"/>
    <w:rsid w:val="00237F66"/>
    <w:rsid w:val="00241C69"/>
    <w:rsid w:val="0024391E"/>
    <w:rsid w:val="00244E1B"/>
    <w:rsid w:val="002455F9"/>
    <w:rsid w:val="002470C6"/>
    <w:rsid w:val="002517C3"/>
    <w:rsid w:val="00253B2C"/>
    <w:rsid w:val="00253F60"/>
    <w:rsid w:val="00254959"/>
    <w:rsid w:val="00254FFD"/>
    <w:rsid w:val="002556DA"/>
    <w:rsid w:val="00256655"/>
    <w:rsid w:val="002579AB"/>
    <w:rsid w:val="002579F8"/>
    <w:rsid w:val="00257AA7"/>
    <w:rsid w:val="00260419"/>
    <w:rsid w:val="0026151E"/>
    <w:rsid w:val="002645BB"/>
    <w:rsid w:val="00264AAE"/>
    <w:rsid w:val="00264BD7"/>
    <w:rsid w:val="00264EF6"/>
    <w:rsid w:val="0026544E"/>
    <w:rsid w:val="00265FA3"/>
    <w:rsid w:val="00266681"/>
    <w:rsid w:val="002672F0"/>
    <w:rsid w:val="00267C68"/>
    <w:rsid w:val="0027344B"/>
    <w:rsid w:val="0027463B"/>
    <w:rsid w:val="00274814"/>
    <w:rsid w:val="00276AF4"/>
    <w:rsid w:val="00280425"/>
    <w:rsid w:val="0028144F"/>
    <w:rsid w:val="00282995"/>
    <w:rsid w:val="002829B6"/>
    <w:rsid w:val="002830F4"/>
    <w:rsid w:val="00284195"/>
    <w:rsid w:val="00284C34"/>
    <w:rsid w:val="00284DAC"/>
    <w:rsid w:val="0028644C"/>
    <w:rsid w:val="002864D7"/>
    <w:rsid w:val="00291500"/>
    <w:rsid w:val="0029185B"/>
    <w:rsid w:val="00291E59"/>
    <w:rsid w:val="00292ACC"/>
    <w:rsid w:val="00292DE8"/>
    <w:rsid w:val="00294262"/>
    <w:rsid w:val="00295825"/>
    <w:rsid w:val="00296A8C"/>
    <w:rsid w:val="00296C54"/>
    <w:rsid w:val="002A0838"/>
    <w:rsid w:val="002A0A98"/>
    <w:rsid w:val="002A0D7E"/>
    <w:rsid w:val="002A1482"/>
    <w:rsid w:val="002A1A63"/>
    <w:rsid w:val="002A2343"/>
    <w:rsid w:val="002A4288"/>
    <w:rsid w:val="002A5392"/>
    <w:rsid w:val="002A5507"/>
    <w:rsid w:val="002A6C7D"/>
    <w:rsid w:val="002A76D3"/>
    <w:rsid w:val="002B0DA5"/>
    <w:rsid w:val="002B1D2A"/>
    <w:rsid w:val="002B20A2"/>
    <w:rsid w:val="002B2ABC"/>
    <w:rsid w:val="002B6155"/>
    <w:rsid w:val="002B6294"/>
    <w:rsid w:val="002B7BA1"/>
    <w:rsid w:val="002B7CCA"/>
    <w:rsid w:val="002C0D69"/>
    <w:rsid w:val="002C115C"/>
    <w:rsid w:val="002C1DD1"/>
    <w:rsid w:val="002C28E2"/>
    <w:rsid w:val="002C37B3"/>
    <w:rsid w:val="002C4EFA"/>
    <w:rsid w:val="002C521F"/>
    <w:rsid w:val="002C5A81"/>
    <w:rsid w:val="002C66D2"/>
    <w:rsid w:val="002D00E7"/>
    <w:rsid w:val="002D0BB8"/>
    <w:rsid w:val="002D12BC"/>
    <w:rsid w:val="002D14F5"/>
    <w:rsid w:val="002D1DB9"/>
    <w:rsid w:val="002D364F"/>
    <w:rsid w:val="002D3F5A"/>
    <w:rsid w:val="002D41D7"/>
    <w:rsid w:val="002D432E"/>
    <w:rsid w:val="002D4BA8"/>
    <w:rsid w:val="002D4FBC"/>
    <w:rsid w:val="002D5566"/>
    <w:rsid w:val="002D5CEE"/>
    <w:rsid w:val="002E2507"/>
    <w:rsid w:val="002E34C1"/>
    <w:rsid w:val="002E415D"/>
    <w:rsid w:val="002E426E"/>
    <w:rsid w:val="002E6D89"/>
    <w:rsid w:val="002E7655"/>
    <w:rsid w:val="002F1479"/>
    <w:rsid w:val="002F2691"/>
    <w:rsid w:val="002F3F01"/>
    <w:rsid w:val="002F7307"/>
    <w:rsid w:val="002F777E"/>
    <w:rsid w:val="002F7E2B"/>
    <w:rsid w:val="00300C19"/>
    <w:rsid w:val="00302CB8"/>
    <w:rsid w:val="00302F8A"/>
    <w:rsid w:val="0030393E"/>
    <w:rsid w:val="003046BA"/>
    <w:rsid w:val="003064D4"/>
    <w:rsid w:val="00307EB6"/>
    <w:rsid w:val="003115FA"/>
    <w:rsid w:val="00312635"/>
    <w:rsid w:val="00312E8E"/>
    <w:rsid w:val="00313504"/>
    <w:rsid w:val="00314C29"/>
    <w:rsid w:val="003164B0"/>
    <w:rsid w:val="00320EEA"/>
    <w:rsid w:val="00321BFC"/>
    <w:rsid w:val="00321F55"/>
    <w:rsid w:val="003226E3"/>
    <w:rsid w:val="003228D6"/>
    <w:rsid w:val="003233B9"/>
    <w:rsid w:val="003239C0"/>
    <w:rsid w:val="00323E96"/>
    <w:rsid w:val="0032477F"/>
    <w:rsid w:val="0032514F"/>
    <w:rsid w:val="00326FFE"/>
    <w:rsid w:val="00330CD5"/>
    <w:rsid w:val="0033139D"/>
    <w:rsid w:val="00331652"/>
    <w:rsid w:val="0033243C"/>
    <w:rsid w:val="00332BD1"/>
    <w:rsid w:val="003330A3"/>
    <w:rsid w:val="003335F5"/>
    <w:rsid w:val="003340C2"/>
    <w:rsid w:val="003342BA"/>
    <w:rsid w:val="0033701D"/>
    <w:rsid w:val="00340500"/>
    <w:rsid w:val="00341640"/>
    <w:rsid w:val="0034216B"/>
    <w:rsid w:val="003429ED"/>
    <w:rsid w:val="003430F2"/>
    <w:rsid w:val="00343123"/>
    <w:rsid w:val="003435B4"/>
    <w:rsid w:val="00343729"/>
    <w:rsid w:val="00343D1C"/>
    <w:rsid w:val="00347592"/>
    <w:rsid w:val="003476B0"/>
    <w:rsid w:val="00350A37"/>
    <w:rsid w:val="00351D95"/>
    <w:rsid w:val="003521D4"/>
    <w:rsid w:val="00352682"/>
    <w:rsid w:val="00354551"/>
    <w:rsid w:val="00354E77"/>
    <w:rsid w:val="00355721"/>
    <w:rsid w:val="0035617D"/>
    <w:rsid w:val="00356F2A"/>
    <w:rsid w:val="00356FF9"/>
    <w:rsid w:val="0035760A"/>
    <w:rsid w:val="003611DF"/>
    <w:rsid w:val="0036138F"/>
    <w:rsid w:val="003616F6"/>
    <w:rsid w:val="00362BF3"/>
    <w:rsid w:val="00363BDA"/>
    <w:rsid w:val="003662E4"/>
    <w:rsid w:val="00367022"/>
    <w:rsid w:val="00370979"/>
    <w:rsid w:val="00370D26"/>
    <w:rsid w:val="00371965"/>
    <w:rsid w:val="00372DE4"/>
    <w:rsid w:val="003734E6"/>
    <w:rsid w:val="00373C3A"/>
    <w:rsid w:val="00374AFA"/>
    <w:rsid w:val="00374E37"/>
    <w:rsid w:val="0037545F"/>
    <w:rsid w:val="003763FE"/>
    <w:rsid w:val="00376979"/>
    <w:rsid w:val="00377182"/>
    <w:rsid w:val="003801B3"/>
    <w:rsid w:val="00385FE8"/>
    <w:rsid w:val="0038693A"/>
    <w:rsid w:val="00386B29"/>
    <w:rsid w:val="00386CC9"/>
    <w:rsid w:val="00386EF8"/>
    <w:rsid w:val="0039083C"/>
    <w:rsid w:val="00391A3B"/>
    <w:rsid w:val="00391EB0"/>
    <w:rsid w:val="003946EF"/>
    <w:rsid w:val="003954A2"/>
    <w:rsid w:val="003964F6"/>
    <w:rsid w:val="00396931"/>
    <w:rsid w:val="00397201"/>
    <w:rsid w:val="00397550"/>
    <w:rsid w:val="003A02D3"/>
    <w:rsid w:val="003A170B"/>
    <w:rsid w:val="003A1FF7"/>
    <w:rsid w:val="003A2BA4"/>
    <w:rsid w:val="003A31F8"/>
    <w:rsid w:val="003A394A"/>
    <w:rsid w:val="003A40A2"/>
    <w:rsid w:val="003A4966"/>
    <w:rsid w:val="003A6BB9"/>
    <w:rsid w:val="003A70F1"/>
    <w:rsid w:val="003A7147"/>
    <w:rsid w:val="003A7431"/>
    <w:rsid w:val="003B0980"/>
    <w:rsid w:val="003B1B8F"/>
    <w:rsid w:val="003B24EC"/>
    <w:rsid w:val="003B5037"/>
    <w:rsid w:val="003B51F1"/>
    <w:rsid w:val="003B5C38"/>
    <w:rsid w:val="003B6383"/>
    <w:rsid w:val="003B6413"/>
    <w:rsid w:val="003B6451"/>
    <w:rsid w:val="003B65AD"/>
    <w:rsid w:val="003B6A77"/>
    <w:rsid w:val="003B6C51"/>
    <w:rsid w:val="003B6EB8"/>
    <w:rsid w:val="003B6FF3"/>
    <w:rsid w:val="003B75BC"/>
    <w:rsid w:val="003B7D35"/>
    <w:rsid w:val="003C0A71"/>
    <w:rsid w:val="003C0BD5"/>
    <w:rsid w:val="003C1316"/>
    <w:rsid w:val="003C1485"/>
    <w:rsid w:val="003C3C1B"/>
    <w:rsid w:val="003C4475"/>
    <w:rsid w:val="003C4B3C"/>
    <w:rsid w:val="003C4B45"/>
    <w:rsid w:val="003C4D67"/>
    <w:rsid w:val="003C6753"/>
    <w:rsid w:val="003C78B4"/>
    <w:rsid w:val="003D02FB"/>
    <w:rsid w:val="003D04ED"/>
    <w:rsid w:val="003D0CB2"/>
    <w:rsid w:val="003D2C3A"/>
    <w:rsid w:val="003D372A"/>
    <w:rsid w:val="003D4B3A"/>
    <w:rsid w:val="003D4EBB"/>
    <w:rsid w:val="003D5AFD"/>
    <w:rsid w:val="003D7B58"/>
    <w:rsid w:val="003D7EDA"/>
    <w:rsid w:val="003E01B3"/>
    <w:rsid w:val="003E0603"/>
    <w:rsid w:val="003E1718"/>
    <w:rsid w:val="003E1BFD"/>
    <w:rsid w:val="003E3929"/>
    <w:rsid w:val="003E4569"/>
    <w:rsid w:val="003E4652"/>
    <w:rsid w:val="003E4935"/>
    <w:rsid w:val="003E4955"/>
    <w:rsid w:val="003E5028"/>
    <w:rsid w:val="003E52C1"/>
    <w:rsid w:val="003E6487"/>
    <w:rsid w:val="003E6E98"/>
    <w:rsid w:val="003F1F62"/>
    <w:rsid w:val="003F369E"/>
    <w:rsid w:val="003F3F4E"/>
    <w:rsid w:val="003F43CF"/>
    <w:rsid w:val="003F4C63"/>
    <w:rsid w:val="003F6650"/>
    <w:rsid w:val="003F6760"/>
    <w:rsid w:val="003F7CB6"/>
    <w:rsid w:val="004015F5"/>
    <w:rsid w:val="00402DC1"/>
    <w:rsid w:val="0040484C"/>
    <w:rsid w:val="00406237"/>
    <w:rsid w:val="00406346"/>
    <w:rsid w:val="004065A3"/>
    <w:rsid w:val="0040669A"/>
    <w:rsid w:val="00406A84"/>
    <w:rsid w:val="00407D48"/>
    <w:rsid w:val="00407D69"/>
    <w:rsid w:val="00407FC1"/>
    <w:rsid w:val="00411E16"/>
    <w:rsid w:val="00413048"/>
    <w:rsid w:val="0041433A"/>
    <w:rsid w:val="004150B3"/>
    <w:rsid w:val="004170DE"/>
    <w:rsid w:val="00417AA8"/>
    <w:rsid w:val="00421CB6"/>
    <w:rsid w:val="0042280D"/>
    <w:rsid w:val="004228B8"/>
    <w:rsid w:val="0042304D"/>
    <w:rsid w:val="00423311"/>
    <w:rsid w:val="00423EE8"/>
    <w:rsid w:val="004246B6"/>
    <w:rsid w:val="00425465"/>
    <w:rsid w:val="0042653E"/>
    <w:rsid w:val="004302E5"/>
    <w:rsid w:val="00430867"/>
    <w:rsid w:val="00430B53"/>
    <w:rsid w:val="00431E63"/>
    <w:rsid w:val="004325EC"/>
    <w:rsid w:val="00434024"/>
    <w:rsid w:val="00434263"/>
    <w:rsid w:val="00434289"/>
    <w:rsid w:val="004357C6"/>
    <w:rsid w:val="0043669C"/>
    <w:rsid w:val="00436FE1"/>
    <w:rsid w:val="00437A61"/>
    <w:rsid w:val="0044043B"/>
    <w:rsid w:val="00440CAD"/>
    <w:rsid w:val="004410A2"/>
    <w:rsid w:val="00442D61"/>
    <w:rsid w:val="004438A1"/>
    <w:rsid w:val="00443C09"/>
    <w:rsid w:val="00444018"/>
    <w:rsid w:val="00444E49"/>
    <w:rsid w:val="00446A8C"/>
    <w:rsid w:val="00450CAB"/>
    <w:rsid w:val="00452212"/>
    <w:rsid w:val="00452316"/>
    <w:rsid w:val="00454083"/>
    <w:rsid w:val="004547C7"/>
    <w:rsid w:val="00454890"/>
    <w:rsid w:val="00455263"/>
    <w:rsid w:val="004558CF"/>
    <w:rsid w:val="004563E5"/>
    <w:rsid w:val="004570EC"/>
    <w:rsid w:val="00457406"/>
    <w:rsid w:val="0045760B"/>
    <w:rsid w:val="00460104"/>
    <w:rsid w:val="004605A5"/>
    <w:rsid w:val="00460F54"/>
    <w:rsid w:val="0046103C"/>
    <w:rsid w:val="0046394A"/>
    <w:rsid w:val="00463D85"/>
    <w:rsid w:val="004648C4"/>
    <w:rsid w:val="00464986"/>
    <w:rsid w:val="00464AD4"/>
    <w:rsid w:val="004659BC"/>
    <w:rsid w:val="00465FE6"/>
    <w:rsid w:val="004661C5"/>
    <w:rsid w:val="00466505"/>
    <w:rsid w:val="00466CE1"/>
    <w:rsid w:val="00466F91"/>
    <w:rsid w:val="00467096"/>
    <w:rsid w:val="00467689"/>
    <w:rsid w:val="004677E4"/>
    <w:rsid w:val="00470E9F"/>
    <w:rsid w:val="00472265"/>
    <w:rsid w:val="004722FD"/>
    <w:rsid w:val="00472D9B"/>
    <w:rsid w:val="00473173"/>
    <w:rsid w:val="00475DE6"/>
    <w:rsid w:val="004775A4"/>
    <w:rsid w:val="00477F29"/>
    <w:rsid w:val="00480338"/>
    <w:rsid w:val="00482271"/>
    <w:rsid w:val="0048274C"/>
    <w:rsid w:val="004841E9"/>
    <w:rsid w:val="00484A51"/>
    <w:rsid w:val="00484B75"/>
    <w:rsid w:val="004869FC"/>
    <w:rsid w:val="00487505"/>
    <w:rsid w:val="0049123F"/>
    <w:rsid w:val="00493DC6"/>
    <w:rsid w:val="00495C9A"/>
    <w:rsid w:val="004965B0"/>
    <w:rsid w:val="004978E8"/>
    <w:rsid w:val="004A0557"/>
    <w:rsid w:val="004A1087"/>
    <w:rsid w:val="004A1465"/>
    <w:rsid w:val="004A22FD"/>
    <w:rsid w:val="004A3107"/>
    <w:rsid w:val="004A3481"/>
    <w:rsid w:val="004A5235"/>
    <w:rsid w:val="004A5434"/>
    <w:rsid w:val="004A5707"/>
    <w:rsid w:val="004A5766"/>
    <w:rsid w:val="004A5C7E"/>
    <w:rsid w:val="004A5D8A"/>
    <w:rsid w:val="004A670F"/>
    <w:rsid w:val="004A6BEC"/>
    <w:rsid w:val="004B03DB"/>
    <w:rsid w:val="004B13A8"/>
    <w:rsid w:val="004B1416"/>
    <w:rsid w:val="004B1E99"/>
    <w:rsid w:val="004B2FDE"/>
    <w:rsid w:val="004B3B6C"/>
    <w:rsid w:val="004B45F1"/>
    <w:rsid w:val="004B4766"/>
    <w:rsid w:val="004B47C9"/>
    <w:rsid w:val="004B505E"/>
    <w:rsid w:val="004B53DC"/>
    <w:rsid w:val="004B6D5C"/>
    <w:rsid w:val="004B6F03"/>
    <w:rsid w:val="004B7CE7"/>
    <w:rsid w:val="004C1818"/>
    <w:rsid w:val="004C2418"/>
    <w:rsid w:val="004C2A9B"/>
    <w:rsid w:val="004C4C84"/>
    <w:rsid w:val="004C5297"/>
    <w:rsid w:val="004C6A2C"/>
    <w:rsid w:val="004C7213"/>
    <w:rsid w:val="004D1639"/>
    <w:rsid w:val="004D2115"/>
    <w:rsid w:val="004D3704"/>
    <w:rsid w:val="004D4BEE"/>
    <w:rsid w:val="004D5B37"/>
    <w:rsid w:val="004D5B94"/>
    <w:rsid w:val="004D5D5B"/>
    <w:rsid w:val="004D6715"/>
    <w:rsid w:val="004E32B2"/>
    <w:rsid w:val="004E4508"/>
    <w:rsid w:val="004E4874"/>
    <w:rsid w:val="004E4C54"/>
    <w:rsid w:val="004E4F11"/>
    <w:rsid w:val="004E5096"/>
    <w:rsid w:val="004E50CB"/>
    <w:rsid w:val="004E554D"/>
    <w:rsid w:val="004E72B8"/>
    <w:rsid w:val="004E7D4E"/>
    <w:rsid w:val="004F01F8"/>
    <w:rsid w:val="004F0E63"/>
    <w:rsid w:val="004F11D0"/>
    <w:rsid w:val="004F2427"/>
    <w:rsid w:val="004F2891"/>
    <w:rsid w:val="004F3AC8"/>
    <w:rsid w:val="004F3FD4"/>
    <w:rsid w:val="004F4267"/>
    <w:rsid w:val="004F5674"/>
    <w:rsid w:val="004F6744"/>
    <w:rsid w:val="004F6B94"/>
    <w:rsid w:val="004F6C89"/>
    <w:rsid w:val="004F76E2"/>
    <w:rsid w:val="004F7C42"/>
    <w:rsid w:val="00500D52"/>
    <w:rsid w:val="00501C98"/>
    <w:rsid w:val="00502699"/>
    <w:rsid w:val="00502FDD"/>
    <w:rsid w:val="005036AC"/>
    <w:rsid w:val="00503745"/>
    <w:rsid w:val="00505544"/>
    <w:rsid w:val="005064D0"/>
    <w:rsid w:val="0050736E"/>
    <w:rsid w:val="00507373"/>
    <w:rsid w:val="00507DF6"/>
    <w:rsid w:val="00510B56"/>
    <w:rsid w:val="00512F3B"/>
    <w:rsid w:val="0051437D"/>
    <w:rsid w:val="00514663"/>
    <w:rsid w:val="005153AE"/>
    <w:rsid w:val="005157EB"/>
    <w:rsid w:val="00515F78"/>
    <w:rsid w:val="00516A28"/>
    <w:rsid w:val="00517534"/>
    <w:rsid w:val="00517B5C"/>
    <w:rsid w:val="005202FA"/>
    <w:rsid w:val="00521058"/>
    <w:rsid w:val="0052264A"/>
    <w:rsid w:val="005227DB"/>
    <w:rsid w:val="005228E4"/>
    <w:rsid w:val="00523F1A"/>
    <w:rsid w:val="00524F49"/>
    <w:rsid w:val="00526376"/>
    <w:rsid w:val="0052692A"/>
    <w:rsid w:val="00526E22"/>
    <w:rsid w:val="0052758B"/>
    <w:rsid w:val="0053099C"/>
    <w:rsid w:val="00530A9D"/>
    <w:rsid w:val="00531872"/>
    <w:rsid w:val="00532EF4"/>
    <w:rsid w:val="00533DFE"/>
    <w:rsid w:val="005346F5"/>
    <w:rsid w:val="00534C0C"/>
    <w:rsid w:val="00535B56"/>
    <w:rsid w:val="0053778C"/>
    <w:rsid w:val="00537EA0"/>
    <w:rsid w:val="00537EFE"/>
    <w:rsid w:val="00541497"/>
    <w:rsid w:val="0054208B"/>
    <w:rsid w:val="0054240B"/>
    <w:rsid w:val="00542F09"/>
    <w:rsid w:val="00543084"/>
    <w:rsid w:val="0054399A"/>
    <w:rsid w:val="0054406B"/>
    <w:rsid w:val="00544831"/>
    <w:rsid w:val="00544CD8"/>
    <w:rsid w:val="00544EF9"/>
    <w:rsid w:val="005450F1"/>
    <w:rsid w:val="005451FC"/>
    <w:rsid w:val="00545205"/>
    <w:rsid w:val="00545DCA"/>
    <w:rsid w:val="00545EBE"/>
    <w:rsid w:val="005464AD"/>
    <w:rsid w:val="00547206"/>
    <w:rsid w:val="005475D3"/>
    <w:rsid w:val="00547E18"/>
    <w:rsid w:val="0055081B"/>
    <w:rsid w:val="00552E66"/>
    <w:rsid w:val="00553111"/>
    <w:rsid w:val="005534C1"/>
    <w:rsid w:val="0055351E"/>
    <w:rsid w:val="0056008A"/>
    <w:rsid w:val="00560931"/>
    <w:rsid w:val="0056213B"/>
    <w:rsid w:val="00562187"/>
    <w:rsid w:val="0056427B"/>
    <w:rsid w:val="0056474C"/>
    <w:rsid w:val="00565290"/>
    <w:rsid w:val="005660C3"/>
    <w:rsid w:val="00566BE2"/>
    <w:rsid w:val="005707BE"/>
    <w:rsid w:val="005725BE"/>
    <w:rsid w:val="00575252"/>
    <w:rsid w:val="0057744C"/>
    <w:rsid w:val="0058267E"/>
    <w:rsid w:val="00582690"/>
    <w:rsid w:val="00584349"/>
    <w:rsid w:val="00584545"/>
    <w:rsid w:val="0058465B"/>
    <w:rsid w:val="005848FC"/>
    <w:rsid w:val="00584CBC"/>
    <w:rsid w:val="00584CFF"/>
    <w:rsid w:val="00585464"/>
    <w:rsid w:val="0058639B"/>
    <w:rsid w:val="0058695F"/>
    <w:rsid w:val="00586CE2"/>
    <w:rsid w:val="005871A1"/>
    <w:rsid w:val="0059097D"/>
    <w:rsid w:val="00591718"/>
    <w:rsid w:val="00592C1C"/>
    <w:rsid w:val="005936E0"/>
    <w:rsid w:val="00593C2B"/>
    <w:rsid w:val="0059422A"/>
    <w:rsid w:val="00594587"/>
    <w:rsid w:val="005954CF"/>
    <w:rsid w:val="00595618"/>
    <w:rsid w:val="005957D5"/>
    <w:rsid w:val="00595FC7"/>
    <w:rsid w:val="005960B4"/>
    <w:rsid w:val="005975EF"/>
    <w:rsid w:val="005979C0"/>
    <w:rsid w:val="00597C5B"/>
    <w:rsid w:val="00597E5B"/>
    <w:rsid w:val="005A0593"/>
    <w:rsid w:val="005A1112"/>
    <w:rsid w:val="005A1BF9"/>
    <w:rsid w:val="005A3DFC"/>
    <w:rsid w:val="005A4675"/>
    <w:rsid w:val="005A4C4D"/>
    <w:rsid w:val="005A4F3D"/>
    <w:rsid w:val="005A61DA"/>
    <w:rsid w:val="005A66F1"/>
    <w:rsid w:val="005B136B"/>
    <w:rsid w:val="005B17E4"/>
    <w:rsid w:val="005B2704"/>
    <w:rsid w:val="005B3454"/>
    <w:rsid w:val="005B42CF"/>
    <w:rsid w:val="005B5476"/>
    <w:rsid w:val="005B54AF"/>
    <w:rsid w:val="005B5CD5"/>
    <w:rsid w:val="005B6DE9"/>
    <w:rsid w:val="005C059E"/>
    <w:rsid w:val="005C103F"/>
    <w:rsid w:val="005C19A9"/>
    <w:rsid w:val="005C5456"/>
    <w:rsid w:val="005C67C5"/>
    <w:rsid w:val="005C7204"/>
    <w:rsid w:val="005C7540"/>
    <w:rsid w:val="005C75C8"/>
    <w:rsid w:val="005C7624"/>
    <w:rsid w:val="005C78BE"/>
    <w:rsid w:val="005C7DE8"/>
    <w:rsid w:val="005D295B"/>
    <w:rsid w:val="005D5422"/>
    <w:rsid w:val="005D5682"/>
    <w:rsid w:val="005D6F0A"/>
    <w:rsid w:val="005E06F1"/>
    <w:rsid w:val="005E1774"/>
    <w:rsid w:val="005E3A2D"/>
    <w:rsid w:val="005E3F8C"/>
    <w:rsid w:val="005E4AC6"/>
    <w:rsid w:val="005E69B0"/>
    <w:rsid w:val="005E7580"/>
    <w:rsid w:val="005F0224"/>
    <w:rsid w:val="005F15A4"/>
    <w:rsid w:val="005F16AC"/>
    <w:rsid w:val="005F2019"/>
    <w:rsid w:val="005F44D0"/>
    <w:rsid w:val="005F58C6"/>
    <w:rsid w:val="005F68E3"/>
    <w:rsid w:val="00601056"/>
    <w:rsid w:val="00601BEB"/>
    <w:rsid w:val="00601FDE"/>
    <w:rsid w:val="0060259C"/>
    <w:rsid w:val="00602A46"/>
    <w:rsid w:val="00602DE6"/>
    <w:rsid w:val="00602E23"/>
    <w:rsid w:val="006037CE"/>
    <w:rsid w:val="00603C06"/>
    <w:rsid w:val="006050F4"/>
    <w:rsid w:val="00605FF5"/>
    <w:rsid w:val="00606494"/>
    <w:rsid w:val="00607F40"/>
    <w:rsid w:val="006100EC"/>
    <w:rsid w:val="00610BF4"/>
    <w:rsid w:val="00612692"/>
    <w:rsid w:val="00615194"/>
    <w:rsid w:val="00616137"/>
    <w:rsid w:val="00617429"/>
    <w:rsid w:val="00617AF3"/>
    <w:rsid w:val="00617C61"/>
    <w:rsid w:val="00617CCB"/>
    <w:rsid w:val="00621241"/>
    <w:rsid w:val="00621A17"/>
    <w:rsid w:val="006223C8"/>
    <w:rsid w:val="00622EC7"/>
    <w:rsid w:val="006238E5"/>
    <w:rsid w:val="006243EC"/>
    <w:rsid w:val="00625B37"/>
    <w:rsid w:val="00625DEC"/>
    <w:rsid w:val="00627B03"/>
    <w:rsid w:val="00627F1D"/>
    <w:rsid w:val="00630082"/>
    <w:rsid w:val="006308E6"/>
    <w:rsid w:val="00630A4F"/>
    <w:rsid w:val="00630B53"/>
    <w:rsid w:val="00631190"/>
    <w:rsid w:val="00631B7C"/>
    <w:rsid w:val="00633A34"/>
    <w:rsid w:val="00633B11"/>
    <w:rsid w:val="0063414E"/>
    <w:rsid w:val="00634F37"/>
    <w:rsid w:val="0063602D"/>
    <w:rsid w:val="00637DEC"/>
    <w:rsid w:val="006403DA"/>
    <w:rsid w:val="006406A7"/>
    <w:rsid w:val="00640990"/>
    <w:rsid w:val="00640CA9"/>
    <w:rsid w:val="00640D66"/>
    <w:rsid w:val="0064122B"/>
    <w:rsid w:val="006412A3"/>
    <w:rsid w:val="00641A72"/>
    <w:rsid w:val="0064258A"/>
    <w:rsid w:val="0064267F"/>
    <w:rsid w:val="00642DA1"/>
    <w:rsid w:val="00644AC6"/>
    <w:rsid w:val="006452D9"/>
    <w:rsid w:val="00645FAD"/>
    <w:rsid w:val="006504FC"/>
    <w:rsid w:val="00653421"/>
    <w:rsid w:val="00656340"/>
    <w:rsid w:val="00656617"/>
    <w:rsid w:val="0065777A"/>
    <w:rsid w:val="00657A0A"/>
    <w:rsid w:val="006608BE"/>
    <w:rsid w:val="00660A43"/>
    <w:rsid w:val="006611FD"/>
    <w:rsid w:val="006622DE"/>
    <w:rsid w:val="00662BF8"/>
    <w:rsid w:val="006634F6"/>
    <w:rsid w:val="00664D1A"/>
    <w:rsid w:val="006659EC"/>
    <w:rsid w:val="00666492"/>
    <w:rsid w:val="006667BD"/>
    <w:rsid w:val="00667C45"/>
    <w:rsid w:val="00670A0A"/>
    <w:rsid w:val="00672524"/>
    <w:rsid w:val="00672771"/>
    <w:rsid w:val="006736DF"/>
    <w:rsid w:val="00673F29"/>
    <w:rsid w:val="00674978"/>
    <w:rsid w:val="00675C8E"/>
    <w:rsid w:val="00676720"/>
    <w:rsid w:val="006820ED"/>
    <w:rsid w:val="00683BF9"/>
    <w:rsid w:val="00683D1A"/>
    <w:rsid w:val="00685A39"/>
    <w:rsid w:val="00685B95"/>
    <w:rsid w:val="00687339"/>
    <w:rsid w:val="006874EB"/>
    <w:rsid w:val="006903C5"/>
    <w:rsid w:val="006908C6"/>
    <w:rsid w:val="00691613"/>
    <w:rsid w:val="00691F04"/>
    <w:rsid w:val="006947AD"/>
    <w:rsid w:val="00694AD9"/>
    <w:rsid w:val="00694EE8"/>
    <w:rsid w:val="00696B5A"/>
    <w:rsid w:val="006A0BC2"/>
    <w:rsid w:val="006A255F"/>
    <w:rsid w:val="006A3B06"/>
    <w:rsid w:val="006A3F94"/>
    <w:rsid w:val="006A4699"/>
    <w:rsid w:val="006A46B8"/>
    <w:rsid w:val="006A54D6"/>
    <w:rsid w:val="006A573C"/>
    <w:rsid w:val="006A5ED9"/>
    <w:rsid w:val="006A6354"/>
    <w:rsid w:val="006A6FE2"/>
    <w:rsid w:val="006A7940"/>
    <w:rsid w:val="006B0D05"/>
    <w:rsid w:val="006B0D98"/>
    <w:rsid w:val="006B1FFF"/>
    <w:rsid w:val="006B22EA"/>
    <w:rsid w:val="006B32C6"/>
    <w:rsid w:val="006B3317"/>
    <w:rsid w:val="006B3661"/>
    <w:rsid w:val="006B3A58"/>
    <w:rsid w:val="006B4642"/>
    <w:rsid w:val="006B48F0"/>
    <w:rsid w:val="006B4A2C"/>
    <w:rsid w:val="006B6EA7"/>
    <w:rsid w:val="006B76F0"/>
    <w:rsid w:val="006B7A0A"/>
    <w:rsid w:val="006B7B54"/>
    <w:rsid w:val="006B7B5F"/>
    <w:rsid w:val="006C086B"/>
    <w:rsid w:val="006C21AB"/>
    <w:rsid w:val="006C28CA"/>
    <w:rsid w:val="006C2AFA"/>
    <w:rsid w:val="006C2DA0"/>
    <w:rsid w:val="006C3D67"/>
    <w:rsid w:val="006C40C4"/>
    <w:rsid w:val="006C4CCC"/>
    <w:rsid w:val="006C5399"/>
    <w:rsid w:val="006C6CF8"/>
    <w:rsid w:val="006C7BA7"/>
    <w:rsid w:val="006D0559"/>
    <w:rsid w:val="006D1D0F"/>
    <w:rsid w:val="006D26DC"/>
    <w:rsid w:val="006D3318"/>
    <w:rsid w:val="006D341F"/>
    <w:rsid w:val="006D3430"/>
    <w:rsid w:val="006D6047"/>
    <w:rsid w:val="006E0ABB"/>
    <w:rsid w:val="006E0D61"/>
    <w:rsid w:val="006E1B63"/>
    <w:rsid w:val="006E1D98"/>
    <w:rsid w:val="006E1DEE"/>
    <w:rsid w:val="006E1EB4"/>
    <w:rsid w:val="006E1EF9"/>
    <w:rsid w:val="006E2C12"/>
    <w:rsid w:val="006E42B3"/>
    <w:rsid w:val="006E547D"/>
    <w:rsid w:val="006E6B03"/>
    <w:rsid w:val="006E6F59"/>
    <w:rsid w:val="006E7282"/>
    <w:rsid w:val="006E7F3F"/>
    <w:rsid w:val="006F0133"/>
    <w:rsid w:val="006F051F"/>
    <w:rsid w:val="006F1DFB"/>
    <w:rsid w:val="006F244F"/>
    <w:rsid w:val="006F2C67"/>
    <w:rsid w:val="006F3554"/>
    <w:rsid w:val="006F3C0F"/>
    <w:rsid w:val="006F5321"/>
    <w:rsid w:val="006F5C52"/>
    <w:rsid w:val="00702114"/>
    <w:rsid w:val="0070374A"/>
    <w:rsid w:val="00704CE1"/>
    <w:rsid w:val="007066DE"/>
    <w:rsid w:val="00706A16"/>
    <w:rsid w:val="00706E80"/>
    <w:rsid w:val="0070798F"/>
    <w:rsid w:val="00707BCC"/>
    <w:rsid w:val="007133B0"/>
    <w:rsid w:val="00714D0C"/>
    <w:rsid w:val="00714F3D"/>
    <w:rsid w:val="00716376"/>
    <w:rsid w:val="0071656D"/>
    <w:rsid w:val="00716EBA"/>
    <w:rsid w:val="00717B91"/>
    <w:rsid w:val="00717F4A"/>
    <w:rsid w:val="007204C6"/>
    <w:rsid w:val="0072148A"/>
    <w:rsid w:val="007216C3"/>
    <w:rsid w:val="00722BF4"/>
    <w:rsid w:val="00722DF3"/>
    <w:rsid w:val="007231E4"/>
    <w:rsid w:val="007240A9"/>
    <w:rsid w:val="0072640A"/>
    <w:rsid w:val="00726D0B"/>
    <w:rsid w:val="007306B9"/>
    <w:rsid w:val="00730BA7"/>
    <w:rsid w:val="00730F7C"/>
    <w:rsid w:val="00731F6E"/>
    <w:rsid w:val="00732287"/>
    <w:rsid w:val="007337D4"/>
    <w:rsid w:val="0073381D"/>
    <w:rsid w:val="00733FC1"/>
    <w:rsid w:val="007376D2"/>
    <w:rsid w:val="0074039D"/>
    <w:rsid w:val="00740F29"/>
    <w:rsid w:val="00740F4A"/>
    <w:rsid w:val="00741AD1"/>
    <w:rsid w:val="007426B5"/>
    <w:rsid w:val="007430E7"/>
    <w:rsid w:val="0074327F"/>
    <w:rsid w:val="00743575"/>
    <w:rsid w:val="00744D74"/>
    <w:rsid w:val="007454FB"/>
    <w:rsid w:val="00745793"/>
    <w:rsid w:val="007457FB"/>
    <w:rsid w:val="00745925"/>
    <w:rsid w:val="00745E8C"/>
    <w:rsid w:val="0074600D"/>
    <w:rsid w:val="007464FB"/>
    <w:rsid w:val="00746C8D"/>
    <w:rsid w:val="00747EA3"/>
    <w:rsid w:val="0075109B"/>
    <w:rsid w:val="00751E7F"/>
    <w:rsid w:val="007520BE"/>
    <w:rsid w:val="00753379"/>
    <w:rsid w:val="00754A77"/>
    <w:rsid w:val="0075676B"/>
    <w:rsid w:val="0075748B"/>
    <w:rsid w:val="007609A4"/>
    <w:rsid w:val="00761AA6"/>
    <w:rsid w:val="00762830"/>
    <w:rsid w:val="00762CE0"/>
    <w:rsid w:val="00765E78"/>
    <w:rsid w:val="007667B7"/>
    <w:rsid w:val="0076691D"/>
    <w:rsid w:val="00766FD9"/>
    <w:rsid w:val="007702FA"/>
    <w:rsid w:val="00770FD5"/>
    <w:rsid w:val="007713AE"/>
    <w:rsid w:val="00771DD2"/>
    <w:rsid w:val="00771F3C"/>
    <w:rsid w:val="00772A09"/>
    <w:rsid w:val="0077301C"/>
    <w:rsid w:val="007737FE"/>
    <w:rsid w:val="0077412E"/>
    <w:rsid w:val="00776162"/>
    <w:rsid w:val="00776533"/>
    <w:rsid w:val="00776881"/>
    <w:rsid w:val="00776C61"/>
    <w:rsid w:val="00777C93"/>
    <w:rsid w:val="0078140B"/>
    <w:rsid w:val="00781B2A"/>
    <w:rsid w:val="00782AD3"/>
    <w:rsid w:val="007837DC"/>
    <w:rsid w:val="00783A96"/>
    <w:rsid w:val="0078443F"/>
    <w:rsid w:val="00784797"/>
    <w:rsid w:val="00784D9E"/>
    <w:rsid w:val="00787037"/>
    <w:rsid w:val="00790863"/>
    <w:rsid w:val="00791507"/>
    <w:rsid w:val="00791E9E"/>
    <w:rsid w:val="00792649"/>
    <w:rsid w:val="00793517"/>
    <w:rsid w:val="00794F56"/>
    <w:rsid w:val="00794F73"/>
    <w:rsid w:val="007979A0"/>
    <w:rsid w:val="007A1790"/>
    <w:rsid w:val="007A2534"/>
    <w:rsid w:val="007A2544"/>
    <w:rsid w:val="007A2BFC"/>
    <w:rsid w:val="007A4452"/>
    <w:rsid w:val="007A4703"/>
    <w:rsid w:val="007A4756"/>
    <w:rsid w:val="007A5613"/>
    <w:rsid w:val="007A657F"/>
    <w:rsid w:val="007A6E79"/>
    <w:rsid w:val="007B0284"/>
    <w:rsid w:val="007B0FDA"/>
    <w:rsid w:val="007B1531"/>
    <w:rsid w:val="007B50A3"/>
    <w:rsid w:val="007B64F3"/>
    <w:rsid w:val="007B6571"/>
    <w:rsid w:val="007B66B2"/>
    <w:rsid w:val="007B6A2A"/>
    <w:rsid w:val="007B6A97"/>
    <w:rsid w:val="007B796A"/>
    <w:rsid w:val="007C031E"/>
    <w:rsid w:val="007C16B9"/>
    <w:rsid w:val="007C1B10"/>
    <w:rsid w:val="007C213E"/>
    <w:rsid w:val="007C3091"/>
    <w:rsid w:val="007C5D85"/>
    <w:rsid w:val="007C77C9"/>
    <w:rsid w:val="007D2287"/>
    <w:rsid w:val="007D34C8"/>
    <w:rsid w:val="007D4153"/>
    <w:rsid w:val="007D50C1"/>
    <w:rsid w:val="007D644E"/>
    <w:rsid w:val="007E0AB4"/>
    <w:rsid w:val="007E2A7F"/>
    <w:rsid w:val="007E2EE7"/>
    <w:rsid w:val="007E470E"/>
    <w:rsid w:val="007E5C16"/>
    <w:rsid w:val="007E62BC"/>
    <w:rsid w:val="007E6DF9"/>
    <w:rsid w:val="007E7D71"/>
    <w:rsid w:val="007F218C"/>
    <w:rsid w:val="007F51FC"/>
    <w:rsid w:val="007F5775"/>
    <w:rsid w:val="007F680F"/>
    <w:rsid w:val="007F6E58"/>
    <w:rsid w:val="007F6FC5"/>
    <w:rsid w:val="0080008E"/>
    <w:rsid w:val="00802CA7"/>
    <w:rsid w:val="008047DB"/>
    <w:rsid w:val="00806EBD"/>
    <w:rsid w:val="00807047"/>
    <w:rsid w:val="008132D2"/>
    <w:rsid w:val="00813385"/>
    <w:rsid w:val="008133CB"/>
    <w:rsid w:val="008135E4"/>
    <w:rsid w:val="00813C65"/>
    <w:rsid w:val="00814137"/>
    <w:rsid w:val="00816A18"/>
    <w:rsid w:val="00816AE3"/>
    <w:rsid w:val="00817B67"/>
    <w:rsid w:val="00820600"/>
    <w:rsid w:val="00820909"/>
    <w:rsid w:val="0082092A"/>
    <w:rsid w:val="008210DD"/>
    <w:rsid w:val="00821EFC"/>
    <w:rsid w:val="00821FB3"/>
    <w:rsid w:val="00822457"/>
    <w:rsid w:val="00823625"/>
    <w:rsid w:val="00823951"/>
    <w:rsid w:val="008239C8"/>
    <w:rsid w:val="00823C72"/>
    <w:rsid w:val="00825005"/>
    <w:rsid w:val="008259C4"/>
    <w:rsid w:val="00825BE8"/>
    <w:rsid w:val="008263AB"/>
    <w:rsid w:val="008269DA"/>
    <w:rsid w:val="00831451"/>
    <w:rsid w:val="00832B30"/>
    <w:rsid w:val="00832CE2"/>
    <w:rsid w:val="008337F9"/>
    <w:rsid w:val="00835F93"/>
    <w:rsid w:val="008365AE"/>
    <w:rsid w:val="00836BEB"/>
    <w:rsid w:val="00840EF9"/>
    <w:rsid w:val="008424DF"/>
    <w:rsid w:val="0084409A"/>
    <w:rsid w:val="008446E3"/>
    <w:rsid w:val="008458F8"/>
    <w:rsid w:val="00846367"/>
    <w:rsid w:val="00846C6D"/>
    <w:rsid w:val="008526AA"/>
    <w:rsid w:val="008529ED"/>
    <w:rsid w:val="008550BF"/>
    <w:rsid w:val="00856446"/>
    <w:rsid w:val="00861243"/>
    <w:rsid w:val="00861355"/>
    <w:rsid w:val="00862943"/>
    <w:rsid w:val="008629BB"/>
    <w:rsid w:val="00866640"/>
    <w:rsid w:val="00866B59"/>
    <w:rsid w:val="00867583"/>
    <w:rsid w:val="00873342"/>
    <w:rsid w:val="00873A36"/>
    <w:rsid w:val="0087451A"/>
    <w:rsid w:val="00874552"/>
    <w:rsid w:val="0087526A"/>
    <w:rsid w:val="00875A80"/>
    <w:rsid w:val="008774D5"/>
    <w:rsid w:val="00877860"/>
    <w:rsid w:val="00877DAD"/>
    <w:rsid w:val="00880D86"/>
    <w:rsid w:val="008834E5"/>
    <w:rsid w:val="00883B79"/>
    <w:rsid w:val="008847EE"/>
    <w:rsid w:val="00884EDD"/>
    <w:rsid w:val="00884FC6"/>
    <w:rsid w:val="0088584E"/>
    <w:rsid w:val="00887B9F"/>
    <w:rsid w:val="00891868"/>
    <w:rsid w:val="00892184"/>
    <w:rsid w:val="00894E11"/>
    <w:rsid w:val="00895B6E"/>
    <w:rsid w:val="00896CD2"/>
    <w:rsid w:val="00896F4E"/>
    <w:rsid w:val="0089775B"/>
    <w:rsid w:val="008A0CD0"/>
    <w:rsid w:val="008A1E5D"/>
    <w:rsid w:val="008A51EA"/>
    <w:rsid w:val="008A57A4"/>
    <w:rsid w:val="008A5CD6"/>
    <w:rsid w:val="008A5D48"/>
    <w:rsid w:val="008A63B7"/>
    <w:rsid w:val="008A64DB"/>
    <w:rsid w:val="008A757D"/>
    <w:rsid w:val="008A75A9"/>
    <w:rsid w:val="008A79EC"/>
    <w:rsid w:val="008B0163"/>
    <w:rsid w:val="008B1E18"/>
    <w:rsid w:val="008B2B26"/>
    <w:rsid w:val="008B3AF0"/>
    <w:rsid w:val="008B5326"/>
    <w:rsid w:val="008B5512"/>
    <w:rsid w:val="008B56AB"/>
    <w:rsid w:val="008B5BD2"/>
    <w:rsid w:val="008B620E"/>
    <w:rsid w:val="008B6ED5"/>
    <w:rsid w:val="008B7099"/>
    <w:rsid w:val="008B7494"/>
    <w:rsid w:val="008B7F10"/>
    <w:rsid w:val="008C07B0"/>
    <w:rsid w:val="008C0E90"/>
    <w:rsid w:val="008C17F9"/>
    <w:rsid w:val="008C19E8"/>
    <w:rsid w:val="008C66C0"/>
    <w:rsid w:val="008C66EE"/>
    <w:rsid w:val="008C720E"/>
    <w:rsid w:val="008C7E63"/>
    <w:rsid w:val="008D017D"/>
    <w:rsid w:val="008D0ECE"/>
    <w:rsid w:val="008D2304"/>
    <w:rsid w:val="008D46F2"/>
    <w:rsid w:val="008D4E08"/>
    <w:rsid w:val="008D519F"/>
    <w:rsid w:val="008D575E"/>
    <w:rsid w:val="008D5D99"/>
    <w:rsid w:val="008D70D5"/>
    <w:rsid w:val="008D7958"/>
    <w:rsid w:val="008E303A"/>
    <w:rsid w:val="008E3306"/>
    <w:rsid w:val="008E5CF4"/>
    <w:rsid w:val="008E696F"/>
    <w:rsid w:val="008E6D56"/>
    <w:rsid w:val="008E7001"/>
    <w:rsid w:val="008E72D4"/>
    <w:rsid w:val="008F0F0E"/>
    <w:rsid w:val="008F147C"/>
    <w:rsid w:val="008F268F"/>
    <w:rsid w:val="008F2BEA"/>
    <w:rsid w:val="008F6CCE"/>
    <w:rsid w:val="00900FCF"/>
    <w:rsid w:val="009018F1"/>
    <w:rsid w:val="00904F2D"/>
    <w:rsid w:val="00905980"/>
    <w:rsid w:val="00905C8A"/>
    <w:rsid w:val="009064C3"/>
    <w:rsid w:val="00906B53"/>
    <w:rsid w:val="00906C7E"/>
    <w:rsid w:val="00906FFE"/>
    <w:rsid w:val="00907D73"/>
    <w:rsid w:val="00911932"/>
    <w:rsid w:val="00912426"/>
    <w:rsid w:val="009137FD"/>
    <w:rsid w:val="00913865"/>
    <w:rsid w:val="00913D82"/>
    <w:rsid w:val="00914097"/>
    <w:rsid w:val="00917626"/>
    <w:rsid w:val="00917B59"/>
    <w:rsid w:val="00921299"/>
    <w:rsid w:val="0092170E"/>
    <w:rsid w:val="00921826"/>
    <w:rsid w:val="00921AD8"/>
    <w:rsid w:val="0093014E"/>
    <w:rsid w:val="0093082F"/>
    <w:rsid w:val="00930CAA"/>
    <w:rsid w:val="00931557"/>
    <w:rsid w:val="009323C4"/>
    <w:rsid w:val="009327EE"/>
    <w:rsid w:val="00932950"/>
    <w:rsid w:val="00932B9B"/>
    <w:rsid w:val="009336E9"/>
    <w:rsid w:val="009341E1"/>
    <w:rsid w:val="00934C7D"/>
    <w:rsid w:val="00937032"/>
    <w:rsid w:val="00937135"/>
    <w:rsid w:val="00937BDD"/>
    <w:rsid w:val="009410E7"/>
    <w:rsid w:val="00942600"/>
    <w:rsid w:val="0094349A"/>
    <w:rsid w:val="009449CC"/>
    <w:rsid w:val="0094607C"/>
    <w:rsid w:val="00946F8E"/>
    <w:rsid w:val="009478A7"/>
    <w:rsid w:val="00950359"/>
    <w:rsid w:val="00951011"/>
    <w:rsid w:val="00951561"/>
    <w:rsid w:val="00952278"/>
    <w:rsid w:val="0095354D"/>
    <w:rsid w:val="00953722"/>
    <w:rsid w:val="00954203"/>
    <w:rsid w:val="00956290"/>
    <w:rsid w:val="00956D27"/>
    <w:rsid w:val="00956FB2"/>
    <w:rsid w:val="00960AF6"/>
    <w:rsid w:val="00963BF7"/>
    <w:rsid w:val="00963F43"/>
    <w:rsid w:val="00965B85"/>
    <w:rsid w:val="00965FA9"/>
    <w:rsid w:val="00966B0B"/>
    <w:rsid w:val="00966C6E"/>
    <w:rsid w:val="00967091"/>
    <w:rsid w:val="00967C5A"/>
    <w:rsid w:val="00967D6C"/>
    <w:rsid w:val="00972283"/>
    <w:rsid w:val="00972356"/>
    <w:rsid w:val="0097316B"/>
    <w:rsid w:val="009735BE"/>
    <w:rsid w:val="009741EF"/>
    <w:rsid w:val="0097434C"/>
    <w:rsid w:val="0097645A"/>
    <w:rsid w:val="00976769"/>
    <w:rsid w:val="00977DB0"/>
    <w:rsid w:val="00977EA4"/>
    <w:rsid w:val="00980248"/>
    <w:rsid w:val="0098195B"/>
    <w:rsid w:val="00982D31"/>
    <w:rsid w:val="00987CA3"/>
    <w:rsid w:val="00991022"/>
    <w:rsid w:val="0099141E"/>
    <w:rsid w:val="00991BC7"/>
    <w:rsid w:val="00992B0B"/>
    <w:rsid w:val="00992F1B"/>
    <w:rsid w:val="009940AD"/>
    <w:rsid w:val="00994905"/>
    <w:rsid w:val="009978E5"/>
    <w:rsid w:val="009A1194"/>
    <w:rsid w:val="009A15A2"/>
    <w:rsid w:val="009A1673"/>
    <w:rsid w:val="009A1CD6"/>
    <w:rsid w:val="009A208B"/>
    <w:rsid w:val="009A25DB"/>
    <w:rsid w:val="009A2DDE"/>
    <w:rsid w:val="009A3CCD"/>
    <w:rsid w:val="009A4C42"/>
    <w:rsid w:val="009A4F3F"/>
    <w:rsid w:val="009A57C4"/>
    <w:rsid w:val="009A5D7D"/>
    <w:rsid w:val="009A6DE3"/>
    <w:rsid w:val="009A6E0C"/>
    <w:rsid w:val="009A767B"/>
    <w:rsid w:val="009B1D7A"/>
    <w:rsid w:val="009B1DDF"/>
    <w:rsid w:val="009B2394"/>
    <w:rsid w:val="009B36E9"/>
    <w:rsid w:val="009B5D5A"/>
    <w:rsid w:val="009B727D"/>
    <w:rsid w:val="009B7FAC"/>
    <w:rsid w:val="009C0167"/>
    <w:rsid w:val="009C0559"/>
    <w:rsid w:val="009C0738"/>
    <w:rsid w:val="009C0CAD"/>
    <w:rsid w:val="009C1E35"/>
    <w:rsid w:val="009C250B"/>
    <w:rsid w:val="009C25BB"/>
    <w:rsid w:val="009C2E0F"/>
    <w:rsid w:val="009C35F5"/>
    <w:rsid w:val="009C5223"/>
    <w:rsid w:val="009C52C5"/>
    <w:rsid w:val="009C56A7"/>
    <w:rsid w:val="009C6D52"/>
    <w:rsid w:val="009D05DD"/>
    <w:rsid w:val="009D0FF3"/>
    <w:rsid w:val="009D1921"/>
    <w:rsid w:val="009D2A6A"/>
    <w:rsid w:val="009D2C6E"/>
    <w:rsid w:val="009D30DA"/>
    <w:rsid w:val="009E1A6A"/>
    <w:rsid w:val="009E263F"/>
    <w:rsid w:val="009E3C90"/>
    <w:rsid w:val="009E4A0C"/>
    <w:rsid w:val="009E4F5C"/>
    <w:rsid w:val="009E5EE9"/>
    <w:rsid w:val="009E747B"/>
    <w:rsid w:val="009F1201"/>
    <w:rsid w:val="009F23B3"/>
    <w:rsid w:val="009F2925"/>
    <w:rsid w:val="009F308D"/>
    <w:rsid w:val="009F3AB7"/>
    <w:rsid w:val="009F65EF"/>
    <w:rsid w:val="00A00342"/>
    <w:rsid w:val="00A0358E"/>
    <w:rsid w:val="00A03766"/>
    <w:rsid w:val="00A03935"/>
    <w:rsid w:val="00A040BF"/>
    <w:rsid w:val="00A042E1"/>
    <w:rsid w:val="00A054B4"/>
    <w:rsid w:val="00A06F7A"/>
    <w:rsid w:val="00A0743C"/>
    <w:rsid w:val="00A109EC"/>
    <w:rsid w:val="00A10BA7"/>
    <w:rsid w:val="00A117B9"/>
    <w:rsid w:val="00A11B14"/>
    <w:rsid w:val="00A1297B"/>
    <w:rsid w:val="00A12D5C"/>
    <w:rsid w:val="00A1407C"/>
    <w:rsid w:val="00A153D4"/>
    <w:rsid w:val="00A15BD1"/>
    <w:rsid w:val="00A16AFE"/>
    <w:rsid w:val="00A179A9"/>
    <w:rsid w:val="00A17BE6"/>
    <w:rsid w:val="00A20360"/>
    <w:rsid w:val="00A2046B"/>
    <w:rsid w:val="00A20F56"/>
    <w:rsid w:val="00A21ECD"/>
    <w:rsid w:val="00A21F2A"/>
    <w:rsid w:val="00A22231"/>
    <w:rsid w:val="00A223EA"/>
    <w:rsid w:val="00A230BA"/>
    <w:rsid w:val="00A236E6"/>
    <w:rsid w:val="00A25162"/>
    <w:rsid w:val="00A256C6"/>
    <w:rsid w:val="00A25E31"/>
    <w:rsid w:val="00A2633D"/>
    <w:rsid w:val="00A308BC"/>
    <w:rsid w:val="00A3098B"/>
    <w:rsid w:val="00A319CD"/>
    <w:rsid w:val="00A327DD"/>
    <w:rsid w:val="00A32D79"/>
    <w:rsid w:val="00A33B97"/>
    <w:rsid w:val="00A33DF7"/>
    <w:rsid w:val="00A33F32"/>
    <w:rsid w:val="00A363ED"/>
    <w:rsid w:val="00A36FA3"/>
    <w:rsid w:val="00A37D15"/>
    <w:rsid w:val="00A43D77"/>
    <w:rsid w:val="00A4483F"/>
    <w:rsid w:val="00A44841"/>
    <w:rsid w:val="00A449C2"/>
    <w:rsid w:val="00A44B4B"/>
    <w:rsid w:val="00A44D77"/>
    <w:rsid w:val="00A462C3"/>
    <w:rsid w:val="00A469A0"/>
    <w:rsid w:val="00A475B8"/>
    <w:rsid w:val="00A47B0F"/>
    <w:rsid w:val="00A504DC"/>
    <w:rsid w:val="00A504DD"/>
    <w:rsid w:val="00A50F93"/>
    <w:rsid w:val="00A51845"/>
    <w:rsid w:val="00A52080"/>
    <w:rsid w:val="00A56397"/>
    <w:rsid w:val="00A5647F"/>
    <w:rsid w:val="00A602C2"/>
    <w:rsid w:val="00A608CB"/>
    <w:rsid w:val="00A60989"/>
    <w:rsid w:val="00A6190A"/>
    <w:rsid w:val="00A62A94"/>
    <w:rsid w:val="00A636EF"/>
    <w:rsid w:val="00A63907"/>
    <w:rsid w:val="00A63A25"/>
    <w:rsid w:val="00A64981"/>
    <w:rsid w:val="00A65AA0"/>
    <w:rsid w:val="00A65CBF"/>
    <w:rsid w:val="00A65E7F"/>
    <w:rsid w:val="00A71391"/>
    <w:rsid w:val="00A71FAC"/>
    <w:rsid w:val="00A72A1E"/>
    <w:rsid w:val="00A74327"/>
    <w:rsid w:val="00A7555E"/>
    <w:rsid w:val="00A76051"/>
    <w:rsid w:val="00A7675D"/>
    <w:rsid w:val="00A80465"/>
    <w:rsid w:val="00A81448"/>
    <w:rsid w:val="00A82A3B"/>
    <w:rsid w:val="00A83A07"/>
    <w:rsid w:val="00A83A24"/>
    <w:rsid w:val="00A8622E"/>
    <w:rsid w:val="00A866C0"/>
    <w:rsid w:val="00A86EE7"/>
    <w:rsid w:val="00A90919"/>
    <w:rsid w:val="00A90B4C"/>
    <w:rsid w:val="00A90C37"/>
    <w:rsid w:val="00A90DDF"/>
    <w:rsid w:val="00A91BD9"/>
    <w:rsid w:val="00A92DC0"/>
    <w:rsid w:val="00A93D4F"/>
    <w:rsid w:val="00A93DE2"/>
    <w:rsid w:val="00A97531"/>
    <w:rsid w:val="00AA235C"/>
    <w:rsid w:val="00AA680D"/>
    <w:rsid w:val="00AA6AAB"/>
    <w:rsid w:val="00AA7BCE"/>
    <w:rsid w:val="00AB015F"/>
    <w:rsid w:val="00AB05D8"/>
    <w:rsid w:val="00AB1571"/>
    <w:rsid w:val="00AB24CF"/>
    <w:rsid w:val="00AB269D"/>
    <w:rsid w:val="00AB2873"/>
    <w:rsid w:val="00AB3150"/>
    <w:rsid w:val="00AB36E3"/>
    <w:rsid w:val="00AB5D4C"/>
    <w:rsid w:val="00AB601E"/>
    <w:rsid w:val="00AB7202"/>
    <w:rsid w:val="00AB7E99"/>
    <w:rsid w:val="00AC00A0"/>
    <w:rsid w:val="00AC014D"/>
    <w:rsid w:val="00AC1BD9"/>
    <w:rsid w:val="00AC3859"/>
    <w:rsid w:val="00AC38C5"/>
    <w:rsid w:val="00AC4196"/>
    <w:rsid w:val="00AC419F"/>
    <w:rsid w:val="00AC4278"/>
    <w:rsid w:val="00AC5C02"/>
    <w:rsid w:val="00AC66F9"/>
    <w:rsid w:val="00AC73A1"/>
    <w:rsid w:val="00AC7A1D"/>
    <w:rsid w:val="00AD17B0"/>
    <w:rsid w:val="00AD2306"/>
    <w:rsid w:val="00AD2543"/>
    <w:rsid w:val="00AD2927"/>
    <w:rsid w:val="00AD29CC"/>
    <w:rsid w:val="00AD31D6"/>
    <w:rsid w:val="00AD340A"/>
    <w:rsid w:val="00AD4B1B"/>
    <w:rsid w:val="00AD50F8"/>
    <w:rsid w:val="00AD6701"/>
    <w:rsid w:val="00AD69C8"/>
    <w:rsid w:val="00AD6BE1"/>
    <w:rsid w:val="00AD7B41"/>
    <w:rsid w:val="00AD7FED"/>
    <w:rsid w:val="00AE064F"/>
    <w:rsid w:val="00AE0E4F"/>
    <w:rsid w:val="00AE18B1"/>
    <w:rsid w:val="00AE2617"/>
    <w:rsid w:val="00AE27F5"/>
    <w:rsid w:val="00AE3F73"/>
    <w:rsid w:val="00AE41A1"/>
    <w:rsid w:val="00AE562C"/>
    <w:rsid w:val="00AE5781"/>
    <w:rsid w:val="00AE58DC"/>
    <w:rsid w:val="00AE5DD6"/>
    <w:rsid w:val="00AE5F2F"/>
    <w:rsid w:val="00AE6829"/>
    <w:rsid w:val="00AF084C"/>
    <w:rsid w:val="00AF2425"/>
    <w:rsid w:val="00AF26E9"/>
    <w:rsid w:val="00AF32C3"/>
    <w:rsid w:val="00AF392B"/>
    <w:rsid w:val="00AF5D09"/>
    <w:rsid w:val="00AF64D6"/>
    <w:rsid w:val="00AF73AA"/>
    <w:rsid w:val="00AF7E90"/>
    <w:rsid w:val="00B0014F"/>
    <w:rsid w:val="00B006D9"/>
    <w:rsid w:val="00B02237"/>
    <w:rsid w:val="00B02412"/>
    <w:rsid w:val="00B02E5C"/>
    <w:rsid w:val="00B03640"/>
    <w:rsid w:val="00B044C4"/>
    <w:rsid w:val="00B0475C"/>
    <w:rsid w:val="00B07253"/>
    <w:rsid w:val="00B07A7F"/>
    <w:rsid w:val="00B07F3E"/>
    <w:rsid w:val="00B11051"/>
    <w:rsid w:val="00B11116"/>
    <w:rsid w:val="00B12441"/>
    <w:rsid w:val="00B12A35"/>
    <w:rsid w:val="00B12A81"/>
    <w:rsid w:val="00B12E1C"/>
    <w:rsid w:val="00B13A30"/>
    <w:rsid w:val="00B14C86"/>
    <w:rsid w:val="00B15393"/>
    <w:rsid w:val="00B17012"/>
    <w:rsid w:val="00B206E6"/>
    <w:rsid w:val="00B21058"/>
    <w:rsid w:val="00B21616"/>
    <w:rsid w:val="00B21664"/>
    <w:rsid w:val="00B21B35"/>
    <w:rsid w:val="00B22188"/>
    <w:rsid w:val="00B223DE"/>
    <w:rsid w:val="00B22654"/>
    <w:rsid w:val="00B254A5"/>
    <w:rsid w:val="00B2623D"/>
    <w:rsid w:val="00B264C5"/>
    <w:rsid w:val="00B278F4"/>
    <w:rsid w:val="00B304B9"/>
    <w:rsid w:val="00B30D96"/>
    <w:rsid w:val="00B31918"/>
    <w:rsid w:val="00B3233D"/>
    <w:rsid w:val="00B3362C"/>
    <w:rsid w:val="00B35174"/>
    <w:rsid w:val="00B356A8"/>
    <w:rsid w:val="00B36021"/>
    <w:rsid w:val="00B410C0"/>
    <w:rsid w:val="00B41E21"/>
    <w:rsid w:val="00B41FC2"/>
    <w:rsid w:val="00B42F92"/>
    <w:rsid w:val="00B43375"/>
    <w:rsid w:val="00B43486"/>
    <w:rsid w:val="00B448DB"/>
    <w:rsid w:val="00B45385"/>
    <w:rsid w:val="00B45425"/>
    <w:rsid w:val="00B454D4"/>
    <w:rsid w:val="00B45673"/>
    <w:rsid w:val="00B46AB8"/>
    <w:rsid w:val="00B46D27"/>
    <w:rsid w:val="00B5020B"/>
    <w:rsid w:val="00B50A0F"/>
    <w:rsid w:val="00B50EFD"/>
    <w:rsid w:val="00B517F4"/>
    <w:rsid w:val="00B52DB4"/>
    <w:rsid w:val="00B53C82"/>
    <w:rsid w:val="00B54595"/>
    <w:rsid w:val="00B547F7"/>
    <w:rsid w:val="00B55C91"/>
    <w:rsid w:val="00B566BE"/>
    <w:rsid w:val="00B575C3"/>
    <w:rsid w:val="00B57EE5"/>
    <w:rsid w:val="00B607BE"/>
    <w:rsid w:val="00B613A3"/>
    <w:rsid w:val="00B61D63"/>
    <w:rsid w:val="00B62421"/>
    <w:rsid w:val="00B67A84"/>
    <w:rsid w:val="00B67B84"/>
    <w:rsid w:val="00B70552"/>
    <w:rsid w:val="00B70999"/>
    <w:rsid w:val="00B7290D"/>
    <w:rsid w:val="00B72B0F"/>
    <w:rsid w:val="00B74D97"/>
    <w:rsid w:val="00B758F9"/>
    <w:rsid w:val="00B75A50"/>
    <w:rsid w:val="00B76833"/>
    <w:rsid w:val="00B774AF"/>
    <w:rsid w:val="00B801D7"/>
    <w:rsid w:val="00B80539"/>
    <w:rsid w:val="00B81750"/>
    <w:rsid w:val="00B8231A"/>
    <w:rsid w:val="00B82CAA"/>
    <w:rsid w:val="00B85A86"/>
    <w:rsid w:val="00B86C64"/>
    <w:rsid w:val="00B87B1B"/>
    <w:rsid w:val="00B9039D"/>
    <w:rsid w:val="00B93760"/>
    <w:rsid w:val="00B946AF"/>
    <w:rsid w:val="00B9687F"/>
    <w:rsid w:val="00B9729D"/>
    <w:rsid w:val="00BA00CF"/>
    <w:rsid w:val="00BA0393"/>
    <w:rsid w:val="00BA1048"/>
    <w:rsid w:val="00BA17CD"/>
    <w:rsid w:val="00BA26A0"/>
    <w:rsid w:val="00BA3091"/>
    <w:rsid w:val="00BA398D"/>
    <w:rsid w:val="00BA3A11"/>
    <w:rsid w:val="00BA7289"/>
    <w:rsid w:val="00BB04F7"/>
    <w:rsid w:val="00BB1BC7"/>
    <w:rsid w:val="00BB1CE9"/>
    <w:rsid w:val="00BB1FC5"/>
    <w:rsid w:val="00BB2589"/>
    <w:rsid w:val="00BB273E"/>
    <w:rsid w:val="00BB3EFE"/>
    <w:rsid w:val="00BB4D69"/>
    <w:rsid w:val="00BB6E34"/>
    <w:rsid w:val="00BC0199"/>
    <w:rsid w:val="00BC10F7"/>
    <w:rsid w:val="00BC31DB"/>
    <w:rsid w:val="00BC3804"/>
    <w:rsid w:val="00BC406B"/>
    <w:rsid w:val="00BC5117"/>
    <w:rsid w:val="00BC799E"/>
    <w:rsid w:val="00BC7A99"/>
    <w:rsid w:val="00BD0356"/>
    <w:rsid w:val="00BD276E"/>
    <w:rsid w:val="00BD2B0E"/>
    <w:rsid w:val="00BD3C4E"/>
    <w:rsid w:val="00BD411D"/>
    <w:rsid w:val="00BD4BB1"/>
    <w:rsid w:val="00BD5FAA"/>
    <w:rsid w:val="00BD6BB4"/>
    <w:rsid w:val="00BE1677"/>
    <w:rsid w:val="00BE16CE"/>
    <w:rsid w:val="00BE3D0A"/>
    <w:rsid w:val="00BE4561"/>
    <w:rsid w:val="00BE4A13"/>
    <w:rsid w:val="00BF0797"/>
    <w:rsid w:val="00BF08DC"/>
    <w:rsid w:val="00BF14A5"/>
    <w:rsid w:val="00BF2109"/>
    <w:rsid w:val="00BF2F78"/>
    <w:rsid w:val="00BF3827"/>
    <w:rsid w:val="00BF41C1"/>
    <w:rsid w:val="00BF4FFB"/>
    <w:rsid w:val="00BF5411"/>
    <w:rsid w:val="00BF5478"/>
    <w:rsid w:val="00BF558F"/>
    <w:rsid w:val="00BF5B05"/>
    <w:rsid w:val="00BF6799"/>
    <w:rsid w:val="00BF6834"/>
    <w:rsid w:val="00BF6854"/>
    <w:rsid w:val="00C01CCE"/>
    <w:rsid w:val="00C0231F"/>
    <w:rsid w:val="00C04040"/>
    <w:rsid w:val="00C04660"/>
    <w:rsid w:val="00C0516B"/>
    <w:rsid w:val="00C059F5"/>
    <w:rsid w:val="00C05B47"/>
    <w:rsid w:val="00C05C42"/>
    <w:rsid w:val="00C06197"/>
    <w:rsid w:val="00C06C26"/>
    <w:rsid w:val="00C079AA"/>
    <w:rsid w:val="00C07CE6"/>
    <w:rsid w:val="00C07EAF"/>
    <w:rsid w:val="00C10D97"/>
    <w:rsid w:val="00C10DAC"/>
    <w:rsid w:val="00C11009"/>
    <w:rsid w:val="00C11307"/>
    <w:rsid w:val="00C114D6"/>
    <w:rsid w:val="00C11DC9"/>
    <w:rsid w:val="00C12141"/>
    <w:rsid w:val="00C14C93"/>
    <w:rsid w:val="00C164D7"/>
    <w:rsid w:val="00C173CF"/>
    <w:rsid w:val="00C17A2A"/>
    <w:rsid w:val="00C205A4"/>
    <w:rsid w:val="00C20C3B"/>
    <w:rsid w:val="00C22A3C"/>
    <w:rsid w:val="00C238BE"/>
    <w:rsid w:val="00C23EA7"/>
    <w:rsid w:val="00C245F8"/>
    <w:rsid w:val="00C2467B"/>
    <w:rsid w:val="00C25BBF"/>
    <w:rsid w:val="00C279EB"/>
    <w:rsid w:val="00C27DAE"/>
    <w:rsid w:val="00C30120"/>
    <w:rsid w:val="00C301D8"/>
    <w:rsid w:val="00C30210"/>
    <w:rsid w:val="00C32BA8"/>
    <w:rsid w:val="00C32BB0"/>
    <w:rsid w:val="00C368FE"/>
    <w:rsid w:val="00C3694A"/>
    <w:rsid w:val="00C40155"/>
    <w:rsid w:val="00C43947"/>
    <w:rsid w:val="00C4479A"/>
    <w:rsid w:val="00C44B8F"/>
    <w:rsid w:val="00C45849"/>
    <w:rsid w:val="00C45A5B"/>
    <w:rsid w:val="00C4638E"/>
    <w:rsid w:val="00C46A15"/>
    <w:rsid w:val="00C46A35"/>
    <w:rsid w:val="00C47CEA"/>
    <w:rsid w:val="00C50ED9"/>
    <w:rsid w:val="00C51EB6"/>
    <w:rsid w:val="00C53D50"/>
    <w:rsid w:val="00C556F1"/>
    <w:rsid w:val="00C55CA2"/>
    <w:rsid w:val="00C5679B"/>
    <w:rsid w:val="00C57A2F"/>
    <w:rsid w:val="00C57A91"/>
    <w:rsid w:val="00C60EBF"/>
    <w:rsid w:val="00C61A1C"/>
    <w:rsid w:val="00C622B1"/>
    <w:rsid w:val="00C64CA4"/>
    <w:rsid w:val="00C65BBA"/>
    <w:rsid w:val="00C66806"/>
    <w:rsid w:val="00C67531"/>
    <w:rsid w:val="00C67C0B"/>
    <w:rsid w:val="00C67EEF"/>
    <w:rsid w:val="00C7225F"/>
    <w:rsid w:val="00C732C1"/>
    <w:rsid w:val="00C74616"/>
    <w:rsid w:val="00C76CFA"/>
    <w:rsid w:val="00C77E8E"/>
    <w:rsid w:val="00C77F6E"/>
    <w:rsid w:val="00C80E8B"/>
    <w:rsid w:val="00C81FAF"/>
    <w:rsid w:val="00C8289D"/>
    <w:rsid w:val="00C8351F"/>
    <w:rsid w:val="00C83A85"/>
    <w:rsid w:val="00C83B62"/>
    <w:rsid w:val="00C83D94"/>
    <w:rsid w:val="00C85461"/>
    <w:rsid w:val="00C8656E"/>
    <w:rsid w:val="00C86F00"/>
    <w:rsid w:val="00C87273"/>
    <w:rsid w:val="00C8789F"/>
    <w:rsid w:val="00C90376"/>
    <w:rsid w:val="00C90656"/>
    <w:rsid w:val="00C90995"/>
    <w:rsid w:val="00C91F4E"/>
    <w:rsid w:val="00C942F9"/>
    <w:rsid w:val="00CA0348"/>
    <w:rsid w:val="00CA05A8"/>
    <w:rsid w:val="00CA14EE"/>
    <w:rsid w:val="00CA1E27"/>
    <w:rsid w:val="00CA3501"/>
    <w:rsid w:val="00CA3626"/>
    <w:rsid w:val="00CA4FBA"/>
    <w:rsid w:val="00CA5918"/>
    <w:rsid w:val="00CA6D63"/>
    <w:rsid w:val="00CB1692"/>
    <w:rsid w:val="00CB179D"/>
    <w:rsid w:val="00CB2D43"/>
    <w:rsid w:val="00CB2D66"/>
    <w:rsid w:val="00CB35FA"/>
    <w:rsid w:val="00CB433C"/>
    <w:rsid w:val="00CB4BFA"/>
    <w:rsid w:val="00CB6C80"/>
    <w:rsid w:val="00CB7535"/>
    <w:rsid w:val="00CB7641"/>
    <w:rsid w:val="00CB7D94"/>
    <w:rsid w:val="00CC073C"/>
    <w:rsid w:val="00CC2DD8"/>
    <w:rsid w:val="00CC3092"/>
    <w:rsid w:val="00CC30AF"/>
    <w:rsid w:val="00CC314F"/>
    <w:rsid w:val="00CC59D0"/>
    <w:rsid w:val="00CC5CE5"/>
    <w:rsid w:val="00CC604C"/>
    <w:rsid w:val="00CC7CB0"/>
    <w:rsid w:val="00CD116C"/>
    <w:rsid w:val="00CD1276"/>
    <w:rsid w:val="00CD133A"/>
    <w:rsid w:val="00CD1713"/>
    <w:rsid w:val="00CD18AA"/>
    <w:rsid w:val="00CD1C2A"/>
    <w:rsid w:val="00CD210D"/>
    <w:rsid w:val="00CD28ED"/>
    <w:rsid w:val="00CD36B6"/>
    <w:rsid w:val="00CD3B2E"/>
    <w:rsid w:val="00CD4F5E"/>
    <w:rsid w:val="00CD6879"/>
    <w:rsid w:val="00CD6B11"/>
    <w:rsid w:val="00CE04D1"/>
    <w:rsid w:val="00CE0FE2"/>
    <w:rsid w:val="00CE1135"/>
    <w:rsid w:val="00CE1FC2"/>
    <w:rsid w:val="00CE3C11"/>
    <w:rsid w:val="00CE3E2D"/>
    <w:rsid w:val="00CE522C"/>
    <w:rsid w:val="00CE52BB"/>
    <w:rsid w:val="00CE5A0C"/>
    <w:rsid w:val="00CE61FD"/>
    <w:rsid w:val="00CE6908"/>
    <w:rsid w:val="00CE6C89"/>
    <w:rsid w:val="00CE71FB"/>
    <w:rsid w:val="00CE7A07"/>
    <w:rsid w:val="00CF00EC"/>
    <w:rsid w:val="00CF0946"/>
    <w:rsid w:val="00CF0D48"/>
    <w:rsid w:val="00CF2956"/>
    <w:rsid w:val="00CF325D"/>
    <w:rsid w:val="00CF3B7D"/>
    <w:rsid w:val="00CF3C82"/>
    <w:rsid w:val="00CF407D"/>
    <w:rsid w:val="00CF41B0"/>
    <w:rsid w:val="00CF470A"/>
    <w:rsid w:val="00CF54AB"/>
    <w:rsid w:val="00CF6634"/>
    <w:rsid w:val="00CF750D"/>
    <w:rsid w:val="00CF7C3C"/>
    <w:rsid w:val="00D05CF8"/>
    <w:rsid w:val="00D074F0"/>
    <w:rsid w:val="00D07D23"/>
    <w:rsid w:val="00D11761"/>
    <w:rsid w:val="00D11BB2"/>
    <w:rsid w:val="00D1208A"/>
    <w:rsid w:val="00D12471"/>
    <w:rsid w:val="00D13D78"/>
    <w:rsid w:val="00D14BD1"/>
    <w:rsid w:val="00D1500E"/>
    <w:rsid w:val="00D16696"/>
    <w:rsid w:val="00D16C1F"/>
    <w:rsid w:val="00D17432"/>
    <w:rsid w:val="00D17D6F"/>
    <w:rsid w:val="00D17ED6"/>
    <w:rsid w:val="00D17F93"/>
    <w:rsid w:val="00D2009C"/>
    <w:rsid w:val="00D205A5"/>
    <w:rsid w:val="00D205B6"/>
    <w:rsid w:val="00D208D7"/>
    <w:rsid w:val="00D2178E"/>
    <w:rsid w:val="00D21D4D"/>
    <w:rsid w:val="00D220B5"/>
    <w:rsid w:val="00D2438E"/>
    <w:rsid w:val="00D24C80"/>
    <w:rsid w:val="00D24E22"/>
    <w:rsid w:val="00D278EE"/>
    <w:rsid w:val="00D27AD1"/>
    <w:rsid w:val="00D322C7"/>
    <w:rsid w:val="00D3278F"/>
    <w:rsid w:val="00D3426E"/>
    <w:rsid w:val="00D3631D"/>
    <w:rsid w:val="00D37403"/>
    <w:rsid w:val="00D3797E"/>
    <w:rsid w:val="00D40926"/>
    <w:rsid w:val="00D4281D"/>
    <w:rsid w:val="00D43506"/>
    <w:rsid w:val="00D446EE"/>
    <w:rsid w:val="00D456FF"/>
    <w:rsid w:val="00D45B52"/>
    <w:rsid w:val="00D45B8E"/>
    <w:rsid w:val="00D4625B"/>
    <w:rsid w:val="00D46A80"/>
    <w:rsid w:val="00D474AF"/>
    <w:rsid w:val="00D47566"/>
    <w:rsid w:val="00D477B3"/>
    <w:rsid w:val="00D50BB4"/>
    <w:rsid w:val="00D51550"/>
    <w:rsid w:val="00D5273B"/>
    <w:rsid w:val="00D52B18"/>
    <w:rsid w:val="00D54499"/>
    <w:rsid w:val="00D611B1"/>
    <w:rsid w:val="00D63823"/>
    <w:rsid w:val="00D649D7"/>
    <w:rsid w:val="00D65719"/>
    <w:rsid w:val="00D660D4"/>
    <w:rsid w:val="00D6614B"/>
    <w:rsid w:val="00D662BF"/>
    <w:rsid w:val="00D719B3"/>
    <w:rsid w:val="00D71D3D"/>
    <w:rsid w:val="00D72873"/>
    <w:rsid w:val="00D748A9"/>
    <w:rsid w:val="00D75E80"/>
    <w:rsid w:val="00D769DD"/>
    <w:rsid w:val="00D76F26"/>
    <w:rsid w:val="00D778B0"/>
    <w:rsid w:val="00D84CEA"/>
    <w:rsid w:val="00D86C4B"/>
    <w:rsid w:val="00D87683"/>
    <w:rsid w:val="00D9050D"/>
    <w:rsid w:val="00D9185E"/>
    <w:rsid w:val="00D924C9"/>
    <w:rsid w:val="00D926EA"/>
    <w:rsid w:val="00D93EB7"/>
    <w:rsid w:val="00D952C6"/>
    <w:rsid w:val="00D95CE1"/>
    <w:rsid w:val="00D96913"/>
    <w:rsid w:val="00D96F48"/>
    <w:rsid w:val="00D9719D"/>
    <w:rsid w:val="00D97654"/>
    <w:rsid w:val="00DA044C"/>
    <w:rsid w:val="00DA2CAB"/>
    <w:rsid w:val="00DA3203"/>
    <w:rsid w:val="00DA478B"/>
    <w:rsid w:val="00DA4E3F"/>
    <w:rsid w:val="00DA703D"/>
    <w:rsid w:val="00DA7946"/>
    <w:rsid w:val="00DA7F27"/>
    <w:rsid w:val="00DB0469"/>
    <w:rsid w:val="00DB0879"/>
    <w:rsid w:val="00DB2198"/>
    <w:rsid w:val="00DB22F2"/>
    <w:rsid w:val="00DB395F"/>
    <w:rsid w:val="00DB3B91"/>
    <w:rsid w:val="00DB3C7A"/>
    <w:rsid w:val="00DB45E4"/>
    <w:rsid w:val="00DB57CB"/>
    <w:rsid w:val="00DB62B4"/>
    <w:rsid w:val="00DB7FA9"/>
    <w:rsid w:val="00DC0759"/>
    <w:rsid w:val="00DC0EC4"/>
    <w:rsid w:val="00DC11BC"/>
    <w:rsid w:val="00DC376B"/>
    <w:rsid w:val="00DC4B0F"/>
    <w:rsid w:val="00DC4C5A"/>
    <w:rsid w:val="00DC4E27"/>
    <w:rsid w:val="00DC59C7"/>
    <w:rsid w:val="00DD2291"/>
    <w:rsid w:val="00DD47AF"/>
    <w:rsid w:val="00DD538B"/>
    <w:rsid w:val="00DD6091"/>
    <w:rsid w:val="00DD689B"/>
    <w:rsid w:val="00DD6AC9"/>
    <w:rsid w:val="00DD6AF0"/>
    <w:rsid w:val="00DD72F3"/>
    <w:rsid w:val="00DD75EC"/>
    <w:rsid w:val="00DE02A3"/>
    <w:rsid w:val="00DE0CF3"/>
    <w:rsid w:val="00DE1CFD"/>
    <w:rsid w:val="00DE1E0A"/>
    <w:rsid w:val="00DE1FD8"/>
    <w:rsid w:val="00DE2834"/>
    <w:rsid w:val="00DE2E27"/>
    <w:rsid w:val="00DE5651"/>
    <w:rsid w:val="00DE7BA7"/>
    <w:rsid w:val="00DF2876"/>
    <w:rsid w:val="00DF2F16"/>
    <w:rsid w:val="00DF410D"/>
    <w:rsid w:val="00DF4DB7"/>
    <w:rsid w:val="00DF54E7"/>
    <w:rsid w:val="00DF5D7F"/>
    <w:rsid w:val="00DF7914"/>
    <w:rsid w:val="00E00F88"/>
    <w:rsid w:val="00E01332"/>
    <w:rsid w:val="00E013D3"/>
    <w:rsid w:val="00E025BA"/>
    <w:rsid w:val="00E028D8"/>
    <w:rsid w:val="00E033F0"/>
    <w:rsid w:val="00E05274"/>
    <w:rsid w:val="00E06057"/>
    <w:rsid w:val="00E066DA"/>
    <w:rsid w:val="00E1075B"/>
    <w:rsid w:val="00E108C7"/>
    <w:rsid w:val="00E11348"/>
    <w:rsid w:val="00E113F6"/>
    <w:rsid w:val="00E121ED"/>
    <w:rsid w:val="00E1268B"/>
    <w:rsid w:val="00E13772"/>
    <w:rsid w:val="00E14E84"/>
    <w:rsid w:val="00E16537"/>
    <w:rsid w:val="00E166E3"/>
    <w:rsid w:val="00E17C0A"/>
    <w:rsid w:val="00E20DC9"/>
    <w:rsid w:val="00E221DF"/>
    <w:rsid w:val="00E242C4"/>
    <w:rsid w:val="00E24E73"/>
    <w:rsid w:val="00E24F09"/>
    <w:rsid w:val="00E308A1"/>
    <w:rsid w:val="00E31190"/>
    <w:rsid w:val="00E33C44"/>
    <w:rsid w:val="00E33F4B"/>
    <w:rsid w:val="00E345AB"/>
    <w:rsid w:val="00E365E9"/>
    <w:rsid w:val="00E37F14"/>
    <w:rsid w:val="00E4232C"/>
    <w:rsid w:val="00E42752"/>
    <w:rsid w:val="00E431B6"/>
    <w:rsid w:val="00E43B3D"/>
    <w:rsid w:val="00E4520E"/>
    <w:rsid w:val="00E46AF2"/>
    <w:rsid w:val="00E46F2B"/>
    <w:rsid w:val="00E4732E"/>
    <w:rsid w:val="00E508AD"/>
    <w:rsid w:val="00E51870"/>
    <w:rsid w:val="00E528F8"/>
    <w:rsid w:val="00E53D66"/>
    <w:rsid w:val="00E5418B"/>
    <w:rsid w:val="00E544E6"/>
    <w:rsid w:val="00E5489C"/>
    <w:rsid w:val="00E60813"/>
    <w:rsid w:val="00E614ED"/>
    <w:rsid w:val="00E6190B"/>
    <w:rsid w:val="00E61F9E"/>
    <w:rsid w:val="00E6354A"/>
    <w:rsid w:val="00E63E42"/>
    <w:rsid w:val="00E64750"/>
    <w:rsid w:val="00E659EA"/>
    <w:rsid w:val="00E6723F"/>
    <w:rsid w:val="00E701A1"/>
    <w:rsid w:val="00E72D92"/>
    <w:rsid w:val="00E736A4"/>
    <w:rsid w:val="00E73BD0"/>
    <w:rsid w:val="00E7433C"/>
    <w:rsid w:val="00E74801"/>
    <w:rsid w:val="00E74F8B"/>
    <w:rsid w:val="00E750DE"/>
    <w:rsid w:val="00E75401"/>
    <w:rsid w:val="00E769AE"/>
    <w:rsid w:val="00E779AD"/>
    <w:rsid w:val="00E804BE"/>
    <w:rsid w:val="00E81241"/>
    <w:rsid w:val="00E82501"/>
    <w:rsid w:val="00E83BE3"/>
    <w:rsid w:val="00E847DE"/>
    <w:rsid w:val="00E84D37"/>
    <w:rsid w:val="00E86C4C"/>
    <w:rsid w:val="00E87394"/>
    <w:rsid w:val="00E90388"/>
    <w:rsid w:val="00E90AD6"/>
    <w:rsid w:val="00E91625"/>
    <w:rsid w:val="00E93DB7"/>
    <w:rsid w:val="00E94D59"/>
    <w:rsid w:val="00E9573B"/>
    <w:rsid w:val="00E95C54"/>
    <w:rsid w:val="00E95E51"/>
    <w:rsid w:val="00E960DA"/>
    <w:rsid w:val="00E9640B"/>
    <w:rsid w:val="00E9692F"/>
    <w:rsid w:val="00EA0263"/>
    <w:rsid w:val="00EA0B1D"/>
    <w:rsid w:val="00EA12FC"/>
    <w:rsid w:val="00EA1458"/>
    <w:rsid w:val="00EA172B"/>
    <w:rsid w:val="00EA369E"/>
    <w:rsid w:val="00EA4EEF"/>
    <w:rsid w:val="00EA5D33"/>
    <w:rsid w:val="00EA6240"/>
    <w:rsid w:val="00EA7B1A"/>
    <w:rsid w:val="00EA7B7C"/>
    <w:rsid w:val="00EB01A5"/>
    <w:rsid w:val="00EB02AF"/>
    <w:rsid w:val="00EB1F41"/>
    <w:rsid w:val="00EB3695"/>
    <w:rsid w:val="00EB36D4"/>
    <w:rsid w:val="00EB3D03"/>
    <w:rsid w:val="00EB4B32"/>
    <w:rsid w:val="00EB6893"/>
    <w:rsid w:val="00EB6B13"/>
    <w:rsid w:val="00EB79CE"/>
    <w:rsid w:val="00EB7C0D"/>
    <w:rsid w:val="00EC149F"/>
    <w:rsid w:val="00EC26F4"/>
    <w:rsid w:val="00EC2782"/>
    <w:rsid w:val="00EC3408"/>
    <w:rsid w:val="00EC6FB9"/>
    <w:rsid w:val="00EC755F"/>
    <w:rsid w:val="00ED0AA4"/>
    <w:rsid w:val="00ED11DF"/>
    <w:rsid w:val="00ED2B0F"/>
    <w:rsid w:val="00ED4588"/>
    <w:rsid w:val="00ED4A20"/>
    <w:rsid w:val="00ED54DE"/>
    <w:rsid w:val="00ED5571"/>
    <w:rsid w:val="00ED710D"/>
    <w:rsid w:val="00ED7F2C"/>
    <w:rsid w:val="00EE0F3B"/>
    <w:rsid w:val="00EE23F1"/>
    <w:rsid w:val="00EE29AC"/>
    <w:rsid w:val="00EE2C89"/>
    <w:rsid w:val="00EE2D93"/>
    <w:rsid w:val="00EE381B"/>
    <w:rsid w:val="00EE3AEE"/>
    <w:rsid w:val="00EE4A12"/>
    <w:rsid w:val="00EE5BD6"/>
    <w:rsid w:val="00EE6154"/>
    <w:rsid w:val="00EE64E0"/>
    <w:rsid w:val="00EE6BFE"/>
    <w:rsid w:val="00EE79EE"/>
    <w:rsid w:val="00EF0238"/>
    <w:rsid w:val="00EF0B6D"/>
    <w:rsid w:val="00EF1597"/>
    <w:rsid w:val="00EF43A5"/>
    <w:rsid w:val="00EF4ED9"/>
    <w:rsid w:val="00EF5033"/>
    <w:rsid w:val="00EF5440"/>
    <w:rsid w:val="00EF5F16"/>
    <w:rsid w:val="00EF6CEE"/>
    <w:rsid w:val="00EF7ABB"/>
    <w:rsid w:val="00F00350"/>
    <w:rsid w:val="00F02055"/>
    <w:rsid w:val="00F0262F"/>
    <w:rsid w:val="00F02946"/>
    <w:rsid w:val="00F043E5"/>
    <w:rsid w:val="00F0576A"/>
    <w:rsid w:val="00F0616A"/>
    <w:rsid w:val="00F062F8"/>
    <w:rsid w:val="00F06A30"/>
    <w:rsid w:val="00F07E5F"/>
    <w:rsid w:val="00F1101F"/>
    <w:rsid w:val="00F11D25"/>
    <w:rsid w:val="00F14067"/>
    <w:rsid w:val="00F14882"/>
    <w:rsid w:val="00F14A0C"/>
    <w:rsid w:val="00F16E12"/>
    <w:rsid w:val="00F179C0"/>
    <w:rsid w:val="00F17B60"/>
    <w:rsid w:val="00F20285"/>
    <w:rsid w:val="00F20CED"/>
    <w:rsid w:val="00F21F53"/>
    <w:rsid w:val="00F22308"/>
    <w:rsid w:val="00F22910"/>
    <w:rsid w:val="00F30940"/>
    <w:rsid w:val="00F30FB0"/>
    <w:rsid w:val="00F31C5E"/>
    <w:rsid w:val="00F3282F"/>
    <w:rsid w:val="00F3283F"/>
    <w:rsid w:val="00F337A7"/>
    <w:rsid w:val="00F33D28"/>
    <w:rsid w:val="00F341C9"/>
    <w:rsid w:val="00F34359"/>
    <w:rsid w:val="00F3521B"/>
    <w:rsid w:val="00F3525C"/>
    <w:rsid w:val="00F3562B"/>
    <w:rsid w:val="00F35B01"/>
    <w:rsid w:val="00F363BD"/>
    <w:rsid w:val="00F368B1"/>
    <w:rsid w:val="00F407DA"/>
    <w:rsid w:val="00F42644"/>
    <w:rsid w:val="00F4326A"/>
    <w:rsid w:val="00F4382A"/>
    <w:rsid w:val="00F43A3E"/>
    <w:rsid w:val="00F4416C"/>
    <w:rsid w:val="00F44E61"/>
    <w:rsid w:val="00F44EFC"/>
    <w:rsid w:val="00F472C6"/>
    <w:rsid w:val="00F47B9E"/>
    <w:rsid w:val="00F47E4F"/>
    <w:rsid w:val="00F50593"/>
    <w:rsid w:val="00F50EC2"/>
    <w:rsid w:val="00F511FD"/>
    <w:rsid w:val="00F51583"/>
    <w:rsid w:val="00F5188F"/>
    <w:rsid w:val="00F51E72"/>
    <w:rsid w:val="00F526FC"/>
    <w:rsid w:val="00F52C1D"/>
    <w:rsid w:val="00F52C28"/>
    <w:rsid w:val="00F54C50"/>
    <w:rsid w:val="00F55C89"/>
    <w:rsid w:val="00F56B0F"/>
    <w:rsid w:val="00F56EA1"/>
    <w:rsid w:val="00F5738C"/>
    <w:rsid w:val="00F574B8"/>
    <w:rsid w:val="00F614B0"/>
    <w:rsid w:val="00F62D11"/>
    <w:rsid w:val="00F639D0"/>
    <w:rsid w:val="00F668AA"/>
    <w:rsid w:val="00F7028E"/>
    <w:rsid w:val="00F744A2"/>
    <w:rsid w:val="00F74945"/>
    <w:rsid w:val="00F75DDC"/>
    <w:rsid w:val="00F75EA4"/>
    <w:rsid w:val="00F77332"/>
    <w:rsid w:val="00F81005"/>
    <w:rsid w:val="00F81ADF"/>
    <w:rsid w:val="00F82113"/>
    <w:rsid w:val="00F823D4"/>
    <w:rsid w:val="00F83280"/>
    <w:rsid w:val="00F851EB"/>
    <w:rsid w:val="00F86097"/>
    <w:rsid w:val="00F86961"/>
    <w:rsid w:val="00F86AB1"/>
    <w:rsid w:val="00F86EFA"/>
    <w:rsid w:val="00F8727C"/>
    <w:rsid w:val="00F8788A"/>
    <w:rsid w:val="00F87FA0"/>
    <w:rsid w:val="00F90F23"/>
    <w:rsid w:val="00F92A1F"/>
    <w:rsid w:val="00F94C6A"/>
    <w:rsid w:val="00F954DF"/>
    <w:rsid w:val="00F9767B"/>
    <w:rsid w:val="00F97AE6"/>
    <w:rsid w:val="00FA1A5C"/>
    <w:rsid w:val="00FA1E23"/>
    <w:rsid w:val="00FA1E92"/>
    <w:rsid w:val="00FA24AE"/>
    <w:rsid w:val="00FA257C"/>
    <w:rsid w:val="00FA2B67"/>
    <w:rsid w:val="00FA2FDA"/>
    <w:rsid w:val="00FA6303"/>
    <w:rsid w:val="00FA7BDE"/>
    <w:rsid w:val="00FA7E2E"/>
    <w:rsid w:val="00FB12C1"/>
    <w:rsid w:val="00FB20EB"/>
    <w:rsid w:val="00FB219D"/>
    <w:rsid w:val="00FB4A70"/>
    <w:rsid w:val="00FB56E6"/>
    <w:rsid w:val="00FB5B69"/>
    <w:rsid w:val="00FB5EA2"/>
    <w:rsid w:val="00FB6666"/>
    <w:rsid w:val="00FB6861"/>
    <w:rsid w:val="00FB6BB0"/>
    <w:rsid w:val="00FB7517"/>
    <w:rsid w:val="00FB78EE"/>
    <w:rsid w:val="00FB7B98"/>
    <w:rsid w:val="00FC0548"/>
    <w:rsid w:val="00FC0F96"/>
    <w:rsid w:val="00FC14C0"/>
    <w:rsid w:val="00FC17DC"/>
    <w:rsid w:val="00FC2F6A"/>
    <w:rsid w:val="00FC3161"/>
    <w:rsid w:val="00FC4570"/>
    <w:rsid w:val="00FC54FD"/>
    <w:rsid w:val="00FC5675"/>
    <w:rsid w:val="00FC56C4"/>
    <w:rsid w:val="00FC6544"/>
    <w:rsid w:val="00FC6ED8"/>
    <w:rsid w:val="00FD09FE"/>
    <w:rsid w:val="00FD1386"/>
    <w:rsid w:val="00FD1B9B"/>
    <w:rsid w:val="00FD4C9D"/>
    <w:rsid w:val="00FD5AB8"/>
    <w:rsid w:val="00FD5D19"/>
    <w:rsid w:val="00FD7243"/>
    <w:rsid w:val="00FD7947"/>
    <w:rsid w:val="00FE0A9D"/>
    <w:rsid w:val="00FE1929"/>
    <w:rsid w:val="00FE3109"/>
    <w:rsid w:val="00FE330E"/>
    <w:rsid w:val="00FE33CE"/>
    <w:rsid w:val="00FE3B00"/>
    <w:rsid w:val="00FE3CA9"/>
    <w:rsid w:val="00FE49BB"/>
    <w:rsid w:val="00FE63FD"/>
    <w:rsid w:val="00FE7953"/>
    <w:rsid w:val="00FF4E6D"/>
    <w:rsid w:val="00FF6282"/>
    <w:rsid w:val="00FF6E0C"/>
    <w:rsid w:val="00FF7249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63778"/>
  <w15:docId w15:val="{F173A258-E700-48AF-8C62-F5E176B7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B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4B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9F65EF"/>
    <w:pPr>
      <w:keepNext/>
      <w:spacing w:before="240" w:after="60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65EF"/>
    <w:pPr>
      <w:keepNext/>
      <w:spacing w:before="240" w:after="60"/>
      <w:ind w:firstLine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F65EF"/>
    <w:pPr>
      <w:keepNext/>
      <w:spacing w:before="240" w:after="60"/>
      <w:ind w:firstLine="709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F65EF"/>
    <w:pPr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C4B45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Заголовок статьи"/>
    <w:basedOn w:val="a"/>
    <w:next w:val="a"/>
    <w:uiPriority w:val="99"/>
    <w:rsid w:val="003C4B4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5">
    <w:name w:val="header"/>
    <w:basedOn w:val="a"/>
    <w:link w:val="a6"/>
    <w:uiPriority w:val="99"/>
    <w:rsid w:val="003C4B4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4B45"/>
  </w:style>
  <w:style w:type="paragraph" w:styleId="a8">
    <w:name w:val="Body Text"/>
    <w:aliases w:val="Основной текст Знак,Òàáë òåêñò"/>
    <w:basedOn w:val="a"/>
    <w:link w:val="11"/>
    <w:rsid w:val="003C4B45"/>
    <w:pPr>
      <w:spacing w:after="120"/>
    </w:pPr>
  </w:style>
  <w:style w:type="paragraph" w:styleId="a9">
    <w:name w:val="Title"/>
    <w:basedOn w:val="a"/>
    <w:link w:val="aa"/>
    <w:qFormat/>
    <w:rsid w:val="003C4B45"/>
    <w:pPr>
      <w:jc w:val="center"/>
    </w:pPr>
    <w:rPr>
      <w:b/>
      <w:szCs w:val="20"/>
    </w:rPr>
  </w:style>
  <w:style w:type="paragraph" w:styleId="ab">
    <w:name w:val="Body Text Indent"/>
    <w:aliases w:val="Надин стиль,Основной текст 1,Нумерованный список !!,Iniiaiie oaeno 1,Ioia?iaaiiue nienie !!,Iaaei noeeu"/>
    <w:basedOn w:val="a"/>
    <w:link w:val="ac"/>
    <w:uiPriority w:val="99"/>
    <w:rsid w:val="003C4B45"/>
    <w:pPr>
      <w:spacing w:after="120"/>
      <w:ind w:left="283"/>
    </w:pPr>
  </w:style>
  <w:style w:type="character" w:styleId="ad">
    <w:name w:val="Hyperlink"/>
    <w:basedOn w:val="a0"/>
    <w:rsid w:val="003C4B45"/>
    <w:rPr>
      <w:color w:val="1A6375"/>
      <w:u w:val="single"/>
    </w:rPr>
  </w:style>
  <w:style w:type="paragraph" w:styleId="ae">
    <w:name w:val="Normal (Web)"/>
    <w:basedOn w:val="a"/>
    <w:uiPriority w:val="99"/>
    <w:rsid w:val="003C4B45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3B6A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B6A77"/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6A7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Заголовок Знак"/>
    <w:basedOn w:val="a0"/>
    <w:link w:val="a9"/>
    <w:rsid w:val="003335F5"/>
    <w:rPr>
      <w:b/>
      <w:sz w:val="24"/>
      <w:lang w:eastAsia="ru-RU"/>
    </w:rPr>
  </w:style>
  <w:style w:type="character" w:customStyle="1" w:styleId="ac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b"/>
    <w:uiPriority w:val="99"/>
    <w:rsid w:val="003335F5"/>
    <w:rPr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335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F65E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F65E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F65E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F65EF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F65EF"/>
    <w:rPr>
      <w:rFonts w:ascii="Arial" w:hAnsi="Arial"/>
      <w:b/>
      <w:bCs/>
      <w:color w:val="000080"/>
    </w:rPr>
  </w:style>
  <w:style w:type="paragraph" w:customStyle="1" w:styleId="af0">
    <w:name w:val="Комментарий"/>
    <w:basedOn w:val="a"/>
    <w:next w:val="a"/>
    <w:uiPriority w:val="99"/>
    <w:rsid w:val="009F65EF"/>
    <w:pPr>
      <w:autoSpaceDE w:val="0"/>
      <w:autoSpaceDN w:val="0"/>
      <w:adjustRightInd w:val="0"/>
      <w:ind w:left="170" w:firstLine="709"/>
      <w:jc w:val="both"/>
    </w:pPr>
    <w:rPr>
      <w:rFonts w:ascii="Arial" w:eastAsia="Calibri" w:hAnsi="Arial" w:cs="Arial"/>
      <w:i/>
      <w:iCs/>
      <w:color w:val="800080"/>
    </w:rPr>
  </w:style>
  <w:style w:type="paragraph" w:styleId="af1">
    <w:name w:val="List"/>
    <w:basedOn w:val="a"/>
    <w:uiPriority w:val="99"/>
    <w:unhideWhenUsed/>
    <w:rsid w:val="009F65EF"/>
    <w:pPr>
      <w:ind w:left="283" w:hanging="283"/>
      <w:contextualSpacing/>
      <w:jc w:val="both"/>
    </w:pPr>
  </w:style>
  <w:style w:type="paragraph" w:styleId="23">
    <w:name w:val="List 2"/>
    <w:basedOn w:val="a"/>
    <w:uiPriority w:val="99"/>
    <w:unhideWhenUsed/>
    <w:rsid w:val="009F65EF"/>
    <w:pPr>
      <w:ind w:left="566" w:hanging="283"/>
      <w:contextualSpacing/>
      <w:jc w:val="both"/>
    </w:pPr>
  </w:style>
  <w:style w:type="paragraph" w:styleId="31">
    <w:name w:val="List 3"/>
    <w:basedOn w:val="a"/>
    <w:uiPriority w:val="99"/>
    <w:unhideWhenUsed/>
    <w:rsid w:val="009F65EF"/>
    <w:pPr>
      <w:ind w:left="849" w:hanging="283"/>
      <w:contextualSpacing/>
      <w:jc w:val="both"/>
    </w:pPr>
  </w:style>
  <w:style w:type="paragraph" w:styleId="af2">
    <w:name w:val="Body Text First Indent"/>
    <w:basedOn w:val="a8"/>
    <w:link w:val="af3"/>
    <w:uiPriority w:val="99"/>
    <w:unhideWhenUsed/>
    <w:rsid w:val="009F65EF"/>
    <w:pPr>
      <w:ind w:firstLine="210"/>
      <w:jc w:val="both"/>
    </w:pPr>
  </w:style>
  <w:style w:type="character" w:customStyle="1" w:styleId="11">
    <w:name w:val="Основной текст Знак1"/>
    <w:aliases w:val="Основной текст Знак Знак,Òàáë òåêñò Знак"/>
    <w:basedOn w:val="a0"/>
    <w:link w:val="a8"/>
    <w:rsid w:val="009F65EF"/>
    <w:rPr>
      <w:sz w:val="24"/>
      <w:szCs w:val="24"/>
    </w:rPr>
  </w:style>
  <w:style w:type="character" w:customStyle="1" w:styleId="af3">
    <w:name w:val="Красная строка Знак"/>
    <w:basedOn w:val="11"/>
    <w:link w:val="af2"/>
    <w:uiPriority w:val="99"/>
    <w:rsid w:val="009F65EF"/>
    <w:rPr>
      <w:sz w:val="24"/>
      <w:szCs w:val="24"/>
    </w:rPr>
  </w:style>
  <w:style w:type="paragraph" w:styleId="24">
    <w:name w:val="Body Text First Indent 2"/>
    <w:basedOn w:val="ab"/>
    <w:link w:val="25"/>
    <w:uiPriority w:val="99"/>
    <w:unhideWhenUsed/>
    <w:rsid w:val="009F65EF"/>
    <w:pPr>
      <w:ind w:firstLine="210"/>
      <w:jc w:val="both"/>
    </w:pPr>
  </w:style>
  <w:style w:type="character" w:customStyle="1" w:styleId="25">
    <w:name w:val="Красная строка 2 Знак"/>
    <w:basedOn w:val="ac"/>
    <w:link w:val="24"/>
    <w:uiPriority w:val="99"/>
    <w:rsid w:val="009F65EF"/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65EF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9F65EF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f5">
    <w:name w:val="Нижний колонтитул Знак"/>
    <w:basedOn w:val="a0"/>
    <w:link w:val="af4"/>
    <w:uiPriority w:val="99"/>
    <w:rsid w:val="009F65EF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E166E3"/>
    <w:rPr>
      <w:rFonts w:cs="Times New Roman"/>
      <w:color w:val="008000"/>
    </w:rPr>
  </w:style>
  <w:style w:type="table" w:styleId="af7">
    <w:name w:val="Table Grid"/>
    <w:basedOn w:val="a1"/>
    <w:uiPriority w:val="59"/>
    <w:rsid w:val="0095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BA00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9">
    <w:name w:val="Balloon Text"/>
    <w:basedOn w:val="a"/>
    <w:semiHidden/>
    <w:rsid w:val="002672F0"/>
    <w:rPr>
      <w:rFonts w:ascii="Tahoma" w:hAnsi="Tahoma" w:cs="Tahoma"/>
      <w:sz w:val="16"/>
      <w:szCs w:val="16"/>
    </w:rPr>
  </w:style>
  <w:style w:type="character" w:customStyle="1" w:styleId="afa">
    <w:name w:val="Цветовое выделение"/>
    <w:rsid w:val="006A6FE2"/>
    <w:rPr>
      <w:b/>
      <w:bCs/>
      <w:color w:val="000080"/>
    </w:rPr>
  </w:style>
  <w:style w:type="paragraph" w:styleId="afb">
    <w:name w:val="List Paragraph"/>
    <w:basedOn w:val="a"/>
    <w:uiPriority w:val="34"/>
    <w:qFormat/>
    <w:rsid w:val="006A6FE2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41433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c">
    <w:name w:val="Сравнение редакций. Добавленный фрагмент"/>
    <w:uiPriority w:val="99"/>
    <w:rsid w:val="00F77332"/>
    <w:rPr>
      <w:color w:val="000000"/>
      <w:shd w:val="clear" w:color="auto" w:fill="C1D7FF"/>
    </w:rPr>
  </w:style>
  <w:style w:type="paragraph" w:customStyle="1" w:styleId="ConsPlusNormal">
    <w:name w:val="ConsPlusNormal"/>
    <w:rsid w:val="00D47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endnote text"/>
    <w:basedOn w:val="a"/>
    <w:link w:val="afe"/>
    <w:rsid w:val="004A5D8A"/>
    <w:rPr>
      <w:rFonts w:eastAsia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4A5D8A"/>
    <w:rPr>
      <w:rFonts w:eastAsia="Calibri"/>
    </w:rPr>
  </w:style>
  <w:style w:type="paragraph" w:customStyle="1" w:styleId="12">
    <w:name w:val="Абзац списка1"/>
    <w:basedOn w:val="a"/>
    <w:rsid w:val="00C86F00"/>
    <w:pPr>
      <w:ind w:left="720"/>
    </w:pPr>
    <w:rPr>
      <w:rFonts w:eastAsia="Calibri"/>
    </w:rPr>
  </w:style>
  <w:style w:type="paragraph" w:customStyle="1" w:styleId="26">
    <w:name w:val="Абзац списка2"/>
    <w:basedOn w:val="a"/>
    <w:rsid w:val="00AC38C5"/>
    <w:pPr>
      <w:ind w:left="720"/>
    </w:pPr>
    <w:rPr>
      <w:rFonts w:eastAsia="Calibri"/>
    </w:rPr>
  </w:style>
  <w:style w:type="paragraph" w:customStyle="1" w:styleId="Default">
    <w:name w:val="Default"/>
    <w:rsid w:val="00523F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D57B9C77A9B03A6AD74D8053C17DE4C2B16D942BCBD0CA1EE5E11A3966DB78D681C155BA40356A3FC4B556B474849477F5FA75CE6E9779yBa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49C77-1B84-45F8-BDD3-AA5920FD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5449</Words>
  <Characters>31062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36439</CharactersWithSpaces>
  <SharedDoc>false</SharedDoc>
  <HLinks>
    <vt:vector size="30" baseType="variant">
      <vt:variant>
        <vt:i4>7733305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garantf1://12012604.160215/</vt:lpwstr>
      </vt:variant>
      <vt:variant>
        <vt:lpwstr/>
      </vt:variant>
      <vt:variant>
        <vt:i4>2818069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sub_3776</vt:lpwstr>
      </vt:variant>
      <vt:variant>
        <vt:i4>3080213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sub_3772</vt:lpwstr>
      </vt:variant>
      <vt:variant>
        <vt:i4>2883605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sub_3771</vt:lpwstr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consultantplus://offline/ref=EF2B6400CB76C14F7761B4C2AE83EC9363E09908845EED09CF187A30978636CEA0C395061CFB95BA5537K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HP Inc.</cp:lastModifiedBy>
  <cp:revision>16</cp:revision>
  <cp:lastPrinted>2019-04-12T12:11:00Z</cp:lastPrinted>
  <dcterms:created xsi:type="dcterms:W3CDTF">2019-04-08T08:17:00Z</dcterms:created>
  <dcterms:modified xsi:type="dcterms:W3CDTF">2020-02-03T07:03:00Z</dcterms:modified>
</cp:coreProperties>
</file>