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91B" w:rsidRPr="00FF6B81" w:rsidRDefault="0092691B" w:rsidP="00BF5C4D">
      <w:pPr>
        <w:pStyle w:val="ab"/>
        <w:tabs>
          <w:tab w:val="left" w:pos="180"/>
          <w:tab w:val="left" w:pos="360"/>
        </w:tabs>
        <w:spacing w:after="0"/>
        <w:ind w:left="5670"/>
        <w:jc w:val="center"/>
        <w:rPr>
          <w:b/>
        </w:rPr>
      </w:pPr>
      <w:r w:rsidRPr="00FF6B81">
        <w:rPr>
          <w:b/>
        </w:rPr>
        <w:t>УТВЕРЖДАЮ</w:t>
      </w:r>
    </w:p>
    <w:p w:rsidR="0092691B" w:rsidRPr="00FF6B81" w:rsidRDefault="0092691B" w:rsidP="00BF5C4D">
      <w:pPr>
        <w:pStyle w:val="ab"/>
        <w:tabs>
          <w:tab w:val="left" w:pos="5670"/>
        </w:tabs>
        <w:spacing w:after="0"/>
        <w:ind w:left="5670"/>
        <w:jc w:val="center"/>
      </w:pPr>
      <w:r w:rsidRPr="00FF6B81">
        <w:t>председатель контрольно-счетной</w:t>
      </w:r>
    </w:p>
    <w:p w:rsidR="0092691B" w:rsidRPr="00FF6B81" w:rsidRDefault="0092691B" w:rsidP="00BF5C4D">
      <w:pPr>
        <w:pStyle w:val="ab"/>
        <w:tabs>
          <w:tab w:val="left" w:pos="5670"/>
        </w:tabs>
        <w:spacing w:after="0"/>
        <w:ind w:left="5670"/>
        <w:jc w:val="center"/>
      </w:pPr>
      <w:r w:rsidRPr="00FF6B81">
        <w:t>палаты Волгоградской области</w:t>
      </w:r>
    </w:p>
    <w:p w:rsidR="0092691B" w:rsidRPr="00FF6B81" w:rsidRDefault="00FF6B81" w:rsidP="00BF5C4D">
      <w:pPr>
        <w:pStyle w:val="ab"/>
        <w:tabs>
          <w:tab w:val="left" w:pos="5670"/>
        </w:tabs>
        <w:spacing w:after="0"/>
        <w:ind w:left="5670"/>
        <w:jc w:val="center"/>
      </w:pPr>
      <w:r w:rsidRPr="00FF6B81">
        <w:t xml:space="preserve">______________  </w:t>
      </w:r>
      <w:r w:rsidR="0092691B" w:rsidRPr="00FF6B81">
        <w:t>И.А. Дьяченко</w:t>
      </w:r>
    </w:p>
    <w:p w:rsidR="0092691B" w:rsidRPr="00FF6B81" w:rsidRDefault="00FF6B81" w:rsidP="00BF5C4D">
      <w:pPr>
        <w:pStyle w:val="ab"/>
        <w:tabs>
          <w:tab w:val="left" w:pos="5670"/>
        </w:tabs>
        <w:spacing w:after="0"/>
        <w:ind w:left="5670"/>
        <w:jc w:val="center"/>
      </w:pPr>
      <w:r w:rsidRPr="00FF6B81">
        <w:t xml:space="preserve">«__» __________ </w:t>
      </w:r>
      <w:r w:rsidR="0092691B" w:rsidRPr="00FF6B81">
        <w:t>201</w:t>
      </w:r>
      <w:r w:rsidRPr="00FF6B81">
        <w:t>8</w:t>
      </w:r>
      <w:r w:rsidR="0092691B" w:rsidRPr="00FF6B81">
        <w:t xml:space="preserve"> года</w:t>
      </w:r>
    </w:p>
    <w:p w:rsidR="0092691B" w:rsidRPr="00FF6B81" w:rsidRDefault="0092691B" w:rsidP="00320949">
      <w:pPr>
        <w:autoSpaceDE w:val="0"/>
        <w:autoSpaceDN w:val="0"/>
        <w:adjustRightInd w:val="0"/>
        <w:jc w:val="center"/>
        <w:rPr>
          <w:b/>
        </w:rPr>
      </w:pPr>
    </w:p>
    <w:p w:rsidR="00320949" w:rsidRPr="00FF6B81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FF6B81">
        <w:rPr>
          <w:b/>
        </w:rPr>
        <w:t>ОТЧЁТ</w:t>
      </w:r>
    </w:p>
    <w:p w:rsidR="00320949" w:rsidRPr="00FF6B81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FF6B81">
        <w:rPr>
          <w:b/>
        </w:rPr>
        <w:t>о результатах мониторинга использования средств</w:t>
      </w:r>
    </w:p>
    <w:p w:rsidR="00FF6B81" w:rsidRPr="00FF6B81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FF6B81">
        <w:rPr>
          <w:b/>
        </w:rPr>
        <w:t xml:space="preserve"> дорожного фонда Волгоградской области </w:t>
      </w:r>
    </w:p>
    <w:p w:rsidR="00320949" w:rsidRPr="00FF6B81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FF6B81">
        <w:rPr>
          <w:b/>
        </w:rPr>
        <w:t>и</w:t>
      </w:r>
      <w:r w:rsidR="00FF6B81" w:rsidRPr="00FF6B81">
        <w:rPr>
          <w:b/>
        </w:rPr>
        <w:t xml:space="preserve"> </w:t>
      </w:r>
      <w:r w:rsidRPr="00FF6B81">
        <w:rPr>
          <w:b/>
        </w:rPr>
        <w:t>муниципальных дорожных фондов</w:t>
      </w:r>
    </w:p>
    <w:p w:rsidR="00320949" w:rsidRPr="00FF6B81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FF6B81">
        <w:rPr>
          <w:b/>
        </w:rPr>
        <w:t>в 201</w:t>
      </w:r>
      <w:r w:rsidR="00FF6B81" w:rsidRPr="00FF6B81">
        <w:rPr>
          <w:b/>
        </w:rPr>
        <w:t>7</w:t>
      </w:r>
      <w:r w:rsidRPr="00FF6B81">
        <w:rPr>
          <w:b/>
        </w:rPr>
        <w:t xml:space="preserve"> году</w:t>
      </w:r>
    </w:p>
    <w:p w:rsidR="007F5A94" w:rsidRPr="003009A6" w:rsidRDefault="007F5A94" w:rsidP="0020791A">
      <w:pPr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113688" w:rsidRPr="005B5E55" w:rsidRDefault="00113688" w:rsidP="00FC4ABD">
      <w:pPr>
        <w:autoSpaceDE w:val="0"/>
        <w:autoSpaceDN w:val="0"/>
        <w:adjustRightInd w:val="0"/>
        <w:ind w:firstLine="720"/>
        <w:jc w:val="both"/>
      </w:pPr>
      <w:r w:rsidRPr="00FF6B81">
        <w:t xml:space="preserve">Мониторинг </w:t>
      </w:r>
      <w:r w:rsidR="00FC4ABD">
        <w:t>использования средств дорожного фонда Волгоградской области и муниципальных дорожных фондов</w:t>
      </w:r>
      <w:r w:rsidR="00FC4ABD" w:rsidRPr="00FC4ABD">
        <w:t xml:space="preserve"> </w:t>
      </w:r>
      <w:r w:rsidR="00FC4ABD">
        <w:t>в 2017 году</w:t>
      </w:r>
      <w:r w:rsidR="00FC4ABD" w:rsidRPr="00FF6B81">
        <w:t xml:space="preserve"> </w:t>
      </w:r>
      <w:r w:rsidR="00FC4ABD" w:rsidRPr="00FC4ABD">
        <w:t>(</w:t>
      </w:r>
      <w:r w:rsidR="00FC4ABD">
        <w:t xml:space="preserve">далее – </w:t>
      </w:r>
      <w:r w:rsidR="00A72F2B">
        <w:t>м</w:t>
      </w:r>
      <w:r w:rsidR="00FC4ABD">
        <w:t xml:space="preserve">ониторинг) </w:t>
      </w:r>
      <w:r w:rsidRPr="00FF6B81">
        <w:t>провед</w:t>
      </w:r>
      <w:r w:rsidR="00FF6B81" w:rsidRPr="00FF6B81">
        <w:t>е</w:t>
      </w:r>
      <w:r w:rsidRPr="00FF6B81">
        <w:t>н в соответствии с п. 4.</w:t>
      </w:r>
      <w:r w:rsidR="00FF6B81" w:rsidRPr="00FF6B81">
        <w:t>3.</w:t>
      </w:r>
      <w:r w:rsidRPr="00FF6B81">
        <w:t xml:space="preserve"> плана работы контрольно-счетной палаты Волгоградской области</w:t>
      </w:r>
      <w:r w:rsidR="00FF6B81" w:rsidRPr="00FF6B81">
        <w:t xml:space="preserve"> на 2018 год</w:t>
      </w:r>
      <w:r w:rsidRPr="00FF6B81">
        <w:t xml:space="preserve">, утвержденного постановлением коллегии </w:t>
      </w:r>
      <w:r w:rsidRPr="005B5E55">
        <w:t>контрольно-сч</w:t>
      </w:r>
      <w:r w:rsidR="00FF6B81" w:rsidRPr="005B5E55">
        <w:t>е</w:t>
      </w:r>
      <w:r w:rsidRPr="005B5E55">
        <w:t xml:space="preserve">тной палаты Волгоградской области от </w:t>
      </w:r>
      <w:r w:rsidR="00FF6B81" w:rsidRPr="005B5E55">
        <w:t>1</w:t>
      </w:r>
      <w:r w:rsidRPr="005B5E55">
        <w:t>9.12.201</w:t>
      </w:r>
      <w:r w:rsidR="00FF6B81" w:rsidRPr="005B5E55">
        <w:t>7</w:t>
      </w:r>
      <w:r w:rsidRPr="005B5E55">
        <w:t xml:space="preserve"> № 2</w:t>
      </w:r>
      <w:r w:rsidR="00FF6B81" w:rsidRPr="005B5E55">
        <w:t>0</w:t>
      </w:r>
      <w:r w:rsidRPr="005B5E55">
        <w:t>/</w:t>
      </w:r>
      <w:r w:rsidR="00FF6B81" w:rsidRPr="005B5E55">
        <w:t>2</w:t>
      </w:r>
      <w:r w:rsidRPr="005B5E55">
        <w:t>.</w:t>
      </w:r>
    </w:p>
    <w:p w:rsidR="005F5B33" w:rsidRPr="005B5E55" w:rsidRDefault="00460890" w:rsidP="0020791A">
      <w:pPr>
        <w:autoSpaceDE w:val="0"/>
        <w:autoSpaceDN w:val="0"/>
        <w:adjustRightInd w:val="0"/>
        <w:ind w:firstLine="720"/>
        <w:jc w:val="both"/>
      </w:pPr>
      <w:r w:rsidRPr="005B5E55">
        <w:t xml:space="preserve">Мониторинг проведён на основе </w:t>
      </w:r>
      <w:r w:rsidR="005F5B33" w:rsidRPr="005B5E55">
        <w:t>данны</w:t>
      </w:r>
      <w:r w:rsidRPr="005B5E55">
        <w:t>х бюджетной, статистической и иной отчётности</w:t>
      </w:r>
      <w:r w:rsidR="00D753CC" w:rsidRPr="005B5E55">
        <w:t xml:space="preserve"> за 2017 год</w:t>
      </w:r>
      <w:r w:rsidR="005F5B33" w:rsidRPr="005B5E55">
        <w:t>, а именно:</w:t>
      </w:r>
    </w:p>
    <w:p w:rsidR="00C508CD" w:rsidRPr="005B5E55" w:rsidRDefault="00C508CD" w:rsidP="00C508CD">
      <w:pPr>
        <w:autoSpaceDE w:val="0"/>
        <w:autoSpaceDN w:val="0"/>
        <w:adjustRightInd w:val="0"/>
        <w:ind w:firstLine="720"/>
        <w:jc w:val="both"/>
      </w:pPr>
      <w:r w:rsidRPr="005B5E55">
        <w:t xml:space="preserve">-отчет об исполнении консолидированного бюджета </w:t>
      </w:r>
      <w:r w:rsidR="00F55D3B" w:rsidRPr="005B5E55">
        <w:t>Волгоградской области</w:t>
      </w:r>
      <w:r w:rsidR="00D753CC" w:rsidRPr="005B5E55">
        <w:t xml:space="preserve"> (ф. 0503317</w:t>
      </w:r>
      <w:r w:rsidRPr="005B5E55">
        <w:t>);</w:t>
      </w:r>
    </w:p>
    <w:p w:rsidR="00457A51" w:rsidRPr="005B5E55" w:rsidRDefault="00457A51" w:rsidP="0020791A">
      <w:pPr>
        <w:autoSpaceDE w:val="0"/>
        <w:autoSpaceDN w:val="0"/>
        <w:adjustRightInd w:val="0"/>
        <w:ind w:firstLine="720"/>
        <w:jc w:val="both"/>
      </w:pPr>
      <w:r w:rsidRPr="005B5E55">
        <w:t>-</w:t>
      </w:r>
      <w:r w:rsidR="00A403CA" w:rsidRPr="005B5E55">
        <w:t xml:space="preserve">отчет об исполнении </w:t>
      </w:r>
      <w:r w:rsidR="004C23ED" w:rsidRPr="005B5E55">
        <w:t xml:space="preserve">бюджета </w:t>
      </w:r>
      <w:r w:rsidR="000927D7" w:rsidRPr="005B5E55">
        <w:t>комитет</w:t>
      </w:r>
      <w:r w:rsidR="00320949" w:rsidRPr="005B5E55">
        <w:t>ом</w:t>
      </w:r>
      <w:r w:rsidR="000927D7" w:rsidRPr="005B5E55">
        <w:t xml:space="preserve"> транспорта и дорожного хозяйства Волгоградской области</w:t>
      </w:r>
      <w:r w:rsidR="00B62B47" w:rsidRPr="005B5E55">
        <w:t xml:space="preserve"> (далее – Облкомдортранс)</w:t>
      </w:r>
      <w:r w:rsidR="000927D7" w:rsidRPr="005B5E55">
        <w:t xml:space="preserve"> (ф.</w:t>
      </w:r>
      <w:r w:rsidR="001B1F16" w:rsidRPr="005B5E55">
        <w:t xml:space="preserve"> №</w:t>
      </w:r>
      <w:r w:rsidR="000927D7" w:rsidRPr="005B5E55">
        <w:t xml:space="preserve"> 0503127);</w:t>
      </w:r>
    </w:p>
    <w:p w:rsidR="00C508CD" w:rsidRPr="005B5E55" w:rsidRDefault="00C508CD" w:rsidP="00C508CD">
      <w:pPr>
        <w:autoSpaceDE w:val="0"/>
        <w:autoSpaceDN w:val="0"/>
        <w:adjustRightInd w:val="0"/>
        <w:ind w:firstLine="720"/>
        <w:jc w:val="both"/>
      </w:pPr>
      <w:r w:rsidRPr="005B5E55">
        <w:t>-сводка комитета финансов Волгоградской области об исполнении бюджетов муниципальных образований Вол</w:t>
      </w:r>
      <w:r w:rsidR="00D753CC" w:rsidRPr="005B5E55">
        <w:t>гоградской области</w:t>
      </w:r>
      <w:r w:rsidRPr="005B5E55">
        <w:t>;</w:t>
      </w:r>
    </w:p>
    <w:p w:rsidR="00DA218A" w:rsidRPr="005B5E55" w:rsidRDefault="00DA218A" w:rsidP="00C508CD">
      <w:pPr>
        <w:autoSpaceDE w:val="0"/>
        <w:autoSpaceDN w:val="0"/>
        <w:adjustRightInd w:val="0"/>
        <w:ind w:firstLine="720"/>
        <w:jc w:val="both"/>
      </w:pPr>
      <w:r w:rsidRPr="005B5E55">
        <w:t xml:space="preserve">-сведения по дебиторской и кредиторской задолженности </w:t>
      </w:r>
      <w:r w:rsidR="000F368E" w:rsidRPr="005B5E55">
        <w:t xml:space="preserve">Облкомдортранса </w:t>
      </w:r>
      <w:r w:rsidRPr="005B5E55">
        <w:t>(ф.0503169);</w:t>
      </w:r>
    </w:p>
    <w:p w:rsidR="00C508CD" w:rsidRPr="005B5E55" w:rsidRDefault="00C508CD" w:rsidP="00C508CD">
      <w:pPr>
        <w:autoSpaceDE w:val="0"/>
        <w:autoSpaceDN w:val="0"/>
        <w:adjustRightInd w:val="0"/>
        <w:ind w:firstLine="720"/>
        <w:jc w:val="both"/>
      </w:pPr>
      <w:r w:rsidRPr="005B5E55">
        <w:t xml:space="preserve">-отчет об использовании межбюджетных трансфертов из федерального бюджета </w:t>
      </w:r>
      <w:r w:rsidR="00320949" w:rsidRPr="005B5E55">
        <w:t>Облкомдортрансом</w:t>
      </w:r>
      <w:r w:rsidR="00D753CC" w:rsidRPr="005B5E55">
        <w:t xml:space="preserve"> (ф. </w:t>
      </w:r>
      <w:r w:rsidR="00430986">
        <w:t xml:space="preserve">№ </w:t>
      </w:r>
      <w:r w:rsidR="00D753CC" w:rsidRPr="005B5E55">
        <w:t>0503324</w:t>
      </w:r>
      <w:r w:rsidRPr="005B5E55">
        <w:t>)</w:t>
      </w:r>
      <w:r w:rsidR="00320949" w:rsidRPr="005B5E55">
        <w:t>;</w:t>
      </w:r>
    </w:p>
    <w:p w:rsidR="000927D7" w:rsidRPr="005B5E55" w:rsidRDefault="000927D7" w:rsidP="000927D7">
      <w:pPr>
        <w:autoSpaceDE w:val="0"/>
        <w:autoSpaceDN w:val="0"/>
        <w:adjustRightInd w:val="0"/>
        <w:ind w:firstLine="720"/>
        <w:jc w:val="both"/>
      </w:pPr>
      <w:r w:rsidRPr="005B5E55">
        <w:t>-сведения об автомобильных дорогах общего пользования и сооружениях на них федерального, регионального или межмуниципального значения (ф.</w:t>
      </w:r>
      <w:r w:rsidR="001B1F16" w:rsidRPr="005B5E55">
        <w:t xml:space="preserve"> №</w:t>
      </w:r>
      <w:r w:rsidRPr="005B5E55">
        <w:t xml:space="preserve"> 1-ДГ);</w:t>
      </w:r>
    </w:p>
    <w:p w:rsidR="000927D7" w:rsidRPr="005B5E55" w:rsidRDefault="000927D7" w:rsidP="0020791A">
      <w:pPr>
        <w:autoSpaceDE w:val="0"/>
        <w:autoSpaceDN w:val="0"/>
        <w:adjustRightInd w:val="0"/>
        <w:ind w:firstLine="720"/>
        <w:jc w:val="both"/>
      </w:pPr>
      <w:r w:rsidRPr="005B5E55">
        <w:t>-сведения о категориях автомобильных дорог общего пользования федерального, регионального или межмуниципального значения, сельских населенных пунктах, имеющих автотранспортную связь по дорогам с твердым покрытием с сетью путей сообщения общего пользования (статистическая ф.</w:t>
      </w:r>
      <w:r w:rsidR="001B1F16" w:rsidRPr="005B5E55">
        <w:t xml:space="preserve"> №</w:t>
      </w:r>
      <w:r w:rsidRPr="005B5E55">
        <w:t xml:space="preserve"> 2-ДГ);</w:t>
      </w:r>
    </w:p>
    <w:p w:rsidR="000927D7" w:rsidRPr="005B5E55" w:rsidRDefault="000927D7" w:rsidP="0020791A">
      <w:pPr>
        <w:autoSpaceDE w:val="0"/>
        <w:autoSpaceDN w:val="0"/>
        <w:adjustRightInd w:val="0"/>
        <w:ind w:firstLine="720"/>
        <w:jc w:val="both"/>
      </w:pPr>
      <w:r w:rsidRPr="005B5E55">
        <w:t>-</w:t>
      </w:r>
      <w:r w:rsidR="001B1F16" w:rsidRPr="005B5E55">
        <w:t>сведения об использовании средств федерального дорожного фонда, дорожных фондов субъектов РФ, муниципальных дорожных фондов (ф. № 1-ФД);</w:t>
      </w:r>
    </w:p>
    <w:p w:rsidR="001B1F16" w:rsidRPr="005B5E55" w:rsidRDefault="001B1F16" w:rsidP="0020791A">
      <w:pPr>
        <w:autoSpaceDE w:val="0"/>
        <w:autoSpaceDN w:val="0"/>
        <w:adjustRightInd w:val="0"/>
        <w:ind w:firstLine="720"/>
        <w:jc w:val="both"/>
      </w:pPr>
      <w:r w:rsidRPr="005B5E55">
        <w:t>-сведения о ремонте и содержании автомобильных дорог общего пользования федерального, регионального или межмуниципального значения и искусственных сооружений на них (ф.</w:t>
      </w:r>
      <w:r w:rsidR="004E28CE" w:rsidRPr="005B5E55">
        <w:t xml:space="preserve"> №</w:t>
      </w:r>
      <w:r w:rsidRPr="005B5E55">
        <w:t xml:space="preserve"> 3-автодор);</w:t>
      </w:r>
    </w:p>
    <w:p w:rsidR="00B62B47" w:rsidRPr="004414A2" w:rsidRDefault="00B62B47" w:rsidP="0020791A">
      <w:pPr>
        <w:autoSpaceDE w:val="0"/>
        <w:autoSpaceDN w:val="0"/>
        <w:adjustRightInd w:val="0"/>
        <w:ind w:firstLine="720"/>
        <w:jc w:val="both"/>
      </w:pPr>
      <w:r w:rsidRPr="00461E28">
        <w:t>-стат</w:t>
      </w:r>
      <w:r w:rsidR="00C508CD" w:rsidRPr="00461E28">
        <w:t>истическ</w:t>
      </w:r>
      <w:r w:rsidR="00461E28" w:rsidRPr="00461E28">
        <w:t>ий</w:t>
      </w:r>
      <w:r w:rsidR="00DA218A" w:rsidRPr="00461E28">
        <w:t xml:space="preserve"> </w:t>
      </w:r>
      <w:r w:rsidR="00461E28" w:rsidRPr="00461E28">
        <w:t xml:space="preserve">ежегодник «Волгоградская область 2016» </w:t>
      </w:r>
      <w:r w:rsidR="00C508CD" w:rsidRPr="00461E28">
        <w:t xml:space="preserve">территориального органа </w:t>
      </w:r>
      <w:r w:rsidR="00C508CD" w:rsidRPr="004414A2">
        <w:t>Федеральной службы государственной стати</w:t>
      </w:r>
      <w:r w:rsidR="00DA218A" w:rsidRPr="004414A2">
        <w:t>стики по Волгоградской области</w:t>
      </w:r>
      <w:r w:rsidR="001E4D81" w:rsidRPr="004414A2">
        <w:t xml:space="preserve"> (далее – Вол</w:t>
      </w:r>
      <w:r w:rsidR="00320949" w:rsidRPr="004414A2">
        <w:t>г</w:t>
      </w:r>
      <w:r w:rsidR="00461E28" w:rsidRPr="004414A2">
        <w:t>оград</w:t>
      </w:r>
      <w:r w:rsidR="001E4D81" w:rsidRPr="004414A2">
        <w:t>стат)</w:t>
      </w:r>
      <w:r w:rsidR="00C508CD" w:rsidRPr="004414A2">
        <w:t>;</w:t>
      </w:r>
    </w:p>
    <w:p w:rsidR="00071847" w:rsidRPr="004414A2" w:rsidRDefault="00071847" w:rsidP="0020791A">
      <w:pPr>
        <w:autoSpaceDE w:val="0"/>
        <w:autoSpaceDN w:val="0"/>
        <w:adjustRightInd w:val="0"/>
        <w:ind w:firstLine="720"/>
        <w:jc w:val="both"/>
      </w:pPr>
      <w:r w:rsidRPr="004414A2">
        <w:t>-статистическое обозрение «Автомобильные дороги Волгоградской области общего пользования местного значения на 1 января 2017 года»</w:t>
      </w:r>
      <w:r w:rsidR="009115D7" w:rsidRPr="004414A2">
        <w:t xml:space="preserve"> Волгоградстат</w:t>
      </w:r>
      <w:r w:rsidR="00A72F2B" w:rsidRPr="004414A2">
        <w:t>а</w:t>
      </w:r>
      <w:r w:rsidR="009115D7" w:rsidRPr="004414A2">
        <w:t>;</w:t>
      </w:r>
    </w:p>
    <w:p w:rsidR="001B1F16" w:rsidRPr="005B5E55" w:rsidRDefault="001B1F16" w:rsidP="0020791A">
      <w:pPr>
        <w:autoSpaceDE w:val="0"/>
        <w:autoSpaceDN w:val="0"/>
        <w:adjustRightInd w:val="0"/>
        <w:ind w:firstLine="720"/>
        <w:jc w:val="both"/>
      </w:pPr>
      <w:r w:rsidRPr="004414A2">
        <w:t>-</w:t>
      </w:r>
      <w:r w:rsidR="00D6753F" w:rsidRPr="004414A2">
        <w:t>информация Облкомдортранс</w:t>
      </w:r>
      <w:r w:rsidR="00B62B47" w:rsidRPr="004414A2">
        <w:t>а</w:t>
      </w:r>
      <w:r w:rsidR="00D6753F" w:rsidRPr="004414A2">
        <w:t xml:space="preserve"> об освоении средств по объектам строительства, реконструкции и технического</w:t>
      </w:r>
      <w:r w:rsidR="00D6753F" w:rsidRPr="005B5E55">
        <w:t xml:space="preserve"> перевооружения для областных гос</w:t>
      </w:r>
      <w:r w:rsidR="00D753CC" w:rsidRPr="005B5E55">
        <w:t>ударственных нужд</w:t>
      </w:r>
      <w:r w:rsidR="00A40B9E" w:rsidRPr="005B5E55">
        <w:t>.</w:t>
      </w:r>
    </w:p>
    <w:p w:rsidR="00D753CC" w:rsidRDefault="00D753CC" w:rsidP="00D753CC">
      <w:pPr>
        <w:autoSpaceDE w:val="0"/>
        <w:autoSpaceDN w:val="0"/>
        <w:adjustRightInd w:val="0"/>
        <w:ind w:firstLine="720"/>
        <w:jc w:val="both"/>
      </w:pPr>
      <w:r>
        <w:t>Далее по тексту использованы следующие сокращения:</w:t>
      </w:r>
    </w:p>
    <w:p w:rsidR="00D753CC" w:rsidRPr="003416FD" w:rsidRDefault="00D753CC" w:rsidP="00D753CC">
      <w:pPr>
        <w:autoSpaceDE w:val="0"/>
        <w:autoSpaceDN w:val="0"/>
        <w:adjustRightInd w:val="0"/>
        <w:ind w:firstLine="720"/>
        <w:jc w:val="both"/>
      </w:pPr>
      <w:r w:rsidRPr="003416FD">
        <w:t>-автомобильные дороги общего пользования регионального или межмуниципального значения</w:t>
      </w:r>
      <w:r>
        <w:t xml:space="preserve"> – </w:t>
      </w:r>
      <w:r w:rsidRPr="0057475D">
        <w:t>областные дороги</w:t>
      </w:r>
      <w:r w:rsidRPr="003416FD">
        <w:t>;</w:t>
      </w:r>
    </w:p>
    <w:p w:rsidR="00BF5C4D" w:rsidRPr="00BF5C4D" w:rsidRDefault="00D753CC" w:rsidP="00BF5C4D">
      <w:pPr>
        <w:autoSpaceDE w:val="0"/>
        <w:autoSpaceDN w:val="0"/>
        <w:adjustRightInd w:val="0"/>
        <w:ind w:firstLine="720"/>
        <w:jc w:val="both"/>
      </w:pPr>
      <w:r w:rsidRPr="003416FD">
        <w:t>-автомобильные дороги общего пользования местного значения</w:t>
      </w:r>
      <w:r w:rsidRPr="0057475D">
        <w:t xml:space="preserve"> – </w:t>
      </w:r>
      <w:r>
        <w:t>местные дороги</w:t>
      </w:r>
      <w:r w:rsidRPr="003416FD">
        <w:t>.</w:t>
      </w:r>
    </w:p>
    <w:p w:rsidR="000D100F" w:rsidRDefault="000D100F" w:rsidP="00BF5C4D">
      <w:pPr>
        <w:autoSpaceDE w:val="0"/>
        <w:autoSpaceDN w:val="0"/>
        <w:adjustRightInd w:val="0"/>
        <w:rPr>
          <w:b/>
          <w:color w:val="FF0000"/>
        </w:rPr>
      </w:pPr>
    </w:p>
    <w:p w:rsidR="005778F6" w:rsidRDefault="005778F6" w:rsidP="004122D8">
      <w:pPr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lastRenderedPageBreak/>
        <w:t xml:space="preserve">Краткая характеристика </w:t>
      </w:r>
    </w:p>
    <w:p w:rsidR="005F5B33" w:rsidRPr="00372D59" w:rsidRDefault="005778F6" w:rsidP="004122D8">
      <w:pPr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с</w:t>
      </w:r>
      <w:r w:rsidR="00B94F1C" w:rsidRPr="00372D59">
        <w:rPr>
          <w:b/>
        </w:rPr>
        <w:t>ет</w:t>
      </w:r>
      <w:r>
        <w:rPr>
          <w:b/>
        </w:rPr>
        <w:t>и</w:t>
      </w:r>
      <w:r w:rsidR="00B94F1C" w:rsidRPr="00372D59">
        <w:rPr>
          <w:b/>
        </w:rPr>
        <w:t xml:space="preserve"> автомобильных дорог</w:t>
      </w:r>
      <w:r w:rsidR="004122D8" w:rsidRPr="00372D59">
        <w:rPr>
          <w:b/>
        </w:rPr>
        <w:t xml:space="preserve"> </w:t>
      </w:r>
      <w:r w:rsidR="007933E7" w:rsidRPr="00372D59">
        <w:rPr>
          <w:b/>
        </w:rPr>
        <w:t xml:space="preserve">в </w:t>
      </w:r>
      <w:r w:rsidR="004122D8" w:rsidRPr="00372D59">
        <w:rPr>
          <w:b/>
        </w:rPr>
        <w:t>Волгоградской области</w:t>
      </w:r>
    </w:p>
    <w:p w:rsidR="00D445D4" w:rsidRPr="00F30F22" w:rsidRDefault="00804B2B" w:rsidP="00D445D4">
      <w:pPr>
        <w:autoSpaceDE w:val="0"/>
        <w:autoSpaceDN w:val="0"/>
        <w:adjustRightInd w:val="0"/>
        <w:ind w:firstLine="720"/>
        <w:jc w:val="both"/>
      </w:pPr>
      <w:r w:rsidRPr="00F30F22">
        <w:t>Согласно данным статистической отчётности п</w:t>
      </w:r>
      <w:r w:rsidR="00D445D4" w:rsidRPr="00F30F22">
        <w:t>о состоянию на конец 201</w:t>
      </w:r>
      <w:r w:rsidRPr="00F30F22">
        <w:t>7</w:t>
      </w:r>
      <w:r w:rsidR="00D445D4" w:rsidRPr="00F30F22">
        <w:t xml:space="preserve"> года общая </w:t>
      </w:r>
      <w:r w:rsidR="00D445D4" w:rsidRPr="00D01B2B">
        <w:t>протяженность областных и местных дорог в Волгоградской области состав</w:t>
      </w:r>
      <w:r w:rsidRPr="00D01B2B">
        <w:t>ила</w:t>
      </w:r>
      <w:r w:rsidR="00D445D4" w:rsidRPr="00D01B2B">
        <w:t xml:space="preserve"> 26 6</w:t>
      </w:r>
      <w:r w:rsidRPr="00D01B2B">
        <w:t>97</w:t>
      </w:r>
      <w:r w:rsidR="00D445D4" w:rsidRPr="00D01B2B">
        <w:t>,</w:t>
      </w:r>
      <w:r w:rsidRPr="00D01B2B">
        <w:t>3</w:t>
      </w:r>
      <w:r w:rsidR="00D445D4" w:rsidRPr="00D01B2B">
        <w:t xml:space="preserve"> км, в том числе 15</w:t>
      </w:r>
      <w:r w:rsidR="003141DB" w:rsidRPr="00D01B2B">
        <w:t> 322,8</w:t>
      </w:r>
      <w:r w:rsidR="00D445D4" w:rsidRPr="00D01B2B">
        <w:t xml:space="preserve"> км</w:t>
      </w:r>
      <w:r w:rsidR="00D445D4" w:rsidRPr="00F30F22">
        <w:t xml:space="preserve"> дороги с твёрдым покрытием. </w:t>
      </w:r>
      <w:r w:rsidRPr="00F30F22">
        <w:t>С</w:t>
      </w:r>
      <w:r w:rsidR="00D445D4" w:rsidRPr="00F30F22">
        <w:t xml:space="preserve">оответствуют нормативным требованиям к транспортно-эксплуатационным показателям </w:t>
      </w:r>
      <w:r w:rsidRPr="00F30F22">
        <w:t>8 407,2</w:t>
      </w:r>
      <w:r w:rsidR="00D445D4" w:rsidRPr="00F30F22">
        <w:t xml:space="preserve"> км, или </w:t>
      </w:r>
      <w:r w:rsidRPr="00F30F22">
        <w:t>31,5</w:t>
      </w:r>
      <w:r w:rsidR="00D445D4" w:rsidRPr="00F30F22">
        <w:t>% дорог.</w:t>
      </w:r>
      <w:r w:rsidR="00F30F22" w:rsidRPr="00F30F22">
        <w:t xml:space="preserve"> За год</w:t>
      </w:r>
      <w:r w:rsidR="00114340">
        <w:t xml:space="preserve"> по данным отчетности</w:t>
      </w:r>
      <w:r w:rsidR="00F30F22" w:rsidRPr="00F30F22">
        <w:t xml:space="preserve"> общая протяжённость дорог увеличилась на 993,1 км, в основном, за счёт местных дорог (940,9 км)</w:t>
      </w:r>
      <w:r w:rsidR="00114340">
        <w:t>, что по пояснениям Облкомдортранса обусловлено</w:t>
      </w:r>
      <w:r w:rsidR="00F30F22" w:rsidRPr="00F30F22">
        <w:t xml:space="preserve"> постановк</w:t>
      </w:r>
      <w:r w:rsidR="00114340">
        <w:t>ой</w:t>
      </w:r>
      <w:r w:rsidR="00F30F22" w:rsidRPr="00F30F22">
        <w:t xml:space="preserve"> </w:t>
      </w:r>
      <w:r w:rsidR="00D01B2B">
        <w:t xml:space="preserve">на </w:t>
      </w:r>
      <w:r w:rsidR="00F30F22" w:rsidRPr="00F30F22">
        <w:t>учёт</w:t>
      </w:r>
      <w:r w:rsidR="00D01B2B">
        <w:t xml:space="preserve"> существующих дорог</w:t>
      </w:r>
      <w:r w:rsidR="00F30F22" w:rsidRPr="00F30F22">
        <w:t xml:space="preserve">. </w:t>
      </w:r>
      <w:r w:rsidRPr="00F30F22">
        <w:t>Подробные данные о сети автомобильных дорог и основных видах искусственных дорожных сооружений в Волгоградской области представлены в Приложении № 1, обобщённые - в таблице и диаграмме.</w:t>
      </w:r>
    </w:p>
    <w:p w:rsidR="00D445D4" w:rsidRPr="00F30F22" w:rsidRDefault="00D445D4" w:rsidP="00D445D4">
      <w:pPr>
        <w:autoSpaceDE w:val="0"/>
        <w:autoSpaceDN w:val="0"/>
        <w:adjustRightInd w:val="0"/>
        <w:ind w:firstLine="720"/>
        <w:jc w:val="both"/>
      </w:pPr>
    </w:p>
    <w:tbl>
      <w:tblPr>
        <w:tblW w:w="10065" w:type="dxa"/>
        <w:tblInd w:w="-3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425"/>
        <w:gridCol w:w="992"/>
        <w:gridCol w:w="1134"/>
        <w:gridCol w:w="992"/>
        <w:gridCol w:w="992"/>
        <w:gridCol w:w="992"/>
        <w:gridCol w:w="852"/>
        <w:gridCol w:w="1134"/>
      </w:tblGrid>
      <w:tr w:rsidR="00F30F22" w:rsidRPr="00F30F22" w:rsidTr="009459F4">
        <w:trPr>
          <w:trHeight w:val="60"/>
        </w:trPr>
        <w:tc>
          <w:tcPr>
            <w:tcW w:w="2977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Показатель</w:t>
            </w:r>
          </w:p>
        </w:tc>
        <w:tc>
          <w:tcPr>
            <w:tcW w:w="3118" w:type="dxa"/>
            <w:gridSpan w:val="3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Местные дороги (Волгоградстат)</w:t>
            </w:r>
          </w:p>
        </w:tc>
        <w:tc>
          <w:tcPr>
            <w:tcW w:w="2836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Областные дороги</w:t>
            </w:r>
            <w:r w:rsidRPr="00F30F22">
              <w:rPr>
                <w:bCs/>
                <w:sz w:val="18"/>
                <w:szCs w:val="18"/>
              </w:rPr>
              <w:t xml:space="preserve"> (ф. № 1-ДГ)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</w:tcPr>
          <w:p w:rsidR="0043545B" w:rsidRPr="00F30F22" w:rsidRDefault="0043545B" w:rsidP="003C292C">
            <w:pPr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ВСЕГО</w:t>
            </w:r>
          </w:p>
        </w:tc>
      </w:tr>
      <w:tr w:rsidR="00F30F22" w:rsidRPr="00F30F22" w:rsidTr="009459F4">
        <w:trPr>
          <w:trHeight w:val="60"/>
        </w:trPr>
        <w:tc>
          <w:tcPr>
            <w:tcW w:w="2977" w:type="dxa"/>
            <w:gridSpan w:val="3"/>
            <w:vMerge/>
            <w:tcBorders>
              <w:left w:val="double" w:sz="4" w:space="0" w:color="auto"/>
            </w:tcBorders>
            <w:vAlign w:val="center"/>
            <w:hideMark/>
          </w:tcPr>
          <w:p w:rsidR="0043545B" w:rsidRPr="00F30F22" w:rsidRDefault="0043545B" w:rsidP="003C292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01.01.16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01.01.17 (01.01.18)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804B2B" w:rsidP="003C292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И</w:t>
            </w:r>
            <w:r w:rsidR="0043545B" w:rsidRPr="00F30F22">
              <w:rPr>
                <w:sz w:val="20"/>
                <w:szCs w:val="20"/>
              </w:rPr>
              <w:t>зменение</w:t>
            </w:r>
            <w:r w:rsidRPr="00F30F22">
              <w:rPr>
                <w:sz w:val="20"/>
                <w:szCs w:val="20"/>
              </w:rPr>
              <w:t xml:space="preserve"> (за 2017)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 w:right="-9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01.01.17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 w:right="-9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01.01.18</w:t>
            </w:r>
          </w:p>
        </w:tc>
        <w:tc>
          <w:tcPr>
            <w:tcW w:w="85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804B2B" w:rsidP="003C292C">
            <w:pPr>
              <w:ind w:left="-108" w:right="-9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И</w:t>
            </w:r>
            <w:r w:rsidR="0043545B" w:rsidRPr="00F30F22">
              <w:rPr>
                <w:sz w:val="20"/>
                <w:szCs w:val="20"/>
              </w:rPr>
              <w:t>змене</w:t>
            </w:r>
            <w:r w:rsidR="009459F4">
              <w:rPr>
                <w:sz w:val="20"/>
                <w:szCs w:val="20"/>
              </w:rPr>
              <w:t>-</w:t>
            </w:r>
            <w:r w:rsidR="0043545B" w:rsidRPr="00F30F22">
              <w:rPr>
                <w:sz w:val="20"/>
                <w:szCs w:val="20"/>
              </w:rPr>
              <w:t>ние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</w:tcPr>
          <w:p w:rsidR="0043545B" w:rsidRPr="00F30F22" w:rsidRDefault="0043545B" w:rsidP="003C292C">
            <w:pPr>
              <w:ind w:left="-108" w:right="-9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01.01.2018</w:t>
            </w:r>
          </w:p>
        </w:tc>
      </w:tr>
      <w:tr w:rsidR="00F30F22" w:rsidRPr="00F30F22" w:rsidTr="009459F4">
        <w:trPr>
          <w:trHeight w:val="20"/>
        </w:trPr>
        <w:tc>
          <w:tcPr>
            <w:tcW w:w="1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right="-108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Протяженность дорог, км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15 691,0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B01AD4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16 631,9 (16 632,8*)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940,9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10 012,3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10 064,5</w:t>
            </w:r>
          </w:p>
        </w:tc>
        <w:tc>
          <w:tcPr>
            <w:tcW w:w="85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52,2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26 697,3</w:t>
            </w:r>
          </w:p>
        </w:tc>
      </w:tr>
      <w:tr w:rsidR="00F30F22" w:rsidRPr="00F30F22" w:rsidTr="009459F4">
        <w:trPr>
          <w:trHeight w:val="20"/>
        </w:trPr>
        <w:tc>
          <w:tcPr>
            <w:tcW w:w="1560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43545B" w:rsidRPr="00F30F22" w:rsidRDefault="0043545B" w:rsidP="003C292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jc w:val="center"/>
              <w:rPr>
                <w:i/>
                <w:iCs/>
                <w:sz w:val="20"/>
                <w:szCs w:val="20"/>
              </w:rPr>
            </w:pPr>
            <w:r w:rsidRPr="00F30F22">
              <w:rPr>
                <w:i/>
                <w:iCs/>
                <w:sz w:val="20"/>
                <w:szCs w:val="20"/>
              </w:rPr>
              <w:t>Города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i/>
                <w:iCs/>
                <w:sz w:val="20"/>
                <w:szCs w:val="20"/>
              </w:rPr>
            </w:pPr>
            <w:r w:rsidRPr="00F30F22">
              <w:rPr>
                <w:bCs/>
                <w:i/>
                <w:iCs/>
                <w:sz w:val="20"/>
                <w:szCs w:val="20"/>
              </w:rPr>
              <w:t>4 017,3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i/>
                <w:iCs/>
                <w:sz w:val="20"/>
                <w:szCs w:val="20"/>
              </w:rPr>
            </w:pPr>
            <w:r w:rsidRPr="00F30F22">
              <w:rPr>
                <w:bCs/>
                <w:i/>
                <w:iCs/>
                <w:sz w:val="20"/>
                <w:szCs w:val="20"/>
              </w:rPr>
              <w:t>4 219,5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202,2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</w:p>
        </w:tc>
      </w:tr>
      <w:tr w:rsidR="00F30F22" w:rsidRPr="00F30F22" w:rsidTr="009459F4">
        <w:trPr>
          <w:trHeight w:val="20"/>
        </w:trPr>
        <w:tc>
          <w:tcPr>
            <w:tcW w:w="1560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43545B" w:rsidRPr="00F30F22" w:rsidRDefault="0043545B" w:rsidP="003C292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 w:right="-123"/>
              <w:jc w:val="center"/>
              <w:rPr>
                <w:i/>
                <w:iCs/>
                <w:sz w:val="20"/>
                <w:szCs w:val="20"/>
              </w:rPr>
            </w:pPr>
            <w:r w:rsidRPr="00F30F22">
              <w:rPr>
                <w:i/>
                <w:iCs/>
                <w:sz w:val="20"/>
                <w:szCs w:val="20"/>
              </w:rPr>
              <w:t>Районы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i/>
                <w:iCs/>
                <w:sz w:val="20"/>
                <w:szCs w:val="20"/>
              </w:rPr>
            </w:pPr>
            <w:r w:rsidRPr="00F30F22">
              <w:rPr>
                <w:bCs/>
                <w:i/>
                <w:iCs/>
                <w:sz w:val="20"/>
                <w:szCs w:val="20"/>
              </w:rPr>
              <w:t>1 508,8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i/>
                <w:iCs/>
                <w:sz w:val="20"/>
                <w:szCs w:val="20"/>
              </w:rPr>
            </w:pPr>
            <w:r w:rsidRPr="00F30F22">
              <w:rPr>
                <w:bCs/>
                <w:i/>
                <w:iCs/>
                <w:sz w:val="20"/>
                <w:szCs w:val="20"/>
              </w:rPr>
              <w:t>1 819,4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310,6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43545B" w:rsidRPr="00F30F22" w:rsidRDefault="0043545B" w:rsidP="003C292C">
            <w:pPr>
              <w:jc w:val="right"/>
              <w:rPr>
                <w:sz w:val="20"/>
                <w:szCs w:val="20"/>
              </w:rPr>
            </w:pPr>
          </w:p>
        </w:tc>
      </w:tr>
      <w:tr w:rsidR="00F30F22" w:rsidRPr="00F30F22" w:rsidTr="009459F4">
        <w:trPr>
          <w:trHeight w:val="20"/>
        </w:trPr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43545B" w:rsidRPr="00F30F22" w:rsidRDefault="0043545B" w:rsidP="003C292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 w:right="-108"/>
              <w:jc w:val="center"/>
              <w:rPr>
                <w:i/>
                <w:iCs/>
                <w:sz w:val="20"/>
                <w:szCs w:val="20"/>
              </w:rPr>
            </w:pPr>
            <w:r w:rsidRPr="00F30F22">
              <w:rPr>
                <w:i/>
                <w:iCs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i/>
                <w:iCs/>
                <w:sz w:val="20"/>
                <w:szCs w:val="20"/>
              </w:rPr>
            </w:pPr>
            <w:r w:rsidRPr="00F30F22">
              <w:rPr>
                <w:bCs/>
                <w:i/>
                <w:iCs/>
                <w:sz w:val="20"/>
                <w:szCs w:val="20"/>
              </w:rPr>
              <w:t>10 159,7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i/>
                <w:iCs/>
                <w:sz w:val="20"/>
                <w:szCs w:val="20"/>
              </w:rPr>
            </w:pPr>
            <w:r w:rsidRPr="00F30F22">
              <w:rPr>
                <w:bCs/>
                <w:i/>
                <w:iCs/>
                <w:sz w:val="20"/>
                <w:szCs w:val="20"/>
              </w:rPr>
              <w:t>10 593,0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433,3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3545B" w:rsidRPr="00F30F22" w:rsidRDefault="0043545B" w:rsidP="003C292C">
            <w:pPr>
              <w:ind w:left="-108"/>
              <w:jc w:val="right"/>
              <w:rPr>
                <w:sz w:val="20"/>
                <w:szCs w:val="20"/>
              </w:rPr>
            </w:pPr>
          </w:p>
        </w:tc>
      </w:tr>
      <w:tr w:rsidR="00F30F22" w:rsidRPr="00F30F22" w:rsidTr="009459F4">
        <w:trPr>
          <w:trHeight w:val="20"/>
        </w:trPr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Мосты и путепроводы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3545B" w:rsidRPr="00F30F22" w:rsidRDefault="0043545B" w:rsidP="00F1070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347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345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342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342</w:t>
            </w:r>
          </w:p>
        </w:tc>
        <w:tc>
          <w:tcPr>
            <w:tcW w:w="85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687</w:t>
            </w:r>
          </w:p>
        </w:tc>
      </w:tr>
      <w:tr w:rsidR="00F30F22" w:rsidRPr="00F30F22" w:rsidTr="009459F4">
        <w:trPr>
          <w:trHeight w:val="20"/>
        </w:trPr>
        <w:tc>
          <w:tcPr>
            <w:tcW w:w="2552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Трубы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3545B" w:rsidRPr="00F30F22" w:rsidRDefault="0043545B" w:rsidP="00F1070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215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5 894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5 930</w:t>
            </w:r>
          </w:p>
        </w:tc>
        <w:tc>
          <w:tcPr>
            <w:tcW w:w="85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3545B" w:rsidRPr="00F30F22" w:rsidRDefault="0043545B" w:rsidP="00F10709">
            <w:pPr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6</w:t>
            </w:r>
            <w:r w:rsidR="00804B2B" w:rsidRPr="00F30F22">
              <w:rPr>
                <w:sz w:val="20"/>
                <w:szCs w:val="20"/>
              </w:rPr>
              <w:t> </w:t>
            </w:r>
            <w:r w:rsidRPr="00F30F22">
              <w:rPr>
                <w:sz w:val="20"/>
                <w:szCs w:val="20"/>
              </w:rPr>
              <w:t>145</w:t>
            </w:r>
          </w:p>
        </w:tc>
      </w:tr>
      <w:tr w:rsidR="00F30F22" w:rsidRPr="00F30F22" w:rsidTr="009459F4">
        <w:trPr>
          <w:trHeight w:val="20"/>
        </w:trPr>
        <w:tc>
          <w:tcPr>
            <w:tcW w:w="255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43545B" w:rsidP="0043545B">
            <w:pPr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Протяженность дорог, соответствующих нормативным требованиям,</w:t>
            </w:r>
            <w:r w:rsidRPr="00F30F22">
              <w:rPr>
                <w:sz w:val="22"/>
                <w:szCs w:val="22"/>
              </w:rPr>
              <w:t xml:space="preserve"> ф. №1-ФД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3545B" w:rsidRPr="00F30F22" w:rsidRDefault="0043545B" w:rsidP="00B01A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км,</w:t>
            </w:r>
            <w:r w:rsidRPr="00F30F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3 459,6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B01AD4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3 741,9  (4 579,6)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3545B" w:rsidRPr="00F30F22" w:rsidRDefault="00804B2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282,3 (837,7)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3 754,3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3 827,6</w:t>
            </w:r>
          </w:p>
        </w:tc>
        <w:tc>
          <w:tcPr>
            <w:tcW w:w="85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8 407,2</w:t>
            </w:r>
          </w:p>
        </w:tc>
      </w:tr>
      <w:tr w:rsidR="00F30F22" w:rsidRPr="00F30F22" w:rsidTr="009459F4">
        <w:trPr>
          <w:trHeight w:val="20"/>
        </w:trPr>
        <w:tc>
          <w:tcPr>
            <w:tcW w:w="255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43545B" w:rsidRPr="00F30F22" w:rsidRDefault="0043545B" w:rsidP="00F1070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3545B" w:rsidRPr="00F30F22" w:rsidRDefault="0043545B" w:rsidP="00F1070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22,0%**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22,5% (27,5%)**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804B2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0,5</w:t>
            </w:r>
            <w:r w:rsidR="0043545B" w:rsidRPr="00F30F22">
              <w:rPr>
                <w:sz w:val="20"/>
                <w:szCs w:val="20"/>
              </w:rPr>
              <w:t>%</w:t>
            </w:r>
            <w:r w:rsidRPr="00F30F22">
              <w:rPr>
                <w:sz w:val="20"/>
                <w:szCs w:val="20"/>
              </w:rPr>
              <w:t xml:space="preserve"> (5,0%)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bCs/>
                <w:sz w:val="20"/>
                <w:szCs w:val="20"/>
              </w:rPr>
              <w:t>38,0%</w:t>
            </w:r>
          </w:p>
        </w:tc>
        <w:tc>
          <w:tcPr>
            <w:tcW w:w="85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3545B" w:rsidRPr="00F30F22" w:rsidRDefault="0043545B" w:rsidP="00F10709">
            <w:pPr>
              <w:ind w:left="-108"/>
              <w:jc w:val="right"/>
              <w:rPr>
                <w:sz w:val="20"/>
                <w:szCs w:val="20"/>
              </w:rPr>
            </w:pPr>
            <w:r w:rsidRPr="00F30F22">
              <w:rPr>
                <w:sz w:val="20"/>
                <w:szCs w:val="20"/>
              </w:rPr>
              <w:t>31,5%</w:t>
            </w:r>
          </w:p>
        </w:tc>
      </w:tr>
    </w:tbl>
    <w:p w:rsidR="00B01AD4" w:rsidRPr="00D01B2B" w:rsidRDefault="00B01AD4" w:rsidP="00D01B2B">
      <w:pPr>
        <w:autoSpaceDE w:val="0"/>
        <w:autoSpaceDN w:val="0"/>
        <w:adjustRightInd w:val="0"/>
        <w:ind w:left="142" w:hanging="142"/>
        <w:jc w:val="both"/>
        <w:rPr>
          <w:i/>
          <w:sz w:val="22"/>
          <w:szCs w:val="22"/>
        </w:rPr>
      </w:pPr>
      <w:r w:rsidRPr="00D01B2B">
        <w:rPr>
          <w:i/>
          <w:sz w:val="22"/>
          <w:szCs w:val="22"/>
        </w:rPr>
        <w:t>*-расчётные данные</w:t>
      </w:r>
      <w:r w:rsidR="00E22556">
        <w:rPr>
          <w:i/>
          <w:sz w:val="22"/>
          <w:szCs w:val="22"/>
        </w:rPr>
        <w:t xml:space="preserve"> по</w:t>
      </w:r>
      <w:r w:rsidRPr="00D01B2B">
        <w:rPr>
          <w:i/>
          <w:sz w:val="22"/>
          <w:szCs w:val="22"/>
        </w:rPr>
        <w:t xml:space="preserve"> </w:t>
      </w:r>
      <w:r w:rsidR="0043545B" w:rsidRPr="00D01B2B">
        <w:rPr>
          <w:i/>
          <w:sz w:val="22"/>
          <w:szCs w:val="22"/>
        </w:rPr>
        <w:t xml:space="preserve">годовому докладу Облкомдортранса о ходе реализации и оценке эффективности реализации </w:t>
      </w:r>
      <w:r w:rsidRPr="00D01B2B">
        <w:rPr>
          <w:i/>
          <w:sz w:val="22"/>
          <w:szCs w:val="22"/>
        </w:rPr>
        <w:t>ГП «Развитие транспортной системы;</w:t>
      </w:r>
    </w:p>
    <w:p w:rsidR="00D445D4" w:rsidRDefault="00D445D4" w:rsidP="00D01B2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D01B2B">
        <w:rPr>
          <w:i/>
          <w:sz w:val="22"/>
          <w:szCs w:val="22"/>
        </w:rPr>
        <w:t>*</w:t>
      </w:r>
      <w:r w:rsidR="0043545B" w:rsidRPr="00D01B2B">
        <w:rPr>
          <w:i/>
          <w:sz w:val="22"/>
          <w:szCs w:val="22"/>
        </w:rPr>
        <w:t>*</w:t>
      </w:r>
      <w:r w:rsidRPr="00D01B2B">
        <w:rPr>
          <w:i/>
          <w:sz w:val="22"/>
          <w:szCs w:val="22"/>
        </w:rPr>
        <w:t>-расчетные данные по сведениям ф. №1-ФД.</w:t>
      </w:r>
    </w:p>
    <w:p w:rsidR="000D100F" w:rsidRPr="00D01B2B" w:rsidRDefault="000D100F" w:rsidP="00D01B2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F30F22" w:rsidRDefault="00847834" w:rsidP="00F30F22">
      <w:pPr>
        <w:autoSpaceDE w:val="0"/>
        <w:autoSpaceDN w:val="0"/>
        <w:adjustRightInd w:val="0"/>
        <w:jc w:val="both"/>
      </w:pPr>
      <w:r w:rsidRPr="00847834">
        <w:rPr>
          <w:noProof/>
        </w:rPr>
        <w:drawing>
          <wp:inline distT="0" distB="0" distL="0" distR="0">
            <wp:extent cx="6115050" cy="3200400"/>
            <wp:effectExtent l="0" t="0" r="0" b="0"/>
            <wp:docPr id="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D100F" w:rsidRDefault="000D100F" w:rsidP="00F30F22">
      <w:pPr>
        <w:autoSpaceDE w:val="0"/>
        <w:autoSpaceDN w:val="0"/>
        <w:adjustRightInd w:val="0"/>
        <w:jc w:val="both"/>
      </w:pPr>
    </w:p>
    <w:p w:rsidR="00FB0CDF" w:rsidRPr="000D100F" w:rsidRDefault="00FB0CDF" w:rsidP="0095352B">
      <w:pPr>
        <w:autoSpaceDE w:val="0"/>
        <w:autoSpaceDN w:val="0"/>
        <w:adjustRightInd w:val="0"/>
        <w:ind w:firstLine="720"/>
        <w:jc w:val="both"/>
      </w:pPr>
      <w:r w:rsidRPr="000D100F">
        <w:t>При рассмотрении вышеприведённых данных о соответствии дорог нормативным требованиям необходимо учитывать следующие обстоятельства, имевшие место и при проведении мониторинга за 2016 год.</w:t>
      </w:r>
    </w:p>
    <w:p w:rsidR="006D5DBA" w:rsidRPr="000D100F" w:rsidRDefault="00FB0CDF" w:rsidP="0095352B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D100F">
        <w:rPr>
          <w:rFonts w:eastAsia="Calibri"/>
        </w:rPr>
        <w:t>Показатели различных форм статистической отчётности, формируемых Облкомдортрансом и Волгоградстатом, име</w:t>
      </w:r>
      <w:r w:rsidR="006D5DBA" w:rsidRPr="000D100F">
        <w:rPr>
          <w:rFonts w:eastAsia="Calibri"/>
        </w:rPr>
        <w:t>ют</w:t>
      </w:r>
      <w:r w:rsidRPr="000D100F">
        <w:rPr>
          <w:rFonts w:eastAsia="Calibri"/>
        </w:rPr>
        <w:t xml:space="preserve"> </w:t>
      </w:r>
      <w:r w:rsidR="006D5DBA" w:rsidRPr="000D100F">
        <w:rPr>
          <w:rFonts w:eastAsia="Calibri"/>
        </w:rPr>
        <w:t>диаметрально противоположные значения.</w:t>
      </w:r>
    </w:p>
    <w:p w:rsidR="00C40F5F" w:rsidRPr="000D100F" w:rsidRDefault="00BE6BE5" w:rsidP="0095352B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D100F">
        <w:rPr>
          <w:rFonts w:eastAsia="Calibri"/>
        </w:rPr>
        <w:lastRenderedPageBreak/>
        <w:t>Согласно ф. № 1-ФД</w:t>
      </w:r>
      <w:r w:rsidR="00BF5C4D" w:rsidRPr="000D100F">
        <w:rPr>
          <w:rFonts w:eastAsia="Calibri"/>
        </w:rPr>
        <w:t xml:space="preserve"> (стр. 01 подраздела 4.1)</w:t>
      </w:r>
      <w:r w:rsidRPr="000D100F">
        <w:rPr>
          <w:rFonts w:eastAsia="Calibri"/>
        </w:rPr>
        <w:t>, формируе</w:t>
      </w:r>
      <w:r w:rsidR="00C40F5F" w:rsidRPr="000D100F">
        <w:rPr>
          <w:rFonts w:eastAsia="Calibri"/>
        </w:rPr>
        <w:t>м</w:t>
      </w:r>
      <w:r w:rsidRPr="000D100F">
        <w:rPr>
          <w:rFonts w:eastAsia="Calibri"/>
        </w:rPr>
        <w:t>ой Облкомдортрансом на основе данных</w:t>
      </w:r>
      <w:r w:rsidR="00BF5C4D" w:rsidRPr="000D100F">
        <w:rPr>
          <w:rFonts w:eastAsia="Calibri"/>
        </w:rPr>
        <w:t>,</w:t>
      </w:r>
      <w:r w:rsidRPr="000D100F">
        <w:rPr>
          <w:rFonts w:eastAsia="Calibri"/>
        </w:rPr>
        <w:t xml:space="preserve"> представленных органами местного самоуправления</w:t>
      </w:r>
      <w:r w:rsidR="00C40F5F" w:rsidRPr="000D100F">
        <w:rPr>
          <w:rFonts w:eastAsia="Calibri"/>
        </w:rPr>
        <w:t>,</w:t>
      </w:r>
      <w:r w:rsidRPr="000D100F">
        <w:rPr>
          <w:rFonts w:eastAsia="Calibri"/>
        </w:rPr>
        <w:t xml:space="preserve"> </w:t>
      </w:r>
      <w:r w:rsidR="00C40F5F" w:rsidRPr="000D100F">
        <w:rPr>
          <w:rFonts w:eastAsia="Calibri"/>
        </w:rPr>
        <w:t xml:space="preserve">показатель «Протяженность автомобильных дорог, </w:t>
      </w:r>
      <w:r w:rsidR="00C40F5F" w:rsidRPr="000D100F">
        <w:rPr>
          <w:rFonts w:eastAsia="Calibri"/>
          <w:b/>
          <w:u w:val="single"/>
        </w:rPr>
        <w:t>соответствующих</w:t>
      </w:r>
      <w:r w:rsidR="00C40F5F" w:rsidRPr="000D100F">
        <w:rPr>
          <w:rFonts w:eastAsia="Calibri"/>
        </w:rPr>
        <w:t xml:space="preserve"> нормативным требованиям к транспортно-эксплуатационным показателям» на 01.01.2017 состав</w:t>
      </w:r>
      <w:r w:rsidR="00BF5C4D" w:rsidRPr="000D100F">
        <w:rPr>
          <w:rFonts w:eastAsia="Calibri"/>
        </w:rPr>
        <w:t>ил</w:t>
      </w:r>
      <w:r w:rsidR="00C40F5F" w:rsidRPr="000D100F">
        <w:rPr>
          <w:rFonts w:eastAsia="Calibri"/>
        </w:rPr>
        <w:t xml:space="preserve"> </w:t>
      </w:r>
      <w:r w:rsidR="00C40F5F" w:rsidRPr="000D100F">
        <w:rPr>
          <w:rFonts w:eastAsia="Calibri"/>
          <w:b/>
          <w:u w:val="single"/>
        </w:rPr>
        <w:t>3 741,9</w:t>
      </w:r>
      <w:r w:rsidR="00C40F5F" w:rsidRPr="000D100F">
        <w:rPr>
          <w:rFonts w:eastAsia="Calibri"/>
        </w:rPr>
        <w:t xml:space="preserve"> км</w:t>
      </w:r>
      <w:r w:rsidR="00BF5C4D" w:rsidRPr="000D100F">
        <w:rPr>
          <w:rFonts w:eastAsia="Calibri"/>
        </w:rPr>
        <w:t>, или 22,5%</w:t>
      </w:r>
      <w:r w:rsidR="00C40F5F" w:rsidRPr="000D100F">
        <w:rPr>
          <w:rFonts w:eastAsia="Calibri"/>
        </w:rPr>
        <w:t xml:space="preserve"> </w:t>
      </w:r>
      <w:r w:rsidR="00BF5C4D" w:rsidRPr="000D100F">
        <w:rPr>
          <w:rFonts w:eastAsia="Calibri"/>
        </w:rPr>
        <w:t>от общей протяжённости местных дорог.</w:t>
      </w:r>
    </w:p>
    <w:p w:rsidR="000C5966" w:rsidRPr="000D100F" w:rsidRDefault="00C40F5F" w:rsidP="0095352B">
      <w:pPr>
        <w:autoSpaceDE w:val="0"/>
        <w:autoSpaceDN w:val="0"/>
        <w:adjustRightInd w:val="0"/>
        <w:ind w:firstLine="720"/>
        <w:jc w:val="both"/>
      </w:pPr>
      <w:r w:rsidRPr="000D100F">
        <w:rPr>
          <w:rFonts w:eastAsia="Calibri"/>
        </w:rPr>
        <w:t xml:space="preserve">Согласно </w:t>
      </w:r>
      <w:r w:rsidRPr="000D100F">
        <w:t>статистическому обозрению «Автомобильные дороги Волгоградской области общего пользования местного значения на 1 января 2017 года»</w:t>
      </w:r>
      <w:r w:rsidR="000C5966" w:rsidRPr="000D100F">
        <w:t>,</w:t>
      </w:r>
      <w:r w:rsidRPr="000D100F">
        <w:t xml:space="preserve"> подготовленному Волгоградстатом на основе </w:t>
      </w:r>
      <w:r w:rsidR="00EA6E0D" w:rsidRPr="000D100F">
        <w:t>формы федерального статистического наблюдения</w:t>
      </w:r>
      <w:r w:rsidR="00EA6E0D" w:rsidRPr="000D100F">
        <w:rPr>
          <w:rFonts w:eastAsia="Calibri"/>
        </w:rPr>
        <w:t xml:space="preserve"> № 3-ДГ (мо), пред</w:t>
      </w:r>
      <w:r w:rsidR="000C5966" w:rsidRPr="000D100F">
        <w:rPr>
          <w:rFonts w:eastAsia="Calibri"/>
        </w:rPr>
        <w:t>о</w:t>
      </w:r>
      <w:r w:rsidR="00EA6E0D" w:rsidRPr="000D100F">
        <w:rPr>
          <w:rFonts w:eastAsia="Calibri"/>
        </w:rPr>
        <w:t>с</w:t>
      </w:r>
      <w:r w:rsidR="000C5966" w:rsidRPr="000D100F">
        <w:rPr>
          <w:rFonts w:eastAsia="Calibri"/>
        </w:rPr>
        <w:t>т</w:t>
      </w:r>
      <w:r w:rsidR="00EA6E0D" w:rsidRPr="000D100F">
        <w:rPr>
          <w:rFonts w:eastAsia="Calibri"/>
        </w:rPr>
        <w:t>авляемой органами местного самоуправления в Волгоградстат</w:t>
      </w:r>
      <w:r w:rsidR="000C5966" w:rsidRPr="000D100F">
        <w:rPr>
          <w:rFonts w:eastAsia="Calibri"/>
        </w:rPr>
        <w:t xml:space="preserve"> (</w:t>
      </w:r>
      <w:r w:rsidR="00EA6E0D" w:rsidRPr="000D100F">
        <w:rPr>
          <w:rFonts w:eastAsia="Calibri"/>
        </w:rPr>
        <w:t xml:space="preserve">показатель </w:t>
      </w:r>
      <w:r w:rsidR="000C5966" w:rsidRPr="000D100F">
        <w:rPr>
          <w:rFonts w:eastAsia="Calibri"/>
        </w:rPr>
        <w:t>стр. 106 раздела 1), н</w:t>
      </w:r>
      <w:r w:rsidR="000C5966" w:rsidRPr="000D100F">
        <w:t xml:space="preserve">а конец 2016 года из общей протяженности автомобильных дорог общего пользования местного значения </w:t>
      </w:r>
      <w:r w:rsidR="000C5966" w:rsidRPr="000D100F">
        <w:rPr>
          <w:b/>
          <w:u w:val="single"/>
        </w:rPr>
        <w:t>4</w:t>
      </w:r>
      <w:r w:rsidR="0095352B" w:rsidRPr="000D100F">
        <w:rPr>
          <w:b/>
          <w:u w:val="single"/>
        </w:rPr>
        <w:t> </w:t>
      </w:r>
      <w:r w:rsidR="000C5966" w:rsidRPr="000D100F">
        <w:rPr>
          <w:b/>
          <w:u w:val="single"/>
        </w:rPr>
        <w:t>437,4</w:t>
      </w:r>
      <w:r w:rsidR="000C5966" w:rsidRPr="000D100F">
        <w:t xml:space="preserve"> км</w:t>
      </w:r>
      <w:r w:rsidR="00BF5C4D" w:rsidRPr="000D100F">
        <w:t xml:space="preserve"> (26,7%)</w:t>
      </w:r>
      <w:r w:rsidR="000C5966" w:rsidRPr="000D100F">
        <w:t xml:space="preserve"> </w:t>
      </w:r>
      <w:r w:rsidR="000C5966" w:rsidRPr="000D100F">
        <w:rPr>
          <w:b/>
          <w:u w:val="single"/>
        </w:rPr>
        <w:t>не отвечали</w:t>
      </w:r>
      <w:r w:rsidR="000C5966" w:rsidRPr="000D100F">
        <w:t xml:space="preserve"> нормативным требованиям (абз. 2 стр. 6).</w:t>
      </w:r>
      <w:r w:rsidR="001B4112" w:rsidRPr="000D100F">
        <w:t xml:space="preserve"> Следовательно, 73,3% местных дорог, согласно статистическому обозрению, отвечают нормативным требованиям. Этот показатель выше показателя соответствия нормативным требованиям дорог федерального значения в Волгоградской области, который по состоянию на 01.01.2017 составлял 56,7 процента.</w:t>
      </w:r>
    </w:p>
    <w:p w:rsidR="001B4112" w:rsidRPr="000D100F" w:rsidRDefault="00572729" w:rsidP="0095352B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D100F">
        <w:rPr>
          <w:rFonts w:eastAsia="Calibri"/>
        </w:rPr>
        <w:t>Президент России В.В. Путин в своём Послании к Федеральному Собранию отметил следующее</w:t>
      </w:r>
      <w:r w:rsidR="00D32CC3" w:rsidRPr="000D100F">
        <w:rPr>
          <w:rFonts w:eastAsia="Calibri"/>
        </w:rPr>
        <w:t>:</w:t>
      </w:r>
      <w:r w:rsidRPr="000D100F">
        <w:rPr>
          <w:rFonts w:eastAsia="Calibri"/>
        </w:rPr>
        <w:t xml:space="preserve"> «Ф</w:t>
      </w:r>
      <w:r w:rsidR="001B4112" w:rsidRPr="000D100F">
        <w:rPr>
          <w:rFonts w:eastAsia="Calibri"/>
        </w:rPr>
        <w:t>едеральные трассы действительно в значительной степени приведены в порядок. Чуть хуже дело обстоит с региональными. А местные – это вообще никуда не годится</w:t>
      </w:r>
      <w:r w:rsidRPr="000D100F">
        <w:rPr>
          <w:rFonts w:eastAsia="Calibri"/>
        </w:rPr>
        <w:t>»</w:t>
      </w:r>
      <w:r w:rsidR="001B4112" w:rsidRPr="000D100F">
        <w:rPr>
          <w:rFonts w:eastAsia="Calibri"/>
        </w:rPr>
        <w:t xml:space="preserve">. </w:t>
      </w:r>
      <w:r w:rsidR="00114340">
        <w:rPr>
          <w:rFonts w:eastAsia="Calibri"/>
        </w:rPr>
        <w:t>С</w:t>
      </w:r>
      <w:r w:rsidRPr="000D100F">
        <w:rPr>
          <w:rFonts w:eastAsia="Calibri"/>
        </w:rPr>
        <w:t>огласно вышеприведённым статистическим данным</w:t>
      </w:r>
      <w:r w:rsidR="00E22556">
        <w:rPr>
          <w:rFonts w:eastAsia="Calibri"/>
        </w:rPr>
        <w:t xml:space="preserve"> Волгоградстата</w:t>
      </w:r>
      <w:r w:rsidRPr="000D100F">
        <w:rPr>
          <w:rFonts w:eastAsia="Calibri"/>
        </w:rPr>
        <w:t xml:space="preserve"> в Волгоград</w:t>
      </w:r>
      <w:r w:rsidR="00E22556">
        <w:rPr>
          <w:rFonts w:eastAsia="Calibri"/>
        </w:rPr>
        <w:t>ской области ситуация обратная.</w:t>
      </w:r>
    </w:p>
    <w:p w:rsidR="006D5DBA" w:rsidRPr="000D100F" w:rsidRDefault="00572729" w:rsidP="0095352B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D100F">
        <w:rPr>
          <w:rFonts w:eastAsia="Calibri"/>
        </w:rPr>
        <w:t>П</w:t>
      </w:r>
      <w:r w:rsidR="0095352B" w:rsidRPr="000D100F">
        <w:rPr>
          <w:rFonts w:eastAsia="Calibri"/>
        </w:rPr>
        <w:t>оказатели противоположным образом характеризуют состояние местных дорог, что ставит под сомнение корректность обоих показателей. Д</w:t>
      </w:r>
      <w:r w:rsidR="0095352B" w:rsidRPr="000D100F">
        <w:t>иаметрально противоположные по значениям показатели в разных источниках дезориентируют пользователей информации о состоянии дорожной сети</w:t>
      </w:r>
      <w:r w:rsidR="00E22556">
        <w:t>.</w:t>
      </w:r>
      <w:r w:rsidR="0095352B" w:rsidRPr="000D100F">
        <w:rPr>
          <w:rFonts w:eastAsia="Calibri"/>
        </w:rPr>
        <w:t xml:space="preserve"> Отсутствие корректных статистических и отчётных данных может негативным образом повлиять на принятие управленческих и иных решений при планировании и использовании бюджетных средств на дорожную деятельность, что понизит</w:t>
      </w:r>
      <w:r w:rsidR="00F73156" w:rsidRPr="000D100F">
        <w:rPr>
          <w:rFonts w:eastAsia="Calibri"/>
        </w:rPr>
        <w:t xml:space="preserve"> эффективность их использования, поставит под угрозу выполнение поручения Президента России о наращивании качества и объёмов дорожного строительства, сформулированно</w:t>
      </w:r>
      <w:r w:rsidR="00483733" w:rsidRPr="000D100F">
        <w:rPr>
          <w:rFonts w:eastAsia="Calibri"/>
        </w:rPr>
        <w:t>го</w:t>
      </w:r>
      <w:r w:rsidR="00F73156" w:rsidRPr="000D100F">
        <w:rPr>
          <w:rFonts w:eastAsia="Calibri"/>
        </w:rPr>
        <w:t xml:space="preserve"> в </w:t>
      </w:r>
      <w:r w:rsidR="00E22556">
        <w:rPr>
          <w:rFonts w:eastAsia="Calibri"/>
        </w:rPr>
        <w:t>П</w:t>
      </w:r>
      <w:r w:rsidR="00F73156" w:rsidRPr="000D100F">
        <w:rPr>
          <w:rFonts w:eastAsia="Calibri"/>
        </w:rPr>
        <w:t>ослании.</w:t>
      </w:r>
    </w:p>
    <w:p w:rsidR="006D5DBA" w:rsidRPr="000D100F" w:rsidRDefault="0095352B" w:rsidP="0095352B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D100F">
        <w:rPr>
          <w:rFonts w:eastAsia="Calibri"/>
        </w:rPr>
        <w:t>По результатам мониторинга за 2016 год</w:t>
      </w:r>
      <w:r w:rsidR="00114340">
        <w:rPr>
          <w:rFonts w:eastAsia="Calibri"/>
        </w:rPr>
        <w:t>,</w:t>
      </w:r>
      <w:r w:rsidRPr="000D100F">
        <w:rPr>
          <w:rFonts w:eastAsia="Calibri"/>
        </w:rPr>
        <w:t xml:space="preserve"> по предложению КСП Облкомдортранс </w:t>
      </w:r>
      <w:r w:rsidR="00F73156" w:rsidRPr="000D100F">
        <w:rPr>
          <w:rFonts w:eastAsia="Calibri"/>
        </w:rPr>
        <w:t xml:space="preserve">в 2017 году </w:t>
      </w:r>
      <w:r w:rsidRPr="000D100F">
        <w:rPr>
          <w:rFonts w:eastAsia="Calibri"/>
        </w:rPr>
        <w:t xml:space="preserve">провёл разъяснительную работу с органами местного самоуправления. </w:t>
      </w:r>
      <w:r w:rsidR="00F73156" w:rsidRPr="000D100F">
        <w:rPr>
          <w:rFonts w:eastAsia="Calibri"/>
        </w:rPr>
        <w:t>Результаты этой работы будут ясны после опубликования статданных по местным дорогам за 2017 год.</w:t>
      </w:r>
    </w:p>
    <w:p w:rsidR="0095352B" w:rsidRPr="000D100F" w:rsidRDefault="00D32CC3" w:rsidP="0095352B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D100F">
        <w:rPr>
          <w:rFonts w:eastAsia="Calibri"/>
        </w:rPr>
        <w:t xml:space="preserve">В ходе мониторинга проведены устные консультации </w:t>
      </w:r>
      <w:r w:rsidR="0095352B" w:rsidRPr="000D100F">
        <w:rPr>
          <w:rFonts w:eastAsia="Calibri"/>
        </w:rPr>
        <w:t>с Волгоградстатом</w:t>
      </w:r>
      <w:r w:rsidRPr="000D100F">
        <w:rPr>
          <w:rFonts w:eastAsia="Calibri"/>
        </w:rPr>
        <w:t xml:space="preserve"> о причинах сложившейся ситуации. Причина может заключат</w:t>
      </w:r>
      <w:r w:rsidR="00483733" w:rsidRPr="000D100F">
        <w:rPr>
          <w:rFonts w:eastAsia="Calibri"/>
        </w:rPr>
        <w:t>ь</w:t>
      </w:r>
      <w:r w:rsidRPr="000D100F">
        <w:rPr>
          <w:rFonts w:eastAsia="Calibri"/>
        </w:rPr>
        <w:t xml:space="preserve">ся </w:t>
      </w:r>
      <w:r w:rsidR="00310D5E" w:rsidRPr="000D100F">
        <w:rPr>
          <w:rFonts w:eastAsia="Calibri"/>
        </w:rPr>
        <w:t xml:space="preserve">в разных подходах к сбору информации со стороны Облкомдортранса и Волгоградстата. Последний требует с органов местного самоуправления документального подтверждения изменения отчётных данных – в данном случае документов об </w:t>
      </w:r>
      <w:r w:rsidRPr="000D100F">
        <w:rPr>
          <w:rFonts w:eastAsia="Calibri"/>
        </w:rPr>
        <w:t>оценке технического</w:t>
      </w:r>
      <w:r w:rsidR="00310D5E" w:rsidRPr="000D100F">
        <w:rPr>
          <w:rFonts w:eastAsia="Calibri"/>
        </w:rPr>
        <w:t xml:space="preserve"> состояния дорог, проведённ</w:t>
      </w:r>
      <w:r w:rsidRPr="000D100F">
        <w:rPr>
          <w:rFonts w:eastAsia="Calibri"/>
        </w:rPr>
        <w:t>ой</w:t>
      </w:r>
      <w:r w:rsidR="00310D5E" w:rsidRPr="000D100F">
        <w:rPr>
          <w:rFonts w:eastAsia="Calibri"/>
        </w:rPr>
        <w:t xml:space="preserve"> в установленном порядке. Так</w:t>
      </w:r>
      <w:r w:rsidRPr="000D100F">
        <w:rPr>
          <w:rFonts w:eastAsia="Calibri"/>
        </w:rPr>
        <w:t>ая</w:t>
      </w:r>
      <w:r w:rsidR="00310D5E" w:rsidRPr="000D100F">
        <w:rPr>
          <w:rFonts w:eastAsia="Calibri"/>
        </w:rPr>
        <w:t xml:space="preserve"> </w:t>
      </w:r>
      <w:r w:rsidRPr="000D100F">
        <w:rPr>
          <w:rFonts w:eastAsia="Calibri"/>
        </w:rPr>
        <w:t>оценка</w:t>
      </w:r>
      <w:r w:rsidR="00310D5E" w:rsidRPr="000D100F">
        <w:rPr>
          <w:rFonts w:eastAsia="Calibri"/>
        </w:rPr>
        <w:t xml:space="preserve"> требует финансовых затрат и не проводится по причине отсутствия средств в местных бюджетах. В результате </w:t>
      </w:r>
      <w:r w:rsidR="0074264A" w:rsidRPr="000D100F">
        <w:rPr>
          <w:rFonts w:eastAsia="Calibri"/>
        </w:rPr>
        <w:t xml:space="preserve">данные о состоянии местных дорог в ф. № 3-ДГ (мо) не изменяются и не отражают </w:t>
      </w:r>
      <w:r w:rsidRPr="000D100F">
        <w:rPr>
          <w:rFonts w:eastAsia="Calibri"/>
        </w:rPr>
        <w:t xml:space="preserve">их </w:t>
      </w:r>
      <w:r w:rsidR="0074264A" w:rsidRPr="000D100F">
        <w:rPr>
          <w:rFonts w:eastAsia="Calibri"/>
        </w:rPr>
        <w:t>реальн</w:t>
      </w:r>
      <w:r w:rsidR="00483733" w:rsidRPr="000D100F">
        <w:rPr>
          <w:rFonts w:eastAsia="Calibri"/>
        </w:rPr>
        <w:t>ого</w:t>
      </w:r>
      <w:r w:rsidR="0074264A" w:rsidRPr="000D100F">
        <w:rPr>
          <w:rFonts w:eastAsia="Calibri"/>
        </w:rPr>
        <w:t xml:space="preserve"> состояни</w:t>
      </w:r>
      <w:r w:rsidR="00483733" w:rsidRPr="000D100F">
        <w:rPr>
          <w:rFonts w:eastAsia="Calibri"/>
        </w:rPr>
        <w:t>я</w:t>
      </w:r>
      <w:r w:rsidR="0074264A" w:rsidRPr="000D100F">
        <w:rPr>
          <w:rFonts w:eastAsia="Calibri"/>
        </w:rPr>
        <w:t>.</w:t>
      </w:r>
    </w:p>
    <w:p w:rsidR="005778F6" w:rsidRDefault="005778F6" w:rsidP="005C6E28">
      <w:pPr>
        <w:autoSpaceDE w:val="0"/>
        <w:autoSpaceDN w:val="0"/>
        <w:adjustRightInd w:val="0"/>
        <w:ind w:firstLine="720"/>
        <w:jc w:val="both"/>
        <w:rPr>
          <w:color w:val="FF0000"/>
        </w:rPr>
      </w:pPr>
    </w:p>
    <w:p w:rsidR="008F103D" w:rsidRDefault="00B21153" w:rsidP="00B94F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70FAC">
        <w:rPr>
          <w:b/>
        </w:rPr>
        <w:t xml:space="preserve">Объём дорожного фонда </w:t>
      </w:r>
      <w:r w:rsidR="001D196D" w:rsidRPr="00A70FAC">
        <w:rPr>
          <w:b/>
        </w:rPr>
        <w:t xml:space="preserve">Волгоградской области </w:t>
      </w:r>
    </w:p>
    <w:p w:rsidR="00B21153" w:rsidRPr="00A70FAC" w:rsidRDefault="00B21153" w:rsidP="00B94F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70FAC">
        <w:rPr>
          <w:b/>
        </w:rPr>
        <w:t>и источники его формирования</w:t>
      </w:r>
    </w:p>
    <w:p w:rsidR="007F56D4" w:rsidRDefault="00377085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566A6">
        <w:t xml:space="preserve">Законом Волгоградской области от </w:t>
      </w:r>
      <w:r w:rsidR="00B566A6" w:rsidRPr="00B566A6">
        <w:rPr>
          <w:rFonts w:eastAsiaTheme="minorHAnsi"/>
          <w:lang w:eastAsia="en-US"/>
        </w:rPr>
        <w:t>06</w:t>
      </w:r>
      <w:r w:rsidRPr="00B566A6">
        <w:rPr>
          <w:rFonts w:eastAsiaTheme="minorHAnsi"/>
          <w:lang w:eastAsia="en-US"/>
        </w:rPr>
        <w:t>.12.201</w:t>
      </w:r>
      <w:r w:rsidR="00B566A6" w:rsidRPr="00B566A6">
        <w:rPr>
          <w:rFonts w:eastAsiaTheme="minorHAnsi"/>
          <w:lang w:eastAsia="en-US"/>
        </w:rPr>
        <w:t>6</w:t>
      </w:r>
      <w:r w:rsidRPr="00B566A6">
        <w:rPr>
          <w:rFonts w:eastAsiaTheme="minorHAnsi"/>
          <w:lang w:eastAsia="en-US"/>
        </w:rPr>
        <w:t xml:space="preserve"> № </w:t>
      </w:r>
      <w:r w:rsidR="00B566A6" w:rsidRPr="00B566A6">
        <w:rPr>
          <w:rFonts w:eastAsiaTheme="minorHAnsi"/>
          <w:lang w:eastAsia="en-US"/>
        </w:rPr>
        <w:t>126</w:t>
      </w:r>
      <w:r w:rsidRPr="00B566A6">
        <w:rPr>
          <w:rFonts w:eastAsiaTheme="minorHAnsi"/>
          <w:lang w:eastAsia="en-US"/>
        </w:rPr>
        <w:t>-ОД «Об областном бюджете на 201</w:t>
      </w:r>
      <w:r w:rsidR="00B566A6" w:rsidRPr="00B566A6">
        <w:rPr>
          <w:rFonts w:eastAsiaTheme="minorHAnsi"/>
          <w:lang w:eastAsia="en-US"/>
        </w:rPr>
        <w:t>7</w:t>
      </w:r>
      <w:r w:rsidRPr="00B566A6">
        <w:rPr>
          <w:rFonts w:eastAsiaTheme="minorHAnsi"/>
          <w:lang w:eastAsia="en-US"/>
        </w:rPr>
        <w:t xml:space="preserve"> год и на плановый период 201</w:t>
      </w:r>
      <w:r w:rsidR="00B566A6" w:rsidRPr="00B566A6">
        <w:rPr>
          <w:rFonts w:eastAsiaTheme="minorHAnsi"/>
          <w:lang w:eastAsia="en-US"/>
        </w:rPr>
        <w:t>8</w:t>
      </w:r>
      <w:r w:rsidRPr="00B566A6">
        <w:rPr>
          <w:rFonts w:eastAsiaTheme="minorHAnsi"/>
          <w:lang w:eastAsia="en-US"/>
        </w:rPr>
        <w:t xml:space="preserve"> и 201</w:t>
      </w:r>
      <w:r w:rsidR="00B566A6" w:rsidRPr="00B566A6">
        <w:rPr>
          <w:rFonts w:eastAsiaTheme="minorHAnsi"/>
          <w:lang w:eastAsia="en-US"/>
        </w:rPr>
        <w:t>9</w:t>
      </w:r>
      <w:r w:rsidRPr="00B566A6">
        <w:rPr>
          <w:rFonts w:eastAsiaTheme="minorHAnsi"/>
          <w:lang w:eastAsia="en-US"/>
        </w:rPr>
        <w:t xml:space="preserve"> годов» (далее – Закон об областном бюджете на 201</w:t>
      </w:r>
      <w:r w:rsidR="00B566A6" w:rsidRPr="00B566A6">
        <w:rPr>
          <w:rFonts w:eastAsiaTheme="minorHAnsi"/>
          <w:lang w:eastAsia="en-US"/>
        </w:rPr>
        <w:t>7</w:t>
      </w:r>
      <w:r w:rsidRPr="00B566A6">
        <w:rPr>
          <w:rFonts w:eastAsiaTheme="minorHAnsi"/>
          <w:lang w:eastAsia="en-US"/>
        </w:rPr>
        <w:t xml:space="preserve"> год) </w:t>
      </w:r>
      <w:r w:rsidRPr="004414A2">
        <w:rPr>
          <w:rFonts w:eastAsiaTheme="minorHAnsi"/>
          <w:lang w:eastAsia="en-US"/>
        </w:rPr>
        <w:t>объем бюджетных ассигнований дорожного фонда Волгоградской области утвер</w:t>
      </w:r>
      <w:r w:rsidR="00672780" w:rsidRPr="004414A2">
        <w:rPr>
          <w:rFonts w:eastAsiaTheme="minorHAnsi"/>
          <w:lang w:eastAsia="en-US"/>
        </w:rPr>
        <w:t xml:space="preserve">жден в сумме </w:t>
      </w:r>
      <w:r w:rsidR="00B566A6" w:rsidRPr="004414A2">
        <w:rPr>
          <w:rFonts w:eastAsiaTheme="minorHAnsi"/>
          <w:lang w:eastAsia="en-US"/>
        </w:rPr>
        <w:t>10 134,0</w:t>
      </w:r>
      <w:r w:rsidR="00672780" w:rsidRPr="004414A2">
        <w:rPr>
          <w:rFonts w:eastAsiaTheme="minorHAnsi"/>
          <w:lang w:eastAsia="en-US"/>
        </w:rPr>
        <w:t xml:space="preserve"> млн. руб., в том числе за счет безвозмездных поступлений из федерального бюджета в сумме </w:t>
      </w:r>
      <w:r w:rsidR="00B566A6" w:rsidRPr="004414A2">
        <w:rPr>
          <w:rFonts w:eastAsiaTheme="minorHAnsi"/>
          <w:lang w:eastAsia="en-US"/>
        </w:rPr>
        <w:t>3 </w:t>
      </w:r>
      <w:r w:rsidR="0085522E" w:rsidRPr="004414A2">
        <w:rPr>
          <w:rFonts w:eastAsiaTheme="minorHAnsi"/>
          <w:lang w:eastAsia="en-US"/>
        </w:rPr>
        <w:t>0</w:t>
      </w:r>
      <w:r w:rsidR="00B566A6" w:rsidRPr="004414A2">
        <w:rPr>
          <w:rFonts w:eastAsiaTheme="minorHAnsi"/>
          <w:lang w:eastAsia="en-US"/>
        </w:rPr>
        <w:t>14,1</w:t>
      </w:r>
      <w:r w:rsidR="00672780" w:rsidRPr="004414A2">
        <w:rPr>
          <w:rFonts w:eastAsiaTheme="minorHAnsi"/>
          <w:lang w:eastAsia="en-US"/>
        </w:rPr>
        <w:t xml:space="preserve"> млн. рублей</w:t>
      </w:r>
      <w:r w:rsidR="006C1CC6" w:rsidRPr="004414A2">
        <w:rPr>
          <w:rFonts w:eastAsiaTheme="minorHAnsi"/>
          <w:lang w:eastAsia="en-US"/>
        </w:rPr>
        <w:t>.</w:t>
      </w:r>
      <w:r w:rsidR="008465E9" w:rsidRPr="004414A2">
        <w:rPr>
          <w:rFonts w:eastAsiaTheme="minorHAnsi"/>
          <w:lang w:eastAsia="en-US"/>
        </w:rPr>
        <w:t xml:space="preserve"> Информация</w:t>
      </w:r>
      <w:r w:rsidR="008465E9" w:rsidRPr="00B566A6">
        <w:rPr>
          <w:rFonts w:eastAsiaTheme="minorHAnsi"/>
          <w:lang w:eastAsia="en-US"/>
        </w:rPr>
        <w:t xml:space="preserve"> об источниках формирования дорожного </w:t>
      </w:r>
      <w:r w:rsidR="008465E9" w:rsidRPr="0076703D">
        <w:rPr>
          <w:rFonts w:eastAsiaTheme="minorHAnsi"/>
          <w:lang w:eastAsia="en-US"/>
        </w:rPr>
        <w:t>фонда представлена в таблице.</w:t>
      </w:r>
    </w:p>
    <w:p w:rsidR="000D100F" w:rsidRDefault="000D100F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D100F" w:rsidRDefault="000D100F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D100F" w:rsidRDefault="000D100F" w:rsidP="000D100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0263F" w:rsidRPr="0076703D" w:rsidRDefault="0040263F" w:rsidP="0040263F">
      <w:pPr>
        <w:autoSpaceDE w:val="0"/>
        <w:autoSpaceDN w:val="0"/>
        <w:adjustRightInd w:val="0"/>
        <w:ind w:firstLine="709"/>
        <w:jc w:val="right"/>
        <w:rPr>
          <w:rFonts w:eastAsiaTheme="minorHAnsi"/>
          <w:i/>
          <w:sz w:val="22"/>
          <w:szCs w:val="22"/>
          <w:lang w:eastAsia="en-US"/>
        </w:rPr>
      </w:pPr>
      <w:r w:rsidRPr="0076703D">
        <w:rPr>
          <w:rFonts w:eastAsiaTheme="minorHAnsi"/>
          <w:i/>
          <w:sz w:val="22"/>
          <w:szCs w:val="22"/>
          <w:lang w:eastAsia="en-US"/>
        </w:rPr>
        <w:lastRenderedPageBreak/>
        <w:t>млн. руб.</w:t>
      </w:r>
    </w:p>
    <w:tbl>
      <w:tblPr>
        <w:tblW w:w="9653" w:type="dxa"/>
        <w:tblInd w:w="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59"/>
        <w:gridCol w:w="1134"/>
        <w:gridCol w:w="1006"/>
        <w:gridCol w:w="1008"/>
        <w:gridCol w:w="1246"/>
      </w:tblGrid>
      <w:tr w:rsidR="00951836" w:rsidRPr="0076703D" w:rsidTr="00951836">
        <w:trPr>
          <w:trHeight w:val="20"/>
        </w:trPr>
        <w:tc>
          <w:tcPr>
            <w:tcW w:w="525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jc w:val="center"/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Источник формирования дорожного фонда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951836" w:rsidRPr="0076703D" w:rsidRDefault="00951836" w:rsidP="001519C4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2014" w:type="dxa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4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51836" w:rsidRDefault="00951836" w:rsidP="00951836">
            <w:pPr>
              <w:ind w:left="-84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Изменение</w:t>
            </w:r>
          </w:p>
        </w:tc>
      </w:tr>
      <w:tr w:rsidR="00951836" w:rsidRPr="0076703D" w:rsidTr="00951836">
        <w:trPr>
          <w:trHeight w:val="20"/>
        </w:trPr>
        <w:tc>
          <w:tcPr>
            <w:tcW w:w="525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51836" w:rsidRPr="00951836" w:rsidRDefault="00951836" w:rsidP="001519C4">
            <w:pPr>
              <w:jc w:val="center"/>
              <w:rPr>
                <w:b/>
                <w:bCs/>
                <w:sz w:val="22"/>
                <w:szCs w:val="22"/>
              </w:rPr>
            </w:pPr>
            <w:r w:rsidRPr="00951836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00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76703D">
              <w:rPr>
                <w:b/>
                <w:bCs/>
                <w:sz w:val="22"/>
                <w:szCs w:val="22"/>
              </w:rPr>
              <w:t>лан</w:t>
            </w:r>
          </w:p>
        </w:tc>
        <w:tc>
          <w:tcPr>
            <w:tcW w:w="100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</w:t>
            </w:r>
            <w:r w:rsidRPr="0076703D">
              <w:rPr>
                <w:b/>
                <w:bCs/>
                <w:sz w:val="22"/>
                <w:szCs w:val="22"/>
              </w:rPr>
              <w:t>акт</w:t>
            </w:r>
          </w:p>
        </w:tc>
        <w:tc>
          <w:tcPr>
            <w:tcW w:w="124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951836" w:rsidRDefault="00951836" w:rsidP="00151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2017/2016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51836" w:rsidRPr="00951836" w:rsidRDefault="00951836">
            <w:pPr>
              <w:jc w:val="right"/>
              <w:rPr>
                <w:b/>
                <w:bCs/>
                <w:sz w:val="22"/>
                <w:szCs w:val="22"/>
              </w:rPr>
            </w:pPr>
            <w:r w:rsidRPr="00951836">
              <w:rPr>
                <w:b/>
                <w:bCs/>
                <w:sz w:val="22"/>
                <w:szCs w:val="22"/>
              </w:rPr>
              <w:t>11 652,2</w:t>
            </w:r>
          </w:p>
        </w:tc>
        <w:tc>
          <w:tcPr>
            <w:tcW w:w="100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10 134,0</w:t>
            </w:r>
          </w:p>
        </w:tc>
        <w:tc>
          <w:tcPr>
            <w:tcW w:w="10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11 244,4</w:t>
            </w:r>
          </w:p>
        </w:tc>
        <w:tc>
          <w:tcPr>
            <w:tcW w:w="12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b/>
                <w:bCs/>
                <w:sz w:val="22"/>
                <w:szCs w:val="22"/>
              </w:rPr>
            </w:pPr>
            <w:r w:rsidRPr="00747E47">
              <w:rPr>
                <w:b/>
                <w:bCs/>
                <w:sz w:val="22"/>
                <w:szCs w:val="22"/>
              </w:rPr>
              <w:t>-407,8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За счёт средств областного бюджета, в том числе: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51836" w:rsidRPr="00951836" w:rsidRDefault="00951836">
            <w:pPr>
              <w:jc w:val="right"/>
              <w:rPr>
                <w:b/>
                <w:bCs/>
                <w:sz w:val="22"/>
                <w:szCs w:val="22"/>
              </w:rPr>
            </w:pPr>
            <w:r w:rsidRPr="00951836">
              <w:rPr>
                <w:b/>
                <w:bCs/>
                <w:sz w:val="22"/>
                <w:szCs w:val="22"/>
              </w:rPr>
              <w:t>7 535,3</w:t>
            </w:r>
          </w:p>
        </w:tc>
        <w:tc>
          <w:tcPr>
            <w:tcW w:w="1006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7 119,9</w:t>
            </w:r>
          </w:p>
        </w:tc>
        <w:tc>
          <w:tcPr>
            <w:tcW w:w="100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7 678,5</w:t>
            </w:r>
          </w:p>
        </w:tc>
        <w:tc>
          <w:tcPr>
            <w:tcW w:w="12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b/>
                <w:bCs/>
                <w:sz w:val="22"/>
                <w:szCs w:val="22"/>
              </w:rPr>
            </w:pPr>
            <w:r w:rsidRPr="00747E47">
              <w:rPr>
                <w:b/>
                <w:bCs/>
                <w:sz w:val="22"/>
                <w:szCs w:val="22"/>
              </w:rPr>
              <w:t>143,2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Налоговые доходы областного бюджета, в том числе:</w:t>
            </w:r>
          </w:p>
        </w:tc>
        <w:tc>
          <w:tcPr>
            <w:tcW w:w="1134" w:type="dxa"/>
            <w:vAlign w:val="center"/>
          </w:tcPr>
          <w:p w:rsidR="00951836" w:rsidRPr="00951836" w:rsidRDefault="00951836">
            <w:pPr>
              <w:jc w:val="right"/>
              <w:rPr>
                <w:sz w:val="22"/>
                <w:szCs w:val="22"/>
              </w:rPr>
            </w:pPr>
            <w:r w:rsidRPr="00951836">
              <w:rPr>
                <w:sz w:val="22"/>
                <w:szCs w:val="22"/>
              </w:rPr>
              <w:t>7 535,3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6 121,9</w:t>
            </w:r>
          </w:p>
        </w:tc>
        <w:tc>
          <w:tcPr>
            <w:tcW w:w="1008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6 680,5</w:t>
            </w:r>
          </w:p>
        </w:tc>
        <w:tc>
          <w:tcPr>
            <w:tcW w:w="1246" w:type="dxa"/>
            <w:tcBorders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sz w:val="22"/>
                <w:szCs w:val="22"/>
              </w:rPr>
            </w:pPr>
            <w:r w:rsidRPr="00747E47">
              <w:rPr>
                <w:sz w:val="22"/>
                <w:szCs w:val="22"/>
              </w:rPr>
              <w:t>-854,8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Акцизы на нефтепродукты</w:t>
            </w:r>
          </w:p>
        </w:tc>
        <w:tc>
          <w:tcPr>
            <w:tcW w:w="1134" w:type="dxa"/>
            <w:vAlign w:val="center"/>
          </w:tcPr>
          <w:p w:rsidR="00951836" w:rsidRPr="00951836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951836">
              <w:rPr>
                <w:i/>
                <w:iCs/>
                <w:sz w:val="22"/>
                <w:szCs w:val="22"/>
              </w:rPr>
              <w:t>5 913,5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4 564,1</w:t>
            </w:r>
          </w:p>
        </w:tc>
        <w:tc>
          <w:tcPr>
            <w:tcW w:w="1008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4 906,0</w:t>
            </w:r>
          </w:p>
        </w:tc>
        <w:tc>
          <w:tcPr>
            <w:tcW w:w="1246" w:type="dxa"/>
            <w:tcBorders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747E47">
              <w:rPr>
                <w:i/>
                <w:iCs/>
                <w:sz w:val="22"/>
                <w:szCs w:val="22"/>
              </w:rPr>
              <w:t>-1 007,6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Транспортный налог</w:t>
            </w:r>
          </w:p>
        </w:tc>
        <w:tc>
          <w:tcPr>
            <w:tcW w:w="1134" w:type="dxa"/>
            <w:vAlign w:val="center"/>
          </w:tcPr>
          <w:p w:rsidR="00951836" w:rsidRPr="00951836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951836">
              <w:rPr>
                <w:i/>
                <w:iCs/>
                <w:sz w:val="22"/>
                <w:szCs w:val="22"/>
              </w:rPr>
              <w:t>1 621,8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1 557,8</w:t>
            </w:r>
          </w:p>
        </w:tc>
        <w:tc>
          <w:tcPr>
            <w:tcW w:w="1008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1 774,5</w:t>
            </w:r>
          </w:p>
        </w:tc>
        <w:tc>
          <w:tcPr>
            <w:tcW w:w="1246" w:type="dxa"/>
            <w:tcBorders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747E47">
              <w:rPr>
                <w:i/>
                <w:iCs/>
                <w:sz w:val="22"/>
                <w:szCs w:val="22"/>
              </w:rPr>
              <w:t>152,8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Бюджетные ассигнования, не использованные в предыдущем году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51836" w:rsidRPr="00951836" w:rsidRDefault="00951836">
            <w:pPr>
              <w:jc w:val="right"/>
              <w:rPr>
                <w:sz w:val="22"/>
                <w:szCs w:val="22"/>
              </w:rPr>
            </w:pPr>
            <w:r w:rsidRPr="00951836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847,7</w:t>
            </w:r>
          </w:p>
        </w:tc>
        <w:tc>
          <w:tcPr>
            <w:tcW w:w="1008" w:type="dxa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847,7</w:t>
            </w:r>
          </w:p>
        </w:tc>
        <w:tc>
          <w:tcPr>
            <w:tcW w:w="1246" w:type="dxa"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sz w:val="22"/>
                <w:szCs w:val="22"/>
              </w:rPr>
            </w:pPr>
            <w:r w:rsidRPr="00747E47">
              <w:rPr>
                <w:sz w:val="22"/>
                <w:szCs w:val="22"/>
              </w:rPr>
              <w:t>847,7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8F103D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Положительная разница между фактически поступившим и прогнозировавшимся объемом доходов бюджета Волгоградской области в 2016 году (п.4 ст.179.4 БК РФ)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51836" w:rsidRPr="00951836" w:rsidRDefault="00951836">
            <w:pPr>
              <w:jc w:val="right"/>
              <w:rPr>
                <w:sz w:val="22"/>
                <w:szCs w:val="22"/>
              </w:rPr>
            </w:pPr>
            <w:r w:rsidRPr="00951836">
              <w:rPr>
                <w:sz w:val="22"/>
                <w:szCs w:val="22"/>
              </w:rPr>
              <w:t>0,0</w:t>
            </w:r>
          </w:p>
        </w:tc>
        <w:tc>
          <w:tcPr>
            <w:tcW w:w="100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150,3</w:t>
            </w:r>
          </w:p>
        </w:tc>
        <w:tc>
          <w:tcPr>
            <w:tcW w:w="100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150,3</w:t>
            </w:r>
          </w:p>
        </w:tc>
        <w:tc>
          <w:tcPr>
            <w:tcW w:w="12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sz w:val="22"/>
                <w:szCs w:val="22"/>
              </w:rPr>
            </w:pPr>
            <w:r w:rsidRPr="00747E47">
              <w:rPr>
                <w:sz w:val="22"/>
                <w:szCs w:val="22"/>
              </w:rPr>
              <w:t>150,3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Межбюджетные трансферты из федерального бюджета, в т.ч.: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51836" w:rsidRPr="00951836" w:rsidRDefault="00951836">
            <w:pPr>
              <w:jc w:val="right"/>
              <w:rPr>
                <w:b/>
                <w:bCs/>
                <w:sz w:val="22"/>
                <w:szCs w:val="22"/>
              </w:rPr>
            </w:pPr>
            <w:r w:rsidRPr="00951836">
              <w:rPr>
                <w:b/>
                <w:bCs/>
                <w:sz w:val="22"/>
                <w:szCs w:val="22"/>
              </w:rPr>
              <w:t>4 116,9</w:t>
            </w:r>
          </w:p>
        </w:tc>
        <w:tc>
          <w:tcPr>
            <w:tcW w:w="1006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3 014,1</w:t>
            </w:r>
          </w:p>
        </w:tc>
        <w:tc>
          <w:tcPr>
            <w:tcW w:w="100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b/>
                <w:bCs/>
                <w:sz w:val="22"/>
                <w:szCs w:val="22"/>
              </w:rPr>
            </w:pPr>
            <w:r w:rsidRPr="0076703D">
              <w:rPr>
                <w:b/>
                <w:bCs/>
                <w:sz w:val="22"/>
                <w:szCs w:val="22"/>
              </w:rPr>
              <w:t>3 565,9</w:t>
            </w:r>
          </w:p>
        </w:tc>
        <w:tc>
          <w:tcPr>
            <w:tcW w:w="12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b/>
                <w:bCs/>
                <w:sz w:val="22"/>
                <w:szCs w:val="22"/>
              </w:rPr>
            </w:pPr>
            <w:r w:rsidRPr="00747E47">
              <w:rPr>
                <w:b/>
                <w:bCs/>
                <w:sz w:val="22"/>
                <w:szCs w:val="22"/>
              </w:rPr>
              <w:t>-551,0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Субсидии на реализацию ФЦП «</w:t>
            </w:r>
            <w:r w:rsidRPr="0076703D">
              <w:rPr>
                <w:i/>
                <w:iCs/>
                <w:sz w:val="22"/>
                <w:szCs w:val="22"/>
              </w:rPr>
              <w:t>Развитие транспортной</w:t>
            </w:r>
            <w:r>
              <w:rPr>
                <w:i/>
                <w:iCs/>
                <w:sz w:val="22"/>
                <w:szCs w:val="22"/>
              </w:rPr>
              <w:t xml:space="preserve"> системы России (2010-2020 г.)»</w:t>
            </w:r>
          </w:p>
        </w:tc>
        <w:tc>
          <w:tcPr>
            <w:tcW w:w="1134" w:type="dxa"/>
            <w:vMerge w:val="restart"/>
            <w:vAlign w:val="center"/>
          </w:tcPr>
          <w:p w:rsidR="00951836" w:rsidRPr="00951836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951836">
              <w:rPr>
                <w:i/>
                <w:iCs/>
                <w:sz w:val="22"/>
                <w:szCs w:val="22"/>
              </w:rPr>
              <w:t>942,9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1 197,3</w:t>
            </w:r>
          </w:p>
        </w:tc>
        <w:tc>
          <w:tcPr>
            <w:tcW w:w="1008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842,4</w:t>
            </w:r>
          </w:p>
        </w:tc>
        <w:tc>
          <w:tcPr>
            <w:tcW w:w="1246" w:type="dxa"/>
            <w:vMerge w:val="restart"/>
            <w:tcBorders>
              <w:right w:val="double" w:sz="4" w:space="0" w:color="auto"/>
            </w:tcBorders>
            <w:vAlign w:val="center"/>
          </w:tcPr>
          <w:p w:rsidR="00951836" w:rsidRPr="00747E47" w:rsidRDefault="00951836" w:rsidP="007737BD">
            <w:pPr>
              <w:jc w:val="right"/>
              <w:rPr>
                <w:i/>
                <w:iCs/>
                <w:sz w:val="22"/>
                <w:szCs w:val="22"/>
              </w:rPr>
            </w:pPr>
            <w:r w:rsidRPr="00747E47">
              <w:rPr>
                <w:i/>
                <w:iCs/>
                <w:sz w:val="22"/>
                <w:szCs w:val="22"/>
              </w:rPr>
              <w:t>157,1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Субсидии на реализацию ФЦП «</w:t>
            </w:r>
            <w:r w:rsidRPr="0076703D">
              <w:rPr>
                <w:i/>
                <w:iCs/>
                <w:sz w:val="22"/>
                <w:szCs w:val="22"/>
              </w:rPr>
              <w:t>Устойчивое развитие сел</w:t>
            </w:r>
            <w:r>
              <w:rPr>
                <w:i/>
                <w:iCs/>
                <w:sz w:val="22"/>
                <w:szCs w:val="22"/>
              </w:rPr>
              <w:t>ьских территорий (2014-2020 г.)»</w:t>
            </w:r>
          </w:p>
        </w:tc>
        <w:tc>
          <w:tcPr>
            <w:tcW w:w="1134" w:type="dxa"/>
            <w:vMerge/>
            <w:vAlign w:val="center"/>
          </w:tcPr>
          <w:p w:rsidR="00951836" w:rsidRPr="00951836" w:rsidRDefault="00951836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268,8</w:t>
            </w:r>
          </w:p>
        </w:tc>
        <w:tc>
          <w:tcPr>
            <w:tcW w:w="1008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257,6</w:t>
            </w:r>
          </w:p>
        </w:tc>
        <w:tc>
          <w:tcPr>
            <w:tcW w:w="1246" w:type="dxa"/>
            <w:vMerge/>
            <w:tcBorders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5B5E55">
            <w:pPr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134" w:type="dxa"/>
            <w:vAlign w:val="center"/>
          </w:tcPr>
          <w:p w:rsidR="00951836" w:rsidRPr="00951836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951836">
              <w:rPr>
                <w:i/>
                <w:iCs/>
                <w:sz w:val="22"/>
                <w:szCs w:val="22"/>
              </w:rPr>
              <w:t>1 204,2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1 548,0</w:t>
            </w:r>
          </w:p>
        </w:tc>
        <w:tc>
          <w:tcPr>
            <w:tcW w:w="1008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2 049,9</w:t>
            </w:r>
          </w:p>
        </w:tc>
        <w:tc>
          <w:tcPr>
            <w:tcW w:w="1246" w:type="dxa"/>
            <w:tcBorders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747E47">
              <w:rPr>
                <w:i/>
                <w:iCs/>
                <w:sz w:val="22"/>
                <w:szCs w:val="22"/>
              </w:rPr>
              <w:t>845,7</w:t>
            </w:r>
          </w:p>
        </w:tc>
      </w:tr>
      <w:tr w:rsidR="00951836" w:rsidRPr="0076703D" w:rsidTr="007737BD">
        <w:trPr>
          <w:trHeight w:val="20"/>
        </w:trPr>
        <w:tc>
          <w:tcPr>
            <w:tcW w:w="525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51836" w:rsidRPr="0076703D" w:rsidRDefault="00951836" w:rsidP="005B5E55">
            <w:pPr>
              <w:ind w:right="-108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Доходы от возврата остатков межбюджетных трансфертов прошлых лет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51836" w:rsidRPr="00951836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951836">
              <w:rPr>
                <w:i/>
                <w:iCs/>
                <w:sz w:val="22"/>
                <w:szCs w:val="22"/>
              </w:rPr>
              <w:t>1 969,8</w:t>
            </w:r>
          </w:p>
        </w:tc>
        <w:tc>
          <w:tcPr>
            <w:tcW w:w="100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00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1836" w:rsidRPr="0076703D" w:rsidRDefault="00951836" w:rsidP="001519C4">
            <w:pPr>
              <w:jc w:val="right"/>
              <w:rPr>
                <w:i/>
                <w:iCs/>
                <w:sz w:val="22"/>
                <w:szCs w:val="22"/>
              </w:rPr>
            </w:pPr>
            <w:r w:rsidRPr="0076703D">
              <w:rPr>
                <w:i/>
                <w:iCs/>
                <w:sz w:val="22"/>
                <w:szCs w:val="22"/>
              </w:rPr>
              <w:t>416,0</w:t>
            </w:r>
          </w:p>
        </w:tc>
        <w:tc>
          <w:tcPr>
            <w:tcW w:w="12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51836" w:rsidRPr="00747E47" w:rsidRDefault="00951836">
            <w:pPr>
              <w:jc w:val="right"/>
              <w:rPr>
                <w:i/>
                <w:iCs/>
                <w:sz w:val="22"/>
                <w:szCs w:val="22"/>
              </w:rPr>
            </w:pPr>
            <w:r w:rsidRPr="00747E47">
              <w:rPr>
                <w:i/>
                <w:iCs/>
                <w:sz w:val="22"/>
                <w:szCs w:val="22"/>
              </w:rPr>
              <w:t>-1 553,8</w:t>
            </w:r>
          </w:p>
        </w:tc>
      </w:tr>
    </w:tbl>
    <w:p w:rsidR="005B5E55" w:rsidRPr="00DB07FD" w:rsidRDefault="005B5E55" w:rsidP="005B5E55">
      <w:pPr>
        <w:autoSpaceDE w:val="0"/>
        <w:autoSpaceDN w:val="0"/>
        <w:adjustRightInd w:val="0"/>
        <w:ind w:firstLine="709"/>
        <w:jc w:val="both"/>
      </w:pPr>
    </w:p>
    <w:p w:rsidR="00377085" w:rsidRPr="00DB07FD" w:rsidRDefault="00550E3B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B07FD">
        <w:rPr>
          <w:rFonts w:eastAsiaTheme="minorHAnsi"/>
          <w:lang w:eastAsia="en-US"/>
        </w:rPr>
        <w:t>Фактически в 201</w:t>
      </w:r>
      <w:r w:rsidR="00B566A6" w:rsidRPr="00DB07FD">
        <w:rPr>
          <w:rFonts w:eastAsiaTheme="minorHAnsi"/>
          <w:lang w:eastAsia="en-US"/>
        </w:rPr>
        <w:t>7</w:t>
      </w:r>
      <w:r w:rsidRPr="00DB07FD">
        <w:rPr>
          <w:rFonts w:eastAsiaTheme="minorHAnsi"/>
          <w:lang w:eastAsia="en-US"/>
        </w:rPr>
        <w:t xml:space="preserve"> го</w:t>
      </w:r>
      <w:r w:rsidR="00213A84" w:rsidRPr="00DB07FD">
        <w:rPr>
          <w:rFonts w:eastAsiaTheme="minorHAnsi"/>
          <w:lang w:eastAsia="en-US"/>
        </w:rPr>
        <w:t xml:space="preserve">ду </w:t>
      </w:r>
      <w:r w:rsidR="00861ACF" w:rsidRPr="00DB07FD">
        <w:rPr>
          <w:rFonts w:eastAsiaTheme="minorHAnsi"/>
          <w:lang w:eastAsia="en-US"/>
        </w:rPr>
        <w:t>объем дорожного фонда Волгоградской области сложился в сумме</w:t>
      </w:r>
      <w:r w:rsidR="00213A84" w:rsidRPr="00DB07FD">
        <w:rPr>
          <w:rFonts w:eastAsiaTheme="minorHAnsi"/>
          <w:lang w:eastAsia="en-US"/>
        </w:rPr>
        <w:t xml:space="preserve"> </w:t>
      </w:r>
      <w:r w:rsidR="00861ACF" w:rsidRPr="00DB07FD">
        <w:rPr>
          <w:rFonts w:eastAsiaTheme="minorHAnsi"/>
          <w:lang w:eastAsia="en-US"/>
        </w:rPr>
        <w:t>11 244,4</w:t>
      </w:r>
      <w:r w:rsidR="00213A84" w:rsidRPr="00DB07FD">
        <w:rPr>
          <w:rFonts w:eastAsiaTheme="minorHAnsi"/>
          <w:lang w:eastAsia="en-US"/>
        </w:rPr>
        <w:t xml:space="preserve"> млн. руб., </w:t>
      </w:r>
      <w:r w:rsidR="00937DF4" w:rsidRPr="00DB07FD">
        <w:rPr>
          <w:rFonts w:eastAsiaTheme="minorHAnsi"/>
          <w:lang w:eastAsia="en-US"/>
        </w:rPr>
        <w:t>в том числе</w:t>
      </w:r>
      <w:r w:rsidR="00213A84" w:rsidRPr="00DB07FD">
        <w:rPr>
          <w:rFonts w:eastAsiaTheme="minorHAnsi"/>
          <w:lang w:eastAsia="en-US"/>
        </w:rPr>
        <w:t xml:space="preserve"> </w:t>
      </w:r>
      <w:r w:rsidR="00861ACF" w:rsidRPr="00DB07FD">
        <w:rPr>
          <w:rFonts w:eastAsiaTheme="minorHAnsi"/>
          <w:lang w:eastAsia="en-US"/>
        </w:rPr>
        <w:t>3 565,9</w:t>
      </w:r>
      <w:r w:rsidR="00213A84" w:rsidRPr="00DB07FD">
        <w:rPr>
          <w:rFonts w:eastAsiaTheme="minorHAnsi"/>
          <w:lang w:eastAsia="en-US"/>
        </w:rPr>
        <w:t xml:space="preserve"> млн. руб.</w:t>
      </w:r>
      <w:r w:rsidR="00581DC7" w:rsidRPr="00DB07FD">
        <w:rPr>
          <w:rFonts w:eastAsiaTheme="minorHAnsi"/>
          <w:lang w:eastAsia="en-US"/>
        </w:rPr>
        <w:t xml:space="preserve"> </w:t>
      </w:r>
      <w:r w:rsidR="00937DF4" w:rsidRPr="00DB07FD">
        <w:rPr>
          <w:rFonts w:eastAsiaTheme="minorHAnsi"/>
          <w:lang w:eastAsia="en-US"/>
        </w:rPr>
        <w:t>за счёт средств</w:t>
      </w:r>
      <w:r w:rsidR="00213A84" w:rsidRPr="00DB07FD">
        <w:rPr>
          <w:rFonts w:eastAsiaTheme="minorHAnsi"/>
          <w:lang w:eastAsia="en-US"/>
        </w:rPr>
        <w:t xml:space="preserve"> федерального бюджета</w:t>
      </w:r>
      <w:r w:rsidR="00937DF4" w:rsidRPr="00DB07FD">
        <w:rPr>
          <w:rFonts w:eastAsiaTheme="minorHAnsi"/>
          <w:lang w:eastAsia="en-US"/>
        </w:rPr>
        <w:t xml:space="preserve">, предоставленных </w:t>
      </w:r>
      <w:r w:rsidR="00581DC7" w:rsidRPr="00DB07FD">
        <w:rPr>
          <w:rFonts w:eastAsiaTheme="minorHAnsi"/>
          <w:lang w:eastAsia="en-US"/>
        </w:rPr>
        <w:t>в форме субсидий и иных межбюджетных трансфертов</w:t>
      </w:r>
      <w:r w:rsidR="00861ACF" w:rsidRPr="00DB07FD">
        <w:rPr>
          <w:rFonts w:eastAsiaTheme="minorHAnsi"/>
          <w:lang w:eastAsia="en-US"/>
        </w:rPr>
        <w:t xml:space="preserve"> с учетом возврата остатков прошлых лет</w:t>
      </w:r>
      <w:r w:rsidR="00E215F5" w:rsidRPr="00DB07FD">
        <w:rPr>
          <w:rFonts w:eastAsiaTheme="minorHAnsi"/>
          <w:lang w:eastAsia="en-US"/>
        </w:rPr>
        <w:t>.</w:t>
      </w:r>
    </w:p>
    <w:p w:rsidR="009E2594" w:rsidRPr="00DB07FD" w:rsidRDefault="009E2594" w:rsidP="001D196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B07FD">
        <w:rPr>
          <w:rFonts w:eastAsia="Calibri"/>
        </w:rPr>
        <w:t>По сравнению с 2016 годом объем дорожного фонда в 2017 году сформирован с уменьшением на 407,8 млн. руб., или на 3,5 процента.</w:t>
      </w:r>
      <w:r w:rsidR="00882ED2" w:rsidRPr="00DB07FD">
        <w:rPr>
          <w:rFonts w:eastAsia="Calibri"/>
        </w:rPr>
        <w:t xml:space="preserve"> </w:t>
      </w:r>
      <w:r w:rsidR="00937DF4" w:rsidRPr="00DB07FD">
        <w:rPr>
          <w:rFonts w:eastAsia="Calibri"/>
        </w:rPr>
        <w:t>Сокращение связано,</w:t>
      </w:r>
      <w:r w:rsidR="00882ED2" w:rsidRPr="00DB07FD">
        <w:rPr>
          <w:rFonts w:eastAsia="Calibri"/>
        </w:rPr>
        <w:t xml:space="preserve"> в основном</w:t>
      </w:r>
      <w:r w:rsidR="00937DF4" w:rsidRPr="00DB07FD">
        <w:rPr>
          <w:rFonts w:eastAsia="Calibri"/>
        </w:rPr>
        <w:t>,</w:t>
      </w:r>
      <w:r w:rsidR="00882ED2" w:rsidRPr="00DB07FD">
        <w:rPr>
          <w:rFonts w:eastAsia="Calibri"/>
        </w:rPr>
        <w:t xml:space="preserve"> </w:t>
      </w:r>
      <w:r w:rsidR="00937DF4" w:rsidRPr="00DB07FD">
        <w:rPr>
          <w:rFonts w:eastAsia="Calibri"/>
        </w:rPr>
        <w:t>со</w:t>
      </w:r>
      <w:r w:rsidR="00882ED2" w:rsidRPr="00DB07FD">
        <w:rPr>
          <w:rFonts w:eastAsia="Calibri"/>
        </w:rPr>
        <w:t xml:space="preserve"> снижени</w:t>
      </w:r>
      <w:r w:rsidR="00937DF4" w:rsidRPr="00DB07FD">
        <w:rPr>
          <w:rFonts w:eastAsia="Calibri"/>
        </w:rPr>
        <w:t>ем</w:t>
      </w:r>
      <w:r w:rsidR="00882ED2" w:rsidRPr="00DB07FD">
        <w:rPr>
          <w:rFonts w:eastAsia="Calibri"/>
        </w:rPr>
        <w:t xml:space="preserve"> поступлений по акцизам на нефтепродукты </w:t>
      </w:r>
      <w:r w:rsidR="00937DF4" w:rsidRPr="00DB07FD">
        <w:rPr>
          <w:rFonts w:eastAsia="Calibri"/>
        </w:rPr>
        <w:t>с 5 913,3 до 4 906,0 млн. руб., или на</w:t>
      </w:r>
      <w:r w:rsidR="00DB07FD" w:rsidRPr="00DB07FD">
        <w:rPr>
          <w:rFonts w:eastAsia="Calibri"/>
        </w:rPr>
        <w:t xml:space="preserve"> </w:t>
      </w:r>
      <w:r w:rsidR="00882ED2" w:rsidRPr="00DB07FD">
        <w:rPr>
          <w:rFonts w:eastAsia="Calibri"/>
        </w:rPr>
        <w:t>1 007,6 млн. руб.</w:t>
      </w:r>
      <w:r w:rsidR="00DB07FD" w:rsidRPr="00DB07FD">
        <w:rPr>
          <w:rFonts w:eastAsia="Calibri"/>
        </w:rPr>
        <w:t xml:space="preserve"> (</w:t>
      </w:r>
      <w:r w:rsidR="00882ED2" w:rsidRPr="00DB07FD">
        <w:rPr>
          <w:rFonts w:eastAsia="Calibri"/>
        </w:rPr>
        <w:t>17,0%).</w:t>
      </w:r>
    </w:p>
    <w:p w:rsidR="0043620D" w:rsidRPr="00DB07FD" w:rsidRDefault="0043620D" w:rsidP="001D196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B07FD">
        <w:rPr>
          <w:rFonts w:eastAsia="Calibri"/>
        </w:rPr>
        <w:t>Объём межбюджетных трансфертов из федерального бюджета бюджету Волгоградской области, учитываемых при формировании дорожного фонда</w:t>
      </w:r>
      <w:r w:rsidR="005A53B7" w:rsidRPr="00DB07FD">
        <w:rPr>
          <w:rFonts w:eastAsia="Calibri"/>
        </w:rPr>
        <w:t>, в 201</w:t>
      </w:r>
      <w:r w:rsidR="008772C1" w:rsidRPr="00DB07FD">
        <w:rPr>
          <w:rFonts w:eastAsia="Calibri"/>
        </w:rPr>
        <w:t>7</w:t>
      </w:r>
      <w:r w:rsidR="005A53B7" w:rsidRPr="00DB07FD">
        <w:rPr>
          <w:rFonts w:eastAsia="Calibri"/>
        </w:rPr>
        <w:t xml:space="preserve"> году составил </w:t>
      </w:r>
      <w:r w:rsidR="00861ACF" w:rsidRPr="00DB07FD">
        <w:rPr>
          <w:rFonts w:eastAsia="Calibri"/>
        </w:rPr>
        <w:t>3 565,9</w:t>
      </w:r>
      <w:r w:rsidR="005A53B7" w:rsidRPr="00DB07FD">
        <w:rPr>
          <w:rFonts w:eastAsia="Calibri"/>
        </w:rPr>
        <w:t xml:space="preserve"> млн. руб.</w:t>
      </w:r>
      <w:r w:rsidR="00EB7FFE" w:rsidRPr="00DB07FD">
        <w:rPr>
          <w:rFonts w:eastAsia="Calibri"/>
        </w:rPr>
        <w:t>,</w:t>
      </w:r>
      <w:r w:rsidR="005A53B7" w:rsidRPr="00DB07FD">
        <w:rPr>
          <w:rFonts w:eastAsia="Calibri"/>
        </w:rPr>
        <w:t xml:space="preserve"> котор</w:t>
      </w:r>
      <w:r w:rsidR="00D527E1" w:rsidRPr="00DB07FD">
        <w:rPr>
          <w:rFonts w:eastAsia="Calibri"/>
        </w:rPr>
        <w:t>ые использованы в полном объёме.</w:t>
      </w:r>
    </w:p>
    <w:p w:rsidR="005A53B7" w:rsidRPr="0076703D" w:rsidRDefault="005A53B7" w:rsidP="001D196D">
      <w:pPr>
        <w:autoSpaceDE w:val="0"/>
        <w:autoSpaceDN w:val="0"/>
        <w:adjustRightInd w:val="0"/>
        <w:ind w:firstLine="709"/>
        <w:jc w:val="both"/>
      </w:pPr>
      <w:r w:rsidRPr="00DB07FD">
        <w:t>Сведения об использовании межбюджетных трансфертов из федерального бюджета</w:t>
      </w:r>
      <w:r w:rsidRPr="0065750A">
        <w:t xml:space="preserve"> согласно данным бюджетной </w:t>
      </w:r>
      <w:r w:rsidRPr="0076703D">
        <w:t>отчетности Облкомдортранса (ф. 0503324) приведены в следующей таблице.</w:t>
      </w:r>
    </w:p>
    <w:p w:rsidR="005A53B7" w:rsidRPr="0076703D" w:rsidRDefault="005A53B7" w:rsidP="005A53B7">
      <w:pPr>
        <w:autoSpaceDE w:val="0"/>
        <w:autoSpaceDN w:val="0"/>
        <w:adjustRightInd w:val="0"/>
        <w:ind w:left="6371" w:firstLine="1"/>
        <w:jc w:val="center"/>
        <w:rPr>
          <w:i/>
          <w:sz w:val="22"/>
          <w:szCs w:val="22"/>
        </w:rPr>
      </w:pPr>
      <w:r w:rsidRPr="0076703D">
        <w:rPr>
          <w:i/>
          <w:sz w:val="22"/>
          <w:szCs w:val="22"/>
        </w:rPr>
        <w:t xml:space="preserve">           млн. руб.</w:t>
      </w:r>
    </w:p>
    <w:tbl>
      <w:tblPr>
        <w:tblW w:w="775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18"/>
        <w:gridCol w:w="940"/>
      </w:tblGrid>
      <w:tr w:rsidR="002E10C7" w:rsidRPr="0076703D" w:rsidTr="009B6E49">
        <w:trPr>
          <w:trHeight w:val="20"/>
          <w:jc w:val="center"/>
        </w:trPr>
        <w:tc>
          <w:tcPr>
            <w:tcW w:w="68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jc w:val="center"/>
              <w:rPr>
                <w:b/>
                <w:sz w:val="22"/>
                <w:szCs w:val="22"/>
              </w:rPr>
            </w:pPr>
            <w:r w:rsidRPr="0076703D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jc w:val="center"/>
              <w:rPr>
                <w:b/>
                <w:sz w:val="22"/>
                <w:szCs w:val="22"/>
              </w:rPr>
            </w:pPr>
            <w:r w:rsidRPr="0076703D">
              <w:rPr>
                <w:b/>
                <w:sz w:val="22"/>
                <w:szCs w:val="22"/>
              </w:rPr>
              <w:t>Сумма</w:t>
            </w:r>
          </w:p>
        </w:tc>
      </w:tr>
      <w:tr w:rsidR="002E10C7" w:rsidRPr="0076703D" w:rsidTr="009B6E49">
        <w:trPr>
          <w:trHeight w:val="20"/>
          <w:jc w:val="center"/>
        </w:trPr>
        <w:tc>
          <w:tcPr>
            <w:tcW w:w="681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Остаток на 01.01.201</w:t>
            </w:r>
            <w:r w:rsidR="0065750A" w:rsidRPr="0076703D">
              <w:rPr>
                <w:sz w:val="22"/>
                <w:szCs w:val="22"/>
              </w:rPr>
              <w:t>7</w:t>
            </w:r>
          </w:p>
        </w:tc>
        <w:tc>
          <w:tcPr>
            <w:tcW w:w="94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65750A" w:rsidP="009B6E49">
            <w:pPr>
              <w:jc w:val="right"/>
              <w:rPr>
                <w:sz w:val="22"/>
                <w:szCs w:val="22"/>
              </w:rPr>
            </w:pPr>
            <w:r w:rsidRPr="0076703D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2E10C7" w:rsidRPr="0076703D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Поступило из федерального бюджета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65750A" w:rsidP="00750631">
            <w:pPr>
              <w:jc w:val="right"/>
              <w:rPr>
                <w:sz w:val="22"/>
                <w:szCs w:val="22"/>
              </w:rPr>
            </w:pPr>
            <w:r w:rsidRPr="0076703D">
              <w:rPr>
                <w:bCs/>
                <w:iCs/>
                <w:sz w:val="22"/>
                <w:szCs w:val="22"/>
              </w:rPr>
              <w:t>3 </w:t>
            </w:r>
            <w:r w:rsidR="00750631" w:rsidRPr="0076703D">
              <w:rPr>
                <w:bCs/>
                <w:iCs/>
                <w:sz w:val="22"/>
                <w:szCs w:val="22"/>
              </w:rPr>
              <w:t>1</w:t>
            </w:r>
            <w:r w:rsidRPr="0076703D">
              <w:rPr>
                <w:bCs/>
                <w:iCs/>
                <w:sz w:val="22"/>
                <w:szCs w:val="22"/>
              </w:rPr>
              <w:t>49,9</w:t>
            </w:r>
          </w:p>
        </w:tc>
      </w:tr>
      <w:tr w:rsidR="002E10C7" w:rsidRPr="0076703D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Восстановлено остатков прошлых лет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65750A" w:rsidP="009B6E49">
            <w:pPr>
              <w:jc w:val="right"/>
              <w:rPr>
                <w:sz w:val="22"/>
                <w:szCs w:val="22"/>
              </w:rPr>
            </w:pPr>
            <w:r w:rsidRPr="0076703D">
              <w:rPr>
                <w:bCs/>
                <w:iCs/>
                <w:sz w:val="22"/>
                <w:szCs w:val="22"/>
              </w:rPr>
              <w:t>416,0</w:t>
            </w:r>
          </w:p>
        </w:tc>
      </w:tr>
      <w:tr w:rsidR="002E10C7" w:rsidRPr="0076703D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Возврат неиспользованных остатков в федеральный бюджет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65750A" w:rsidP="009B6E49">
            <w:pPr>
              <w:jc w:val="right"/>
              <w:rPr>
                <w:sz w:val="22"/>
                <w:szCs w:val="22"/>
              </w:rPr>
            </w:pPr>
            <w:r w:rsidRPr="0076703D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2E10C7" w:rsidRPr="0076703D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Кассовый расход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65750A" w:rsidP="009B6E49">
            <w:pPr>
              <w:jc w:val="right"/>
              <w:rPr>
                <w:sz w:val="22"/>
                <w:szCs w:val="22"/>
              </w:rPr>
            </w:pPr>
            <w:r w:rsidRPr="0076703D">
              <w:rPr>
                <w:bCs/>
                <w:iCs/>
                <w:sz w:val="22"/>
                <w:szCs w:val="22"/>
              </w:rPr>
              <w:t>3 565,9</w:t>
            </w:r>
          </w:p>
        </w:tc>
      </w:tr>
      <w:tr w:rsidR="002E10C7" w:rsidRPr="0076703D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65750A" w:rsidP="009B6E49">
            <w:pPr>
              <w:rPr>
                <w:sz w:val="22"/>
                <w:szCs w:val="22"/>
              </w:rPr>
            </w:pPr>
            <w:r w:rsidRPr="0076703D">
              <w:rPr>
                <w:sz w:val="22"/>
                <w:szCs w:val="22"/>
              </w:rPr>
              <w:t>Остаток на 01.01.2018</w:t>
            </w:r>
          </w:p>
        </w:tc>
        <w:tc>
          <w:tcPr>
            <w:tcW w:w="94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76703D" w:rsidRDefault="005A53B7" w:rsidP="009B6E49">
            <w:pPr>
              <w:jc w:val="right"/>
              <w:rPr>
                <w:sz w:val="22"/>
                <w:szCs w:val="22"/>
              </w:rPr>
            </w:pPr>
            <w:r w:rsidRPr="0076703D">
              <w:rPr>
                <w:bCs/>
                <w:iCs/>
                <w:sz w:val="22"/>
                <w:szCs w:val="22"/>
              </w:rPr>
              <w:t>0,0</w:t>
            </w:r>
          </w:p>
        </w:tc>
      </w:tr>
    </w:tbl>
    <w:p w:rsidR="00B566A6" w:rsidRPr="0076703D" w:rsidRDefault="00B566A6" w:rsidP="00AC20D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B2FE2" w:rsidRPr="00213458" w:rsidRDefault="00BB2FE2" w:rsidP="00AC20D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6703D">
        <w:rPr>
          <w:rFonts w:eastAsia="Calibri"/>
        </w:rPr>
        <w:t xml:space="preserve">В соответствии с абз. 10 п. 4 ст. </w:t>
      </w:r>
      <w:r w:rsidRPr="0076703D">
        <w:t xml:space="preserve">179.4 БК РФ </w:t>
      </w:r>
      <w:r w:rsidRPr="0076703D">
        <w:rPr>
          <w:rFonts w:eastAsia="Calibri"/>
        </w:rPr>
        <w:t>объем бюджетных ассигнований дорожного фонда субъекта Российской Федерации</w:t>
      </w:r>
      <w:r w:rsidRPr="00213458">
        <w:rPr>
          <w:rFonts w:eastAsia="Calibri"/>
        </w:rPr>
        <w:t xml:space="preserve"> подлежит увеличению в текущем финансовом году и (или) очередном финансовом году на положительную разницу между фактически поступившим и прогнозировавшимся объемом доходов бюджета субъекта Российской Федерации, учитываемых при формировании дорожного фонда субъекта Российской Федерации.</w:t>
      </w:r>
    </w:p>
    <w:p w:rsidR="00750631" w:rsidRPr="00DB07FD" w:rsidRDefault="00EC5680" w:rsidP="00AC20DF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lastRenderedPageBreak/>
        <w:t>П</w:t>
      </w:r>
      <w:r w:rsidRPr="00213458">
        <w:rPr>
          <w:rFonts w:eastAsia="Calibri"/>
        </w:rPr>
        <w:t>оложительн</w:t>
      </w:r>
      <w:r>
        <w:rPr>
          <w:rFonts w:eastAsia="Calibri"/>
        </w:rPr>
        <w:t>ая</w:t>
      </w:r>
      <w:r w:rsidRPr="00213458">
        <w:rPr>
          <w:rFonts w:eastAsia="Calibri"/>
        </w:rPr>
        <w:t xml:space="preserve"> разниц</w:t>
      </w:r>
      <w:r>
        <w:rPr>
          <w:rFonts w:eastAsia="Calibri"/>
        </w:rPr>
        <w:t>а</w:t>
      </w:r>
      <w:r w:rsidRPr="00213458">
        <w:rPr>
          <w:rFonts w:eastAsia="Calibri"/>
        </w:rPr>
        <w:t xml:space="preserve"> между фактически поступившим и прогнозировавшимся объемом доходов</w:t>
      </w:r>
      <w:r>
        <w:rPr>
          <w:rFonts w:eastAsia="Calibri"/>
        </w:rPr>
        <w:t xml:space="preserve"> областного бюджета</w:t>
      </w:r>
      <w:r w:rsidRPr="00213458">
        <w:rPr>
          <w:rFonts w:eastAsia="Calibri"/>
        </w:rPr>
        <w:t>, учитываемых при формировании дорожного фонда</w:t>
      </w:r>
      <w:r>
        <w:rPr>
          <w:rFonts w:eastAsia="Calibri"/>
        </w:rPr>
        <w:t xml:space="preserve"> Волгоградской области в 2016 году</w:t>
      </w:r>
      <w:r w:rsidR="00E22556">
        <w:rPr>
          <w:rFonts w:eastAsia="Calibri"/>
        </w:rPr>
        <w:t>,</w:t>
      </w:r>
      <w:r>
        <w:rPr>
          <w:rFonts w:eastAsia="Calibri"/>
        </w:rPr>
        <w:t xml:space="preserve"> сложилась в сумме 1 950,3 </w:t>
      </w:r>
      <w:r w:rsidRPr="0076703D">
        <w:rPr>
          <w:rFonts w:eastAsia="Calibri"/>
        </w:rPr>
        <w:t xml:space="preserve">млн. рублей. </w:t>
      </w:r>
      <w:r w:rsidR="00BB2FE2" w:rsidRPr="0076703D">
        <w:rPr>
          <w:rFonts w:eastAsia="Calibri"/>
        </w:rPr>
        <w:t>В 201</w:t>
      </w:r>
      <w:r w:rsidR="00750631" w:rsidRPr="0076703D">
        <w:rPr>
          <w:rFonts w:eastAsia="Calibri"/>
        </w:rPr>
        <w:t>7</w:t>
      </w:r>
      <w:r w:rsidR="00BB2FE2" w:rsidRPr="0076703D">
        <w:rPr>
          <w:rFonts w:eastAsia="Calibri"/>
        </w:rPr>
        <w:t xml:space="preserve"> году </w:t>
      </w:r>
      <w:r w:rsidR="00AC20DF" w:rsidRPr="00DB07FD">
        <w:rPr>
          <w:rFonts w:eastAsia="Calibri"/>
        </w:rPr>
        <w:t>ассигновани</w:t>
      </w:r>
      <w:r w:rsidR="00FD0593" w:rsidRPr="00DB07FD">
        <w:rPr>
          <w:rFonts w:eastAsia="Calibri"/>
        </w:rPr>
        <w:t>я</w:t>
      </w:r>
      <w:r w:rsidR="00AC20DF" w:rsidRPr="00DB07FD">
        <w:rPr>
          <w:rFonts w:eastAsia="Calibri"/>
        </w:rPr>
        <w:t xml:space="preserve"> дорожного фонда Волгоградской области </w:t>
      </w:r>
      <w:r w:rsidRPr="00DB07FD">
        <w:rPr>
          <w:rFonts w:eastAsia="Calibri"/>
        </w:rPr>
        <w:t xml:space="preserve">увеличены на 150,3 млн. руб., или на </w:t>
      </w:r>
      <w:r w:rsidR="0076703D" w:rsidRPr="00DB07FD">
        <w:rPr>
          <w:rFonts w:eastAsia="Calibri"/>
        </w:rPr>
        <w:t xml:space="preserve">7,7% от требуемого объема (1 950,3 млн. руб.). В нарушение абз. 10 п. 4 ст. </w:t>
      </w:r>
      <w:r w:rsidR="0076703D" w:rsidRPr="00DB07FD">
        <w:t>179.4 БК РФ в 2017 году объем дорожного фонда Волгоградской области не увеличен на 1 800,0 млн. рублей.</w:t>
      </w:r>
    </w:p>
    <w:p w:rsidR="00747E47" w:rsidRPr="00DB07FD" w:rsidRDefault="00747E47" w:rsidP="00747E47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DB07FD">
        <w:rPr>
          <w:rFonts w:eastAsia="Calibri"/>
          <w:bCs/>
        </w:rPr>
        <w:t>Положительная разница между фактически поступившим в 2017 году и прогнозировавшимся объемом доходов бюджета Волгоградской области, учитываемых при формировании дорожного фонда, в части налоговых доходов бюджета Волгоградской области</w:t>
      </w:r>
      <w:r w:rsidR="00DB07FD" w:rsidRPr="00DB07FD">
        <w:rPr>
          <w:rFonts w:eastAsia="Calibri"/>
          <w:bCs/>
        </w:rPr>
        <w:t>,</w:t>
      </w:r>
      <w:r w:rsidRPr="00DB07FD">
        <w:rPr>
          <w:rFonts w:eastAsia="Calibri"/>
          <w:bCs/>
        </w:rPr>
        <w:t xml:space="preserve"> составила 558,6 млн. руб. (6 680,5 – 6 121,9).</w:t>
      </w:r>
    </w:p>
    <w:p w:rsidR="00711A31" w:rsidRPr="00DB07FD" w:rsidRDefault="00711A31" w:rsidP="00711A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B07FD">
        <w:rPr>
          <w:rFonts w:eastAsia="Calibri"/>
        </w:rPr>
        <w:t>В 2017 году ассигнования дорожного фонда Волгоградской области на указанную разницу не увеличивались. В 2018 году такое увеличение областным бюджетом также не предусмотрено.</w:t>
      </w:r>
    </w:p>
    <w:p w:rsidR="00BB2FE2" w:rsidRPr="00DB07FD" w:rsidRDefault="00AC20DF" w:rsidP="00AC20D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B07FD">
        <w:rPr>
          <w:rFonts w:eastAsia="Calibri"/>
        </w:rPr>
        <w:t xml:space="preserve">Таким образом, для исполнения требований абз. 10 п. 4 ст. </w:t>
      </w:r>
      <w:r w:rsidRPr="00DB07FD">
        <w:t xml:space="preserve">179.4 БК РФ </w:t>
      </w:r>
      <w:r w:rsidRPr="00DB07FD">
        <w:rPr>
          <w:rFonts w:eastAsia="Calibri"/>
        </w:rPr>
        <w:t>бюджетные ассигновани</w:t>
      </w:r>
      <w:r w:rsidR="00E22556">
        <w:rPr>
          <w:rFonts w:eastAsia="Calibri"/>
        </w:rPr>
        <w:t>я</w:t>
      </w:r>
      <w:r w:rsidRPr="00DB07FD">
        <w:rPr>
          <w:rFonts w:eastAsia="Calibri"/>
        </w:rPr>
        <w:t xml:space="preserve"> дорожного фонда Волгоградской области в 201</w:t>
      </w:r>
      <w:r w:rsidR="00711A31" w:rsidRPr="00DB07FD">
        <w:rPr>
          <w:rFonts w:eastAsia="Calibri"/>
        </w:rPr>
        <w:t>8</w:t>
      </w:r>
      <w:r w:rsidRPr="00DB07FD">
        <w:rPr>
          <w:rFonts w:eastAsia="Calibri"/>
        </w:rPr>
        <w:t xml:space="preserve"> году необходимо увеличить 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</w:t>
      </w:r>
      <w:r w:rsidR="00711A31" w:rsidRPr="00DB07FD">
        <w:rPr>
          <w:rFonts w:eastAsia="Calibri"/>
        </w:rPr>
        <w:t>7</w:t>
      </w:r>
      <w:r w:rsidRPr="00DB07FD">
        <w:rPr>
          <w:rFonts w:eastAsia="Calibri"/>
        </w:rPr>
        <w:t xml:space="preserve"> году, на </w:t>
      </w:r>
      <w:r w:rsidR="00747E47" w:rsidRPr="00DB07FD">
        <w:rPr>
          <w:rFonts w:eastAsia="Calibri"/>
          <w:bCs/>
        </w:rPr>
        <w:t>558,6</w:t>
      </w:r>
      <w:r w:rsidRPr="00DB07FD">
        <w:rPr>
          <w:rFonts w:eastAsia="Calibri"/>
          <w:bCs/>
        </w:rPr>
        <w:t xml:space="preserve"> млн. рублей</w:t>
      </w:r>
      <w:r w:rsidRPr="00DB07FD">
        <w:rPr>
          <w:rFonts w:eastAsia="Calibri"/>
        </w:rPr>
        <w:t>.</w:t>
      </w:r>
    </w:p>
    <w:p w:rsidR="00F43E5B" w:rsidRPr="00DB07FD" w:rsidRDefault="00F43E5B" w:rsidP="00377085">
      <w:pPr>
        <w:autoSpaceDE w:val="0"/>
        <w:autoSpaceDN w:val="0"/>
        <w:adjustRightInd w:val="0"/>
        <w:ind w:firstLine="709"/>
        <w:jc w:val="both"/>
      </w:pPr>
    </w:p>
    <w:p w:rsidR="00D57C55" w:rsidRPr="00A81473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81473">
        <w:rPr>
          <w:b/>
        </w:rPr>
        <w:t xml:space="preserve">Использование </w:t>
      </w:r>
      <w:r w:rsidR="001A5CA5" w:rsidRPr="00A81473">
        <w:rPr>
          <w:b/>
        </w:rPr>
        <w:t>средств</w:t>
      </w:r>
      <w:r w:rsidRPr="00A81473">
        <w:rPr>
          <w:b/>
        </w:rPr>
        <w:t xml:space="preserve"> </w:t>
      </w:r>
    </w:p>
    <w:p w:rsidR="00AF4E19" w:rsidRPr="00A81473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81473">
        <w:rPr>
          <w:b/>
        </w:rPr>
        <w:t xml:space="preserve">дорожного фонда </w:t>
      </w:r>
      <w:r w:rsidR="00C545EB" w:rsidRPr="00A81473">
        <w:rPr>
          <w:b/>
        </w:rPr>
        <w:t>Волгоградской области в</w:t>
      </w:r>
      <w:r w:rsidRPr="00A81473">
        <w:rPr>
          <w:b/>
        </w:rPr>
        <w:t xml:space="preserve"> 201</w:t>
      </w:r>
      <w:r w:rsidR="00404DAA">
        <w:rPr>
          <w:b/>
        </w:rPr>
        <w:t>7</w:t>
      </w:r>
      <w:r w:rsidRPr="00A81473">
        <w:rPr>
          <w:b/>
        </w:rPr>
        <w:t xml:space="preserve"> году</w:t>
      </w:r>
    </w:p>
    <w:p w:rsidR="00C545EB" w:rsidRPr="004414A2" w:rsidRDefault="00114340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Средства д</w:t>
      </w:r>
      <w:r w:rsidR="00C545EB" w:rsidRPr="004414A2">
        <w:rPr>
          <w:rFonts w:eastAsiaTheme="minorHAnsi"/>
          <w:lang w:eastAsia="en-US"/>
        </w:rPr>
        <w:t>орожн</w:t>
      </w:r>
      <w:r>
        <w:rPr>
          <w:rFonts w:eastAsiaTheme="minorHAnsi"/>
          <w:lang w:eastAsia="en-US"/>
        </w:rPr>
        <w:t>ого</w:t>
      </w:r>
      <w:r w:rsidR="00C545EB" w:rsidRPr="004414A2">
        <w:rPr>
          <w:rFonts w:eastAsiaTheme="minorHAnsi"/>
          <w:lang w:eastAsia="en-US"/>
        </w:rPr>
        <w:t xml:space="preserve"> фонд</w:t>
      </w:r>
      <w:r>
        <w:rPr>
          <w:rFonts w:eastAsiaTheme="minorHAnsi"/>
          <w:lang w:eastAsia="en-US"/>
        </w:rPr>
        <w:t>а</w:t>
      </w:r>
      <w:r w:rsidR="00C545EB" w:rsidRPr="004414A2">
        <w:rPr>
          <w:rFonts w:eastAsiaTheme="minorHAnsi"/>
          <w:lang w:eastAsia="en-US"/>
        </w:rPr>
        <w:t xml:space="preserve"> Волгоградской области и</w:t>
      </w:r>
      <w:r w:rsidR="007B5707">
        <w:rPr>
          <w:rFonts w:eastAsiaTheme="minorHAnsi"/>
          <w:lang w:eastAsia="en-US"/>
        </w:rPr>
        <w:t>спользованы</w:t>
      </w:r>
      <w:r w:rsidR="001A5CA5" w:rsidRPr="004414A2">
        <w:rPr>
          <w:rFonts w:eastAsiaTheme="minorHAnsi"/>
          <w:lang w:eastAsia="en-US"/>
        </w:rPr>
        <w:t xml:space="preserve"> в сумме </w:t>
      </w:r>
      <w:r w:rsidR="003E76C6" w:rsidRPr="004414A2">
        <w:t>8 99</w:t>
      </w:r>
      <w:r w:rsidR="00970A30" w:rsidRPr="004414A2">
        <w:t>6</w:t>
      </w:r>
      <w:r w:rsidR="003E76C6" w:rsidRPr="004414A2">
        <w:t>,</w:t>
      </w:r>
      <w:r w:rsidR="00970A30" w:rsidRPr="004414A2">
        <w:t>8</w:t>
      </w:r>
      <w:r w:rsidR="007F6DE8" w:rsidRPr="004414A2">
        <w:t xml:space="preserve"> млн. руб., что составляет </w:t>
      </w:r>
      <w:r w:rsidR="00D26CDF" w:rsidRPr="004414A2">
        <w:t>80,0</w:t>
      </w:r>
      <w:r w:rsidR="001A5CA5" w:rsidRPr="004414A2">
        <w:t>% от</w:t>
      </w:r>
      <w:r w:rsidR="007B5707">
        <w:t xml:space="preserve"> фактического</w:t>
      </w:r>
      <w:r w:rsidR="001A5CA5" w:rsidRPr="004414A2">
        <w:t xml:space="preserve"> объёма </w:t>
      </w:r>
      <w:r w:rsidR="00970A30" w:rsidRPr="004414A2">
        <w:t>источников</w:t>
      </w:r>
      <w:r w:rsidR="001A5CA5" w:rsidRPr="004414A2">
        <w:t xml:space="preserve">, учитываемых при </w:t>
      </w:r>
      <w:r w:rsidR="006D5994" w:rsidRPr="004414A2">
        <w:t>формировании дорожного фонда (</w:t>
      </w:r>
      <w:r w:rsidR="006D5994" w:rsidRPr="004414A2">
        <w:rPr>
          <w:bCs/>
        </w:rPr>
        <w:t>11</w:t>
      </w:r>
      <w:r w:rsidR="00D26CDF" w:rsidRPr="004414A2">
        <w:rPr>
          <w:bCs/>
        </w:rPr>
        <w:t> 244,4</w:t>
      </w:r>
      <w:r w:rsidR="006D5994" w:rsidRPr="004414A2">
        <w:rPr>
          <w:bCs/>
        </w:rPr>
        <w:t xml:space="preserve"> млн. руб.).</w:t>
      </w:r>
    </w:p>
    <w:p w:rsidR="007F56D4" w:rsidRPr="003E76C6" w:rsidRDefault="00FF2503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26CDF">
        <w:rPr>
          <w:rFonts w:eastAsiaTheme="minorHAnsi"/>
          <w:lang w:eastAsia="en-US"/>
        </w:rPr>
        <w:t>В</w:t>
      </w:r>
      <w:r w:rsidR="007F56D4" w:rsidRPr="003E76C6">
        <w:rPr>
          <w:rFonts w:eastAsiaTheme="minorHAnsi"/>
          <w:lang w:eastAsia="en-US"/>
        </w:rPr>
        <w:t xml:space="preserve"> соответствии с п.</w:t>
      </w:r>
      <w:r w:rsidR="001A5CA5" w:rsidRPr="003E76C6">
        <w:rPr>
          <w:rFonts w:eastAsiaTheme="minorHAnsi"/>
          <w:lang w:eastAsia="en-US"/>
        </w:rPr>
        <w:t xml:space="preserve"> </w:t>
      </w:r>
      <w:r w:rsidR="007F56D4" w:rsidRPr="003E76C6">
        <w:rPr>
          <w:rFonts w:eastAsiaTheme="minorHAnsi"/>
          <w:lang w:eastAsia="en-US"/>
        </w:rPr>
        <w:t>2 ст.</w:t>
      </w:r>
      <w:r w:rsidR="001D196D" w:rsidRPr="003E76C6">
        <w:rPr>
          <w:rFonts w:eastAsiaTheme="minorHAnsi"/>
          <w:lang w:eastAsia="en-US"/>
        </w:rPr>
        <w:t xml:space="preserve"> </w:t>
      </w:r>
      <w:r w:rsidR="003E76C6" w:rsidRPr="003E76C6">
        <w:rPr>
          <w:rFonts w:eastAsiaTheme="minorHAnsi"/>
          <w:lang w:eastAsia="en-US"/>
        </w:rPr>
        <w:t>28</w:t>
      </w:r>
      <w:r w:rsidR="007F56D4" w:rsidRPr="003E76C6">
        <w:rPr>
          <w:rFonts w:eastAsiaTheme="minorHAnsi"/>
          <w:lang w:eastAsia="en-US"/>
        </w:rPr>
        <w:t xml:space="preserve"> Закона об областном бюджете на 201</w:t>
      </w:r>
      <w:r w:rsidR="003E76C6" w:rsidRPr="003E76C6">
        <w:rPr>
          <w:rFonts w:eastAsiaTheme="minorHAnsi"/>
          <w:lang w:eastAsia="en-US"/>
        </w:rPr>
        <w:t>7</w:t>
      </w:r>
      <w:r w:rsidR="007F56D4" w:rsidRPr="003E76C6">
        <w:rPr>
          <w:rFonts w:eastAsiaTheme="minorHAnsi"/>
          <w:lang w:eastAsia="en-US"/>
        </w:rPr>
        <w:t xml:space="preserve"> год бюджетные ассигнования в сумме 2,0 млн. руб. направлены на осуществление расходов на обслуживание долговых обязательств, связанных с использованием бюджетных кредитов, полученных Волгоградской областью из федерального бюджета на строительство, реконструкцию, капитальный ремонт, ремонт и содержание автомобильных дорог общего пользования</w:t>
      </w:r>
      <w:r w:rsidRPr="003E76C6">
        <w:rPr>
          <w:rFonts w:eastAsiaTheme="minorHAnsi"/>
          <w:lang w:eastAsia="en-US"/>
        </w:rPr>
        <w:t xml:space="preserve"> (раздел 1300 «Обслуживание государственного и муниципального долга»)</w:t>
      </w:r>
      <w:r w:rsidR="007F56D4" w:rsidRPr="003E76C6">
        <w:rPr>
          <w:rFonts w:eastAsiaTheme="minorHAnsi"/>
          <w:lang w:eastAsia="en-US"/>
        </w:rPr>
        <w:t>.</w:t>
      </w:r>
    </w:p>
    <w:p w:rsidR="00FB03BE" w:rsidRPr="001B3C30" w:rsidRDefault="00FF2503" w:rsidP="00377085">
      <w:pPr>
        <w:autoSpaceDE w:val="0"/>
        <w:autoSpaceDN w:val="0"/>
        <w:adjustRightInd w:val="0"/>
        <w:ind w:firstLine="709"/>
        <w:jc w:val="both"/>
      </w:pPr>
      <w:r w:rsidRPr="001B3C30">
        <w:t>Использование средств</w:t>
      </w:r>
      <w:r w:rsidR="00DC7325" w:rsidRPr="001B3C30">
        <w:t xml:space="preserve"> дорожного фонда </w:t>
      </w:r>
      <w:r w:rsidRPr="001B3C30">
        <w:t>Волгоградской области (подраздел 0409 «Дорожное хозяйство (дорожные фонды)»</w:t>
      </w:r>
      <w:r w:rsidR="009826C3" w:rsidRPr="001B3C30">
        <w:t>)</w:t>
      </w:r>
      <w:r w:rsidRPr="001B3C30">
        <w:t xml:space="preserve"> осуществлено</w:t>
      </w:r>
      <w:r w:rsidR="00DC7325" w:rsidRPr="001B3C30">
        <w:t xml:space="preserve"> в рамках реализации </w:t>
      </w:r>
      <w:r w:rsidR="00955627">
        <w:t>трех</w:t>
      </w:r>
      <w:r w:rsidR="00DC7325" w:rsidRPr="001B3C30">
        <w:t xml:space="preserve"> государственных программ Волгоградской области</w:t>
      </w:r>
      <w:r w:rsidR="00170B45" w:rsidRPr="001B3C30">
        <w:t>:</w:t>
      </w:r>
    </w:p>
    <w:p w:rsidR="003E76C6" w:rsidRPr="001B3C30" w:rsidRDefault="003E76C6" w:rsidP="00377085">
      <w:pPr>
        <w:autoSpaceDE w:val="0"/>
        <w:autoSpaceDN w:val="0"/>
        <w:adjustRightInd w:val="0"/>
        <w:ind w:firstLine="709"/>
        <w:jc w:val="both"/>
      </w:pPr>
      <w:r w:rsidRPr="001B3C30">
        <w:t>-«Развитие транспортной системы и обеспечение безопасности дорожного движения в Волгоградской области», утвержден</w:t>
      </w:r>
      <w:r w:rsidR="00404DAA">
        <w:t>ной</w:t>
      </w:r>
      <w:r w:rsidRPr="001B3C30">
        <w:t xml:space="preserve"> постановлением Администрации Волгоградской области от 23.01.2017 № 16-п (далее – ГП «Развитие транспортной системы»);</w:t>
      </w:r>
    </w:p>
    <w:p w:rsidR="003E76C6" w:rsidRPr="005E699B" w:rsidRDefault="003E76C6" w:rsidP="00377085">
      <w:pPr>
        <w:autoSpaceDE w:val="0"/>
        <w:autoSpaceDN w:val="0"/>
        <w:adjustRightInd w:val="0"/>
        <w:ind w:firstLine="709"/>
        <w:jc w:val="both"/>
      </w:pPr>
      <w:r w:rsidRPr="001B3C30">
        <w:t xml:space="preserve">-«Устойчивое развитие сельских территорий на 2014 - 2017 годы и на период до 2020 года», </w:t>
      </w:r>
      <w:r w:rsidRPr="005E699B">
        <w:t>утвержден</w:t>
      </w:r>
      <w:r w:rsidR="00404DAA">
        <w:t>ной</w:t>
      </w:r>
      <w:r w:rsidRPr="005E699B">
        <w:t xml:space="preserve"> постановлением Правительства Волгоградской области от 29.11.2013 № 681-п (далее – ГП «Развитие сельских территорий»)</w:t>
      </w:r>
      <w:r w:rsidR="00955627" w:rsidRPr="005E699B">
        <w:t>;</w:t>
      </w:r>
    </w:p>
    <w:p w:rsidR="00404DAA" w:rsidRDefault="00955627" w:rsidP="0037708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E699B">
        <w:t>-</w:t>
      </w:r>
      <w:r w:rsidRPr="005E699B">
        <w:rPr>
          <w:rFonts w:eastAsia="Calibri"/>
        </w:rPr>
        <w:t>«Защита населения и территории от чрезвычайных ситуаций, обеспечение пожарной безопасности</w:t>
      </w:r>
      <w:r w:rsidR="005E699B" w:rsidRPr="005E699B">
        <w:rPr>
          <w:rFonts w:eastAsia="Calibri"/>
        </w:rPr>
        <w:t>»</w:t>
      </w:r>
      <w:r w:rsidRPr="005E699B">
        <w:rPr>
          <w:rFonts w:eastAsia="Calibri"/>
        </w:rPr>
        <w:t xml:space="preserve"> на 2014</w:t>
      </w:r>
      <w:r w:rsidR="00404DAA">
        <w:rPr>
          <w:rFonts w:eastAsia="Calibri"/>
        </w:rPr>
        <w:t> </w:t>
      </w:r>
      <w:r w:rsidRPr="005E699B">
        <w:rPr>
          <w:rFonts w:eastAsia="Calibri"/>
        </w:rPr>
        <w:t>-</w:t>
      </w:r>
      <w:r w:rsidR="00404DAA">
        <w:rPr>
          <w:rFonts w:eastAsia="Calibri"/>
        </w:rPr>
        <w:t> </w:t>
      </w:r>
      <w:r w:rsidRPr="005E699B">
        <w:rPr>
          <w:rFonts w:eastAsia="Calibri"/>
        </w:rPr>
        <w:t>2017 годы», утвержден</w:t>
      </w:r>
      <w:r w:rsidR="00404DAA">
        <w:rPr>
          <w:rFonts w:eastAsia="Calibri"/>
        </w:rPr>
        <w:t>ной</w:t>
      </w:r>
      <w:r w:rsidRPr="005E699B">
        <w:rPr>
          <w:rFonts w:eastAsia="Calibri"/>
        </w:rPr>
        <w:t xml:space="preserve"> постановлением Правительства Волгоградской области от 22.11.2013 № 650-п (</w:t>
      </w:r>
      <w:r w:rsidR="005E699B" w:rsidRPr="005E699B">
        <w:rPr>
          <w:rFonts w:eastAsia="Calibri"/>
        </w:rPr>
        <w:t>далее – ГП «Защита населения от ЧС»).</w:t>
      </w:r>
    </w:p>
    <w:p w:rsidR="00955627" w:rsidRDefault="006152A6" w:rsidP="0037708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Расходы областного бюджета </w:t>
      </w:r>
      <w:r w:rsidR="0022560D">
        <w:rPr>
          <w:rFonts w:eastAsia="Calibri"/>
        </w:rPr>
        <w:t xml:space="preserve">за счет бюджетных ассигнований дорожного фонда Волгоградской области по </w:t>
      </w:r>
      <w:r w:rsidR="0022560D" w:rsidRPr="0022560D">
        <w:rPr>
          <w:rFonts w:eastAsia="Calibri"/>
        </w:rPr>
        <w:t xml:space="preserve">подпрограмме «Построение (развитие) аппаратно-программного комплекса </w:t>
      </w:r>
      <w:r w:rsidR="0022560D">
        <w:rPr>
          <w:rFonts w:eastAsia="Calibri"/>
        </w:rPr>
        <w:t>«</w:t>
      </w:r>
      <w:r w:rsidR="0022560D" w:rsidRPr="0022560D">
        <w:rPr>
          <w:rFonts w:eastAsia="Calibri"/>
        </w:rPr>
        <w:t>Безопасный город</w:t>
      </w:r>
      <w:r w:rsidR="0022560D">
        <w:rPr>
          <w:rFonts w:eastAsia="Calibri"/>
        </w:rPr>
        <w:t>»</w:t>
      </w:r>
      <w:r w:rsidR="0022560D" w:rsidRPr="0022560D">
        <w:rPr>
          <w:rFonts w:eastAsia="Calibri"/>
        </w:rPr>
        <w:t xml:space="preserve"> на территории Волгоградской области»</w:t>
      </w:r>
      <w:r w:rsidR="0022560D">
        <w:rPr>
          <w:rFonts w:eastAsia="Calibri"/>
        </w:rPr>
        <w:t xml:space="preserve"> </w:t>
      </w:r>
      <w:r w:rsidR="0022560D" w:rsidRPr="005E699B">
        <w:rPr>
          <w:rFonts w:eastAsia="Calibri"/>
        </w:rPr>
        <w:t>ГП «Защита населения от ЧС»</w:t>
      </w:r>
      <w:r w:rsidR="0022560D" w:rsidRPr="0022560D">
        <w:rPr>
          <w:rFonts w:eastAsia="Calibri"/>
        </w:rPr>
        <w:t xml:space="preserve"> </w:t>
      </w:r>
      <w:r w:rsidR="0022560D">
        <w:rPr>
          <w:rFonts w:eastAsia="Calibri"/>
        </w:rPr>
        <w:t>направлены на реализацию следующих мероприятий:</w:t>
      </w:r>
    </w:p>
    <w:p w:rsidR="0022560D" w:rsidRDefault="0022560D" w:rsidP="0037708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>
        <w:t>о</w:t>
      </w:r>
      <w:r w:rsidRPr="0022560D">
        <w:rPr>
          <w:rFonts w:eastAsia="Calibri"/>
        </w:rPr>
        <w:t>беспечение работоспособности переносных комплексов фотовидеофиксации</w:t>
      </w:r>
      <w:r>
        <w:rPr>
          <w:rFonts w:eastAsia="Calibri"/>
        </w:rPr>
        <w:t>;</w:t>
      </w:r>
    </w:p>
    <w:p w:rsidR="0022560D" w:rsidRDefault="0022560D" w:rsidP="0037708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>
        <w:t>м</w:t>
      </w:r>
      <w:r w:rsidRPr="0022560D">
        <w:rPr>
          <w:rFonts w:eastAsia="Calibri"/>
        </w:rPr>
        <w:t xml:space="preserve">одернизация и развитие подсистемы контроля и выявления нарушений Правил дорожного движения комплексной информационной системы видеонаблюдения Волгоградской области, обеспечение работоспособности подсистемы в течение срока </w:t>
      </w:r>
      <w:r w:rsidRPr="0022560D">
        <w:rPr>
          <w:rFonts w:eastAsia="Calibri"/>
        </w:rPr>
        <w:lastRenderedPageBreak/>
        <w:t>службы комплексов фотовидеофиксации, демонтаж и утилизация комплексов фотовидеофиксации</w:t>
      </w:r>
      <w:r>
        <w:rPr>
          <w:rFonts w:eastAsia="Calibri"/>
        </w:rPr>
        <w:t>;</w:t>
      </w:r>
    </w:p>
    <w:p w:rsidR="0022560D" w:rsidRDefault="0022560D" w:rsidP="0037708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-п</w:t>
      </w:r>
      <w:r w:rsidRPr="0022560D">
        <w:rPr>
          <w:rFonts w:eastAsia="Calibri"/>
        </w:rPr>
        <w:t>риобретение услуги фиксации нарушений скоростного режима (средняя скорость) на региональных участках автодорог Волгоградской области</w:t>
      </w:r>
      <w:r>
        <w:rPr>
          <w:rFonts w:eastAsia="Calibri"/>
        </w:rPr>
        <w:t>;</w:t>
      </w:r>
    </w:p>
    <w:p w:rsidR="0022560D" w:rsidRPr="00DB07FD" w:rsidRDefault="0022560D" w:rsidP="0037708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>
        <w:t>с</w:t>
      </w:r>
      <w:r w:rsidRPr="0022560D">
        <w:rPr>
          <w:rFonts w:eastAsia="Calibri"/>
        </w:rPr>
        <w:t xml:space="preserve">оздание и обеспечение внедрения системы адаптивного управления светофорными </w:t>
      </w:r>
      <w:r w:rsidRPr="00DB07FD">
        <w:rPr>
          <w:rFonts w:eastAsia="Calibri"/>
        </w:rPr>
        <w:t>объектами на маршрутах движения контрагентов FIFA и лиц, включенных в списки FIFA, в период проведения чемпионата мира по футболу 2018 года.</w:t>
      </w:r>
    </w:p>
    <w:p w:rsidR="00F02DAE" w:rsidRPr="000B0EBB" w:rsidRDefault="00F02DAE" w:rsidP="00F02D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B07FD">
        <w:rPr>
          <w:rFonts w:eastAsia="Calibri"/>
        </w:rPr>
        <w:t xml:space="preserve">Исполнителем реализации указанных мероприятий ГП «Защита населения от ЧС» </w:t>
      </w:r>
      <w:r w:rsidRPr="000B0EBB">
        <w:rPr>
          <w:rFonts w:eastAsia="Calibri"/>
        </w:rPr>
        <w:t>определен комитет информационных технологий Волгоградской области (далее-Облкоминформтехнологи</w:t>
      </w:r>
      <w:r w:rsidR="00970A30" w:rsidRPr="000B0EBB">
        <w:rPr>
          <w:rFonts w:eastAsia="Calibri"/>
        </w:rPr>
        <w:t>й</w:t>
      </w:r>
      <w:r w:rsidRPr="000B0EBB">
        <w:rPr>
          <w:rFonts w:eastAsia="Calibri"/>
        </w:rPr>
        <w:t>).</w:t>
      </w:r>
    </w:p>
    <w:p w:rsidR="003141DB" w:rsidRPr="000B0EBB" w:rsidRDefault="007B5707" w:rsidP="003141DB">
      <w:pPr>
        <w:ind w:firstLine="709"/>
        <w:jc w:val="both"/>
      </w:pPr>
      <w:r>
        <w:t>С</w:t>
      </w:r>
      <w:r w:rsidR="00C90796" w:rsidRPr="000B0EBB">
        <w:t xml:space="preserve"> 2017 года средства дорожного фонда Волгоградской области используются на </w:t>
      </w:r>
      <w:r w:rsidR="00C90796" w:rsidRPr="000B0EBB">
        <w:rPr>
          <w:rFonts w:eastAsia="Calibri"/>
        </w:rPr>
        <w:t>реализаци</w:t>
      </w:r>
      <w:r w:rsidR="00390B86">
        <w:rPr>
          <w:rFonts w:eastAsia="Calibri"/>
        </w:rPr>
        <w:t>ю</w:t>
      </w:r>
      <w:r w:rsidR="00C90796" w:rsidRPr="000B0EBB">
        <w:rPr>
          <w:rFonts w:eastAsia="Calibri"/>
        </w:rPr>
        <w:t xml:space="preserve"> указанных мероприя</w:t>
      </w:r>
      <w:r>
        <w:rPr>
          <w:rFonts w:eastAsia="Calibri"/>
        </w:rPr>
        <w:t>тий ГП «Защита населения от ЧС». В этой связи</w:t>
      </w:r>
      <w:r w:rsidR="00C90796" w:rsidRPr="000B0EBB">
        <w:rPr>
          <w:rFonts w:eastAsia="Calibri"/>
        </w:rPr>
        <w:t xml:space="preserve"> </w:t>
      </w:r>
      <w:r w:rsidR="00C90796" w:rsidRPr="000B0EBB">
        <w:t>н</w:t>
      </w:r>
      <w:r w:rsidR="003141DB" w:rsidRPr="000B0EBB">
        <w:t xml:space="preserve">еобходимо отметить, что Порядком формирования и использования бюджетных ассигнований дорожного фонда Волгоградской области, утверждённым постановлением Администрации Волгоградской области от 26.12.2011 № 887-п (далее – Порядок № 887-п) в соответствии с п. 4 ст. 179.4 БК РФ, установлен закрытый перечень направлений расходов ассигнований дорожного фонда (п. 8). Эти расходы можно условно разделить на прямые расходы в отношении автомобильных дорог общего пользования </w:t>
      </w:r>
      <w:r w:rsidR="003141DB" w:rsidRPr="000B0EBB">
        <w:rPr>
          <w:u w:val="single"/>
        </w:rPr>
        <w:t>регионального или межмуниципального</w:t>
      </w:r>
      <w:r w:rsidR="003141DB" w:rsidRPr="000B0EBB">
        <w:t xml:space="preserve"> значения и расходы по финансовому обеспечению дорожной деятельности и дорожного хозяйства в отношении автомобильных дорог </w:t>
      </w:r>
      <w:r w:rsidR="003141DB" w:rsidRPr="000B0EBB">
        <w:rPr>
          <w:u w:val="single"/>
        </w:rPr>
        <w:t>местного значения</w:t>
      </w:r>
      <w:r w:rsidR="003141DB" w:rsidRPr="000B0EBB">
        <w:t xml:space="preserve"> путем предоставления межбюджетных трансфертов бюджетам муниципальных образований.</w:t>
      </w:r>
    </w:p>
    <w:p w:rsidR="003141DB" w:rsidRPr="000B0EBB" w:rsidRDefault="003141DB" w:rsidP="009A7678">
      <w:pPr>
        <w:ind w:firstLine="709"/>
        <w:jc w:val="both"/>
        <w:rPr>
          <w:u w:val="single"/>
        </w:rPr>
      </w:pPr>
      <w:r w:rsidRPr="000B0EBB">
        <w:t>Комплексы фиксации нарушений скоростного режима, расходы на приобретение и обеспечение функционирования которых осуществляются за счёт ассигнований дорожного фонда Волгоградской области</w:t>
      </w:r>
      <w:r w:rsidR="00C90796" w:rsidRPr="000B0EBB">
        <w:t xml:space="preserve"> с 2017 года</w:t>
      </w:r>
      <w:r w:rsidRPr="000B0EBB">
        <w:t xml:space="preserve">, расположены, в основном, на автомобильных дорогах местного значения, а также на региональных участках федеральных дорог. Порядком № 887-п </w:t>
      </w:r>
      <w:r w:rsidRPr="000B0EBB">
        <w:rPr>
          <w:u w:val="single"/>
        </w:rPr>
        <w:t>не предусмотрена возможность</w:t>
      </w:r>
      <w:r w:rsidRPr="000B0EBB">
        <w:t xml:space="preserve"> осуществления за счёт ассигнований дорожного фонда Волгоградской области прямых расходов на дорожную деятельност</w:t>
      </w:r>
      <w:r w:rsidR="00390B86">
        <w:t>ь</w:t>
      </w:r>
      <w:r w:rsidRPr="000B0EBB">
        <w:t xml:space="preserve"> и дорожное хозяйство в отношении автомобильных дорог </w:t>
      </w:r>
      <w:r w:rsidRPr="000B0EBB">
        <w:rPr>
          <w:u w:val="single"/>
        </w:rPr>
        <w:t>местного и федерального значения.</w:t>
      </w:r>
    </w:p>
    <w:p w:rsidR="003141DB" w:rsidRPr="000B0EBB" w:rsidRDefault="00C90796" w:rsidP="009A7678">
      <w:pPr>
        <w:ind w:firstLine="709"/>
        <w:jc w:val="both"/>
      </w:pPr>
      <w:r w:rsidRPr="000B0EBB">
        <w:t>КСП отмечала указанное нарушение в</w:t>
      </w:r>
      <w:r w:rsidR="003141DB" w:rsidRPr="000B0EBB">
        <w:t xml:space="preserve"> экспертн</w:t>
      </w:r>
      <w:r w:rsidR="009A7678" w:rsidRPr="000B0EBB">
        <w:t>ых</w:t>
      </w:r>
      <w:r w:rsidR="003141DB" w:rsidRPr="000B0EBB">
        <w:t xml:space="preserve"> заключени</w:t>
      </w:r>
      <w:r w:rsidR="009A7678" w:rsidRPr="000B0EBB">
        <w:t>ях</w:t>
      </w:r>
      <w:r w:rsidR="003141DB" w:rsidRPr="000B0EBB">
        <w:t xml:space="preserve"> </w:t>
      </w:r>
      <w:r w:rsidR="009A7678" w:rsidRPr="000B0EBB">
        <w:rPr>
          <w:bCs/>
          <w:iCs/>
          <w:spacing w:val="-1"/>
        </w:rPr>
        <w:t xml:space="preserve">на проекты законов Волгоградской области «О внесении изменений в Закон Волгоградской области от 06.12.2016 №126-ОД «Об областном  бюджете на 2017 год и плановый период 2018 и 2019 годов» (ноябрь 2017 года) </w:t>
      </w:r>
      <w:r w:rsidR="009A7678" w:rsidRPr="000B0EBB">
        <w:t xml:space="preserve">и </w:t>
      </w:r>
      <w:r w:rsidR="003141DB" w:rsidRPr="000B0EBB">
        <w:t>«Об областном бюджете на 2018 год и на плановый период 2019 и 2020 годов»</w:t>
      </w:r>
      <w:r w:rsidR="009A7678" w:rsidRPr="000B0EBB">
        <w:t xml:space="preserve"> и </w:t>
      </w:r>
      <w:r w:rsidR="003141DB" w:rsidRPr="000B0EBB">
        <w:t>рекомендовала Администрации Волгоградской области принять меры по совершенствованию Порядка №</w:t>
      </w:r>
      <w:r w:rsidRPr="000B0EBB">
        <w:t> </w:t>
      </w:r>
      <w:r w:rsidR="009A7678" w:rsidRPr="000B0EBB">
        <w:t>887-п</w:t>
      </w:r>
      <w:r w:rsidR="003141DB" w:rsidRPr="000B0EBB">
        <w:t xml:space="preserve"> в части закрепления возможности осуществления расходов на приобретение и содержание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движения. </w:t>
      </w:r>
      <w:r w:rsidR="009A7678" w:rsidRPr="000B0EBB">
        <w:t>По состоянию н</w:t>
      </w:r>
      <w:r w:rsidR="003141DB" w:rsidRPr="000B0EBB">
        <w:t>а 01.03.2018 соответствующие изменения в Порядок № 887-п не вн</w:t>
      </w:r>
      <w:r w:rsidR="009A7678" w:rsidRPr="000B0EBB">
        <w:t>е</w:t>
      </w:r>
      <w:r w:rsidR="003141DB" w:rsidRPr="000B0EBB">
        <w:t>с</w:t>
      </w:r>
      <w:r w:rsidR="009A7678" w:rsidRPr="000B0EBB">
        <w:t>ены</w:t>
      </w:r>
      <w:r w:rsidR="003141DB" w:rsidRPr="000B0EBB">
        <w:t>.</w:t>
      </w:r>
    </w:p>
    <w:p w:rsidR="003141DB" w:rsidRPr="000B0EBB" w:rsidRDefault="003141DB" w:rsidP="00F02DAE">
      <w:pPr>
        <w:autoSpaceDE w:val="0"/>
        <w:autoSpaceDN w:val="0"/>
        <w:adjustRightInd w:val="0"/>
        <w:ind w:firstLine="709"/>
        <w:jc w:val="both"/>
      </w:pPr>
    </w:p>
    <w:p w:rsidR="003141DB" w:rsidRDefault="003141DB" w:rsidP="003141DB">
      <w:pPr>
        <w:autoSpaceDE w:val="0"/>
        <w:autoSpaceDN w:val="0"/>
        <w:adjustRightInd w:val="0"/>
        <w:ind w:firstLine="709"/>
        <w:jc w:val="both"/>
      </w:pPr>
      <w:r w:rsidRPr="000B0EBB">
        <w:t xml:space="preserve">Информация о фактическом использовании бюджетных ассигнований дорожного фонда в 2017 году в разрезе основных мероприятий государственных программ согласно данным бюджетной отчетности Облкомдортранса и Облкоминформтехнологий (ф.0503127) в сравнении с показателями 2016 года представлена в таблице и диаграмме. </w:t>
      </w:r>
    </w:p>
    <w:p w:rsidR="000D100F" w:rsidRDefault="000D100F" w:rsidP="003141DB">
      <w:pPr>
        <w:autoSpaceDE w:val="0"/>
        <w:autoSpaceDN w:val="0"/>
        <w:adjustRightInd w:val="0"/>
        <w:ind w:firstLine="709"/>
        <w:jc w:val="both"/>
      </w:pPr>
    </w:p>
    <w:p w:rsidR="000D100F" w:rsidRDefault="000D100F" w:rsidP="003141DB">
      <w:pPr>
        <w:autoSpaceDE w:val="0"/>
        <w:autoSpaceDN w:val="0"/>
        <w:adjustRightInd w:val="0"/>
        <w:ind w:firstLine="709"/>
        <w:jc w:val="both"/>
      </w:pPr>
    </w:p>
    <w:p w:rsidR="000D100F" w:rsidRDefault="000D100F" w:rsidP="003141DB">
      <w:pPr>
        <w:autoSpaceDE w:val="0"/>
        <w:autoSpaceDN w:val="0"/>
        <w:adjustRightInd w:val="0"/>
        <w:ind w:firstLine="709"/>
        <w:jc w:val="both"/>
      </w:pPr>
    </w:p>
    <w:p w:rsidR="000C72DF" w:rsidRDefault="000C72DF" w:rsidP="003141DB">
      <w:pPr>
        <w:autoSpaceDE w:val="0"/>
        <w:autoSpaceDN w:val="0"/>
        <w:adjustRightInd w:val="0"/>
        <w:ind w:firstLine="709"/>
        <w:jc w:val="both"/>
      </w:pPr>
    </w:p>
    <w:p w:rsidR="000D100F" w:rsidRDefault="000D100F" w:rsidP="003141DB">
      <w:pPr>
        <w:autoSpaceDE w:val="0"/>
        <w:autoSpaceDN w:val="0"/>
        <w:adjustRightInd w:val="0"/>
        <w:ind w:firstLine="709"/>
        <w:jc w:val="both"/>
      </w:pPr>
    </w:p>
    <w:p w:rsidR="000D100F" w:rsidRDefault="000D100F" w:rsidP="003141DB">
      <w:pPr>
        <w:autoSpaceDE w:val="0"/>
        <w:autoSpaceDN w:val="0"/>
        <w:adjustRightInd w:val="0"/>
        <w:ind w:firstLine="709"/>
        <w:jc w:val="both"/>
      </w:pPr>
    </w:p>
    <w:p w:rsidR="000D100F" w:rsidRDefault="000D100F" w:rsidP="003141DB">
      <w:pPr>
        <w:autoSpaceDE w:val="0"/>
        <w:autoSpaceDN w:val="0"/>
        <w:adjustRightInd w:val="0"/>
        <w:ind w:firstLine="709"/>
        <w:jc w:val="both"/>
      </w:pPr>
    </w:p>
    <w:p w:rsidR="000C72DF" w:rsidRDefault="000C72DF" w:rsidP="003141DB">
      <w:pPr>
        <w:autoSpaceDE w:val="0"/>
        <w:autoSpaceDN w:val="0"/>
        <w:adjustRightInd w:val="0"/>
        <w:ind w:firstLine="709"/>
        <w:jc w:val="both"/>
      </w:pPr>
    </w:p>
    <w:p w:rsidR="000D100F" w:rsidRDefault="000D100F" w:rsidP="003141DB">
      <w:pPr>
        <w:autoSpaceDE w:val="0"/>
        <w:autoSpaceDN w:val="0"/>
        <w:adjustRightInd w:val="0"/>
        <w:ind w:firstLine="709"/>
        <w:jc w:val="both"/>
      </w:pPr>
    </w:p>
    <w:p w:rsidR="003141DB" w:rsidRPr="000B0EBB" w:rsidRDefault="003141DB" w:rsidP="003141DB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0B0EBB">
        <w:rPr>
          <w:i/>
          <w:sz w:val="22"/>
          <w:szCs w:val="22"/>
        </w:rPr>
        <w:lastRenderedPageBreak/>
        <w:t>млн. руб.</w:t>
      </w:r>
    </w:p>
    <w:tbl>
      <w:tblPr>
        <w:tblpPr w:leftFromText="180" w:rightFromText="180" w:vertAnchor="text" w:tblpX="-176" w:tblpY="1"/>
        <w:tblOverlap w:val="never"/>
        <w:tblW w:w="993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850"/>
        <w:gridCol w:w="1160"/>
        <w:gridCol w:w="825"/>
        <w:gridCol w:w="992"/>
        <w:gridCol w:w="992"/>
        <w:gridCol w:w="851"/>
        <w:gridCol w:w="709"/>
      </w:tblGrid>
      <w:tr w:rsidR="000B0EBB" w:rsidRPr="000B0EBB" w:rsidTr="000D100F">
        <w:trPr>
          <w:trHeight w:val="20"/>
          <w:tblHeader/>
        </w:trPr>
        <w:tc>
          <w:tcPr>
            <w:tcW w:w="355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2016 год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B0EBB" w:rsidRPr="000B0EBB" w:rsidRDefault="000B0EB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2017 год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Отклонения факт 2017/2016</w:t>
            </w:r>
          </w:p>
        </w:tc>
      </w:tr>
      <w:tr w:rsidR="000B0EBB" w:rsidRPr="000B0EBB" w:rsidTr="000D100F">
        <w:trPr>
          <w:trHeight w:val="20"/>
          <w:tblHeader/>
        </w:trPr>
        <w:tc>
          <w:tcPr>
            <w:tcW w:w="3559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B0EBB" w:rsidRPr="000B0EBB" w:rsidRDefault="000B0EBB" w:rsidP="000B0EB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Факт</w:t>
            </w: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Закон</w:t>
            </w:r>
          </w:p>
        </w:tc>
        <w:tc>
          <w:tcPr>
            <w:tcW w:w="825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Факт</w:t>
            </w:r>
          </w:p>
        </w:tc>
        <w:tc>
          <w:tcPr>
            <w:tcW w:w="198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Отклонения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млн. руб.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B0EBB" w:rsidRPr="000B0EBB" w:rsidRDefault="000B0EBB" w:rsidP="000B0EBB">
            <w:pPr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8 854,3</w:t>
            </w: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10 134,0</w:t>
            </w:r>
          </w:p>
        </w:tc>
        <w:tc>
          <w:tcPr>
            <w:tcW w:w="82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8 996,8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75762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-1 137,</w:t>
            </w:r>
            <w:r w:rsidR="00757625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-11,2%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75762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142,</w:t>
            </w:r>
            <w:r w:rsidR="00757625"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1,6%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4 116,9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3 014,1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3 565,9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551,8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18,3%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-551,0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-13,4%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4 735,4</w:t>
            </w: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7 119,9</w:t>
            </w:r>
          </w:p>
        </w:tc>
        <w:tc>
          <w:tcPr>
            <w:tcW w:w="825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95583A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5 43</w:t>
            </w:r>
            <w:r w:rsidR="0095583A">
              <w:rPr>
                <w:sz w:val="20"/>
                <w:szCs w:val="20"/>
              </w:rPr>
              <w:t>0</w:t>
            </w:r>
            <w:r w:rsidRPr="000B0EBB">
              <w:rPr>
                <w:sz w:val="20"/>
                <w:szCs w:val="20"/>
              </w:rPr>
              <w:t>,</w:t>
            </w:r>
            <w:r w:rsidR="0095583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757625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-1 68</w:t>
            </w:r>
            <w:r w:rsidR="00757625">
              <w:rPr>
                <w:i/>
                <w:iCs/>
                <w:sz w:val="20"/>
                <w:szCs w:val="20"/>
              </w:rPr>
              <w:t>9</w:t>
            </w:r>
            <w:r w:rsidRPr="000B0EBB">
              <w:rPr>
                <w:i/>
                <w:iCs/>
                <w:sz w:val="20"/>
                <w:szCs w:val="20"/>
              </w:rPr>
              <w:t>,</w:t>
            </w:r>
            <w:r w:rsidR="00757625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-23,7%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757625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695,</w:t>
            </w:r>
            <w:r w:rsidR="00757625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14,7%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  <w:r w:rsidR="00D01B2B" w:rsidRPr="000B0EBB">
              <w:rPr>
                <w:sz w:val="20"/>
                <w:szCs w:val="20"/>
              </w:rPr>
              <w:t xml:space="preserve"> Строительство и реконструкция автомобильных дорог общего пользования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607,9</w:t>
            </w: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82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645BE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491,</w:t>
            </w:r>
            <w:r w:rsidR="000645B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-41,</w:t>
            </w:r>
            <w:r w:rsidR="000645B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-7,7%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-116,5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-19,2%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8 244,4</w:t>
            </w: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9 326,5</w:t>
            </w:r>
          </w:p>
        </w:tc>
        <w:tc>
          <w:tcPr>
            <w:tcW w:w="82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8 315,9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-1 010,6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-10,8%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71,5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0,9%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Кап. ремонт, ремонт областных дорог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435,7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401,8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329,4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-72,4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-18,0%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-106,3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-24,4%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2 285,1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2 275,9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2 043,3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-232,6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-10,2%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-241,8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-10,6%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 xml:space="preserve">Строительство и реконструкция автодорог общего пользования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3 473,6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3 498,1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3 187,4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-310,7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-8,9%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-286,2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-8,2%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 xml:space="preserve">Предоставление МБТ бюджетам МО </w:t>
            </w:r>
          </w:p>
          <w:p w:rsidR="003141DB" w:rsidRPr="000B0EBB" w:rsidRDefault="003141DB" w:rsidP="000B0EBB">
            <w:pPr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на дорожную деятельность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2 047,4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2 737,1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2 454,4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-282,7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-10,3%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407,0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19,9%</w:t>
            </w: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2,6</w:t>
            </w: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413,6</w:t>
            </w:r>
          </w:p>
        </w:tc>
        <w:tc>
          <w:tcPr>
            <w:tcW w:w="825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301,4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-112,2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-27,1%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298,8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ГП «Защита населения от ЧС»</w:t>
            </w:r>
            <w:r w:rsidR="00D01B2B" w:rsidRPr="000B0EBB">
              <w:rPr>
                <w:sz w:val="20"/>
                <w:szCs w:val="20"/>
              </w:rPr>
              <w:t xml:space="preserve"> Подпрограмма «Безопасный город»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82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187,4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-85,6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B0EBB">
              <w:rPr>
                <w:b/>
                <w:bCs/>
                <w:i/>
                <w:iCs/>
                <w:sz w:val="20"/>
                <w:szCs w:val="20"/>
              </w:rPr>
              <w:t>-31,4%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b/>
                <w:bCs/>
                <w:sz w:val="20"/>
                <w:szCs w:val="20"/>
              </w:rPr>
            </w:pPr>
            <w:r w:rsidRPr="000B0EBB">
              <w:rPr>
                <w:b/>
                <w:bCs/>
                <w:sz w:val="20"/>
                <w:szCs w:val="20"/>
              </w:rPr>
              <w:t>187,4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0EBB" w:rsidRPr="000B0EBB" w:rsidTr="000D100F">
        <w:trPr>
          <w:trHeight w:val="20"/>
        </w:trPr>
        <w:tc>
          <w:tcPr>
            <w:tcW w:w="3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D01B2B" w:rsidP="00D01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3141DB" w:rsidRPr="000B0EBB">
              <w:rPr>
                <w:sz w:val="20"/>
                <w:szCs w:val="20"/>
              </w:rPr>
              <w:t>асход</w:t>
            </w:r>
            <w:r>
              <w:rPr>
                <w:sz w:val="20"/>
                <w:szCs w:val="20"/>
              </w:rPr>
              <w:t>ы</w:t>
            </w:r>
            <w:r w:rsidR="003141DB" w:rsidRPr="000B0EBB">
              <w:rPr>
                <w:sz w:val="20"/>
                <w:szCs w:val="20"/>
              </w:rPr>
              <w:t xml:space="preserve"> на обслуживание долговых обязательств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2,0</w:t>
            </w:r>
          </w:p>
        </w:tc>
        <w:tc>
          <w:tcPr>
            <w:tcW w:w="11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2,0</w:t>
            </w:r>
          </w:p>
        </w:tc>
        <w:tc>
          <w:tcPr>
            <w:tcW w:w="8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i/>
                <w:iCs/>
                <w:sz w:val="20"/>
                <w:szCs w:val="20"/>
              </w:rPr>
            </w:pPr>
            <w:r w:rsidRPr="000B0EBB">
              <w:rPr>
                <w:i/>
                <w:iCs/>
                <w:sz w:val="20"/>
                <w:szCs w:val="20"/>
              </w:rPr>
              <w:t>0,0%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jc w:val="right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141DB" w:rsidRPr="000B0EBB" w:rsidRDefault="003141DB" w:rsidP="000B0E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0EBB">
              <w:rPr>
                <w:sz w:val="20"/>
                <w:szCs w:val="20"/>
              </w:rPr>
              <w:t>0,0%</w:t>
            </w:r>
          </w:p>
        </w:tc>
      </w:tr>
    </w:tbl>
    <w:p w:rsidR="003141DB" w:rsidRPr="000B0EBB" w:rsidRDefault="003141DB" w:rsidP="003141DB">
      <w:pPr>
        <w:autoSpaceDE w:val="0"/>
        <w:autoSpaceDN w:val="0"/>
        <w:adjustRightInd w:val="0"/>
      </w:pPr>
    </w:p>
    <w:p w:rsidR="003141DB" w:rsidRDefault="003141DB" w:rsidP="003141DB">
      <w:pPr>
        <w:autoSpaceDE w:val="0"/>
        <w:autoSpaceDN w:val="0"/>
        <w:adjustRightInd w:val="0"/>
        <w:jc w:val="center"/>
      </w:pPr>
      <w:r w:rsidRPr="00D96CE4">
        <w:rPr>
          <w:noProof/>
        </w:rPr>
        <w:drawing>
          <wp:inline distT="0" distB="0" distL="0" distR="0">
            <wp:extent cx="6120130" cy="2865685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41DB" w:rsidRPr="009A7678" w:rsidRDefault="003141DB" w:rsidP="009A767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A7678">
        <w:rPr>
          <w:i/>
          <w:sz w:val="20"/>
          <w:szCs w:val="20"/>
        </w:rPr>
        <w:t xml:space="preserve">*-расходы в рамках подпрограммы «Безопасный город» ГП «Защита населения о ЧС» и на реализацию </w:t>
      </w:r>
      <w:r w:rsidR="00D01B2B">
        <w:rPr>
          <w:i/>
          <w:sz w:val="20"/>
          <w:szCs w:val="20"/>
        </w:rPr>
        <w:t>подпрограммы</w:t>
      </w:r>
      <w:r w:rsidRPr="009A7678">
        <w:rPr>
          <w:i/>
          <w:sz w:val="20"/>
          <w:szCs w:val="20"/>
        </w:rPr>
        <w:t xml:space="preserve"> «Повышение безопасности дорожного движения» ГП «Развитие транспортной системы»</w:t>
      </w:r>
    </w:p>
    <w:p w:rsidR="003141DB" w:rsidRPr="005F5B6F" w:rsidRDefault="003141DB" w:rsidP="003141DB">
      <w:pPr>
        <w:autoSpaceDE w:val="0"/>
        <w:autoSpaceDN w:val="0"/>
        <w:adjustRightInd w:val="0"/>
        <w:ind w:firstLine="709"/>
        <w:jc w:val="both"/>
        <w:rPr>
          <w:color w:val="00B050"/>
          <w:highlight w:val="yellow"/>
        </w:rPr>
      </w:pPr>
    </w:p>
    <w:p w:rsidR="000B7CA2" w:rsidRDefault="00BF3B5D" w:rsidP="008512D0">
      <w:pPr>
        <w:autoSpaceDE w:val="0"/>
        <w:autoSpaceDN w:val="0"/>
        <w:adjustRightInd w:val="0"/>
        <w:ind w:firstLine="709"/>
        <w:jc w:val="both"/>
      </w:pPr>
      <w:r w:rsidRPr="00CA6A3C">
        <w:t>При сопоставимых объемах исполненных бюджетных ассигнований дорожного фонда Волгоградской области в 2016</w:t>
      </w:r>
      <w:r w:rsidR="000C2880" w:rsidRPr="00CA6A3C">
        <w:t xml:space="preserve"> и </w:t>
      </w:r>
      <w:r w:rsidRPr="00CA6A3C">
        <w:t>2017 годах в 2017 году наблюдается перераспределение расходов</w:t>
      </w:r>
      <w:r w:rsidR="000C2880" w:rsidRPr="00CA6A3C">
        <w:t>, осуществлённых за счёт</w:t>
      </w:r>
      <w:r w:rsidRPr="00CA6A3C">
        <w:t xml:space="preserve"> областного и федерального бюджетов. В 2017 году за счет средств областного бюджета осуществлено расходов на 69</w:t>
      </w:r>
      <w:r w:rsidR="00AF408F" w:rsidRPr="00CA6A3C">
        <w:t>5</w:t>
      </w:r>
      <w:r w:rsidRPr="00CA6A3C">
        <w:t>,</w:t>
      </w:r>
      <w:r w:rsidR="006B36F3">
        <w:t>5</w:t>
      </w:r>
      <w:r w:rsidR="00AF408F" w:rsidRPr="00CA6A3C">
        <w:t xml:space="preserve"> млн. руб., или на 14,7</w:t>
      </w:r>
      <w:r w:rsidRPr="00CA6A3C">
        <w:t xml:space="preserve">% больше, чем в 2016 году, за счет средств федерального бюджета – на 551,0 млн. руб., или на 13,4% меньше. </w:t>
      </w:r>
    </w:p>
    <w:p w:rsidR="000B7CA2" w:rsidRPr="006B36F3" w:rsidRDefault="000B7CA2" w:rsidP="008512D0">
      <w:pPr>
        <w:autoSpaceDE w:val="0"/>
        <w:autoSpaceDN w:val="0"/>
        <w:adjustRightInd w:val="0"/>
        <w:ind w:firstLine="709"/>
        <w:jc w:val="both"/>
      </w:pPr>
      <w:r>
        <w:t xml:space="preserve">Также наблюдается перераспределение кассовых расходов между направлениями </w:t>
      </w:r>
      <w:r w:rsidR="000F1388">
        <w:t xml:space="preserve">расходов - </w:t>
      </w:r>
      <w:r>
        <w:t xml:space="preserve">при сопоставимом уменьшении финансирования ремонта, содержания и строительства областных дорог в 2017 году увеличены расходы на предоставление межбюджетных трансфертов местным бюджетам и безопасность дорожного движения в </w:t>
      </w:r>
      <w:r>
        <w:lastRenderedPageBreak/>
        <w:t xml:space="preserve">рамках двух </w:t>
      </w:r>
      <w:r w:rsidR="000F1388">
        <w:t xml:space="preserve">государственных </w:t>
      </w:r>
      <w:r>
        <w:t>программ. Причинами таких структурных изменений является начало реализации с 2017 года приоритетного проекта «Безопасные качественные дороги», ориентированного на ремонт местных дорог</w:t>
      </w:r>
      <w:r w:rsidR="000F1388">
        <w:t xml:space="preserve"> через предоставление межбюджетных </w:t>
      </w:r>
      <w:r w:rsidR="000F1388" w:rsidRPr="006B36F3">
        <w:t>трансфертов</w:t>
      </w:r>
      <w:r w:rsidRPr="006B36F3">
        <w:t xml:space="preserve">, а также значительный рост кредиторской задолженности </w:t>
      </w:r>
      <w:r w:rsidR="000F1388" w:rsidRPr="006B36F3">
        <w:t xml:space="preserve">по </w:t>
      </w:r>
      <w:r w:rsidR="00455518" w:rsidRPr="006B36F3">
        <w:t>и</w:t>
      </w:r>
      <w:r w:rsidR="000F1388" w:rsidRPr="006B36F3">
        <w:t>тогам 2017 года (см. ниже)</w:t>
      </w:r>
    </w:p>
    <w:p w:rsidR="00785E70" w:rsidRPr="00DB5B67" w:rsidRDefault="00785E70" w:rsidP="00785E70">
      <w:pPr>
        <w:autoSpaceDE w:val="0"/>
        <w:autoSpaceDN w:val="0"/>
        <w:adjustRightInd w:val="0"/>
        <w:ind w:firstLine="709"/>
        <w:jc w:val="both"/>
      </w:pPr>
      <w:r w:rsidRPr="006B36F3">
        <w:t xml:space="preserve">В 2017 году </w:t>
      </w:r>
      <w:r w:rsidR="00455518" w:rsidRPr="006B36F3">
        <w:t xml:space="preserve">расходы на </w:t>
      </w:r>
      <w:r w:rsidRPr="006B36F3">
        <w:t>строительство и реконструкци</w:t>
      </w:r>
      <w:r w:rsidR="00455518" w:rsidRPr="006B36F3">
        <w:t>ю</w:t>
      </w:r>
      <w:r w:rsidRPr="006B36F3">
        <w:t xml:space="preserve"> осуществлял</w:t>
      </w:r>
      <w:r w:rsidR="00455518" w:rsidRPr="006B36F3">
        <w:t>и</w:t>
      </w:r>
      <w:r w:rsidRPr="006B36F3">
        <w:t>сь по 61 объекту областных и местных дорог (разд. 5 ф. №1-ФД)</w:t>
      </w:r>
      <w:r w:rsidR="00455518" w:rsidRPr="006B36F3">
        <w:t>, из них по 28 объектам произведена оплата кредиторской задолженности, по 31 объекту – оплата работ, по 2 объектам – расходы на выполнение проектно-сметной документации и выкуп земли</w:t>
      </w:r>
      <w:r w:rsidRPr="006B36F3">
        <w:t>. Введено в эксплуатацию 19 объектов строительства (50,55 км) и 1 объект реконструкции (0,</w:t>
      </w:r>
      <w:r>
        <w:t>5</w:t>
      </w:r>
      <w:r w:rsidRPr="00DB5B67">
        <w:t xml:space="preserve"> км) общей стоимостью </w:t>
      </w:r>
      <w:r>
        <w:t>1 407,9</w:t>
      </w:r>
      <w:r w:rsidRPr="00DB5B67">
        <w:t xml:space="preserve"> млн. руб. (разд. 6 ф.</w:t>
      </w:r>
      <w:r>
        <w:t xml:space="preserve"> </w:t>
      </w:r>
      <w:r w:rsidRPr="00DB5B67">
        <w:t>№</w:t>
      </w:r>
      <w:r w:rsidR="000F1388">
        <w:t> </w:t>
      </w:r>
      <w:r w:rsidRPr="00DB5B67">
        <w:t>1-ФД).</w:t>
      </w:r>
    </w:p>
    <w:p w:rsidR="009D77DE" w:rsidRPr="00CA6A3C" w:rsidRDefault="00851046" w:rsidP="008512D0">
      <w:pPr>
        <w:autoSpaceDE w:val="0"/>
        <w:autoSpaceDN w:val="0"/>
        <w:adjustRightInd w:val="0"/>
        <w:ind w:firstLine="709"/>
        <w:jc w:val="both"/>
      </w:pPr>
      <w:r>
        <w:t>В 2017 году объем не</w:t>
      </w:r>
      <w:r w:rsidR="00414BEE" w:rsidRPr="00CA6A3C">
        <w:t xml:space="preserve">использованных бюджетных ассигнований дорожного фонда Волгоградской области, источником формирования которых являлись </w:t>
      </w:r>
      <w:r w:rsidR="000C2880" w:rsidRPr="00CA6A3C">
        <w:t>источники</w:t>
      </w:r>
      <w:r w:rsidR="00414BEE" w:rsidRPr="00CA6A3C">
        <w:t xml:space="preserve"> областного бюджета, сложился в сумме 1 68</w:t>
      </w:r>
      <w:r w:rsidR="007B5707">
        <w:t>9</w:t>
      </w:r>
      <w:r w:rsidR="00414BEE" w:rsidRPr="00CA6A3C">
        <w:t>,</w:t>
      </w:r>
      <w:r w:rsidR="007B5707">
        <w:t>0</w:t>
      </w:r>
      <w:r w:rsidR="00414BEE" w:rsidRPr="00CA6A3C">
        <w:t xml:space="preserve"> млн. руб. (</w:t>
      </w:r>
      <w:r w:rsidR="00B6674A" w:rsidRPr="00CA6A3C">
        <w:t>7 119,9 – 5 43</w:t>
      </w:r>
      <w:r w:rsidR="007B5707">
        <w:t>0</w:t>
      </w:r>
      <w:r w:rsidR="00B6674A" w:rsidRPr="00CA6A3C">
        <w:t>,</w:t>
      </w:r>
      <w:r w:rsidR="007B5707">
        <w:t>9</w:t>
      </w:r>
      <w:r w:rsidR="00B6674A" w:rsidRPr="00CA6A3C">
        <w:t>).</w:t>
      </w:r>
    </w:p>
    <w:p w:rsidR="009565D4" w:rsidRPr="009565D4" w:rsidRDefault="009565D4" w:rsidP="00B6674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6A3C">
        <w:t>Положениями абз. 8 п. 4 ст. 179.4 БК РФ установлено, что</w:t>
      </w:r>
      <w:r w:rsidRPr="00CA6A3C">
        <w:rPr>
          <w:rFonts w:eastAsia="Calibri"/>
        </w:rPr>
        <w:t xml:space="preserve"> бюджетные ассигнования </w:t>
      </w:r>
      <w:r w:rsidR="00851046">
        <w:rPr>
          <w:rFonts w:eastAsia="Calibri"/>
        </w:rPr>
        <w:t>дорожного фонда субъекта РФ, не</w:t>
      </w:r>
      <w:r w:rsidRPr="00CA6A3C">
        <w:rPr>
          <w:rFonts w:eastAsia="Calibri"/>
        </w:rPr>
        <w:t>использованные в текущем финансовом году, направляются на увеличение бюджетных ассигнований дорожного фонда субъекта РФ в очередном финансовом году. В 2018</w:t>
      </w:r>
      <w:r w:rsidRPr="009565D4">
        <w:rPr>
          <w:rFonts w:eastAsia="Calibri"/>
        </w:rPr>
        <w:t xml:space="preserve"> году увеличение бюджетных ассигнований дорожного фонда Волгоградской о</w:t>
      </w:r>
      <w:r w:rsidR="00851046">
        <w:rPr>
          <w:rFonts w:eastAsia="Calibri"/>
        </w:rPr>
        <w:t>бласти за счет ассигнований, не</w:t>
      </w:r>
      <w:r w:rsidRPr="009565D4">
        <w:rPr>
          <w:rFonts w:eastAsia="Calibri"/>
        </w:rPr>
        <w:t>использованных в 2017 году, не предусмотрено.</w:t>
      </w:r>
    </w:p>
    <w:p w:rsidR="009565D4" w:rsidRDefault="009565D4" w:rsidP="00B6674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565D4">
        <w:rPr>
          <w:rFonts w:eastAsia="Calibri"/>
        </w:rPr>
        <w:t xml:space="preserve">В соответствии с </w:t>
      </w:r>
      <w:r w:rsidRPr="009565D4">
        <w:t xml:space="preserve">абз. 8 п. 4 ст. 179.4 БК РФ </w:t>
      </w:r>
      <w:r w:rsidRPr="009565D4">
        <w:rPr>
          <w:rFonts w:eastAsia="Calibri"/>
        </w:rPr>
        <w:t>бюджетные ассигнования дорожного фонда Волгоградской области в 2018 году необходимо увеличить за счёт ассигнований, не использованных в 2017 году</w:t>
      </w:r>
      <w:r w:rsidR="005731B2">
        <w:rPr>
          <w:rFonts w:eastAsia="Calibri"/>
        </w:rPr>
        <w:t>,</w:t>
      </w:r>
      <w:r w:rsidRPr="009565D4">
        <w:rPr>
          <w:rFonts w:eastAsia="Calibri"/>
        </w:rPr>
        <w:t xml:space="preserve"> на 1 688,9 млн. рублей.</w:t>
      </w:r>
    </w:p>
    <w:p w:rsidR="00E32453" w:rsidRPr="00BA0E99" w:rsidRDefault="00E32453" w:rsidP="00F1072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F02DAE" w:rsidRPr="001A0991" w:rsidRDefault="00F02DAE" w:rsidP="00F02DA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0991">
        <w:rPr>
          <w:b/>
        </w:rPr>
        <w:t>Сведения о кредиторской задолженности</w:t>
      </w:r>
    </w:p>
    <w:p w:rsidR="00F02DAE" w:rsidRPr="000F1388" w:rsidRDefault="00F02DAE" w:rsidP="00F02DAE">
      <w:pPr>
        <w:autoSpaceDE w:val="0"/>
        <w:autoSpaceDN w:val="0"/>
        <w:adjustRightInd w:val="0"/>
        <w:ind w:firstLine="709"/>
        <w:jc w:val="both"/>
      </w:pPr>
      <w:r w:rsidRPr="000F1388">
        <w:t>Кредиторская задолженность Облкомдортранса и Облкоминформтехнологи</w:t>
      </w:r>
      <w:r w:rsidR="008D2A8A" w:rsidRPr="000F1388">
        <w:t>й</w:t>
      </w:r>
      <w:r w:rsidRPr="000F1388">
        <w:t xml:space="preserve"> по расходам подраздела 0409 «Дорожное хозяйство (дорожные фонды)» в течение 2017 года увеличилась со 184,7 млн. руб. до 661,8 млн. руб., или в 3,6 раза (ф. 0503169). Информация об изменении кредиторской задолженности в разрезе направлений использования дорожного фонда представлена в следующей таблице.</w:t>
      </w:r>
    </w:p>
    <w:p w:rsidR="00F02DAE" w:rsidRPr="000F1388" w:rsidRDefault="00F02DAE" w:rsidP="00F02DAE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0F1388">
        <w:rPr>
          <w:i/>
          <w:sz w:val="22"/>
          <w:szCs w:val="22"/>
        </w:rPr>
        <w:t>млн. руб.</w:t>
      </w:r>
    </w:p>
    <w:tbl>
      <w:tblPr>
        <w:tblStyle w:val="af3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756"/>
        <w:gridCol w:w="1701"/>
        <w:gridCol w:w="1221"/>
      </w:tblGrid>
      <w:tr w:rsidR="00F02DAE" w:rsidRPr="00FF6B81" w:rsidTr="007737BD">
        <w:tc>
          <w:tcPr>
            <w:tcW w:w="496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02DAE" w:rsidRPr="001260D3" w:rsidRDefault="00F02DAE" w:rsidP="007737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60D3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3457" w:type="dxa"/>
            <w:gridSpan w:val="2"/>
            <w:tcBorders>
              <w:top w:val="double" w:sz="4" w:space="0" w:color="auto"/>
            </w:tcBorders>
            <w:vAlign w:val="center"/>
          </w:tcPr>
          <w:p w:rsidR="00F02DAE" w:rsidRPr="001260D3" w:rsidRDefault="00F02DAE" w:rsidP="007737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60D3">
              <w:rPr>
                <w:sz w:val="20"/>
                <w:szCs w:val="20"/>
              </w:rPr>
              <w:t>Объем кредиторской задолженности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02DAE" w:rsidRPr="001260D3" w:rsidRDefault="00F02DAE" w:rsidP="007737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60D3">
              <w:rPr>
                <w:sz w:val="20"/>
                <w:szCs w:val="20"/>
              </w:rPr>
              <w:t>Изменение</w:t>
            </w:r>
          </w:p>
        </w:tc>
      </w:tr>
      <w:tr w:rsidR="00F02DAE" w:rsidRPr="00FF6B81" w:rsidTr="007737BD">
        <w:tc>
          <w:tcPr>
            <w:tcW w:w="496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02DAE" w:rsidRPr="001260D3" w:rsidRDefault="00F02DAE" w:rsidP="007737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bottom w:val="double" w:sz="4" w:space="0" w:color="auto"/>
            </w:tcBorders>
            <w:vAlign w:val="center"/>
          </w:tcPr>
          <w:p w:rsidR="00F02DAE" w:rsidRPr="001260D3" w:rsidRDefault="00F02DAE" w:rsidP="007737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60D3">
              <w:rPr>
                <w:sz w:val="20"/>
                <w:szCs w:val="20"/>
              </w:rPr>
              <w:t>на 01.01.2017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F02DAE" w:rsidRPr="001260D3" w:rsidRDefault="00F02DAE" w:rsidP="007737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60D3">
              <w:rPr>
                <w:sz w:val="20"/>
                <w:szCs w:val="20"/>
              </w:rPr>
              <w:t>на 01.01.2018</w:t>
            </w:r>
          </w:p>
        </w:tc>
        <w:tc>
          <w:tcPr>
            <w:tcW w:w="122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02DAE" w:rsidRPr="001260D3" w:rsidRDefault="00F02DAE" w:rsidP="007737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DAE" w:rsidRPr="00FF6B81" w:rsidTr="007737BD"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b/>
                <w:bCs/>
                <w:sz w:val="20"/>
                <w:szCs w:val="20"/>
              </w:rPr>
            </w:pPr>
            <w:r w:rsidRPr="001260D3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7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2,7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</w:tr>
      <w:tr w:rsidR="00F02DAE" w:rsidRPr="00FF6B81" w:rsidTr="007737BD">
        <w:tc>
          <w:tcPr>
            <w:tcW w:w="496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b/>
                <w:bCs/>
                <w:sz w:val="20"/>
                <w:szCs w:val="20"/>
              </w:rPr>
            </w:pPr>
            <w:r w:rsidRPr="001260D3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756" w:type="dxa"/>
            <w:tcBorders>
              <w:top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605,9</w:t>
            </w:r>
          </w:p>
        </w:tc>
        <w:tc>
          <w:tcPr>
            <w:tcW w:w="122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423,9</w:t>
            </w:r>
          </w:p>
        </w:tc>
      </w:tr>
      <w:tr w:rsidR="00F02DAE" w:rsidRPr="00FF6B81" w:rsidTr="007737BD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i/>
                <w:sz w:val="20"/>
                <w:szCs w:val="20"/>
              </w:rPr>
            </w:pPr>
            <w:r w:rsidRPr="001260D3">
              <w:rPr>
                <w:i/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756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1,7</w:t>
            </w:r>
          </w:p>
        </w:tc>
        <w:tc>
          <w:tcPr>
            <w:tcW w:w="1701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30,7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29,0</w:t>
            </w:r>
          </w:p>
        </w:tc>
      </w:tr>
      <w:tr w:rsidR="00F02DAE" w:rsidRPr="00FF6B81" w:rsidTr="007737BD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i/>
                <w:sz w:val="20"/>
                <w:szCs w:val="20"/>
              </w:rPr>
            </w:pPr>
            <w:r w:rsidRPr="001260D3">
              <w:rPr>
                <w:i/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756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50,6</w:t>
            </w:r>
          </w:p>
        </w:tc>
        <w:tc>
          <w:tcPr>
            <w:tcW w:w="1701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252,7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202,1</w:t>
            </w:r>
          </w:p>
        </w:tc>
      </w:tr>
      <w:tr w:rsidR="00F02DAE" w:rsidRPr="00FF6B81" w:rsidTr="007737BD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i/>
                <w:sz w:val="20"/>
                <w:szCs w:val="20"/>
              </w:rPr>
            </w:pPr>
            <w:r w:rsidRPr="001260D3">
              <w:rPr>
                <w:i/>
                <w:sz w:val="20"/>
                <w:szCs w:val="2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1756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9,2</w:t>
            </w:r>
          </w:p>
        </w:tc>
        <w:tc>
          <w:tcPr>
            <w:tcW w:w="1701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257,4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248,2</w:t>
            </w:r>
          </w:p>
        </w:tc>
      </w:tr>
      <w:tr w:rsidR="00F02DAE" w:rsidRPr="00FF6B81" w:rsidTr="007737BD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i/>
                <w:sz w:val="20"/>
                <w:szCs w:val="20"/>
              </w:rPr>
            </w:pPr>
            <w:r w:rsidRPr="001260D3">
              <w:rPr>
                <w:i/>
                <w:sz w:val="20"/>
                <w:szCs w:val="20"/>
              </w:rPr>
              <w:t>Предоставление МБТ бюджетам муниципальных образований на дорожную деятельность</w:t>
            </w:r>
          </w:p>
        </w:tc>
        <w:tc>
          <w:tcPr>
            <w:tcW w:w="1756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115,6</w:t>
            </w:r>
          </w:p>
        </w:tc>
        <w:tc>
          <w:tcPr>
            <w:tcW w:w="1701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22,3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-93,3</w:t>
            </w:r>
          </w:p>
        </w:tc>
      </w:tr>
      <w:tr w:rsidR="00F02DAE" w:rsidRPr="00FF6B81" w:rsidTr="007737BD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i/>
                <w:sz w:val="20"/>
                <w:szCs w:val="20"/>
              </w:rPr>
            </w:pPr>
            <w:r w:rsidRPr="001260D3">
              <w:rPr>
                <w:i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56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4,9</w:t>
            </w:r>
          </w:p>
        </w:tc>
        <w:tc>
          <w:tcPr>
            <w:tcW w:w="1701" w:type="dxa"/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42,8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37,9</w:t>
            </w:r>
          </w:p>
        </w:tc>
      </w:tr>
      <w:tr w:rsidR="00F02DAE" w:rsidRPr="00FF6B81" w:rsidTr="007737BD"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b/>
                <w:bCs/>
                <w:sz w:val="20"/>
                <w:szCs w:val="20"/>
              </w:rPr>
            </w:pPr>
            <w:r w:rsidRPr="001260D3">
              <w:rPr>
                <w:b/>
                <w:bCs/>
                <w:sz w:val="20"/>
                <w:szCs w:val="20"/>
              </w:rPr>
              <w:t>ГП «Защита населения от ЧС»</w:t>
            </w:r>
          </w:p>
        </w:tc>
        <w:tc>
          <w:tcPr>
            <w:tcW w:w="17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55,9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55,9</w:t>
            </w:r>
          </w:p>
        </w:tc>
      </w:tr>
      <w:tr w:rsidR="00F02DAE" w:rsidRPr="00FF6B81" w:rsidTr="007737BD"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02DAE" w:rsidRPr="001260D3" w:rsidRDefault="00F02DAE" w:rsidP="007737BD">
            <w:pPr>
              <w:rPr>
                <w:b/>
                <w:bCs/>
                <w:sz w:val="20"/>
                <w:szCs w:val="20"/>
              </w:rPr>
            </w:pPr>
            <w:r w:rsidRPr="001260D3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184,7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661,8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2DAE" w:rsidRDefault="00F02DAE" w:rsidP="00773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477,1</w:t>
            </w:r>
          </w:p>
        </w:tc>
      </w:tr>
    </w:tbl>
    <w:p w:rsidR="00F02DAE" w:rsidRDefault="00F02DAE" w:rsidP="00F02DAE">
      <w:pPr>
        <w:autoSpaceDE w:val="0"/>
        <w:autoSpaceDN w:val="0"/>
        <w:adjustRightInd w:val="0"/>
        <w:ind w:firstLine="709"/>
        <w:jc w:val="center"/>
        <w:rPr>
          <w:b/>
          <w:color w:val="FF0000"/>
        </w:rPr>
      </w:pPr>
    </w:p>
    <w:p w:rsidR="00F02DAE" w:rsidRDefault="00F02DAE" w:rsidP="00F02DAE">
      <w:pPr>
        <w:autoSpaceDE w:val="0"/>
        <w:autoSpaceDN w:val="0"/>
        <w:adjustRightInd w:val="0"/>
        <w:ind w:firstLine="709"/>
        <w:jc w:val="both"/>
      </w:pPr>
      <w:r w:rsidRPr="003B6E41">
        <w:t>Основной объем кредиторской задолженности сложился по мероприятиям ГП «Развитие транспортной системы» - содержание областных дорог (252,7 млн.</w:t>
      </w:r>
      <w:r>
        <w:t xml:space="preserve"> </w:t>
      </w:r>
      <w:r w:rsidRPr="003B6E41">
        <w:t>руб.) и строительство и реконструкция автомобильных дорог общего пользования (257,4 млн.</w:t>
      </w:r>
      <w:r>
        <w:t xml:space="preserve"> </w:t>
      </w:r>
      <w:r w:rsidRPr="003B6E41">
        <w:t>руб.).</w:t>
      </w:r>
    </w:p>
    <w:p w:rsidR="00F02DAE" w:rsidRDefault="00F02DAE" w:rsidP="00F02DAE">
      <w:pPr>
        <w:autoSpaceDE w:val="0"/>
        <w:autoSpaceDN w:val="0"/>
        <w:adjustRightInd w:val="0"/>
        <w:ind w:firstLine="709"/>
        <w:jc w:val="both"/>
      </w:pPr>
      <w:r>
        <w:t>По данным Облкомдортранса причиной образования кредиторской задолженности явилось отсутствие финансирования по заявкам на оплату расходов.</w:t>
      </w:r>
    </w:p>
    <w:p w:rsidR="00F02DAE" w:rsidRDefault="00F02DAE" w:rsidP="00F02DAE">
      <w:pPr>
        <w:autoSpaceDE w:val="0"/>
        <w:autoSpaceDN w:val="0"/>
        <w:adjustRightInd w:val="0"/>
        <w:ind w:firstLine="709"/>
        <w:jc w:val="both"/>
      </w:pPr>
      <w:r>
        <w:t xml:space="preserve">По мероприятию «Строительство и </w:t>
      </w:r>
      <w:r w:rsidRPr="008D2A8A">
        <w:t>реконструкция автомобильных дорог общего пользования» наибольший объем задолженности (133,1 млн. руб.) пришелся на объект «Реконструкция автомобильной дороги «Шоссе Авиаторов</w:t>
      </w:r>
      <w:r>
        <w:t>»</w:t>
      </w:r>
      <w:r w:rsidRPr="002C046A">
        <w:t xml:space="preserve"> от международного аэропорта Волгоград до ул. Историческая (</w:t>
      </w:r>
      <w:r>
        <w:t>«</w:t>
      </w:r>
      <w:r w:rsidRPr="002C046A">
        <w:t>Самарский разъезд</w:t>
      </w:r>
      <w:r>
        <w:t>»</w:t>
      </w:r>
      <w:r w:rsidRPr="002C046A">
        <w:t>)</w:t>
      </w:r>
      <w:r>
        <w:t>.</w:t>
      </w:r>
    </w:p>
    <w:p w:rsidR="00E6129B" w:rsidRPr="002B28DC" w:rsidRDefault="00E6129B" w:rsidP="00E6129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2B28DC">
        <w:rPr>
          <w:b/>
        </w:rPr>
        <w:lastRenderedPageBreak/>
        <w:t xml:space="preserve">Показатели результативности использования </w:t>
      </w:r>
    </w:p>
    <w:p w:rsidR="00E6129B" w:rsidRPr="002B28DC" w:rsidRDefault="00E6129B" w:rsidP="00E6129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2B28DC">
        <w:rPr>
          <w:b/>
        </w:rPr>
        <w:t>бюджетных ассигнований дорожного фонда</w:t>
      </w:r>
    </w:p>
    <w:p w:rsidR="00204F31" w:rsidRPr="002B28DC" w:rsidRDefault="00CC0354" w:rsidP="008512D0">
      <w:pPr>
        <w:autoSpaceDE w:val="0"/>
        <w:autoSpaceDN w:val="0"/>
        <w:adjustRightInd w:val="0"/>
        <w:ind w:firstLine="709"/>
        <w:jc w:val="both"/>
      </w:pPr>
      <w:r w:rsidRPr="002B28DC">
        <w:t xml:space="preserve">Ожидаемые конечные результаты использования средств дорожного фонда установлены </w:t>
      </w:r>
      <w:r w:rsidR="00C94174" w:rsidRPr="002B28DC">
        <w:t>г</w:t>
      </w:r>
      <w:r w:rsidR="00204F31" w:rsidRPr="002B28DC">
        <w:t>осударственными программами</w:t>
      </w:r>
      <w:r w:rsidR="00685C59" w:rsidRPr="002B28DC">
        <w:t>. Информация о достижении целевых показателей представлена в таблице.</w:t>
      </w:r>
    </w:p>
    <w:p w:rsidR="0042477B" w:rsidRDefault="0042477B" w:rsidP="008512D0">
      <w:pPr>
        <w:autoSpaceDE w:val="0"/>
        <w:autoSpaceDN w:val="0"/>
        <w:adjustRightInd w:val="0"/>
        <w:ind w:firstLine="709"/>
        <w:jc w:val="both"/>
        <w:rPr>
          <w:color w:val="00B050"/>
        </w:rPr>
      </w:pPr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244"/>
        <w:gridCol w:w="567"/>
        <w:gridCol w:w="992"/>
        <w:gridCol w:w="992"/>
        <w:gridCol w:w="850"/>
        <w:gridCol w:w="710"/>
      </w:tblGrid>
      <w:tr w:rsidR="00C30E24" w:rsidRPr="0042477B" w:rsidTr="00F75B8B">
        <w:trPr>
          <w:trHeight w:val="72"/>
        </w:trPr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  <w:r w:rsidRPr="0042477B">
              <w:rPr>
                <w:color w:val="000000"/>
                <w:sz w:val="20"/>
                <w:szCs w:val="20"/>
              </w:rPr>
              <w:t xml:space="preserve"> п/п </w:t>
            </w:r>
          </w:p>
        </w:tc>
        <w:tc>
          <w:tcPr>
            <w:tcW w:w="524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544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42477B">
              <w:rPr>
                <w:sz w:val="20"/>
                <w:szCs w:val="20"/>
              </w:rPr>
              <w:t>Значения целевых показателей</w:t>
            </w:r>
          </w:p>
        </w:tc>
      </w:tr>
      <w:tr w:rsidR="00C30E24" w:rsidRPr="0042477B" w:rsidTr="00F75B8B">
        <w:trPr>
          <w:trHeight w:val="118"/>
        </w:trPr>
        <w:tc>
          <w:tcPr>
            <w:tcW w:w="42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30E24" w:rsidRPr="0042477B" w:rsidRDefault="00C30E24" w:rsidP="004247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30E24" w:rsidRPr="0042477B" w:rsidRDefault="00C30E24" w:rsidP="004247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30E24" w:rsidRPr="0042477B" w:rsidRDefault="00C30E24" w:rsidP="004247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jc w:val="center"/>
              <w:rPr>
                <w:sz w:val="20"/>
                <w:szCs w:val="20"/>
              </w:rPr>
            </w:pPr>
            <w:r w:rsidRPr="0042477B"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jc w:val="center"/>
              <w:rPr>
                <w:sz w:val="20"/>
                <w:szCs w:val="20"/>
              </w:rPr>
            </w:pPr>
            <w:r w:rsidRPr="0042477B">
              <w:rPr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отклон.</w:t>
            </w:r>
          </w:p>
        </w:tc>
        <w:tc>
          <w:tcPr>
            <w:tcW w:w="710" w:type="dxa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C30E24" w:rsidRDefault="00C30E24" w:rsidP="008D2A8A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C30E24" w:rsidRPr="0042477B" w:rsidTr="00F75B8B">
        <w:trPr>
          <w:trHeight w:val="60"/>
        </w:trPr>
        <w:tc>
          <w:tcPr>
            <w:tcW w:w="9781" w:type="dxa"/>
            <w:gridSpan w:val="7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477B">
              <w:rPr>
                <w:b/>
                <w:bCs/>
                <w:color w:val="000000"/>
                <w:sz w:val="20"/>
                <w:szCs w:val="20"/>
              </w:rPr>
              <w:t xml:space="preserve">ГП </w:t>
            </w:r>
            <w:r>
              <w:rPr>
                <w:b/>
                <w:bCs/>
                <w:color w:val="000000"/>
                <w:sz w:val="20"/>
                <w:szCs w:val="20"/>
              </w:rPr>
              <w:t>«Р</w:t>
            </w:r>
            <w:r w:rsidRPr="0042477B">
              <w:rPr>
                <w:b/>
                <w:bCs/>
                <w:color w:val="000000"/>
                <w:sz w:val="20"/>
                <w:szCs w:val="20"/>
              </w:rPr>
              <w:t>азвитие сельских территорий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C30E24" w:rsidRPr="0042477B" w:rsidTr="00F75B8B">
        <w:trPr>
          <w:trHeight w:val="122"/>
        </w:trPr>
        <w:tc>
          <w:tcPr>
            <w:tcW w:w="42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8D2A8A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Ввод в эксплуатацию автодорог </w:t>
            </w:r>
            <w:r w:rsidR="008D2A8A">
              <w:rPr>
                <w:color w:val="000000"/>
                <w:sz w:val="20"/>
                <w:szCs w:val="20"/>
              </w:rPr>
              <w:t>…, ведущих…</w:t>
            </w:r>
            <w:r w:rsidRPr="0042477B">
              <w:rPr>
                <w:color w:val="000000"/>
                <w:sz w:val="20"/>
                <w:szCs w:val="20"/>
              </w:rPr>
              <w:t xml:space="preserve"> к ближайшим общественно значимым объектам сельских населенных пунктов</w:t>
            </w: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24,746</w:t>
            </w:r>
          </w:p>
        </w:tc>
        <w:tc>
          <w:tcPr>
            <w:tcW w:w="992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22,64</w:t>
            </w:r>
          </w:p>
        </w:tc>
        <w:tc>
          <w:tcPr>
            <w:tcW w:w="850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FF0000"/>
                <w:sz w:val="18"/>
                <w:szCs w:val="18"/>
              </w:rPr>
            </w:pPr>
            <w:r w:rsidRPr="0042477B">
              <w:rPr>
                <w:color w:val="FF0000"/>
                <w:sz w:val="18"/>
                <w:szCs w:val="18"/>
              </w:rPr>
              <w:t>-2,106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jc w:val="right"/>
              <w:rPr>
                <w:color w:val="FF0000"/>
                <w:sz w:val="18"/>
                <w:szCs w:val="18"/>
              </w:rPr>
            </w:pPr>
            <w:r w:rsidRPr="00C30E24">
              <w:rPr>
                <w:color w:val="FF0000"/>
                <w:sz w:val="18"/>
                <w:szCs w:val="18"/>
              </w:rPr>
              <w:t>-8,5%</w:t>
            </w:r>
          </w:p>
        </w:tc>
      </w:tr>
      <w:tr w:rsidR="00C30E24" w:rsidRPr="0042477B" w:rsidTr="00F75B8B">
        <w:trPr>
          <w:trHeight w:val="300"/>
        </w:trPr>
        <w:tc>
          <w:tcPr>
            <w:tcW w:w="9781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jc w:val="center"/>
              <w:rPr>
                <w:b/>
                <w:bCs/>
                <w:sz w:val="20"/>
                <w:szCs w:val="20"/>
              </w:rPr>
            </w:pPr>
            <w:r w:rsidRPr="0042477B">
              <w:rPr>
                <w:b/>
                <w:bCs/>
                <w:sz w:val="20"/>
                <w:szCs w:val="20"/>
              </w:rPr>
              <w:t xml:space="preserve">ГП </w:t>
            </w:r>
            <w:r w:rsidRPr="008618A9">
              <w:rPr>
                <w:b/>
                <w:bCs/>
                <w:sz w:val="20"/>
                <w:szCs w:val="20"/>
              </w:rPr>
              <w:t>«</w:t>
            </w:r>
            <w:r w:rsidRPr="0042477B">
              <w:rPr>
                <w:b/>
                <w:bCs/>
                <w:sz w:val="20"/>
                <w:szCs w:val="20"/>
              </w:rPr>
              <w:t>Развитие транспортной системы</w:t>
            </w:r>
            <w:r w:rsidRPr="008618A9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C30E24" w:rsidRPr="0042477B" w:rsidTr="00F75B8B">
        <w:trPr>
          <w:trHeight w:val="70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Протяженность сети</w:t>
            </w:r>
            <w:r>
              <w:rPr>
                <w:color w:val="000000"/>
                <w:sz w:val="20"/>
                <w:szCs w:val="20"/>
              </w:rPr>
              <w:t xml:space="preserve"> областных и местных</w:t>
            </w:r>
            <w:r w:rsidRPr="0042477B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/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26 702,272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/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26 697,293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color w:val="FF0000"/>
                <w:sz w:val="18"/>
                <w:szCs w:val="18"/>
              </w:rPr>
            </w:pPr>
            <w:r w:rsidRPr="0042477B">
              <w:rPr>
                <w:color w:val="FF0000"/>
                <w:sz w:val="18"/>
                <w:szCs w:val="18"/>
              </w:rPr>
              <w:t>-4,979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color w:val="FF0000"/>
                <w:sz w:val="18"/>
                <w:szCs w:val="18"/>
              </w:rPr>
            </w:pPr>
            <w:r w:rsidRPr="00C30E24">
              <w:rPr>
                <w:color w:val="FF0000"/>
                <w:sz w:val="18"/>
                <w:szCs w:val="18"/>
              </w:rPr>
              <w:t>0,0%</w:t>
            </w:r>
          </w:p>
        </w:tc>
      </w:tr>
      <w:tr w:rsidR="00C30E24" w:rsidRPr="0042477B" w:rsidTr="00F75B8B">
        <w:trPr>
          <w:trHeight w:val="70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D2A8A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Прирост протяженности сети </w:t>
            </w:r>
            <w:r>
              <w:rPr>
                <w:color w:val="000000"/>
                <w:sz w:val="20"/>
                <w:szCs w:val="20"/>
              </w:rPr>
              <w:t>областных и местных дорог</w:t>
            </w:r>
            <w:r w:rsidRPr="0042477B">
              <w:rPr>
                <w:color w:val="000000"/>
                <w:sz w:val="20"/>
                <w:szCs w:val="20"/>
              </w:rPr>
              <w:t xml:space="preserve"> в результате строительства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58,106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52,271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color w:val="FF0000"/>
                <w:sz w:val="18"/>
                <w:szCs w:val="18"/>
              </w:rPr>
            </w:pPr>
            <w:r w:rsidRPr="0042477B">
              <w:rPr>
                <w:color w:val="FF0000"/>
                <w:sz w:val="18"/>
                <w:szCs w:val="18"/>
              </w:rPr>
              <w:t>-5,835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color w:val="FF0000"/>
                <w:sz w:val="18"/>
                <w:szCs w:val="18"/>
              </w:rPr>
            </w:pPr>
            <w:r w:rsidRPr="00C30E24">
              <w:rPr>
                <w:color w:val="FF0000"/>
                <w:sz w:val="18"/>
                <w:szCs w:val="18"/>
              </w:rPr>
              <w:t>-10,0%</w:t>
            </w:r>
          </w:p>
        </w:tc>
      </w:tr>
      <w:tr w:rsidR="00C30E24" w:rsidRPr="0042477B" w:rsidTr="00F75B8B">
        <w:trPr>
          <w:trHeight w:val="70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D2A8A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Прирост протяженности </w:t>
            </w:r>
            <w:r>
              <w:rPr>
                <w:color w:val="000000"/>
                <w:sz w:val="20"/>
                <w:szCs w:val="20"/>
              </w:rPr>
              <w:t>областных и местных дорог,</w:t>
            </w:r>
            <w:r w:rsidRPr="0042477B">
              <w:rPr>
                <w:color w:val="000000"/>
                <w:sz w:val="20"/>
                <w:szCs w:val="20"/>
              </w:rPr>
              <w:t xml:space="preserve"> соответ</w:t>
            </w:r>
            <w:r>
              <w:rPr>
                <w:color w:val="000000"/>
                <w:sz w:val="20"/>
                <w:szCs w:val="20"/>
              </w:rPr>
              <w:t>ствующих нормативным требованиям</w:t>
            </w:r>
            <w:r w:rsidRPr="0042477B">
              <w:rPr>
                <w:color w:val="000000"/>
                <w:sz w:val="20"/>
                <w:szCs w:val="20"/>
              </w:rPr>
              <w:t xml:space="preserve">, в результате реконструкции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12,066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0,527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color w:val="FF0000"/>
                <w:sz w:val="18"/>
                <w:szCs w:val="18"/>
              </w:rPr>
            </w:pPr>
            <w:r w:rsidRPr="0042477B">
              <w:rPr>
                <w:color w:val="FF0000"/>
                <w:sz w:val="18"/>
                <w:szCs w:val="18"/>
              </w:rPr>
              <w:t>-11,539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color w:val="FF0000"/>
                <w:sz w:val="18"/>
                <w:szCs w:val="18"/>
              </w:rPr>
            </w:pPr>
            <w:r w:rsidRPr="00C30E24">
              <w:rPr>
                <w:color w:val="FF0000"/>
                <w:sz w:val="18"/>
                <w:szCs w:val="18"/>
              </w:rPr>
              <w:t>-95,6%</w:t>
            </w:r>
          </w:p>
        </w:tc>
      </w:tr>
      <w:tr w:rsidR="00C30E24" w:rsidRPr="0042477B" w:rsidTr="00F75B8B">
        <w:trPr>
          <w:trHeight w:val="244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F75B8B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Протяж</w:t>
            </w:r>
            <w:r w:rsidR="00F75B8B">
              <w:rPr>
                <w:color w:val="000000"/>
                <w:sz w:val="20"/>
                <w:szCs w:val="20"/>
              </w:rPr>
              <w:t>енность</w:t>
            </w:r>
            <w:r w:rsidRPr="0042477B">
              <w:rPr>
                <w:color w:val="000000"/>
                <w:sz w:val="20"/>
                <w:szCs w:val="20"/>
              </w:rPr>
              <w:t xml:space="preserve"> построенных (реконструированных) </w:t>
            </w:r>
            <w:r>
              <w:rPr>
                <w:color w:val="000000"/>
                <w:sz w:val="20"/>
                <w:szCs w:val="20"/>
              </w:rPr>
              <w:t>областных дорог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24,055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13,768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color w:val="FF0000"/>
                <w:sz w:val="18"/>
                <w:szCs w:val="18"/>
              </w:rPr>
            </w:pPr>
            <w:r w:rsidRPr="0042477B">
              <w:rPr>
                <w:color w:val="FF0000"/>
                <w:sz w:val="18"/>
                <w:szCs w:val="18"/>
              </w:rPr>
              <w:t>-10,287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color w:val="FF0000"/>
                <w:sz w:val="18"/>
                <w:szCs w:val="18"/>
              </w:rPr>
            </w:pPr>
            <w:r w:rsidRPr="00C30E24">
              <w:rPr>
                <w:color w:val="FF0000"/>
                <w:sz w:val="18"/>
                <w:szCs w:val="18"/>
              </w:rPr>
              <w:t>-42,8%</w:t>
            </w:r>
          </w:p>
        </w:tc>
      </w:tr>
      <w:tr w:rsidR="00C30E24" w:rsidRPr="0042477B" w:rsidTr="00F75B8B">
        <w:trPr>
          <w:trHeight w:val="322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D2A8A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Доля протяженности </w:t>
            </w:r>
            <w:r>
              <w:rPr>
                <w:color w:val="000000"/>
                <w:sz w:val="20"/>
                <w:szCs w:val="20"/>
              </w:rPr>
              <w:t>областных дорог</w:t>
            </w:r>
            <w:r w:rsidRPr="0042477B">
              <w:rPr>
                <w:color w:val="000000"/>
                <w:sz w:val="20"/>
                <w:szCs w:val="20"/>
              </w:rPr>
              <w:t>, соответствующих нормативным требованиям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38,0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C30E24">
              <w:rPr>
                <w:sz w:val="18"/>
                <w:szCs w:val="18"/>
              </w:rPr>
              <w:t>0,0%</w:t>
            </w:r>
          </w:p>
        </w:tc>
      </w:tr>
      <w:tr w:rsidR="00C30E24" w:rsidRPr="0042477B" w:rsidTr="00F75B8B">
        <w:trPr>
          <w:trHeight w:val="70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D2A8A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Прирост протяженности </w:t>
            </w:r>
            <w:r>
              <w:rPr>
                <w:color w:val="000000"/>
                <w:sz w:val="20"/>
                <w:szCs w:val="20"/>
              </w:rPr>
              <w:t>областных и местных дорог</w:t>
            </w:r>
            <w:r w:rsidRPr="0042477B">
              <w:rPr>
                <w:color w:val="000000"/>
                <w:sz w:val="20"/>
                <w:szCs w:val="20"/>
              </w:rPr>
              <w:t>, соответствующих нормативным требованиям, в результате</w:t>
            </w:r>
            <w:r w:rsidR="008D2A8A">
              <w:rPr>
                <w:color w:val="000000"/>
                <w:sz w:val="20"/>
                <w:szCs w:val="20"/>
              </w:rPr>
              <w:t xml:space="preserve"> капитального ремонта и ремонта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121,4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129,4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8,0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C30E24">
              <w:rPr>
                <w:sz w:val="18"/>
                <w:szCs w:val="18"/>
              </w:rPr>
              <w:t>6,6%</w:t>
            </w:r>
          </w:p>
        </w:tc>
      </w:tr>
      <w:tr w:rsidR="00C30E24" w:rsidRPr="0042477B" w:rsidTr="00F75B8B">
        <w:trPr>
          <w:trHeight w:val="199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D2A8A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Доля протяженности </w:t>
            </w:r>
            <w:r>
              <w:rPr>
                <w:color w:val="000000"/>
                <w:sz w:val="20"/>
                <w:szCs w:val="20"/>
              </w:rPr>
              <w:t>областных и местных дорог</w:t>
            </w:r>
            <w:r w:rsidRPr="0042477B">
              <w:rPr>
                <w:color w:val="000000"/>
                <w:sz w:val="20"/>
                <w:szCs w:val="20"/>
              </w:rPr>
              <w:t>, соответствующих нормативным требованиям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28,8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28,8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C30E24">
              <w:rPr>
                <w:sz w:val="18"/>
                <w:szCs w:val="18"/>
              </w:rPr>
              <w:t>0,0%</w:t>
            </w:r>
          </w:p>
        </w:tc>
      </w:tr>
      <w:tr w:rsidR="00C30E24" w:rsidRPr="0042477B" w:rsidTr="00F75B8B">
        <w:trPr>
          <w:trHeight w:val="70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D2A8A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Увеличение количества сельских населенных пунктов, обеспеченных </w:t>
            </w:r>
            <w:r w:rsidR="008D2A8A">
              <w:rPr>
                <w:color w:val="000000"/>
                <w:sz w:val="20"/>
                <w:szCs w:val="20"/>
              </w:rPr>
              <w:t>связью с сетью авто</w:t>
            </w:r>
            <w:r w:rsidRPr="0042477B">
              <w:rPr>
                <w:color w:val="000000"/>
                <w:sz w:val="20"/>
                <w:szCs w:val="20"/>
              </w:rPr>
              <w:t xml:space="preserve">дорог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C30E24">
              <w:rPr>
                <w:sz w:val="18"/>
                <w:szCs w:val="18"/>
              </w:rPr>
              <w:t>0,0%</w:t>
            </w:r>
          </w:p>
        </w:tc>
      </w:tr>
      <w:tr w:rsidR="00C30E24" w:rsidRPr="0042477B" w:rsidTr="00F75B8B">
        <w:trPr>
          <w:trHeight w:val="301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618A9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Площадь приведенных в нормативное состояние </w:t>
            </w:r>
            <w:r>
              <w:rPr>
                <w:color w:val="000000"/>
                <w:sz w:val="20"/>
                <w:szCs w:val="20"/>
              </w:rPr>
              <w:t>местных дорог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тыс. кв. 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1 430,90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1 425,77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color w:val="FF0000"/>
                <w:sz w:val="18"/>
                <w:szCs w:val="18"/>
              </w:rPr>
            </w:pPr>
            <w:r w:rsidRPr="0042477B">
              <w:rPr>
                <w:color w:val="FF0000"/>
                <w:sz w:val="18"/>
                <w:szCs w:val="18"/>
              </w:rPr>
              <w:t>-5,13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color w:val="FF0000"/>
                <w:sz w:val="18"/>
                <w:szCs w:val="18"/>
              </w:rPr>
            </w:pPr>
            <w:r w:rsidRPr="00C30E24">
              <w:rPr>
                <w:color w:val="FF0000"/>
                <w:sz w:val="18"/>
                <w:szCs w:val="18"/>
              </w:rPr>
              <w:t>-0,4%</w:t>
            </w:r>
          </w:p>
        </w:tc>
      </w:tr>
      <w:tr w:rsidR="00C30E24" w:rsidRPr="0042477B" w:rsidTr="00F75B8B">
        <w:trPr>
          <w:trHeight w:val="252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618A9">
            <w:pPr>
              <w:ind w:right="-108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Протяженность построенных и реконструированных объектов дорожного хозяйства Волгограда в рамках подготовки к</w:t>
            </w:r>
            <w:r>
              <w:rPr>
                <w:color w:val="000000"/>
                <w:sz w:val="20"/>
                <w:szCs w:val="20"/>
              </w:rPr>
              <w:t xml:space="preserve"> ЧМ-2018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14,069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3,782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color w:val="FF0000"/>
                <w:sz w:val="18"/>
                <w:szCs w:val="18"/>
              </w:rPr>
            </w:pPr>
            <w:r w:rsidRPr="0042477B">
              <w:rPr>
                <w:color w:val="FF0000"/>
                <w:sz w:val="18"/>
                <w:szCs w:val="18"/>
              </w:rPr>
              <w:t>-10,287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color w:val="FF0000"/>
                <w:sz w:val="18"/>
                <w:szCs w:val="18"/>
              </w:rPr>
            </w:pPr>
            <w:r w:rsidRPr="00C30E24">
              <w:rPr>
                <w:color w:val="FF0000"/>
                <w:sz w:val="18"/>
                <w:szCs w:val="18"/>
              </w:rPr>
              <w:t>-73,1%</w:t>
            </w:r>
          </w:p>
        </w:tc>
      </w:tr>
      <w:tr w:rsidR="00C30E24" w:rsidRPr="0042477B" w:rsidTr="00F75B8B">
        <w:trPr>
          <w:trHeight w:val="261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8618A9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Площадь приведенных в нормативное состояние </w:t>
            </w:r>
            <w:r>
              <w:rPr>
                <w:color w:val="000000"/>
                <w:sz w:val="20"/>
                <w:szCs w:val="20"/>
              </w:rPr>
              <w:t>местных дорог</w:t>
            </w:r>
            <w:r w:rsidRPr="0042477B">
              <w:rPr>
                <w:color w:val="000000"/>
                <w:sz w:val="20"/>
                <w:szCs w:val="20"/>
              </w:rPr>
              <w:t xml:space="preserve"> Волгограда в рамках подготовки к </w:t>
            </w:r>
            <w:r>
              <w:rPr>
                <w:color w:val="000000"/>
                <w:sz w:val="20"/>
                <w:szCs w:val="20"/>
              </w:rPr>
              <w:t>ЧМ-</w:t>
            </w:r>
            <w:r w:rsidRPr="0042477B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F359D8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тыс. кв. 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219,00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219,00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0,00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C30E24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C30E24">
              <w:rPr>
                <w:sz w:val="18"/>
                <w:szCs w:val="18"/>
              </w:rPr>
              <w:t>0,0%</w:t>
            </w:r>
          </w:p>
        </w:tc>
      </w:tr>
      <w:tr w:rsidR="00C30E24" w:rsidRPr="0042477B" w:rsidTr="00F75B8B">
        <w:trPr>
          <w:trHeight w:val="138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F75B8B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Число лиц, погибших в </w:t>
            </w:r>
            <w:r w:rsidR="00F75B8B">
              <w:rPr>
                <w:color w:val="000000"/>
                <w:sz w:val="20"/>
                <w:szCs w:val="20"/>
              </w:rPr>
              <w:t>ДТП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335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301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34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F75B8B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F75B8B">
              <w:rPr>
                <w:sz w:val="18"/>
                <w:szCs w:val="18"/>
              </w:rPr>
              <w:t>10,1%</w:t>
            </w:r>
          </w:p>
        </w:tc>
      </w:tr>
      <w:tr w:rsidR="00C30E24" w:rsidRPr="0042477B" w:rsidTr="00F75B8B">
        <w:trPr>
          <w:trHeight w:val="170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F75B8B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Социальный риск (число лиц, погибших в </w:t>
            </w:r>
            <w:r w:rsidR="00F75B8B">
              <w:rPr>
                <w:color w:val="000000"/>
                <w:sz w:val="20"/>
                <w:szCs w:val="20"/>
              </w:rPr>
              <w:t>ДТП</w:t>
            </w:r>
            <w:r w:rsidRPr="0042477B">
              <w:rPr>
                <w:color w:val="000000"/>
                <w:sz w:val="20"/>
                <w:szCs w:val="20"/>
              </w:rPr>
              <w:t>, на 100 тыс. населения)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13,27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11,87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1,4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F75B8B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F75B8B">
              <w:rPr>
                <w:sz w:val="18"/>
                <w:szCs w:val="18"/>
              </w:rPr>
              <w:t>10,6%</w:t>
            </w:r>
          </w:p>
        </w:tc>
      </w:tr>
      <w:tr w:rsidR="00C30E24" w:rsidRPr="0042477B" w:rsidTr="00F75B8B">
        <w:trPr>
          <w:trHeight w:val="70"/>
        </w:trPr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0E24" w:rsidRPr="0042477B" w:rsidRDefault="00C30E24" w:rsidP="00F75B8B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Транспортный риск (число лиц, погибших в </w:t>
            </w:r>
            <w:r w:rsidR="00F75B8B">
              <w:rPr>
                <w:color w:val="000000"/>
                <w:sz w:val="20"/>
                <w:szCs w:val="20"/>
              </w:rPr>
              <w:t>ДТП</w:t>
            </w:r>
            <w:r w:rsidRPr="0042477B">
              <w:rPr>
                <w:color w:val="000000"/>
                <w:sz w:val="20"/>
                <w:szCs w:val="20"/>
              </w:rPr>
              <w:t>, на 10 тыс. транспортных средств)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2,45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2,17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0,28</w:t>
            </w:r>
          </w:p>
        </w:tc>
        <w:tc>
          <w:tcPr>
            <w:tcW w:w="71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C30E24" w:rsidRPr="00F75B8B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F75B8B">
              <w:rPr>
                <w:sz w:val="18"/>
                <w:szCs w:val="18"/>
              </w:rPr>
              <w:t>11,4%</w:t>
            </w:r>
          </w:p>
        </w:tc>
      </w:tr>
      <w:tr w:rsidR="00C30E24" w:rsidRPr="0042477B" w:rsidTr="00F75B8B">
        <w:trPr>
          <w:trHeight w:val="70"/>
        </w:trPr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4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F75B8B">
            <w:pPr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 xml:space="preserve">Число детей, погибших в </w:t>
            </w:r>
            <w:r w:rsidR="00F75B8B">
              <w:rPr>
                <w:color w:val="000000"/>
                <w:sz w:val="20"/>
                <w:szCs w:val="20"/>
              </w:rPr>
              <w:t>ДТП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center"/>
              <w:rPr>
                <w:color w:val="000000"/>
                <w:sz w:val="20"/>
                <w:szCs w:val="20"/>
              </w:rPr>
            </w:pPr>
            <w:r w:rsidRPr="0042477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30E24" w:rsidRPr="0042477B" w:rsidRDefault="00C30E24" w:rsidP="0042477B">
            <w:pPr>
              <w:jc w:val="right"/>
              <w:rPr>
                <w:sz w:val="18"/>
                <w:szCs w:val="18"/>
              </w:rPr>
            </w:pPr>
            <w:r w:rsidRPr="0042477B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0E24" w:rsidRPr="00F75B8B" w:rsidRDefault="00C30E24" w:rsidP="00C30E24">
            <w:pPr>
              <w:ind w:left="-107"/>
              <w:jc w:val="right"/>
              <w:rPr>
                <w:sz w:val="18"/>
                <w:szCs w:val="18"/>
              </w:rPr>
            </w:pPr>
            <w:r w:rsidRPr="00F75B8B">
              <w:rPr>
                <w:sz w:val="18"/>
                <w:szCs w:val="18"/>
              </w:rPr>
              <w:t>16,7%</w:t>
            </w:r>
          </w:p>
        </w:tc>
      </w:tr>
    </w:tbl>
    <w:p w:rsidR="0042477B" w:rsidRPr="00F53455" w:rsidRDefault="0042477B" w:rsidP="008512D0">
      <w:pPr>
        <w:autoSpaceDE w:val="0"/>
        <w:autoSpaceDN w:val="0"/>
        <w:adjustRightInd w:val="0"/>
        <w:ind w:firstLine="709"/>
        <w:jc w:val="both"/>
        <w:rPr>
          <w:color w:val="00B050"/>
        </w:rPr>
      </w:pPr>
    </w:p>
    <w:p w:rsidR="00DC4466" w:rsidRPr="00857590" w:rsidRDefault="00DC4466" w:rsidP="008512D0">
      <w:pPr>
        <w:autoSpaceDE w:val="0"/>
        <w:autoSpaceDN w:val="0"/>
        <w:adjustRightInd w:val="0"/>
        <w:ind w:firstLine="709"/>
        <w:jc w:val="both"/>
      </w:pPr>
      <w:r w:rsidRPr="00857590">
        <w:t xml:space="preserve">В 2017 году не достигнуты значения </w:t>
      </w:r>
      <w:r w:rsidR="008618A9" w:rsidRPr="00857590">
        <w:t>семи</w:t>
      </w:r>
      <w:r w:rsidRPr="00857590">
        <w:t xml:space="preserve"> целевых показателей</w:t>
      </w:r>
      <w:r w:rsidR="008D2A8A" w:rsidRPr="00857590">
        <w:t xml:space="preserve"> из шестнадцати</w:t>
      </w:r>
      <w:r w:rsidRPr="00857590">
        <w:t>:</w:t>
      </w:r>
    </w:p>
    <w:p w:rsidR="00DC4466" w:rsidRPr="00857590" w:rsidRDefault="00DC4466" w:rsidP="008512D0">
      <w:pPr>
        <w:autoSpaceDE w:val="0"/>
        <w:autoSpaceDN w:val="0"/>
        <w:adjustRightInd w:val="0"/>
        <w:ind w:firstLine="709"/>
        <w:jc w:val="both"/>
      </w:pPr>
      <w:r w:rsidRPr="00857590">
        <w:t>-</w:t>
      </w:r>
      <w:r w:rsidR="00CC514B" w:rsidRPr="00857590">
        <w:t xml:space="preserve">показатели </w:t>
      </w:r>
      <w:r w:rsidR="00857590" w:rsidRPr="00857590">
        <w:t>№</w:t>
      </w:r>
      <w:r w:rsidR="00CC514B" w:rsidRPr="00857590">
        <w:t>№</w:t>
      </w:r>
      <w:r w:rsidR="00857590" w:rsidRPr="00857590">
        <w:t xml:space="preserve"> 1, </w:t>
      </w:r>
      <w:r w:rsidR="00CC514B" w:rsidRPr="00857590">
        <w:t>2</w:t>
      </w:r>
      <w:r w:rsidRPr="00857590">
        <w:t xml:space="preserve"> </w:t>
      </w:r>
      <w:r w:rsidR="00D24F56" w:rsidRPr="00857590">
        <w:t xml:space="preserve">и </w:t>
      </w:r>
      <w:r w:rsidR="00CC514B" w:rsidRPr="00857590">
        <w:t xml:space="preserve">3 </w:t>
      </w:r>
      <w:r w:rsidR="00857590" w:rsidRPr="00857590">
        <w:t xml:space="preserve">- </w:t>
      </w:r>
      <w:r w:rsidRPr="00857590">
        <w:t xml:space="preserve">не введены </w:t>
      </w:r>
      <w:r w:rsidR="00C75F5D" w:rsidRPr="00857590">
        <w:t>в эксплуатацию</w:t>
      </w:r>
      <w:r w:rsidRPr="00857590">
        <w:t xml:space="preserve"> </w:t>
      </w:r>
      <w:r w:rsidR="00857590" w:rsidRPr="00857590">
        <w:t xml:space="preserve">2 объекта - «Строительство автомобильной дороги «Волжский - Лиман Казенный» в Среднеахтубинском муниципальном районе» протяженностью 2,430 км </w:t>
      </w:r>
      <w:r w:rsidR="00C75F5D" w:rsidRPr="00857590">
        <w:t>и</w:t>
      </w:r>
      <w:r w:rsidRPr="00857590">
        <w:t xml:space="preserve"> </w:t>
      </w:r>
      <w:r w:rsidR="00857590" w:rsidRPr="00857590">
        <w:t>«С</w:t>
      </w:r>
      <w:r w:rsidRPr="00857590">
        <w:t>троительство 0-й Продольной магистрали (рокадной дороги) с примыканием автомобильных дорог по ул. им. Калинина в Ворошиловском районе и ул. Химической в Центральном районе Волгограда</w:t>
      </w:r>
      <w:r w:rsidR="00857590" w:rsidRPr="00857590">
        <w:t>»</w:t>
      </w:r>
      <w:r w:rsidR="00C75F5D" w:rsidRPr="00857590">
        <w:t xml:space="preserve"> </w:t>
      </w:r>
      <w:r w:rsidR="00857590" w:rsidRPr="00857590">
        <w:t>протяжённостью</w:t>
      </w:r>
      <w:r w:rsidRPr="00857590">
        <w:t xml:space="preserve"> 3,410 км</w:t>
      </w:r>
      <w:r w:rsidR="00C75F5D" w:rsidRPr="00857590">
        <w:t>;</w:t>
      </w:r>
    </w:p>
    <w:p w:rsidR="00022529" w:rsidRDefault="00022529" w:rsidP="008512D0">
      <w:pPr>
        <w:autoSpaceDE w:val="0"/>
        <w:autoSpaceDN w:val="0"/>
        <w:adjustRightInd w:val="0"/>
        <w:ind w:firstLine="709"/>
        <w:jc w:val="both"/>
      </w:pPr>
      <w:r w:rsidRPr="00857590">
        <w:t>-</w:t>
      </w:r>
      <w:r w:rsidR="00CC514B" w:rsidRPr="00857590">
        <w:t xml:space="preserve">показатели </w:t>
      </w:r>
      <w:r w:rsidR="00857590" w:rsidRPr="00857590">
        <w:t>№</w:t>
      </w:r>
      <w:r w:rsidR="00CC514B" w:rsidRPr="00857590">
        <w:t>№</w:t>
      </w:r>
      <w:r w:rsidR="00857590" w:rsidRPr="00857590">
        <w:t> </w:t>
      </w:r>
      <w:r w:rsidR="00CC514B" w:rsidRPr="00857590">
        <w:t>4</w:t>
      </w:r>
      <w:r w:rsidR="00857590" w:rsidRPr="00857590">
        <w:t>,</w:t>
      </w:r>
      <w:r w:rsidR="00CC514B" w:rsidRPr="00857590">
        <w:t xml:space="preserve"> </w:t>
      </w:r>
      <w:r w:rsidR="00AA470A" w:rsidRPr="00857590">
        <w:t>5</w:t>
      </w:r>
      <w:r w:rsidR="00857590" w:rsidRPr="00857590">
        <w:t xml:space="preserve"> и </w:t>
      </w:r>
      <w:r w:rsidR="00AA470A" w:rsidRPr="00857590">
        <w:t xml:space="preserve">11 </w:t>
      </w:r>
      <w:r w:rsidR="00857590" w:rsidRPr="00857590">
        <w:t>- не заверше</w:t>
      </w:r>
      <w:r w:rsidR="00AA470A" w:rsidRPr="00857590">
        <w:t>н</w:t>
      </w:r>
      <w:r w:rsidR="002B28DC">
        <w:t>а</w:t>
      </w:r>
      <w:r w:rsidR="00AA470A" w:rsidRPr="00857590">
        <w:t xml:space="preserve"> </w:t>
      </w:r>
      <w:r w:rsidR="00792B20" w:rsidRPr="00857590">
        <w:t>р</w:t>
      </w:r>
      <w:r w:rsidR="00AA470A" w:rsidRPr="00857590">
        <w:t>еконструкци</w:t>
      </w:r>
      <w:r w:rsidR="002B28DC">
        <w:t>я</w:t>
      </w:r>
      <w:r w:rsidR="00AA470A" w:rsidRPr="00857590">
        <w:t xml:space="preserve"> автомобильной дороги </w:t>
      </w:r>
      <w:r w:rsidR="00792B20" w:rsidRPr="00857590">
        <w:t>«Шоссе Авиаторов»</w:t>
      </w:r>
      <w:r w:rsidR="00AA470A" w:rsidRPr="00857590">
        <w:t xml:space="preserve"> от международного аэропорта Волгоград до ул. Историческая (</w:t>
      </w:r>
      <w:r w:rsidR="00792B20" w:rsidRPr="00857590">
        <w:t>«Самарский разъезд»</w:t>
      </w:r>
      <w:r w:rsidR="00AA470A" w:rsidRPr="00857590">
        <w:t>)</w:t>
      </w:r>
      <w:r w:rsidR="00857590" w:rsidRPr="00857590">
        <w:t>»</w:t>
      </w:r>
      <w:r w:rsidR="00AA470A" w:rsidRPr="00857590">
        <w:t xml:space="preserve"> </w:t>
      </w:r>
      <w:r w:rsidR="00792B20" w:rsidRPr="00857590">
        <w:t>протяженностью 10,287 км</w:t>
      </w:r>
      <w:r w:rsidR="00857590" w:rsidRPr="00857590">
        <w:t>.</w:t>
      </w:r>
    </w:p>
    <w:p w:rsidR="006C6832" w:rsidRDefault="006C6832" w:rsidP="008512D0">
      <w:pPr>
        <w:autoSpaceDE w:val="0"/>
        <w:autoSpaceDN w:val="0"/>
        <w:adjustRightInd w:val="0"/>
        <w:ind w:firstLine="709"/>
        <w:jc w:val="both"/>
      </w:pPr>
    </w:p>
    <w:p w:rsidR="006C6832" w:rsidRDefault="006C6832" w:rsidP="008512D0">
      <w:pPr>
        <w:autoSpaceDE w:val="0"/>
        <w:autoSpaceDN w:val="0"/>
        <w:adjustRightInd w:val="0"/>
        <w:ind w:firstLine="709"/>
        <w:jc w:val="both"/>
      </w:pPr>
    </w:p>
    <w:p w:rsidR="006C6832" w:rsidRDefault="006C6832" w:rsidP="008512D0">
      <w:pPr>
        <w:autoSpaceDE w:val="0"/>
        <w:autoSpaceDN w:val="0"/>
        <w:adjustRightInd w:val="0"/>
        <w:ind w:firstLine="709"/>
        <w:jc w:val="both"/>
      </w:pPr>
    </w:p>
    <w:p w:rsidR="009D5611" w:rsidRPr="00D043E3" w:rsidRDefault="009D5611" w:rsidP="009D5611">
      <w:pPr>
        <w:autoSpaceDE w:val="0"/>
        <w:autoSpaceDN w:val="0"/>
        <w:adjustRightInd w:val="0"/>
        <w:jc w:val="center"/>
        <w:rPr>
          <w:b/>
        </w:rPr>
      </w:pPr>
      <w:r w:rsidRPr="00D043E3">
        <w:rPr>
          <w:b/>
        </w:rPr>
        <w:lastRenderedPageBreak/>
        <w:t>Программа комплексного развития транспортной инфраструктуры</w:t>
      </w:r>
    </w:p>
    <w:p w:rsidR="009D5611" w:rsidRPr="0014482F" w:rsidRDefault="009D5611" w:rsidP="009D5611">
      <w:pPr>
        <w:autoSpaceDE w:val="0"/>
        <w:autoSpaceDN w:val="0"/>
        <w:adjustRightInd w:val="0"/>
        <w:jc w:val="center"/>
        <w:rPr>
          <w:b/>
        </w:rPr>
      </w:pPr>
      <w:r w:rsidRPr="0014482F">
        <w:rPr>
          <w:b/>
        </w:rPr>
        <w:t>Волгоградской городской агломерации</w:t>
      </w:r>
    </w:p>
    <w:p w:rsidR="009D5611" w:rsidRPr="002B28DC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FB6926">
        <w:rPr>
          <w:rFonts w:eastAsia="Calibri"/>
        </w:rPr>
        <w:t>С 2017 года в рамках ГП «Развитие транспортной системы» осуществляется реализация «Программы комплексного развития транспортной инфраструктуры Волгоградской городской агломерации» (далее – ПКРТИ)</w:t>
      </w:r>
      <w:r w:rsidRPr="00FB6926">
        <w:t xml:space="preserve">, которая разработана в рамках основного мероприятия «Приоритетный проект «Безопасные и качественные дороги» государственной </w:t>
      </w:r>
      <w:hyperlink r:id="rId10" w:history="1">
        <w:r w:rsidRPr="00FB6926">
          <w:t>программы</w:t>
        </w:r>
      </w:hyperlink>
      <w:r w:rsidRPr="00FB6926">
        <w:t xml:space="preserve"> Российской Федерации «Развитие транспортной системы», утверждённой </w:t>
      </w:r>
      <w:r w:rsidRPr="00FB6926">
        <w:rPr>
          <w:rFonts w:eastAsia="Calibri"/>
        </w:rPr>
        <w:t>постановлением Правительства РФ от 15.04.2014 № 319</w:t>
      </w:r>
      <w:r w:rsidRPr="00FB6926">
        <w:t xml:space="preserve"> (далее – </w:t>
      </w:r>
      <w:r w:rsidRPr="002B28DC">
        <w:t>Приоритетный проект)</w:t>
      </w:r>
      <w:r w:rsidR="00FB6926" w:rsidRPr="002B28DC">
        <w:t xml:space="preserve"> (д</w:t>
      </w:r>
      <w:r w:rsidRPr="002B28DC">
        <w:rPr>
          <w:rFonts w:eastAsia="Calibri"/>
          <w:iCs/>
        </w:rPr>
        <w:t xml:space="preserve">окумент утратил силу с </w:t>
      </w:r>
      <w:hyperlink r:id="rId11" w:history="1">
        <w:r w:rsidRPr="002B28DC">
          <w:rPr>
            <w:rFonts w:eastAsia="Calibri"/>
            <w:iCs/>
          </w:rPr>
          <w:t>1 января 2018 года</w:t>
        </w:r>
      </w:hyperlink>
      <w:r w:rsidRPr="002B28DC">
        <w:rPr>
          <w:rFonts w:eastAsia="Calibri"/>
          <w:iCs/>
        </w:rPr>
        <w:t xml:space="preserve"> в связи с изданием </w:t>
      </w:r>
      <w:hyperlink r:id="rId12" w:history="1">
        <w:r w:rsidRPr="002B28DC">
          <w:rPr>
            <w:rFonts w:eastAsia="Calibri"/>
            <w:iCs/>
          </w:rPr>
          <w:t>постановления</w:t>
        </w:r>
      </w:hyperlink>
      <w:r w:rsidRPr="002B28DC">
        <w:rPr>
          <w:rFonts w:eastAsia="Calibri"/>
          <w:iCs/>
        </w:rPr>
        <w:t xml:space="preserve"> Правительства РФ от 20.12.2017 </w:t>
      </w:r>
      <w:r w:rsidR="00FB6926" w:rsidRPr="002B28DC">
        <w:rPr>
          <w:rFonts w:eastAsia="Calibri"/>
          <w:iCs/>
        </w:rPr>
        <w:t>№</w:t>
      </w:r>
      <w:r w:rsidRPr="002B28DC">
        <w:rPr>
          <w:rFonts w:eastAsia="Calibri"/>
          <w:iCs/>
        </w:rPr>
        <w:t xml:space="preserve"> 1596, утвердившего новую программу</w:t>
      </w:r>
      <w:r w:rsidR="00FB6926" w:rsidRPr="002B28DC">
        <w:rPr>
          <w:rFonts w:eastAsia="Calibri"/>
          <w:iCs/>
        </w:rPr>
        <w:t>)</w:t>
      </w:r>
      <w:r w:rsidRPr="002B28DC">
        <w:rPr>
          <w:rFonts w:eastAsia="Calibri"/>
          <w:iCs/>
        </w:rPr>
        <w:t>.</w:t>
      </w:r>
    </w:p>
    <w:p w:rsidR="002773F7" w:rsidRPr="002B28DC" w:rsidRDefault="002773F7" w:rsidP="002773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  <w:iCs/>
        </w:rPr>
        <w:t xml:space="preserve">Транспортная инфраструктура </w:t>
      </w:r>
      <w:r w:rsidRPr="002B28DC">
        <w:rPr>
          <w:rFonts w:eastAsia="Calibri"/>
        </w:rPr>
        <w:t xml:space="preserve">Волгоградской городской агломерации включает </w:t>
      </w:r>
      <w:r w:rsidR="002C0018" w:rsidRPr="002B28DC">
        <w:rPr>
          <w:rFonts w:eastAsia="Calibri"/>
        </w:rPr>
        <w:t xml:space="preserve">1 609,5 км автомобильных дорог, в том числе </w:t>
      </w:r>
      <w:r w:rsidRPr="002B28DC">
        <w:rPr>
          <w:rFonts w:eastAsia="Calibri"/>
        </w:rPr>
        <w:t>1 224,1 км областных и местных дорог и улиц площадью 11 593,9 тыс. кв. м.</w:t>
      </w:r>
    </w:p>
    <w:tbl>
      <w:tblPr>
        <w:tblW w:w="929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042"/>
        <w:gridCol w:w="2990"/>
      </w:tblGrid>
      <w:tr w:rsidR="002773F7" w:rsidRPr="002B28DC" w:rsidTr="000573DE">
        <w:trPr>
          <w:trHeight w:val="116"/>
          <w:jc w:val="center"/>
        </w:trPr>
        <w:tc>
          <w:tcPr>
            <w:tcW w:w="32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2773F7" w:rsidRPr="002B28DC" w:rsidRDefault="002773F7" w:rsidP="00BB01B9">
            <w:pPr>
              <w:jc w:val="center"/>
              <w:rPr>
                <w:b/>
                <w:sz w:val="20"/>
                <w:szCs w:val="20"/>
              </w:rPr>
            </w:pPr>
            <w:r w:rsidRPr="002B28D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0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2773F7" w:rsidRPr="002B28DC" w:rsidRDefault="002773F7" w:rsidP="000573DE">
            <w:pPr>
              <w:jc w:val="center"/>
              <w:rPr>
                <w:b/>
                <w:sz w:val="20"/>
                <w:szCs w:val="20"/>
              </w:rPr>
            </w:pPr>
            <w:r w:rsidRPr="002B28DC">
              <w:rPr>
                <w:b/>
                <w:sz w:val="20"/>
                <w:szCs w:val="20"/>
              </w:rPr>
              <w:t>Протяженность, км</w:t>
            </w:r>
          </w:p>
        </w:tc>
        <w:tc>
          <w:tcPr>
            <w:tcW w:w="29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2773F7" w:rsidRPr="002B28DC" w:rsidRDefault="002773F7" w:rsidP="00BB01B9">
            <w:pPr>
              <w:jc w:val="center"/>
              <w:rPr>
                <w:b/>
                <w:sz w:val="20"/>
                <w:szCs w:val="20"/>
              </w:rPr>
            </w:pPr>
            <w:r w:rsidRPr="002B28DC">
              <w:rPr>
                <w:b/>
                <w:sz w:val="20"/>
                <w:szCs w:val="20"/>
              </w:rPr>
              <w:t>Площадь покрытия, тыс.кв.м</w:t>
            </w:r>
          </w:p>
        </w:tc>
      </w:tr>
      <w:tr w:rsidR="002773F7" w:rsidRPr="002B28DC" w:rsidTr="000573DE">
        <w:trPr>
          <w:trHeight w:val="134"/>
          <w:jc w:val="center"/>
        </w:trPr>
        <w:tc>
          <w:tcPr>
            <w:tcW w:w="32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2773F7" w:rsidRPr="002B28DC" w:rsidRDefault="002773F7" w:rsidP="002C0018">
            <w:pPr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В</w:t>
            </w:r>
            <w:r w:rsidR="002C0018" w:rsidRPr="002B28DC">
              <w:rPr>
                <w:sz w:val="20"/>
                <w:szCs w:val="20"/>
              </w:rPr>
              <w:t>СЕГО</w:t>
            </w:r>
          </w:p>
        </w:tc>
        <w:tc>
          <w:tcPr>
            <w:tcW w:w="30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2773F7" w:rsidRPr="002B28DC" w:rsidRDefault="000573DE" w:rsidP="002C0018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1 6</w:t>
            </w:r>
            <w:r w:rsidR="002C0018" w:rsidRPr="002B28DC">
              <w:rPr>
                <w:sz w:val="20"/>
                <w:szCs w:val="20"/>
              </w:rPr>
              <w:t>09</w:t>
            </w:r>
            <w:r w:rsidRPr="002B28DC">
              <w:rPr>
                <w:sz w:val="20"/>
                <w:szCs w:val="20"/>
              </w:rPr>
              <w:t>,</w:t>
            </w:r>
            <w:r w:rsidR="002C0018" w:rsidRPr="002B28DC">
              <w:rPr>
                <w:sz w:val="20"/>
                <w:szCs w:val="20"/>
              </w:rPr>
              <w:t>5</w:t>
            </w:r>
          </w:p>
        </w:tc>
        <w:tc>
          <w:tcPr>
            <w:tcW w:w="29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2773F7" w:rsidRPr="002B28DC" w:rsidRDefault="002C0018" w:rsidP="00BB01B9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15 155,4</w:t>
            </w:r>
          </w:p>
        </w:tc>
      </w:tr>
      <w:tr w:rsidR="000573DE" w:rsidRPr="002B28DC" w:rsidTr="000573DE">
        <w:trPr>
          <w:trHeight w:val="134"/>
          <w:jc w:val="center"/>
        </w:trPr>
        <w:tc>
          <w:tcPr>
            <w:tcW w:w="32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0573DE" w:rsidRPr="002B28DC" w:rsidRDefault="000573DE" w:rsidP="00BB01B9">
            <w:pPr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Федеральные дороги</w:t>
            </w:r>
          </w:p>
        </w:tc>
        <w:tc>
          <w:tcPr>
            <w:tcW w:w="30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0573DE" w:rsidRPr="002B28DC" w:rsidRDefault="000573DE" w:rsidP="002C0018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358,</w:t>
            </w:r>
            <w:r w:rsidR="002C0018" w:rsidRPr="002B28DC">
              <w:rPr>
                <w:sz w:val="20"/>
                <w:szCs w:val="20"/>
              </w:rPr>
              <w:t>4</w:t>
            </w:r>
          </w:p>
        </w:tc>
        <w:tc>
          <w:tcPr>
            <w:tcW w:w="29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0573DE" w:rsidRPr="002B28DC" w:rsidRDefault="000573DE" w:rsidP="00BB01B9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3 561,5</w:t>
            </w:r>
          </w:p>
        </w:tc>
      </w:tr>
      <w:tr w:rsidR="000573DE" w:rsidRPr="002B28DC" w:rsidTr="000573DE">
        <w:trPr>
          <w:trHeight w:val="134"/>
          <w:jc w:val="center"/>
        </w:trPr>
        <w:tc>
          <w:tcPr>
            <w:tcW w:w="32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0573DE" w:rsidRPr="002B28DC" w:rsidRDefault="000573DE" w:rsidP="000573DE">
            <w:pPr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Всего областных и местных дорог</w:t>
            </w:r>
          </w:p>
        </w:tc>
        <w:tc>
          <w:tcPr>
            <w:tcW w:w="30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0573DE" w:rsidRPr="002B28DC" w:rsidRDefault="000573DE" w:rsidP="000573DE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1 224,1</w:t>
            </w:r>
          </w:p>
        </w:tc>
        <w:tc>
          <w:tcPr>
            <w:tcW w:w="29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0573DE" w:rsidRPr="002B28DC" w:rsidRDefault="000573DE" w:rsidP="000573DE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11 593,9</w:t>
            </w:r>
          </w:p>
        </w:tc>
      </w:tr>
      <w:tr w:rsidR="000573DE" w:rsidRPr="002B28DC" w:rsidTr="000573DE">
        <w:trPr>
          <w:trHeight w:val="166"/>
          <w:jc w:val="center"/>
        </w:trPr>
        <w:tc>
          <w:tcPr>
            <w:tcW w:w="32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Областные дороги</w:t>
            </w:r>
          </w:p>
        </w:tc>
        <w:tc>
          <w:tcPr>
            <w:tcW w:w="304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518,4</w:t>
            </w:r>
          </w:p>
        </w:tc>
        <w:tc>
          <w:tcPr>
            <w:tcW w:w="299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3 786,0</w:t>
            </w:r>
          </w:p>
        </w:tc>
      </w:tr>
      <w:tr w:rsidR="000573DE" w:rsidRPr="002B28DC" w:rsidTr="000573DE">
        <w:trPr>
          <w:trHeight w:val="70"/>
          <w:jc w:val="center"/>
        </w:trPr>
        <w:tc>
          <w:tcPr>
            <w:tcW w:w="326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Местные дороги, в том числе:</w:t>
            </w:r>
          </w:p>
        </w:tc>
        <w:tc>
          <w:tcPr>
            <w:tcW w:w="3042" w:type="dxa"/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705,7</w:t>
            </w:r>
          </w:p>
        </w:tc>
        <w:tc>
          <w:tcPr>
            <w:tcW w:w="299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jc w:val="center"/>
              <w:rPr>
                <w:sz w:val="20"/>
                <w:szCs w:val="20"/>
              </w:rPr>
            </w:pPr>
            <w:r w:rsidRPr="002B28DC">
              <w:rPr>
                <w:sz w:val="20"/>
                <w:szCs w:val="20"/>
              </w:rPr>
              <w:t>7 807,8</w:t>
            </w:r>
          </w:p>
        </w:tc>
      </w:tr>
      <w:tr w:rsidR="000573DE" w:rsidRPr="002B28DC" w:rsidTr="000573DE">
        <w:trPr>
          <w:trHeight w:val="70"/>
          <w:jc w:val="center"/>
        </w:trPr>
        <w:tc>
          <w:tcPr>
            <w:tcW w:w="326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rPr>
                <w:i/>
                <w:sz w:val="20"/>
                <w:szCs w:val="20"/>
              </w:rPr>
            </w:pPr>
            <w:r w:rsidRPr="002B28DC">
              <w:rPr>
                <w:i/>
                <w:sz w:val="20"/>
                <w:szCs w:val="20"/>
              </w:rPr>
              <w:t>г.Волгоград</w:t>
            </w:r>
          </w:p>
        </w:tc>
        <w:tc>
          <w:tcPr>
            <w:tcW w:w="3042" w:type="dxa"/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jc w:val="center"/>
              <w:rPr>
                <w:i/>
                <w:sz w:val="20"/>
                <w:szCs w:val="20"/>
              </w:rPr>
            </w:pPr>
            <w:r w:rsidRPr="002B28DC">
              <w:rPr>
                <w:i/>
                <w:sz w:val="20"/>
                <w:szCs w:val="20"/>
              </w:rPr>
              <w:t>641,0</w:t>
            </w:r>
          </w:p>
        </w:tc>
        <w:tc>
          <w:tcPr>
            <w:tcW w:w="299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jc w:val="center"/>
              <w:rPr>
                <w:i/>
                <w:sz w:val="20"/>
                <w:szCs w:val="20"/>
              </w:rPr>
            </w:pPr>
            <w:r w:rsidRPr="002B28DC">
              <w:rPr>
                <w:i/>
                <w:sz w:val="20"/>
                <w:szCs w:val="20"/>
              </w:rPr>
              <w:t>6 981,1</w:t>
            </w:r>
          </w:p>
        </w:tc>
      </w:tr>
      <w:tr w:rsidR="000573DE" w:rsidRPr="00233D35" w:rsidTr="000573DE">
        <w:trPr>
          <w:trHeight w:val="70"/>
          <w:jc w:val="center"/>
        </w:trPr>
        <w:tc>
          <w:tcPr>
            <w:tcW w:w="326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rPr>
                <w:i/>
                <w:sz w:val="20"/>
                <w:szCs w:val="20"/>
              </w:rPr>
            </w:pPr>
            <w:r w:rsidRPr="002B28DC">
              <w:rPr>
                <w:i/>
                <w:sz w:val="20"/>
                <w:szCs w:val="20"/>
              </w:rPr>
              <w:t>г.Волжский</w:t>
            </w:r>
          </w:p>
        </w:tc>
        <w:tc>
          <w:tcPr>
            <w:tcW w:w="304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B28DC" w:rsidRDefault="000573DE" w:rsidP="000573DE">
            <w:pPr>
              <w:jc w:val="center"/>
              <w:rPr>
                <w:i/>
                <w:sz w:val="20"/>
                <w:szCs w:val="20"/>
              </w:rPr>
            </w:pPr>
            <w:r w:rsidRPr="002B28DC">
              <w:rPr>
                <w:i/>
                <w:sz w:val="20"/>
                <w:szCs w:val="20"/>
              </w:rPr>
              <w:t>64,7</w:t>
            </w:r>
          </w:p>
        </w:tc>
        <w:tc>
          <w:tcPr>
            <w:tcW w:w="299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573DE" w:rsidRPr="00233D35" w:rsidRDefault="000573DE" w:rsidP="000573DE">
            <w:pPr>
              <w:jc w:val="center"/>
              <w:rPr>
                <w:i/>
                <w:sz w:val="20"/>
                <w:szCs w:val="20"/>
              </w:rPr>
            </w:pPr>
            <w:r w:rsidRPr="002B28DC">
              <w:rPr>
                <w:i/>
                <w:sz w:val="20"/>
                <w:szCs w:val="20"/>
              </w:rPr>
              <w:t>826,7</w:t>
            </w:r>
          </w:p>
        </w:tc>
      </w:tr>
    </w:tbl>
    <w:p w:rsidR="00DD4DB6" w:rsidRPr="00FB6926" w:rsidRDefault="00DD4DB6" w:rsidP="009D5611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</w:p>
    <w:p w:rsidR="004328C6" w:rsidRDefault="004328C6" w:rsidP="004328C6">
      <w:pPr>
        <w:autoSpaceDE w:val="0"/>
        <w:autoSpaceDN w:val="0"/>
        <w:adjustRightInd w:val="0"/>
        <w:ind w:firstLine="709"/>
        <w:jc w:val="both"/>
      </w:pPr>
      <w:r>
        <w:t xml:space="preserve">Целью ПКРТИ определено приведение в нормативное состояние дорожной сети Волгоградской городской агломерации (в 2018 году - не менее 50 % протяженности дорожной сети, в 2025 году - 85 %) и снижение в агломерации мест концентрации дорожно-транспортных происшествий в 2018 году (относительно уровня 2016 года) в 2 раза, в 2025 году - на 85 </w:t>
      </w:r>
      <w:r w:rsidR="00846E4C">
        <w:t>процентов</w:t>
      </w:r>
      <w:r>
        <w:t>)</w:t>
      </w:r>
      <w:r w:rsidR="005D7F77">
        <w:t>.</w:t>
      </w:r>
    </w:p>
    <w:p w:rsidR="004328C6" w:rsidRDefault="004328C6" w:rsidP="004328C6">
      <w:pPr>
        <w:autoSpaceDE w:val="0"/>
        <w:autoSpaceDN w:val="0"/>
        <w:adjustRightInd w:val="0"/>
        <w:ind w:firstLine="709"/>
        <w:jc w:val="both"/>
      </w:pPr>
      <w:r>
        <w:t xml:space="preserve">На реализацию ПКРТИ в части региональных, межмуниципальных и местных дорог планируется направить </w:t>
      </w:r>
      <w:r w:rsidR="005D7F77">
        <w:t xml:space="preserve">18 048,5 млн. руб., в том числе </w:t>
      </w:r>
      <w:r>
        <w:t>9 000,0 млн. руб. средств федерального бюджета (2017</w:t>
      </w:r>
      <w:r w:rsidR="00846E4C">
        <w:t xml:space="preserve"> г.</w:t>
      </w:r>
      <w:r>
        <w:t xml:space="preserve"> </w:t>
      </w:r>
      <w:r w:rsidR="00846E4C">
        <w:t xml:space="preserve">– </w:t>
      </w:r>
      <w:r>
        <w:t>1</w:t>
      </w:r>
      <w:r w:rsidR="00846E4C">
        <w:t xml:space="preserve"> </w:t>
      </w:r>
      <w:r>
        <w:t>200,0, 2018</w:t>
      </w:r>
      <w:r w:rsidR="00846E4C">
        <w:t xml:space="preserve"> г. – 800,0, 2019-</w:t>
      </w:r>
      <w:r>
        <w:t>2025</w:t>
      </w:r>
      <w:r w:rsidR="00846E4C">
        <w:t xml:space="preserve"> г.г.</w:t>
      </w:r>
      <w:r>
        <w:t xml:space="preserve"> – по 1000,0) и 9 0</w:t>
      </w:r>
      <w:r w:rsidR="005D7F77">
        <w:t>48</w:t>
      </w:r>
      <w:r>
        <w:t>,</w:t>
      </w:r>
      <w:r w:rsidR="005D7F77">
        <w:t>5</w:t>
      </w:r>
      <w:r>
        <w:t xml:space="preserve"> млн. руб. средств консолидированного бюджета Волгоградской области (2017</w:t>
      </w:r>
      <w:r w:rsidR="00846E4C">
        <w:t xml:space="preserve"> г.</w:t>
      </w:r>
      <w:r>
        <w:t xml:space="preserve"> </w:t>
      </w:r>
      <w:r w:rsidR="00846E4C">
        <w:t xml:space="preserve">– </w:t>
      </w:r>
      <w:r>
        <w:t>1</w:t>
      </w:r>
      <w:r w:rsidR="00846E4C">
        <w:t xml:space="preserve"> </w:t>
      </w:r>
      <w:r>
        <w:t>2</w:t>
      </w:r>
      <w:r w:rsidR="005D7F77">
        <w:t>10</w:t>
      </w:r>
      <w:r>
        <w:t>,</w:t>
      </w:r>
      <w:r w:rsidR="005D7F77">
        <w:t>4</w:t>
      </w:r>
      <w:r>
        <w:t>, 2018</w:t>
      </w:r>
      <w:r w:rsidR="00846E4C">
        <w:t xml:space="preserve"> г.</w:t>
      </w:r>
      <w:r>
        <w:t xml:space="preserve"> – 8</w:t>
      </w:r>
      <w:r w:rsidR="005D7F77">
        <w:t>38</w:t>
      </w:r>
      <w:r>
        <w:t>,</w:t>
      </w:r>
      <w:r w:rsidR="005D7F77">
        <w:t>1</w:t>
      </w:r>
      <w:r w:rsidR="00846E4C">
        <w:t>, 2019-</w:t>
      </w:r>
      <w:r>
        <w:t xml:space="preserve">2025 </w:t>
      </w:r>
      <w:r w:rsidR="00846E4C">
        <w:t xml:space="preserve">г.г. </w:t>
      </w:r>
      <w:r>
        <w:t>– по 1000,0).</w:t>
      </w:r>
    </w:p>
    <w:p w:rsidR="00F836AA" w:rsidRDefault="00F836AA" w:rsidP="004328C6">
      <w:pPr>
        <w:autoSpaceDE w:val="0"/>
        <w:autoSpaceDN w:val="0"/>
        <w:adjustRightInd w:val="0"/>
        <w:ind w:firstLine="709"/>
        <w:jc w:val="both"/>
      </w:pPr>
      <w:r>
        <w:t>Финансовое обеспечение мероприятий ПКРТИ в отношении дорог федерального значения осуществляется без участия областного бюджета</w:t>
      </w:r>
      <w:r w:rsidR="000D58C1">
        <w:t>, поэтому далее все данные приведены только в части областных и местных дорог Волгоградской городской агломерации.</w:t>
      </w:r>
    </w:p>
    <w:p w:rsidR="00830BD8" w:rsidRDefault="00830BD8" w:rsidP="00830BD8">
      <w:pPr>
        <w:autoSpaceDE w:val="0"/>
        <w:autoSpaceDN w:val="0"/>
        <w:adjustRightInd w:val="0"/>
        <w:ind w:firstLine="720"/>
        <w:jc w:val="both"/>
      </w:pPr>
      <w:r w:rsidRPr="00017493">
        <w:rPr>
          <w:rFonts w:eastAsia="Calibri"/>
        </w:rPr>
        <w:t xml:space="preserve">Согласно информации </w:t>
      </w:r>
      <w:r>
        <w:rPr>
          <w:rFonts w:eastAsia="Calibri"/>
        </w:rPr>
        <w:t>о</w:t>
      </w:r>
      <w:r w:rsidRPr="00017493">
        <w:rPr>
          <w:rFonts w:eastAsia="Calibri"/>
        </w:rPr>
        <w:t xml:space="preserve"> реализации ПКРТИ, предоставленной Облкомдортансом, по состоянию на 01.01.2018</w:t>
      </w:r>
      <w:r>
        <w:rPr>
          <w:rFonts w:eastAsia="Calibri"/>
        </w:rPr>
        <w:t xml:space="preserve"> все предусмотренные программой мероприятия выполнены, целевые показатели достигнуты.</w:t>
      </w:r>
    </w:p>
    <w:p w:rsidR="004328C6" w:rsidRDefault="005D7F77" w:rsidP="009D5611">
      <w:pPr>
        <w:autoSpaceDE w:val="0"/>
        <w:autoSpaceDN w:val="0"/>
        <w:adjustRightInd w:val="0"/>
        <w:ind w:firstLine="709"/>
        <w:jc w:val="both"/>
      </w:pPr>
      <w:r>
        <w:t xml:space="preserve">Обобщённые данные </w:t>
      </w:r>
      <w:r w:rsidR="00BB01B9">
        <w:t xml:space="preserve">об объёмах финансирования и </w:t>
      </w:r>
      <w:r>
        <w:t>о результатах реализации</w:t>
      </w:r>
      <w:r w:rsidRPr="005D7F77">
        <w:t xml:space="preserve"> </w:t>
      </w:r>
      <w:r>
        <w:t>ПКРТИ в 2017 году представлены в таблице.</w:t>
      </w:r>
    </w:p>
    <w:tbl>
      <w:tblPr>
        <w:tblStyle w:val="af3"/>
        <w:tblW w:w="97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701"/>
        <w:gridCol w:w="993"/>
        <w:gridCol w:w="992"/>
      </w:tblGrid>
      <w:tr w:rsidR="002773F7" w:rsidRPr="002C0018" w:rsidTr="00BB01B9">
        <w:tc>
          <w:tcPr>
            <w:tcW w:w="776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001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0018">
              <w:rPr>
                <w:b/>
                <w:sz w:val="20"/>
                <w:szCs w:val="20"/>
              </w:rPr>
              <w:t>2017 год</w:t>
            </w:r>
          </w:p>
        </w:tc>
      </w:tr>
      <w:tr w:rsidR="002773F7" w:rsidRPr="002C0018" w:rsidTr="00BB01B9">
        <w:tc>
          <w:tcPr>
            <w:tcW w:w="7763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2773F7" w:rsidRPr="002C0018" w:rsidRDefault="00BB01B9" w:rsidP="00BB01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0018">
              <w:rPr>
                <w:b/>
                <w:sz w:val="20"/>
                <w:szCs w:val="20"/>
              </w:rPr>
              <w:t>П</w:t>
            </w:r>
            <w:r w:rsidR="002773F7" w:rsidRPr="002C0018">
              <w:rPr>
                <w:b/>
                <w:sz w:val="20"/>
                <w:szCs w:val="20"/>
              </w:rPr>
              <w:t>лан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</w:tcPr>
          <w:p w:rsidR="002773F7" w:rsidRPr="002C0018" w:rsidRDefault="00BB01B9" w:rsidP="00BB01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0018">
              <w:rPr>
                <w:b/>
                <w:sz w:val="20"/>
                <w:szCs w:val="20"/>
              </w:rPr>
              <w:t>Отчёт</w:t>
            </w:r>
          </w:p>
        </w:tc>
      </w:tr>
      <w:tr w:rsidR="002773F7" w:rsidRPr="002C0018" w:rsidTr="00BB01B9">
        <w:tc>
          <w:tcPr>
            <w:tcW w:w="7763" w:type="dxa"/>
            <w:gridSpan w:val="2"/>
            <w:tcBorders>
              <w:left w:val="double" w:sz="4" w:space="0" w:color="auto"/>
            </w:tcBorders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0018">
              <w:rPr>
                <w:rFonts w:eastAsia="Calibri"/>
                <w:sz w:val="20"/>
                <w:szCs w:val="20"/>
              </w:rPr>
              <w:t>Объем финансирования всего</w:t>
            </w:r>
            <w:r w:rsidR="00BB01B9" w:rsidRPr="002C0018">
              <w:rPr>
                <w:rFonts w:eastAsia="Calibri"/>
                <w:sz w:val="20"/>
                <w:szCs w:val="20"/>
              </w:rPr>
              <w:t>, млн. руб.</w:t>
            </w:r>
            <w:r w:rsidRPr="002C0018">
              <w:rPr>
                <w:rFonts w:eastAsia="Calibri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vAlign w:val="center"/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</w:rPr>
            </w:pPr>
            <w:r w:rsidRPr="002C0018">
              <w:rPr>
                <w:rFonts w:eastAsia="Calibri"/>
                <w:sz w:val="20"/>
                <w:szCs w:val="20"/>
              </w:rPr>
              <w:t>2 410,42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</w:rPr>
            </w:pPr>
            <w:r w:rsidRPr="002C0018">
              <w:rPr>
                <w:rFonts w:eastAsia="Calibri"/>
                <w:sz w:val="20"/>
                <w:szCs w:val="20"/>
              </w:rPr>
              <w:t>2 410,42</w:t>
            </w:r>
          </w:p>
        </w:tc>
      </w:tr>
      <w:tr w:rsidR="002773F7" w:rsidRPr="002C0018" w:rsidTr="00BB01B9">
        <w:tc>
          <w:tcPr>
            <w:tcW w:w="7763" w:type="dxa"/>
            <w:gridSpan w:val="2"/>
            <w:tcBorders>
              <w:left w:val="double" w:sz="4" w:space="0" w:color="auto"/>
            </w:tcBorders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ind w:firstLine="426"/>
              <w:jc w:val="both"/>
              <w:rPr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1 200,00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2773F7" w:rsidRPr="002C0018" w:rsidRDefault="002773F7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1 200,00</w:t>
            </w:r>
          </w:p>
        </w:tc>
      </w:tr>
      <w:tr w:rsidR="00BB01B9" w:rsidRPr="002C0018" w:rsidTr="00BB01B9">
        <w:tc>
          <w:tcPr>
            <w:tcW w:w="7763" w:type="dxa"/>
            <w:gridSpan w:val="2"/>
            <w:tcBorders>
              <w:left w:val="double" w:sz="4" w:space="0" w:color="auto"/>
            </w:tcBorders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ind w:firstLine="426"/>
              <w:jc w:val="both"/>
              <w:rPr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1 114,97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1 114,97</w:t>
            </w:r>
          </w:p>
        </w:tc>
      </w:tr>
      <w:tr w:rsidR="00BB01B9" w:rsidRPr="002C0018" w:rsidTr="002C0018">
        <w:tc>
          <w:tcPr>
            <w:tcW w:w="7763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ind w:firstLine="426"/>
              <w:jc w:val="both"/>
              <w:rPr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95,45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sz w:val="20"/>
                <w:szCs w:val="20"/>
              </w:rPr>
            </w:pPr>
            <w:r w:rsidRPr="002C0018">
              <w:rPr>
                <w:rFonts w:eastAsia="Calibri"/>
                <w:i/>
                <w:sz w:val="20"/>
                <w:szCs w:val="20"/>
              </w:rPr>
              <w:t>95,45</w:t>
            </w:r>
          </w:p>
        </w:tc>
      </w:tr>
      <w:tr w:rsidR="00BB01B9" w:rsidRPr="002C0018" w:rsidTr="002C0018">
        <w:tc>
          <w:tcPr>
            <w:tcW w:w="606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C0018">
              <w:rPr>
                <w:b/>
                <w:sz w:val="20"/>
                <w:szCs w:val="20"/>
              </w:rPr>
              <w:t xml:space="preserve">Целевые показатели, </w:t>
            </w:r>
            <w:r w:rsidRPr="002C0018">
              <w:rPr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Базовое значение</w:t>
            </w:r>
          </w:p>
          <w:p w:rsidR="00BB01B9" w:rsidRPr="002C0018" w:rsidRDefault="00BB01B9" w:rsidP="00BB01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2016 год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B01B9" w:rsidRPr="002C0018" w:rsidTr="00BB01B9">
        <w:tc>
          <w:tcPr>
            <w:tcW w:w="6062" w:type="dxa"/>
            <w:tcBorders>
              <w:left w:val="double" w:sz="4" w:space="0" w:color="auto"/>
            </w:tcBorders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C0018">
              <w:rPr>
                <w:rFonts w:eastAsia="Calibri"/>
                <w:sz w:val="20"/>
                <w:szCs w:val="20"/>
              </w:rPr>
              <w:t>Доля протяженности дорожной сети Волгоградской городской агломерации, соответствующей нормативным требованиям</w:t>
            </w:r>
          </w:p>
        </w:tc>
        <w:tc>
          <w:tcPr>
            <w:tcW w:w="1701" w:type="dxa"/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41,34%</w:t>
            </w:r>
          </w:p>
        </w:tc>
        <w:tc>
          <w:tcPr>
            <w:tcW w:w="993" w:type="dxa"/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52,93%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52,93%</w:t>
            </w:r>
          </w:p>
        </w:tc>
      </w:tr>
      <w:tr w:rsidR="002C0018" w:rsidRPr="002C0018" w:rsidTr="00BB01B9">
        <w:tc>
          <w:tcPr>
            <w:tcW w:w="6062" w:type="dxa"/>
            <w:tcBorders>
              <w:left w:val="double" w:sz="4" w:space="0" w:color="auto"/>
              <w:bottom w:val="double" w:sz="4" w:space="0" w:color="auto"/>
            </w:tcBorders>
          </w:tcPr>
          <w:p w:rsidR="002C0018" w:rsidRPr="000C5966" w:rsidRDefault="002C0018" w:rsidP="00BB01B9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0C5966">
              <w:rPr>
                <w:rFonts w:eastAsia="Calibri"/>
                <w:i/>
                <w:sz w:val="20"/>
                <w:szCs w:val="20"/>
              </w:rPr>
              <w:t>В части областных и местных дорог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2C0018" w:rsidRPr="000C5966" w:rsidRDefault="002C0018" w:rsidP="00F836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5966">
              <w:rPr>
                <w:sz w:val="20"/>
                <w:szCs w:val="20"/>
              </w:rPr>
              <w:t>36,</w:t>
            </w:r>
            <w:r w:rsidR="00F836AA" w:rsidRPr="000C5966">
              <w:rPr>
                <w:sz w:val="20"/>
                <w:szCs w:val="20"/>
              </w:rPr>
              <w:t>49%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2C0018" w:rsidRPr="000C5966" w:rsidRDefault="00F836AA" w:rsidP="00BB01B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C5966">
              <w:rPr>
                <w:sz w:val="20"/>
                <w:szCs w:val="20"/>
              </w:rPr>
              <w:t>44,44%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C0018" w:rsidRPr="000C5966" w:rsidRDefault="00F836AA" w:rsidP="00BB01B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C5966">
              <w:rPr>
                <w:sz w:val="20"/>
                <w:szCs w:val="20"/>
              </w:rPr>
              <w:t>44,44%</w:t>
            </w:r>
          </w:p>
        </w:tc>
      </w:tr>
      <w:tr w:rsidR="00BB01B9" w:rsidRPr="00CA56E3" w:rsidTr="00BB01B9">
        <w:tc>
          <w:tcPr>
            <w:tcW w:w="6062" w:type="dxa"/>
            <w:tcBorders>
              <w:left w:val="double" w:sz="4" w:space="0" w:color="auto"/>
              <w:bottom w:val="double" w:sz="4" w:space="0" w:color="auto"/>
            </w:tcBorders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C0018">
              <w:rPr>
                <w:rFonts w:eastAsia="Calibri"/>
                <w:sz w:val="20"/>
                <w:szCs w:val="20"/>
              </w:rPr>
              <w:t>Снижение количества мест концентрации ДТП (аварийно опасных участков) на дорожной сети Волгоградской городской агломерации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100,0%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74,07%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B01B9" w:rsidRPr="002C0018" w:rsidRDefault="00BB01B9" w:rsidP="00BB01B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C0018">
              <w:rPr>
                <w:sz w:val="20"/>
                <w:szCs w:val="20"/>
              </w:rPr>
              <w:t>0,0%</w:t>
            </w:r>
          </w:p>
        </w:tc>
      </w:tr>
    </w:tbl>
    <w:p w:rsidR="002773F7" w:rsidRPr="000C5966" w:rsidRDefault="00BB01B9" w:rsidP="002773F7">
      <w:pPr>
        <w:autoSpaceDE w:val="0"/>
        <w:autoSpaceDN w:val="0"/>
        <w:adjustRightInd w:val="0"/>
        <w:ind w:firstLine="709"/>
        <w:jc w:val="both"/>
      </w:pPr>
      <w:r w:rsidRPr="00F836AA">
        <w:lastRenderedPageBreak/>
        <w:t>Отчётное</w:t>
      </w:r>
      <w:r w:rsidR="002773F7" w:rsidRPr="00F836AA">
        <w:t xml:space="preserve"> значение целевого показателя «Снижение количества мест концентрации ДТП (</w:t>
      </w:r>
      <w:r w:rsidR="002773F7" w:rsidRPr="000C5966">
        <w:t>аварийно опасных участков) на дорожной сети Волгоградской городской агломерации» на 01.01.2018 составило 0% и означает, что все места концентрации ДТП в количестве 81 ед. в течение 2017 года ликвидированы.</w:t>
      </w:r>
    </w:p>
    <w:p w:rsidR="007630CE" w:rsidRDefault="004E05C6" w:rsidP="007630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5966">
        <w:t>Вместе с этим необходимо отметить, что</w:t>
      </w:r>
      <w:r w:rsidR="007630CE" w:rsidRPr="000C5966">
        <w:t xml:space="preserve"> </w:t>
      </w:r>
      <w:r w:rsidRPr="000C5966">
        <w:t>п</w:t>
      </w:r>
      <w:r w:rsidR="007630CE" w:rsidRPr="000C5966">
        <w:t>о официальным данным Главного управления по обеспечению безопасности дорожного движения МВД России (</w:t>
      </w:r>
      <w:hyperlink r:id="rId13" w:history="1">
        <w:r w:rsidR="007630CE" w:rsidRPr="000C5966">
          <w:rPr>
            <w:rStyle w:val="af1"/>
            <w:color w:val="auto"/>
            <w:u w:val="none"/>
          </w:rPr>
          <w:t>http://stat.gibdd.ru/</w:t>
        </w:r>
      </w:hyperlink>
      <w:r w:rsidR="007630CE" w:rsidRPr="000C5966">
        <w:t>) за 2017 год на дорогах г.Волгограда и г.Волжского (как узловых территори</w:t>
      </w:r>
      <w:r w:rsidRPr="000C5966">
        <w:t>ях</w:t>
      </w:r>
      <w:r w:rsidR="007630CE" w:rsidRPr="000C5966">
        <w:t xml:space="preserve"> городской агломерации) отмечен рост количества дорожно-транспортных происшествий</w:t>
      </w:r>
      <w:r w:rsidRPr="000C5966">
        <w:t xml:space="preserve"> - в </w:t>
      </w:r>
      <w:r w:rsidR="007630CE" w:rsidRPr="000C5966">
        <w:t xml:space="preserve">2017 году зарегистрировано </w:t>
      </w:r>
      <w:r w:rsidRPr="000C5966">
        <w:t>1570</w:t>
      </w:r>
      <w:r w:rsidR="007630CE" w:rsidRPr="000C5966">
        <w:t xml:space="preserve"> происшестви</w:t>
      </w:r>
      <w:r w:rsidRPr="000C5966">
        <w:t>й</w:t>
      </w:r>
      <w:r w:rsidR="007630CE" w:rsidRPr="000C5966">
        <w:t xml:space="preserve">, что на </w:t>
      </w:r>
      <w:r w:rsidRPr="000C5966">
        <w:t>2</w:t>
      </w:r>
      <w:r w:rsidR="007630CE" w:rsidRPr="000C5966">
        <w:t>,</w:t>
      </w:r>
      <w:r w:rsidRPr="000C5966">
        <w:t>7</w:t>
      </w:r>
      <w:r w:rsidR="007630CE" w:rsidRPr="000C5966">
        <w:t xml:space="preserve">% выше соответствующего показателя 2016 года. </w:t>
      </w:r>
      <w:r w:rsidRPr="000C5966">
        <w:t xml:space="preserve">Рассогласованность данных о полной ликвидации мест концентрации ДТП на фоне роста количества ДТП может свидетельствовать либо о некорректности </w:t>
      </w:r>
      <w:r w:rsidR="000C5966" w:rsidRPr="000C5966">
        <w:t>определения мест концентрации на этапе планирования и по итогам 2017 года, либо о методологической некорректности учёта мест концентрации для целей ПКРТИ. Более точное выяснение причин указанной р</w:t>
      </w:r>
      <w:r w:rsidR="007630CE" w:rsidRPr="000C5966">
        <w:t>ассогласованност</w:t>
      </w:r>
      <w:r w:rsidR="000C5966" w:rsidRPr="000C5966">
        <w:t>и</w:t>
      </w:r>
      <w:r w:rsidR="007630CE" w:rsidRPr="000C5966">
        <w:t xml:space="preserve"> </w:t>
      </w:r>
      <w:r w:rsidR="000C5966" w:rsidRPr="000C5966">
        <w:t>возможно</w:t>
      </w:r>
      <w:r w:rsidR="007630CE" w:rsidRPr="000C5966">
        <w:t xml:space="preserve"> </w:t>
      </w:r>
      <w:r w:rsidR="000C5966" w:rsidRPr="000C5966">
        <w:t xml:space="preserve">в результате </w:t>
      </w:r>
      <w:r w:rsidR="007630CE" w:rsidRPr="000C5966">
        <w:t>дополнительного исследования.</w:t>
      </w:r>
      <w:r w:rsidR="007630CE">
        <w:t xml:space="preserve"> </w:t>
      </w:r>
    </w:p>
    <w:p w:rsidR="009D5611" w:rsidRPr="00D23408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5611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Информация о </w:t>
      </w:r>
      <w:r w:rsidR="000D58C1">
        <w:rPr>
          <w:rFonts w:eastAsia="Calibri"/>
        </w:rPr>
        <w:t>протяжённости дорог, приведённых в нормативное состояние</w:t>
      </w:r>
      <w:r w:rsidR="00846E4C">
        <w:rPr>
          <w:rFonts w:eastAsia="Calibri"/>
        </w:rPr>
        <w:t>,</w:t>
      </w:r>
      <w:r w:rsidR="000D58C1">
        <w:rPr>
          <w:rFonts w:eastAsia="Calibri"/>
        </w:rPr>
        <w:t xml:space="preserve"> и их доле в общей протяжённости дорог в агломерации в 2017 году </w:t>
      </w:r>
      <w:r w:rsidRPr="00FB6926">
        <w:rPr>
          <w:rFonts w:eastAsia="Calibri"/>
        </w:rPr>
        <w:t>согласно данным Облкомдортранса</w:t>
      </w:r>
      <w:r>
        <w:rPr>
          <w:rFonts w:eastAsia="Calibri"/>
        </w:rPr>
        <w:t xml:space="preserve"> представлена в таблице</w:t>
      </w:r>
      <w:r w:rsidR="00830BD8">
        <w:rPr>
          <w:rFonts w:eastAsia="Calibri"/>
        </w:rPr>
        <w:t xml:space="preserve"> и диаграмме.</w:t>
      </w:r>
    </w:p>
    <w:p w:rsidR="009D5611" w:rsidRPr="001F0DDC" w:rsidRDefault="00FB6926" w:rsidP="000D58C1">
      <w:pPr>
        <w:autoSpaceDE w:val="0"/>
        <w:autoSpaceDN w:val="0"/>
        <w:adjustRightInd w:val="0"/>
        <w:ind w:left="7079" w:firstLine="709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км</w:t>
      </w:r>
    </w:p>
    <w:tbl>
      <w:tblPr>
        <w:tblW w:w="84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980"/>
        <w:gridCol w:w="1430"/>
        <w:gridCol w:w="1417"/>
        <w:gridCol w:w="1116"/>
      </w:tblGrid>
      <w:tr w:rsidR="009D5611" w:rsidRPr="004C3D59" w:rsidTr="000D58C1">
        <w:trPr>
          <w:trHeight w:val="290"/>
          <w:jc w:val="center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D5611" w:rsidRPr="004C3D59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Автодороги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9D5611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Протяженность автодорог</w:t>
            </w:r>
            <w:r w:rsidR="004328C6">
              <w:rPr>
                <w:color w:val="000000"/>
                <w:sz w:val="20"/>
                <w:szCs w:val="20"/>
              </w:rPr>
              <w:t xml:space="preserve"> (улиц</w:t>
            </w:r>
            <w:r w:rsidRPr="004C3D59">
              <w:rPr>
                <w:color w:val="000000"/>
                <w:sz w:val="20"/>
                <w:szCs w:val="20"/>
              </w:rPr>
              <w:t xml:space="preserve">) </w:t>
            </w:r>
          </w:p>
          <w:p w:rsidR="009D5611" w:rsidRPr="004C3D59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в агломерации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  <w:hideMark/>
          </w:tcPr>
          <w:p w:rsidR="009D5611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 xml:space="preserve">Протяженность автодорог (улиц), </w:t>
            </w:r>
          </w:p>
          <w:p w:rsidR="009D5611" w:rsidRPr="004C3D59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находящейся в нормативном состоянии</w:t>
            </w:r>
          </w:p>
        </w:tc>
      </w:tr>
      <w:tr w:rsidR="000D58C1" w:rsidRPr="004C3D59" w:rsidTr="000D58C1">
        <w:trPr>
          <w:trHeight w:val="104"/>
          <w:jc w:val="center"/>
        </w:trPr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0D58C1" w:rsidRPr="004C3D59" w:rsidRDefault="000D58C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0D58C1" w:rsidRPr="004C3D59" w:rsidRDefault="000D58C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58C1" w:rsidRPr="004C3D59" w:rsidRDefault="000D58C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на 31.12.16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58C1" w:rsidRPr="004C3D59" w:rsidRDefault="000D58C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на 31.12.17 (план)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58C1" w:rsidRPr="004C3D59" w:rsidRDefault="000D58C1" w:rsidP="000D58C1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на 31.12.17 (</w:t>
            </w:r>
            <w:r>
              <w:rPr>
                <w:color w:val="000000"/>
                <w:sz w:val="20"/>
                <w:szCs w:val="20"/>
              </w:rPr>
              <w:t>отчёт</w:t>
            </w:r>
            <w:r w:rsidRPr="004C3D5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1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58C1" w:rsidRPr="004C3D59" w:rsidRDefault="000D58C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изменение 2017/2016</w:t>
            </w:r>
          </w:p>
        </w:tc>
      </w:tr>
      <w:tr w:rsidR="000D58C1" w:rsidRPr="004C3D59" w:rsidTr="000D58C1">
        <w:trPr>
          <w:trHeight w:val="50"/>
          <w:jc w:val="center"/>
        </w:trPr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both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>Областные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518,405</w:t>
            </w:r>
          </w:p>
        </w:tc>
        <w:tc>
          <w:tcPr>
            <w:tcW w:w="980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171,090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185,390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185,390</w:t>
            </w:r>
          </w:p>
        </w:tc>
        <w:tc>
          <w:tcPr>
            <w:tcW w:w="1116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14,300</w:t>
            </w:r>
          </w:p>
        </w:tc>
      </w:tr>
      <w:tr w:rsidR="000D58C1" w:rsidRPr="004C3D59" w:rsidTr="000D58C1">
        <w:trPr>
          <w:trHeight w:val="72"/>
          <w:jc w:val="center"/>
        </w:trPr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both"/>
              <w:rPr>
                <w:color w:val="000000"/>
                <w:sz w:val="20"/>
                <w:szCs w:val="20"/>
              </w:rPr>
            </w:pPr>
            <w:r w:rsidRPr="004C3D59">
              <w:rPr>
                <w:color w:val="000000"/>
                <w:sz w:val="20"/>
                <w:szCs w:val="20"/>
              </w:rPr>
              <w:t xml:space="preserve">Местные, </w:t>
            </w:r>
            <w:r w:rsidRPr="004C3D59">
              <w:rPr>
                <w:i/>
                <w:iCs/>
                <w:color w:val="000000"/>
                <w:sz w:val="18"/>
                <w:szCs w:val="18"/>
              </w:rPr>
              <w:t>в т. ч.: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705,668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275,579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358,626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358,626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sz w:val="20"/>
                <w:szCs w:val="20"/>
              </w:rPr>
            </w:pPr>
            <w:r w:rsidRPr="004C3D59">
              <w:rPr>
                <w:sz w:val="20"/>
                <w:szCs w:val="20"/>
              </w:rPr>
              <w:t>83,047</w:t>
            </w:r>
          </w:p>
        </w:tc>
      </w:tr>
      <w:tr w:rsidR="000D58C1" w:rsidRPr="004C3D59" w:rsidTr="000D58C1">
        <w:trPr>
          <w:trHeight w:val="70"/>
          <w:jc w:val="center"/>
        </w:trPr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4C3D59">
              <w:rPr>
                <w:i/>
                <w:iCs/>
                <w:color w:val="000000"/>
                <w:sz w:val="18"/>
                <w:szCs w:val="18"/>
              </w:rPr>
              <w:t>Волгоград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640,991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228,602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301,349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301,349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D01B2B">
              <w:rPr>
                <w:i/>
                <w:iCs/>
                <w:sz w:val="18"/>
                <w:szCs w:val="18"/>
              </w:rPr>
              <w:t>72,747</w:t>
            </w:r>
          </w:p>
        </w:tc>
      </w:tr>
      <w:tr w:rsidR="000D58C1" w:rsidRPr="004C3D59" w:rsidTr="000D58C1">
        <w:trPr>
          <w:trHeight w:val="70"/>
          <w:jc w:val="center"/>
        </w:trPr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4C3D59">
              <w:rPr>
                <w:i/>
                <w:iCs/>
                <w:color w:val="000000"/>
                <w:sz w:val="18"/>
                <w:szCs w:val="18"/>
              </w:rPr>
              <w:t>Волжский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64,677</w:t>
            </w:r>
          </w:p>
        </w:tc>
        <w:tc>
          <w:tcPr>
            <w:tcW w:w="980" w:type="dxa"/>
            <w:tcBorders>
              <w:bottom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46,977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57,277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57,277</w:t>
            </w:r>
          </w:p>
        </w:tc>
        <w:tc>
          <w:tcPr>
            <w:tcW w:w="1116" w:type="dxa"/>
            <w:tcBorders>
              <w:bottom w:val="double" w:sz="4" w:space="0" w:color="auto"/>
            </w:tcBorders>
            <w:shd w:val="clear" w:color="auto" w:fill="auto"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i/>
                <w:iCs/>
                <w:sz w:val="18"/>
                <w:szCs w:val="18"/>
              </w:rPr>
            </w:pPr>
            <w:r w:rsidRPr="004C3D59">
              <w:rPr>
                <w:i/>
                <w:iCs/>
                <w:sz w:val="18"/>
                <w:szCs w:val="18"/>
              </w:rPr>
              <w:t>10,300</w:t>
            </w:r>
          </w:p>
        </w:tc>
      </w:tr>
      <w:tr w:rsidR="000D58C1" w:rsidRPr="004C3D59" w:rsidTr="000D58C1">
        <w:trPr>
          <w:trHeight w:val="50"/>
          <w:jc w:val="center"/>
        </w:trPr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C3D59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4C3D59">
              <w:rPr>
                <w:b/>
                <w:bCs/>
                <w:sz w:val="20"/>
                <w:szCs w:val="20"/>
              </w:rPr>
              <w:t>1 224,073</w:t>
            </w:r>
          </w:p>
        </w:tc>
        <w:tc>
          <w:tcPr>
            <w:tcW w:w="98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4C3D59">
              <w:rPr>
                <w:b/>
                <w:bCs/>
                <w:sz w:val="20"/>
                <w:szCs w:val="20"/>
              </w:rPr>
              <w:t>446,669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4C3D59">
              <w:rPr>
                <w:b/>
                <w:bCs/>
                <w:sz w:val="20"/>
                <w:szCs w:val="20"/>
              </w:rPr>
              <w:t>544,016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4C3D59">
              <w:rPr>
                <w:b/>
                <w:bCs/>
                <w:sz w:val="20"/>
                <w:szCs w:val="20"/>
              </w:rPr>
              <w:t>544,016</w:t>
            </w:r>
          </w:p>
        </w:tc>
        <w:tc>
          <w:tcPr>
            <w:tcW w:w="111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D58C1" w:rsidRPr="004C3D59" w:rsidRDefault="000D58C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4C3D59">
              <w:rPr>
                <w:b/>
                <w:bCs/>
                <w:sz w:val="20"/>
                <w:szCs w:val="20"/>
              </w:rPr>
              <w:t>97,347</w:t>
            </w:r>
          </w:p>
        </w:tc>
      </w:tr>
    </w:tbl>
    <w:p w:rsidR="002773F7" w:rsidRDefault="002773F7" w:rsidP="002773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773F7" w:rsidRDefault="007630CE" w:rsidP="002773F7">
      <w:pPr>
        <w:autoSpaceDE w:val="0"/>
        <w:autoSpaceDN w:val="0"/>
        <w:adjustRightInd w:val="0"/>
        <w:jc w:val="both"/>
        <w:rPr>
          <w:rFonts w:eastAsia="Calibri"/>
        </w:rPr>
      </w:pPr>
      <w:r w:rsidRPr="007630CE">
        <w:rPr>
          <w:rFonts w:eastAsia="Calibri"/>
          <w:noProof/>
        </w:rPr>
        <w:drawing>
          <wp:inline distT="0" distB="0" distL="0" distR="0">
            <wp:extent cx="6120130" cy="286568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773F7" w:rsidRDefault="002773F7" w:rsidP="002773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773F7" w:rsidRPr="00CA56E3" w:rsidRDefault="00830BD8" w:rsidP="002773F7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830BD8">
        <w:rPr>
          <w:rFonts w:eastAsia="Calibri"/>
        </w:rPr>
        <w:t xml:space="preserve">За 2017 год приведено в нормативное состояние 97,3 км дорог агломерации. </w:t>
      </w:r>
      <w:r w:rsidR="002773F7" w:rsidRPr="00830BD8">
        <w:rPr>
          <w:rFonts w:eastAsia="Calibri"/>
        </w:rPr>
        <w:t>Доля автодорог, находящихся в нормативном состоянии</w:t>
      </w:r>
      <w:r w:rsidR="00851046">
        <w:rPr>
          <w:rFonts w:eastAsia="Calibri"/>
        </w:rPr>
        <w:t>,</w:t>
      </w:r>
      <w:r w:rsidR="002773F7" w:rsidRPr="00830BD8">
        <w:rPr>
          <w:rFonts w:eastAsia="Calibri"/>
        </w:rPr>
        <w:t xml:space="preserve"> увеличилась </w:t>
      </w:r>
      <w:r w:rsidRPr="00830BD8">
        <w:rPr>
          <w:rFonts w:eastAsia="Calibri"/>
        </w:rPr>
        <w:t>с 36,5% до 44,4%</w:t>
      </w:r>
      <w:r w:rsidR="00965DC0">
        <w:rPr>
          <w:rFonts w:eastAsia="Calibri"/>
        </w:rPr>
        <w:t>,</w:t>
      </w:r>
      <w:r w:rsidRPr="00830BD8">
        <w:rPr>
          <w:rFonts w:eastAsia="Calibri"/>
        </w:rPr>
        <w:t xml:space="preserve"> или </w:t>
      </w:r>
      <w:r w:rsidR="002773F7" w:rsidRPr="00830BD8">
        <w:rPr>
          <w:rFonts w:eastAsia="Calibri"/>
        </w:rPr>
        <w:t>на 7,9 процентных пункт</w:t>
      </w:r>
      <w:r w:rsidR="00851046">
        <w:rPr>
          <w:rFonts w:eastAsia="Calibri"/>
        </w:rPr>
        <w:t>а</w:t>
      </w:r>
      <w:r w:rsidR="002773F7" w:rsidRPr="00830BD8">
        <w:rPr>
          <w:rFonts w:eastAsia="Calibri"/>
        </w:rPr>
        <w:t>.</w:t>
      </w:r>
      <w:r w:rsidR="002773F7" w:rsidRPr="00CA56E3">
        <w:rPr>
          <w:rFonts w:eastAsia="Calibri"/>
        </w:rPr>
        <w:t xml:space="preserve"> </w:t>
      </w:r>
    </w:p>
    <w:p w:rsidR="009D5611" w:rsidRDefault="009D5611" w:rsidP="009D5611">
      <w:pPr>
        <w:autoSpaceDE w:val="0"/>
        <w:autoSpaceDN w:val="0"/>
        <w:adjustRightInd w:val="0"/>
        <w:ind w:firstLine="720"/>
        <w:jc w:val="both"/>
      </w:pPr>
      <w:r w:rsidRPr="008F7F6D">
        <w:t xml:space="preserve">Информация о распределении </w:t>
      </w:r>
      <w:r w:rsidR="00830BD8">
        <w:t xml:space="preserve">финансирования </w:t>
      </w:r>
      <w:r w:rsidRPr="008F7F6D">
        <w:t xml:space="preserve">на реализацию ПКРТИ по направлениям </w:t>
      </w:r>
      <w:r w:rsidR="00965DC0">
        <w:t>его</w:t>
      </w:r>
      <w:r w:rsidRPr="008F7F6D">
        <w:t xml:space="preserve"> использования представлена диаграммами.</w:t>
      </w:r>
    </w:p>
    <w:p w:rsidR="006C6832" w:rsidRDefault="006C6832" w:rsidP="009D5611">
      <w:pPr>
        <w:autoSpaceDE w:val="0"/>
        <w:autoSpaceDN w:val="0"/>
        <w:adjustRightInd w:val="0"/>
        <w:ind w:firstLine="720"/>
        <w:jc w:val="both"/>
      </w:pPr>
    </w:p>
    <w:p w:rsidR="009D5611" w:rsidRPr="008D33E6" w:rsidRDefault="009D5611" w:rsidP="009D5611">
      <w:pPr>
        <w:autoSpaceDE w:val="0"/>
        <w:autoSpaceDN w:val="0"/>
        <w:adjustRightInd w:val="0"/>
        <w:ind w:firstLine="72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м</w:t>
      </w:r>
      <w:r w:rsidRPr="008D33E6">
        <w:rPr>
          <w:i/>
          <w:sz w:val="22"/>
          <w:szCs w:val="22"/>
        </w:rPr>
        <w:t>лн. руб.</w:t>
      </w:r>
    </w:p>
    <w:tbl>
      <w:tblPr>
        <w:tblStyle w:val="af3"/>
        <w:tblW w:w="10031" w:type="dxa"/>
        <w:tblInd w:w="-318" w:type="dxa"/>
        <w:tblBorders>
          <w:top w:val="dashed" w:sz="4" w:space="0" w:color="D9D9D9" w:themeColor="background1" w:themeShade="D9"/>
          <w:left w:val="dashed" w:sz="4" w:space="0" w:color="D9D9D9" w:themeColor="background1" w:themeShade="D9"/>
          <w:bottom w:val="dashed" w:sz="4" w:space="0" w:color="D9D9D9" w:themeColor="background1" w:themeShade="D9"/>
          <w:right w:val="dashed" w:sz="4" w:space="0" w:color="D9D9D9" w:themeColor="background1" w:themeShade="D9"/>
          <w:insideH w:val="dashed" w:sz="4" w:space="0" w:color="D9D9D9" w:themeColor="background1" w:themeShade="D9"/>
          <w:insideV w:val="dashed" w:sz="4" w:space="0" w:color="D9D9D9" w:themeColor="background1" w:themeShade="D9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5534"/>
        <w:gridCol w:w="4497"/>
      </w:tblGrid>
      <w:tr w:rsidR="009D5611" w:rsidTr="004374A8">
        <w:trPr>
          <w:trHeight w:val="3375"/>
        </w:trPr>
        <w:tc>
          <w:tcPr>
            <w:tcW w:w="5534" w:type="dxa"/>
            <w:vAlign w:val="center"/>
          </w:tcPr>
          <w:tbl>
            <w:tblPr>
              <w:tblW w:w="5288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45"/>
              <w:gridCol w:w="851"/>
              <w:gridCol w:w="992"/>
            </w:tblGrid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Наименование работ</w:t>
                  </w:r>
                </w:p>
              </w:tc>
              <w:tc>
                <w:tcPr>
                  <w:tcW w:w="8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left="-108" w:right="-11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Кол-во объектов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left="-108" w:right="-10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Стоимость работ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ремонт дорожного покрытия</w:t>
                  </w:r>
                </w:p>
              </w:tc>
              <w:tc>
                <w:tcPr>
                  <w:tcW w:w="851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2 103,4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установка барьерного ограждения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1,</w:t>
                  </w: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установка дорожных знаков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30,5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консоль над проезжей частью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34,2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обустройство остановок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65,8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устройство искусственного освещения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91,6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пешеходное ограждение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31,9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обустройство пешеходного перехода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установка (</w:t>
                  </w:r>
                  <w:r>
                    <w:rPr>
                      <w:color w:val="000000"/>
                      <w:sz w:val="20"/>
                      <w:szCs w:val="20"/>
                    </w:rPr>
                    <w:t>модернизация</w:t>
                  </w:r>
                  <w:r w:rsidRPr="002F7096">
                    <w:rPr>
                      <w:color w:val="000000"/>
                      <w:sz w:val="20"/>
                      <w:szCs w:val="20"/>
                    </w:rPr>
                    <w:t>) светофоров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39,7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укрепление обочин</w:t>
                  </w:r>
                </w:p>
              </w:tc>
              <w:tc>
                <w:tcPr>
                  <w:tcW w:w="851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color w:val="000000"/>
                      <w:sz w:val="20"/>
                      <w:szCs w:val="20"/>
                    </w:rPr>
                    <w:t>11,4</w:t>
                  </w:r>
                </w:p>
              </w:tc>
            </w:tr>
            <w:tr w:rsidR="009D5611" w:rsidRPr="002F7096" w:rsidTr="00D01B2B">
              <w:trPr>
                <w:trHeight w:val="20"/>
              </w:trPr>
              <w:tc>
                <w:tcPr>
                  <w:tcW w:w="3445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ind w:right="-108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8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EC4509" w:rsidRDefault="009D5611" w:rsidP="00D01B2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highlight w:val="green"/>
                    </w:rPr>
                  </w:pPr>
                  <w:r w:rsidRPr="00830BD8">
                    <w:rPr>
                      <w:b/>
                      <w:bCs/>
                      <w:color w:val="00000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2F7096" w:rsidRDefault="009D5611" w:rsidP="00D01B2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7096">
                    <w:rPr>
                      <w:b/>
                      <w:bCs/>
                      <w:color w:val="000000"/>
                      <w:sz w:val="20"/>
                      <w:szCs w:val="20"/>
                    </w:rPr>
                    <w:t>2 410,4</w:t>
                  </w:r>
                </w:p>
              </w:tc>
            </w:tr>
          </w:tbl>
          <w:p w:rsidR="009D5611" w:rsidRDefault="009D5611" w:rsidP="00D01B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97" w:type="dxa"/>
          </w:tcPr>
          <w:tbl>
            <w:tblPr>
              <w:tblpPr w:leftFromText="180" w:rightFromText="180" w:vertAnchor="page" w:horzAnchor="margin" w:tblpY="91"/>
              <w:tblOverlap w:val="never"/>
              <w:tblW w:w="4408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6"/>
              <w:gridCol w:w="850"/>
              <w:gridCol w:w="992"/>
            </w:tblGrid>
            <w:tr w:rsidR="009D5611" w:rsidRPr="005F5616" w:rsidTr="00D01B2B">
              <w:trPr>
                <w:trHeight w:val="20"/>
              </w:trPr>
              <w:tc>
                <w:tcPr>
                  <w:tcW w:w="256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Направление расходов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left="-108"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Кол-во объектов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left="-108"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Стоим</w:t>
                  </w:r>
                  <w:r>
                    <w:rPr>
                      <w:color w:val="000000"/>
                      <w:sz w:val="20"/>
                      <w:szCs w:val="20"/>
                    </w:rPr>
                    <w:t>ост</w:t>
                  </w:r>
                  <w:r w:rsidRPr="005F5616">
                    <w:rPr>
                      <w:color w:val="000000"/>
                      <w:sz w:val="20"/>
                      <w:szCs w:val="20"/>
                    </w:rPr>
                    <w:t>ь работ</w:t>
                  </w:r>
                </w:p>
              </w:tc>
            </w:tr>
            <w:tr w:rsidR="009D5611" w:rsidRPr="005F5616" w:rsidTr="00D01B2B">
              <w:trPr>
                <w:trHeight w:val="20"/>
              </w:trPr>
              <w:tc>
                <w:tcPr>
                  <w:tcW w:w="2566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государственный контракт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E67537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67537">
                    <w:rPr>
                      <w:color w:val="000000"/>
                      <w:sz w:val="20"/>
                      <w:szCs w:val="20"/>
                    </w:rPr>
                    <w:t>273,0</w:t>
                  </w:r>
                </w:p>
              </w:tc>
            </w:tr>
            <w:tr w:rsidR="009D5611" w:rsidRPr="005F5616" w:rsidTr="00D01B2B">
              <w:trPr>
                <w:trHeight w:val="20"/>
              </w:trPr>
              <w:tc>
                <w:tcPr>
                  <w:tcW w:w="2566" w:type="dxa"/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муниципальный контракт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E67537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67537">
                    <w:rPr>
                      <w:color w:val="000000"/>
                      <w:sz w:val="20"/>
                      <w:szCs w:val="20"/>
                    </w:rPr>
                    <w:t>1 716,7</w:t>
                  </w:r>
                </w:p>
              </w:tc>
            </w:tr>
            <w:tr w:rsidR="009D5611" w:rsidRPr="005F5616" w:rsidTr="00D01B2B">
              <w:trPr>
                <w:trHeight w:val="20"/>
              </w:trPr>
              <w:tc>
                <w:tcPr>
                  <w:tcW w:w="2566" w:type="dxa"/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государственное задание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9D5611" w:rsidRPr="00E67537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67537">
                    <w:rPr>
                      <w:color w:val="000000"/>
                      <w:sz w:val="20"/>
                      <w:szCs w:val="20"/>
                    </w:rPr>
                    <w:t>94,3</w:t>
                  </w:r>
                </w:p>
              </w:tc>
            </w:tr>
            <w:tr w:rsidR="009D5611" w:rsidRPr="005F5616" w:rsidTr="00D01B2B">
              <w:trPr>
                <w:trHeight w:val="20"/>
              </w:trPr>
              <w:tc>
                <w:tcPr>
                  <w:tcW w:w="2566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муниципальное задание</w:t>
                  </w:r>
                </w:p>
              </w:tc>
              <w:tc>
                <w:tcPr>
                  <w:tcW w:w="850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color w:val="00000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E67537" w:rsidRDefault="009D5611" w:rsidP="00D01B2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67537">
                    <w:rPr>
                      <w:color w:val="000000"/>
                      <w:sz w:val="20"/>
                      <w:szCs w:val="20"/>
                    </w:rPr>
                    <w:t>326,4</w:t>
                  </w:r>
                </w:p>
              </w:tc>
            </w:tr>
            <w:tr w:rsidR="009D5611" w:rsidRPr="005F5616" w:rsidTr="00D01B2B">
              <w:trPr>
                <w:trHeight w:val="20"/>
              </w:trPr>
              <w:tc>
                <w:tcPr>
                  <w:tcW w:w="256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5F5616" w:rsidRDefault="009D5611" w:rsidP="00D01B2B">
                  <w:pPr>
                    <w:ind w:right="-108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F5616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EC4509" w:rsidRDefault="009D5611" w:rsidP="00D01B2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highlight w:val="green"/>
                    </w:rPr>
                  </w:pPr>
                  <w:r w:rsidRPr="00830BD8">
                    <w:rPr>
                      <w:b/>
                      <w:bCs/>
                      <w:color w:val="00000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5611" w:rsidRPr="00E67537" w:rsidRDefault="009D5611" w:rsidP="00D01B2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67537">
                    <w:rPr>
                      <w:b/>
                      <w:bCs/>
                      <w:color w:val="000000"/>
                      <w:sz w:val="20"/>
                      <w:szCs w:val="20"/>
                    </w:rPr>
                    <w:t>2 410,4</w:t>
                  </w:r>
                </w:p>
              </w:tc>
            </w:tr>
          </w:tbl>
          <w:p w:rsidR="009D5611" w:rsidRDefault="009D5611" w:rsidP="00D01B2B">
            <w:pPr>
              <w:autoSpaceDE w:val="0"/>
              <w:autoSpaceDN w:val="0"/>
              <w:adjustRightInd w:val="0"/>
              <w:jc w:val="center"/>
            </w:pPr>
          </w:p>
        </w:tc>
      </w:tr>
      <w:tr w:rsidR="009D5611" w:rsidTr="004374A8">
        <w:trPr>
          <w:trHeight w:val="3908"/>
        </w:trPr>
        <w:tc>
          <w:tcPr>
            <w:tcW w:w="5534" w:type="dxa"/>
          </w:tcPr>
          <w:p w:rsidR="009D5611" w:rsidRDefault="009D5611" w:rsidP="00D01B2B">
            <w:pPr>
              <w:autoSpaceDE w:val="0"/>
              <w:autoSpaceDN w:val="0"/>
              <w:adjustRightInd w:val="0"/>
              <w:jc w:val="both"/>
            </w:pPr>
            <w:r>
              <w:rPr>
                <w:noProof/>
              </w:rPr>
              <w:drawing>
                <wp:inline distT="0" distB="0" distL="0" distR="0">
                  <wp:extent cx="3414263" cy="2474512"/>
                  <wp:effectExtent l="19050" t="0" r="0" b="0"/>
                  <wp:docPr id="7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4497" w:type="dxa"/>
          </w:tcPr>
          <w:p w:rsidR="009D5611" w:rsidRDefault="009D5611" w:rsidP="00D01B2B">
            <w:pPr>
              <w:autoSpaceDE w:val="0"/>
              <w:autoSpaceDN w:val="0"/>
              <w:adjustRightInd w:val="0"/>
              <w:jc w:val="both"/>
            </w:pPr>
            <w:r w:rsidRPr="00F37802">
              <w:rPr>
                <w:noProof/>
              </w:rPr>
              <w:drawing>
                <wp:inline distT="0" distB="0" distL="0" distR="0">
                  <wp:extent cx="2750029" cy="2475782"/>
                  <wp:effectExtent l="0" t="0" r="0" b="0"/>
                  <wp:docPr id="8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</w:tbl>
    <w:p w:rsidR="009D5611" w:rsidRDefault="009D5611" w:rsidP="009D5611">
      <w:pPr>
        <w:autoSpaceDE w:val="0"/>
        <w:autoSpaceDN w:val="0"/>
        <w:adjustRightInd w:val="0"/>
        <w:ind w:firstLine="720"/>
        <w:jc w:val="both"/>
      </w:pPr>
    </w:p>
    <w:p w:rsidR="009D5611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5611" w:rsidRPr="002B28DC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A48B9">
        <w:rPr>
          <w:rFonts w:eastAsia="Calibri"/>
        </w:rPr>
        <w:t>Основная часть объема финансирования ПКРТИ в 2017 году</w:t>
      </w:r>
      <w:r w:rsidR="00965DC0">
        <w:rPr>
          <w:rFonts w:eastAsia="Calibri"/>
        </w:rPr>
        <w:t xml:space="preserve"> была</w:t>
      </w:r>
      <w:r w:rsidRPr="00EA48B9">
        <w:rPr>
          <w:rFonts w:eastAsia="Calibri"/>
        </w:rPr>
        <w:t xml:space="preserve"> запланирована на ремонт 91,7 км </w:t>
      </w:r>
      <w:r>
        <w:rPr>
          <w:rFonts w:eastAsia="Calibri"/>
        </w:rPr>
        <w:t>участков авто</w:t>
      </w:r>
      <w:r w:rsidRPr="00EA48B9">
        <w:rPr>
          <w:rFonts w:eastAsia="Calibri"/>
        </w:rPr>
        <w:t xml:space="preserve">дорог, из них 14,3 км областных дорог, </w:t>
      </w:r>
      <w:r w:rsidRPr="00D01B2B">
        <w:rPr>
          <w:rFonts w:eastAsia="Calibri"/>
        </w:rPr>
        <w:t>66,7</w:t>
      </w:r>
      <w:r w:rsidRPr="00EA48B9">
        <w:rPr>
          <w:rFonts w:eastAsia="Calibri"/>
        </w:rPr>
        <w:t xml:space="preserve"> км дорог в г. Волгограде и 10,7 </w:t>
      </w:r>
      <w:r w:rsidRPr="002B28DC">
        <w:rPr>
          <w:rFonts w:eastAsia="Calibri"/>
        </w:rPr>
        <w:t>км в г. Волжский.</w:t>
      </w:r>
    </w:p>
    <w:p w:rsidR="009D5611" w:rsidRPr="002B28DC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На 01.01.2018 выполнен ремонт всех предусмотренных программой на 2017 год участков автодорог на общую сумму 2 103,4 млн. руб., в том числе:</w:t>
      </w:r>
    </w:p>
    <w:p w:rsidR="009D5611" w:rsidRPr="002B28DC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-178,4 млн. руб. в рамках 7 государственных контрактов (7 участков);</w:t>
      </w:r>
    </w:p>
    <w:p w:rsidR="009D5611" w:rsidRPr="002B28DC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-1 716,7 млн. руб. в рамках 32 муниципальных контрактов (34 участка);</w:t>
      </w:r>
    </w:p>
    <w:p w:rsidR="009D5611" w:rsidRPr="002B28DC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-80,9 млн. руб. в рамках государственного задания ГБУ «Волгоградавтодор» (2 участка);</w:t>
      </w:r>
    </w:p>
    <w:p w:rsidR="009D5611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-127,4 млн. руб. в рамках муниципальных</w:t>
      </w:r>
      <w:r>
        <w:rPr>
          <w:rFonts w:eastAsia="Calibri"/>
        </w:rPr>
        <w:t xml:space="preserve"> заданий (5 участков).</w:t>
      </w:r>
    </w:p>
    <w:p w:rsidR="009D5611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  <w:color w:val="0070C0"/>
        </w:rPr>
      </w:pPr>
    </w:p>
    <w:tbl>
      <w:tblPr>
        <w:tblW w:w="9740" w:type="dxa"/>
        <w:tblInd w:w="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136"/>
        <w:gridCol w:w="1396"/>
        <w:gridCol w:w="876"/>
        <w:gridCol w:w="1136"/>
        <w:gridCol w:w="1197"/>
        <w:gridCol w:w="1034"/>
        <w:gridCol w:w="966"/>
      </w:tblGrid>
      <w:tr w:rsidR="009D5611" w:rsidRPr="00DD0519" w:rsidTr="00D01B2B">
        <w:trPr>
          <w:trHeight w:val="44"/>
        </w:trPr>
        <w:tc>
          <w:tcPr>
            <w:tcW w:w="199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Автодороги</w:t>
            </w:r>
          </w:p>
        </w:tc>
        <w:tc>
          <w:tcPr>
            <w:tcW w:w="340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 xml:space="preserve">Мощность объекта, </w:t>
            </w:r>
            <w:r>
              <w:rPr>
                <w:rFonts w:eastAsia="Calibri"/>
                <w:sz w:val="20"/>
                <w:szCs w:val="20"/>
              </w:rPr>
              <w:t>км</w:t>
            </w:r>
          </w:p>
        </w:tc>
        <w:tc>
          <w:tcPr>
            <w:tcW w:w="433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Стоимость, млн. руб.</w:t>
            </w:r>
          </w:p>
        </w:tc>
      </w:tr>
      <w:tr w:rsidR="009D5611" w:rsidRPr="00DD0519" w:rsidTr="00D01B2B">
        <w:trPr>
          <w:trHeight w:val="306"/>
        </w:trPr>
        <w:tc>
          <w:tcPr>
            <w:tcW w:w="199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5611" w:rsidRPr="00DD0519" w:rsidRDefault="009D5611" w:rsidP="00D01B2B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План по программе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830BD8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 xml:space="preserve">Объем выполненных работ </w:t>
            </w:r>
            <w:r>
              <w:rPr>
                <w:rFonts w:eastAsia="Calibri"/>
                <w:sz w:val="20"/>
                <w:szCs w:val="20"/>
              </w:rPr>
              <w:t>(</w:t>
            </w:r>
            <w:r w:rsidR="00830BD8">
              <w:rPr>
                <w:rFonts w:eastAsia="Calibri"/>
                <w:sz w:val="20"/>
                <w:szCs w:val="20"/>
              </w:rPr>
              <w:t>Отчёт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7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% исполн.</w:t>
            </w:r>
          </w:p>
        </w:tc>
        <w:tc>
          <w:tcPr>
            <w:tcW w:w="113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План по программе</w:t>
            </w:r>
          </w:p>
        </w:tc>
        <w:tc>
          <w:tcPr>
            <w:tcW w:w="119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Сумма по контрактам</w:t>
            </w:r>
          </w:p>
        </w:tc>
        <w:tc>
          <w:tcPr>
            <w:tcW w:w="10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Кассовые расходы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% исполн.</w:t>
            </w:r>
          </w:p>
        </w:tc>
      </w:tr>
      <w:tr w:rsidR="009D5611" w:rsidRPr="00DD0519" w:rsidTr="00D01B2B">
        <w:trPr>
          <w:trHeight w:val="44"/>
        </w:trPr>
        <w:tc>
          <w:tcPr>
            <w:tcW w:w="19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both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Областные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14,3</w:t>
            </w:r>
          </w:p>
        </w:tc>
        <w:tc>
          <w:tcPr>
            <w:tcW w:w="1396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sz w:val="20"/>
                <w:szCs w:val="20"/>
                <w:lang w:val="en-US"/>
              </w:rPr>
              <w:t>14,3</w:t>
            </w:r>
          </w:p>
        </w:tc>
        <w:tc>
          <w:tcPr>
            <w:tcW w:w="87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119,6</w:t>
            </w:r>
          </w:p>
        </w:tc>
        <w:tc>
          <w:tcPr>
            <w:tcW w:w="1197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119,6</w:t>
            </w:r>
          </w:p>
        </w:tc>
        <w:tc>
          <w:tcPr>
            <w:tcW w:w="10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119,6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100%</w:t>
            </w:r>
          </w:p>
        </w:tc>
      </w:tr>
      <w:tr w:rsidR="009D5611" w:rsidRPr="00DD0519" w:rsidTr="00D01B2B">
        <w:trPr>
          <w:trHeight w:val="64"/>
        </w:trPr>
        <w:tc>
          <w:tcPr>
            <w:tcW w:w="199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both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Волгоград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66,7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66,7</w:t>
            </w:r>
          </w:p>
        </w:tc>
        <w:tc>
          <w:tcPr>
            <w:tcW w:w="876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1 844,1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1 844,1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1 844,1</w:t>
            </w:r>
          </w:p>
        </w:tc>
        <w:tc>
          <w:tcPr>
            <w:tcW w:w="966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100%</w:t>
            </w:r>
          </w:p>
        </w:tc>
      </w:tr>
      <w:tr w:rsidR="009D5611" w:rsidRPr="00DD0519" w:rsidTr="00D01B2B">
        <w:trPr>
          <w:trHeight w:val="64"/>
        </w:trPr>
        <w:tc>
          <w:tcPr>
            <w:tcW w:w="19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both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Волжский</w:t>
            </w:r>
          </w:p>
        </w:tc>
        <w:tc>
          <w:tcPr>
            <w:tcW w:w="113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10,7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10,7</w:t>
            </w:r>
          </w:p>
        </w:tc>
        <w:tc>
          <w:tcPr>
            <w:tcW w:w="87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113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139,7</w:t>
            </w:r>
          </w:p>
        </w:tc>
        <w:tc>
          <w:tcPr>
            <w:tcW w:w="119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139,7</w:t>
            </w:r>
          </w:p>
        </w:tc>
        <w:tc>
          <w:tcPr>
            <w:tcW w:w="10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139,7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sz w:val="20"/>
                <w:szCs w:val="20"/>
              </w:rPr>
            </w:pPr>
            <w:r w:rsidRPr="00DD0519">
              <w:rPr>
                <w:rFonts w:eastAsia="Calibri"/>
                <w:sz w:val="20"/>
                <w:szCs w:val="20"/>
              </w:rPr>
              <w:t>100%</w:t>
            </w:r>
          </w:p>
        </w:tc>
      </w:tr>
      <w:tr w:rsidR="009D5611" w:rsidRPr="00DD0519" w:rsidTr="00D01B2B">
        <w:trPr>
          <w:trHeight w:val="44"/>
        </w:trPr>
        <w:tc>
          <w:tcPr>
            <w:tcW w:w="19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91,7</w:t>
            </w:r>
          </w:p>
        </w:tc>
        <w:tc>
          <w:tcPr>
            <w:tcW w:w="139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91,7</w:t>
            </w:r>
          </w:p>
        </w:tc>
        <w:tc>
          <w:tcPr>
            <w:tcW w:w="8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2 103,4</w:t>
            </w:r>
          </w:p>
        </w:tc>
        <w:tc>
          <w:tcPr>
            <w:tcW w:w="11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2 103,4</w:t>
            </w:r>
          </w:p>
        </w:tc>
        <w:tc>
          <w:tcPr>
            <w:tcW w:w="10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right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2 103,4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DD0519" w:rsidRDefault="009D5611" w:rsidP="00D01B2B">
            <w:pPr>
              <w:jc w:val="center"/>
              <w:rPr>
                <w:b/>
                <w:bCs/>
                <w:sz w:val="20"/>
                <w:szCs w:val="20"/>
              </w:rPr>
            </w:pPr>
            <w:r w:rsidRPr="00DD0519">
              <w:rPr>
                <w:rFonts w:eastAsia="Calibri"/>
                <w:b/>
                <w:bCs/>
                <w:sz w:val="20"/>
                <w:szCs w:val="20"/>
              </w:rPr>
              <w:t>100,00%</w:t>
            </w:r>
          </w:p>
        </w:tc>
      </w:tr>
    </w:tbl>
    <w:p w:rsidR="009D5611" w:rsidRDefault="009D5611" w:rsidP="009D5611">
      <w:pPr>
        <w:autoSpaceDE w:val="0"/>
        <w:autoSpaceDN w:val="0"/>
        <w:adjustRightInd w:val="0"/>
        <w:ind w:firstLine="720"/>
        <w:jc w:val="both"/>
        <w:rPr>
          <w:color w:val="FF0000"/>
        </w:rPr>
      </w:pPr>
    </w:p>
    <w:p w:rsidR="009D5611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F0DDC">
        <w:rPr>
          <w:rFonts w:eastAsia="Calibri"/>
        </w:rPr>
        <w:t>ПКРТИ определены этапы и контрол</w:t>
      </w:r>
      <w:r>
        <w:rPr>
          <w:rFonts w:eastAsia="Calibri"/>
        </w:rPr>
        <w:t>ьные точки реализации программы,</w:t>
      </w:r>
      <w:r w:rsidRPr="001F0DDC">
        <w:rPr>
          <w:rFonts w:eastAsia="Calibri"/>
        </w:rPr>
        <w:t xml:space="preserve"> информация о </w:t>
      </w:r>
      <w:r w:rsidR="00830BD8">
        <w:rPr>
          <w:rFonts w:eastAsia="Calibri"/>
        </w:rPr>
        <w:t xml:space="preserve">прохождении </w:t>
      </w:r>
      <w:r w:rsidRPr="001F0DDC">
        <w:rPr>
          <w:rFonts w:eastAsia="Calibri"/>
        </w:rPr>
        <w:t>которых представлена в таблице.</w:t>
      </w:r>
    </w:p>
    <w:p w:rsidR="009E53BF" w:rsidRDefault="009E53BF" w:rsidP="009D561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653" w:type="dxa"/>
        <w:tblInd w:w="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"/>
        <w:gridCol w:w="7087"/>
        <w:gridCol w:w="1134"/>
        <w:gridCol w:w="1134"/>
      </w:tblGrid>
      <w:tr w:rsidR="009D5611" w:rsidRPr="00BF3D9B" w:rsidTr="002B28DC">
        <w:trPr>
          <w:trHeight w:val="20"/>
          <w:tblHeader/>
        </w:trPr>
        <w:tc>
          <w:tcPr>
            <w:tcW w:w="2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708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Срок</w:t>
            </w:r>
          </w:p>
        </w:tc>
      </w:tr>
      <w:tr w:rsidR="009D5611" w:rsidRPr="00BF3D9B" w:rsidTr="002B28DC">
        <w:trPr>
          <w:trHeight w:val="20"/>
          <w:tblHeader/>
        </w:trPr>
        <w:tc>
          <w:tcPr>
            <w:tcW w:w="29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факт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7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Проект инициирован (паспорт программы согласован со всеми соисполнителями, утвержден и направлен в Минтранс России)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01.12.2016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1315CA" w:rsidRDefault="009D5611" w:rsidP="00D01B2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 xml:space="preserve">согласован </w:t>
            </w:r>
          </w:p>
          <w:p w:rsidR="009D5611" w:rsidRPr="00BF3D9B" w:rsidRDefault="009D5611" w:rsidP="00D01B2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и утверждён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В государственную программу Волгоградской области в качестве аналитического приложения включена ПКРТИ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15.02.2017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Заключено соглашение о предоставлении бюджету Волгоградской области межбюджетных трансфертов для оказания поддержки реализации ПКРТИ на 2017 год (далее – МБТ). В Минтранс России представлены сводные календарные планы выполнения работ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20.02.2017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Администрацией Волгоградской области утверждены Правила распределения и предоставления бюджетам муниципальных образований МБТ, а также распределение указанных МБТ на 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01.03.2017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24.03.2017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Облкомдортрансом с администрацией Волгограда и администрацией городского округа - город Волжский заключены соглашения о предоставлении местным бюджетам МБТ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10.03.2017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27.03.2017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Облкомдортрансом и органами местного самоуправления обеспечено заключение контрактов на выполнение мероприятий, необходимых для достижения целевых показателей ПКРТИ на 2017 г.</w:t>
            </w:r>
            <w:r w:rsidRPr="00BF3D9B">
              <w:rPr>
                <w:sz w:val="20"/>
                <w:szCs w:val="20"/>
              </w:rPr>
              <w:br/>
              <w:t>В Минтранс России представлены сводные календарные планы выполнения мероприятий ПКРТИ на 2017 год, содержащие в том числе сведения о натуральных показателях объемов работ, в отношении которых заключены соответствующие контракты, стоимости фактически заключенных контрактов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31.03.2017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03.08.2017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Администрацией Волгоградской области утверждены дорожные карты по актуализации и утверждению: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28.04.2017</w:t>
            </w:r>
          </w:p>
        </w:tc>
        <w:tc>
          <w:tcPr>
            <w:tcW w:w="1134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30.05.2017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- документов территориального планирования;</w:t>
            </w:r>
          </w:p>
        </w:tc>
        <w:tc>
          <w:tcPr>
            <w:tcW w:w="1134" w:type="dxa"/>
            <w:vMerge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- программы комплексного развития транспортной инфраструктуры;</w:t>
            </w:r>
          </w:p>
        </w:tc>
        <w:tc>
          <w:tcPr>
            <w:tcW w:w="1134" w:type="dxa"/>
            <w:vMerge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- комплексной схемы организации транспортного обслуживания населения общественным транспортом, в том числе учитывающие пригородные перевозки;</w:t>
            </w:r>
          </w:p>
        </w:tc>
        <w:tc>
          <w:tcPr>
            <w:tcW w:w="1134" w:type="dxa"/>
            <w:vMerge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- комплексной схемы организации дорожного движения</w:t>
            </w:r>
          </w:p>
        </w:tc>
        <w:tc>
          <w:tcPr>
            <w:tcW w:w="1134" w:type="dxa"/>
            <w:vMerge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Администрацией Волгограда и администрацией городского округа - город Волжский при необходимости представлены в Облкомдортранс предложения по корректировке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01.05.2017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03.05.2017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Облкомдотрансом при необходимости представлены предложения в Росавтодор по корректировке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15.05.2017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03.05.2017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 xml:space="preserve">Облкомдотранс и органами местного самоуправления обеспечено выполнение мероприятий, предусмотренных ПКРТИ по состоянию на 01.08. 2017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01.08.2017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01.08.2017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С участием представителей общественности осуществлено рассмотрение результатов реализации ПКРТИ за 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23.10.2017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20.10.2017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Облкомдортрансом и органами местного самоуправления обеспечено выполнение мероприятий, предусмотренных ПКРТИ, в том числе приемка выполнения соответствующих работ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01.11.2017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20.12.2017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Администрацией Волгограда, администрацией городского округа - город Волжский, ФКУ "Упрдор Москва - Волгоград", ФКУ "Упрдор "Азов" при необходимости представлены в комитет транспорта и дорожного хозяйства Волгоградской области предложения по корректировке программы на 2018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15.10.2017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15.10.2017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Облкомдортрансом при необходимости представлены предложения в Росавтодор по корректировке программы на 2018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01.11.2017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1545F1" w:rsidRDefault="009D5611" w:rsidP="00D01B2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1545F1">
              <w:rPr>
                <w:color w:val="FF0000"/>
                <w:sz w:val="20"/>
                <w:szCs w:val="20"/>
              </w:rPr>
              <w:t>25.12.2017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>Облкомдортранс совместно с администрацией Волгограда, администрацией городского округа - город Волжский проведены общественные обсуждения программы на 2018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20.11.2017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16.11.2017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 xml:space="preserve">Заключено соглашение о предоставлении бюджету Волгоградской области </w:t>
            </w:r>
            <w:r>
              <w:rPr>
                <w:sz w:val="20"/>
                <w:szCs w:val="20"/>
              </w:rPr>
              <w:t>МБТ</w:t>
            </w:r>
            <w:r w:rsidRPr="00BF3D9B">
              <w:rPr>
                <w:sz w:val="20"/>
                <w:szCs w:val="20"/>
              </w:rPr>
              <w:t xml:space="preserve"> для оказания поддержки реализации ПКРТИ на 2018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09.02.2018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08.02.2018</w:t>
            </w:r>
          </w:p>
        </w:tc>
      </w:tr>
      <w:tr w:rsidR="009D5611" w:rsidRPr="00BF3D9B" w:rsidTr="002B28DC">
        <w:trPr>
          <w:trHeight w:val="20"/>
        </w:trPr>
        <w:tc>
          <w:tcPr>
            <w:tcW w:w="29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rPr>
                <w:sz w:val="20"/>
                <w:szCs w:val="20"/>
              </w:rPr>
            </w:pPr>
            <w:r w:rsidRPr="00BF3D9B">
              <w:rPr>
                <w:sz w:val="20"/>
                <w:szCs w:val="20"/>
              </w:rPr>
              <w:t xml:space="preserve">Облкомдортрансом с администрацией Волгограда и администрацией городского округа - город Волжский заключены соглашения о предоставлении местным бюджетам </w:t>
            </w:r>
            <w:r>
              <w:rPr>
                <w:sz w:val="20"/>
                <w:szCs w:val="20"/>
              </w:rPr>
              <w:t>МБТ</w:t>
            </w:r>
            <w:r w:rsidRPr="00BF3D9B">
              <w:rPr>
                <w:sz w:val="20"/>
                <w:szCs w:val="20"/>
              </w:rPr>
              <w:t xml:space="preserve"> для оказания поддержки реализации ПКРТИ на 2018 год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D5611" w:rsidRPr="00BF3D9B" w:rsidRDefault="009D561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F3D9B">
              <w:rPr>
                <w:color w:val="000000"/>
                <w:sz w:val="20"/>
                <w:szCs w:val="20"/>
              </w:rPr>
              <w:t>09.03.2018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D5611" w:rsidRPr="00BF3D9B" w:rsidRDefault="00FF26D1" w:rsidP="00D01B2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07.03.2018</w:t>
            </w:r>
            <w:bookmarkStart w:id="0" w:name="_GoBack"/>
            <w:bookmarkEnd w:id="0"/>
          </w:p>
        </w:tc>
      </w:tr>
    </w:tbl>
    <w:p w:rsidR="009D5611" w:rsidRDefault="009D5611" w:rsidP="009D5611">
      <w:pPr>
        <w:autoSpaceDE w:val="0"/>
        <w:autoSpaceDN w:val="0"/>
        <w:adjustRightInd w:val="0"/>
        <w:ind w:firstLine="709"/>
        <w:jc w:val="both"/>
        <w:rPr>
          <w:rFonts w:eastAsia="Calibri"/>
          <w:color w:val="0070C0"/>
        </w:rPr>
      </w:pPr>
    </w:p>
    <w:p w:rsidR="005B3B53" w:rsidRPr="002B28DC" w:rsidRDefault="005B3B53" w:rsidP="005B3B5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 xml:space="preserve">На 01.01.2018 все установленные на 2017 год 14 контрольных точек </w:t>
      </w:r>
      <w:r w:rsidR="002B28DC" w:rsidRPr="002B28DC">
        <w:rPr>
          <w:rFonts w:eastAsia="Calibri"/>
        </w:rPr>
        <w:t>пройдены</w:t>
      </w:r>
      <w:r w:rsidRPr="002B28DC">
        <w:rPr>
          <w:rFonts w:eastAsia="Calibri"/>
        </w:rPr>
        <w:t xml:space="preserve">, из них 8 контрольных точек </w:t>
      </w:r>
      <w:r w:rsidR="002B28DC" w:rsidRPr="002B28DC">
        <w:rPr>
          <w:rFonts w:eastAsia="Calibri"/>
        </w:rPr>
        <w:t>пройдены</w:t>
      </w:r>
      <w:r w:rsidRPr="002B28DC">
        <w:rPr>
          <w:rFonts w:eastAsia="Calibri"/>
        </w:rPr>
        <w:t xml:space="preserve"> с отставанием от установленного срока. Наиболее важным </w:t>
      </w:r>
      <w:r w:rsidRPr="002B28DC">
        <w:rPr>
          <w:rFonts w:eastAsia="Calibri"/>
        </w:rPr>
        <w:lastRenderedPageBreak/>
        <w:t>этапом реализации ПКРТИ представляется «</w:t>
      </w:r>
      <w:r w:rsidR="00830BD8" w:rsidRPr="002B28DC">
        <w:rPr>
          <w:rFonts w:eastAsia="Calibri"/>
        </w:rPr>
        <w:t>О</w:t>
      </w:r>
      <w:r w:rsidRPr="002B28DC">
        <w:rPr>
          <w:rFonts w:eastAsia="Calibri"/>
        </w:rPr>
        <w:t xml:space="preserve">беспечение выполнения мероприятий, предусмотренных ПКРТИ, в том числе приемка выполнения соответствующих работ» (№12 по таблице). Данный этап выполнен 20.12.2017 с опозданием от запланированного срока (01.11.2017) на 50 дней. По результатам мониторинга за 9 месяцев 2017 года КСП отмечала </w:t>
      </w:r>
      <w:r w:rsidR="002B28DC" w:rsidRPr="002B28DC">
        <w:rPr>
          <w:rFonts w:eastAsia="Calibri"/>
        </w:rPr>
        <w:t>отставание в</w:t>
      </w:r>
      <w:r w:rsidRPr="002B28DC">
        <w:rPr>
          <w:rFonts w:eastAsia="Calibri"/>
        </w:rPr>
        <w:t xml:space="preserve"> прохождени</w:t>
      </w:r>
      <w:r w:rsidR="002B28DC" w:rsidRPr="002B28DC">
        <w:rPr>
          <w:rFonts w:eastAsia="Calibri"/>
        </w:rPr>
        <w:t>и</w:t>
      </w:r>
      <w:r w:rsidRPr="002B28DC">
        <w:rPr>
          <w:rFonts w:eastAsia="Calibri"/>
        </w:rPr>
        <w:t xml:space="preserve"> контрольных точек. По состоянию на 01.10.2017 </w:t>
      </w:r>
      <w:r w:rsidRPr="002B28DC">
        <w:t xml:space="preserve">в установленный срок </w:t>
      </w:r>
      <w:r w:rsidRPr="002B28DC">
        <w:rPr>
          <w:rFonts w:eastAsia="Calibri"/>
        </w:rPr>
        <w:t xml:space="preserve">контракты (договоры, соглашения) </w:t>
      </w:r>
      <w:r w:rsidR="00830BD8" w:rsidRPr="002B28DC">
        <w:rPr>
          <w:rFonts w:eastAsia="Calibri"/>
        </w:rPr>
        <w:t xml:space="preserve">были </w:t>
      </w:r>
      <w:r w:rsidRPr="002B28DC">
        <w:rPr>
          <w:rFonts w:eastAsia="Calibri"/>
        </w:rPr>
        <w:t>заключены только на 9,7% от объёма финансирования программы на 2017 год, что и явилось основной причиной переносов сроков завершения работ.</w:t>
      </w:r>
    </w:p>
    <w:p w:rsidR="005B3B53" w:rsidRPr="002B28DC" w:rsidRDefault="005B3B53" w:rsidP="005B3B5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ПКРТИ последний срок завершения работ по ремонту автодорог был установлен в октябре 2017 года. В связи с поздним заключением контрактов срок завершения работ по ремонту 4 автодорог г. Волгограда на общую сумму 152,1 млн. руб., или 8,2% от общей суммы контрактов по ремонту дорог г.</w:t>
      </w:r>
      <w:r w:rsidR="00851046">
        <w:rPr>
          <w:rFonts w:eastAsia="Calibri"/>
        </w:rPr>
        <w:t xml:space="preserve"> Волгограда (1 849,3 млн. руб.)</w:t>
      </w:r>
      <w:r w:rsidRPr="002B28DC">
        <w:rPr>
          <w:rFonts w:eastAsia="Calibri"/>
        </w:rPr>
        <w:t xml:space="preserve"> установлен 01.12.2017, а именно:</w:t>
      </w:r>
    </w:p>
    <w:p w:rsidR="005B3B53" w:rsidRPr="002B28DC" w:rsidRDefault="005B3B53" w:rsidP="005B3B5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-57,3 млн. руб. – проезд Дорожников (от III Продольной магистрали до ул. Краснополянской);</w:t>
      </w:r>
    </w:p>
    <w:p w:rsidR="005B3B53" w:rsidRPr="002B28DC" w:rsidRDefault="005B3B53" w:rsidP="005B3B5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-26,5</w:t>
      </w:r>
      <w:r w:rsidRPr="002B28DC">
        <w:t xml:space="preserve"> </w:t>
      </w:r>
      <w:r w:rsidRPr="002B28DC">
        <w:rPr>
          <w:rFonts w:eastAsia="Calibri"/>
        </w:rPr>
        <w:t>млн. руб. – ул. Кубинская;</w:t>
      </w:r>
    </w:p>
    <w:p w:rsidR="005B3B53" w:rsidRPr="002B28DC" w:rsidRDefault="005B3B53" w:rsidP="005B3B5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-42,5</w:t>
      </w:r>
      <w:r w:rsidRPr="002B28DC">
        <w:t xml:space="preserve"> </w:t>
      </w:r>
      <w:r w:rsidRPr="002B28DC">
        <w:rPr>
          <w:rFonts w:eastAsia="Calibri"/>
        </w:rPr>
        <w:t>млн. руб. – ул. Краснознаменская (от наб. 62-й Армии до ул. Глубокоовражной);</w:t>
      </w:r>
    </w:p>
    <w:p w:rsidR="005B3B53" w:rsidRPr="002B28DC" w:rsidRDefault="005B3B53" w:rsidP="005B3B5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-25,8 млн. руб. – ул. Кубанская (от ул. им. Михаила Балонина до ул. им. Рокоссовского).</w:t>
      </w:r>
    </w:p>
    <w:p w:rsidR="005B3B53" w:rsidRPr="002B28DC" w:rsidRDefault="002B28DC" w:rsidP="005B3B5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B28DC">
        <w:rPr>
          <w:rFonts w:eastAsia="Calibri"/>
        </w:rPr>
        <w:t>З</w:t>
      </w:r>
      <w:r w:rsidR="005B3B53" w:rsidRPr="002B28DC">
        <w:rPr>
          <w:rFonts w:eastAsia="Calibri"/>
        </w:rPr>
        <w:t xml:space="preserve">авершение работ по ремонту 01.12.2017 </w:t>
      </w:r>
      <w:r w:rsidRPr="002B28DC">
        <w:rPr>
          <w:rFonts w:eastAsia="Calibri"/>
        </w:rPr>
        <w:t>могло</w:t>
      </w:r>
      <w:r w:rsidR="005B3B53" w:rsidRPr="002B28DC">
        <w:rPr>
          <w:rFonts w:eastAsia="Calibri"/>
        </w:rPr>
        <w:t xml:space="preserve"> негативно отразится на качестве работ.</w:t>
      </w:r>
    </w:p>
    <w:p w:rsidR="00C95721" w:rsidRDefault="00C95721" w:rsidP="00B25576">
      <w:pPr>
        <w:widowControl w:val="0"/>
        <w:autoSpaceDE w:val="0"/>
        <w:autoSpaceDN w:val="0"/>
        <w:adjustRightInd w:val="0"/>
        <w:ind w:firstLine="709"/>
        <w:jc w:val="both"/>
        <w:rPr>
          <w:highlight w:val="cyan"/>
        </w:rPr>
      </w:pPr>
    </w:p>
    <w:p w:rsidR="00B25576" w:rsidRPr="00C95721" w:rsidRDefault="00B25576" w:rsidP="00C95721">
      <w:pPr>
        <w:widowControl w:val="0"/>
        <w:autoSpaceDE w:val="0"/>
        <w:autoSpaceDN w:val="0"/>
        <w:adjustRightInd w:val="0"/>
        <w:ind w:firstLine="709"/>
        <w:jc w:val="both"/>
      </w:pPr>
      <w:r w:rsidRPr="00C95721">
        <w:t>В отношении мониторинга использования средств дорожного фонда Волгоградской области на реализацию мероприятий ПКРТИ необходимо отметить следующее.</w:t>
      </w:r>
    </w:p>
    <w:p w:rsidR="00B25576" w:rsidRPr="00C95721" w:rsidRDefault="00B25576" w:rsidP="00C957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95721">
        <w:t xml:space="preserve">В части ПКРТИ мониторинг осуществлён на основе текущей аналитической </w:t>
      </w:r>
      <w:r w:rsidR="00EC4972" w:rsidRPr="00C95721">
        <w:t>информации</w:t>
      </w:r>
      <w:r w:rsidRPr="00C95721">
        <w:t xml:space="preserve"> Облкомдортранса. Возможность подтвердить </w:t>
      </w:r>
      <w:r w:rsidR="00EC4972" w:rsidRPr="00C95721">
        <w:t xml:space="preserve">аналитические показатели данными бюджетной отчётности отсутствует, так как Законом об областном бюджете на 2017 год объем средств на мероприятия ПКРТИ отдельно не предусмотрен. </w:t>
      </w:r>
      <w:r w:rsidRPr="00C95721">
        <w:rPr>
          <w:rFonts w:eastAsia="Calibri"/>
        </w:rPr>
        <w:t>В результате бюджетная отчётность не содержит обособленной информации о реализации ПКРТИ по объёмам расходов.</w:t>
      </w:r>
      <w:r w:rsidR="00EC4972" w:rsidRPr="00C95721">
        <w:rPr>
          <w:rFonts w:eastAsia="Calibri"/>
        </w:rPr>
        <w:t xml:space="preserve"> </w:t>
      </w:r>
      <w:r w:rsidRPr="00C95721">
        <w:rPr>
          <w:rFonts w:eastAsia="Calibri"/>
        </w:rPr>
        <w:t xml:space="preserve">В 2018 году ГП «Развитие транспортной системы» и </w:t>
      </w:r>
      <w:r w:rsidR="000E410C" w:rsidRPr="00C95721">
        <w:rPr>
          <w:rFonts w:eastAsia="Calibri"/>
        </w:rPr>
        <w:t>з</w:t>
      </w:r>
      <w:r w:rsidRPr="00C95721">
        <w:rPr>
          <w:rFonts w:eastAsia="Calibri"/>
        </w:rPr>
        <w:t xml:space="preserve">аконом об областном бюджете на 2018 год обособление мероприятий ПКРТИ также не предусмотрено. </w:t>
      </w:r>
    </w:p>
    <w:p w:rsidR="00B25576" w:rsidRPr="00C95721" w:rsidRDefault="00B25576" w:rsidP="00C9572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95721">
        <w:rPr>
          <w:rFonts w:eastAsia="Calibri"/>
        </w:rPr>
        <w:t>Отсутствие отдельных специальных целевых статьей расходов в областном бюджете и соответственно в бюджетной отчётности, отражающих ассигнования и кассовые расходы на реализацию значимой и масштабной программы, осуществляемой в рамках федерального приоритетного проекта «Безопасные и качественные дороги», может оказать негативное влияние на качество и прозрачность бюджетного планирования, исполнения областного бюджета, формирования отчётности, мониторинга и контроля за реализацией ПКРТИ.</w:t>
      </w:r>
    </w:p>
    <w:p w:rsidR="00B25576" w:rsidRPr="00C95721" w:rsidRDefault="00EC4972" w:rsidP="00C95721">
      <w:pPr>
        <w:autoSpaceDE w:val="0"/>
        <w:autoSpaceDN w:val="0"/>
        <w:adjustRightInd w:val="0"/>
        <w:ind w:firstLine="709"/>
        <w:jc w:val="both"/>
      </w:pPr>
      <w:r w:rsidRPr="00C95721">
        <w:rPr>
          <w:rFonts w:eastAsia="Calibri"/>
        </w:rPr>
        <w:t>Однако предложения КСП, сформулированные по итогам квартального монит</w:t>
      </w:r>
      <w:r w:rsidR="00747257" w:rsidRPr="00C95721">
        <w:rPr>
          <w:rFonts w:eastAsia="Calibri"/>
        </w:rPr>
        <w:t>о</w:t>
      </w:r>
      <w:r w:rsidRPr="00C95721">
        <w:rPr>
          <w:rFonts w:eastAsia="Calibri"/>
        </w:rPr>
        <w:t>ринга, проведённого в 2017 году</w:t>
      </w:r>
      <w:r w:rsidR="00747257" w:rsidRPr="00C95721">
        <w:rPr>
          <w:rFonts w:eastAsia="Calibri"/>
        </w:rPr>
        <w:t>,</w:t>
      </w:r>
      <w:r w:rsidRPr="00C95721">
        <w:rPr>
          <w:rFonts w:eastAsia="Calibri"/>
        </w:rPr>
        <w:t xml:space="preserve"> о </w:t>
      </w:r>
      <w:r w:rsidR="00B25576" w:rsidRPr="00C95721">
        <w:rPr>
          <w:rFonts w:eastAsia="Calibri"/>
        </w:rPr>
        <w:t>выделени</w:t>
      </w:r>
      <w:r w:rsidR="00747257" w:rsidRPr="00C95721">
        <w:rPr>
          <w:rFonts w:eastAsia="Calibri"/>
        </w:rPr>
        <w:t>и</w:t>
      </w:r>
      <w:r w:rsidR="00B25576" w:rsidRPr="00C95721">
        <w:rPr>
          <w:rFonts w:eastAsia="Calibri"/>
        </w:rPr>
        <w:t xml:space="preserve"> мероприятий ПКРТИ в основное мероприятие подпрограммы «Совершенствование и развитие сети автомобильных дорог общего пользования Волгоградской области»</w:t>
      </w:r>
      <w:r w:rsidR="00B25576" w:rsidRPr="00C95721">
        <w:t xml:space="preserve"> ГП «Развитие транспортной системы»</w:t>
      </w:r>
      <w:r w:rsidR="00747257" w:rsidRPr="00C95721">
        <w:t xml:space="preserve"> и введении соответствующей специальной целевой статьи не реализованы</w:t>
      </w:r>
      <w:r w:rsidR="00B25576" w:rsidRPr="00C95721">
        <w:t>.</w:t>
      </w:r>
    </w:p>
    <w:p w:rsidR="00D00671" w:rsidRPr="00C95721" w:rsidRDefault="000E410C" w:rsidP="00C9572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95721">
        <w:rPr>
          <w:rFonts w:eastAsia="Calibri"/>
        </w:rPr>
        <w:t>Вместе с тем</w:t>
      </w:r>
      <w:r w:rsidR="00EC4972" w:rsidRPr="00C95721">
        <w:rPr>
          <w:rFonts w:eastAsia="Calibri"/>
        </w:rPr>
        <w:t xml:space="preserve"> положениями ст.</w:t>
      </w:r>
      <w:r w:rsidR="00B25576" w:rsidRPr="00C95721">
        <w:rPr>
          <w:rFonts w:eastAsia="Calibri"/>
        </w:rPr>
        <w:t xml:space="preserve"> 29 БК РФ </w:t>
      </w:r>
      <w:r w:rsidR="00EC4972" w:rsidRPr="00C95721">
        <w:rPr>
          <w:rFonts w:eastAsia="Calibri"/>
        </w:rPr>
        <w:t>установлен</w:t>
      </w:r>
      <w:r w:rsidR="00B25576" w:rsidRPr="00C95721">
        <w:rPr>
          <w:rFonts w:eastAsia="Calibri"/>
        </w:rPr>
        <w:t xml:space="preserve"> принцип единства бюджетной системы РФ, который означает</w:t>
      </w:r>
      <w:r w:rsidR="00747257" w:rsidRPr="00C95721">
        <w:rPr>
          <w:rFonts w:eastAsia="Calibri"/>
        </w:rPr>
        <w:t xml:space="preserve">, в том числе </w:t>
      </w:r>
      <w:r w:rsidR="00B25576" w:rsidRPr="00C95721">
        <w:rPr>
          <w:rFonts w:eastAsia="Calibri"/>
          <w:u w:val="single"/>
        </w:rPr>
        <w:t>единство</w:t>
      </w:r>
      <w:r w:rsidR="00B25576" w:rsidRPr="00C95721">
        <w:rPr>
          <w:rFonts w:eastAsia="Calibri"/>
        </w:rPr>
        <w:t xml:space="preserve"> бюджетного законодательства Российской Федерации, принципов организации и функционирования бюджетной системы </w:t>
      </w:r>
      <w:r w:rsidR="00B25576" w:rsidRPr="00B10D78">
        <w:rPr>
          <w:rFonts w:eastAsia="Calibri"/>
        </w:rPr>
        <w:t>Российской Федерации, форм бюджетной документации и бюджетной отчетности</w:t>
      </w:r>
      <w:r w:rsidR="00747257" w:rsidRPr="00B10D78">
        <w:rPr>
          <w:rFonts w:eastAsia="Calibri"/>
        </w:rPr>
        <w:t xml:space="preserve"> и </w:t>
      </w:r>
      <w:r w:rsidR="00B25576" w:rsidRPr="00B10D78">
        <w:rPr>
          <w:rFonts w:eastAsia="Calibri"/>
          <w:u w:val="single"/>
        </w:rPr>
        <w:t>бюджетной классификации бюджет</w:t>
      </w:r>
      <w:r w:rsidR="00747257" w:rsidRPr="00B10D78">
        <w:rPr>
          <w:rFonts w:eastAsia="Calibri"/>
          <w:u w:val="single"/>
        </w:rPr>
        <w:t>ной системы Российской Федерации.</w:t>
      </w:r>
      <w:r w:rsidR="00747257" w:rsidRPr="00F166B0">
        <w:rPr>
          <w:rFonts w:eastAsia="Calibri"/>
        </w:rPr>
        <w:t xml:space="preserve"> </w:t>
      </w:r>
      <w:r w:rsidR="00747257" w:rsidRPr="00B10D78">
        <w:rPr>
          <w:rFonts w:eastAsia="Calibri"/>
          <w:u w:val="single"/>
        </w:rPr>
        <w:t>Согласно ст. 18 БК РФ</w:t>
      </w:r>
      <w:r w:rsidR="00747257" w:rsidRPr="00F166B0">
        <w:rPr>
          <w:rFonts w:eastAsia="Calibri"/>
        </w:rPr>
        <w:t xml:space="preserve"> </w:t>
      </w:r>
      <w:r w:rsidR="00747257" w:rsidRPr="00B10D78">
        <w:rPr>
          <w:rFonts w:eastAsia="Calibri"/>
          <w:bCs/>
        </w:rPr>
        <w:t>б</w:t>
      </w:r>
      <w:r w:rsidR="00EC4972" w:rsidRPr="00B10D78">
        <w:rPr>
          <w:rFonts w:eastAsia="Calibri"/>
        </w:rPr>
        <w:t>юджетная классификация Российской Федерации является группировкой</w:t>
      </w:r>
      <w:r w:rsidR="00965DC0">
        <w:rPr>
          <w:rFonts w:eastAsia="Calibri"/>
        </w:rPr>
        <w:t>,</w:t>
      </w:r>
      <w:r w:rsidR="00747257" w:rsidRPr="00B10D78">
        <w:rPr>
          <w:rFonts w:eastAsia="Calibri"/>
        </w:rPr>
        <w:t xml:space="preserve"> в том числе</w:t>
      </w:r>
      <w:r w:rsidR="00EC4972" w:rsidRPr="00B10D78">
        <w:rPr>
          <w:rFonts w:eastAsia="Calibri"/>
        </w:rPr>
        <w:t xml:space="preserve"> расходов</w:t>
      </w:r>
      <w:r w:rsidR="00EC4972" w:rsidRPr="00C95721">
        <w:rPr>
          <w:rFonts w:eastAsia="Calibri"/>
        </w:rPr>
        <w:t xml:space="preserve">, используемой для составления и исполнения бюджетов, а также группировкой расходов, используемой для ведения бюджетного (бухгалтерского) учета, составления бюджетной (бухгалтерской) и иной финансовой отчетности, </w:t>
      </w:r>
      <w:r w:rsidR="00EC4972" w:rsidRPr="00C95721">
        <w:rPr>
          <w:rFonts w:eastAsia="Calibri"/>
          <w:u w:val="single"/>
        </w:rPr>
        <w:t>обеспечивающей сопоставимость показателей</w:t>
      </w:r>
      <w:r w:rsidR="00EC4972" w:rsidRPr="00C95721">
        <w:rPr>
          <w:rFonts w:eastAsia="Calibri"/>
        </w:rPr>
        <w:t xml:space="preserve"> бюджетов бюджетной системы Российской Федерации.</w:t>
      </w:r>
      <w:r w:rsidR="00D00671" w:rsidRPr="00C95721">
        <w:rPr>
          <w:rFonts w:eastAsia="Calibri"/>
        </w:rPr>
        <w:t xml:space="preserve"> </w:t>
      </w:r>
      <w:r w:rsidR="00D00671" w:rsidRPr="00C95721">
        <w:rPr>
          <w:rFonts w:eastAsia="Calibri"/>
        </w:rPr>
        <w:lastRenderedPageBreak/>
        <w:t xml:space="preserve">Определение принципов назначения, структуры, порядка формирования и применения кодов бюджетной классификации Российской Федерации, а также присвоение кодов составным частям бюджетной классификации Российской Федерации, которые в соответствии с БК РФ являются </w:t>
      </w:r>
      <w:r w:rsidR="00D00671" w:rsidRPr="00C95721">
        <w:rPr>
          <w:rFonts w:eastAsia="Calibri"/>
          <w:u w:val="single"/>
        </w:rPr>
        <w:t>едиными для бюджетов бюджетной системы</w:t>
      </w:r>
      <w:r w:rsidR="00D00671" w:rsidRPr="00C95721">
        <w:rPr>
          <w:rFonts w:eastAsia="Calibri"/>
        </w:rPr>
        <w:t xml:space="preserve"> Российской Федерации, осуществляются Минфином России.</w:t>
      </w:r>
    </w:p>
    <w:p w:rsidR="00D00671" w:rsidRPr="00C95721" w:rsidRDefault="00D00671" w:rsidP="00C9572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95721">
        <w:rPr>
          <w:rFonts w:eastAsia="Calibri"/>
        </w:rPr>
        <w:t>Согласно подразделу 2 раздела 1 Указаний о порядке применения бюджетной классификации Российской Федерации, утверждённых приказом Минфина России от 01.07.2013 № 65н</w:t>
      </w:r>
      <w:r w:rsidR="000E410C" w:rsidRPr="00C95721">
        <w:rPr>
          <w:rFonts w:eastAsia="Calibri"/>
        </w:rPr>
        <w:t xml:space="preserve"> (далее – Указания)</w:t>
      </w:r>
      <w:r w:rsidRPr="00C95721">
        <w:rPr>
          <w:rFonts w:eastAsia="Calibri"/>
        </w:rPr>
        <w:t>, назначение кодов бюджетной классификации РФ осуществляется согласно Указаниям и в соответствии с принципами единства, стабильности (преемственности), открытости назначения кодов.</w:t>
      </w:r>
      <w:r w:rsidR="00387DD3" w:rsidRPr="00C95721">
        <w:rPr>
          <w:rFonts w:eastAsia="Calibri"/>
        </w:rPr>
        <w:t xml:space="preserve"> </w:t>
      </w:r>
      <w:r w:rsidRPr="00C95721">
        <w:rPr>
          <w:rFonts w:eastAsia="Calibri"/>
        </w:rPr>
        <w:t xml:space="preserve">Принцип единства означает назначение кодов бюджетной классификации </w:t>
      </w:r>
      <w:r w:rsidR="00387DD3" w:rsidRPr="00C95721">
        <w:rPr>
          <w:rFonts w:eastAsia="Calibri"/>
        </w:rPr>
        <w:t>РФ</w:t>
      </w:r>
      <w:r w:rsidRPr="00C95721">
        <w:rPr>
          <w:rFonts w:eastAsia="Calibri"/>
        </w:rPr>
        <w:t xml:space="preserve"> </w:t>
      </w:r>
      <w:r w:rsidRPr="00C95721">
        <w:rPr>
          <w:rFonts w:eastAsia="Calibri"/>
          <w:u w:val="single"/>
        </w:rPr>
        <w:t>на условиях единства</w:t>
      </w:r>
      <w:r w:rsidRPr="00C95721">
        <w:rPr>
          <w:rFonts w:eastAsia="Calibri"/>
        </w:rPr>
        <w:t xml:space="preserve"> для бюджетов бюджетной системы </w:t>
      </w:r>
      <w:r w:rsidR="00387DD3" w:rsidRPr="00C95721">
        <w:rPr>
          <w:rFonts w:eastAsia="Calibri"/>
        </w:rPr>
        <w:t>РФ</w:t>
      </w:r>
      <w:r w:rsidRPr="00C95721">
        <w:rPr>
          <w:rFonts w:eastAsia="Calibri"/>
        </w:rPr>
        <w:t xml:space="preserve"> кодов бюджетной классификации </w:t>
      </w:r>
      <w:r w:rsidR="00387DD3" w:rsidRPr="00C95721">
        <w:rPr>
          <w:rFonts w:eastAsia="Calibri"/>
        </w:rPr>
        <w:t>РФ</w:t>
      </w:r>
      <w:r w:rsidRPr="00C95721">
        <w:rPr>
          <w:rFonts w:eastAsia="Calibri"/>
        </w:rPr>
        <w:t xml:space="preserve">, порядка их формирования, а также применения в части кодов бюджетной классификации </w:t>
      </w:r>
      <w:r w:rsidR="00387DD3" w:rsidRPr="00C95721">
        <w:rPr>
          <w:rFonts w:eastAsia="Calibri"/>
        </w:rPr>
        <w:t>РФ</w:t>
      </w:r>
      <w:r w:rsidRPr="00C95721">
        <w:rPr>
          <w:rFonts w:eastAsia="Calibri"/>
        </w:rPr>
        <w:t xml:space="preserve">, их составных частей, которые в соответствии с </w:t>
      </w:r>
      <w:r w:rsidR="00387DD3" w:rsidRPr="00C95721">
        <w:rPr>
          <w:rFonts w:eastAsia="Calibri"/>
        </w:rPr>
        <w:t>БК РФ</w:t>
      </w:r>
      <w:r w:rsidRPr="00C95721">
        <w:rPr>
          <w:rFonts w:eastAsia="Calibri"/>
        </w:rPr>
        <w:t xml:space="preserve"> являются </w:t>
      </w:r>
      <w:r w:rsidRPr="00C95721">
        <w:rPr>
          <w:rFonts w:eastAsia="Calibri"/>
          <w:u w:val="single"/>
        </w:rPr>
        <w:t>едиными для бюджетов бюджетной системы</w:t>
      </w:r>
      <w:r w:rsidRPr="00C95721">
        <w:rPr>
          <w:rFonts w:eastAsia="Calibri"/>
        </w:rPr>
        <w:t xml:space="preserve"> </w:t>
      </w:r>
      <w:r w:rsidR="00387DD3" w:rsidRPr="00C95721">
        <w:rPr>
          <w:rFonts w:eastAsia="Calibri"/>
        </w:rPr>
        <w:t>РФ</w:t>
      </w:r>
      <w:r w:rsidRPr="00C95721">
        <w:rPr>
          <w:rFonts w:eastAsia="Calibri"/>
        </w:rPr>
        <w:t>.</w:t>
      </w:r>
    </w:p>
    <w:p w:rsidR="00B25576" w:rsidRPr="006B36F3" w:rsidRDefault="000E410C" w:rsidP="00C9572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95721">
        <w:rPr>
          <w:rFonts w:eastAsia="Calibri"/>
        </w:rPr>
        <w:t xml:space="preserve">Указаниями определены специальные целевые статьи для отражения расходов федерального бюджета на реализацию приоритетных проектов. Так, в частности установлена целевая статья </w:t>
      </w:r>
      <w:r w:rsidR="008826B2" w:rsidRPr="00C95721">
        <w:rPr>
          <w:rFonts w:eastAsia="Calibri"/>
        </w:rPr>
        <w:t xml:space="preserve">24 2 П1 00000 Приоритетный проект </w:t>
      </w:r>
      <w:r w:rsidRPr="00C95721">
        <w:rPr>
          <w:rFonts w:eastAsia="Calibri"/>
        </w:rPr>
        <w:t>«</w:t>
      </w:r>
      <w:r w:rsidR="008826B2" w:rsidRPr="00C95721">
        <w:rPr>
          <w:rFonts w:eastAsia="Calibri"/>
        </w:rPr>
        <w:t>Безопасные и качественные дороги</w:t>
      </w:r>
      <w:r w:rsidRPr="00C95721">
        <w:rPr>
          <w:rFonts w:eastAsia="Calibri"/>
        </w:rPr>
        <w:t xml:space="preserve">» в рамках </w:t>
      </w:r>
      <w:r w:rsidRPr="006B36F3">
        <w:rPr>
          <w:rFonts w:eastAsia="Calibri"/>
        </w:rPr>
        <w:t xml:space="preserve">соответствующей подпрограммы государственной программы РФ. </w:t>
      </w:r>
      <w:r w:rsidR="00B25576" w:rsidRPr="006B36F3">
        <w:rPr>
          <w:rFonts w:eastAsia="Calibri"/>
        </w:rPr>
        <w:t>Федеральным законом от 05.12.2017 № 362-ФЗ «О федеральном бюджете на 2018 год и на плановый период 2019 и 2020 годов»</w:t>
      </w:r>
      <w:r w:rsidR="00F166B0" w:rsidRPr="006B36F3">
        <w:rPr>
          <w:rFonts w:eastAsia="Calibri"/>
        </w:rPr>
        <w:t xml:space="preserve"> (далее – Закон о федеральном бюджете на 2018 год)</w:t>
      </w:r>
      <w:r w:rsidR="00B25576" w:rsidRPr="006B36F3">
        <w:rPr>
          <w:rFonts w:eastAsia="Calibri"/>
        </w:rPr>
        <w:t xml:space="preserve"> расходы </w:t>
      </w:r>
      <w:r w:rsidRPr="006B36F3">
        <w:rPr>
          <w:rFonts w:eastAsia="Calibri"/>
        </w:rPr>
        <w:t>на реализацию</w:t>
      </w:r>
      <w:r w:rsidR="00B25576" w:rsidRPr="006B36F3">
        <w:rPr>
          <w:rFonts w:eastAsia="Calibri"/>
        </w:rPr>
        <w:t xml:space="preserve"> приоритетного проекта «Безопасные и качественные дороги» утверждены </w:t>
      </w:r>
      <w:r w:rsidRPr="006B36F3">
        <w:rPr>
          <w:rFonts w:eastAsia="Calibri"/>
        </w:rPr>
        <w:t>по указанной целевой статье</w:t>
      </w:r>
      <w:r w:rsidR="00B25576" w:rsidRPr="006B36F3">
        <w:rPr>
          <w:rFonts w:eastAsia="Calibri"/>
        </w:rPr>
        <w:t xml:space="preserve"> (приложения №№ 10, 13, 15).</w:t>
      </w:r>
    </w:p>
    <w:p w:rsidR="00B25576" w:rsidRPr="00C95721" w:rsidRDefault="000E410C" w:rsidP="00C9572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B36F3">
        <w:rPr>
          <w:rFonts w:eastAsia="Calibri"/>
        </w:rPr>
        <w:t>Как указано выше</w:t>
      </w:r>
      <w:r w:rsidR="00851046">
        <w:rPr>
          <w:rFonts w:eastAsia="Calibri"/>
        </w:rPr>
        <w:t>,</w:t>
      </w:r>
      <w:r w:rsidRPr="00C95721">
        <w:rPr>
          <w:rFonts w:eastAsia="Calibri"/>
        </w:rPr>
        <w:t xml:space="preserve"> законом Волгоградской области об областном бюджете на 2018 год </w:t>
      </w:r>
      <w:r w:rsidR="00B25576" w:rsidRPr="00C95721">
        <w:rPr>
          <w:rFonts w:eastAsia="Calibri"/>
        </w:rPr>
        <w:t>обособление расходов ПКРТИ не предусмотрено</w:t>
      </w:r>
      <w:r w:rsidRPr="00C95721">
        <w:rPr>
          <w:rFonts w:eastAsia="Calibri"/>
        </w:rPr>
        <w:t>.</w:t>
      </w:r>
      <w:r w:rsidR="00C95721" w:rsidRPr="00C95721">
        <w:rPr>
          <w:rFonts w:eastAsia="Calibri"/>
        </w:rPr>
        <w:t xml:space="preserve"> </w:t>
      </w:r>
      <w:r w:rsidRPr="00C95721">
        <w:rPr>
          <w:rFonts w:eastAsia="Calibri"/>
        </w:rPr>
        <w:t>П</w:t>
      </w:r>
      <w:r w:rsidR="00B25576" w:rsidRPr="00C95721">
        <w:rPr>
          <w:rFonts w:eastAsia="Calibri"/>
        </w:rPr>
        <w:t xml:space="preserve">ринцип единства бюджетной системы РФ, </w:t>
      </w:r>
      <w:r w:rsidRPr="00C95721">
        <w:rPr>
          <w:rFonts w:eastAsia="Calibri"/>
        </w:rPr>
        <w:t xml:space="preserve">установленный ст. 29 БК РФ, принцип единства назначения кодов бюджетной классификации, установленный Указаниями, </w:t>
      </w:r>
      <w:r w:rsidR="00C95721" w:rsidRPr="00C95721">
        <w:rPr>
          <w:rFonts w:eastAsia="Calibri"/>
        </w:rPr>
        <w:t>не соблюдается.</w:t>
      </w:r>
    </w:p>
    <w:p w:rsidR="00715688" w:rsidRPr="00857590" w:rsidRDefault="00715688" w:rsidP="00C95721">
      <w:pPr>
        <w:autoSpaceDE w:val="0"/>
        <w:autoSpaceDN w:val="0"/>
        <w:adjustRightInd w:val="0"/>
        <w:ind w:firstLine="709"/>
        <w:jc w:val="both"/>
      </w:pPr>
    </w:p>
    <w:p w:rsidR="00715688" w:rsidRPr="00BA1B2A" w:rsidRDefault="00715688" w:rsidP="00715688">
      <w:pPr>
        <w:autoSpaceDE w:val="0"/>
        <w:autoSpaceDN w:val="0"/>
        <w:adjustRightInd w:val="0"/>
        <w:ind w:firstLine="567"/>
        <w:jc w:val="center"/>
        <w:rPr>
          <w:b/>
          <w:i/>
        </w:rPr>
      </w:pPr>
      <w:r w:rsidRPr="00BA1B2A">
        <w:rPr>
          <w:b/>
          <w:i/>
        </w:rPr>
        <w:t>Использование муниципальных дорожных фондов</w:t>
      </w:r>
    </w:p>
    <w:p w:rsidR="00EB2216" w:rsidRPr="00D6525C" w:rsidRDefault="000F368E" w:rsidP="0041772E">
      <w:pPr>
        <w:autoSpaceDE w:val="0"/>
        <w:autoSpaceDN w:val="0"/>
        <w:adjustRightInd w:val="0"/>
        <w:ind w:firstLine="709"/>
        <w:jc w:val="both"/>
      </w:pPr>
      <w:r w:rsidRPr="00D6525C">
        <w:t>М</w:t>
      </w:r>
      <w:r w:rsidR="00EB2216" w:rsidRPr="00D6525C">
        <w:t xml:space="preserve">униципальные дорожные фонды </w:t>
      </w:r>
      <w:r w:rsidR="001837A9" w:rsidRPr="00D6525C">
        <w:t xml:space="preserve">Волгоградской области </w:t>
      </w:r>
      <w:r w:rsidRPr="00D6525C">
        <w:t>в</w:t>
      </w:r>
      <w:r w:rsidR="00EB2216" w:rsidRPr="00D6525C">
        <w:t xml:space="preserve"> 201</w:t>
      </w:r>
      <w:r w:rsidR="00BA1B2A" w:rsidRPr="00D6525C">
        <w:t>7</w:t>
      </w:r>
      <w:r w:rsidR="00EB2216" w:rsidRPr="00D6525C">
        <w:t xml:space="preserve"> год</w:t>
      </w:r>
      <w:r w:rsidRPr="00D6525C">
        <w:t>у</w:t>
      </w:r>
      <w:r w:rsidR="00EB2216" w:rsidRPr="00D6525C">
        <w:t xml:space="preserve"> </w:t>
      </w:r>
      <w:r w:rsidR="00FC6C33" w:rsidRPr="00D6525C">
        <w:t>израсходованы</w:t>
      </w:r>
      <w:r w:rsidR="00EB2216" w:rsidRPr="00D6525C">
        <w:t xml:space="preserve"> в общей сумме </w:t>
      </w:r>
      <w:r w:rsidR="00A64233" w:rsidRPr="00D6525C">
        <w:t>5 191,3</w:t>
      </w:r>
      <w:r w:rsidR="00EB2216" w:rsidRPr="00D6525C">
        <w:t xml:space="preserve"> млн. руб</w:t>
      </w:r>
      <w:r w:rsidR="00FC6C33" w:rsidRPr="00D6525C">
        <w:t xml:space="preserve">., или на </w:t>
      </w:r>
      <w:r w:rsidR="00A64233" w:rsidRPr="00D6525C">
        <w:t>89,8</w:t>
      </w:r>
      <w:r w:rsidR="009826C3" w:rsidRPr="00D6525C">
        <w:t>% от объёма утверждённых ассигнований</w:t>
      </w:r>
      <w:r w:rsidRPr="00D6525C">
        <w:t xml:space="preserve"> (ф. 0503317)</w:t>
      </w:r>
      <w:r w:rsidR="00FC6C33" w:rsidRPr="00D6525C">
        <w:t xml:space="preserve">. Неисполненные бюджетные ассигнования в сумме </w:t>
      </w:r>
      <w:r w:rsidR="00A64233" w:rsidRPr="00D6525C">
        <w:t>592,7</w:t>
      </w:r>
      <w:r w:rsidR="00FC6C33" w:rsidRPr="00D6525C">
        <w:t xml:space="preserve"> млн. руб. сложились в основном по муниципальным дорожным фондам сельских поселений (</w:t>
      </w:r>
      <w:r w:rsidR="00A64233" w:rsidRPr="00D6525C">
        <w:t>194,0</w:t>
      </w:r>
      <w:r w:rsidR="00FC6C33" w:rsidRPr="00D6525C">
        <w:t xml:space="preserve"> млн. руб.) и города Волгограда (</w:t>
      </w:r>
      <w:r w:rsidR="00A64233" w:rsidRPr="00D6525C">
        <w:t>278,7</w:t>
      </w:r>
      <w:r w:rsidR="00FC6C33" w:rsidRPr="00D6525C">
        <w:t xml:space="preserve"> млн. руб.).</w:t>
      </w:r>
    </w:p>
    <w:p w:rsidR="0041772E" w:rsidRPr="00CE0512" w:rsidRDefault="00FC6C33" w:rsidP="00FC6C33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CE0512">
        <w:rPr>
          <w:i/>
          <w:sz w:val="22"/>
          <w:szCs w:val="22"/>
        </w:rPr>
        <w:t>млн. руб.</w:t>
      </w:r>
    </w:p>
    <w:tbl>
      <w:tblPr>
        <w:tblStyle w:val="af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1610"/>
        <w:gridCol w:w="1562"/>
        <w:gridCol w:w="1611"/>
        <w:gridCol w:w="1598"/>
      </w:tblGrid>
      <w:tr w:rsidR="001837A9" w:rsidRPr="00FF6B81" w:rsidTr="00F13A79">
        <w:trPr>
          <w:trHeight w:val="536"/>
          <w:jc w:val="center"/>
        </w:trPr>
        <w:tc>
          <w:tcPr>
            <w:tcW w:w="23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4233">
              <w:rPr>
                <w:b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610" w:type="dxa"/>
            <w:tcBorders>
              <w:top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4233"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156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4233">
              <w:rPr>
                <w:b/>
                <w:sz w:val="22"/>
                <w:szCs w:val="22"/>
              </w:rPr>
              <w:t>Исполнено</w:t>
            </w:r>
          </w:p>
        </w:tc>
        <w:tc>
          <w:tcPr>
            <w:tcW w:w="1611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1837A9" w:rsidRPr="00A64233" w:rsidRDefault="001837A9" w:rsidP="005432E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4233">
              <w:rPr>
                <w:b/>
                <w:sz w:val="22"/>
                <w:szCs w:val="22"/>
              </w:rPr>
              <w:t>Отклонение</w:t>
            </w:r>
          </w:p>
        </w:tc>
        <w:tc>
          <w:tcPr>
            <w:tcW w:w="1598" w:type="dxa"/>
            <w:tcBorders>
              <w:top w:val="double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1837A9" w:rsidRPr="00A64233" w:rsidRDefault="001837A9" w:rsidP="00BA3FA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4233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1837A9" w:rsidRPr="00FF6B81" w:rsidTr="00F13A79">
        <w:trPr>
          <w:jc w:val="center"/>
        </w:trPr>
        <w:tc>
          <w:tcPr>
            <w:tcW w:w="23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городские округа</w:t>
            </w:r>
          </w:p>
        </w:tc>
        <w:tc>
          <w:tcPr>
            <w:tcW w:w="1610" w:type="dxa"/>
            <w:tcBorders>
              <w:top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4 578,1</w:t>
            </w:r>
          </w:p>
        </w:tc>
        <w:tc>
          <w:tcPr>
            <w:tcW w:w="1562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4 275,6</w:t>
            </w:r>
          </w:p>
        </w:tc>
        <w:tc>
          <w:tcPr>
            <w:tcW w:w="1611" w:type="dxa"/>
            <w:tcBorders>
              <w:top w:val="double" w:sz="4" w:space="0" w:color="auto"/>
            </w:tcBorders>
            <w:vAlign w:val="bottom"/>
          </w:tcPr>
          <w:p w:rsidR="001837A9" w:rsidRPr="00A64233" w:rsidRDefault="008510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37A9" w:rsidRPr="00A64233">
              <w:rPr>
                <w:sz w:val="22"/>
                <w:szCs w:val="22"/>
              </w:rPr>
              <w:t>302,5</w:t>
            </w:r>
          </w:p>
        </w:tc>
        <w:tc>
          <w:tcPr>
            <w:tcW w:w="159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93,4%</w:t>
            </w:r>
          </w:p>
        </w:tc>
      </w:tr>
      <w:tr w:rsidR="001837A9" w:rsidRPr="00FF6B81" w:rsidTr="00F13A79">
        <w:trPr>
          <w:jc w:val="center"/>
        </w:trPr>
        <w:tc>
          <w:tcPr>
            <w:tcW w:w="2347" w:type="dxa"/>
            <w:tcBorders>
              <w:left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64233">
              <w:rPr>
                <w:i/>
                <w:sz w:val="20"/>
                <w:szCs w:val="20"/>
              </w:rPr>
              <w:t>в том числе г. Волгоград</w:t>
            </w:r>
          </w:p>
        </w:tc>
        <w:tc>
          <w:tcPr>
            <w:tcW w:w="1610" w:type="dxa"/>
            <w:vAlign w:val="bottom"/>
          </w:tcPr>
          <w:p w:rsidR="001837A9" w:rsidRPr="00A64233" w:rsidRDefault="001837A9">
            <w:pPr>
              <w:jc w:val="right"/>
              <w:rPr>
                <w:i/>
                <w:iCs/>
                <w:sz w:val="20"/>
                <w:szCs w:val="20"/>
              </w:rPr>
            </w:pPr>
            <w:r w:rsidRPr="00A64233">
              <w:rPr>
                <w:i/>
                <w:iCs/>
                <w:sz w:val="20"/>
                <w:szCs w:val="20"/>
              </w:rPr>
              <w:t>4 006,4</w:t>
            </w:r>
          </w:p>
        </w:tc>
        <w:tc>
          <w:tcPr>
            <w:tcW w:w="1562" w:type="dxa"/>
            <w:tcBorders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i/>
                <w:iCs/>
                <w:sz w:val="20"/>
                <w:szCs w:val="20"/>
              </w:rPr>
            </w:pPr>
            <w:r w:rsidRPr="00A64233">
              <w:rPr>
                <w:i/>
                <w:iCs/>
                <w:sz w:val="20"/>
                <w:szCs w:val="20"/>
              </w:rPr>
              <w:t>3 727,7</w:t>
            </w:r>
          </w:p>
        </w:tc>
        <w:tc>
          <w:tcPr>
            <w:tcW w:w="1611" w:type="dxa"/>
            <w:vAlign w:val="bottom"/>
          </w:tcPr>
          <w:p w:rsidR="001837A9" w:rsidRPr="00A64233" w:rsidRDefault="00851046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1837A9" w:rsidRPr="00A64233">
              <w:rPr>
                <w:i/>
                <w:sz w:val="20"/>
                <w:szCs w:val="20"/>
              </w:rPr>
              <w:t>278,7</w:t>
            </w:r>
          </w:p>
        </w:tc>
        <w:tc>
          <w:tcPr>
            <w:tcW w:w="1598" w:type="dxa"/>
            <w:tcBorders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i/>
                <w:sz w:val="20"/>
                <w:szCs w:val="20"/>
              </w:rPr>
            </w:pPr>
            <w:r w:rsidRPr="00A64233">
              <w:rPr>
                <w:i/>
                <w:sz w:val="20"/>
                <w:szCs w:val="20"/>
              </w:rPr>
              <w:t>93,0%</w:t>
            </w:r>
          </w:p>
        </w:tc>
      </w:tr>
      <w:tr w:rsidR="001837A9" w:rsidRPr="00FF6B81" w:rsidTr="00F13A79">
        <w:trPr>
          <w:jc w:val="center"/>
        </w:trPr>
        <w:tc>
          <w:tcPr>
            <w:tcW w:w="2347" w:type="dxa"/>
            <w:tcBorders>
              <w:left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муниципальные районы</w:t>
            </w:r>
          </w:p>
        </w:tc>
        <w:tc>
          <w:tcPr>
            <w:tcW w:w="1610" w:type="dxa"/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174,6</w:t>
            </w:r>
          </w:p>
        </w:tc>
        <w:tc>
          <w:tcPr>
            <w:tcW w:w="1562" w:type="dxa"/>
            <w:tcBorders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133,8</w:t>
            </w:r>
          </w:p>
        </w:tc>
        <w:tc>
          <w:tcPr>
            <w:tcW w:w="1611" w:type="dxa"/>
            <w:vAlign w:val="bottom"/>
          </w:tcPr>
          <w:p w:rsidR="001837A9" w:rsidRPr="00A64233" w:rsidRDefault="008510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37A9" w:rsidRPr="00A64233">
              <w:rPr>
                <w:sz w:val="22"/>
                <w:szCs w:val="22"/>
              </w:rPr>
              <w:t>40,8</w:t>
            </w:r>
          </w:p>
        </w:tc>
        <w:tc>
          <w:tcPr>
            <w:tcW w:w="1598" w:type="dxa"/>
            <w:tcBorders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76,6%</w:t>
            </w:r>
          </w:p>
        </w:tc>
      </w:tr>
      <w:tr w:rsidR="001837A9" w:rsidRPr="00FF6B81" w:rsidTr="00F13A79">
        <w:trPr>
          <w:jc w:val="center"/>
        </w:trPr>
        <w:tc>
          <w:tcPr>
            <w:tcW w:w="2347" w:type="dxa"/>
            <w:tcBorders>
              <w:left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городские поселения</w:t>
            </w:r>
          </w:p>
        </w:tc>
        <w:tc>
          <w:tcPr>
            <w:tcW w:w="1610" w:type="dxa"/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377,7</w:t>
            </w:r>
          </w:p>
        </w:tc>
        <w:tc>
          <w:tcPr>
            <w:tcW w:w="1562" w:type="dxa"/>
            <w:tcBorders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322,3</w:t>
            </w:r>
          </w:p>
        </w:tc>
        <w:tc>
          <w:tcPr>
            <w:tcW w:w="1611" w:type="dxa"/>
            <w:vAlign w:val="bottom"/>
          </w:tcPr>
          <w:p w:rsidR="001837A9" w:rsidRPr="00A64233" w:rsidRDefault="008510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37A9" w:rsidRPr="00A64233">
              <w:rPr>
                <w:sz w:val="22"/>
                <w:szCs w:val="22"/>
              </w:rPr>
              <w:t>55,4</w:t>
            </w:r>
          </w:p>
        </w:tc>
        <w:tc>
          <w:tcPr>
            <w:tcW w:w="1598" w:type="dxa"/>
            <w:tcBorders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85,3%</w:t>
            </w:r>
          </w:p>
        </w:tc>
      </w:tr>
      <w:tr w:rsidR="001837A9" w:rsidRPr="00FF6B81" w:rsidTr="00F13A79">
        <w:trPr>
          <w:jc w:val="center"/>
        </w:trPr>
        <w:tc>
          <w:tcPr>
            <w:tcW w:w="23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сельские поселения</w:t>
            </w:r>
          </w:p>
        </w:tc>
        <w:tc>
          <w:tcPr>
            <w:tcW w:w="1610" w:type="dxa"/>
            <w:tcBorders>
              <w:bottom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653,6</w:t>
            </w:r>
          </w:p>
        </w:tc>
        <w:tc>
          <w:tcPr>
            <w:tcW w:w="1562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459,6</w:t>
            </w:r>
          </w:p>
        </w:tc>
        <w:tc>
          <w:tcPr>
            <w:tcW w:w="1611" w:type="dxa"/>
            <w:tcBorders>
              <w:bottom w:val="double" w:sz="4" w:space="0" w:color="auto"/>
            </w:tcBorders>
            <w:vAlign w:val="bottom"/>
          </w:tcPr>
          <w:p w:rsidR="001837A9" w:rsidRPr="00A64233" w:rsidRDefault="008510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37A9" w:rsidRPr="00A64233">
              <w:rPr>
                <w:sz w:val="22"/>
                <w:szCs w:val="22"/>
              </w:rPr>
              <w:t>194,0</w:t>
            </w:r>
          </w:p>
        </w:tc>
        <w:tc>
          <w:tcPr>
            <w:tcW w:w="159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sz w:val="22"/>
                <w:szCs w:val="22"/>
              </w:rPr>
            </w:pPr>
            <w:r w:rsidRPr="00A64233">
              <w:rPr>
                <w:sz w:val="22"/>
                <w:szCs w:val="22"/>
              </w:rPr>
              <w:t>70,3%</w:t>
            </w:r>
          </w:p>
        </w:tc>
      </w:tr>
      <w:tr w:rsidR="001837A9" w:rsidRPr="00FF6B81" w:rsidTr="00F13A79">
        <w:trPr>
          <w:jc w:val="center"/>
        </w:trPr>
        <w:tc>
          <w:tcPr>
            <w:tcW w:w="2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7A9" w:rsidRPr="00A64233" w:rsidRDefault="001837A9" w:rsidP="0041772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6423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61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b/>
                <w:bCs/>
                <w:sz w:val="22"/>
                <w:szCs w:val="22"/>
              </w:rPr>
            </w:pPr>
            <w:r w:rsidRPr="00A64233">
              <w:rPr>
                <w:b/>
                <w:bCs/>
                <w:sz w:val="22"/>
                <w:szCs w:val="22"/>
              </w:rPr>
              <w:t>5 784,0</w:t>
            </w:r>
          </w:p>
        </w:tc>
        <w:tc>
          <w:tcPr>
            <w:tcW w:w="15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b/>
                <w:bCs/>
                <w:sz w:val="22"/>
                <w:szCs w:val="22"/>
              </w:rPr>
            </w:pPr>
            <w:r w:rsidRPr="00A64233">
              <w:rPr>
                <w:b/>
                <w:bCs/>
                <w:sz w:val="22"/>
                <w:szCs w:val="22"/>
              </w:rPr>
              <w:t>5 191,3</w:t>
            </w:r>
          </w:p>
        </w:tc>
        <w:tc>
          <w:tcPr>
            <w:tcW w:w="161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37A9" w:rsidRPr="00A64233" w:rsidRDefault="008510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</w:t>
            </w:r>
            <w:r w:rsidR="001837A9" w:rsidRPr="00A64233">
              <w:rPr>
                <w:b/>
                <w:bCs/>
                <w:sz w:val="22"/>
                <w:szCs w:val="22"/>
              </w:rPr>
              <w:t>592,7</w:t>
            </w:r>
          </w:p>
        </w:tc>
        <w:tc>
          <w:tcPr>
            <w:tcW w:w="15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1837A9" w:rsidRPr="00A64233" w:rsidRDefault="001837A9">
            <w:pPr>
              <w:jc w:val="right"/>
              <w:rPr>
                <w:b/>
                <w:bCs/>
                <w:sz w:val="22"/>
                <w:szCs w:val="22"/>
              </w:rPr>
            </w:pPr>
            <w:r w:rsidRPr="00A64233">
              <w:rPr>
                <w:b/>
                <w:bCs/>
                <w:sz w:val="22"/>
                <w:szCs w:val="22"/>
              </w:rPr>
              <w:t>89,8%</w:t>
            </w:r>
          </w:p>
        </w:tc>
      </w:tr>
    </w:tbl>
    <w:p w:rsidR="0041772E" w:rsidRPr="00FF6B81" w:rsidRDefault="0041772E" w:rsidP="00B7418A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4345C0" w:rsidRPr="006623C3" w:rsidRDefault="005432E6" w:rsidP="00B7418A">
      <w:pPr>
        <w:autoSpaceDE w:val="0"/>
        <w:autoSpaceDN w:val="0"/>
        <w:adjustRightInd w:val="0"/>
        <w:ind w:firstLine="709"/>
        <w:jc w:val="both"/>
      </w:pPr>
      <w:r w:rsidRPr="00D6525C">
        <w:t xml:space="preserve">Данные об использовании муниципальных дорожных фондов Волгоградской области, содержащиеся в бюджетной и статистической отчётности, существенно отличаются. </w:t>
      </w:r>
      <w:r w:rsidR="004345C0" w:rsidRPr="00D6525C">
        <w:t xml:space="preserve">Согласно данным ф. № 1-ФД при формировании муниципальных дорожных фондов учтено </w:t>
      </w:r>
      <w:r w:rsidR="00CE0512" w:rsidRPr="00D6525C">
        <w:t>4 645,1</w:t>
      </w:r>
      <w:r w:rsidR="004345C0" w:rsidRPr="00D6525C">
        <w:t xml:space="preserve"> млн. руб., израсходовано </w:t>
      </w:r>
      <w:r w:rsidR="00CE0512" w:rsidRPr="00D6525C">
        <w:t>4 479,3</w:t>
      </w:r>
      <w:r w:rsidR="004345C0" w:rsidRPr="00D6525C">
        <w:t xml:space="preserve"> млн. руб., что </w:t>
      </w:r>
      <w:r w:rsidR="000D2777" w:rsidRPr="00D6525C">
        <w:t>не соответствует данным отчета об исполнении консолидированного бюджета Волгоградской области</w:t>
      </w:r>
      <w:r w:rsidR="009826C3" w:rsidRPr="00D6525C">
        <w:t xml:space="preserve"> (ф. 0503317)</w:t>
      </w:r>
      <w:r w:rsidR="000D2777" w:rsidRPr="00D6525C">
        <w:t>.</w:t>
      </w:r>
      <w:r w:rsidR="001837A9" w:rsidRPr="00D6525C">
        <w:t xml:space="preserve"> </w:t>
      </w:r>
      <w:r w:rsidR="0076226F" w:rsidRPr="00D6525C">
        <w:t>Различия в показателях</w:t>
      </w:r>
      <w:r w:rsidR="001837A9" w:rsidRPr="00D6525C">
        <w:t xml:space="preserve"> обусловлен</w:t>
      </w:r>
      <w:r w:rsidR="0076226F" w:rsidRPr="00D6525C">
        <w:t>ы</w:t>
      </w:r>
      <w:r w:rsidR="001837A9" w:rsidRPr="00D6525C">
        <w:t xml:space="preserve"> тем, что имеющийся объём источников формирования муниципальных дорожных фондов не позволяет обеспечить требуемый объём расходов</w:t>
      </w:r>
      <w:r w:rsidR="00AC1E8D">
        <w:t>,</w:t>
      </w:r>
      <w:r w:rsidR="001837A9" w:rsidRPr="00D6525C">
        <w:t xml:space="preserve"> и муниципалитеты утверждают и осуществляют расходы на дорожное хозяйство сверх утверждённых объёмов фондов.</w:t>
      </w:r>
      <w:r w:rsidR="006426FE" w:rsidRPr="00D6525C">
        <w:t xml:space="preserve"> Указанное</w:t>
      </w:r>
      <w:r w:rsidR="00871A97" w:rsidRPr="00D6525C">
        <w:t xml:space="preserve"> </w:t>
      </w:r>
      <w:r w:rsidR="006426FE" w:rsidRPr="00D6525C">
        <w:t xml:space="preserve">обстоятельство необходимо учитывать при </w:t>
      </w:r>
      <w:r w:rsidR="006426FE" w:rsidRPr="006623C3">
        <w:lastRenderedPageBreak/>
        <w:t xml:space="preserve">рассмотрении </w:t>
      </w:r>
      <w:r w:rsidR="00871A97" w:rsidRPr="006623C3">
        <w:t>результатов структурного анализа расходов муниципальных дорожных фондов, проведённого ниже на основе ф. № 1-ФД.</w:t>
      </w:r>
    </w:p>
    <w:p w:rsidR="001F0DDC" w:rsidRPr="006623C3" w:rsidRDefault="001F0DDC" w:rsidP="00524352">
      <w:pPr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:rsidR="00524352" w:rsidRDefault="00524352" w:rsidP="00524352">
      <w:pPr>
        <w:autoSpaceDE w:val="0"/>
        <w:autoSpaceDN w:val="0"/>
        <w:adjustRightInd w:val="0"/>
        <w:ind w:firstLine="709"/>
        <w:jc w:val="both"/>
      </w:pPr>
      <w:r w:rsidRPr="006623C3">
        <w:t xml:space="preserve">В разрезе направлений расходов информация об использовании дорожных фондов муниципальных образований Волгоградской области </w:t>
      </w:r>
      <w:r w:rsidR="00CE0512" w:rsidRPr="006623C3">
        <w:t>в</w:t>
      </w:r>
      <w:r w:rsidRPr="006623C3">
        <w:t xml:space="preserve"> </w:t>
      </w:r>
      <w:r w:rsidR="00871A97" w:rsidRPr="006623C3">
        <w:t xml:space="preserve">2016 - </w:t>
      </w:r>
      <w:r w:rsidRPr="006623C3">
        <w:t>2017 год</w:t>
      </w:r>
      <w:r w:rsidR="00871A97" w:rsidRPr="006623C3">
        <w:t>ах</w:t>
      </w:r>
      <w:r w:rsidR="00BB1A32" w:rsidRPr="006623C3">
        <w:t xml:space="preserve"> </w:t>
      </w:r>
      <w:r w:rsidRPr="006623C3">
        <w:t xml:space="preserve">представлена </w:t>
      </w:r>
      <w:r w:rsidR="00871A97" w:rsidRPr="006623C3">
        <w:t xml:space="preserve">таблицей и </w:t>
      </w:r>
      <w:r w:rsidRPr="006623C3">
        <w:t>диаграммой.</w:t>
      </w:r>
    </w:p>
    <w:p w:rsidR="00785E70" w:rsidRPr="006623C3" w:rsidRDefault="00785E70" w:rsidP="00785E70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6623C3">
        <w:rPr>
          <w:i/>
          <w:sz w:val="22"/>
          <w:szCs w:val="22"/>
        </w:rPr>
        <w:t>млн. руб.</w:t>
      </w:r>
    </w:p>
    <w:tbl>
      <w:tblPr>
        <w:tblW w:w="9214" w:type="dxa"/>
        <w:jc w:val="center"/>
        <w:tblLook w:val="04A0" w:firstRow="1" w:lastRow="0" w:firstColumn="1" w:lastColumn="0" w:noHBand="0" w:noVBand="1"/>
      </w:tblPr>
      <w:tblGrid>
        <w:gridCol w:w="4111"/>
        <w:gridCol w:w="1635"/>
        <w:gridCol w:w="1559"/>
        <w:gridCol w:w="993"/>
        <w:gridCol w:w="916"/>
      </w:tblGrid>
      <w:tr w:rsidR="006623C3" w:rsidRPr="006623C3" w:rsidTr="006623C3">
        <w:trPr>
          <w:trHeight w:val="20"/>
          <w:jc w:val="center"/>
        </w:trPr>
        <w:tc>
          <w:tcPr>
            <w:tcW w:w="411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3194" w:type="dxa"/>
            <w:gridSpan w:val="2"/>
            <w:tcBorders>
              <w:top w:val="double" w:sz="6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 xml:space="preserve">Использование </w:t>
            </w:r>
            <w:r w:rsidR="006623C3" w:rsidRPr="006623C3">
              <w:rPr>
                <w:sz w:val="20"/>
                <w:szCs w:val="20"/>
              </w:rPr>
              <w:t xml:space="preserve">мун. </w:t>
            </w:r>
            <w:r w:rsidRPr="006623C3">
              <w:rPr>
                <w:sz w:val="20"/>
                <w:szCs w:val="20"/>
              </w:rPr>
              <w:t>дор</w:t>
            </w:r>
            <w:r w:rsidR="006623C3" w:rsidRPr="006623C3">
              <w:rPr>
                <w:sz w:val="20"/>
                <w:szCs w:val="20"/>
              </w:rPr>
              <w:t>фондов</w:t>
            </w:r>
          </w:p>
        </w:tc>
        <w:tc>
          <w:tcPr>
            <w:tcW w:w="1909" w:type="dxa"/>
            <w:gridSpan w:val="2"/>
            <w:tcBorders>
              <w:top w:val="double" w:sz="6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C90796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Отклонение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tted" w:sz="4" w:space="0" w:color="auto"/>
            </w:tcBorders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C9079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млн. руб.</w:t>
            </w: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C90796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6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12,0</w:t>
            </w: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218,2%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Ремонт</w:t>
            </w:r>
          </w:p>
        </w:tc>
        <w:tc>
          <w:tcPr>
            <w:tcW w:w="16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2 536,6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2 938,4</w:t>
            </w: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401,8</w:t>
            </w: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15,8%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Содержание</w:t>
            </w:r>
          </w:p>
        </w:tc>
        <w:tc>
          <w:tcPr>
            <w:tcW w:w="16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744,1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835,2</w:t>
            </w: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91,1</w:t>
            </w: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12,2%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Строительство и реконструкция</w:t>
            </w:r>
          </w:p>
        </w:tc>
        <w:tc>
          <w:tcPr>
            <w:tcW w:w="16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256,4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321,6</w:t>
            </w: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65,2</w:t>
            </w: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25,4%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Иные работы</w:t>
            </w:r>
          </w:p>
        </w:tc>
        <w:tc>
          <w:tcPr>
            <w:tcW w:w="16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20,3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72,7</w:t>
            </w: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52,4</w:t>
            </w: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258,1%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Содержание подведомственных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49,5</w:t>
            </w: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9,0</w:t>
            </w: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22,2%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dotted" w:sz="4" w:space="0" w:color="auto"/>
              <w:left w:val="double" w:sz="6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C90796">
            <w:pPr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Обеспечение транспортной безопасности</w:t>
            </w:r>
          </w:p>
        </w:tc>
        <w:tc>
          <w:tcPr>
            <w:tcW w:w="1635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41,3</w:t>
            </w:r>
          </w:p>
        </w:tc>
        <w:tc>
          <w:tcPr>
            <w:tcW w:w="1559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244,4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203,1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sz w:val="20"/>
                <w:szCs w:val="20"/>
              </w:rPr>
            </w:pPr>
            <w:r w:rsidRPr="006623C3">
              <w:rPr>
                <w:sz w:val="20"/>
                <w:szCs w:val="20"/>
              </w:rPr>
              <w:t>491,8%</w:t>
            </w:r>
          </w:p>
        </w:tc>
      </w:tr>
      <w:tr w:rsidR="006623C3" w:rsidRPr="006623C3" w:rsidTr="006623C3">
        <w:trPr>
          <w:trHeight w:val="20"/>
          <w:jc w:val="center"/>
        </w:trPr>
        <w:tc>
          <w:tcPr>
            <w:tcW w:w="4111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C90796">
            <w:pPr>
              <w:rPr>
                <w:b/>
                <w:bCs/>
                <w:sz w:val="20"/>
                <w:szCs w:val="20"/>
              </w:rPr>
            </w:pPr>
            <w:r w:rsidRPr="006623C3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35" w:type="dxa"/>
            <w:tcBorders>
              <w:top w:val="double" w:sz="4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b/>
                <w:bCs/>
                <w:sz w:val="20"/>
                <w:szCs w:val="20"/>
              </w:rPr>
            </w:pPr>
            <w:r w:rsidRPr="006623C3">
              <w:rPr>
                <w:b/>
                <w:bCs/>
                <w:sz w:val="20"/>
                <w:szCs w:val="20"/>
              </w:rPr>
              <w:t>3 644,7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b/>
                <w:bCs/>
                <w:sz w:val="20"/>
                <w:szCs w:val="20"/>
              </w:rPr>
            </w:pPr>
            <w:r w:rsidRPr="006623C3">
              <w:rPr>
                <w:b/>
                <w:bCs/>
                <w:sz w:val="20"/>
                <w:szCs w:val="20"/>
              </w:rPr>
              <w:t>4 479,3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b/>
                <w:bCs/>
                <w:sz w:val="20"/>
                <w:szCs w:val="20"/>
              </w:rPr>
            </w:pPr>
            <w:r w:rsidRPr="006623C3">
              <w:rPr>
                <w:b/>
                <w:bCs/>
                <w:sz w:val="20"/>
                <w:szCs w:val="20"/>
              </w:rPr>
              <w:t>834,6</w:t>
            </w:r>
          </w:p>
        </w:tc>
        <w:tc>
          <w:tcPr>
            <w:tcW w:w="916" w:type="dxa"/>
            <w:tcBorders>
              <w:top w:val="double" w:sz="4" w:space="0" w:color="auto"/>
              <w:left w:val="dotted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5E70" w:rsidRPr="006623C3" w:rsidRDefault="00785E70" w:rsidP="006623C3">
            <w:pPr>
              <w:jc w:val="center"/>
              <w:rPr>
                <w:b/>
                <w:bCs/>
                <w:sz w:val="20"/>
                <w:szCs w:val="20"/>
              </w:rPr>
            </w:pPr>
            <w:r w:rsidRPr="006623C3">
              <w:rPr>
                <w:b/>
                <w:bCs/>
                <w:sz w:val="20"/>
                <w:szCs w:val="20"/>
              </w:rPr>
              <w:t>22,9%</w:t>
            </w:r>
          </w:p>
        </w:tc>
      </w:tr>
    </w:tbl>
    <w:p w:rsidR="00785E70" w:rsidRPr="006623C3" w:rsidRDefault="00785E70" w:rsidP="00785E70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</w:p>
    <w:p w:rsidR="00785E70" w:rsidRDefault="00785E70" w:rsidP="00785E70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85E70"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0" distR="0">
            <wp:extent cx="6120130" cy="2865685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85E70" w:rsidRDefault="00785E70" w:rsidP="00785E70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871A97" w:rsidRDefault="0066488A" w:rsidP="00B7418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Общий объём средств муниципальных дорожных фондов, использованных в 2017 году</w:t>
      </w:r>
      <w:r w:rsidR="00373A3D">
        <w:rPr>
          <w:rFonts w:eastAsia="Calibri"/>
          <w:color w:val="000000"/>
        </w:rPr>
        <w:t>,</w:t>
      </w:r>
      <w:r>
        <w:rPr>
          <w:rFonts w:eastAsia="Calibri"/>
          <w:color w:val="000000"/>
        </w:rPr>
        <w:t xml:space="preserve"> увеличился по сравнению с показателем 2016 года на 834,6 млн. руб., или на 22,9 процента. Увеличение произошло, в основном, за счёт расходов на ремонт автодорог (+401,8 млн. руб., или 15,8%) и обеспечение транспортной безопасности (+203,1 млн. руб., или в 5,9 раза). </w:t>
      </w:r>
    </w:p>
    <w:p w:rsidR="00D043E3" w:rsidRPr="00A203BF" w:rsidRDefault="0066488A" w:rsidP="00B741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В</w:t>
      </w:r>
      <w:r w:rsidRPr="003E13F5">
        <w:t xml:space="preserve"> 2017 году</w:t>
      </w:r>
      <w:r w:rsidR="00AC1E8D">
        <w:t>,</w:t>
      </w:r>
      <w:r>
        <w:t xml:space="preserve"> как и в 2016 году, большая часть средств муниципальных дорожных фондов </w:t>
      </w:r>
      <w:r w:rsidR="00D6525C" w:rsidRPr="003E13F5">
        <w:t>направлен</w:t>
      </w:r>
      <w:r w:rsidR="00D6525C">
        <w:t>а</w:t>
      </w:r>
      <w:r w:rsidR="00D6525C" w:rsidRPr="003E13F5">
        <w:t xml:space="preserve"> на ремонт автодорог </w:t>
      </w:r>
      <w:r w:rsidR="00D6525C">
        <w:t>(</w:t>
      </w:r>
      <w:r w:rsidR="00871A97" w:rsidRPr="003E13F5">
        <w:t>65,0%</w:t>
      </w:r>
      <w:r w:rsidR="00D6525C">
        <w:t>,</w:t>
      </w:r>
      <w:r w:rsidR="00871A97" w:rsidRPr="003E13F5">
        <w:t xml:space="preserve"> </w:t>
      </w:r>
      <w:r w:rsidR="00D6525C">
        <w:t xml:space="preserve">или </w:t>
      </w:r>
      <w:r w:rsidR="00871A97" w:rsidRPr="003E13F5">
        <w:t xml:space="preserve">2 938,4 млн. руб.) </w:t>
      </w:r>
      <w:r w:rsidR="00D6525C">
        <w:t>и</w:t>
      </w:r>
      <w:r w:rsidR="00871A97" w:rsidRPr="003E13F5">
        <w:t xml:space="preserve"> на содержание автодорог</w:t>
      </w:r>
      <w:r w:rsidR="00D6525C">
        <w:t xml:space="preserve"> (</w:t>
      </w:r>
      <w:r w:rsidR="00D6525C" w:rsidRPr="003E13F5">
        <w:t>18,6%</w:t>
      </w:r>
      <w:r w:rsidR="00D6525C">
        <w:t xml:space="preserve">, или </w:t>
      </w:r>
      <w:r w:rsidR="00D6525C" w:rsidRPr="003E13F5">
        <w:t>835,2 млн. руб.)</w:t>
      </w:r>
      <w:r w:rsidR="00D6525C">
        <w:t xml:space="preserve">. </w:t>
      </w:r>
      <w:r w:rsidR="00D043E3" w:rsidRPr="00A203BF">
        <w:rPr>
          <w:rFonts w:eastAsia="Calibri"/>
        </w:rPr>
        <w:t>Наименьши</w:t>
      </w:r>
      <w:r w:rsidR="00D6525C">
        <w:rPr>
          <w:rFonts w:eastAsia="Calibri"/>
        </w:rPr>
        <w:t>е</w:t>
      </w:r>
      <w:r w:rsidR="00D043E3" w:rsidRPr="00A203BF">
        <w:rPr>
          <w:rFonts w:eastAsia="Calibri"/>
        </w:rPr>
        <w:t xml:space="preserve"> </w:t>
      </w:r>
      <w:r w:rsidR="00D6525C">
        <w:rPr>
          <w:rFonts w:eastAsia="Calibri"/>
        </w:rPr>
        <w:t xml:space="preserve">расходы осуществлены </w:t>
      </w:r>
      <w:r w:rsidR="00D043E3" w:rsidRPr="00A203BF">
        <w:rPr>
          <w:rFonts w:eastAsia="Calibri"/>
        </w:rPr>
        <w:t xml:space="preserve">на </w:t>
      </w:r>
      <w:r w:rsidR="00AC1E8D">
        <w:rPr>
          <w:rFonts w:eastAsia="Calibri"/>
        </w:rPr>
        <w:t>капитальный ремонт</w:t>
      </w:r>
      <w:r w:rsidR="00D6525C">
        <w:rPr>
          <w:rFonts w:eastAsia="Calibri"/>
        </w:rPr>
        <w:t xml:space="preserve"> дорог: </w:t>
      </w:r>
      <w:r w:rsidR="00D043E3" w:rsidRPr="00A203BF">
        <w:rPr>
          <w:rFonts w:eastAsia="Calibri"/>
        </w:rPr>
        <w:t xml:space="preserve">в 2016 году – 5,5 млн. руб., или </w:t>
      </w:r>
      <w:r w:rsidR="00A203BF" w:rsidRPr="00A203BF">
        <w:rPr>
          <w:rFonts w:eastAsia="Calibri"/>
        </w:rPr>
        <w:t>0,2%, в 2017 году – 17,5 млн. руб., или 0,4</w:t>
      </w:r>
      <w:r w:rsidR="006623C3">
        <w:rPr>
          <w:rFonts w:eastAsia="Calibri"/>
        </w:rPr>
        <w:t xml:space="preserve"> </w:t>
      </w:r>
      <w:r w:rsidR="00D6525C">
        <w:rPr>
          <w:rFonts w:eastAsia="Calibri"/>
        </w:rPr>
        <w:t>процента</w:t>
      </w:r>
      <w:r w:rsidR="00A203BF" w:rsidRPr="00A203BF">
        <w:rPr>
          <w:rFonts w:eastAsia="Calibri"/>
        </w:rPr>
        <w:t>.</w:t>
      </w:r>
    </w:p>
    <w:p w:rsidR="00851B70" w:rsidRDefault="00851B70" w:rsidP="0098602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51B70" w:rsidRPr="006B36F3" w:rsidRDefault="00851B70" w:rsidP="009B4D56">
      <w:pPr>
        <w:autoSpaceDE w:val="0"/>
        <w:autoSpaceDN w:val="0"/>
        <w:adjustRightInd w:val="0"/>
        <w:ind w:firstLine="720"/>
        <w:jc w:val="both"/>
        <w:rPr>
          <w:b/>
          <w:i/>
        </w:rPr>
      </w:pPr>
      <w:r w:rsidRPr="006B36F3">
        <w:rPr>
          <w:b/>
          <w:i/>
        </w:rPr>
        <w:t>Выводы:</w:t>
      </w:r>
    </w:p>
    <w:p w:rsidR="00DA4496" w:rsidRPr="00407E84" w:rsidRDefault="00DA4496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 w:rsidRPr="006B36F3">
        <w:t>В 201</w:t>
      </w:r>
      <w:r w:rsidR="003077D7" w:rsidRPr="006B36F3">
        <w:t>7</w:t>
      </w:r>
      <w:r w:rsidRPr="006B36F3">
        <w:t xml:space="preserve"> году дорожный фонд Волгоградской области</w:t>
      </w:r>
      <w:r w:rsidR="00407E84">
        <w:t xml:space="preserve"> был</w:t>
      </w:r>
      <w:r w:rsidRPr="006B36F3">
        <w:t xml:space="preserve"> </w:t>
      </w:r>
      <w:r w:rsidR="00373A3D" w:rsidRPr="006B36F3">
        <w:t>сформирован в объеме</w:t>
      </w:r>
      <w:r w:rsidRPr="006B36F3">
        <w:t xml:space="preserve"> 11 244,4 млн. руб., в том числе 3 565,9 млн. руб. </w:t>
      </w:r>
      <w:r w:rsidR="006B36F3" w:rsidRPr="006B36F3">
        <w:t>за счёт межбюджетных трансфертов из</w:t>
      </w:r>
      <w:r w:rsidRPr="006B36F3">
        <w:t xml:space="preserve"> федерального бюджета</w:t>
      </w:r>
      <w:r w:rsidRPr="009B4D56">
        <w:t xml:space="preserve">. Объем поступивших доходов на 1 110,4 млн. руб., или на 11,0% больше </w:t>
      </w:r>
      <w:r w:rsidRPr="009B4D56">
        <w:rPr>
          <w:rFonts w:eastAsia="Calibri"/>
          <w:bCs/>
        </w:rPr>
        <w:t xml:space="preserve">прогнозировавшихся объемов доходов областного бюджета, учитываемых при формировании дорожного фонда, в том числе за счёт возврата остатков межбюджетных </w:t>
      </w:r>
      <w:r w:rsidRPr="009B4D56">
        <w:rPr>
          <w:rFonts w:eastAsia="Calibri"/>
          <w:bCs/>
        </w:rPr>
        <w:lastRenderedPageBreak/>
        <w:t>трансфертов прошлых лет из федерального бюджета в сумме 416,0 млн. рублей. Средства федерального бюджета использованы в 2017 году в полном объёме.</w:t>
      </w:r>
    </w:p>
    <w:p w:rsidR="00407E84" w:rsidRDefault="00407E84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>
        <w:rPr>
          <w:rFonts w:eastAsia="Calibri"/>
        </w:rPr>
        <w:t>П</w:t>
      </w:r>
      <w:r w:rsidRPr="00213458">
        <w:rPr>
          <w:rFonts w:eastAsia="Calibri"/>
        </w:rPr>
        <w:t>оложительн</w:t>
      </w:r>
      <w:r>
        <w:rPr>
          <w:rFonts w:eastAsia="Calibri"/>
        </w:rPr>
        <w:t>ая</w:t>
      </w:r>
      <w:r w:rsidRPr="00213458">
        <w:rPr>
          <w:rFonts w:eastAsia="Calibri"/>
        </w:rPr>
        <w:t xml:space="preserve"> разниц</w:t>
      </w:r>
      <w:r>
        <w:rPr>
          <w:rFonts w:eastAsia="Calibri"/>
        </w:rPr>
        <w:t>а</w:t>
      </w:r>
      <w:r w:rsidRPr="00213458">
        <w:rPr>
          <w:rFonts w:eastAsia="Calibri"/>
        </w:rPr>
        <w:t xml:space="preserve"> между фактически поступившим и прогнозировавшимся объемом доходов</w:t>
      </w:r>
      <w:r>
        <w:rPr>
          <w:rFonts w:eastAsia="Calibri"/>
        </w:rPr>
        <w:t xml:space="preserve"> областного бюджета</w:t>
      </w:r>
      <w:r w:rsidRPr="00213458">
        <w:rPr>
          <w:rFonts w:eastAsia="Calibri"/>
        </w:rPr>
        <w:t>, учитываемых при формировании дорожного фонда</w:t>
      </w:r>
      <w:r>
        <w:rPr>
          <w:rFonts w:eastAsia="Calibri"/>
        </w:rPr>
        <w:t xml:space="preserve"> Волгоградской области в 2016 году, сложилась в сумме 1 950,3 </w:t>
      </w:r>
      <w:r w:rsidRPr="0076703D">
        <w:rPr>
          <w:rFonts w:eastAsia="Calibri"/>
        </w:rPr>
        <w:t xml:space="preserve">млн. рублей. В 2017 году </w:t>
      </w:r>
      <w:r w:rsidRPr="00DB07FD">
        <w:rPr>
          <w:rFonts w:eastAsia="Calibri"/>
        </w:rPr>
        <w:t xml:space="preserve">ассигнования дорожного фонда Волгоградской области увеличены на 150,3 млн. руб., или на 7,7% от требуемого объема (1 950,3 млн. руб.). В нарушение абз. 10 п. 4 ст. </w:t>
      </w:r>
      <w:r w:rsidRPr="00DB07FD">
        <w:t>179.4 БК РФ в 2017 году объем дорожного фонда Волгоградской области не увеличен на 1 800,0 млн. рублей.</w:t>
      </w:r>
    </w:p>
    <w:p w:rsidR="00407E84" w:rsidRPr="009B4D56" w:rsidRDefault="00407E84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 w:rsidRPr="009B4D56">
        <w:t xml:space="preserve">Положительная разница между </w:t>
      </w:r>
      <w:r w:rsidRPr="009B4D56">
        <w:rPr>
          <w:rFonts w:eastAsia="Calibri"/>
          <w:bCs/>
        </w:rPr>
        <w:t>фактически поступившим в 2017 году и прогнозировавшимся объемом доходов бюджета Волгоградской области, учитываемых при формировании дорожного фонда, в части налоговых доходов бюджета Волгоградской области составила 558,6 млн. рублей</w:t>
      </w:r>
      <w:r w:rsidRPr="00AE4FDF">
        <w:rPr>
          <w:rFonts w:eastAsia="Calibri"/>
          <w:bCs/>
        </w:rPr>
        <w:t xml:space="preserve">. </w:t>
      </w:r>
      <w:r w:rsidRPr="00AE4FDF">
        <w:rPr>
          <w:rFonts w:eastAsia="Calibri"/>
        </w:rPr>
        <w:t xml:space="preserve">В 2017 году ассигнования дорожного фонда Волгоградской области на указанную разницу не увеличивались. В 2018 году такое увеличение областным бюджетом также не предусмотрено, что не соответствует требованиям абз. 10 п. 4 ст. </w:t>
      </w:r>
      <w:r w:rsidRPr="00AE4FDF">
        <w:t>179.4 БК РФ.</w:t>
      </w:r>
    </w:p>
    <w:p w:rsidR="00D1202D" w:rsidRPr="00AE4FDF" w:rsidRDefault="00AF408F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rFonts w:eastAsiaTheme="minorHAnsi"/>
          <w:b/>
          <w:lang w:eastAsia="en-US"/>
        </w:rPr>
      </w:pPr>
      <w:r w:rsidRPr="009B4D56">
        <w:rPr>
          <w:rFonts w:eastAsiaTheme="minorHAnsi"/>
          <w:lang w:eastAsia="en-US"/>
        </w:rPr>
        <w:t xml:space="preserve">Расходы дорожного фонда Волгоградской области в 2017 году исполнены в сумме </w:t>
      </w:r>
      <w:r w:rsidR="00C92D9C" w:rsidRPr="00AE4FDF">
        <w:t>8 996,8</w:t>
      </w:r>
      <w:r w:rsidRPr="00AE4FDF">
        <w:t xml:space="preserve"> млн. руб</w:t>
      </w:r>
      <w:r w:rsidR="00C92D9C" w:rsidRPr="00AE4FDF">
        <w:t>., что составляет</w:t>
      </w:r>
      <w:r w:rsidRPr="00AE4FDF">
        <w:t xml:space="preserve"> </w:t>
      </w:r>
      <w:r w:rsidR="00C92D9C" w:rsidRPr="00AE4FDF">
        <w:t>80</w:t>
      </w:r>
      <w:r w:rsidRPr="00AE4FDF">
        <w:t>,0% от объёма фактически поступивших доходов, учитываемых при формировании дорожного фонда (</w:t>
      </w:r>
      <w:r w:rsidRPr="00AE4FDF">
        <w:rPr>
          <w:bCs/>
        </w:rPr>
        <w:t>11</w:t>
      </w:r>
      <w:r w:rsidR="00C92D9C" w:rsidRPr="00AE4FDF">
        <w:rPr>
          <w:bCs/>
        </w:rPr>
        <w:t> 244,4</w:t>
      </w:r>
      <w:r w:rsidRPr="00AE4FDF">
        <w:rPr>
          <w:bCs/>
        </w:rPr>
        <w:t xml:space="preserve"> млн. руб.).</w:t>
      </w:r>
    </w:p>
    <w:p w:rsidR="00DA4496" w:rsidRDefault="00976FAB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 w:rsidRPr="00AE4FDF">
        <w:t>В 2017 году не использованы бюджетные ассигнования дорожного фонда Волгоградской области, источником формирования которых являлись налоговые доходы областного бюджета</w:t>
      </w:r>
      <w:r w:rsidRPr="009B4D56">
        <w:t>, в сумме 1 68</w:t>
      </w:r>
      <w:r w:rsidR="008E4B46">
        <w:t>9</w:t>
      </w:r>
      <w:r w:rsidRPr="009B4D56">
        <w:t>,</w:t>
      </w:r>
      <w:r w:rsidR="008E4B46">
        <w:t>0</w:t>
      </w:r>
      <w:r w:rsidRPr="009B4D56">
        <w:t xml:space="preserve"> </w:t>
      </w:r>
      <w:r w:rsidRPr="00AE4FDF">
        <w:t>млн. руб. (7 119,9 – 5 43</w:t>
      </w:r>
      <w:r w:rsidR="008E4B46">
        <w:t>0</w:t>
      </w:r>
      <w:r w:rsidRPr="00AE4FDF">
        <w:t>,</w:t>
      </w:r>
      <w:r w:rsidR="008E4B46">
        <w:t>9</w:t>
      </w:r>
      <w:r w:rsidRPr="00AE4FDF">
        <w:t>).</w:t>
      </w:r>
      <w:r w:rsidR="00D1202D" w:rsidRPr="00AE4FDF">
        <w:t xml:space="preserve"> </w:t>
      </w:r>
      <w:r w:rsidR="00D1202D" w:rsidRPr="00AE4FDF">
        <w:rPr>
          <w:rFonts w:eastAsia="Calibri"/>
        </w:rPr>
        <w:t>В 2018 году увеличение бюджетных ассигнований дорожного фонда Волгоградской области за счет ассигнований, неиспользованных</w:t>
      </w:r>
      <w:r w:rsidR="00AE4FDF" w:rsidRPr="00AE4FDF">
        <w:rPr>
          <w:rFonts w:eastAsia="Calibri"/>
        </w:rPr>
        <w:t xml:space="preserve"> в 2017 году, не предусмотрено, что не соответствует требованиям </w:t>
      </w:r>
      <w:r w:rsidR="00AE4FDF" w:rsidRPr="00AE4FDF">
        <w:t>абз. 8 п. 4 ст. 179.4 БК РФ.</w:t>
      </w:r>
    </w:p>
    <w:p w:rsidR="00F15315" w:rsidRPr="00AE4FDF" w:rsidRDefault="00F15315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 w:rsidRPr="000F1388">
        <w:t>Кредиторская задолженность по расходам подраздела 0409 «Дорожное хозяйство (дорожные фонды)» в течение 2017 года увеличилась со 184,7 млн. руб. до 661,8 млн. руб., или в 3,6 раза</w:t>
      </w:r>
      <w:r>
        <w:t xml:space="preserve">. В разрезе объектов строительства </w:t>
      </w:r>
      <w:r w:rsidRPr="008D2A8A">
        <w:t>наибольший объем задолженности (133,1 млн. руб.) пришелся на объект «Реконструкция автомобильной дороги «Шоссе Авиаторов</w:t>
      </w:r>
      <w:r>
        <w:t>»</w:t>
      </w:r>
      <w:r w:rsidRPr="002C046A">
        <w:t xml:space="preserve"> от международного аэропорта Волгоград до ул. Историческая (</w:t>
      </w:r>
      <w:r>
        <w:t>«</w:t>
      </w:r>
      <w:r w:rsidRPr="002C046A">
        <w:t>Самарский разъезд</w:t>
      </w:r>
      <w:r>
        <w:t>»</w:t>
      </w:r>
      <w:r w:rsidRPr="002C046A">
        <w:t>)</w:t>
      </w:r>
      <w:r>
        <w:t>.</w:t>
      </w:r>
    </w:p>
    <w:p w:rsidR="005F12CF" w:rsidRPr="00EF2F4C" w:rsidRDefault="00F55D97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rFonts w:eastAsia="Calibri"/>
        </w:rPr>
      </w:pPr>
      <w:r w:rsidRPr="009B4D56">
        <w:rPr>
          <w:rFonts w:eastAsia="Calibri"/>
        </w:rPr>
        <w:t xml:space="preserve">Информация о состоянии автомобильных дорог </w:t>
      </w:r>
      <w:r w:rsidRPr="00EF2F4C">
        <w:rPr>
          <w:rFonts w:eastAsia="Calibri"/>
        </w:rPr>
        <w:t>местного значения, содержащаяся в статистической отчётности, формируемой Волг</w:t>
      </w:r>
      <w:r w:rsidR="00A435A7" w:rsidRPr="00EF2F4C">
        <w:rPr>
          <w:rFonts w:eastAsia="Calibri"/>
        </w:rPr>
        <w:t>оград</w:t>
      </w:r>
      <w:r w:rsidRPr="00EF2F4C">
        <w:rPr>
          <w:rFonts w:eastAsia="Calibri"/>
        </w:rPr>
        <w:t xml:space="preserve">статом, </w:t>
      </w:r>
      <w:r w:rsidR="005F12CF" w:rsidRPr="00EF2F4C">
        <w:rPr>
          <w:rFonts w:eastAsia="Calibri"/>
        </w:rPr>
        <w:t xml:space="preserve">не соответствует действительности - по состоянию на 01.01.2017 </w:t>
      </w:r>
      <w:r w:rsidR="005F12CF" w:rsidRPr="00EF2F4C">
        <w:t>26,7% местных дорог не отвечали нормативным требованиям.</w:t>
      </w:r>
      <w:r w:rsidR="005F12CF" w:rsidRPr="00EF2F4C">
        <w:rPr>
          <w:rFonts w:eastAsia="Calibri"/>
        </w:rPr>
        <w:t xml:space="preserve"> Отсутствие корректных статистических данных может негативным образом повлиять на принятие управленческих и иных решений при планировании и использовании бюджетных средств на дорожную деятельность, что понизит эффективность их использования, поставит под угрозу выполнение поручения Президента России о наращивании качества и объёмов дорожного строительства, сформулированное в Послании к Федеральному Собранию 01.03.2018.</w:t>
      </w:r>
    </w:p>
    <w:p w:rsidR="005F12CF" w:rsidRPr="00EF2F4C" w:rsidRDefault="005F12CF" w:rsidP="009B4D56">
      <w:pPr>
        <w:pStyle w:val="af2"/>
        <w:numPr>
          <w:ilvl w:val="0"/>
          <w:numId w:val="1"/>
        </w:numPr>
        <w:ind w:left="0" w:firstLine="720"/>
        <w:jc w:val="both"/>
      </w:pPr>
      <w:r w:rsidRPr="00EF2F4C">
        <w:t>С</w:t>
      </w:r>
      <w:r w:rsidR="00483733" w:rsidRPr="00EF2F4C">
        <w:t xml:space="preserve"> 2017 года средства дорожного фонда Волгоградской области используются на</w:t>
      </w:r>
      <w:r w:rsidRPr="00EF2F4C">
        <w:t xml:space="preserve"> приобретение и содержание комплексов фотовидеофиксации нарушений правил дорожного движения на дорогах местного и федерального значения, что не предусмотрено Порядком формирования и использования бюджетных ассигнований дорожного фонда Волгоградской области, утверждённым постановлением Администрации Волгоградской области от 26.12.2011 № 887-п.</w:t>
      </w:r>
    </w:p>
    <w:p w:rsidR="002F5975" w:rsidRPr="00EF2F4C" w:rsidRDefault="00483733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 w:rsidRPr="00EF2F4C">
        <w:t>В 2017 году не достигнуты значения семи целевых показателей из шестнадцати</w:t>
      </w:r>
      <w:r w:rsidR="002F5975" w:rsidRPr="00EF2F4C">
        <w:t>, характеризующих результативность использования средств дорожного фонда Волгоградской области, - не введены в эксплуатацию два объекта строительства и не завершены работы по реконструкции одного объекта.</w:t>
      </w:r>
    </w:p>
    <w:p w:rsidR="00DD3100" w:rsidRPr="009B4D56" w:rsidRDefault="002F5975" w:rsidP="009B4D5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 w:rsidRPr="00EF2F4C">
        <w:t xml:space="preserve">С 2017 года в рамках приоритетного проекта «Безопасные и качественные дороги» в Волгоградской области осуществляется реализация </w:t>
      </w:r>
      <w:r w:rsidRPr="00EF2F4C">
        <w:rPr>
          <w:rFonts w:eastAsia="Calibri"/>
        </w:rPr>
        <w:t xml:space="preserve">Программы комплексного </w:t>
      </w:r>
      <w:r w:rsidRPr="00EF2F4C">
        <w:rPr>
          <w:rFonts w:eastAsia="Calibri"/>
        </w:rPr>
        <w:lastRenderedPageBreak/>
        <w:t>развития транспортной инфраструктуры Волгоградской городской агломерации</w:t>
      </w:r>
      <w:r w:rsidRPr="009B4D56">
        <w:rPr>
          <w:rFonts w:eastAsia="Calibri"/>
        </w:rPr>
        <w:t>. Объём финансирования программы за счёт федерального, областного и местных бюджетов составил 2 410,4 мл</w:t>
      </w:r>
      <w:r w:rsidR="00B17F45">
        <w:rPr>
          <w:rFonts w:eastAsia="Calibri"/>
        </w:rPr>
        <w:t>н</w:t>
      </w:r>
      <w:r w:rsidRPr="009B4D56">
        <w:rPr>
          <w:rFonts w:eastAsia="Calibri"/>
        </w:rPr>
        <w:t xml:space="preserve">. рублей. </w:t>
      </w:r>
      <w:r w:rsidR="000A714D" w:rsidRPr="009B4D56">
        <w:rPr>
          <w:rFonts w:eastAsia="Calibri"/>
        </w:rPr>
        <w:t>Приведено в нормативное состояние 97,3 км областных и местных дорог, в том числе отремонтировано 48 участков протяжённостью 91,7 км, обустроено 96 объектов.</w:t>
      </w:r>
    </w:p>
    <w:p w:rsidR="00DD3100" w:rsidRDefault="002F5975" w:rsidP="009B4D56">
      <w:pPr>
        <w:pStyle w:val="af2"/>
        <w:numPr>
          <w:ilvl w:val="1"/>
          <w:numId w:val="1"/>
        </w:numPr>
        <w:autoSpaceDE w:val="0"/>
        <w:autoSpaceDN w:val="0"/>
        <w:adjustRightInd w:val="0"/>
        <w:ind w:left="0" w:firstLine="720"/>
        <w:jc w:val="both"/>
      </w:pPr>
      <w:r w:rsidRPr="009B4D56">
        <w:rPr>
          <w:rFonts w:eastAsia="Calibri"/>
        </w:rPr>
        <w:t xml:space="preserve">Установленные </w:t>
      </w:r>
      <w:r w:rsidR="000A714D" w:rsidRPr="009B4D56">
        <w:rPr>
          <w:rFonts w:eastAsia="Calibri"/>
        </w:rPr>
        <w:t xml:space="preserve">на 2017 год </w:t>
      </w:r>
      <w:r w:rsidRPr="009B4D56">
        <w:rPr>
          <w:rFonts w:eastAsia="Calibri"/>
        </w:rPr>
        <w:t>значения целевых показателей</w:t>
      </w:r>
      <w:r w:rsidR="00B17F45">
        <w:rPr>
          <w:rFonts w:eastAsia="Calibri"/>
        </w:rPr>
        <w:t xml:space="preserve"> </w:t>
      </w:r>
      <w:r w:rsidR="00B17F45" w:rsidRPr="00EF2F4C">
        <w:rPr>
          <w:rFonts w:eastAsia="Calibri"/>
        </w:rPr>
        <w:t>Программы комплексного развития транспортной инфраструктуры Волгоградской городской агломерации</w:t>
      </w:r>
      <w:r w:rsidRPr="009B4D56">
        <w:rPr>
          <w:rFonts w:eastAsia="Calibri"/>
        </w:rPr>
        <w:t xml:space="preserve"> достигнуты</w:t>
      </w:r>
      <w:r w:rsidR="00DD3100" w:rsidRPr="009B4D56">
        <w:rPr>
          <w:rFonts w:eastAsia="Calibri"/>
        </w:rPr>
        <w:t>.</w:t>
      </w:r>
      <w:r w:rsidRPr="009B4D56">
        <w:rPr>
          <w:rFonts w:eastAsia="Calibri"/>
        </w:rPr>
        <w:t xml:space="preserve"> </w:t>
      </w:r>
      <w:r w:rsidR="00DD3100" w:rsidRPr="009B4D56">
        <w:rPr>
          <w:rFonts w:eastAsia="Calibri"/>
        </w:rPr>
        <w:t>Д</w:t>
      </w:r>
      <w:r w:rsidRPr="009B4D56">
        <w:rPr>
          <w:rFonts w:eastAsia="Calibri"/>
        </w:rPr>
        <w:t>оля протяженности дорожной сети агломерации, соответствующей нормативным требованиям, увеличена с 41,3 до 52,3%, в том числе в части областных и местных дорог с 36,5 до 44,4</w:t>
      </w:r>
      <w:r w:rsidR="00DD3100" w:rsidRPr="009B4D56">
        <w:rPr>
          <w:rFonts w:eastAsia="Calibri"/>
        </w:rPr>
        <w:t xml:space="preserve"> процента. </w:t>
      </w:r>
      <w:r w:rsidR="00DD3100" w:rsidRPr="009B4D56">
        <w:t>Все места концентрации ДТП в количестве 81 ед. (при целевом значении 21 ед.) в течение 2017 года ликвидированы</w:t>
      </w:r>
      <w:r w:rsidR="00DD3100" w:rsidRPr="009B4D56">
        <w:rPr>
          <w:rFonts w:eastAsia="Calibri"/>
          <w:sz w:val="20"/>
          <w:szCs w:val="20"/>
        </w:rPr>
        <w:t xml:space="preserve">. </w:t>
      </w:r>
      <w:r w:rsidR="00DD3100" w:rsidRPr="009B4D56">
        <w:t xml:space="preserve">На фоне роста </w:t>
      </w:r>
      <w:r w:rsidR="000A714D" w:rsidRPr="009B4D56">
        <w:t xml:space="preserve">в г. Волгограде и г. Волжский </w:t>
      </w:r>
      <w:r w:rsidR="00DD3100" w:rsidRPr="009B4D56">
        <w:t>количества</w:t>
      </w:r>
      <w:r w:rsidR="00DD3100" w:rsidRPr="000C5966">
        <w:t xml:space="preserve"> </w:t>
      </w:r>
      <w:r w:rsidR="00DD3100">
        <w:t>ДТП</w:t>
      </w:r>
      <w:r w:rsidR="00DD3100" w:rsidRPr="000C5966">
        <w:t xml:space="preserve"> в 2017 году </w:t>
      </w:r>
      <w:r w:rsidR="00DD3100">
        <w:t>(</w:t>
      </w:r>
      <w:r w:rsidR="00DD3100" w:rsidRPr="000C5966">
        <w:t>1570</w:t>
      </w:r>
      <w:r w:rsidR="00DD3100">
        <w:t>, +2,7 к 2016 году)</w:t>
      </w:r>
      <w:r w:rsidR="00DD3100" w:rsidRPr="000C5966">
        <w:t xml:space="preserve"> </w:t>
      </w:r>
      <w:r w:rsidR="00DD3100">
        <w:t xml:space="preserve">вопрос </w:t>
      </w:r>
      <w:r w:rsidR="000A714D">
        <w:t xml:space="preserve">полной </w:t>
      </w:r>
      <w:r w:rsidR="00DD3100">
        <w:t>ликвидации всех мест концентрации ДТП требует дополнительного исследования.</w:t>
      </w:r>
    </w:p>
    <w:p w:rsidR="000A714D" w:rsidRPr="00C37DF1" w:rsidRDefault="000A714D" w:rsidP="009B4D56">
      <w:pPr>
        <w:pStyle w:val="af2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>
        <w:t xml:space="preserve"> В результате отставания при прохождении промежуточных ко</w:t>
      </w:r>
      <w:r w:rsidR="009B4D56">
        <w:t>н</w:t>
      </w:r>
      <w:r>
        <w:t>трольных точек (заключение контрактов с запаздыванием)</w:t>
      </w:r>
      <w:r w:rsidR="009B4D56">
        <w:t xml:space="preserve"> приёмка выполненных работ осуществлена</w:t>
      </w:r>
      <w:r w:rsidR="009B4D56" w:rsidRPr="009B4D56">
        <w:rPr>
          <w:rFonts w:eastAsia="Calibri"/>
        </w:rPr>
        <w:t xml:space="preserve"> </w:t>
      </w:r>
      <w:r w:rsidR="009B4D56">
        <w:rPr>
          <w:rFonts w:eastAsia="Calibri"/>
        </w:rPr>
        <w:t>позже</w:t>
      </w:r>
      <w:r w:rsidR="009B4D56" w:rsidRPr="002B28DC">
        <w:rPr>
          <w:rFonts w:eastAsia="Calibri"/>
        </w:rPr>
        <w:t xml:space="preserve"> запланированного </w:t>
      </w:r>
      <w:r w:rsidR="009B4D56" w:rsidRPr="00C37DF1">
        <w:rPr>
          <w:rFonts w:eastAsia="Calibri"/>
        </w:rPr>
        <w:t>срока (01.11.2017) на 50 дней. Завершение работ по ремонту 01.12.2017 могло негативно отразится на качестве работ.</w:t>
      </w:r>
    </w:p>
    <w:p w:rsidR="009B4D56" w:rsidRPr="00C37DF1" w:rsidRDefault="00F166B0" w:rsidP="005E2703">
      <w:pPr>
        <w:pStyle w:val="af2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C37DF1">
        <w:rPr>
          <w:rFonts w:eastAsia="Calibri"/>
        </w:rPr>
        <w:t xml:space="preserve">Законом о федеральном бюджете на 2018 год расходы на реализацию приоритетного проекта «Безопасные и качественные дороги» утверждены по </w:t>
      </w:r>
      <w:r w:rsidR="006B36F3" w:rsidRPr="00C37DF1">
        <w:rPr>
          <w:rFonts w:eastAsia="Calibri"/>
        </w:rPr>
        <w:t xml:space="preserve">отдельной, </w:t>
      </w:r>
      <w:r w:rsidRPr="00C37DF1">
        <w:rPr>
          <w:rFonts w:eastAsia="Calibri"/>
        </w:rPr>
        <w:t>определенной Указаниями о порядке применения бюджетной классификации РФ</w:t>
      </w:r>
      <w:r w:rsidR="006B36F3" w:rsidRPr="00C37DF1">
        <w:rPr>
          <w:rFonts w:eastAsia="Calibri"/>
        </w:rPr>
        <w:t>,</w:t>
      </w:r>
      <w:r w:rsidRPr="00C37DF1">
        <w:rPr>
          <w:rFonts w:eastAsia="Calibri"/>
        </w:rPr>
        <w:t xml:space="preserve"> целевой статье.</w:t>
      </w:r>
      <w:r w:rsidR="009B4D56" w:rsidRPr="00C37DF1">
        <w:t xml:space="preserve"> </w:t>
      </w:r>
      <w:r w:rsidRPr="00C37DF1">
        <w:t xml:space="preserve">Расходы на реализацию ПКРТИ в законе об областном бюджете не обособлены - не учитываются по отдельной целевой статье. </w:t>
      </w:r>
      <w:r w:rsidR="009B4D56" w:rsidRPr="00C37DF1">
        <w:t xml:space="preserve">Этим не соблюдается принцип единства бюджетной системы РФ, установленный ст. 29 БК РФ, и принцип единства назначения кодов бюджетной классификации, установленный Минфином РФ, и это может </w:t>
      </w:r>
      <w:r w:rsidR="009B4D56" w:rsidRPr="00C37DF1">
        <w:rPr>
          <w:rFonts w:eastAsia="Calibri"/>
        </w:rPr>
        <w:t>оказать негативное влияние на качество и прозрачность бюджетного планирования, исполнения областного бюджета, формирования отчётности, мониторинга и контроля за реализацией ПКРТИ.</w:t>
      </w:r>
    </w:p>
    <w:p w:rsidR="00BB3EB7" w:rsidRPr="00C37DF1" w:rsidRDefault="00BB3EB7" w:rsidP="005E2703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BB3EB7" w:rsidRDefault="00BB3EB7" w:rsidP="005E2703">
      <w:pPr>
        <w:pStyle w:val="2"/>
        <w:spacing w:after="0" w:line="240" w:lineRule="auto"/>
        <w:ind w:firstLine="709"/>
        <w:jc w:val="both"/>
        <w:rPr>
          <w:b/>
          <w:i/>
        </w:rPr>
      </w:pPr>
      <w:r w:rsidRPr="00C37DF1">
        <w:rPr>
          <w:b/>
          <w:i/>
        </w:rPr>
        <w:t>Предложения:</w:t>
      </w:r>
    </w:p>
    <w:p w:rsidR="00340860" w:rsidRPr="00340860" w:rsidRDefault="00340860" w:rsidP="005E2703">
      <w:pPr>
        <w:pStyle w:val="2"/>
        <w:spacing w:after="0" w:line="240" w:lineRule="auto"/>
        <w:ind w:firstLine="709"/>
        <w:jc w:val="both"/>
        <w:rPr>
          <w:b/>
          <w:i/>
          <w:sz w:val="16"/>
          <w:szCs w:val="16"/>
        </w:rPr>
      </w:pPr>
    </w:p>
    <w:p w:rsidR="00BB3EB7" w:rsidRPr="00C37DF1" w:rsidRDefault="00BB3EB7" w:rsidP="005E2703">
      <w:pPr>
        <w:pStyle w:val="2"/>
        <w:numPr>
          <w:ilvl w:val="0"/>
          <w:numId w:val="2"/>
        </w:numPr>
        <w:spacing w:after="0" w:line="240" w:lineRule="auto"/>
        <w:ind w:left="0" w:firstLine="709"/>
        <w:jc w:val="both"/>
        <w:rPr>
          <w:i/>
        </w:rPr>
      </w:pPr>
      <w:r w:rsidRPr="00C37DF1">
        <w:rPr>
          <w:i/>
        </w:rPr>
        <w:t>Администрации Волгоградской области:</w:t>
      </w:r>
    </w:p>
    <w:p w:rsidR="00B526C4" w:rsidRPr="00C37DF1" w:rsidRDefault="005E2703" w:rsidP="005E2703">
      <w:pPr>
        <w:pStyle w:val="af2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C37DF1">
        <w:t xml:space="preserve"> </w:t>
      </w:r>
      <w:r w:rsidR="00BB3EB7" w:rsidRPr="00C37DF1">
        <w:t xml:space="preserve">В соответствии с требованиями бюджетного законодательства РФ инициировать внесение изменений в </w:t>
      </w:r>
      <w:r w:rsidR="00BB3EB7" w:rsidRPr="00C37DF1">
        <w:rPr>
          <w:rFonts w:eastAsia="Calibri"/>
        </w:rPr>
        <w:t xml:space="preserve">Закон Волгоградской области от </w:t>
      </w:r>
      <w:r w:rsidR="008179BB" w:rsidRPr="00C37DF1">
        <w:rPr>
          <w:rFonts w:eastAsia="Calibri"/>
        </w:rPr>
        <w:t xml:space="preserve">15.12.2017 № 124-ОД «Об областном бюджете на 2018 год и на плановый период 2019 и 2020 годов» </w:t>
      </w:r>
      <w:r w:rsidR="00BB3EB7" w:rsidRPr="00C37DF1">
        <w:rPr>
          <w:rFonts w:eastAsia="Calibri"/>
        </w:rPr>
        <w:t>в части увеличения ассигнований дорожного фонда Волгоградской области в 2018 году</w:t>
      </w:r>
      <w:r w:rsidR="00B526C4" w:rsidRPr="00C37DF1">
        <w:rPr>
          <w:rFonts w:eastAsia="Calibri"/>
        </w:rPr>
        <w:t>:</w:t>
      </w:r>
    </w:p>
    <w:p w:rsidR="00B526C4" w:rsidRPr="00C37DF1" w:rsidRDefault="00B526C4" w:rsidP="00B526C4">
      <w:pPr>
        <w:pStyle w:val="af2"/>
        <w:autoSpaceDE w:val="0"/>
        <w:autoSpaceDN w:val="0"/>
        <w:adjustRightInd w:val="0"/>
        <w:ind w:left="0" w:firstLine="709"/>
        <w:jc w:val="both"/>
      </w:pPr>
      <w:r w:rsidRPr="00C37DF1">
        <w:rPr>
          <w:rFonts w:eastAsia="Calibri"/>
        </w:rPr>
        <w:t>-за счёт ассигнований, неиспользованных в 2017 году в сумме 1 68</w:t>
      </w:r>
      <w:r w:rsidR="008E4B46">
        <w:rPr>
          <w:rFonts w:eastAsia="Calibri"/>
        </w:rPr>
        <w:t>9</w:t>
      </w:r>
      <w:r w:rsidRPr="00C37DF1">
        <w:rPr>
          <w:rFonts w:eastAsia="Calibri"/>
        </w:rPr>
        <w:t>,</w:t>
      </w:r>
      <w:r w:rsidR="008E4B46">
        <w:rPr>
          <w:rFonts w:eastAsia="Calibri"/>
        </w:rPr>
        <w:t>0</w:t>
      </w:r>
      <w:r w:rsidRPr="00C37DF1">
        <w:rPr>
          <w:rFonts w:eastAsia="Calibri"/>
        </w:rPr>
        <w:t xml:space="preserve"> млн. руб.</w:t>
      </w:r>
      <w:r w:rsidR="00C37DF1" w:rsidRPr="00C37DF1">
        <w:rPr>
          <w:rFonts w:eastAsia="Calibri"/>
        </w:rPr>
        <w:t xml:space="preserve"> (</w:t>
      </w:r>
      <w:r w:rsidR="00C37DF1" w:rsidRPr="00C37DF1">
        <w:t>абз. 8 п. 4 ст. 179.4 БК РФ)</w:t>
      </w:r>
      <w:r w:rsidRPr="00C37DF1">
        <w:rPr>
          <w:rFonts w:eastAsia="Calibri"/>
        </w:rPr>
        <w:t>;</w:t>
      </w:r>
    </w:p>
    <w:p w:rsidR="00BB3EB7" w:rsidRPr="00C37DF1" w:rsidRDefault="00B526C4" w:rsidP="00B526C4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C37DF1">
        <w:rPr>
          <w:rFonts w:eastAsia="Calibri"/>
        </w:rPr>
        <w:t>-</w:t>
      </w:r>
      <w:r w:rsidR="00BB3EB7" w:rsidRPr="00C37DF1">
        <w:rPr>
          <w:rFonts w:eastAsia="Calibri"/>
        </w:rPr>
        <w:t xml:space="preserve">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2017 году, </w:t>
      </w:r>
      <w:r w:rsidRPr="00C37DF1">
        <w:rPr>
          <w:rFonts w:eastAsia="Calibri"/>
        </w:rPr>
        <w:t>в сумме 558,6 млн. руб</w:t>
      </w:r>
      <w:r w:rsidR="00C37DF1" w:rsidRPr="00C37DF1">
        <w:rPr>
          <w:rFonts w:eastAsia="Calibri"/>
        </w:rPr>
        <w:t xml:space="preserve">. (абз. 10 п. 4 ст. </w:t>
      </w:r>
      <w:r w:rsidR="00C37DF1" w:rsidRPr="00C37DF1">
        <w:t>179.4 БК РФ</w:t>
      </w:r>
      <w:r w:rsidR="00C37DF1" w:rsidRPr="00C37DF1">
        <w:rPr>
          <w:rFonts w:eastAsia="Calibri"/>
        </w:rPr>
        <w:t>)</w:t>
      </w:r>
      <w:r w:rsidRPr="00C37DF1">
        <w:rPr>
          <w:rFonts w:eastAsia="Calibri"/>
        </w:rPr>
        <w:t>.</w:t>
      </w:r>
      <w:r w:rsidR="00BB3EB7" w:rsidRPr="00C37DF1">
        <w:rPr>
          <w:rFonts w:eastAsia="Calibri"/>
        </w:rPr>
        <w:t xml:space="preserve"> </w:t>
      </w:r>
    </w:p>
    <w:p w:rsidR="008179BB" w:rsidRPr="005E2703" w:rsidRDefault="005E2703" w:rsidP="005E2703">
      <w:pPr>
        <w:pStyle w:val="af2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C37DF1">
        <w:t>Принять меры по совершенствованию Порядк</w:t>
      </w:r>
      <w:r w:rsidR="00F602AB" w:rsidRPr="00C37DF1">
        <w:t>а</w:t>
      </w:r>
      <w:r w:rsidRPr="00C37DF1">
        <w:t xml:space="preserve"> формирования и использования бюджетных ассигнований дорожного фонда Волгоградской области, утверждённ</w:t>
      </w:r>
      <w:r w:rsidR="00F602AB" w:rsidRPr="00C37DF1">
        <w:t>ого</w:t>
      </w:r>
      <w:r w:rsidRPr="00C37DF1">
        <w:t xml:space="preserve"> постановлением Администрации Волгоградской области от 26.12.2011 № 887-п, в части закрепления возможности осуществления расходов на приобретение и содержание работающих в автоматическом</w:t>
      </w:r>
      <w:r w:rsidRPr="000B0EBB">
        <w:t xml:space="preserve"> режиме специальных технических средства, имеющих функции фото- и киносъемки, видеозаписи для фиксации нарушений правил дорожного движения.</w:t>
      </w:r>
    </w:p>
    <w:p w:rsidR="005E2703" w:rsidRPr="00340860" w:rsidRDefault="005E2703" w:rsidP="005E2703">
      <w:pPr>
        <w:pStyle w:val="af2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>
        <w:rPr>
          <w:rFonts w:eastAsia="Calibri"/>
        </w:rPr>
        <w:t xml:space="preserve">Принять меры к своевременной реализации этапов </w:t>
      </w:r>
      <w:r>
        <w:t>Программы комплексного развития транспортной инфраструктуры Волгоградской городской агломерации в 2018 году.</w:t>
      </w:r>
    </w:p>
    <w:p w:rsidR="00340860" w:rsidRDefault="00340860" w:rsidP="00340860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6C6832" w:rsidRDefault="006C6832" w:rsidP="00340860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6C6832" w:rsidRPr="006C6832" w:rsidRDefault="006C6832" w:rsidP="00340860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F15315" w:rsidRDefault="005E2703" w:rsidP="005E2703">
      <w:pPr>
        <w:pStyle w:val="af2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0D100F">
        <w:rPr>
          <w:rFonts w:eastAsia="Calibri"/>
          <w:i/>
        </w:rPr>
        <w:lastRenderedPageBreak/>
        <w:t>Комитету финансов Волгоградской области</w:t>
      </w:r>
      <w:r w:rsidR="00066ADC">
        <w:rPr>
          <w:rFonts w:eastAsia="Calibri"/>
          <w:i/>
        </w:rPr>
        <w:t xml:space="preserve"> </w:t>
      </w:r>
      <w:r w:rsidR="00066ADC" w:rsidRPr="00066ADC">
        <w:rPr>
          <w:rFonts w:eastAsia="Calibri"/>
        </w:rPr>
        <w:t>принять меры</w:t>
      </w:r>
      <w:r w:rsidR="00F15315">
        <w:rPr>
          <w:rFonts w:eastAsia="Calibri"/>
        </w:rPr>
        <w:t>:</w:t>
      </w:r>
    </w:p>
    <w:p w:rsidR="005E2703" w:rsidRDefault="00F15315" w:rsidP="00F15315">
      <w:pPr>
        <w:pStyle w:val="af2"/>
        <w:autoSpaceDE w:val="0"/>
        <w:autoSpaceDN w:val="0"/>
        <w:adjustRightInd w:val="0"/>
        <w:ind w:left="0" w:firstLine="709"/>
        <w:jc w:val="both"/>
      </w:pPr>
      <w:r w:rsidRPr="00F15315">
        <w:rPr>
          <w:rFonts w:eastAsia="Calibri"/>
        </w:rPr>
        <w:t>2.1.</w:t>
      </w:r>
      <w:r w:rsidR="005E2703" w:rsidRPr="00F15315">
        <w:rPr>
          <w:rFonts w:eastAsia="Calibri"/>
        </w:rPr>
        <w:t xml:space="preserve"> </w:t>
      </w:r>
      <w:r w:rsidR="00066ADC">
        <w:rPr>
          <w:rFonts w:eastAsia="Calibri"/>
        </w:rPr>
        <w:t>Д</w:t>
      </w:r>
      <w:r w:rsidR="005E2703" w:rsidRPr="00F15315">
        <w:rPr>
          <w:rFonts w:eastAsia="Calibri"/>
        </w:rPr>
        <w:t>ля</w:t>
      </w:r>
      <w:r w:rsidR="005E2703">
        <w:rPr>
          <w:rFonts w:eastAsia="Calibri"/>
        </w:rPr>
        <w:t xml:space="preserve"> обеспечения </w:t>
      </w:r>
      <w:r w:rsidR="005E2703">
        <w:t>соблюд</w:t>
      </w:r>
      <w:r w:rsidR="000D100F">
        <w:t>ения</w:t>
      </w:r>
      <w:r w:rsidR="005E2703">
        <w:t xml:space="preserve"> принципа единства бюджетной системы РФ, установленного ст. 29 БК РФ, и принцип</w:t>
      </w:r>
      <w:r w:rsidR="00953E43">
        <w:t>а</w:t>
      </w:r>
      <w:r w:rsidR="005E2703">
        <w:t xml:space="preserve"> единства назначения кодов бюджетной классификации, установленного </w:t>
      </w:r>
      <w:r w:rsidR="005E2703" w:rsidRPr="00C95721">
        <w:rPr>
          <w:rFonts w:eastAsia="Calibri"/>
        </w:rPr>
        <w:t>Указани</w:t>
      </w:r>
      <w:r w:rsidR="005E2703">
        <w:rPr>
          <w:rFonts w:eastAsia="Calibri"/>
        </w:rPr>
        <w:t>ями</w:t>
      </w:r>
      <w:r w:rsidR="005E2703" w:rsidRPr="00C95721">
        <w:rPr>
          <w:rFonts w:eastAsia="Calibri"/>
        </w:rPr>
        <w:t xml:space="preserve"> о порядке применения бюджетной классификации Российской Федерации, утверждённы</w:t>
      </w:r>
      <w:r w:rsidR="005E2703">
        <w:rPr>
          <w:rFonts w:eastAsia="Calibri"/>
        </w:rPr>
        <w:t>ми</w:t>
      </w:r>
      <w:r w:rsidR="005E2703" w:rsidRPr="00C95721">
        <w:rPr>
          <w:rFonts w:eastAsia="Calibri"/>
        </w:rPr>
        <w:t xml:space="preserve"> приказом Минфина России от 01.07.2013 № 65н</w:t>
      </w:r>
      <w:r w:rsidR="005E2703">
        <w:rPr>
          <w:rFonts w:eastAsia="Calibri"/>
        </w:rPr>
        <w:t xml:space="preserve">, в части введения </w:t>
      </w:r>
      <w:r w:rsidR="005E2703" w:rsidRPr="00C95721">
        <w:rPr>
          <w:rFonts w:eastAsia="Calibri"/>
        </w:rPr>
        <w:t>специальн</w:t>
      </w:r>
      <w:r w:rsidR="005E2703">
        <w:rPr>
          <w:rFonts w:eastAsia="Calibri"/>
        </w:rPr>
        <w:t>ой</w:t>
      </w:r>
      <w:r w:rsidR="005E2703" w:rsidRPr="00C95721">
        <w:rPr>
          <w:rFonts w:eastAsia="Calibri"/>
        </w:rPr>
        <w:t xml:space="preserve"> целев</w:t>
      </w:r>
      <w:r w:rsidR="005E2703">
        <w:rPr>
          <w:rFonts w:eastAsia="Calibri"/>
        </w:rPr>
        <w:t>ой</w:t>
      </w:r>
      <w:r w:rsidR="005E2703" w:rsidRPr="00C95721">
        <w:rPr>
          <w:rFonts w:eastAsia="Calibri"/>
        </w:rPr>
        <w:t xml:space="preserve"> статьи для отражения расходов </w:t>
      </w:r>
      <w:r w:rsidR="005E2703">
        <w:rPr>
          <w:rFonts w:eastAsia="Calibri"/>
        </w:rPr>
        <w:t>областного</w:t>
      </w:r>
      <w:r w:rsidR="005E2703" w:rsidRPr="00C95721">
        <w:rPr>
          <w:rFonts w:eastAsia="Calibri"/>
        </w:rPr>
        <w:t xml:space="preserve"> бюджета на реализацию </w:t>
      </w:r>
      <w:r w:rsidR="005E2703">
        <w:t>Программы комплексного развития транспортной инфраструктуры Волгоградской городской агломерации осуществляемой в рамках приоритетного проекта «Безопасные и качественные дороги».</w:t>
      </w:r>
    </w:p>
    <w:p w:rsidR="00F15315" w:rsidRDefault="00F15315" w:rsidP="00F15315">
      <w:pPr>
        <w:pStyle w:val="af2"/>
        <w:autoSpaceDE w:val="0"/>
        <w:autoSpaceDN w:val="0"/>
        <w:adjustRightInd w:val="0"/>
        <w:ind w:left="0" w:firstLine="709"/>
        <w:jc w:val="both"/>
      </w:pPr>
      <w:r>
        <w:rPr>
          <w:rFonts w:eastAsia="Calibri"/>
        </w:rPr>
        <w:t xml:space="preserve">2.2. </w:t>
      </w:r>
      <w:r w:rsidR="00066ADC">
        <w:rPr>
          <w:rFonts w:eastAsia="Calibri"/>
        </w:rPr>
        <w:t>П</w:t>
      </w:r>
      <w:r>
        <w:rPr>
          <w:rFonts w:eastAsia="Calibri"/>
        </w:rPr>
        <w:t xml:space="preserve">о погашению кредиторской задолженности по </w:t>
      </w:r>
      <w:r w:rsidRPr="000F1388">
        <w:t>расходам подраздела 0409 «Дорожное хозяйство (дорожные фонды)»</w:t>
      </w:r>
      <w:r w:rsidR="00FF26D1">
        <w:t>,</w:t>
      </w:r>
      <w:r w:rsidR="00066ADC">
        <w:t xml:space="preserve"> сложившейся на конец 2017 года</w:t>
      </w:r>
      <w:r w:rsidR="00340860">
        <w:t>.</w:t>
      </w:r>
    </w:p>
    <w:p w:rsidR="00340860" w:rsidRPr="00340860" w:rsidRDefault="00340860" w:rsidP="00F15315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16"/>
          <w:szCs w:val="16"/>
        </w:rPr>
      </w:pPr>
    </w:p>
    <w:p w:rsidR="008179BB" w:rsidRDefault="00BB3EB7" w:rsidP="005E2703">
      <w:pPr>
        <w:pStyle w:val="af2"/>
        <w:numPr>
          <w:ilvl w:val="0"/>
          <w:numId w:val="2"/>
        </w:numPr>
        <w:ind w:left="0" w:firstLine="709"/>
        <w:jc w:val="both"/>
        <w:rPr>
          <w:rFonts w:eastAsia="Calibri"/>
        </w:rPr>
      </w:pPr>
      <w:r w:rsidRPr="008179BB">
        <w:rPr>
          <w:i/>
        </w:rPr>
        <w:t>Облкомдортрансу</w:t>
      </w:r>
      <w:r>
        <w:t xml:space="preserve"> </w:t>
      </w:r>
      <w:r w:rsidR="008179BB">
        <w:t xml:space="preserve">совместно с территориальным органом Федеральной службы государственной статистики по Волгоградской области, органами местного самоуправления продолжить работу, направленную на повышение </w:t>
      </w:r>
      <w:r>
        <w:t xml:space="preserve">достоверности статистической отчётности </w:t>
      </w:r>
      <w:r w:rsidRPr="008179BB">
        <w:rPr>
          <w:rFonts w:eastAsia="Calibri"/>
        </w:rPr>
        <w:t xml:space="preserve">о состоянии автомобильных дорог местного значения. </w:t>
      </w:r>
    </w:p>
    <w:p w:rsidR="000D100F" w:rsidRDefault="000D100F" w:rsidP="000D100F">
      <w:pPr>
        <w:jc w:val="both"/>
        <w:rPr>
          <w:rFonts w:eastAsia="Calibri"/>
        </w:rPr>
      </w:pPr>
    </w:p>
    <w:p w:rsidR="000D100F" w:rsidRDefault="000D100F" w:rsidP="000D100F">
      <w:pPr>
        <w:jc w:val="both"/>
        <w:rPr>
          <w:rFonts w:eastAsia="Calibri"/>
        </w:rPr>
      </w:pPr>
    </w:p>
    <w:p w:rsidR="00340860" w:rsidRDefault="00340860" w:rsidP="000D100F">
      <w:pPr>
        <w:jc w:val="both"/>
        <w:rPr>
          <w:rFonts w:eastAsia="Calibri"/>
        </w:rPr>
      </w:pPr>
    </w:p>
    <w:p w:rsidR="000D100F" w:rsidRPr="000D100F" w:rsidRDefault="000D100F" w:rsidP="000D100F">
      <w:pPr>
        <w:ind w:firstLine="709"/>
        <w:jc w:val="both"/>
        <w:rPr>
          <w:rFonts w:eastAsia="Calibri"/>
          <w:b/>
          <w:i/>
        </w:rPr>
      </w:pPr>
      <w:r w:rsidRPr="000D100F">
        <w:rPr>
          <w:rFonts w:eastAsia="Calibri"/>
          <w:b/>
          <w:i/>
        </w:rPr>
        <w:t xml:space="preserve">Аудитор </w:t>
      </w:r>
      <w:r w:rsidRPr="000D100F">
        <w:rPr>
          <w:rFonts w:eastAsia="Calibri"/>
          <w:b/>
          <w:i/>
        </w:rPr>
        <w:tab/>
      </w:r>
      <w:r w:rsidRPr="000D100F">
        <w:rPr>
          <w:rFonts w:eastAsia="Calibri"/>
          <w:b/>
          <w:i/>
        </w:rPr>
        <w:tab/>
      </w:r>
      <w:r w:rsidRPr="000D100F">
        <w:rPr>
          <w:rFonts w:eastAsia="Calibri"/>
          <w:b/>
          <w:i/>
        </w:rPr>
        <w:tab/>
      </w:r>
      <w:r w:rsidRPr="000D100F">
        <w:rPr>
          <w:rFonts w:eastAsia="Calibri"/>
          <w:b/>
          <w:i/>
        </w:rPr>
        <w:tab/>
      </w:r>
      <w:r w:rsidRPr="000D100F">
        <w:rPr>
          <w:rFonts w:eastAsia="Calibri"/>
          <w:b/>
          <w:i/>
        </w:rPr>
        <w:tab/>
      </w:r>
      <w:r w:rsidRPr="000D100F">
        <w:rPr>
          <w:rFonts w:eastAsia="Calibri"/>
          <w:b/>
          <w:i/>
        </w:rPr>
        <w:tab/>
      </w:r>
      <w:r w:rsidRPr="000D100F">
        <w:rPr>
          <w:rFonts w:eastAsia="Calibri"/>
          <w:b/>
          <w:i/>
        </w:rPr>
        <w:tab/>
      </w:r>
      <w:r w:rsidRPr="000D100F">
        <w:rPr>
          <w:rFonts w:eastAsia="Calibri"/>
          <w:b/>
          <w:i/>
        </w:rPr>
        <w:tab/>
        <w:t>Н.Л. Ноздрюхина</w:t>
      </w:r>
    </w:p>
    <w:p w:rsidR="008179BB" w:rsidRDefault="008179BB" w:rsidP="005E2703">
      <w:pPr>
        <w:pStyle w:val="af2"/>
        <w:autoSpaceDE w:val="0"/>
        <w:autoSpaceDN w:val="0"/>
        <w:adjustRightInd w:val="0"/>
        <w:ind w:left="0" w:firstLine="709"/>
        <w:jc w:val="both"/>
      </w:pPr>
    </w:p>
    <w:sectPr w:rsidR="008179BB" w:rsidSect="006C6832">
      <w:headerReference w:type="default" r:id="rId1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315" w:rsidRDefault="00F15315" w:rsidP="00717F1E">
      <w:r>
        <w:separator/>
      </w:r>
    </w:p>
  </w:endnote>
  <w:endnote w:type="continuationSeparator" w:id="0">
    <w:p w:rsidR="00F15315" w:rsidRDefault="00F15315" w:rsidP="0071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315" w:rsidRDefault="00F15315" w:rsidP="00717F1E">
      <w:r>
        <w:separator/>
      </w:r>
    </w:p>
  </w:footnote>
  <w:footnote w:type="continuationSeparator" w:id="0">
    <w:p w:rsidR="00F15315" w:rsidRDefault="00F15315" w:rsidP="00717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315" w:rsidRDefault="00F15315" w:rsidP="00CB64B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26D1">
      <w:rPr>
        <w:rStyle w:val="a6"/>
        <w:noProof/>
      </w:rPr>
      <w:t>14</w:t>
    </w:r>
    <w:r>
      <w:rPr>
        <w:rStyle w:val="a6"/>
      </w:rPr>
      <w:fldChar w:fldCharType="end"/>
    </w:r>
  </w:p>
  <w:p w:rsidR="00F15315" w:rsidRDefault="00F153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E631D"/>
    <w:multiLevelType w:val="multilevel"/>
    <w:tmpl w:val="BA04C4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61" w:hanging="1800"/>
      </w:pPr>
      <w:rPr>
        <w:rFonts w:hint="default"/>
      </w:rPr>
    </w:lvl>
  </w:abstractNum>
  <w:abstractNum w:abstractNumId="1" w15:restartNumberingAfterBreak="0">
    <w:nsid w:val="6B9915C0"/>
    <w:multiLevelType w:val="multilevel"/>
    <w:tmpl w:val="C7D0FFD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91A"/>
    <w:rsid w:val="00000DE0"/>
    <w:rsid w:val="000010A4"/>
    <w:rsid w:val="0000224D"/>
    <w:rsid w:val="00005258"/>
    <w:rsid w:val="000055F4"/>
    <w:rsid w:val="00010065"/>
    <w:rsid w:val="000131D6"/>
    <w:rsid w:val="00017493"/>
    <w:rsid w:val="000224F1"/>
    <w:rsid w:val="00022529"/>
    <w:rsid w:val="0002314F"/>
    <w:rsid w:val="00024105"/>
    <w:rsid w:val="00025F05"/>
    <w:rsid w:val="0003238E"/>
    <w:rsid w:val="00034085"/>
    <w:rsid w:val="0003503D"/>
    <w:rsid w:val="00035B78"/>
    <w:rsid w:val="00042D39"/>
    <w:rsid w:val="00043746"/>
    <w:rsid w:val="00043F2F"/>
    <w:rsid w:val="00044096"/>
    <w:rsid w:val="00044B48"/>
    <w:rsid w:val="0004737F"/>
    <w:rsid w:val="00050092"/>
    <w:rsid w:val="000536E9"/>
    <w:rsid w:val="00056873"/>
    <w:rsid w:val="000573DE"/>
    <w:rsid w:val="000645BE"/>
    <w:rsid w:val="00064A78"/>
    <w:rsid w:val="00065C1D"/>
    <w:rsid w:val="00066ADC"/>
    <w:rsid w:val="00070B77"/>
    <w:rsid w:val="00071847"/>
    <w:rsid w:val="000739AD"/>
    <w:rsid w:val="00074260"/>
    <w:rsid w:val="000748AA"/>
    <w:rsid w:val="00075A61"/>
    <w:rsid w:val="00076533"/>
    <w:rsid w:val="00082500"/>
    <w:rsid w:val="0008337E"/>
    <w:rsid w:val="000836FE"/>
    <w:rsid w:val="00084475"/>
    <w:rsid w:val="000927D7"/>
    <w:rsid w:val="00094087"/>
    <w:rsid w:val="000942A3"/>
    <w:rsid w:val="00094D56"/>
    <w:rsid w:val="000A2EE7"/>
    <w:rsid w:val="000A386E"/>
    <w:rsid w:val="000A4603"/>
    <w:rsid w:val="000A5837"/>
    <w:rsid w:val="000A5CF8"/>
    <w:rsid w:val="000A714D"/>
    <w:rsid w:val="000B0284"/>
    <w:rsid w:val="000B0EBB"/>
    <w:rsid w:val="000B29DD"/>
    <w:rsid w:val="000B605E"/>
    <w:rsid w:val="000B7CA2"/>
    <w:rsid w:val="000C1833"/>
    <w:rsid w:val="000C2880"/>
    <w:rsid w:val="000C3E84"/>
    <w:rsid w:val="000C5966"/>
    <w:rsid w:val="000C629A"/>
    <w:rsid w:val="000C71EB"/>
    <w:rsid w:val="000C72DF"/>
    <w:rsid w:val="000D0CE2"/>
    <w:rsid w:val="000D100F"/>
    <w:rsid w:val="000D2114"/>
    <w:rsid w:val="000D2777"/>
    <w:rsid w:val="000D2EB8"/>
    <w:rsid w:val="000D3812"/>
    <w:rsid w:val="000D58C1"/>
    <w:rsid w:val="000E0ADD"/>
    <w:rsid w:val="000E410C"/>
    <w:rsid w:val="000E5A24"/>
    <w:rsid w:val="000F1388"/>
    <w:rsid w:val="000F1505"/>
    <w:rsid w:val="000F368E"/>
    <w:rsid w:val="00102FB1"/>
    <w:rsid w:val="00104360"/>
    <w:rsid w:val="00105D9D"/>
    <w:rsid w:val="00106A86"/>
    <w:rsid w:val="00106AE5"/>
    <w:rsid w:val="001073CD"/>
    <w:rsid w:val="00107E49"/>
    <w:rsid w:val="00110070"/>
    <w:rsid w:val="00111D6E"/>
    <w:rsid w:val="00113688"/>
    <w:rsid w:val="00114340"/>
    <w:rsid w:val="001156CF"/>
    <w:rsid w:val="00117B38"/>
    <w:rsid w:val="0012032D"/>
    <w:rsid w:val="00123089"/>
    <w:rsid w:val="001235D8"/>
    <w:rsid w:val="001249B1"/>
    <w:rsid w:val="00124A7B"/>
    <w:rsid w:val="001315CA"/>
    <w:rsid w:val="00132413"/>
    <w:rsid w:val="00132FCB"/>
    <w:rsid w:val="00134CA4"/>
    <w:rsid w:val="0013545A"/>
    <w:rsid w:val="001411D2"/>
    <w:rsid w:val="0014482F"/>
    <w:rsid w:val="00146365"/>
    <w:rsid w:val="00147836"/>
    <w:rsid w:val="001478E3"/>
    <w:rsid w:val="00150249"/>
    <w:rsid w:val="001519C4"/>
    <w:rsid w:val="00152E7E"/>
    <w:rsid w:val="0015339C"/>
    <w:rsid w:val="00155344"/>
    <w:rsid w:val="00155A39"/>
    <w:rsid w:val="00156F16"/>
    <w:rsid w:val="00157CA3"/>
    <w:rsid w:val="00161402"/>
    <w:rsid w:val="00161ED5"/>
    <w:rsid w:val="00163E7F"/>
    <w:rsid w:val="00166E29"/>
    <w:rsid w:val="00170B45"/>
    <w:rsid w:val="00171038"/>
    <w:rsid w:val="00180807"/>
    <w:rsid w:val="00181DA1"/>
    <w:rsid w:val="001837A9"/>
    <w:rsid w:val="00190500"/>
    <w:rsid w:val="001910E2"/>
    <w:rsid w:val="0019348B"/>
    <w:rsid w:val="001A0991"/>
    <w:rsid w:val="001A22DD"/>
    <w:rsid w:val="001A4582"/>
    <w:rsid w:val="001A5CA5"/>
    <w:rsid w:val="001A7DFF"/>
    <w:rsid w:val="001B0A3C"/>
    <w:rsid w:val="001B0B89"/>
    <w:rsid w:val="001B1F16"/>
    <w:rsid w:val="001B2E57"/>
    <w:rsid w:val="001B3C30"/>
    <w:rsid w:val="001B4112"/>
    <w:rsid w:val="001C48D6"/>
    <w:rsid w:val="001C6F49"/>
    <w:rsid w:val="001C7A34"/>
    <w:rsid w:val="001D196D"/>
    <w:rsid w:val="001E0234"/>
    <w:rsid w:val="001E211E"/>
    <w:rsid w:val="001E4D81"/>
    <w:rsid w:val="001F0DDC"/>
    <w:rsid w:val="001F6589"/>
    <w:rsid w:val="001F6EC2"/>
    <w:rsid w:val="001F7735"/>
    <w:rsid w:val="00204F31"/>
    <w:rsid w:val="0020791A"/>
    <w:rsid w:val="00213458"/>
    <w:rsid w:val="00213A84"/>
    <w:rsid w:val="0022560D"/>
    <w:rsid w:val="00236EF2"/>
    <w:rsid w:val="00237150"/>
    <w:rsid w:val="00240C32"/>
    <w:rsid w:val="0024597B"/>
    <w:rsid w:val="00245F5D"/>
    <w:rsid w:val="0025042E"/>
    <w:rsid w:val="0026084E"/>
    <w:rsid w:val="00260E58"/>
    <w:rsid w:val="0026468E"/>
    <w:rsid w:val="00265462"/>
    <w:rsid w:val="00267B77"/>
    <w:rsid w:val="002773F7"/>
    <w:rsid w:val="002834D9"/>
    <w:rsid w:val="00292A42"/>
    <w:rsid w:val="002943E3"/>
    <w:rsid w:val="002A4275"/>
    <w:rsid w:val="002B24F4"/>
    <w:rsid w:val="002B28DC"/>
    <w:rsid w:val="002B48E4"/>
    <w:rsid w:val="002C0018"/>
    <w:rsid w:val="002C05F2"/>
    <w:rsid w:val="002C1CD4"/>
    <w:rsid w:val="002C1E23"/>
    <w:rsid w:val="002C3112"/>
    <w:rsid w:val="002C3AB6"/>
    <w:rsid w:val="002C785D"/>
    <w:rsid w:val="002C7E89"/>
    <w:rsid w:val="002D2223"/>
    <w:rsid w:val="002D560E"/>
    <w:rsid w:val="002D7058"/>
    <w:rsid w:val="002E07D2"/>
    <w:rsid w:val="002E10C7"/>
    <w:rsid w:val="002E3321"/>
    <w:rsid w:val="002E3E94"/>
    <w:rsid w:val="002E621E"/>
    <w:rsid w:val="002E7FF1"/>
    <w:rsid w:val="002F0771"/>
    <w:rsid w:val="002F4639"/>
    <w:rsid w:val="002F5975"/>
    <w:rsid w:val="002F5FD9"/>
    <w:rsid w:val="002F7096"/>
    <w:rsid w:val="003009A6"/>
    <w:rsid w:val="00305F74"/>
    <w:rsid w:val="003061AC"/>
    <w:rsid w:val="003077D7"/>
    <w:rsid w:val="0031016F"/>
    <w:rsid w:val="00310D5E"/>
    <w:rsid w:val="003141DB"/>
    <w:rsid w:val="00317A61"/>
    <w:rsid w:val="0032084C"/>
    <w:rsid w:val="00320949"/>
    <w:rsid w:val="003223B3"/>
    <w:rsid w:val="00325927"/>
    <w:rsid w:val="00332C2B"/>
    <w:rsid w:val="0033456B"/>
    <w:rsid w:val="0033593D"/>
    <w:rsid w:val="00337F42"/>
    <w:rsid w:val="003405EC"/>
    <w:rsid w:val="00340860"/>
    <w:rsid w:val="003417CB"/>
    <w:rsid w:val="00341B25"/>
    <w:rsid w:val="00343399"/>
    <w:rsid w:val="00346184"/>
    <w:rsid w:val="00351108"/>
    <w:rsid w:val="00360967"/>
    <w:rsid w:val="00360F65"/>
    <w:rsid w:val="003616E6"/>
    <w:rsid w:val="00362971"/>
    <w:rsid w:val="00363223"/>
    <w:rsid w:val="003652C3"/>
    <w:rsid w:val="003659F3"/>
    <w:rsid w:val="00371473"/>
    <w:rsid w:val="00372682"/>
    <w:rsid w:val="00372D59"/>
    <w:rsid w:val="00373A3D"/>
    <w:rsid w:val="00374816"/>
    <w:rsid w:val="00375111"/>
    <w:rsid w:val="00377085"/>
    <w:rsid w:val="00377EDE"/>
    <w:rsid w:val="0038167D"/>
    <w:rsid w:val="003835F4"/>
    <w:rsid w:val="00386B77"/>
    <w:rsid w:val="00387DD3"/>
    <w:rsid w:val="00390186"/>
    <w:rsid w:val="00390596"/>
    <w:rsid w:val="00390B86"/>
    <w:rsid w:val="00390BB7"/>
    <w:rsid w:val="0039191F"/>
    <w:rsid w:val="00392D7B"/>
    <w:rsid w:val="00393695"/>
    <w:rsid w:val="003977F1"/>
    <w:rsid w:val="003A1EA5"/>
    <w:rsid w:val="003A295D"/>
    <w:rsid w:val="003A41B5"/>
    <w:rsid w:val="003A7C83"/>
    <w:rsid w:val="003B161C"/>
    <w:rsid w:val="003B2BF1"/>
    <w:rsid w:val="003B4D07"/>
    <w:rsid w:val="003B5515"/>
    <w:rsid w:val="003B57CD"/>
    <w:rsid w:val="003B6FD1"/>
    <w:rsid w:val="003B7B47"/>
    <w:rsid w:val="003C192B"/>
    <w:rsid w:val="003C1CB1"/>
    <w:rsid w:val="003C292C"/>
    <w:rsid w:val="003C7B4B"/>
    <w:rsid w:val="003D02B5"/>
    <w:rsid w:val="003D3E19"/>
    <w:rsid w:val="003D5835"/>
    <w:rsid w:val="003D5D88"/>
    <w:rsid w:val="003E13F5"/>
    <w:rsid w:val="003E2C1A"/>
    <w:rsid w:val="003E497F"/>
    <w:rsid w:val="003E74BB"/>
    <w:rsid w:val="003E76C6"/>
    <w:rsid w:val="003F75DD"/>
    <w:rsid w:val="003F77D3"/>
    <w:rsid w:val="00401862"/>
    <w:rsid w:val="004021A2"/>
    <w:rsid w:val="0040263F"/>
    <w:rsid w:val="00404DAA"/>
    <w:rsid w:val="00407E84"/>
    <w:rsid w:val="004122D8"/>
    <w:rsid w:val="00412AD1"/>
    <w:rsid w:val="0041389D"/>
    <w:rsid w:val="00414062"/>
    <w:rsid w:val="00414BEE"/>
    <w:rsid w:val="0041772E"/>
    <w:rsid w:val="004221FF"/>
    <w:rsid w:val="0042477B"/>
    <w:rsid w:val="00424F7A"/>
    <w:rsid w:val="00430986"/>
    <w:rsid w:val="00432132"/>
    <w:rsid w:val="004328C6"/>
    <w:rsid w:val="004345C0"/>
    <w:rsid w:val="0043545B"/>
    <w:rsid w:val="0043620D"/>
    <w:rsid w:val="004374A8"/>
    <w:rsid w:val="0044080B"/>
    <w:rsid w:val="004414A2"/>
    <w:rsid w:val="00442920"/>
    <w:rsid w:val="00446FFC"/>
    <w:rsid w:val="00447040"/>
    <w:rsid w:val="00455518"/>
    <w:rsid w:val="00457944"/>
    <w:rsid w:val="00457A51"/>
    <w:rsid w:val="00457B24"/>
    <w:rsid w:val="00460890"/>
    <w:rsid w:val="00461A6F"/>
    <w:rsid w:val="00461E28"/>
    <w:rsid w:val="004642B9"/>
    <w:rsid w:val="00465129"/>
    <w:rsid w:val="00466978"/>
    <w:rsid w:val="00470712"/>
    <w:rsid w:val="004755C2"/>
    <w:rsid w:val="00482D14"/>
    <w:rsid w:val="00483733"/>
    <w:rsid w:val="004877CF"/>
    <w:rsid w:val="00490918"/>
    <w:rsid w:val="00490EAA"/>
    <w:rsid w:val="00492DD9"/>
    <w:rsid w:val="00495AD8"/>
    <w:rsid w:val="004A1BD2"/>
    <w:rsid w:val="004A5DAE"/>
    <w:rsid w:val="004A64F9"/>
    <w:rsid w:val="004A79EC"/>
    <w:rsid w:val="004B0978"/>
    <w:rsid w:val="004B22AE"/>
    <w:rsid w:val="004B3E39"/>
    <w:rsid w:val="004B4F8F"/>
    <w:rsid w:val="004B705C"/>
    <w:rsid w:val="004B7A17"/>
    <w:rsid w:val="004C09E7"/>
    <w:rsid w:val="004C23ED"/>
    <w:rsid w:val="004C3D59"/>
    <w:rsid w:val="004C5A80"/>
    <w:rsid w:val="004C5C73"/>
    <w:rsid w:val="004D1BDA"/>
    <w:rsid w:val="004E05C6"/>
    <w:rsid w:val="004E0AD5"/>
    <w:rsid w:val="004E19E9"/>
    <w:rsid w:val="004E28CE"/>
    <w:rsid w:val="004E28EE"/>
    <w:rsid w:val="004E2D5D"/>
    <w:rsid w:val="004E5029"/>
    <w:rsid w:val="004E51FC"/>
    <w:rsid w:val="004F3443"/>
    <w:rsid w:val="004F34C0"/>
    <w:rsid w:val="004F3D63"/>
    <w:rsid w:val="004F6F3D"/>
    <w:rsid w:val="00510734"/>
    <w:rsid w:val="005110DE"/>
    <w:rsid w:val="00514307"/>
    <w:rsid w:val="0051431E"/>
    <w:rsid w:val="00515F33"/>
    <w:rsid w:val="00516BD6"/>
    <w:rsid w:val="00516BF3"/>
    <w:rsid w:val="005208F4"/>
    <w:rsid w:val="00524352"/>
    <w:rsid w:val="00524BA7"/>
    <w:rsid w:val="00530439"/>
    <w:rsid w:val="00533224"/>
    <w:rsid w:val="005333AB"/>
    <w:rsid w:val="005333ED"/>
    <w:rsid w:val="005432E6"/>
    <w:rsid w:val="00550E3B"/>
    <w:rsid w:val="005567A8"/>
    <w:rsid w:val="00556C76"/>
    <w:rsid w:val="0056094D"/>
    <w:rsid w:val="00560AB2"/>
    <w:rsid w:val="005663CC"/>
    <w:rsid w:val="005713DE"/>
    <w:rsid w:val="00572729"/>
    <w:rsid w:val="005731B2"/>
    <w:rsid w:val="00574941"/>
    <w:rsid w:val="00575FFB"/>
    <w:rsid w:val="005778F6"/>
    <w:rsid w:val="00577F04"/>
    <w:rsid w:val="00581DC7"/>
    <w:rsid w:val="00593936"/>
    <w:rsid w:val="0059726D"/>
    <w:rsid w:val="005A031D"/>
    <w:rsid w:val="005A144C"/>
    <w:rsid w:val="005A53B7"/>
    <w:rsid w:val="005A651C"/>
    <w:rsid w:val="005A7476"/>
    <w:rsid w:val="005B1DA3"/>
    <w:rsid w:val="005B3B53"/>
    <w:rsid w:val="005B5E55"/>
    <w:rsid w:val="005B70C0"/>
    <w:rsid w:val="005C24FE"/>
    <w:rsid w:val="005C379B"/>
    <w:rsid w:val="005C59B7"/>
    <w:rsid w:val="005C69FA"/>
    <w:rsid w:val="005C6E28"/>
    <w:rsid w:val="005D00C0"/>
    <w:rsid w:val="005D4860"/>
    <w:rsid w:val="005D5321"/>
    <w:rsid w:val="005D5E8F"/>
    <w:rsid w:val="005D6A31"/>
    <w:rsid w:val="005D7F77"/>
    <w:rsid w:val="005E2703"/>
    <w:rsid w:val="005E699B"/>
    <w:rsid w:val="005F0DDF"/>
    <w:rsid w:val="005F12CF"/>
    <w:rsid w:val="005F5616"/>
    <w:rsid w:val="005F5B33"/>
    <w:rsid w:val="0060089D"/>
    <w:rsid w:val="006059A9"/>
    <w:rsid w:val="00605E9B"/>
    <w:rsid w:val="0060694E"/>
    <w:rsid w:val="006070B7"/>
    <w:rsid w:val="00607501"/>
    <w:rsid w:val="00610899"/>
    <w:rsid w:val="00611631"/>
    <w:rsid w:val="006127EA"/>
    <w:rsid w:val="006152A6"/>
    <w:rsid w:val="00622A57"/>
    <w:rsid w:val="00627213"/>
    <w:rsid w:val="00632477"/>
    <w:rsid w:val="00635E17"/>
    <w:rsid w:val="00636682"/>
    <w:rsid w:val="00641C4F"/>
    <w:rsid w:val="006426FE"/>
    <w:rsid w:val="006444A9"/>
    <w:rsid w:val="006511D4"/>
    <w:rsid w:val="00656FD4"/>
    <w:rsid w:val="0065750A"/>
    <w:rsid w:val="006623C3"/>
    <w:rsid w:val="006642E9"/>
    <w:rsid w:val="0066488A"/>
    <w:rsid w:val="00672780"/>
    <w:rsid w:val="0067489A"/>
    <w:rsid w:val="00684ABC"/>
    <w:rsid w:val="0068584F"/>
    <w:rsid w:val="00685C59"/>
    <w:rsid w:val="00687598"/>
    <w:rsid w:val="0068774B"/>
    <w:rsid w:val="006904F0"/>
    <w:rsid w:val="00690BB6"/>
    <w:rsid w:val="006943B7"/>
    <w:rsid w:val="0069520C"/>
    <w:rsid w:val="0069604E"/>
    <w:rsid w:val="006A28AE"/>
    <w:rsid w:val="006A39B8"/>
    <w:rsid w:val="006A4682"/>
    <w:rsid w:val="006A683A"/>
    <w:rsid w:val="006B0D6A"/>
    <w:rsid w:val="006B202C"/>
    <w:rsid w:val="006B36F3"/>
    <w:rsid w:val="006B5DD1"/>
    <w:rsid w:val="006B635F"/>
    <w:rsid w:val="006C1CC6"/>
    <w:rsid w:val="006C2705"/>
    <w:rsid w:val="006C29FE"/>
    <w:rsid w:val="006C5C11"/>
    <w:rsid w:val="006C61D3"/>
    <w:rsid w:val="006C648D"/>
    <w:rsid w:val="006C6832"/>
    <w:rsid w:val="006D00E9"/>
    <w:rsid w:val="006D195B"/>
    <w:rsid w:val="006D2246"/>
    <w:rsid w:val="006D5238"/>
    <w:rsid w:val="006D5994"/>
    <w:rsid w:val="006D5DBA"/>
    <w:rsid w:val="006E4D8C"/>
    <w:rsid w:val="006F60DD"/>
    <w:rsid w:val="006F71EE"/>
    <w:rsid w:val="00706AEC"/>
    <w:rsid w:val="007074F8"/>
    <w:rsid w:val="00710976"/>
    <w:rsid w:val="00710DFA"/>
    <w:rsid w:val="00711A31"/>
    <w:rsid w:val="00714BCD"/>
    <w:rsid w:val="0071518E"/>
    <w:rsid w:val="00715688"/>
    <w:rsid w:val="00717F1E"/>
    <w:rsid w:val="00724938"/>
    <w:rsid w:val="00727541"/>
    <w:rsid w:val="00730F2B"/>
    <w:rsid w:val="0073195E"/>
    <w:rsid w:val="00731F81"/>
    <w:rsid w:val="00734FCD"/>
    <w:rsid w:val="00737C82"/>
    <w:rsid w:val="007412D4"/>
    <w:rsid w:val="0074264A"/>
    <w:rsid w:val="00742D96"/>
    <w:rsid w:val="00745F2F"/>
    <w:rsid w:val="00747257"/>
    <w:rsid w:val="00747E47"/>
    <w:rsid w:val="00750631"/>
    <w:rsid w:val="00752094"/>
    <w:rsid w:val="00755F07"/>
    <w:rsid w:val="007574BA"/>
    <w:rsid w:val="00757625"/>
    <w:rsid w:val="0076226F"/>
    <w:rsid w:val="007628BA"/>
    <w:rsid w:val="007630CE"/>
    <w:rsid w:val="00763692"/>
    <w:rsid w:val="007651C7"/>
    <w:rsid w:val="0076610D"/>
    <w:rsid w:val="0076703D"/>
    <w:rsid w:val="007731A4"/>
    <w:rsid w:val="007737BD"/>
    <w:rsid w:val="00773EDF"/>
    <w:rsid w:val="00774912"/>
    <w:rsid w:val="0077597A"/>
    <w:rsid w:val="0077743C"/>
    <w:rsid w:val="00781955"/>
    <w:rsid w:val="007827AF"/>
    <w:rsid w:val="00785E70"/>
    <w:rsid w:val="007900B4"/>
    <w:rsid w:val="00790D05"/>
    <w:rsid w:val="00790FE8"/>
    <w:rsid w:val="00792B20"/>
    <w:rsid w:val="007933E7"/>
    <w:rsid w:val="0079696C"/>
    <w:rsid w:val="007976FF"/>
    <w:rsid w:val="007A2C44"/>
    <w:rsid w:val="007A4FD2"/>
    <w:rsid w:val="007A60AB"/>
    <w:rsid w:val="007B5707"/>
    <w:rsid w:val="007B5CAF"/>
    <w:rsid w:val="007B628D"/>
    <w:rsid w:val="007C57BF"/>
    <w:rsid w:val="007C7B94"/>
    <w:rsid w:val="007D02B2"/>
    <w:rsid w:val="007D03A8"/>
    <w:rsid w:val="007D3A3C"/>
    <w:rsid w:val="007D7B58"/>
    <w:rsid w:val="007E22BE"/>
    <w:rsid w:val="007E29AE"/>
    <w:rsid w:val="007E3744"/>
    <w:rsid w:val="007F02CF"/>
    <w:rsid w:val="007F0F13"/>
    <w:rsid w:val="007F1BBE"/>
    <w:rsid w:val="007F3A61"/>
    <w:rsid w:val="007F56D4"/>
    <w:rsid w:val="007F5A94"/>
    <w:rsid w:val="007F6DE8"/>
    <w:rsid w:val="00804B2B"/>
    <w:rsid w:val="008101D7"/>
    <w:rsid w:val="00810E93"/>
    <w:rsid w:val="00814A66"/>
    <w:rsid w:val="0081528A"/>
    <w:rsid w:val="008179BB"/>
    <w:rsid w:val="00817C60"/>
    <w:rsid w:val="008243C2"/>
    <w:rsid w:val="008244CB"/>
    <w:rsid w:val="00830BD8"/>
    <w:rsid w:val="00832591"/>
    <w:rsid w:val="00833092"/>
    <w:rsid w:val="00833289"/>
    <w:rsid w:val="0083411A"/>
    <w:rsid w:val="00836B5F"/>
    <w:rsid w:val="00841889"/>
    <w:rsid w:val="00841F69"/>
    <w:rsid w:val="008430F7"/>
    <w:rsid w:val="00844D0D"/>
    <w:rsid w:val="00845386"/>
    <w:rsid w:val="008465E9"/>
    <w:rsid w:val="00846E4C"/>
    <w:rsid w:val="00847834"/>
    <w:rsid w:val="00851046"/>
    <w:rsid w:val="008512D0"/>
    <w:rsid w:val="00851B70"/>
    <w:rsid w:val="00852340"/>
    <w:rsid w:val="00852BF2"/>
    <w:rsid w:val="00853F9C"/>
    <w:rsid w:val="0085522E"/>
    <w:rsid w:val="00857590"/>
    <w:rsid w:val="0086158C"/>
    <w:rsid w:val="008618A9"/>
    <w:rsid w:val="00861ACF"/>
    <w:rsid w:val="00864882"/>
    <w:rsid w:val="00871A97"/>
    <w:rsid w:val="008772C1"/>
    <w:rsid w:val="00877721"/>
    <w:rsid w:val="00881675"/>
    <w:rsid w:val="008826B2"/>
    <w:rsid w:val="00882ED2"/>
    <w:rsid w:val="00886BC3"/>
    <w:rsid w:val="00887521"/>
    <w:rsid w:val="0089113E"/>
    <w:rsid w:val="0089426E"/>
    <w:rsid w:val="00896CC9"/>
    <w:rsid w:val="00897ED9"/>
    <w:rsid w:val="008A307E"/>
    <w:rsid w:val="008A40BA"/>
    <w:rsid w:val="008A489F"/>
    <w:rsid w:val="008B130D"/>
    <w:rsid w:val="008B370E"/>
    <w:rsid w:val="008C4EB7"/>
    <w:rsid w:val="008C5329"/>
    <w:rsid w:val="008C55E2"/>
    <w:rsid w:val="008D24E4"/>
    <w:rsid w:val="008D2A8A"/>
    <w:rsid w:val="008D33E6"/>
    <w:rsid w:val="008D4C8B"/>
    <w:rsid w:val="008E240A"/>
    <w:rsid w:val="008E4B46"/>
    <w:rsid w:val="008E7095"/>
    <w:rsid w:val="008F0823"/>
    <w:rsid w:val="008F103D"/>
    <w:rsid w:val="008F1F0E"/>
    <w:rsid w:val="008F7F6D"/>
    <w:rsid w:val="0091079C"/>
    <w:rsid w:val="009115D7"/>
    <w:rsid w:val="00915850"/>
    <w:rsid w:val="00915AEE"/>
    <w:rsid w:val="0092308D"/>
    <w:rsid w:val="00925919"/>
    <w:rsid w:val="0092691B"/>
    <w:rsid w:val="00927A51"/>
    <w:rsid w:val="00932007"/>
    <w:rsid w:val="00933B1E"/>
    <w:rsid w:val="009342B3"/>
    <w:rsid w:val="00937B7D"/>
    <w:rsid w:val="00937DF4"/>
    <w:rsid w:val="0094031E"/>
    <w:rsid w:val="00942325"/>
    <w:rsid w:val="009459F4"/>
    <w:rsid w:val="00946764"/>
    <w:rsid w:val="0095013D"/>
    <w:rsid w:val="00951836"/>
    <w:rsid w:val="0095352B"/>
    <w:rsid w:val="0095367B"/>
    <w:rsid w:val="00953E43"/>
    <w:rsid w:val="00954F01"/>
    <w:rsid w:val="00955627"/>
    <w:rsid w:val="0095583A"/>
    <w:rsid w:val="009565D4"/>
    <w:rsid w:val="00962CDF"/>
    <w:rsid w:val="00964106"/>
    <w:rsid w:val="0096442E"/>
    <w:rsid w:val="00965DC0"/>
    <w:rsid w:val="00967CD5"/>
    <w:rsid w:val="00970A30"/>
    <w:rsid w:val="00973B34"/>
    <w:rsid w:val="00975D09"/>
    <w:rsid w:val="00976FAB"/>
    <w:rsid w:val="009805D9"/>
    <w:rsid w:val="00980AA5"/>
    <w:rsid w:val="009826C3"/>
    <w:rsid w:val="00983D40"/>
    <w:rsid w:val="00984F71"/>
    <w:rsid w:val="0098602B"/>
    <w:rsid w:val="00987228"/>
    <w:rsid w:val="00987D71"/>
    <w:rsid w:val="00993ED1"/>
    <w:rsid w:val="00993F91"/>
    <w:rsid w:val="009A01A7"/>
    <w:rsid w:val="009A0D01"/>
    <w:rsid w:val="009A62B3"/>
    <w:rsid w:val="009A68C4"/>
    <w:rsid w:val="009A7678"/>
    <w:rsid w:val="009B0DAE"/>
    <w:rsid w:val="009B37A6"/>
    <w:rsid w:val="009B4D56"/>
    <w:rsid w:val="009B6E49"/>
    <w:rsid w:val="009C14DF"/>
    <w:rsid w:val="009C23E5"/>
    <w:rsid w:val="009C58DA"/>
    <w:rsid w:val="009C6028"/>
    <w:rsid w:val="009D1E4F"/>
    <w:rsid w:val="009D2121"/>
    <w:rsid w:val="009D5611"/>
    <w:rsid w:val="009D69B3"/>
    <w:rsid w:val="009D77DE"/>
    <w:rsid w:val="009E05EA"/>
    <w:rsid w:val="009E2594"/>
    <w:rsid w:val="009E525F"/>
    <w:rsid w:val="009E53BF"/>
    <w:rsid w:val="009E7CC1"/>
    <w:rsid w:val="00A023C6"/>
    <w:rsid w:val="00A073B7"/>
    <w:rsid w:val="00A07FED"/>
    <w:rsid w:val="00A1337C"/>
    <w:rsid w:val="00A16546"/>
    <w:rsid w:val="00A167F8"/>
    <w:rsid w:val="00A17608"/>
    <w:rsid w:val="00A203BF"/>
    <w:rsid w:val="00A207A6"/>
    <w:rsid w:val="00A250C9"/>
    <w:rsid w:val="00A303B0"/>
    <w:rsid w:val="00A30801"/>
    <w:rsid w:val="00A30F65"/>
    <w:rsid w:val="00A33AAC"/>
    <w:rsid w:val="00A35F89"/>
    <w:rsid w:val="00A4013F"/>
    <w:rsid w:val="00A403CA"/>
    <w:rsid w:val="00A40B9E"/>
    <w:rsid w:val="00A40CB1"/>
    <w:rsid w:val="00A41622"/>
    <w:rsid w:val="00A435A7"/>
    <w:rsid w:val="00A43B87"/>
    <w:rsid w:val="00A44874"/>
    <w:rsid w:val="00A4532D"/>
    <w:rsid w:val="00A51B8A"/>
    <w:rsid w:val="00A62829"/>
    <w:rsid w:val="00A62FAC"/>
    <w:rsid w:val="00A64233"/>
    <w:rsid w:val="00A70FAC"/>
    <w:rsid w:val="00A72F2B"/>
    <w:rsid w:val="00A7600F"/>
    <w:rsid w:val="00A80168"/>
    <w:rsid w:val="00A81473"/>
    <w:rsid w:val="00A93398"/>
    <w:rsid w:val="00A957D9"/>
    <w:rsid w:val="00A9742E"/>
    <w:rsid w:val="00AA06FC"/>
    <w:rsid w:val="00AA0A4F"/>
    <w:rsid w:val="00AA1411"/>
    <w:rsid w:val="00AA470A"/>
    <w:rsid w:val="00AA7604"/>
    <w:rsid w:val="00AA7C3C"/>
    <w:rsid w:val="00AB7235"/>
    <w:rsid w:val="00AB78F7"/>
    <w:rsid w:val="00AC1E8D"/>
    <w:rsid w:val="00AC20DF"/>
    <w:rsid w:val="00AC317B"/>
    <w:rsid w:val="00AC480A"/>
    <w:rsid w:val="00AC71EB"/>
    <w:rsid w:val="00AC720C"/>
    <w:rsid w:val="00AC7400"/>
    <w:rsid w:val="00AC7F6B"/>
    <w:rsid w:val="00AD0FAA"/>
    <w:rsid w:val="00AD374F"/>
    <w:rsid w:val="00AD7781"/>
    <w:rsid w:val="00AE0118"/>
    <w:rsid w:val="00AE2566"/>
    <w:rsid w:val="00AE2D9D"/>
    <w:rsid w:val="00AE4FDF"/>
    <w:rsid w:val="00AE76C0"/>
    <w:rsid w:val="00AF1BFD"/>
    <w:rsid w:val="00AF3324"/>
    <w:rsid w:val="00AF408F"/>
    <w:rsid w:val="00AF4813"/>
    <w:rsid w:val="00AF4E19"/>
    <w:rsid w:val="00AF77AF"/>
    <w:rsid w:val="00B01AD4"/>
    <w:rsid w:val="00B0254B"/>
    <w:rsid w:val="00B04CA0"/>
    <w:rsid w:val="00B07E2B"/>
    <w:rsid w:val="00B10D78"/>
    <w:rsid w:val="00B16824"/>
    <w:rsid w:val="00B17F45"/>
    <w:rsid w:val="00B201AB"/>
    <w:rsid w:val="00B21153"/>
    <w:rsid w:val="00B234EE"/>
    <w:rsid w:val="00B25576"/>
    <w:rsid w:val="00B256E4"/>
    <w:rsid w:val="00B35C96"/>
    <w:rsid w:val="00B370BC"/>
    <w:rsid w:val="00B4398C"/>
    <w:rsid w:val="00B43E95"/>
    <w:rsid w:val="00B4540B"/>
    <w:rsid w:val="00B500C4"/>
    <w:rsid w:val="00B526C4"/>
    <w:rsid w:val="00B55904"/>
    <w:rsid w:val="00B566A6"/>
    <w:rsid w:val="00B57008"/>
    <w:rsid w:val="00B5710C"/>
    <w:rsid w:val="00B62B47"/>
    <w:rsid w:val="00B64CE3"/>
    <w:rsid w:val="00B6674A"/>
    <w:rsid w:val="00B674E3"/>
    <w:rsid w:val="00B71A41"/>
    <w:rsid w:val="00B7418A"/>
    <w:rsid w:val="00B76651"/>
    <w:rsid w:val="00B8070D"/>
    <w:rsid w:val="00B837EA"/>
    <w:rsid w:val="00B91836"/>
    <w:rsid w:val="00B94F1C"/>
    <w:rsid w:val="00B95993"/>
    <w:rsid w:val="00B96AA5"/>
    <w:rsid w:val="00BA0E99"/>
    <w:rsid w:val="00BA1B2A"/>
    <w:rsid w:val="00BA1C2A"/>
    <w:rsid w:val="00BA3452"/>
    <w:rsid w:val="00BA3FA7"/>
    <w:rsid w:val="00BA439B"/>
    <w:rsid w:val="00BA49A8"/>
    <w:rsid w:val="00BB01B9"/>
    <w:rsid w:val="00BB1A32"/>
    <w:rsid w:val="00BB2FE2"/>
    <w:rsid w:val="00BB3D04"/>
    <w:rsid w:val="00BB3EB7"/>
    <w:rsid w:val="00BB3FD0"/>
    <w:rsid w:val="00BB5FC3"/>
    <w:rsid w:val="00BC44C4"/>
    <w:rsid w:val="00BC5A6C"/>
    <w:rsid w:val="00BC7067"/>
    <w:rsid w:val="00BD04A7"/>
    <w:rsid w:val="00BD41CF"/>
    <w:rsid w:val="00BE019C"/>
    <w:rsid w:val="00BE1DB1"/>
    <w:rsid w:val="00BE235A"/>
    <w:rsid w:val="00BE32C8"/>
    <w:rsid w:val="00BE6436"/>
    <w:rsid w:val="00BE6BE5"/>
    <w:rsid w:val="00BF0313"/>
    <w:rsid w:val="00BF3B5D"/>
    <w:rsid w:val="00BF3D9B"/>
    <w:rsid w:val="00BF5C4D"/>
    <w:rsid w:val="00BF77D0"/>
    <w:rsid w:val="00BF7AF5"/>
    <w:rsid w:val="00BF7D65"/>
    <w:rsid w:val="00C00369"/>
    <w:rsid w:val="00C01C51"/>
    <w:rsid w:val="00C0388B"/>
    <w:rsid w:val="00C05182"/>
    <w:rsid w:val="00C10AEB"/>
    <w:rsid w:val="00C141A9"/>
    <w:rsid w:val="00C154FD"/>
    <w:rsid w:val="00C176FF"/>
    <w:rsid w:val="00C20133"/>
    <w:rsid w:val="00C2021D"/>
    <w:rsid w:val="00C21CC2"/>
    <w:rsid w:val="00C24164"/>
    <w:rsid w:val="00C245AA"/>
    <w:rsid w:val="00C26FF4"/>
    <w:rsid w:val="00C30E24"/>
    <w:rsid w:val="00C32A3C"/>
    <w:rsid w:val="00C343F6"/>
    <w:rsid w:val="00C37DF1"/>
    <w:rsid w:val="00C40F5F"/>
    <w:rsid w:val="00C41EDC"/>
    <w:rsid w:val="00C42ECA"/>
    <w:rsid w:val="00C43A48"/>
    <w:rsid w:val="00C43DA7"/>
    <w:rsid w:val="00C508CD"/>
    <w:rsid w:val="00C5380F"/>
    <w:rsid w:val="00C545EB"/>
    <w:rsid w:val="00C54F3D"/>
    <w:rsid w:val="00C55DF3"/>
    <w:rsid w:val="00C62727"/>
    <w:rsid w:val="00C62D12"/>
    <w:rsid w:val="00C63D50"/>
    <w:rsid w:val="00C66A2E"/>
    <w:rsid w:val="00C73559"/>
    <w:rsid w:val="00C74D5F"/>
    <w:rsid w:val="00C75F5D"/>
    <w:rsid w:val="00C80727"/>
    <w:rsid w:val="00C82953"/>
    <w:rsid w:val="00C85C54"/>
    <w:rsid w:val="00C85EF1"/>
    <w:rsid w:val="00C90796"/>
    <w:rsid w:val="00C92D9C"/>
    <w:rsid w:val="00C94174"/>
    <w:rsid w:val="00C94F87"/>
    <w:rsid w:val="00C95721"/>
    <w:rsid w:val="00CA1D2D"/>
    <w:rsid w:val="00CA4336"/>
    <w:rsid w:val="00CA5DCA"/>
    <w:rsid w:val="00CA6A3C"/>
    <w:rsid w:val="00CB24F3"/>
    <w:rsid w:val="00CB64BC"/>
    <w:rsid w:val="00CC0354"/>
    <w:rsid w:val="00CC44FC"/>
    <w:rsid w:val="00CC514B"/>
    <w:rsid w:val="00CD517B"/>
    <w:rsid w:val="00CD53A4"/>
    <w:rsid w:val="00CE0512"/>
    <w:rsid w:val="00CE2FBF"/>
    <w:rsid w:val="00CE307D"/>
    <w:rsid w:val="00CE6722"/>
    <w:rsid w:val="00CE7B50"/>
    <w:rsid w:val="00CF0DA2"/>
    <w:rsid w:val="00CF52F3"/>
    <w:rsid w:val="00D00671"/>
    <w:rsid w:val="00D01B2B"/>
    <w:rsid w:val="00D01F35"/>
    <w:rsid w:val="00D03F63"/>
    <w:rsid w:val="00D043E3"/>
    <w:rsid w:val="00D0478E"/>
    <w:rsid w:val="00D059AF"/>
    <w:rsid w:val="00D1202D"/>
    <w:rsid w:val="00D12B02"/>
    <w:rsid w:val="00D13DD6"/>
    <w:rsid w:val="00D14B2A"/>
    <w:rsid w:val="00D16ED9"/>
    <w:rsid w:val="00D23137"/>
    <w:rsid w:val="00D23408"/>
    <w:rsid w:val="00D24F56"/>
    <w:rsid w:val="00D25A57"/>
    <w:rsid w:val="00D26CDF"/>
    <w:rsid w:val="00D27C74"/>
    <w:rsid w:val="00D30DA8"/>
    <w:rsid w:val="00D32CC3"/>
    <w:rsid w:val="00D349FA"/>
    <w:rsid w:val="00D35F2C"/>
    <w:rsid w:val="00D3634B"/>
    <w:rsid w:val="00D445D4"/>
    <w:rsid w:val="00D47560"/>
    <w:rsid w:val="00D478F4"/>
    <w:rsid w:val="00D50653"/>
    <w:rsid w:val="00D527E1"/>
    <w:rsid w:val="00D57C55"/>
    <w:rsid w:val="00D6525C"/>
    <w:rsid w:val="00D6753F"/>
    <w:rsid w:val="00D67E3E"/>
    <w:rsid w:val="00D753CC"/>
    <w:rsid w:val="00D76683"/>
    <w:rsid w:val="00D76E0B"/>
    <w:rsid w:val="00D8034C"/>
    <w:rsid w:val="00D80419"/>
    <w:rsid w:val="00D81220"/>
    <w:rsid w:val="00D83BB0"/>
    <w:rsid w:val="00D879B7"/>
    <w:rsid w:val="00D9329A"/>
    <w:rsid w:val="00D953EE"/>
    <w:rsid w:val="00D96CE4"/>
    <w:rsid w:val="00D96CEB"/>
    <w:rsid w:val="00D96F67"/>
    <w:rsid w:val="00DA04B7"/>
    <w:rsid w:val="00DA218A"/>
    <w:rsid w:val="00DA29D0"/>
    <w:rsid w:val="00DA4183"/>
    <w:rsid w:val="00DA4496"/>
    <w:rsid w:val="00DB07FD"/>
    <w:rsid w:val="00DB5B67"/>
    <w:rsid w:val="00DB7071"/>
    <w:rsid w:val="00DC0372"/>
    <w:rsid w:val="00DC4466"/>
    <w:rsid w:val="00DC6FF4"/>
    <w:rsid w:val="00DC7325"/>
    <w:rsid w:val="00DD0519"/>
    <w:rsid w:val="00DD21C4"/>
    <w:rsid w:val="00DD3100"/>
    <w:rsid w:val="00DD4BB1"/>
    <w:rsid w:val="00DD4DB6"/>
    <w:rsid w:val="00DD5552"/>
    <w:rsid w:val="00DD6824"/>
    <w:rsid w:val="00DE1384"/>
    <w:rsid w:val="00DE3BF2"/>
    <w:rsid w:val="00DF3A1C"/>
    <w:rsid w:val="00E02B04"/>
    <w:rsid w:val="00E125ED"/>
    <w:rsid w:val="00E13EEE"/>
    <w:rsid w:val="00E1403B"/>
    <w:rsid w:val="00E14167"/>
    <w:rsid w:val="00E20A25"/>
    <w:rsid w:val="00E215F5"/>
    <w:rsid w:val="00E22556"/>
    <w:rsid w:val="00E22A90"/>
    <w:rsid w:val="00E318D2"/>
    <w:rsid w:val="00E32433"/>
    <w:rsid w:val="00E32453"/>
    <w:rsid w:val="00E35105"/>
    <w:rsid w:val="00E415AB"/>
    <w:rsid w:val="00E4182F"/>
    <w:rsid w:val="00E4437C"/>
    <w:rsid w:val="00E44D66"/>
    <w:rsid w:val="00E46809"/>
    <w:rsid w:val="00E51ED7"/>
    <w:rsid w:val="00E53A06"/>
    <w:rsid w:val="00E5505A"/>
    <w:rsid w:val="00E5778A"/>
    <w:rsid w:val="00E57A37"/>
    <w:rsid w:val="00E6129B"/>
    <w:rsid w:val="00E64032"/>
    <w:rsid w:val="00E6409E"/>
    <w:rsid w:val="00E64932"/>
    <w:rsid w:val="00E667DB"/>
    <w:rsid w:val="00E672DF"/>
    <w:rsid w:val="00E67537"/>
    <w:rsid w:val="00E719B6"/>
    <w:rsid w:val="00E721FD"/>
    <w:rsid w:val="00E76600"/>
    <w:rsid w:val="00E84F33"/>
    <w:rsid w:val="00E86EC3"/>
    <w:rsid w:val="00E964FE"/>
    <w:rsid w:val="00E9725F"/>
    <w:rsid w:val="00EA18E5"/>
    <w:rsid w:val="00EA48B9"/>
    <w:rsid w:val="00EA5569"/>
    <w:rsid w:val="00EA6E0D"/>
    <w:rsid w:val="00EB2216"/>
    <w:rsid w:val="00EB564A"/>
    <w:rsid w:val="00EB7FFE"/>
    <w:rsid w:val="00EC3A0C"/>
    <w:rsid w:val="00EC4509"/>
    <w:rsid w:val="00EC4972"/>
    <w:rsid w:val="00EC4CE2"/>
    <w:rsid w:val="00EC5680"/>
    <w:rsid w:val="00ED20D9"/>
    <w:rsid w:val="00ED354B"/>
    <w:rsid w:val="00ED7159"/>
    <w:rsid w:val="00EE2068"/>
    <w:rsid w:val="00EE5A74"/>
    <w:rsid w:val="00EE5D95"/>
    <w:rsid w:val="00EE70B7"/>
    <w:rsid w:val="00EF2F4C"/>
    <w:rsid w:val="00F02DAE"/>
    <w:rsid w:val="00F079D8"/>
    <w:rsid w:val="00F10709"/>
    <w:rsid w:val="00F1072C"/>
    <w:rsid w:val="00F1247A"/>
    <w:rsid w:val="00F126F4"/>
    <w:rsid w:val="00F13747"/>
    <w:rsid w:val="00F13A79"/>
    <w:rsid w:val="00F15315"/>
    <w:rsid w:val="00F154E0"/>
    <w:rsid w:val="00F166B0"/>
    <w:rsid w:val="00F17F4B"/>
    <w:rsid w:val="00F2477A"/>
    <w:rsid w:val="00F26F88"/>
    <w:rsid w:val="00F27887"/>
    <w:rsid w:val="00F27D83"/>
    <w:rsid w:val="00F30F22"/>
    <w:rsid w:val="00F31F3D"/>
    <w:rsid w:val="00F34D0D"/>
    <w:rsid w:val="00F359D8"/>
    <w:rsid w:val="00F37802"/>
    <w:rsid w:val="00F4133D"/>
    <w:rsid w:val="00F42B25"/>
    <w:rsid w:val="00F43E5B"/>
    <w:rsid w:val="00F46F81"/>
    <w:rsid w:val="00F473CC"/>
    <w:rsid w:val="00F524EB"/>
    <w:rsid w:val="00F527A1"/>
    <w:rsid w:val="00F52969"/>
    <w:rsid w:val="00F53455"/>
    <w:rsid w:val="00F55D3B"/>
    <w:rsid w:val="00F55D97"/>
    <w:rsid w:val="00F576EA"/>
    <w:rsid w:val="00F57F2E"/>
    <w:rsid w:val="00F602AB"/>
    <w:rsid w:val="00F605D5"/>
    <w:rsid w:val="00F62234"/>
    <w:rsid w:val="00F63A70"/>
    <w:rsid w:val="00F64D51"/>
    <w:rsid w:val="00F66AE1"/>
    <w:rsid w:val="00F714A1"/>
    <w:rsid w:val="00F71908"/>
    <w:rsid w:val="00F73156"/>
    <w:rsid w:val="00F75B8B"/>
    <w:rsid w:val="00F76BC0"/>
    <w:rsid w:val="00F8119F"/>
    <w:rsid w:val="00F836AA"/>
    <w:rsid w:val="00F87820"/>
    <w:rsid w:val="00F91547"/>
    <w:rsid w:val="00F93B6C"/>
    <w:rsid w:val="00F97243"/>
    <w:rsid w:val="00FA2018"/>
    <w:rsid w:val="00FB03BE"/>
    <w:rsid w:val="00FB0CDF"/>
    <w:rsid w:val="00FB121F"/>
    <w:rsid w:val="00FB2EA8"/>
    <w:rsid w:val="00FB6926"/>
    <w:rsid w:val="00FB788E"/>
    <w:rsid w:val="00FC3864"/>
    <w:rsid w:val="00FC3FAF"/>
    <w:rsid w:val="00FC4ABD"/>
    <w:rsid w:val="00FC5B16"/>
    <w:rsid w:val="00FC6C33"/>
    <w:rsid w:val="00FD0593"/>
    <w:rsid w:val="00FD2256"/>
    <w:rsid w:val="00FD2B68"/>
    <w:rsid w:val="00FD3AE9"/>
    <w:rsid w:val="00FD3F81"/>
    <w:rsid w:val="00FD419E"/>
    <w:rsid w:val="00FE2F6B"/>
    <w:rsid w:val="00FE31B9"/>
    <w:rsid w:val="00FE386F"/>
    <w:rsid w:val="00FE493D"/>
    <w:rsid w:val="00FE704C"/>
    <w:rsid w:val="00FE742A"/>
    <w:rsid w:val="00FE7EE9"/>
    <w:rsid w:val="00FF0750"/>
    <w:rsid w:val="00FF08CB"/>
    <w:rsid w:val="00FF0B51"/>
    <w:rsid w:val="00FF1D03"/>
    <w:rsid w:val="00FF2503"/>
    <w:rsid w:val="00FF26D1"/>
    <w:rsid w:val="00FF27CF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F72539-DE3A-4E76-8276-091AECDE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15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30D"/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2079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20791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20791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2079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2079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0791A"/>
  </w:style>
  <w:style w:type="paragraph" w:customStyle="1" w:styleId="a7">
    <w:name w:val="Нормальный (таблица)"/>
    <w:basedOn w:val="a"/>
    <w:next w:val="a"/>
    <w:uiPriority w:val="99"/>
    <w:rsid w:val="0020791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457944"/>
    <w:rPr>
      <w:color w:val="auto"/>
    </w:rPr>
  </w:style>
  <w:style w:type="paragraph" w:customStyle="1" w:styleId="a9">
    <w:name w:val="Комментарий"/>
    <w:basedOn w:val="a"/>
    <w:next w:val="a"/>
    <w:uiPriority w:val="99"/>
    <w:rsid w:val="00457944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57944"/>
    <w:rPr>
      <w:i/>
      <w:iCs/>
    </w:rPr>
  </w:style>
  <w:style w:type="paragraph" w:styleId="ab">
    <w:name w:val="Body Text Indent"/>
    <w:basedOn w:val="a"/>
    <w:link w:val="ac"/>
    <w:uiPriority w:val="99"/>
    <w:rsid w:val="009107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B130D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F52F3"/>
    <w:rPr>
      <w:rFonts w:ascii="Arial" w:eastAsia="Times New Roman" w:hAnsi="Arial" w:cs="Arial"/>
      <w:lang w:val="ru-RU" w:eastAsia="ru-RU" w:bidi="ar-SA"/>
    </w:rPr>
  </w:style>
  <w:style w:type="character" w:customStyle="1" w:styleId="ad">
    <w:name w:val="Цветовое выделение"/>
    <w:uiPriority w:val="99"/>
    <w:rsid w:val="006D195B"/>
    <w:rPr>
      <w:b/>
      <w:bCs/>
      <w:color w:val="26282F"/>
    </w:rPr>
  </w:style>
  <w:style w:type="paragraph" w:customStyle="1" w:styleId="ae">
    <w:name w:val="Заголовок статьи"/>
    <w:basedOn w:val="a"/>
    <w:next w:val="a"/>
    <w:uiPriority w:val="99"/>
    <w:rsid w:val="006D195B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styleId="af">
    <w:name w:val="Title"/>
    <w:basedOn w:val="a"/>
    <w:link w:val="af0"/>
    <w:uiPriority w:val="99"/>
    <w:qFormat/>
    <w:locked/>
    <w:rsid w:val="00E9725F"/>
    <w:pPr>
      <w:jc w:val="center"/>
    </w:pPr>
  </w:style>
  <w:style w:type="character" w:customStyle="1" w:styleId="af0">
    <w:name w:val="Название Знак"/>
    <w:basedOn w:val="a0"/>
    <w:link w:val="af"/>
    <w:uiPriority w:val="99"/>
    <w:rsid w:val="00E9725F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106AE5"/>
    <w:pPr>
      <w:widowControl w:val="0"/>
      <w:autoSpaceDE w:val="0"/>
      <w:autoSpaceDN w:val="0"/>
      <w:adjustRightInd w:val="0"/>
      <w:spacing w:line="277" w:lineRule="exact"/>
      <w:ind w:firstLine="710"/>
      <w:jc w:val="both"/>
    </w:pPr>
  </w:style>
  <w:style w:type="character" w:customStyle="1" w:styleId="FontStyle32">
    <w:name w:val="Font Style32"/>
    <w:basedOn w:val="a0"/>
    <w:uiPriority w:val="99"/>
    <w:rsid w:val="00106AE5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106AE5"/>
    <w:pPr>
      <w:widowControl w:val="0"/>
      <w:autoSpaceDE w:val="0"/>
      <w:autoSpaceDN w:val="0"/>
      <w:adjustRightInd w:val="0"/>
      <w:spacing w:line="275" w:lineRule="exact"/>
      <w:ind w:firstLine="528"/>
      <w:jc w:val="both"/>
    </w:pPr>
  </w:style>
  <w:style w:type="paragraph" w:customStyle="1" w:styleId="Style25">
    <w:name w:val="Style25"/>
    <w:basedOn w:val="a"/>
    <w:uiPriority w:val="99"/>
    <w:rsid w:val="00106AE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106AE5"/>
    <w:pPr>
      <w:widowControl w:val="0"/>
      <w:autoSpaceDE w:val="0"/>
      <w:autoSpaceDN w:val="0"/>
      <w:adjustRightInd w:val="0"/>
      <w:spacing w:line="187" w:lineRule="exact"/>
      <w:jc w:val="both"/>
    </w:pPr>
  </w:style>
  <w:style w:type="paragraph" w:customStyle="1" w:styleId="Style22">
    <w:name w:val="Style22"/>
    <w:basedOn w:val="a"/>
    <w:uiPriority w:val="99"/>
    <w:rsid w:val="00106AE5"/>
    <w:pPr>
      <w:widowControl w:val="0"/>
      <w:autoSpaceDE w:val="0"/>
      <w:autoSpaceDN w:val="0"/>
      <w:adjustRightInd w:val="0"/>
      <w:jc w:val="both"/>
    </w:pPr>
  </w:style>
  <w:style w:type="character" w:customStyle="1" w:styleId="FontStyle36">
    <w:name w:val="Font Style36"/>
    <w:basedOn w:val="a0"/>
    <w:uiPriority w:val="99"/>
    <w:rsid w:val="00106AE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basedOn w:val="a0"/>
    <w:uiPriority w:val="99"/>
    <w:rsid w:val="00106AE5"/>
    <w:rPr>
      <w:rFonts w:ascii="Times New Roman" w:hAnsi="Times New Roman" w:cs="Times New Roman"/>
      <w:sz w:val="14"/>
      <w:szCs w:val="14"/>
    </w:rPr>
  </w:style>
  <w:style w:type="character" w:styleId="af1">
    <w:name w:val="Hyperlink"/>
    <w:basedOn w:val="a0"/>
    <w:uiPriority w:val="99"/>
    <w:unhideWhenUsed/>
    <w:rsid w:val="002C3112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90BB6"/>
    <w:pPr>
      <w:ind w:left="720"/>
      <w:contextualSpacing/>
    </w:pPr>
  </w:style>
  <w:style w:type="table" w:styleId="af3">
    <w:name w:val="Table Grid"/>
    <w:basedOn w:val="a1"/>
    <w:locked/>
    <w:rsid w:val="0041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508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08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stat.gibdd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8D83FB6C89B636B50FCBBA0F60292C0ACBE9AA6D1DC1125DA16F1EA7A985864FF54BEAA595E919e7K0O" TargetMode="External"/><Relationship Id="rId17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8D83FB6C89B636B50FCBBA0F60292C0ACBE9AA6D1DC1125DA16F1EA7A985864FF54BEAA595E918e7K8O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consultantplus://offline/ref=195834F08EF7B71BDC21B1F7D16EC6B0AF534359EB988C9B1EF7E0550D4DFEF6785B64B278CE6E82PEhF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Структура сети автомобильных дорог в Волгоградской области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(без федеральных)</a:t>
            </a:r>
          </a:p>
        </c:rich>
      </c:tx>
      <c:layout/>
      <c:overlay val="0"/>
    </c:title>
    <c:autoTitleDeleted val="0"/>
    <c:plotArea>
      <c:layout/>
      <c:ofPieChart>
        <c:ofPieType val="pie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сети автомобильных дорог</c:v>
                </c:pt>
              </c:strCache>
            </c:strRef>
          </c:tx>
          <c:explosion val="3"/>
          <c:dPt>
            <c:idx val="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bg2">
                  <a:lumMod val="75000"/>
                </a:schemeClr>
              </a:solidFill>
            </c:spPr>
          </c:dPt>
          <c:dPt>
            <c:idx val="3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0.10753894080996884"/>
                  <c:y val="4.8035870516185478E-2"/>
                </c:manualLayout>
              </c:layout>
              <c:tx>
                <c:rich>
                  <a:bodyPr/>
                  <a:lstStyle/>
                  <a:p>
                    <a:pPr>
                      <a:defRPr sz="1000">
                        <a:solidFill>
                          <a:schemeClr val="bg1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>
                        <a:solidFill>
                          <a:schemeClr val="bg1"/>
                        </a:solidFill>
                      </a:rPr>
                      <a:t>Областные дороги</a:t>
                    </a:r>
                  </a:p>
                  <a:p>
                    <a:pPr>
                      <a:defRPr sz="1000">
                        <a:solidFill>
                          <a:schemeClr val="bg1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>
                        <a:solidFill>
                          <a:schemeClr val="bg1"/>
                        </a:solidFill>
                      </a:rPr>
                      <a:t>10 064,5 км</a:t>
                    </a:r>
                  </a:p>
                  <a:p>
                    <a:pPr>
                      <a:defRPr sz="1000">
                        <a:solidFill>
                          <a:schemeClr val="bg1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>
                        <a:solidFill>
                          <a:schemeClr val="bg1"/>
                        </a:solidFill>
                      </a:rPr>
                      <a:t>38%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0785733559006028"/>
                  <c:y val="-7.1893200849893965E-2"/>
                </c:manualLayout>
              </c:layout>
              <c:tx>
                <c:rich>
                  <a:bodyPr/>
                  <a:lstStyle/>
                  <a:p>
                    <a:pPr>
                      <a:defRPr sz="1000">
                        <a:solidFill>
                          <a:schemeClr val="bg1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города</a:t>
                    </a:r>
                  </a:p>
                  <a:p>
                    <a:pPr>
                      <a:defRPr sz="1000">
                        <a:solidFill>
                          <a:schemeClr val="bg1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4 219,5 км</a:t>
                    </a:r>
                  </a:p>
                  <a:p>
                    <a:pPr>
                      <a:defRPr sz="1000">
                        <a:solidFill>
                          <a:schemeClr val="bg1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16%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0280700893696705E-2"/>
                  <c:y val="6.094050743657042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районы</a:t>
                    </a:r>
                  </a:p>
                  <a:p>
                    <a:r>
                      <a:rPr lang="ru-RU"/>
                      <a:t>1 819,4 км</a:t>
                    </a:r>
                  </a:p>
                  <a:p>
                    <a:r>
                      <a:rPr lang="ru-RU"/>
                      <a:t>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2315712872339556"/>
                  <c:y val="-1.579802524684418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поселения</a:t>
                    </a:r>
                  </a:p>
                  <a:p>
                    <a:r>
                      <a:rPr lang="ru-RU"/>
                      <a:t>10 593 км</a:t>
                    </a:r>
                  </a:p>
                  <a:p>
                    <a:r>
                      <a:rPr lang="ru-RU"/>
                      <a:t>39%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Местные</a:t>
                    </a:r>
                    <a:r>
                      <a:rPr lang="ru-RU" baseline="0"/>
                      <a:t> дороги</a:t>
                    </a:r>
                  </a:p>
                  <a:p>
                    <a:r>
                      <a:rPr lang="ru-RU"/>
                      <a:t>16 631,9 км</a:t>
                    </a:r>
                  </a:p>
                  <a:p>
                    <a:r>
                      <a:rPr lang="ru-RU"/>
                      <a:t>62%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Областные дороги</c:v>
                </c:pt>
                <c:pt idx="1">
                  <c:v>города</c:v>
                </c:pt>
                <c:pt idx="2">
                  <c:v>районы</c:v>
                </c:pt>
                <c:pt idx="3">
                  <c:v>сельские поселения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10064.5</c:v>
                </c:pt>
                <c:pt idx="1">
                  <c:v>4219.5</c:v>
                </c:pt>
                <c:pt idx="2">
                  <c:v>1819.4</c:v>
                </c:pt>
                <c:pt idx="3">
                  <c:v>10593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gapWidth val="100"/>
        <c:splitType val="pos"/>
        <c:splitPos val="3"/>
        <c:secondPieSize val="70"/>
        <c:serLines>
          <c:spPr>
            <a:ln w="12700" cmpd="dbl">
              <a:solidFill>
                <a:schemeClr val="tx2">
                  <a:lumMod val="75000"/>
                </a:schemeClr>
              </a:solidFill>
              <a:prstDash val="sysDash"/>
            </a:ln>
          </c:spPr>
        </c:serLines>
      </c:ofPieChart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Использование дорожного фонда</a:t>
            </a:r>
            <a:r>
              <a:rPr lang="en-US" sz="110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Волгоградской области в 2016-2017 годах</a:t>
            </a:r>
          </a:p>
        </c:rich>
      </c:tx>
      <c:layout>
        <c:manualLayout>
          <c:xMode val="edge"/>
          <c:yMode val="edge"/>
          <c:x val="0.13843627504644646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2103288655633133"/>
          <c:y val="0.10234341876375108"/>
          <c:w val="0.6413296776375732"/>
          <c:h val="0.8087926621383787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год</c:v>
                </c:pt>
              </c:strCache>
            </c:strRef>
          </c:tx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488,8 (в 188 раз)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2 454,4 (+19,9%)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3 187,4 (-8,2%)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2 043,3 (-10,6%)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329,4 (-24,4%)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491,4 (-19,2%)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Безопасность
дорожного движения*</c:v>
                </c:pt>
                <c:pt idx="1">
                  <c:v>Предоставление межбюджетных
трансфертов местным бюджетам</c:v>
                </c:pt>
                <c:pt idx="2">
                  <c:v>Строительство
и реконструкция дорог</c:v>
                </c:pt>
                <c:pt idx="3">
                  <c:v>Содержание областных дорог</c:v>
                </c:pt>
                <c:pt idx="4">
                  <c:v>Капитальный ремонт,
ремонт областных дорог</c:v>
                </c:pt>
                <c:pt idx="5">
                  <c:v>Строительство дорог
сельских территорий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488.8</c:v>
                </c:pt>
                <c:pt idx="1">
                  <c:v>2454.4</c:v>
                </c:pt>
                <c:pt idx="2">
                  <c:v>3187.4</c:v>
                </c:pt>
                <c:pt idx="3">
                  <c:v>2043.3</c:v>
                </c:pt>
                <c:pt idx="4">
                  <c:v>329.4</c:v>
                </c:pt>
                <c:pt idx="5">
                  <c:v>491.4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 год</c:v>
                </c:pt>
              </c:strCache>
            </c:strRef>
          </c:tx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Безопасность
дорожного движения*</c:v>
                </c:pt>
                <c:pt idx="1">
                  <c:v>Предоставление межбюджетных
трансфертов местным бюджетам</c:v>
                </c:pt>
                <c:pt idx="2">
                  <c:v>Строительство
и реконструкция дорог</c:v>
                </c:pt>
                <c:pt idx="3">
                  <c:v>Содержание областных дорог</c:v>
                </c:pt>
                <c:pt idx="4">
                  <c:v>Капитальный ремонт,
ремонт областных дорог</c:v>
                </c:pt>
                <c:pt idx="5">
                  <c:v>Строительство дорог
сельских территорий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2.6</c:v>
                </c:pt>
                <c:pt idx="1">
                  <c:v>2047.4</c:v>
                </c:pt>
                <c:pt idx="2">
                  <c:v>3473.6</c:v>
                </c:pt>
                <c:pt idx="3">
                  <c:v>2285.1</c:v>
                </c:pt>
                <c:pt idx="4">
                  <c:v>435.7</c:v>
                </c:pt>
                <c:pt idx="5">
                  <c:v>607.9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893394920"/>
        <c:axId val="893404720"/>
      </c:barChart>
      <c:valAx>
        <c:axId val="893404720"/>
        <c:scaling>
          <c:orientation val="minMax"/>
        </c:scaling>
        <c:delete val="0"/>
        <c:axPos val="b"/>
        <c:majorGridlines>
          <c:spPr>
            <a:ln w="12700">
              <a:solidFill>
                <a:schemeClr val="bg1">
                  <a:lumMod val="85000"/>
                </a:schemeClr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млн. руб.</a:t>
                </a:r>
              </a:p>
            </c:rich>
          </c:tx>
          <c:layout>
            <c:manualLayout>
              <c:xMode val="edge"/>
              <c:yMode val="edge"/>
              <c:x val="0.20918052394311765"/>
              <c:y val="0.91801262176408049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spPr>
          <a:ln w="12700">
            <a:solidFill>
              <a:schemeClr val="bg1">
                <a:lumMod val="85000"/>
              </a:schemeClr>
            </a:solidFill>
            <a:prstDash val="sysDash"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3394920"/>
        <c:crosses val="autoZero"/>
        <c:crossBetween val="between"/>
      </c:valAx>
      <c:catAx>
        <c:axId val="89339492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3404720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85252649862012764"/>
          <c:y val="0.15812728893789893"/>
          <c:w val="0.11012135363137711"/>
          <c:h val="0.15036195534401026"/>
        </c:manualLayout>
      </c:layout>
      <c:overlay val="0"/>
      <c:txPr>
        <a:bodyPr/>
        <a:lstStyle/>
        <a:p>
          <a:pPr>
            <a:defRPr b="1" i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Изменение доли протяженности автодорог агломерации,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находящихся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в нормативном состоянии, за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2017 год (без федеральных дорог)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500319437659028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8615013079787607"/>
          <c:y val="0.13779742016306828"/>
          <c:w val="0.77621243339602264"/>
          <c:h val="0.65811315619127764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01.01.2017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г. Волжский</c:v>
                </c:pt>
                <c:pt idx="1">
                  <c:v>г. Волгоград</c:v>
                </c:pt>
                <c:pt idx="2">
                  <c:v>Местные дороги</c:v>
                </c:pt>
                <c:pt idx="3">
                  <c:v>Областные дороги</c:v>
                </c:pt>
                <c:pt idx="4">
                  <c:v>Дороги городской агломерации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0.72600000000000064</c:v>
                </c:pt>
                <c:pt idx="1">
                  <c:v>0.35663839273874381</c:v>
                </c:pt>
                <c:pt idx="2">
                  <c:v>0.39052217189953459</c:v>
                </c:pt>
                <c:pt idx="3">
                  <c:v>0.33003153904765642</c:v>
                </c:pt>
                <c:pt idx="4">
                  <c:v>0.36500000000000032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прирост за 2017 год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+15,9%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+11,3%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+11,8%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6.64762526237182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+2,8%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+7,9%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г. Волжский</c:v>
                </c:pt>
                <c:pt idx="1">
                  <c:v>г. Волгоград</c:v>
                </c:pt>
                <c:pt idx="2">
                  <c:v>Местные дороги</c:v>
                </c:pt>
                <c:pt idx="3">
                  <c:v>Областные дороги</c:v>
                </c:pt>
                <c:pt idx="4">
                  <c:v>Дороги городской агломерации</c:v>
                </c:pt>
              </c:strCache>
            </c:strRef>
          </c:cat>
          <c:val>
            <c:numRef>
              <c:f>Лист1!$C$2:$C$6</c:f>
              <c:numCache>
                <c:formatCode>0.0%</c:formatCode>
                <c:ptCount val="5"/>
                <c:pt idx="0">
                  <c:v>0.15900000000000025</c:v>
                </c:pt>
                <c:pt idx="1">
                  <c:v>0.11349145307812444</c:v>
                </c:pt>
                <c:pt idx="2">
                  <c:v>0.11768565387689406</c:v>
                </c:pt>
                <c:pt idx="3">
                  <c:v>2.7584610487938983E-2</c:v>
                </c:pt>
                <c:pt idx="4">
                  <c:v>7.9000000000000112E-2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доля автодорог не в нормативном состоянии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г. Волжский</c:v>
                </c:pt>
                <c:pt idx="1">
                  <c:v>г. Волгоград</c:v>
                </c:pt>
                <c:pt idx="2">
                  <c:v>Местные дороги</c:v>
                </c:pt>
                <c:pt idx="3">
                  <c:v>Областные дороги</c:v>
                </c:pt>
                <c:pt idx="4">
                  <c:v>Дороги городской агломерации</c:v>
                </c:pt>
              </c:strCache>
            </c:strRef>
          </c:cat>
          <c:val>
            <c:numRef>
              <c:f>Лист1!$D$2:$D$6</c:f>
              <c:numCache>
                <c:formatCode>0.0%</c:formatCode>
                <c:ptCount val="5"/>
                <c:pt idx="0">
                  <c:v>0.115</c:v>
                </c:pt>
                <c:pt idx="1">
                  <c:v>0.52987015418313299</c:v>
                </c:pt>
                <c:pt idx="2">
                  <c:v>0.49179217422357258</c:v>
                </c:pt>
                <c:pt idx="3">
                  <c:v>0.6423838504644066</c:v>
                </c:pt>
                <c:pt idx="4">
                  <c:v>0.55600000000000005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100"/>
        <c:axId val="893405112"/>
        <c:axId val="893398840"/>
      </c:barChart>
      <c:valAx>
        <c:axId val="893398840"/>
        <c:scaling>
          <c:orientation val="minMax"/>
        </c:scaling>
        <c:delete val="0"/>
        <c:axPos val="b"/>
        <c:majorGridlines>
          <c:spPr>
            <a:ln w="12700">
              <a:solidFill>
                <a:schemeClr val="bg1">
                  <a:lumMod val="85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spPr>
          <a:ln w="12700">
            <a:solidFill>
              <a:schemeClr val="bg1">
                <a:lumMod val="85000"/>
              </a:schemeClr>
            </a:solidFill>
            <a:prstDash val="sysDash"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3405112"/>
        <c:crosses val="autoZero"/>
        <c:crossBetween val="between"/>
      </c:valAx>
      <c:catAx>
        <c:axId val="89340511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3398840"/>
        <c:crosses val="autoZero"/>
        <c:auto val="1"/>
        <c:lblAlgn val="ctr"/>
        <c:lblOffset val="100"/>
        <c:noMultiLvlLbl val="0"/>
      </c:catAx>
    </c:plotArea>
    <c:legend>
      <c:legendPos val="b"/>
      <c:layout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17940064956917626"/>
          <c:y val="0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title>
    <c:autoTitleDeleted val="0"/>
    <c:view3D>
      <c:rotX val="50"/>
      <c:rotY val="29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0977051269922917"/>
          <c:y val="0"/>
          <c:w val="0.65617909340904124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Наименование и стоимость работ</c:v>
                </c:pt>
              </c:strCache>
            </c:strRef>
          </c:tx>
          <c:explosion val="24"/>
          <c:dPt>
            <c:idx val="0"/>
            <c:bubble3D val="0"/>
            <c:explosion val="40"/>
          </c:dPt>
          <c:dPt>
            <c:idx val="1"/>
            <c:bubble3D val="0"/>
            <c:spPr>
              <a:ln w="34925"/>
            </c:spPr>
          </c:dPt>
          <c:dLbls>
            <c:dLbl>
              <c:idx val="0"/>
              <c:layout>
                <c:manualLayout>
                  <c:x val="-0.14667168108311388"/>
                  <c:y val="1.289490651192772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bg1"/>
                        </a:solidFill>
                      </a:rPr>
                      <a:t>ремонт</a:t>
                    </a:r>
                  </a:p>
                  <a:p>
                    <a:r>
                      <a:rPr lang="ru-RU">
                        <a:solidFill>
                          <a:schemeClr val="bg1"/>
                        </a:solidFill>
                      </a:rPr>
                      <a:t>2 103,4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1320305436341629"/>
                  <c:y val="0.27915120233807716"/>
                </c:manualLayout>
              </c:layout>
              <c:tx>
                <c:rich>
                  <a:bodyPr rot="0"/>
                  <a:lstStyle/>
                  <a:p>
                    <a:pPr>
                      <a:defRPr/>
                    </a:pPr>
                    <a:r>
                      <a:rPr lang="ru-RU"/>
                      <a:t>освещение</a:t>
                    </a:r>
                  </a:p>
                  <a:p>
                    <a:pPr>
                      <a:defRPr/>
                    </a:pPr>
                    <a:r>
                      <a:rPr lang="ru-RU"/>
                      <a:t>91,6 млн.</a:t>
                    </a:r>
                    <a:r>
                      <a:rPr lang="ru-RU" baseline="0"/>
                      <a:t>руб.</a:t>
                    </a:r>
                    <a:endParaRPr lang="ru-RU"/>
                  </a:p>
                </c:rich>
              </c:tx>
              <c:spPr>
                <a:ln w="63500"/>
              </c:spPr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504521766483718"/>
                  <c:y val="0.350130854083552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остановки</a:t>
                    </a:r>
                  </a:p>
                  <a:p>
                    <a:r>
                      <a:rPr lang="ru-RU" b="0"/>
                      <a:t>65</a:t>
                    </a:r>
                    <a:r>
                      <a:rPr lang="ru-RU"/>
                      <a:t>,8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79221694403741"/>
                  <c:y val="0.2448911138842742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светофоры</a:t>
                    </a:r>
                  </a:p>
                  <a:p>
                    <a:r>
                      <a:rPr lang="ru-RU"/>
                      <a:t>39,7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21105316139969299"/>
                  <c:y val="6.4474126615672103E-2"/>
                </c:manualLayout>
              </c:layout>
              <c:tx>
                <c:rich>
                  <a:bodyPr rot="0"/>
                  <a:lstStyle/>
                  <a:p>
                    <a:pPr>
                      <a:defRPr kern="2500" baseline="0"/>
                    </a:pPr>
                    <a:r>
                      <a:rPr lang="ru-RU" kern="2500" baseline="0"/>
                      <a:t>консоль</a:t>
                    </a:r>
                  </a:p>
                  <a:p>
                    <a:pPr>
                      <a:defRPr kern="2500" baseline="0"/>
                    </a:pPr>
                    <a:r>
                      <a:rPr lang="ru-RU" kern="2500" baseline="0"/>
                      <a:t>34,2 млн.руб.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16776973537188083"/>
                  <c:y val="-0.10303364865476504"/>
                </c:manualLayout>
              </c:layout>
              <c:tx>
                <c:rich>
                  <a:bodyPr rot="0"/>
                  <a:lstStyle/>
                  <a:p>
                    <a:pPr>
                      <a:defRPr kern="5000" baseline="0"/>
                    </a:pPr>
                    <a:r>
                      <a:rPr lang="ru-RU" kern="5000" baseline="0"/>
                      <a:t>ограждения</a:t>
                    </a:r>
                  </a:p>
                  <a:p>
                    <a:pPr>
                      <a:defRPr kern="5000" baseline="0"/>
                    </a:pPr>
                    <a:r>
                      <a:rPr lang="ru-RU" kern="5000" baseline="0"/>
                      <a:t>33,3 млн.руб.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9349634167022279E-2"/>
                  <c:y val="-0.207505560692370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знаки</a:t>
                    </a:r>
                  </a:p>
                  <a:p>
                    <a:r>
                      <a:rPr lang="ru-RU"/>
                      <a:t>30,5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.17076393939189982"/>
                  <c:y val="-0.1938135680893848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прочее</a:t>
                    </a:r>
                  </a:p>
                  <a:p>
                    <a:r>
                      <a:rPr lang="ru-RU"/>
                      <a:t>11,9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eparator>; 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ремонт</c:v>
                </c:pt>
                <c:pt idx="1">
                  <c:v>освещение</c:v>
                </c:pt>
                <c:pt idx="2">
                  <c:v>остановки</c:v>
                </c:pt>
                <c:pt idx="3">
                  <c:v>светофоры</c:v>
                </c:pt>
                <c:pt idx="4">
                  <c:v>консоль</c:v>
                </c:pt>
                <c:pt idx="5">
                  <c:v>ограждения</c:v>
                </c:pt>
                <c:pt idx="6">
                  <c:v>дорожные знаки</c:v>
                </c:pt>
                <c:pt idx="7">
                  <c:v>прочее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2103.4</c:v>
                </c:pt>
                <c:pt idx="1">
                  <c:v>91.6</c:v>
                </c:pt>
                <c:pt idx="2">
                  <c:v>65.8</c:v>
                </c:pt>
                <c:pt idx="3">
                  <c:v>39.700000000000003</c:v>
                </c:pt>
                <c:pt idx="4">
                  <c:v>34.200000000000003</c:v>
                </c:pt>
                <c:pt idx="5">
                  <c:v>33.300000000000004</c:v>
                </c:pt>
                <c:pt idx="6">
                  <c:v>30.5</c:v>
                </c:pt>
                <c:pt idx="7">
                  <c:v>11.9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17940064956917637"/>
          <c:y val="0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8680421188285778"/>
          <c:y val="9.9659420740599636E-2"/>
          <c:w val="0.77163259005632301"/>
          <c:h val="0.8571077744324826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Способы использования средств</c:v>
                </c:pt>
              </c:strCache>
            </c:strRef>
          </c:tx>
          <c:explosion val="10"/>
          <c:dPt>
            <c:idx val="1"/>
            <c:bubble3D val="0"/>
            <c:spPr>
              <a:ln w="34925"/>
            </c:spPr>
          </c:dPt>
          <c:dLbls>
            <c:dLbl>
              <c:idx val="0"/>
              <c:layout>
                <c:manualLayout>
                  <c:x val="-0.20319822081876229"/>
                  <c:y val="-0.1128532318273578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гос. контракт273,0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181331178689385E-3"/>
                  <c:y val="-2.7105375190546052E-2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chemeClr val="bg1"/>
                        </a:solidFill>
                      </a:defRPr>
                    </a:pPr>
                    <a:r>
                      <a:rPr lang="ru-RU">
                        <a:solidFill>
                          <a:schemeClr val="bg1"/>
                        </a:solidFill>
                      </a:rPr>
                      <a:t>муниц. контракт 1 716,7 млн.руб.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8934382146515549"/>
                  <c:y val="0.14278559259256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гос. задание 94,3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8472532471475756"/>
                  <c:y val="-2.05187694231559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муниц. задание 326,4 млн.руб.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государственный контракт</c:v>
                </c:pt>
                <c:pt idx="1">
                  <c:v>муниципальный контракт</c:v>
                </c:pt>
                <c:pt idx="2">
                  <c:v>государственное задание</c:v>
                </c:pt>
                <c:pt idx="3">
                  <c:v>муниципальное задание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273</c:v>
                </c:pt>
                <c:pt idx="1">
                  <c:v>1716.7</c:v>
                </c:pt>
                <c:pt idx="2">
                  <c:v>94.3</c:v>
                </c:pt>
                <c:pt idx="3">
                  <c:v>326.39999999999969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290"/>
        <c:holeSize val="50"/>
      </c:doughnut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Использование муниципальных дорожных фондов в 2016-2017 гг.</a:t>
            </a:r>
          </a:p>
        </c:rich>
      </c:tx>
      <c:layout>
        <c:manualLayout>
          <c:xMode val="edge"/>
          <c:yMode val="edge"/>
          <c:x val="0.1571123489206936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2103288655633133"/>
          <c:y val="0.10234341876375108"/>
          <c:w val="0.64132967763757254"/>
          <c:h val="0.808792662138378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год</c:v>
                </c:pt>
              </c:strCache>
            </c:strRef>
          </c:tx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Обеспечение транспортной безопасности</c:v>
                </c:pt>
                <c:pt idx="1">
                  <c:v>Содержание подведомственных учреждений</c:v>
                </c:pt>
                <c:pt idx="2">
                  <c:v>Иные работы</c:v>
                </c:pt>
                <c:pt idx="3">
                  <c:v>Строительство и реконструкция</c:v>
                </c:pt>
                <c:pt idx="4">
                  <c:v>Содержание</c:v>
                </c:pt>
                <c:pt idx="5">
                  <c:v>Ремонт</c:v>
                </c:pt>
                <c:pt idx="6">
                  <c:v>Капитальный ремонт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244.4</c:v>
                </c:pt>
                <c:pt idx="1">
                  <c:v>49.5</c:v>
                </c:pt>
                <c:pt idx="2">
                  <c:v>72.7</c:v>
                </c:pt>
                <c:pt idx="3">
                  <c:v>321.60000000000002</c:v>
                </c:pt>
                <c:pt idx="4">
                  <c:v>835.2</c:v>
                </c:pt>
                <c:pt idx="5">
                  <c:v>2938.4</c:v>
                </c:pt>
                <c:pt idx="6">
                  <c:v>17.5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 год</c:v>
                </c:pt>
              </c:strCache>
            </c:strRef>
          </c:tx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Обеспечение транспортной безопасности</c:v>
                </c:pt>
                <c:pt idx="1">
                  <c:v>Содержание подведомственных учреждений</c:v>
                </c:pt>
                <c:pt idx="2">
                  <c:v>Иные работы</c:v>
                </c:pt>
                <c:pt idx="3">
                  <c:v>Строительство и реконструкция</c:v>
                </c:pt>
                <c:pt idx="4">
                  <c:v>Содержание</c:v>
                </c:pt>
                <c:pt idx="5">
                  <c:v>Ремонт</c:v>
                </c:pt>
                <c:pt idx="6">
                  <c:v>Капитальный ремонт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41.3</c:v>
                </c:pt>
                <c:pt idx="1">
                  <c:v>40.5</c:v>
                </c:pt>
                <c:pt idx="2">
                  <c:v>20.3</c:v>
                </c:pt>
                <c:pt idx="3">
                  <c:v>256.39999999999969</c:v>
                </c:pt>
                <c:pt idx="4">
                  <c:v>744.1</c:v>
                </c:pt>
                <c:pt idx="5">
                  <c:v>2536.6</c:v>
                </c:pt>
                <c:pt idx="6">
                  <c:v>5.5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63969080"/>
        <c:axId val="63980840"/>
      </c:barChart>
      <c:valAx>
        <c:axId val="63980840"/>
        <c:scaling>
          <c:orientation val="minMax"/>
        </c:scaling>
        <c:delete val="0"/>
        <c:axPos val="b"/>
        <c:majorGridlines>
          <c:spPr>
            <a:ln w="12700">
              <a:solidFill>
                <a:schemeClr val="bg1">
                  <a:lumMod val="85000"/>
                </a:schemeClr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млн. руб.</a:t>
                </a:r>
              </a:p>
            </c:rich>
          </c:tx>
          <c:layout>
            <c:manualLayout>
              <c:xMode val="edge"/>
              <c:yMode val="edge"/>
              <c:x val="0.20918052394311773"/>
              <c:y val="0.91801262176408049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spPr>
          <a:ln w="12700">
            <a:solidFill>
              <a:schemeClr val="bg1">
                <a:lumMod val="85000"/>
              </a:schemeClr>
            </a:solidFill>
            <a:prstDash val="sysDash"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3969080"/>
        <c:crosses val="autoZero"/>
        <c:crossBetween val="between"/>
      </c:valAx>
      <c:catAx>
        <c:axId val="6396908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3980840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84837625998140553"/>
          <c:y val="0.54368955415546372"/>
          <c:w val="0.11012135363137711"/>
          <c:h val="0.15036195534401026"/>
        </c:manualLayout>
      </c:layout>
      <c:overlay val="0"/>
      <c:txPr>
        <a:bodyPr/>
        <a:lstStyle/>
        <a:p>
          <a:pPr>
            <a:defRPr b="1" i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53815-2EDB-4650-BA8D-2E2953AD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19</Pages>
  <Words>8168</Words>
  <Characters>46560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формировании и использовании средств дорожного фонда</vt:lpstr>
    </vt:vector>
  </TitlesOfParts>
  <Company>Контрольно-счетная палата Волгоградской области</Company>
  <LinksUpToDate>false</LinksUpToDate>
  <CharactersWithSpaces>54619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формировании и использовании средств дорожного фонда</dc:title>
  <dc:creator>Шишлянникова</dc:creator>
  <cp:lastModifiedBy>Миргородов</cp:lastModifiedBy>
  <cp:revision>13</cp:revision>
  <cp:lastPrinted>2018-03-22T10:14:00Z</cp:lastPrinted>
  <dcterms:created xsi:type="dcterms:W3CDTF">2018-03-21T13:16:00Z</dcterms:created>
  <dcterms:modified xsi:type="dcterms:W3CDTF">2018-03-22T10:14:00Z</dcterms:modified>
</cp:coreProperties>
</file>