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217738946"/>
        <w:lock w:val="contentLocked"/>
        <w:placeholder>
          <w:docPart w:val="8B3B90953E6148A49B7C27ED0A7C88EE"/>
        </w:placeholder>
        <w:group/>
      </w:sdtPr>
      <w:sdtEndPr/>
      <w:sdtContent>
        <w:p w14:paraId="111F9A9B" w14:textId="77777777" w:rsidR="00D26E59" w:rsidRDefault="00D26E59" w:rsidP="00F84878">
          <w:pPr>
            <w:keepNext/>
            <w:ind w:right="4959"/>
            <w:jc w:val="center"/>
          </w:pPr>
          <w:r w:rsidRPr="003B26FC"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9A1FA81" wp14:editId="7613F7B5">
                <wp:simplePos x="0" y="0"/>
                <wp:positionH relativeFrom="column">
                  <wp:posOffset>2725420</wp:posOffset>
                </wp:positionH>
                <wp:positionV relativeFrom="paragraph">
                  <wp:posOffset>-415278</wp:posOffset>
                </wp:positionV>
                <wp:extent cx="568800" cy="723600"/>
                <wp:effectExtent l="0" t="0" r="3175" b="635"/>
                <wp:wrapNone/>
                <wp:docPr id="4" name="Рисунок 1" descr="Изображение Герба Волгоградской области для бланко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Изображение Герба Волгоградской области для бланко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8800" cy="723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p w14:paraId="047AEFE6" w14:textId="77777777" w:rsidR="00D26E59" w:rsidRDefault="00D26E59" w:rsidP="00F84878">
      <w:pPr>
        <w:keepNext/>
        <w:ind w:right="4959"/>
        <w:jc w:val="center"/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2DA94" wp14:editId="29585B79">
                <wp:simplePos x="0" y="0"/>
                <wp:positionH relativeFrom="column">
                  <wp:posOffset>1960885</wp:posOffset>
                </wp:positionH>
                <wp:positionV relativeFrom="paragraph">
                  <wp:posOffset>-3620971</wp:posOffset>
                </wp:positionV>
                <wp:extent cx="460800" cy="360000"/>
                <wp:effectExtent l="0" t="0" r="15875" b="2159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00" cy="360000"/>
                        </a:xfrm>
                        <a:prstGeom prst="rect">
                          <a:avLst/>
                        </a:pr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D916F5" id="Прямоугольник 3" o:spid="_x0000_s1026" style="position:absolute;margin-left:154.4pt;margin-top:-285.1pt;width:36.3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" filled="f" strokecolor="#1f3763 [1604]" strokeweight=".5pt"/>
            </w:pict>
          </mc:Fallback>
        </mc:AlternateContent>
      </w: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1"/>
        <w:gridCol w:w="2347"/>
        <w:gridCol w:w="2464"/>
        <w:gridCol w:w="2356"/>
      </w:tblGrid>
      <w:sdt>
        <w:sdtPr>
          <w:rPr>
            <w:b/>
            <w:bCs/>
            <w:sz w:val="29"/>
            <w:szCs w:val="29"/>
          </w:rPr>
          <w:id w:val="1447891903"/>
          <w:lock w:val="contentLocked"/>
          <w:placeholder>
            <w:docPart w:val="8B3B90953E6148A49B7C27ED0A7C88EE"/>
          </w:placeholder>
          <w:group/>
        </w:sdtPr>
        <w:sdtEndPr/>
        <w:sdtContent>
          <w:tr w:rsidR="00D26E59" w14:paraId="129F9530" w14:textId="77777777" w:rsidTr="00F84878">
            <w:tc>
              <w:tcPr>
                <w:tcW w:w="9498" w:type="dxa"/>
                <w:gridSpan w:val="4"/>
              </w:tcPr>
              <w:p w14:paraId="7B51F7E2" w14:textId="77777777" w:rsidR="00D26E59" w:rsidRPr="007E64C9" w:rsidRDefault="00D26E59" w:rsidP="00F84878">
                <w:pPr>
                  <w:keepNext/>
                  <w:ind w:left="-105" w:right="-107"/>
                  <w:jc w:val="center"/>
                  <w:rPr>
                    <w:bCs/>
                    <w:sz w:val="29"/>
                    <w:szCs w:val="29"/>
                  </w:rPr>
                </w:pPr>
                <w:r w:rsidRPr="007E64C9">
                  <w:rPr>
                    <w:b/>
                    <w:bCs/>
                    <w:sz w:val="29"/>
                    <w:szCs w:val="29"/>
                  </w:rPr>
                  <w:t>КОНТРОЛЬНО-СЧЕТНАЯ ПАЛАТА ВОЛГОГРАДСКОЙ ОБЛАСТИ</w:t>
                </w:r>
              </w:p>
            </w:tc>
          </w:tr>
        </w:sdtContent>
      </w:sdt>
      <w:tr w:rsidR="00D26E59" w14:paraId="42C0AA3B" w14:textId="77777777" w:rsidTr="00F84878">
        <w:tc>
          <w:tcPr>
            <w:tcW w:w="9498" w:type="dxa"/>
            <w:gridSpan w:val="4"/>
            <w:tcBorders>
              <w:bottom w:val="thinThickSmallGap" w:sz="18" w:space="0" w:color="auto"/>
            </w:tcBorders>
          </w:tcPr>
          <w:p w14:paraId="0F2AFE20" w14:textId="77777777" w:rsidR="00D26E59" w:rsidRPr="00765C26" w:rsidRDefault="00D26E59" w:rsidP="00F84878">
            <w:pPr>
              <w:keepNext/>
              <w:ind w:left="-111" w:right="-112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</w:p>
          <w:sdt>
            <w:sdtPr>
              <w:rPr>
                <w:sz w:val="22"/>
                <w:szCs w:val="22"/>
              </w:rPr>
              <w:id w:val="-254594688"/>
              <w:lock w:val="contentLocked"/>
              <w:placeholder>
                <w:docPart w:val="8B3B90953E6148A49B7C27ED0A7C88EE"/>
              </w:placeholder>
              <w:group/>
            </w:sdtPr>
            <w:sdtEndPr/>
            <w:sdtContent>
              <w:p w14:paraId="7F63C120" w14:textId="77777777" w:rsidR="00D26E59" w:rsidRPr="00527DBA" w:rsidRDefault="00D26E59" w:rsidP="00F84878">
                <w:pPr>
                  <w:keepNext/>
                  <w:ind w:left="-111" w:right="-112"/>
                  <w:jc w:val="center"/>
                  <w:rPr>
                    <w:sz w:val="22"/>
                    <w:szCs w:val="22"/>
                  </w:rPr>
                </w:pPr>
                <w:r w:rsidRPr="00527DBA">
                  <w:rPr>
                    <w:sz w:val="22"/>
                    <w:szCs w:val="22"/>
                  </w:rPr>
                  <w:t>Рабоче-Крестьянская ул., д. 30,</w:t>
                </w:r>
                <w:r>
                  <w:rPr>
                    <w:sz w:val="22"/>
                    <w:szCs w:val="22"/>
                  </w:rPr>
                  <w:t xml:space="preserve"> </w:t>
                </w:r>
                <w:r w:rsidRPr="00527DBA">
                  <w:rPr>
                    <w:sz w:val="22"/>
                    <w:szCs w:val="22"/>
                  </w:rPr>
                  <w:t>г. Волгоград, 400074</w:t>
                </w:r>
                <w:r>
                  <w:rPr>
                    <w:sz w:val="22"/>
                    <w:szCs w:val="22"/>
                  </w:rPr>
                  <w:t xml:space="preserve"> </w:t>
                </w:r>
                <w:r w:rsidRPr="00527DBA">
                  <w:rPr>
                    <w:sz w:val="22"/>
                    <w:szCs w:val="22"/>
                  </w:rPr>
                  <w:t xml:space="preserve">Тел. (8442) 30-87-01; факс </w:t>
                </w:r>
                <w:r>
                  <w:rPr>
                    <w:sz w:val="22"/>
                    <w:szCs w:val="22"/>
                  </w:rPr>
                  <w:t>(8442)</w:t>
                </w:r>
                <w:r w:rsidRPr="00527DBA">
                  <w:rPr>
                    <w:sz w:val="22"/>
                    <w:szCs w:val="22"/>
                  </w:rPr>
                  <w:t>30-87-37</w:t>
                </w:r>
              </w:p>
            </w:sdtContent>
          </w:sdt>
          <w:p w14:paraId="30F4EEF9" w14:textId="77777777" w:rsidR="00D26E59" w:rsidRPr="00C822BB" w:rsidRDefault="00B35B93" w:rsidP="00F84878">
            <w:pPr>
              <w:keepNext/>
              <w:ind w:left="-111" w:right="-112"/>
              <w:jc w:val="center"/>
              <w:rPr>
                <w:color w:val="000000" w:themeColor="text1"/>
                <w:sz w:val="22"/>
                <w:szCs w:val="22"/>
              </w:rPr>
            </w:pPr>
            <w:sdt>
              <w:sdtPr>
                <w:rPr>
                  <w:color w:val="000000" w:themeColor="text1"/>
                  <w:sz w:val="22"/>
                  <w:szCs w:val="22"/>
                  <w:lang w:val="en-US"/>
                </w:rPr>
                <w:id w:val="639771378"/>
                <w:lock w:val="contentLocked"/>
                <w:placeholder>
                  <w:docPart w:val="8B3B90953E6148A49B7C27ED0A7C88EE"/>
                </w:placeholder>
                <w:group/>
              </w:sdtPr>
              <w:sdtEndPr>
                <w:rPr>
                  <w:rStyle w:val="af1"/>
                  <w:rFonts w:eastAsia="Calibri"/>
                  <w:u w:val="single"/>
                </w:rPr>
              </w:sdtEndPr>
              <w:sdtContent>
                <w:r w:rsidR="00D26E59" w:rsidRPr="00765C26">
                  <w:rPr>
                    <w:color w:val="000000" w:themeColor="text1"/>
                    <w:sz w:val="22"/>
                    <w:szCs w:val="22"/>
                    <w:lang w:val="en-US"/>
                  </w:rPr>
                  <w:t>www</w:t>
                </w:r>
                <w:r w:rsidR="00D26E59" w:rsidRPr="000D0FA6">
                  <w:rPr>
                    <w:color w:val="000000" w:themeColor="text1"/>
                    <w:sz w:val="22"/>
                    <w:szCs w:val="22"/>
                    <w:lang w:val="en-US"/>
                  </w:rPr>
                  <w:t>.</w:t>
                </w:r>
                <w:r w:rsidR="00D26E59" w:rsidRPr="00765C26">
                  <w:rPr>
                    <w:color w:val="000000" w:themeColor="text1"/>
                    <w:sz w:val="22"/>
                    <w:szCs w:val="22"/>
                    <w:lang w:val="en-US"/>
                  </w:rPr>
                  <w:t>ksp</w:t>
                </w:r>
                <w:r w:rsidR="00D26E59" w:rsidRPr="000D0FA6">
                  <w:rPr>
                    <w:color w:val="000000" w:themeColor="text1"/>
                    <w:sz w:val="22"/>
                    <w:szCs w:val="22"/>
                    <w:lang w:val="en-US"/>
                  </w:rPr>
                  <w:t>34.</w:t>
                </w:r>
                <w:r w:rsidR="00D26E59" w:rsidRPr="00765C26">
                  <w:rPr>
                    <w:color w:val="000000" w:themeColor="text1"/>
                    <w:sz w:val="22"/>
                    <w:szCs w:val="22"/>
                    <w:lang w:val="en-US"/>
                  </w:rPr>
                  <w:t>ru</w:t>
                </w:r>
                <w:r w:rsidR="00D26E59" w:rsidRPr="000D0FA6">
                  <w:rPr>
                    <w:color w:val="000000" w:themeColor="text1"/>
                    <w:sz w:val="22"/>
                    <w:szCs w:val="22"/>
                    <w:lang w:val="en-US"/>
                  </w:rPr>
                  <w:t xml:space="preserve">; </w:t>
                </w:r>
                <w:r w:rsidR="00D26E59" w:rsidRPr="00765C26">
                  <w:rPr>
                    <w:color w:val="000000" w:themeColor="text1"/>
                    <w:sz w:val="22"/>
                    <w:szCs w:val="22"/>
                  </w:rPr>
                  <w:t>е</w:t>
                </w:r>
                <w:r w:rsidR="00D26E59" w:rsidRPr="000D0FA6">
                  <w:rPr>
                    <w:color w:val="000000" w:themeColor="text1"/>
                    <w:sz w:val="22"/>
                    <w:szCs w:val="22"/>
                    <w:lang w:val="en-US"/>
                  </w:rPr>
                  <w:t>-</w:t>
                </w:r>
                <w:r w:rsidR="00D26E59" w:rsidRPr="00765C26">
                  <w:rPr>
                    <w:color w:val="000000" w:themeColor="text1"/>
                    <w:sz w:val="22"/>
                    <w:szCs w:val="22"/>
                    <w:lang w:val="en-US"/>
                  </w:rPr>
                  <w:t>mail</w:t>
                </w:r>
                <w:r w:rsidR="00D26E59" w:rsidRPr="000D0FA6">
                  <w:rPr>
                    <w:color w:val="000000" w:themeColor="text1"/>
                    <w:sz w:val="22"/>
                    <w:szCs w:val="22"/>
                    <w:lang w:val="en-US"/>
                  </w:rPr>
                  <w:t xml:space="preserve">: </w:t>
                </w:r>
                <w:hyperlink r:id="rId8" w:history="1">
                  <w:r w:rsidR="00D26E59" w:rsidRPr="00765C26">
                    <w:rPr>
                      <w:rStyle w:val="af1"/>
                      <w:rFonts w:eastAsia="Calibri"/>
                      <w:color w:val="000000" w:themeColor="text1"/>
                      <w:sz w:val="22"/>
                      <w:szCs w:val="22"/>
                      <w:lang w:val="en-US"/>
                    </w:rPr>
                    <w:t>ksp</w:t>
                  </w:r>
                  <w:r w:rsidR="00D26E59" w:rsidRPr="000D0FA6">
                    <w:rPr>
                      <w:rStyle w:val="af1"/>
                      <w:rFonts w:eastAsia="Calibri"/>
                      <w:color w:val="000000" w:themeColor="text1"/>
                      <w:sz w:val="22"/>
                      <w:szCs w:val="22"/>
                      <w:lang w:val="en-US"/>
                    </w:rPr>
                    <w:t>@</w:t>
                  </w:r>
                  <w:r w:rsidR="00D26E59" w:rsidRPr="00765C26">
                    <w:rPr>
                      <w:rStyle w:val="af1"/>
                      <w:rFonts w:eastAsia="Calibri"/>
                      <w:color w:val="000000" w:themeColor="text1"/>
                      <w:sz w:val="22"/>
                      <w:szCs w:val="22"/>
                      <w:lang w:val="en-US"/>
                    </w:rPr>
                    <w:t>volganet</w:t>
                  </w:r>
                  <w:r w:rsidR="00D26E59" w:rsidRPr="000D0FA6">
                    <w:rPr>
                      <w:rStyle w:val="af1"/>
                      <w:rFonts w:eastAsia="Calibri"/>
                      <w:color w:val="000000" w:themeColor="text1"/>
                      <w:sz w:val="22"/>
                      <w:szCs w:val="22"/>
                      <w:lang w:val="en-US"/>
                    </w:rPr>
                    <w:t>.</w:t>
                  </w:r>
                  <w:r w:rsidR="00D26E59" w:rsidRPr="00765C26">
                    <w:rPr>
                      <w:rStyle w:val="af1"/>
                      <w:rFonts w:eastAsia="Calibri"/>
                      <w:color w:val="000000" w:themeColor="text1"/>
                      <w:sz w:val="22"/>
                      <w:szCs w:val="22"/>
                      <w:lang w:val="en-US"/>
                    </w:rPr>
                    <w:t>ru</w:t>
                  </w:r>
                </w:hyperlink>
              </w:sdtContent>
            </w:sdt>
            <w:r w:rsidR="00D26E59" w:rsidRPr="00C822BB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sdt>
            <w:sdtPr>
              <w:rPr>
                <w:sz w:val="22"/>
                <w:szCs w:val="22"/>
              </w:rPr>
              <w:id w:val="-90863410"/>
              <w:lock w:val="contentLocked"/>
              <w:placeholder>
                <w:docPart w:val="8B3B90953E6148A49B7C27ED0A7C88EE"/>
              </w:placeholder>
              <w:group/>
            </w:sdtPr>
            <w:sdtEndPr/>
            <w:sdtContent>
              <w:p w14:paraId="3F809428" w14:textId="77777777" w:rsidR="00D26E59" w:rsidRDefault="00D26E59" w:rsidP="00F84878">
                <w:pPr>
                  <w:keepNext/>
                  <w:ind w:left="-111" w:right="-112"/>
                  <w:jc w:val="center"/>
                  <w:rPr>
                    <w:sz w:val="26"/>
                    <w:szCs w:val="26"/>
                  </w:rPr>
                </w:pPr>
                <w:r w:rsidRPr="00527DBA">
                  <w:rPr>
                    <w:sz w:val="22"/>
                    <w:szCs w:val="22"/>
                  </w:rPr>
                  <w:t>ОКПО 46024135, ОГРН 1023403444173</w:t>
                </w:r>
                <w:r>
                  <w:rPr>
                    <w:sz w:val="22"/>
                    <w:szCs w:val="22"/>
                  </w:rPr>
                  <w:t xml:space="preserve"> </w:t>
                </w:r>
                <w:r w:rsidRPr="00527DBA">
                  <w:rPr>
                    <w:sz w:val="22"/>
                    <w:szCs w:val="22"/>
                  </w:rPr>
                  <w:t>ИНН/КПП 3444065566/344501001</w:t>
                </w:r>
              </w:p>
            </w:sdtContent>
          </w:sdt>
        </w:tc>
      </w:tr>
      <w:tr w:rsidR="00D26E59" w:rsidRPr="00100DB0" w14:paraId="3287AA6E" w14:textId="77777777" w:rsidTr="00F84878">
        <w:trPr>
          <w:trHeight w:val="203"/>
        </w:trPr>
        <w:tc>
          <w:tcPr>
            <w:tcW w:w="2331" w:type="dxa"/>
            <w:tcBorders>
              <w:top w:val="thinThickSmallGap" w:sz="18" w:space="0" w:color="auto"/>
              <w:bottom w:val="single" w:sz="4" w:space="0" w:color="auto"/>
            </w:tcBorders>
            <w:vAlign w:val="center"/>
          </w:tcPr>
          <w:p w14:paraId="744F8241" w14:textId="07270B8E" w:rsidR="00D26E59" w:rsidRPr="00100DB0" w:rsidRDefault="00D26E59" w:rsidP="00F84878">
            <w:pPr>
              <w:keepNext/>
              <w:ind w:left="-107"/>
            </w:pPr>
            <w:r>
              <w:t xml:space="preserve">от </w:t>
            </w:r>
            <w:r w:rsidR="00E73711">
              <w:t xml:space="preserve"> </w:t>
            </w:r>
            <w:r w:rsidR="00D03D0A">
              <w:t xml:space="preserve"> </w:t>
            </w:r>
            <w:r w:rsidR="00385BC5">
              <w:t>29</w:t>
            </w:r>
            <w:r w:rsidR="00D03D0A">
              <w:t xml:space="preserve"> </w:t>
            </w:r>
            <w:r w:rsidR="00E73711">
              <w:t xml:space="preserve">  </w:t>
            </w:r>
            <w:r w:rsidR="00383819">
              <w:t>нояб</w:t>
            </w:r>
            <w:r w:rsidR="00E73711">
              <w:t>ря</w:t>
            </w:r>
            <w:r>
              <w:t xml:space="preserve"> 2021 г. </w:t>
            </w:r>
          </w:p>
        </w:tc>
        <w:tc>
          <w:tcPr>
            <w:tcW w:w="2347" w:type="dxa"/>
            <w:tcBorders>
              <w:top w:val="thinThickSmallGap" w:sz="18" w:space="0" w:color="auto"/>
              <w:left w:val="nil"/>
            </w:tcBorders>
            <w:vAlign w:val="center"/>
          </w:tcPr>
          <w:p w14:paraId="2944FC3D" w14:textId="77777777" w:rsidR="00D26E59" w:rsidRPr="00100DB0" w:rsidRDefault="00D26E59" w:rsidP="00F84878">
            <w:pPr>
              <w:keepNext/>
            </w:pPr>
          </w:p>
        </w:tc>
        <w:tc>
          <w:tcPr>
            <w:tcW w:w="2464" w:type="dxa"/>
            <w:tcBorders>
              <w:top w:val="thinThickSmallGap" w:sz="18" w:space="0" w:color="auto"/>
            </w:tcBorders>
            <w:vAlign w:val="center"/>
          </w:tcPr>
          <w:p w14:paraId="568D771E" w14:textId="77777777" w:rsidR="00D26E59" w:rsidRPr="00100DB0" w:rsidRDefault="00D26E59" w:rsidP="00F84878">
            <w:pPr>
              <w:keepNext/>
              <w:ind w:right="-112"/>
              <w:jc w:val="right"/>
              <w:rPr>
                <w:lang w:val="en-US"/>
              </w:rPr>
            </w:pPr>
            <w:r w:rsidRPr="00100DB0">
              <w:t>№</w:t>
            </w:r>
          </w:p>
        </w:tc>
        <w:tc>
          <w:tcPr>
            <w:tcW w:w="2356" w:type="dxa"/>
            <w:tcBorders>
              <w:top w:val="thinThickSmallGap" w:sz="18" w:space="0" w:color="auto"/>
              <w:bottom w:val="single" w:sz="4" w:space="0" w:color="auto"/>
            </w:tcBorders>
            <w:vAlign w:val="center"/>
          </w:tcPr>
          <w:p w14:paraId="0C1F9444" w14:textId="48AE37D6" w:rsidR="00D26E59" w:rsidRPr="00100DB0" w:rsidRDefault="00D26E59" w:rsidP="00F84878">
            <w:pPr>
              <w:keepNext/>
              <w:ind w:left="-20" w:right="-112"/>
            </w:pPr>
            <w:r w:rsidRPr="00B574B8">
              <w:rPr>
                <w:sz w:val="22"/>
                <w:szCs w:val="22"/>
              </w:rPr>
              <w:t>01КСП- 02-02/</w:t>
            </w:r>
          </w:p>
        </w:tc>
      </w:tr>
    </w:tbl>
    <w:p w14:paraId="55D2C014" w14:textId="59EAC459" w:rsidR="00D26E59" w:rsidRDefault="00D26E59" w:rsidP="004A3880">
      <w:pPr>
        <w:shd w:val="clear" w:color="auto" w:fill="FFFFFF"/>
        <w:ind w:right="168"/>
        <w:jc w:val="center"/>
        <w:rPr>
          <w:b/>
          <w:bCs/>
          <w:i/>
          <w:iCs/>
          <w:color w:val="000000"/>
          <w:spacing w:val="6"/>
        </w:rPr>
      </w:pPr>
    </w:p>
    <w:p w14:paraId="4C8FD565" w14:textId="71E769CD" w:rsidR="004A3880" w:rsidRDefault="004A3880" w:rsidP="004A3880">
      <w:pPr>
        <w:shd w:val="clear" w:color="auto" w:fill="FFFFFF"/>
        <w:ind w:right="168"/>
        <w:jc w:val="center"/>
      </w:pPr>
      <w:r>
        <w:rPr>
          <w:b/>
          <w:bCs/>
          <w:i/>
          <w:iCs/>
          <w:color w:val="000000"/>
          <w:spacing w:val="6"/>
        </w:rPr>
        <w:t>ЭКСПЕРТНОЕ ЗАКЛЮЧЕНИЕ</w:t>
      </w:r>
    </w:p>
    <w:p w14:paraId="44FA51B1" w14:textId="77777777" w:rsidR="004A3880" w:rsidRDefault="004A3880" w:rsidP="004A3880">
      <w:pPr>
        <w:jc w:val="center"/>
        <w:rPr>
          <w:b/>
          <w:bCs/>
          <w:i/>
          <w:iCs/>
          <w:color w:val="000000"/>
          <w:spacing w:val="-1"/>
        </w:rPr>
      </w:pPr>
      <w:r>
        <w:rPr>
          <w:b/>
          <w:bCs/>
          <w:i/>
          <w:iCs/>
          <w:color w:val="000000"/>
          <w:spacing w:val="-1"/>
        </w:rPr>
        <w:t xml:space="preserve">на проект закона Волгоградской области «О внесении изменений </w:t>
      </w:r>
    </w:p>
    <w:p w14:paraId="521CD083" w14:textId="452B3652" w:rsidR="004A3880" w:rsidRDefault="004A3880" w:rsidP="004A3880">
      <w:pPr>
        <w:jc w:val="center"/>
        <w:rPr>
          <w:b/>
          <w:bCs/>
          <w:i/>
          <w:iCs/>
          <w:color w:val="000000"/>
          <w:spacing w:val="-1"/>
        </w:rPr>
      </w:pPr>
      <w:r>
        <w:rPr>
          <w:b/>
          <w:bCs/>
          <w:i/>
          <w:iCs/>
          <w:color w:val="000000"/>
          <w:spacing w:val="-1"/>
        </w:rPr>
        <w:t xml:space="preserve">в Закон Волгоградской области от </w:t>
      </w:r>
      <w:r w:rsidR="00196EBC">
        <w:rPr>
          <w:b/>
          <w:bCs/>
          <w:i/>
          <w:iCs/>
          <w:color w:val="000000"/>
          <w:spacing w:val="-1"/>
        </w:rPr>
        <w:t>1</w:t>
      </w:r>
      <w:r>
        <w:rPr>
          <w:b/>
          <w:bCs/>
          <w:i/>
          <w:iCs/>
          <w:color w:val="000000"/>
          <w:spacing w:val="-1"/>
        </w:rPr>
        <w:t>1.1</w:t>
      </w:r>
      <w:r w:rsidR="00196EBC">
        <w:rPr>
          <w:b/>
          <w:bCs/>
          <w:i/>
          <w:iCs/>
          <w:color w:val="000000"/>
          <w:spacing w:val="-1"/>
        </w:rPr>
        <w:t>2</w:t>
      </w:r>
      <w:r>
        <w:rPr>
          <w:b/>
          <w:bCs/>
          <w:i/>
          <w:iCs/>
          <w:color w:val="000000"/>
          <w:spacing w:val="-1"/>
        </w:rPr>
        <w:t>.20</w:t>
      </w:r>
      <w:r w:rsidR="00196EBC">
        <w:rPr>
          <w:b/>
          <w:bCs/>
          <w:i/>
          <w:iCs/>
          <w:color w:val="000000"/>
          <w:spacing w:val="-1"/>
        </w:rPr>
        <w:t>20</w:t>
      </w:r>
      <w:r>
        <w:rPr>
          <w:b/>
          <w:bCs/>
          <w:i/>
          <w:iCs/>
          <w:color w:val="000000"/>
          <w:spacing w:val="-1"/>
        </w:rPr>
        <w:t xml:space="preserve"> №</w:t>
      </w:r>
      <w:r w:rsidR="00196EBC">
        <w:rPr>
          <w:b/>
          <w:bCs/>
          <w:i/>
          <w:iCs/>
          <w:color w:val="000000"/>
          <w:spacing w:val="-1"/>
        </w:rPr>
        <w:t>113</w:t>
      </w:r>
      <w:r>
        <w:rPr>
          <w:b/>
          <w:bCs/>
          <w:i/>
          <w:iCs/>
          <w:color w:val="000000"/>
          <w:spacing w:val="-1"/>
        </w:rPr>
        <w:t xml:space="preserve">-ОД «Об областном бюджете </w:t>
      </w:r>
    </w:p>
    <w:p w14:paraId="367809EE" w14:textId="0C3DE262" w:rsidR="004A3880" w:rsidRDefault="004A3880" w:rsidP="004A3880">
      <w:pPr>
        <w:jc w:val="center"/>
        <w:rPr>
          <w:b/>
          <w:bCs/>
          <w:i/>
          <w:iCs/>
          <w:color w:val="000000"/>
          <w:spacing w:val="-1"/>
        </w:rPr>
      </w:pPr>
      <w:r>
        <w:rPr>
          <w:b/>
          <w:bCs/>
          <w:i/>
          <w:iCs/>
          <w:color w:val="000000"/>
          <w:spacing w:val="-1"/>
        </w:rPr>
        <w:t>на 202</w:t>
      </w:r>
      <w:r w:rsidR="00196EBC">
        <w:rPr>
          <w:b/>
          <w:bCs/>
          <w:i/>
          <w:iCs/>
          <w:color w:val="000000"/>
          <w:spacing w:val="-1"/>
        </w:rPr>
        <w:t>1</w:t>
      </w:r>
      <w:r>
        <w:rPr>
          <w:b/>
          <w:bCs/>
          <w:i/>
          <w:iCs/>
          <w:color w:val="000000"/>
          <w:spacing w:val="-1"/>
        </w:rPr>
        <w:t xml:space="preserve"> год и на плановый период 202</w:t>
      </w:r>
      <w:r w:rsidR="00196EBC">
        <w:rPr>
          <w:b/>
          <w:bCs/>
          <w:i/>
          <w:iCs/>
          <w:color w:val="000000"/>
          <w:spacing w:val="-1"/>
        </w:rPr>
        <w:t>2</w:t>
      </w:r>
      <w:r>
        <w:rPr>
          <w:b/>
          <w:bCs/>
          <w:i/>
          <w:iCs/>
          <w:color w:val="000000"/>
          <w:spacing w:val="-1"/>
        </w:rPr>
        <w:t xml:space="preserve"> и 202</w:t>
      </w:r>
      <w:r w:rsidR="00196EBC">
        <w:rPr>
          <w:b/>
          <w:bCs/>
          <w:i/>
          <w:iCs/>
          <w:color w:val="000000"/>
          <w:spacing w:val="-1"/>
        </w:rPr>
        <w:t>3</w:t>
      </w:r>
      <w:r>
        <w:rPr>
          <w:b/>
          <w:bCs/>
          <w:i/>
          <w:iCs/>
          <w:color w:val="000000"/>
          <w:spacing w:val="-1"/>
        </w:rPr>
        <w:t xml:space="preserve"> годов» (1 и 2 чтения).</w:t>
      </w:r>
    </w:p>
    <w:p w14:paraId="3621CF38" w14:textId="77777777" w:rsidR="004A3880" w:rsidRDefault="004A3880" w:rsidP="004A3880">
      <w:pPr>
        <w:jc w:val="center"/>
        <w:rPr>
          <w:b/>
          <w:bCs/>
          <w:i/>
          <w:iCs/>
          <w:color w:val="000000"/>
          <w:spacing w:val="-1"/>
        </w:rPr>
      </w:pPr>
    </w:p>
    <w:p w14:paraId="4A17766D" w14:textId="2C85A245" w:rsidR="004A3880" w:rsidRDefault="004A3880" w:rsidP="004A3880">
      <w:pPr>
        <w:ind w:firstLine="708"/>
        <w:jc w:val="both"/>
      </w:pPr>
      <w:r>
        <w:t xml:space="preserve">Проектом закона Волгоградской области «О внесении изменений в Закон Волгоградской области от </w:t>
      </w:r>
      <w:r w:rsidR="00196EBC">
        <w:t>1</w:t>
      </w:r>
      <w:r>
        <w:t>1.1</w:t>
      </w:r>
      <w:r w:rsidR="00196EBC">
        <w:t>2</w:t>
      </w:r>
      <w:r>
        <w:t>.20</w:t>
      </w:r>
      <w:r w:rsidR="00196EBC">
        <w:t>20</w:t>
      </w:r>
      <w:r>
        <w:t xml:space="preserve"> №</w:t>
      </w:r>
      <w:r w:rsidR="00196EBC">
        <w:t>113</w:t>
      </w:r>
      <w:r>
        <w:t>-ОД «Об областном бюджете на 202</w:t>
      </w:r>
      <w:r w:rsidR="00196EBC">
        <w:t>1</w:t>
      </w:r>
      <w:r>
        <w:t xml:space="preserve"> год и на плановый период 202</w:t>
      </w:r>
      <w:r w:rsidR="00196EBC">
        <w:t>2</w:t>
      </w:r>
      <w:r>
        <w:t xml:space="preserve"> и 202</w:t>
      </w:r>
      <w:r w:rsidR="00196EBC">
        <w:t>3</w:t>
      </w:r>
      <w:r>
        <w:t xml:space="preserve"> годов» (далее законопроект) предусмотрены следующие изменения основных параметров областного бюджета на 202</w:t>
      </w:r>
      <w:r w:rsidR="00196EBC">
        <w:t>1</w:t>
      </w:r>
      <w:r>
        <w:t xml:space="preserve"> год:</w:t>
      </w:r>
    </w:p>
    <w:p w14:paraId="012720B3" w14:textId="31A11849" w:rsidR="004A3880" w:rsidRPr="00383819" w:rsidRDefault="004A3880" w:rsidP="004A3880">
      <w:pPr>
        <w:ind w:firstLine="708"/>
        <w:contextualSpacing/>
        <w:jc w:val="both"/>
        <w:rPr>
          <w:bCs/>
        </w:rPr>
      </w:pPr>
      <w:r w:rsidRPr="00E73711">
        <w:rPr>
          <w:i/>
          <w:iCs/>
        </w:rPr>
        <w:t>-</w:t>
      </w:r>
      <w:r w:rsidRPr="00383819">
        <w:t xml:space="preserve">прогнозируемый общий объем доходов </w:t>
      </w:r>
      <w:r w:rsidR="00196EBC" w:rsidRPr="00383819">
        <w:t>увеличен</w:t>
      </w:r>
      <w:r w:rsidRPr="00383819">
        <w:rPr>
          <w:bCs/>
        </w:rPr>
        <w:t xml:space="preserve"> на </w:t>
      </w:r>
      <w:r w:rsidR="00383819">
        <w:rPr>
          <w:bCs/>
        </w:rPr>
        <w:t>4436,3</w:t>
      </w:r>
      <w:r w:rsidR="00196EBC" w:rsidRPr="00383819">
        <w:rPr>
          <w:bCs/>
        </w:rPr>
        <w:t xml:space="preserve"> </w:t>
      </w:r>
      <w:r w:rsidRPr="00383819">
        <w:rPr>
          <w:bCs/>
        </w:rPr>
        <w:t>млн. руб. (со 1</w:t>
      </w:r>
      <w:r w:rsidR="00383819">
        <w:rPr>
          <w:bCs/>
        </w:rPr>
        <w:t>37960,8</w:t>
      </w:r>
      <w:r w:rsidRPr="00383819">
        <w:rPr>
          <w:bCs/>
        </w:rPr>
        <w:t xml:space="preserve"> млн. руб. до </w:t>
      </w:r>
      <w:r w:rsidR="00196EBC" w:rsidRPr="00383819">
        <w:rPr>
          <w:bCs/>
        </w:rPr>
        <w:t>1</w:t>
      </w:r>
      <w:r w:rsidR="00383819">
        <w:rPr>
          <w:bCs/>
        </w:rPr>
        <w:t>42397,1</w:t>
      </w:r>
      <w:r w:rsidRPr="00383819">
        <w:rPr>
          <w:bCs/>
        </w:rPr>
        <w:t xml:space="preserve"> млн. руб.), в том числе за счет </w:t>
      </w:r>
      <w:r w:rsidR="00196EBC" w:rsidRPr="00383819">
        <w:rPr>
          <w:bCs/>
        </w:rPr>
        <w:t>увеличения</w:t>
      </w:r>
      <w:r w:rsidRPr="00383819">
        <w:rPr>
          <w:bCs/>
        </w:rPr>
        <w:t xml:space="preserve"> объема налоговых и неналоговых доходов – на</w:t>
      </w:r>
      <w:r w:rsidR="00383819">
        <w:rPr>
          <w:bCs/>
        </w:rPr>
        <w:t xml:space="preserve"> 3362,6</w:t>
      </w:r>
      <w:r w:rsidRPr="00383819">
        <w:rPr>
          <w:bCs/>
        </w:rPr>
        <w:t xml:space="preserve">  млн. руб., увеличения безвозмездных поступлений - на </w:t>
      </w:r>
      <w:r w:rsidR="004647F7">
        <w:rPr>
          <w:bCs/>
        </w:rPr>
        <w:t>1073,7</w:t>
      </w:r>
      <w:r w:rsidRPr="00383819">
        <w:rPr>
          <w:bCs/>
        </w:rPr>
        <w:t xml:space="preserve"> млн. руб.;</w:t>
      </w:r>
    </w:p>
    <w:p w14:paraId="551E121F" w14:textId="1F1D71B7" w:rsidR="004A3880" w:rsidRPr="00383819" w:rsidRDefault="004A3880" w:rsidP="004A3880">
      <w:pPr>
        <w:ind w:firstLine="708"/>
        <w:contextualSpacing/>
        <w:jc w:val="both"/>
        <w:rPr>
          <w:bCs/>
        </w:rPr>
      </w:pPr>
      <w:r w:rsidRPr="00383819">
        <w:rPr>
          <w:bCs/>
        </w:rPr>
        <w:t xml:space="preserve">-расходы увеличены </w:t>
      </w:r>
      <w:r w:rsidR="004B15DF">
        <w:rPr>
          <w:bCs/>
        </w:rPr>
        <w:t>на 4436,3</w:t>
      </w:r>
      <w:r w:rsidRPr="00383819">
        <w:rPr>
          <w:bCs/>
        </w:rPr>
        <w:t xml:space="preserve"> млн. руб. (со </w:t>
      </w:r>
      <w:r w:rsidR="00393E2D" w:rsidRPr="00383819">
        <w:rPr>
          <w:bCs/>
        </w:rPr>
        <w:t>1</w:t>
      </w:r>
      <w:r w:rsidR="004B15DF">
        <w:rPr>
          <w:bCs/>
        </w:rPr>
        <w:t>40710,8</w:t>
      </w:r>
      <w:r w:rsidRPr="00383819">
        <w:rPr>
          <w:bCs/>
        </w:rPr>
        <w:t xml:space="preserve"> млн. руб. до </w:t>
      </w:r>
      <w:r w:rsidR="00393E2D" w:rsidRPr="00383819">
        <w:rPr>
          <w:bCs/>
        </w:rPr>
        <w:t>14</w:t>
      </w:r>
      <w:r w:rsidR="004B15DF">
        <w:rPr>
          <w:bCs/>
        </w:rPr>
        <w:t>5147,1</w:t>
      </w:r>
      <w:r w:rsidRPr="00383819">
        <w:rPr>
          <w:bCs/>
        </w:rPr>
        <w:t xml:space="preserve"> млн. руб.);</w:t>
      </w:r>
    </w:p>
    <w:p w14:paraId="7DAA17B6" w14:textId="67DCE32C" w:rsidR="004A3880" w:rsidRPr="00383819" w:rsidRDefault="004A3880" w:rsidP="004A3880">
      <w:pPr>
        <w:ind w:firstLine="708"/>
        <w:contextualSpacing/>
        <w:jc w:val="both"/>
      </w:pPr>
      <w:r w:rsidRPr="00383819">
        <w:rPr>
          <w:bCs/>
        </w:rPr>
        <w:t xml:space="preserve">-дефицит бюджета </w:t>
      </w:r>
      <w:r w:rsidR="004B15DF">
        <w:rPr>
          <w:bCs/>
        </w:rPr>
        <w:t>остается неизменным и составляет 2750 млн. рублей</w:t>
      </w:r>
      <w:r w:rsidR="00393E2D" w:rsidRPr="00383819">
        <w:rPr>
          <w:bCs/>
        </w:rPr>
        <w:t>.</w:t>
      </w:r>
      <w:r w:rsidRPr="00383819">
        <w:rPr>
          <w:bCs/>
        </w:rPr>
        <w:t xml:space="preserve"> </w:t>
      </w:r>
    </w:p>
    <w:p w14:paraId="015C8E5E" w14:textId="77777777" w:rsidR="004A3880" w:rsidRPr="00D344F2" w:rsidRDefault="004A3880" w:rsidP="004A3880">
      <w:pPr>
        <w:jc w:val="center"/>
        <w:rPr>
          <w:b/>
          <w:bCs/>
          <w:sz w:val="28"/>
          <w:szCs w:val="28"/>
        </w:rPr>
      </w:pPr>
      <w:r>
        <w:t xml:space="preserve"> </w:t>
      </w:r>
    </w:p>
    <w:p w14:paraId="56CE5954" w14:textId="5EA0F6B0" w:rsidR="004A3880" w:rsidRDefault="004A3880" w:rsidP="004A3880">
      <w:pPr>
        <w:ind w:firstLine="720"/>
        <w:jc w:val="center"/>
        <w:rPr>
          <w:b/>
          <w:i/>
          <w:u w:val="single"/>
        </w:rPr>
      </w:pPr>
      <w:r w:rsidRPr="003D1910">
        <w:rPr>
          <w:b/>
          <w:i/>
          <w:u w:val="single"/>
        </w:rPr>
        <w:t>Концепция законопроекта</w:t>
      </w:r>
    </w:p>
    <w:p w14:paraId="6469C510" w14:textId="7651E0A8" w:rsidR="00E73711" w:rsidRDefault="00E73711" w:rsidP="004A3880">
      <w:pPr>
        <w:ind w:firstLine="720"/>
        <w:jc w:val="center"/>
        <w:rPr>
          <w:b/>
          <w:i/>
          <w:u w:val="single"/>
        </w:rPr>
      </w:pPr>
    </w:p>
    <w:p w14:paraId="3E2495C7" w14:textId="103093F1" w:rsidR="007E260D" w:rsidRPr="007E260D" w:rsidRDefault="007E260D" w:rsidP="007E260D">
      <w:pPr>
        <w:ind w:firstLine="720"/>
        <w:jc w:val="both"/>
        <w:rPr>
          <w:bCs/>
          <w:iCs/>
        </w:rPr>
      </w:pPr>
      <w:r>
        <w:rPr>
          <w:bCs/>
          <w:iCs/>
        </w:rPr>
        <w:t xml:space="preserve">Необходимость внесения поправок в Закон Волгоградской области «Об областном бюджете на 2021 год и на плановый период 2022 и 2023 годов» обусловлена </w:t>
      </w:r>
      <w:r w:rsidR="00AE65AF">
        <w:rPr>
          <w:bCs/>
          <w:iCs/>
        </w:rPr>
        <w:t>ожидаемым по</w:t>
      </w:r>
      <w:r w:rsidR="00BE296E">
        <w:rPr>
          <w:bCs/>
          <w:iCs/>
        </w:rPr>
        <w:t>ступлением в бюджет Волгоградской области дополнительных налоговых доходов</w:t>
      </w:r>
      <w:r w:rsidR="007C1921">
        <w:rPr>
          <w:bCs/>
          <w:iCs/>
        </w:rPr>
        <w:t xml:space="preserve"> (в основном, налога на прибыль организаций)</w:t>
      </w:r>
      <w:r w:rsidR="00BE296E">
        <w:rPr>
          <w:bCs/>
          <w:iCs/>
        </w:rPr>
        <w:t xml:space="preserve">, </w:t>
      </w:r>
      <w:r>
        <w:rPr>
          <w:bCs/>
          <w:iCs/>
        </w:rPr>
        <w:t>получением дополнительных межбюджетных трансфертов из федерального бюджета</w:t>
      </w:r>
      <w:r w:rsidR="00DF3369">
        <w:rPr>
          <w:bCs/>
          <w:iCs/>
        </w:rPr>
        <w:t>,</w:t>
      </w:r>
      <w:r>
        <w:rPr>
          <w:bCs/>
          <w:iCs/>
        </w:rPr>
        <w:t xml:space="preserve"> </w:t>
      </w:r>
      <w:r w:rsidR="00DF3369">
        <w:rPr>
          <w:bCs/>
          <w:iCs/>
        </w:rPr>
        <w:t>а также</w:t>
      </w:r>
      <w:r>
        <w:rPr>
          <w:bCs/>
          <w:iCs/>
        </w:rPr>
        <w:t xml:space="preserve"> </w:t>
      </w:r>
      <w:r w:rsidR="00BE296E">
        <w:rPr>
          <w:bCs/>
          <w:iCs/>
        </w:rPr>
        <w:t>перераспределени</w:t>
      </w:r>
      <w:r w:rsidR="006923A3">
        <w:rPr>
          <w:bCs/>
          <w:iCs/>
        </w:rPr>
        <w:t>ем утверж</w:t>
      </w:r>
      <w:r w:rsidR="00254BB0">
        <w:rPr>
          <w:bCs/>
          <w:iCs/>
        </w:rPr>
        <w:t>д</w:t>
      </w:r>
      <w:r w:rsidR="006923A3">
        <w:rPr>
          <w:bCs/>
          <w:iCs/>
        </w:rPr>
        <w:t>енных</w:t>
      </w:r>
      <w:r w:rsidR="00BE296E">
        <w:rPr>
          <w:bCs/>
          <w:iCs/>
        </w:rPr>
        <w:t xml:space="preserve"> бюджетных ассигнований между госпрограммами (под</w:t>
      </w:r>
      <w:r w:rsidR="00CC5EB5">
        <w:rPr>
          <w:bCs/>
          <w:iCs/>
        </w:rPr>
        <w:t>п</w:t>
      </w:r>
      <w:r w:rsidR="00BE296E">
        <w:rPr>
          <w:bCs/>
          <w:iCs/>
        </w:rPr>
        <w:t>рограммами)</w:t>
      </w:r>
      <w:r w:rsidR="00CC5EB5">
        <w:rPr>
          <w:bCs/>
          <w:iCs/>
        </w:rPr>
        <w:t>, главными распорядителями средств областного бюджета</w:t>
      </w:r>
      <w:r w:rsidR="00254BB0">
        <w:rPr>
          <w:bCs/>
          <w:iCs/>
        </w:rPr>
        <w:t xml:space="preserve"> или</w:t>
      </w:r>
      <w:r w:rsidR="00F70A3D">
        <w:rPr>
          <w:bCs/>
          <w:iCs/>
        </w:rPr>
        <w:t xml:space="preserve"> внутри </w:t>
      </w:r>
      <w:r w:rsidR="00840FB7">
        <w:rPr>
          <w:bCs/>
          <w:iCs/>
        </w:rPr>
        <w:t>н</w:t>
      </w:r>
      <w:r w:rsidR="00F70A3D">
        <w:rPr>
          <w:bCs/>
          <w:iCs/>
        </w:rPr>
        <w:t>их</w:t>
      </w:r>
      <w:r w:rsidR="00CC5EB5">
        <w:rPr>
          <w:bCs/>
          <w:iCs/>
        </w:rPr>
        <w:t>.</w:t>
      </w:r>
    </w:p>
    <w:p w14:paraId="4751C67D" w14:textId="77777777" w:rsidR="00E73711" w:rsidRDefault="00E73711" w:rsidP="004A3880">
      <w:pPr>
        <w:ind w:firstLine="720"/>
        <w:jc w:val="center"/>
        <w:rPr>
          <w:b/>
          <w:i/>
          <w:u w:val="single"/>
        </w:rPr>
      </w:pPr>
    </w:p>
    <w:p w14:paraId="716A0879" w14:textId="6024B7FE" w:rsidR="004A3880" w:rsidRDefault="006820C4" w:rsidP="004A3880">
      <w:pPr>
        <w:ind w:firstLine="720"/>
        <w:jc w:val="center"/>
        <w:rPr>
          <w:b/>
          <w:i/>
          <w:u w:val="single"/>
        </w:rPr>
      </w:pPr>
      <w:r>
        <w:rPr>
          <w:b/>
          <w:i/>
          <w:u w:val="single"/>
        </w:rPr>
        <w:t>П</w:t>
      </w:r>
      <w:r w:rsidR="004A3880" w:rsidRPr="003D1910">
        <w:rPr>
          <w:b/>
          <w:i/>
          <w:u w:val="single"/>
        </w:rPr>
        <w:t>редлагаемые изменения в доходную часть областного бюджета на 20</w:t>
      </w:r>
      <w:r w:rsidR="004A3880">
        <w:rPr>
          <w:b/>
          <w:i/>
          <w:u w:val="single"/>
        </w:rPr>
        <w:t>2</w:t>
      </w:r>
      <w:r w:rsidR="006420A4">
        <w:rPr>
          <w:b/>
          <w:i/>
          <w:u w:val="single"/>
        </w:rPr>
        <w:t>1</w:t>
      </w:r>
      <w:r w:rsidR="004A3880" w:rsidRPr="003D1910">
        <w:rPr>
          <w:b/>
          <w:i/>
          <w:u w:val="single"/>
        </w:rPr>
        <w:t xml:space="preserve"> год</w:t>
      </w:r>
    </w:p>
    <w:p w14:paraId="365E0617" w14:textId="77777777" w:rsidR="00E73711" w:rsidRDefault="00E73711" w:rsidP="004A3880">
      <w:pPr>
        <w:ind w:firstLine="720"/>
        <w:jc w:val="center"/>
        <w:rPr>
          <w:b/>
          <w:i/>
          <w:u w:val="single"/>
        </w:rPr>
      </w:pPr>
    </w:p>
    <w:p w14:paraId="2A526CE2" w14:textId="23BF1589" w:rsidR="00FC7BA3" w:rsidRPr="00592D6B" w:rsidRDefault="00FC7BA3" w:rsidP="00FC7BA3">
      <w:pPr>
        <w:ind w:firstLine="680"/>
        <w:jc w:val="both"/>
      </w:pPr>
      <w:r w:rsidRPr="00592D6B">
        <w:t xml:space="preserve">Законопроектом предлагается увеличить доходную часть областного бюджета на 2021 год на </w:t>
      </w:r>
      <w:r>
        <w:t>4436,3</w:t>
      </w:r>
      <w:r w:rsidRPr="00592D6B">
        <w:t xml:space="preserve"> млн. руб., в том числе за счет увеличения:</w:t>
      </w:r>
    </w:p>
    <w:p w14:paraId="3727E747" w14:textId="2DAF127C" w:rsidR="00FC7BA3" w:rsidRPr="00592D6B" w:rsidRDefault="00FC7BA3" w:rsidP="00FC7BA3">
      <w:pPr>
        <w:ind w:firstLine="680"/>
        <w:jc w:val="both"/>
      </w:pPr>
      <w:r w:rsidRPr="00592D6B">
        <w:t xml:space="preserve">-налоговых и неналоговых доходов </w:t>
      </w:r>
      <w:r w:rsidR="00E82904">
        <w:t xml:space="preserve">- </w:t>
      </w:r>
      <w:r w:rsidRPr="00592D6B">
        <w:t xml:space="preserve">на </w:t>
      </w:r>
      <w:r>
        <w:t>3362,6</w:t>
      </w:r>
      <w:r w:rsidRPr="00592D6B">
        <w:t xml:space="preserve"> млн. руб., или на </w:t>
      </w:r>
      <w:r>
        <w:t>4</w:t>
      </w:r>
      <w:r w:rsidRPr="00592D6B">
        <w:t xml:space="preserve">% (с 84330,1 млн. руб. до </w:t>
      </w:r>
      <w:bookmarkStart w:id="0" w:name="_Hlk88646268"/>
      <w:r>
        <w:t>87692,7</w:t>
      </w:r>
      <w:r w:rsidRPr="00592D6B">
        <w:t xml:space="preserve"> </w:t>
      </w:r>
      <w:bookmarkEnd w:id="0"/>
      <w:r w:rsidRPr="00592D6B">
        <w:t>млн. руб.);</w:t>
      </w:r>
    </w:p>
    <w:p w14:paraId="10E06C15" w14:textId="093E9E31" w:rsidR="00FC7BA3" w:rsidRPr="00592D6B" w:rsidRDefault="00FC7BA3" w:rsidP="00FC7BA3">
      <w:pPr>
        <w:ind w:firstLine="680"/>
        <w:jc w:val="both"/>
      </w:pPr>
      <w:r w:rsidRPr="00592D6B">
        <w:t>-безвозмездных поступлений</w:t>
      </w:r>
      <w:r w:rsidR="00E82904">
        <w:t xml:space="preserve"> -</w:t>
      </w:r>
      <w:r w:rsidRPr="00592D6B">
        <w:t xml:space="preserve"> на </w:t>
      </w:r>
      <w:r>
        <w:t>1073,7</w:t>
      </w:r>
      <w:r w:rsidRPr="00592D6B">
        <w:t xml:space="preserve"> млн. руб., или на </w:t>
      </w:r>
      <w:r>
        <w:t>2</w:t>
      </w:r>
      <w:r w:rsidRPr="00592D6B">
        <w:t xml:space="preserve">% (с </w:t>
      </w:r>
      <w:r>
        <w:t>53630,8</w:t>
      </w:r>
      <w:r w:rsidRPr="00592D6B">
        <w:t xml:space="preserve"> млн. руб. до 5</w:t>
      </w:r>
      <w:r>
        <w:t xml:space="preserve">4704,5 </w:t>
      </w:r>
      <w:r w:rsidRPr="00592D6B">
        <w:t>млн. руб.).</w:t>
      </w:r>
    </w:p>
    <w:p w14:paraId="0C9F1A94" w14:textId="7F91A8B4" w:rsidR="00FC7BA3" w:rsidRPr="00B0578D" w:rsidRDefault="00572A96" w:rsidP="00FC7BA3">
      <w:pPr>
        <w:ind w:firstLine="680"/>
        <w:jc w:val="both"/>
      </w:pPr>
      <w:r>
        <w:t xml:space="preserve"> </w:t>
      </w:r>
      <w:r w:rsidR="00FC7BA3" w:rsidRPr="00B0578D">
        <w:t xml:space="preserve">Корректировка </w:t>
      </w:r>
      <w:r w:rsidR="00FC7BA3" w:rsidRPr="00B0578D">
        <w:rPr>
          <w:b/>
          <w:i/>
        </w:rPr>
        <w:t>налоговых и неналоговых платежей</w:t>
      </w:r>
      <w:r w:rsidR="00FC7BA3" w:rsidRPr="00B0578D">
        <w:t xml:space="preserve"> произведена по 17-ти видам доход</w:t>
      </w:r>
      <w:r w:rsidR="00E82904">
        <w:t>ов</w:t>
      </w:r>
      <w:r w:rsidR="00FC7BA3" w:rsidRPr="00B0578D">
        <w:t xml:space="preserve"> как в сторону увеличения, так и в сторону снижения.</w:t>
      </w:r>
    </w:p>
    <w:p w14:paraId="4ECB550A" w14:textId="1201ED71" w:rsidR="00FC7BA3" w:rsidRPr="00592D6B" w:rsidRDefault="00572A96" w:rsidP="00FC7BA3">
      <w:pPr>
        <w:ind w:firstLine="680"/>
        <w:jc w:val="both"/>
        <w:rPr>
          <w:bCs/>
        </w:rPr>
      </w:pPr>
      <w:r>
        <w:rPr>
          <w:bCs/>
        </w:rPr>
        <w:t xml:space="preserve"> </w:t>
      </w:r>
      <w:r w:rsidR="00FC7BA3" w:rsidRPr="00592D6B">
        <w:rPr>
          <w:bCs/>
        </w:rPr>
        <w:t xml:space="preserve">В целом предусматривается увеличение налоговых доходов с </w:t>
      </w:r>
      <w:r w:rsidR="00FC7BA3">
        <w:rPr>
          <w:bCs/>
        </w:rPr>
        <w:t>82686,2</w:t>
      </w:r>
      <w:r w:rsidR="00FC7BA3" w:rsidRPr="00592D6B">
        <w:rPr>
          <w:bCs/>
        </w:rPr>
        <w:t xml:space="preserve"> млн. руб. до 8</w:t>
      </w:r>
      <w:r w:rsidR="00FC7BA3">
        <w:rPr>
          <w:bCs/>
        </w:rPr>
        <w:t xml:space="preserve">5995,5 </w:t>
      </w:r>
      <w:r w:rsidR="00FC7BA3" w:rsidRPr="00592D6B">
        <w:rPr>
          <w:bCs/>
        </w:rPr>
        <w:t xml:space="preserve">млн. руб., или на </w:t>
      </w:r>
      <w:r w:rsidR="00FC7BA3">
        <w:rPr>
          <w:bCs/>
        </w:rPr>
        <w:t>3309,3</w:t>
      </w:r>
      <w:r w:rsidR="00FC7BA3" w:rsidRPr="00592D6B">
        <w:rPr>
          <w:bCs/>
        </w:rPr>
        <w:t xml:space="preserve"> млн. руб. (+</w:t>
      </w:r>
      <w:r w:rsidR="00FC7BA3">
        <w:rPr>
          <w:bCs/>
        </w:rPr>
        <w:t>4</w:t>
      </w:r>
      <w:r w:rsidR="00FC7BA3" w:rsidRPr="00592D6B">
        <w:rPr>
          <w:bCs/>
        </w:rPr>
        <w:t>%), а также неналоговых доходов - с 1643,9 млн. руб. до 16</w:t>
      </w:r>
      <w:r w:rsidR="00FC7BA3">
        <w:rPr>
          <w:bCs/>
        </w:rPr>
        <w:t xml:space="preserve">97,2 </w:t>
      </w:r>
      <w:r w:rsidR="00FC7BA3" w:rsidRPr="00592D6B">
        <w:rPr>
          <w:bCs/>
        </w:rPr>
        <w:t xml:space="preserve">млн. руб., или на </w:t>
      </w:r>
      <w:r w:rsidR="00FC7BA3">
        <w:rPr>
          <w:bCs/>
        </w:rPr>
        <w:t>53,3</w:t>
      </w:r>
      <w:r w:rsidR="00FC7BA3" w:rsidRPr="00592D6B">
        <w:rPr>
          <w:bCs/>
        </w:rPr>
        <w:t xml:space="preserve"> млн. руб. (+</w:t>
      </w:r>
      <w:r w:rsidR="00FC7BA3">
        <w:rPr>
          <w:bCs/>
        </w:rPr>
        <w:t>3,2</w:t>
      </w:r>
      <w:r w:rsidR="00FC7BA3" w:rsidRPr="00592D6B">
        <w:rPr>
          <w:bCs/>
        </w:rPr>
        <w:t>%).</w:t>
      </w:r>
    </w:p>
    <w:p w14:paraId="698A4017" w14:textId="6EFEB8D4" w:rsidR="00FC7BA3" w:rsidRDefault="00572A96" w:rsidP="00FC7BA3">
      <w:pPr>
        <w:ind w:firstLine="680"/>
        <w:jc w:val="both"/>
      </w:pPr>
      <w:r>
        <w:t xml:space="preserve"> </w:t>
      </w:r>
      <w:r w:rsidR="00FC7BA3" w:rsidRPr="00592D6B">
        <w:t>В части налоговых и неналоговых доходов наиболее значительные изменения предусмотрены по основным бюджетообразующим налогам: налогу на прибыль организаций (+2</w:t>
      </w:r>
      <w:r w:rsidR="00FC7BA3">
        <w:t>922,8</w:t>
      </w:r>
      <w:r w:rsidR="00FC7BA3" w:rsidRPr="00592D6B">
        <w:t xml:space="preserve"> млн. руб.</w:t>
      </w:r>
      <w:r w:rsidR="000E2790">
        <w:t>,</w:t>
      </w:r>
      <w:r w:rsidR="00FC7BA3">
        <w:t xml:space="preserve"> или 12,3%</w:t>
      </w:r>
      <w:r w:rsidR="00FC7BA3" w:rsidRPr="00592D6B">
        <w:t>), налогу на доходы физических лиц (+</w:t>
      </w:r>
      <w:r w:rsidR="00FC7BA3">
        <w:t>374,7</w:t>
      </w:r>
      <w:r w:rsidR="00FC7BA3" w:rsidRPr="00592D6B">
        <w:t xml:space="preserve"> млн. руб.</w:t>
      </w:r>
      <w:r w:rsidR="00FC7BA3">
        <w:t>, или 1,5%</w:t>
      </w:r>
      <w:r w:rsidR="00FC7BA3" w:rsidRPr="00592D6B">
        <w:t>), а</w:t>
      </w:r>
      <w:r w:rsidR="00FC7BA3" w:rsidRPr="00592D6B">
        <w:rPr>
          <w:rFonts w:eastAsia="Calibri"/>
          <w:lang w:eastAsia="en-US"/>
        </w:rPr>
        <w:t xml:space="preserve">кцизам по подакцизным товарам (продукции), производимым на территории РФ </w:t>
      </w:r>
      <w:r w:rsidR="00FC7BA3" w:rsidRPr="004C5B86">
        <w:rPr>
          <w:rFonts w:eastAsia="Calibri"/>
          <w:lang w:eastAsia="en-US"/>
        </w:rPr>
        <w:t>(113,8 млн. руб. или 0,7%)</w:t>
      </w:r>
      <w:r w:rsidR="00FC7BA3">
        <w:rPr>
          <w:rFonts w:eastAsia="Calibri"/>
          <w:lang w:eastAsia="en-US"/>
        </w:rPr>
        <w:t>, в т</w:t>
      </w:r>
      <w:r w:rsidR="000E2790">
        <w:rPr>
          <w:rFonts w:eastAsia="Calibri"/>
          <w:lang w:eastAsia="en-US"/>
        </w:rPr>
        <w:t xml:space="preserve">ом </w:t>
      </w:r>
      <w:r w:rsidR="00FC7BA3">
        <w:rPr>
          <w:rFonts w:eastAsia="Calibri"/>
          <w:lang w:eastAsia="en-US"/>
        </w:rPr>
        <w:t>ч</w:t>
      </w:r>
      <w:r w:rsidR="000E2790">
        <w:rPr>
          <w:rFonts w:eastAsia="Calibri"/>
          <w:lang w:eastAsia="en-US"/>
        </w:rPr>
        <w:t>исле</w:t>
      </w:r>
      <w:r w:rsidR="00FC7BA3">
        <w:rPr>
          <w:rFonts w:eastAsia="Calibri"/>
          <w:lang w:eastAsia="en-US"/>
        </w:rPr>
        <w:t xml:space="preserve"> по акцизам на пиво (+222 млн. руб., или 10,3%)</w:t>
      </w:r>
      <w:r w:rsidR="00FC7BA3" w:rsidRPr="004C5B86">
        <w:rPr>
          <w:rFonts w:eastAsia="Calibri"/>
          <w:lang w:eastAsia="en-US"/>
        </w:rPr>
        <w:t xml:space="preserve">, </w:t>
      </w:r>
      <w:r w:rsidR="00FC7BA3" w:rsidRPr="00592D6B">
        <w:t>налогу, взимаемому в связи с применением упрощенной системы налогообложения</w:t>
      </w:r>
      <w:r w:rsidR="00FC7BA3" w:rsidRPr="00592D6B">
        <w:rPr>
          <w:b/>
        </w:rPr>
        <w:t xml:space="preserve"> </w:t>
      </w:r>
      <w:r w:rsidR="00FC7BA3" w:rsidRPr="00E54393">
        <w:rPr>
          <w:bCs/>
        </w:rPr>
        <w:t>(-136,7</w:t>
      </w:r>
      <w:r w:rsidR="00FC7BA3" w:rsidRPr="00592D6B">
        <w:t xml:space="preserve"> млн. руб.</w:t>
      </w:r>
      <w:r w:rsidR="000E2790">
        <w:t>,</w:t>
      </w:r>
      <w:r w:rsidR="00FC7BA3">
        <w:t xml:space="preserve"> или 2%</w:t>
      </w:r>
      <w:r w:rsidR="00FC7BA3" w:rsidRPr="00592D6B">
        <w:t>), налогу на профессиональный доход (+</w:t>
      </w:r>
      <w:r w:rsidR="00FC7BA3">
        <w:t>34,7</w:t>
      </w:r>
      <w:r w:rsidR="00FC7BA3" w:rsidRPr="00592D6B">
        <w:t xml:space="preserve"> млн. руб.</w:t>
      </w:r>
      <w:r w:rsidR="000E2790">
        <w:t>,</w:t>
      </w:r>
      <w:r w:rsidR="00FC7BA3">
        <w:t xml:space="preserve"> или 43%</w:t>
      </w:r>
      <w:r w:rsidR="00FC7BA3" w:rsidRPr="00592D6B">
        <w:t>),</w:t>
      </w:r>
      <w:r w:rsidR="00FC7BA3">
        <w:t xml:space="preserve"> </w:t>
      </w:r>
      <w:r w:rsidR="00FC7BA3" w:rsidRPr="00592D6B">
        <w:t xml:space="preserve">налогам, сборам и </w:t>
      </w:r>
      <w:r w:rsidR="00FC7BA3" w:rsidRPr="00592D6B">
        <w:lastRenderedPageBreak/>
        <w:t xml:space="preserve">регулярным платежам за пользование природными ресурсами </w:t>
      </w:r>
      <w:r w:rsidR="00FC7BA3" w:rsidRPr="005B1679">
        <w:t>(+11,1 млн. руб.</w:t>
      </w:r>
      <w:r w:rsidR="000E2790">
        <w:t>,</w:t>
      </w:r>
      <w:r w:rsidR="00FC7BA3" w:rsidRPr="005B1679">
        <w:t xml:space="preserve"> или 13,9%), </w:t>
      </w:r>
      <w:r w:rsidR="00FC7BA3" w:rsidRPr="00592D6B">
        <w:t>доходам от использования имущества, находящегося в государственной собственности (+</w:t>
      </w:r>
      <w:r w:rsidR="00FC7BA3">
        <w:t>22,5</w:t>
      </w:r>
      <w:r w:rsidR="00FC7BA3" w:rsidRPr="00592D6B">
        <w:t xml:space="preserve"> млн. руб.</w:t>
      </w:r>
      <w:r w:rsidR="00DE634E">
        <w:t>,</w:t>
      </w:r>
      <w:r w:rsidR="00FC7BA3">
        <w:t xml:space="preserve"> или 14,2%</w:t>
      </w:r>
      <w:r w:rsidR="00FC7BA3" w:rsidRPr="00592D6B">
        <w:t>),</w:t>
      </w:r>
      <w:r w:rsidR="00FC7BA3" w:rsidRPr="00592D6B">
        <w:rPr>
          <w:b/>
          <w:sz w:val="28"/>
          <w:szCs w:val="28"/>
        </w:rPr>
        <w:t xml:space="preserve"> </w:t>
      </w:r>
      <w:r w:rsidR="00FC7BA3" w:rsidRPr="00592D6B">
        <w:t>штрафам, санкциям, возмещениям ущерба (+13,8 млн. руб.</w:t>
      </w:r>
      <w:r w:rsidR="00DE634E">
        <w:t>,</w:t>
      </w:r>
      <w:r w:rsidR="00FC7BA3">
        <w:t xml:space="preserve"> или 1,2%</w:t>
      </w:r>
      <w:r w:rsidR="00FC7BA3" w:rsidRPr="00592D6B">
        <w:t>).</w:t>
      </w:r>
    </w:p>
    <w:p w14:paraId="77C99BED" w14:textId="060D436A" w:rsidR="00FC7BA3" w:rsidRPr="005E085D" w:rsidRDefault="00572A96" w:rsidP="00FC7BA3">
      <w:pPr>
        <w:ind w:firstLine="680"/>
        <w:jc w:val="both"/>
      </w:pPr>
      <w:r>
        <w:t xml:space="preserve"> </w:t>
      </w:r>
      <w:r w:rsidR="00FC7BA3" w:rsidRPr="005E085D">
        <w:t xml:space="preserve">Согласно Пояснительной записке к законопроекту предлагаемые изменения доходной части областного бюджета рассчитаны на основе ожидаемых итогов социально-экономического развития Волгоградской области в 2021 году </w:t>
      </w:r>
      <w:r w:rsidR="00FC7BA3" w:rsidRPr="005E085D">
        <w:rPr>
          <w:lang w:val="en-US"/>
        </w:rPr>
        <w:t>c</w:t>
      </w:r>
      <w:r w:rsidR="00FC7BA3" w:rsidRPr="005E085D">
        <w:t xml:space="preserve"> учетом поступления доходов в областной бюджет в истекшем периоде текущего года и уточненных прогнозов главных администраторов доходов областного бюджета.</w:t>
      </w:r>
    </w:p>
    <w:p w14:paraId="0C6FD0AE" w14:textId="3D05805F" w:rsidR="00FC7BA3" w:rsidRPr="00CF257C" w:rsidRDefault="00572A96" w:rsidP="00FC7BA3">
      <w:pPr>
        <w:ind w:firstLine="680"/>
        <w:jc w:val="both"/>
      </w:pPr>
      <w:r>
        <w:t xml:space="preserve"> </w:t>
      </w:r>
      <w:r w:rsidR="00FC7BA3" w:rsidRPr="005E085D">
        <w:t xml:space="preserve">По ожидаемым итогам социально-экономического развития Волгоградской области </w:t>
      </w:r>
      <w:r w:rsidR="00FC7BA3" w:rsidRPr="00CF257C">
        <w:t xml:space="preserve">в 2021 году и плановом периоде 2022 и 2023 годов, представленным одновременно с законопроектом, в </w:t>
      </w:r>
      <w:r w:rsidR="001B3537">
        <w:t>текущем</w:t>
      </w:r>
      <w:r w:rsidR="00FC7BA3" w:rsidRPr="00CF257C">
        <w:t xml:space="preserve"> году ожидается рост по </w:t>
      </w:r>
      <w:r w:rsidR="00FC7BA3">
        <w:t>всем</w:t>
      </w:r>
      <w:r w:rsidR="00FC7BA3" w:rsidRPr="00CF257C">
        <w:t xml:space="preserve"> основны</w:t>
      </w:r>
      <w:r w:rsidR="00FC7BA3">
        <w:t>м</w:t>
      </w:r>
      <w:r w:rsidR="00FC7BA3" w:rsidRPr="00CF257C">
        <w:t xml:space="preserve"> показател</w:t>
      </w:r>
      <w:r w:rsidR="00FC7BA3">
        <w:t>ям</w:t>
      </w:r>
      <w:r w:rsidR="00FC7BA3" w:rsidRPr="00CF257C">
        <w:t xml:space="preserve"> социально-экономического развития региона</w:t>
      </w:r>
      <w:r w:rsidR="00FC7BA3">
        <w:t>, за исключением объема производства пива</w:t>
      </w:r>
      <w:r w:rsidR="00FC7BA3" w:rsidRPr="00CF257C">
        <w:t>. Сравнительные данные об ожидаемых макроэкономических показателях за 2021 год и отчетных показателях 2020 года приведены в следующей таблице.</w:t>
      </w:r>
    </w:p>
    <w:p w14:paraId="38A5672C" w14:textId="77777777" w:rsidR="00FC7BA3" w:rsidRPr="000C66CC" w:rsidRDefault="00FC7BA3" w:rsidP="00FC7BA3">
      <w:pPr>
        <w:ind w:firstLine="680"/>
        <w:jc w:val="both"/>
        <w:rPr>
          <w:rFonts w:eastAsia="Calibri"/>
          <w:bCs/>
          <w:iCs/>
          <w:sz w:val="16"/>
          <w:szCs w:val="16"/>
          <w:lang w:eastAsia="en-US"/>
        </w:rPr>
      </w:pPr>
    </w:p>
    <w:tbl>
      <w:tblPr>
        <w:tblStyle w:val="ab"/>
        <w:tblW w:w="949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  <w:gridCol w:w="1134"/>
        <w:gridCol w:w="1275"/>
        <w:gridCol w:w="1277"/>
      </w:tblGrid>
      <w:tr w:rsidR="00FC7BA3" w:rsidRPr="00CF257C" w14:paraId="0D97F55D" w14:textId="77777777" w:rsidTr="00DD7B57">
        <w:tc>
          <w:tcPr>
            <w:tcW w:w="5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73D328" w14:textId="77777777" w:rsidR="00FC7BA3" w:rsidRPr="00CF257C" w:rsidRDefault="00FC7BA3" w:rsidP="00B32E7F">
            <w:pPr>
              <w:jc w:val="center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Показатели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788D02" w14:textId="77777777" w:rsidR="00FC7BA3" w:rsidRPr="00CF257C" w:rsidRDefault="00FC7BA3" w:rsidP="00B32E7F">
            <w:pPr>
              <w:jc w:val="center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Ед. изм.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C659A6" w14:textId="77777777" w:rsidR="00FC7BA3" w:rsidRPr="00CF257C" w:rsidRDefault="00FC7BA3" w:rsidP="00B32E7F">
            <w:pPr>
              <w:jc w:val="center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2020 год (факт)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69F990" w14:textId="77777777" w:rsidR="00FC7BA3" w:rsidRPr="00CF257C" w:rsidRDefault="00FC7BA3" w:rsidP="00B32E7F">
            <w:pPr>
              <w:jc w:val="center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2021 год (оценка)</w:t>
            </w:r>
          </w:p>
        </w:tc>
      </w:tr>
      <w:tr w:rsidR="00FC7BA3" w:rsidRPr="00CF257C" w14:paraId="025D6687" w14:textId="77777777" w:rsidTr="00DD7B57"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</w:tcPr>
          <w:p w14:paraId="19ACA16B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Валовой региональный продукт</w:t>
            </w:r>
            <w:r w:rsidRPr="00CF257C">
              <w:rPr>
                <w:sz w:val="18"/>
                <w:szCs w:val="18"/>
              </w:rPr>
              <w:t xml:space="preserve"> (в действующих ценах каждого года)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EB934EE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млн. руб.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23044A2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975 025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0C5E134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1 000 510</w:t>
            </w:r>
          </w:p>
        </w:tc>
      </w:tr>
      <w:tr w:rsidR="00FC7BA3" w:rsidRPr="00CF257C" w14:paraId="61B079B8" w14:textId="77777777" w:rsidTr="00DD7B57">
        <w:tc>
          <w:tcPr>
            <w:tcW w:w="5812" w:type="dxa"/>
            <w:shd w:val="clear" w:color="auto" w:fill="auto"/>
          </w:tcPr>
          <w:p w14:paraId="54330C54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в сопоставимых ценах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6CD0B4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A8F603B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8</w:t>
            </w:r>
            <w:r w:rsidRPr="00CF257C">
              <w:rPr>
                <w:sz w:val="18"/>
                <w:szCs w:val="18"/>
              </w:rPr>
              <w:t>,6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96BA547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102,0</w:t>
            </w:r>
          </w:p>
        </w:tc>
      </w:tr>
      <w:tr w:rsidR="00FC7BA3" w:rsidRPr="00CF257C" w14:paraId="0E2C0723" w14:textId="77777777" w:rsidTr="00DD7B57">
        <w:tc>
          <w:tcPr>
            <w:tcW w:w="5812" w:type="dxa"/>
            <w:shd w:val="clear" w:color="auto" w:fill="auto"/>
          </w:tcPr>
          <w:p w14:paraId="4A3A7B62" w14:textId="77777777" w:rsidR="00FC7BA3" w:rsidRPr="00CF257C" w:rsidRDefault="00FC7BA3" w:rsidP="00B32E7F">
            <w:pPr>
              <w:jc w:val="both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Прибыль прибыльных предприятий (</w:t>
            </w:r>
            <w:r w:rsidRPr="00CF257C">
              <w:rPr>
                <w:sz w:val="18"/>
                <w:szCs w:val="18"/>
              </w:rPr>
              <w:t>по полному кругу организаций)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9C3BE3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B252C6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133 500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81E5192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145 650</w:t>
            </w:r>
          </w:p>
        </w:tc>
      </w:tr>
      <w:tr w:rsidR="00FC7BA3" w:rsidRPr="00CF257C" w14:paraId="0EE6C611" w14:textId="77777777" w:rsidTr="00DD7B57">
        <w:tc>
          <w:tcPr>
            <w:tcW w:w="5812" w:type="dxa"/>
            <w:shd w:val="clear" w:color="auto" w:fill="auto"/>
          </w:tcPr>
          <w:p w14:paraId="4A1A8CED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в действующих ценах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9D3750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55FE262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89,6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A7CC037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9,1</w:t>
            </w:r>
          </w:p>
        </w:tc>
      </w:tr>
      <w:tr w:rsidR="00FC7BA3" w:rsidRPr="00CF257C" w14:paraId="2BA2E977" w14:textId="77777777" w:rsidTr="00DD7B57">
        <w:tc>
          <w:tcPr>
            <w:tcW w:w="5812" w:type="dxa"/>
            <w:shd w:val="clear" w:color="auto" w:fill="auto"/>
          </w:tcPr>
          <w:p w14:paraId="4649239C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Объем отгруженной промышленной продукции</w:t>
            </w:r>
            <w:r w:rsidRPr="00CF257C">
              <w:rPr>
                <w:sz w:val="18"/>
                <w:szCs w:val="18"/>
              </w:rPr>
              <w:t xml:space="preserve"> (в действующих ценах каждого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E802AA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BB42A6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04 269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1BF89CC5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912 000</w:t>
            </w:r>
          </w:p>
        </w:tc>
      </w:tr>
      <w:tr w:rsidR="00FC7BA3" w:rsidRPr="00CF257C" w14:paraId="0B697FAD" w14:textId="77777777" w:rsidTr="00DD7B57">
        <w:tc>
          <w:tcPr>
            <w:tcW w:w="5812" w:type="dxa"/>
            <w:shd w:val="clear" w:color="auto" w:fill="auto"/>
          </w:tcPr>
          <w:p w14:paraId="23E3410A" w14:textId="77777777" w:rsidR="00FC7BA3" w:rsidRPr="00CF257C" w:rsidRDefault="00FC7BA3" w:rsidP="00B32E7F">
            <w:pPr>
              <w:jc w:val="both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 xml:space="preserve">Индекс промышленного производства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2E90F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F3C8C8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99,3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06A5C74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100,5</w:t>
            </w:r>
          </w:p>
        </w:tc>
      </w:tr>
      <w:tr w:rsidR="00FC7BA3" w:rsidRPr="00CF257C" w14:paraId="5236B1E4" w14:textId="77777777" w:rsidTr="00DD7B57">
        <w:tc>
          <w:tcPr>
            <w:tcW w:w="5812" w:type="dxa"/>
            <w:shd w:val="clear" w:color="auto" w:fill="auto"/>
          </w:tcPr>
          <w:p w14:paraId="6953B66D" w14:textId="77777777" w:rsidR="00FC7BA3" w:rsidRPr="00804CBD" w:rsidRDefault="00FC7BA3" w:rsidP="00B32E7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Производство пива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8A7594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дкл.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9CD9618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10 438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7F03DCB3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10 400</w:t>
            </w:r>
          </w:p>
        </w:tc>
      </w:tr>
      <w:tr w:rsidR="00FC7BA3" w:rsidRPr="00CF257C" w14:paraId="531D8485" w14:textId="77777777" w:rsidTr="00DD7B57">
        <w:tc>
          <w:tcPr>
            <w:tcW w:w="5812" w:type="dxa"/>
            <w:shd w:val="clear" w:color="auto" w:fill="auto"/>
          </w:tcPr>
          <w:p w14:paraId="17536334" w14:textId="77777777" w:rsidR="00FC7BA3" w:rsidRPr="00CF257C" w:rsidRDefault="00FC7BA3" w:rsidP="00B32E7F">
            <w:pPr>
              <w:jc w:val="both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Оборот малых и средних предприятий, включая микропредприятия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118087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млрд.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B7CB58D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686,0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A4DBB77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703,2</w:t>
            </w:r>
          </w:p>
        </w:tc>
      </w:tr>
      <w:tr w:rsidR="00FC7BA3" w:rsidRPr="00CF257C" w14:paraId="21E16493" w14:textId="77777777" w:rsidTr="00DD7B57">
        <w:tc>
          <w:tcPr>
            <w:tcW w:w="5812" w:type="dxa"/>
            <w:shd w:val="clear" w:color="auto" w:fill="auto"/>
          </w:tcPr>
          <w:p w14:paraId="2E71B650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в действующих ценах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BE64A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8CCF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99,5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D1CB892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102,5</w:t>
            </w:r>
          </w:p>
        </w:tc>
      </w:tr>
      <w:tr w:rsidR="00FC7BA3" w:rsidRPr="00CF257C" w14:paraId="121EA721" w14:textId="77777777" w:rsidTr="00DD7B57">
        <w:trPr>
          <w:trHeight w:val="94"/>
        </w:trPr>
        <w:tc>
          <w:tcPr>
            <w:tcW w:w="5812" w:type="dxa"/>
            <w:shd w:val="clear" w:color="auto" w:fill="auto"/>
          </w:tcPr>
          <w:p w14:paraId="5EDC2355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Объем платных услуг населению</w:t>
            </w:r>
            <w:r w:rsidRPr="00CF257C">
              <w:rPr>
                <w:sz w:val="18"/>
                <w:szCs w:val="18"/>
              </w:rPr>
              <w:t xml:space="preserve"> (в действующих ценах каждого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45C1B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8E44AF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 xml:space="preserve">132 </w:t>
            </w:r>
            <w:r>
              <w:rPr>
                <w:sz w:val="18"/>
                <w:szCs w:val="18"/>
              </w:rPr>
              <w:t>389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6FEDD559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 xml:space="preserve">152 </w:t>
            </w:r>
            <w:r>
              <w:rPr>
                <w:sz w:val="18"/>
                <w:szCs w:val="18"/>
              </w:rPr>
              <w:t>800</w:t>
            </w:r>
          </w:p>
        </w:tc>
      </w:tr>
      <w:tr w:rsidR="00FC7BA3" w:rsidRPr="00CF257C" w14:paraId="4B373E53" w14:textId="77777777" w:rsidTr="00DD7B57">
        <w:trPr>
          <w:trHeight w:val="214"/>
        </w:trPr>
        <w:tc>
          <w:tcPr>
            <w:tcW w:w="5812" w:type="dxa"/>
            <w:shd w:val="clear" w:color="auto" w:fill="auto"/>
          </w:tcPr>
          <w:p w14:paraId="3CFE50C4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в сопоставимых ценах к предыдущему году</w:t>
            </w:r>
          </w:p>
        </w:tc>
        <w:tc>
          <w:tcPr>
            <w:tcW w:w="1134" w:type="dxa"/>
            <w:shd w:val="clear" w:color="auto" w:fill="auto"/>
          </w:tcPr>
          <w:p w14:paraId="036D3664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14:paraId="0FCC3CE0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86,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14:paraId="294806BD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111,3</w:t>
            </w:r>
          </w:p>
        </w:tc>
      </w:tr>
      <w:tr w:rsidR="00FC7BA3" w:rsidRPr="00CF257C" w14:paraId="52DE78AF" w14:textId="77777777" w:rsidTr="00DD7B57">
        <w:trPr>
          <w:trHeight w:val="119"/>
        </w:trPr>
        <w:tc>
          <w:tcPr>
            <w:tcW w:w="5812" w:type="dxa"/>
            <w:shd w:val="clear" w:color="auto" w:fill="auto"/>
          </w:tcPr>
          <w:p w14:paraId="215EE2CD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 xml:space="preserve">Оборот розничной торговли </w:t>
            </w:r>
            <w:r w:rsidRPr="00CF257C">
              <w:rPr>
                <w:sz w:val="18"/>
                <w:szCs w:val="18"/>
              </w:rPr>
              <w:t>(в действующих ценах каждого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2F947C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6033DC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415 735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21B25E75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457 471</w:t>
            </w:r>
          </w:p>
        </w:tc>
      </w:tr>
      <w:tr w:rsidR="00FC7BA3" w:rsidRPr="00CF257C" w14:paraId="69D42F06" w14:textId="77777777" w:rsidTr="00DD7B57">
        <w:trPr>
          <w:trHeight w:val="250"/>
        </w:trPr>
        <w:tc>
          <w:tcPr>
            <w:tcW w:w="5812" w:type="dxa"/>
            <w:shd w:val="clear" w:color="auto" w:fill="auto"/>
          </w:tcPr>
          <w:p w14:paraId="3BC8A4AC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в сопоставимых ценах 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21ED2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452AF1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96,1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5E8D326C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104,6</w:t>
            </w:r>
          </w:p>
        </w:tc>
      </w:tr>
      <w:tr w:rsidR="00FC7BA3" w:rsidRPr="00CF257C" w14:paraId="70A914B8" w14:textId="77777777" w:rsidTr="00DD7B57">
        <w:trPr>
          <w:trHeight w:val="104"/>
        </w:trPr>
        <w:tc>
          <w:tcPr>
            <w:tcW w:w="5812" w:type="dxa"/>
            <w:shd w:val="clear" w:color="auto" w:fill="auto"/>
          </w:tcPr>
          <w:p w14:paraId="0C1CF890" w14:textId="77777777" w:rsidR="00FC7BA3" w:rsidRPr="00CF257C" w:rsidRDefault="00FC7BA3" w:rsidP="00B32E7F">
            <w:pPr>
              <w:jc w:val="both"/>
              <w:rPr>
                <w:b/>
                <w:sz w:val="18"/>
                <w:szCs w:val="18"/>
              </w:rPr>
            </w:pPr>
            <w:r w:rsidRPr="00CF257C">
              <w:rPr>
                <w:b/>
                <w:sz w:val="18"/>
                <w:szCs w:val="18"/>
              </w:rPr>
              <w:t>Фонд заработной платы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7857B2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млн. 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C92805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242 711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35113849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261 601</w:t>
            </w:r>
          </w:p>
        </w:tc>
      </w:tr>
      <w:tr w:rsidR="00FC7BA3" w:rsidRPr="00CF257C" w14:paraId="1D00C348" w14:textId="77777777" w:rsidTr="00DD7B57">
        <w:trPr>
          <w:trHeight w:val="140"/>
        </w:trPr>
        <w:tc>
          <w:tcPr>
            <w:tcW w:w="5812" w:type="dxa"/>
            <w:shd w:val="clear" w:color="auto" w:fill="auto"/>
          </w:tcPr>
          <w:p w14:paraId="218CCCA2" w14:textId="77777777" w:rsidR="00FC7BA3" w:rsidRPr="00CF257C" w:rsidRDefault="00FC7BA3" w:rsidP="00B32E7F">
            <w:pPr>
              <w:jc w:val="both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к предыдущему году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32B02" w14:textId="77777777" w:rsidR="00FC7BA3" w:rsidRPr="00CF257C" w:rsidRDefault="00FC7BA3" w:rsidP="00B32E7F">
            <w:pPr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5E5C27E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105,1</w:t>
            </w:r>
          </w:p>
        </w:tc>
        <w:tc>
          <w:tcPr>
            <w:tcW w:w="1277" w:type="dxa"/>
            <w:shd w:val="clear" w:color="auto" w:fill="auto"/>
            <w:vAlign w:val="center"/>
          </w:tcPr>
          <w:p w14:paraId="0A6342A7" w14:textId="77777777" w:rsidR="00FC7BA3" w:rsidRPr="00CF257C" w:rsidRDefault="00FC7BA3" w:rsidP="00B32E7F">
            <w:pPr>
              <w:jc w:val="right"/>
              <w:rPr>
                <w:sz w:val="18"/>
                <w:szCs w:val="18"/>
              </w:rPr>
            </w:pPr>
            <w:r w:rsidRPr="00CF257C">
              <w:rPr>
                <w:sz w:val="18"/>
                <w:szCs w:val="18"/>
              </w:rPr>
              <w:t>107,8</w:t>
            </w:r>
          </w:p>
        </w:tc>
      </w:tr>
    </w:tbl>
    <w:p w14:paraId="4B0E0A05" w14:textId="77777777" w:rsidR="00FC7BA3" w:rsidRDefault="00FC7BA3" w:rsidP="00FC7BA3">
      <w:pPr>
        <w:tabs>
          <w:tab w:val="num" w:pos="0"/>
        </w:tabs>
        <w:ind w:firstLine="708"/>
        <w:jc w:val="both"/>
        <w:outlineLvl w:val="0"/>
      </w:pPr>
    </w:p>
    <w:p w14:paraId="606C3471" w14:textId="45DFECD5" w:rsidR="00FC7BA3" w:rsidRPr="001112E0" w:rsidRDefault="00572A96" w:rsidP="00FC7BA3">
      <w:pPr>
        <w:tabs>
          <w:tab w:val="num" w:pos="0"/>
        </w:tabs>
        <w:ind w:firstLine="708"/>
        <w:jc w:val="both"/>
        <w:outlineLvl w:val="0"/>
      </w:pPr>
      <w:r>
        <w:t xml:space="preserve"> </w:t>
      </w:r>
      <w:r w:rsidR="00FC7BA3" w:rsidRPr="001112E0">
        <w:t xml:space="preserve">Анализ представленных с </w:t>
      </w:r>
      <w:r w:rsidR="001B3537">
        <w:t>з</w:t>
      </w:r>
      <w:r w:rsidR="00FC7BA3" w:rsidRPr="001112E0">
        <w:t>аконопроектом материалов свидетельствует о наличии рисков недопоступления в областной бюджет в прогнозируемых объемах доходов по налогу на прибыль организаций и от уплаты акцизов на пиво, производимое на территории РФ.</w:t>
      </w:r>
    </w:p>
    <w:p w14:paraId="3224B25C" w14:textId="0838ECF5" w:rsidR="00FC7BA3" w:rsidRPr="001112E0" w:rsidRDefault="00FC7BA3" w:rsidP="00FC7BA3">
      <w:pPr>
        <w:tabs>
          <w:tab w:val="num" w:pos="0"/>
        </w:tabs>
        <w:ind w:firstLine="708"/>
        <w:jc w:val="both"/>
        <w:outlineLvl w:val="0"/>
      </w:pPr>
      <w:r w:rsidRPr="001112E0">
        <w:rPr>
          <w:b/>
          <w:bCs/>
          <w:i/>
          <w:iCs/>
        </w:rPr>
        <w:t>Налог на прибыль организаций</w:t>
      </w:r>
      <w:r w:rsidRPr="001112E0">
        <w:t xml:space="preserve"> оценивается в сумме 26753,4 млн. рублей. Прогнозные поступления по налогу предлагается увеличить на 2922,8 млн. руб., или на 12,3% (с 23830,6 млн. руб. до 26 753,4 млн. руб.).</w:t>
      </w:r>
    </w:p>
    <w:p w14:paraId="44DB4F0F" w14:textId="3A8D917A" w:rsidR="00FC7BA3" w:rsidRPr="001112E0" w:rsidRDefault="00572A96" w:rsidP="00FC7BA3">
      <w:pPr>
        <w:tabs>
          <w:tab w:val="num" w:pos="0"/>
        </w:tabs>
        <w:ind w:firstLine="708"/>
        <w:jc w:val="both"/>
        <w:outlineLvl w:val="0"/>
      </w:pPr>
      <w:r>
        <w:t xml:space="preserve"> </w:t>
      </w:r>
      <w:r w:rsidR="00FC7BA3">
        <w:t>З</w:t>
      </w:r>
      <w:r w:rsidR="00FC7BA3" w:rsidRPr="001112E0">
        <w:t>а 10 месяцев 2021 года поступление налога на прибыль составило 20830,5 млн. руб., или 77,9% от предлагаемых годовых назначений. Для выполнения прогнозного годового плана (26753,4 млн. руб.) за ноябрь-декабрь должно поступить 5922,9 млн. руб., что</w:t>
      </w:r>
      <w:r w:rsidR="001B3537">
        <w:t>,</w:t>
      </w:r>
      <w:r w:rsidR="00FC7BA3" w:rsidRPr="001112E0">
        <w:t xml:space="preserve"> исходя из анализа поступлений за три предыдущих года, маловероятно. Так</w:t>
      </w:r>
      <w:r w:rsidR="001B3537">
        <w:t>,</w:t>
      </w:r>
      <w:r w:rsidR="00FC7BA3" w:rsidRPr="001112E0">
        <w:t xml:space="preserve"> в ноябре-декабре 2018 года поступило 3641,1 млн. руб., 2019 года – 2851,7 млн. руб., 2020 года – 4806,8 рублей. </w:t>
      </w:r>
      <w:r w:rsidR="00FC7BA3" w:rsidRPr="007C22BE">
        <w:t>При сохранении с</w:t>
      </w:r>
      <w:r w:rsidR="00DF0CA2" w:rsidRPr="007C22BE">
        <w:t>кладывающихся</w:t>
      </w:r>
      <w:r w:rsidR="00FC7BA3" w:rsidRPr="007C22BE">
        <w:t xml:space="preserve"> темпов поступлений налога на прибыль </w:t>
      </w:r>
      <w:r w:rsidR="00DF0CA2" w:rsidRPr="007C22BE">
        <w:t xml:space="preserve">организаций </w:t>
      </w:r>
      <w:r w:rsidR="00FC7BA3" w:rsidRPr="007C22BE">
        <w:rPr>
          <w:u w:val="single"/>
        </w:rPr>
        <w:t>недовыполнение предлагаемого к утверждению годового плана, по</w:t>
      </w:r>
      <w:r w:rsidR="00FC7BA3" w:rsidRPr="000C66CC">
        <w:rPr>
          <w:u w:val="single"/>
        </w:rPr>
        <w:t xml:space="preserve"> оценке КСП, </w:t>
      </w:r>
      <w:r w:rsidR="00DF0CA2">
        <w:rPr>
          <w:u w:val="single"/>
        </w:rPr>
        <w:t>может составить не менее</w:t>
      </w:r>
      <w:r w:rsidR="00FC7BA3" w:rsidRPr="000C66CC">
        <w:rPr>
          <w:u w:val="single"/>
        </w:rPr>
        <w:t xml:space="preserve"> 1000 млн. рублей.</w:t>
      </w:r>
    </w:p>
    <w:p w14:paraId="18A59ADC" w14:textId="6412D6F3" w:rsidR="00FC7BA3" w:rsidRPr="007C22BE" w:rsidRDefault="00572A96" w:rsidP="00FC7BA3">
      <w:pPr>
        <w:ind w:firstLine="680"/>
        <w:jc w:val="both"/>
        <w:rPr>
          <w:u w:val="single"/>
        </w:rPr>
      </w:pPr>
      <w:r>
        <w:t xml:space="preserve"> </w:t>
      </w:r>
      <w:r w:rsidR="00FC7BA3" w:rsidRPr="001D61E3">
        <w:t xml:space="preserve">Прогнозные поступления </w:t>
      </w:r>
      <w:r w:rsidR="00FC7BA3" w:rsidRPr="001D61E3">
        <w:rPr>
          <w:b/>
          <w:bCs/>
          <w:i/>
          <w:iCs/>
        </w:rPr>
        <w:t>акцизов на пиво</w:t>
      </w:r>
      <w:r w:rsidR="00FC7BA3" w:rsidRPr="001D61E3">
        <w:t xml:space="preserve"> на 2021 год предусмотрены </w:t>
      </w:r>
      <w:r w:rsidR="001231CE">
        <w:t xml:space="preserve">законопроектом </w:t>
      </w:r>
      <w:r w:rsidR="00FC7BA3" w:rsidRPr="001D61E3">
        <w:t>в сумме 2378,1 млн. руб., что выше поступлений</w:t>
      </w:r>
      <w:r w:rsidR="001231CE">
        <w:t>, утвержденных действующей редакцией закона о бюджете</w:t>
      </w:r>
      <w:r w:rsidR="00FC7BA3" w:rsidRPr="001D61E3">
        <w:t xml:space="preserve"> (2156,</w:t>
      </w:r>
      <w:r w:rsidR="00DF7100">
        <w:t>1</w:t>
      </w:r>
      <w:r w:rsidR="00FC7BA3" w:rsidRPr="001D61E3">
        <w:t xml:space="preserve"> млн. руб.)</w:t>
      </w:r>
      <w:r w:rsidR="001231CE">
        <w:t>,</w:t>
      </w:r>
      <w:r w:rsidR="00FC7BA3" w:rsidRPr="001D61E3">
        <w:t xml:space="preserve"> на 22</w:t>
      </w:r>
      <w:r w:rsidR="00DF7100">
        <w:t>2</w:t>
      </w:r>
      <w:r w:rsidR="00FC7BA3" w:rsidRPr="001D61E3">
        <w:t xml:space="preserve"> млн. руб., или на 10,3</w:t>
      </w:r>
      <w:r w:rsidR="004B733A">
        <w:t xml:space="preserve"> процента</w:t>
      </w:r>
      <w:r w:rsidR="00FC7BA3" w:rsidRPr="001D61E3">
        <w:t>. При этом</w:t>
      </w:r>
      <w:r w:rsidR="007C22BE">
        <w:t>, как указано выше,</w:t>
      </w:r>
      <w:r w:rsidR="00FC7BA3" w:rsidRPr="001D61E3">
        <w:t xml:space="preserve"> согласно ожидаемым итогам социально-экономического развития Волгоградской области объем производства пива в 2021 году (10400,0 тыс. дкл.) оценивается в меньшем </w:t>
      </w:r>
      <w:r w:rsidR="007C22BE">
        <w:t>объеме</w:t>
      </w:r>
      <w:r w:rsidR="00FC7BA3" w:rsidRPr="001D61E3">
        <w:t xml:space="preserve"> относительно фактического показателя 2020 года (10438 тыс. дкл.).</w:t>
      </w:r>
      <w:r w:rsidR="00FC7BA3">
        <w:t xml:space="preserve"> </w:t>
      </w:r>
      <w:r w:rsidR="00FC7BA3" w:rsidRPr="001D61E3">
        <w:t>Кроме того, за 10 мес</w:t>
      </w:r>
      <w:r w:rsidR="004B733A">
        <w:t>яцев</w:t>
      </w:r>
      <w:r w:rsidR="00FC7BA3" w:rsidRPr="001D61E3">
        <w:t xml:space="preserve"> </w:t>
      </w:r>
      <w:r w:rsidR="007C22BE">
        <w:t>текущего</w:t>
      </w:r>
      <w:r w:rsidR="00FC7BA3" w:rsidRPr="001D61E3">
        <w:t xml:space="preserve"> года поступления акцизов на пиво составили 2050,2 млн. руб. (86,2% от </w:t>
      </w:r>
      <w:r w:rsidR="007C22BE">
        <w:t xml:space="preserve">предлагаемых </w:t>
      </w:r>
      <w:r w:rsidR="00FC7BA3" w:rsidRPr="001D61E3">
        <w:t xml:space="preserve">прогнозных назначений). Исходя из сложившейся динамики поступлений акцизов на пиво прошлых лет и текущего года, </w:t>
      </w:r>
      <w:r w:rsidR="00FC7BA3" w:rsidRPr="007C22BE">
        <w:rPr>
          <w:u w:val="single"/>
        </w:rPr>
        <w:t>имеются существенные риски недопоступлений акцизов на пиво порядка 130 млн. рублей.</w:t>
      </w:r>
    </w:p>
    <w:p w14:paraId="44688841" w14:textId="41CD1C1E" w:rsidR="00FC7BA3" w:rsidRPr="00C6266B" w:rsidRDefault="00572A96" w:rsidP="00FC7BA3">
      <w:pPr>
        <w:ind w:firstLine="709"/>
        <w:jc w:val="both"/>
      </w:pPr>
      <w:r>
        <w:rPr>
          <w:b/>
          <w:bCs/>
          <w:i/>
        </w:rPr>
        <w:lastRenderedPageBreak/>
        <w:t xml:space="preserve"> </w:t>
      </w:r>
      <w:r w:rsidR="00FC7BA3" w:rsidRPr="001231CE">
        <w:rPr>
          <w:b/>
          <w:bCs/>
          <w:i/>
        </w:rPr>
        <w:t>По</w:t>
      </w:r>
      <w:r w:rsidR="00FC7BA3" w:rsidRPr="005E085D">
        <w:rPr>
          <w:iCs/>
        </w:rPr>
        <w:t xml:space="preserve"> </w:t>
      </w:r>
      <w:r w:rsidR="00FC7BA3" w:rsidRPr="00C6266B">
        <w:rPr>
          <w:b/>
          <w:i/>
        </w:rPr>
        <w:t>безвозмездным поступлениям</w:t>
      </w:r>
      <w:r w:rsidR="00FC7BA3" w:rsidRPr="00C6266B">
        <w:t xml:space="preserve"> предусмотрены следующие изменения:</w:t>
      </w:r>
    </w:p>
    <w:p w14:paraId="793FF5C9" w14:textId="74BC7DB1" w:rsidR="00FC7BA3" w:rsidRPr="00C6266B" w:rsidRDefault="00572A96" w:rsidP="00FC7BA3">
      <w:pPr>
        <w:ind w:firstLine="680"/>
        <w:jc w:val="both"/>
      </w:pPr>
      <w:r>
        <w:t xml:space="preserve"> </w:t>
      </w:r>
      <w:r w:rsidR="00FC7BA3" w:rsidRPr="00C6266B">
        <w:t xml:space="preserve">-субсидии бюджетам бюджетной системы РФ увеличены на </w:t>
      </w:r>
      <w:r w:rsidR="00FC7BA3">
        <w:t>507,9</w:t>
      </w:r>
      <w:r w:rsidR="00FC7BA3" w:rsidRPr="00C6266B">
        <w:t xml:space="preserve"> млн. руб. (с 22663,3 млн. руб. до </w:t>
      </w:r>
      <w:r w:rsidR="00FC7BA3">
        <w:t xml:space="preserve">23171,2 </w:t>
      </w:r>
      <w:r w:rsidR="00FC7BA3" w:rsidRPr="00C6266B">
        <w:t>млн. руб.), в основном за счет предоставления субсидии на осуществление ежемесячных выплат на детей в возрасте от трех до семи лет включительно (+</w:t>
      </w:r>
      <w:r w:rsidR="00FC7BA3" w:rsidRPr="006B1F55">
        <w:t>460,7</w:t>
      </w:r>
      <w:r w:rsidR="00FC7BA3" w:rsidRPr="00C6266B">
        <w:t xml:space="preserve"> млн. руб.)</w:t>
      </w:r>
      <w:r w:rsidR="00FC7BA3">
        <w:t>,</w:t>
      </w:r>
      <w:r w:rsidR="00FC7BA3" w:rsidRPr="00C6266B">
        <w:rPr>
          <w:color w:val="FF0000"/>
        </w:rPr>
        <w:t xml:space="preserve"> </w:t>
      </w:r>
      <w:r w:rsidR="00FC7BA3" w:rsidRPr="00C6266B">
        <w:t xml:space="preserve">субсидии </w:t>
      </w:r>
      <w:r w:rsidR="00FC7BA3" w:rsidRPr="00E6026E">
        <w:t>на реализацию мероприятий по созданию в субъектах РФ новых мест в общеобразовательных организациях</w:t>
      </w:r>
      <w:r w:rsidR="00FC7BA3" w:rsidRPr="00C6266B">
        <w:t xml:space="preserve"> (+</w:t>
      </w:r>
      <w:r w:rsidR="00FC7BA3" w:rsidRPr="00E6026E">
        <w:t>172</w:t>
      </w:r>
      <w:r w:rsidR="00FC7BA3" w:rsidRPr="00C6266B">
        <w:t xml:space="preserve"> млн. руб.)</w:t>
      </w:r>
      <w:r w:rsidR="00FC7BA3" w:rsidRPr="00E6026E">
        <w:t xml:space="preserve"> и субсидии на обустройство контейнерных площадок для раздельного накопления твердых коммунальных отходов (+17 млн. руб.)</w:t>
      </w:r>
      <w:r w:rsidR="00FC7BA3" w:rsidRPr="00C6266B">
        <w:t xml:space="preserve">, а также сокращения объема субсидии на </w:t>
      </w:r>
      <w:r w:rsidR="00FC7BA3" w:rsidRPr="00563660">
        <w:t>реализацию мероприятий по стимулированию программ развития жилищного строительства субъектов РФ</w:t>
      </w:r>
      <w:r w:rsidR="00FC7BA3" w:rsidRPr="00C6266B">
        <w:t xml:space="preserve"> на </w:t>
      </w:r>
      <w:r w:rsidR="00FC7BA3" w:rsidRPr="00563660">
        <w:t>97,7 млн. руб. и субсидии на поддержку сельскохозяйственного производства по отдельным подотраслям растениеводства и животноводства на 50</w:t>
      </w:r>
      <w:r w:rsidR="00FC7BA3" w:rsidRPr="00C6266B">
        <w:t xml:space="preserve"> млн. руб.;</w:t>
      </w:r>
    </w:p>
    <w:p w14:paraId="25C5077F" w14:textId="7E2EE47C" w:rsidR="00FC7BA3" w:rsidRPr="00C6266B" w:rsidRDefault="00572A96" w:rsidP="00FC7BA3">
      <w:pPr>
        <w:ind w:firstLine="680"/>
        <w:jc w:val="both"/>
      </w:pPr>
      <w:r>
        <w:t xml:space="preserve"> </w:t>
      </w:r>
      <w:r w:rsidR="00FC7BA3" w:rsidRPr="00C6266B">
        <w:t xml:space="preserve">-субвенции бюджетам бюджетной системы РФ </w:t>
      </w:r>
      <w:r w:rsidR="00FC7BA3">
        <w:t>уменьш</w:t>
      </w:r>
      <w:r w:rsidR="00FC7BA3" w:rsidRPr="00C6266B">
        <w:t xml:space="preserve">ены </w:t>
      </w:r>
      <w:r w:rsidR="00FC7BA3">
        <w:t>на 1502,5 млн. руб. (</w:t>
      </w:r>
      <w:r w:rsidR="00FC7BA3" w:rsidRPr="00C6266B">
        <w:t>с 8304,</w:t>
      </w:r>
      <w:r w:rsidR="00FC7BA3">
        <w:t>7</w:t>
      </w:r>
      <w:r w:rsidR="00FC7BA3" w:rsidRPr="00C6266B">
        <w:t xml:space="preserve"> млн. руб. до </w:t>
      </w:r>
      <w:r w:rsidR="00FC7BA3">
        <w:t xml:space="preserve">6802,2 </w:t>
      </w:r>
      <w:r w:rsidR="00FC7BA3" w:rsidRPr="00C6266B">
        <w:t>млн. руб.</w:t>
      </w:r>
      <w:r w:rsidR="00FC7BA3">
        <w:t>)</w:t>
      </w:r>
      <w:r w:rsidR="00FC7BA3" w:rsidRPr="00C6266B">
        <w:t xml:space="preserve">, в основном за счет </w:t>
      </w:r>
      <w:r w:rsidR="00FC7BA3" w:rsidRPr="00E33A56">
        <w:t>уменьше</w:t>
      </w:r>
      <w:r w:rsidR="00FC7BA3" w:rsidRPr="00C6266B">
        <w:t xml:space="preserve">ния объема субвенции </w:t>
      </w:r>
      <w:r w:rsidR="00FC7BA3" w:rsidRPr="00E33A56">
        <w:t>бюджетам на оплату жилищно-коммунальных услуг отдельным категориям граждан</w:t>
      </w:r>
      <w:r w:rsidR="00FC7BA3" w:rsidRPr="00C6266B">
        <w:t xml:space="preserve"> (</w:t>
      </w:r>
      <w:r w:rsidR="00FC7BA3" w:rsidRPr="00E33A56">
        <w:t xml:space="preserve">-236 </w:t>
      </w:r>
      <w:r w:rsidR="00FC7BA3" w:rsidRPr="00C6266B">
        <w:t xml:space="preserve">млн. руб.), на осуществление </w:t>
      </w:r>
      <w:r w:rsidR="00FC7BA3" w:rsidRPr="00E33A56">
        <w:t>ежемесячной выплаты в связи с рождением (усыновлением) первого ребенка</w:t>
      </w:r>
      <w:r w:rsidR="00FC7BA3" w:rsidRPr="00C6266B">
        <w:t xml:space="preserve"> (</w:t>
      </w:r>
      <w:r w:rsidR="00FC7BA3" w:rsidRPr="00E33A56">
        <w:t>-474,2</w:t>
      </w:r>
      <w:r w:rsidR="00FC7BA3" w:rsidRPr="00C6266B">
        <w:t xml:space="preserve"> млн. руб.), на </w:t>
      </w:r>
      <w:r w:rsidR="00FC7BA3" w:rsidRPr="00E33A56">
        <w:t>реализацию полномочий РФ по осуществлению социальных выплат безработным гражданам в соответствии с Законом РФ от 19.04.1991 №1032-</w:t>
      </w:r>
      <w:r w:rsidR="00FC7BA3" w:rsidRPr="00E33A56">
        <w:rPr>
          <w:lang w:val="en-US"/>
        </w:rPr>
        <w:t>I</w:t>
      </w:r>
      <w:r w:rsidR="00FC7BA3" w:rsidRPr="00E33A56">
        <w:t xml:space="preserve"> «О занятости населения в РФ»</w:t>
      </w:r>
      <w:r w:rsidR="00FC7BA3" w:rsidRPr="00C6266B">
        <w:t xml:space="preserve"> (</w:t>
      </w:r>
      <w:r w:rsidR="00FC7BA3" w:rsidRPr="00E33A56">
        <w:t xml:space="preserve">-631,9 </w:t>
      </w:r>
      <w:r w:rsidR="00FC7BA3" w:rsidRPr="00C6266B">
        <w:t>млн. руб.)</w:t>
      </w:r>
      <w:r w:rsidR="00FC7BA3">
        <w:t>,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</w:t>
      </w:r>
      <w:r w:rsidR="009B2B15">
        <w:t>едеральным законом</w:t>
      </w:r>
      <w:r w:rsidR="00FC7BA3">
        <w:t xml:space="preserve"> от 19.05.1995 №81-ФЗ «О государственных пособиях гражданам, имеющим детей» (-161,8 млн. руб.)</w:t>
      </w:r>
      <w:r w:rsidR="00FC7BA3" w:rsidRPr="00C6266B">
        <w:t>;</w:t>
      </w:r>
    </w:p>
    <w:p w14:paraId="12BD6722" w14:textId="68006C8B" w:rsidR="00FC7BA3" w:rsidRPr="00C6266B" w:rsidRDefault="00572A96" w:rsidP="00FC7BA3">
      <w:pPr>
        <w:ind w:firstLine="680"/>
        <w:jc w:val="both"/>
      </w:pPr>
      <w:r>
        <w:t xml:space="preserve"> </w:t>
      </w:r>
      <w:r w:rsidR="00FC7BA3" w:rsidRPr="00C6266B">
        <w:t xml:space="preserve">-иные межбюджетные трансферты увеличены </w:t>
      </w:r>
      <w:r w:rsidR="00FC7BA3">
        <w:t>на 1929,9 млн. руб. (</w:t>
      </w:r>
      <w:r w:rsidR="00FC7BA3" w:rsidRPr="00C6266B">
        <w:t xml:space="preserve">с 9400,1 млн. руб. до </w:t>
      </w:r>
      <w:r w:rsidR="00FC7BA3">
        <w:t xml:space="preserve">113300 </w:t>
      </w:r>
      <w:r w:rsidR="00FC7BA3" w:rsidRPr="00C6266B">
        <w:t>млн. руб.</w:t>
      </w:r>
      <w:r w:rsidR="00FC7BA3">
        <w:t>)</w:t>
      </w:r>
      <w:r w:rsidR="00FC7BA3" w:rsidRPr="00C6266B">
        <w:t xml:space="preserve">, </w:t>
      </w:r>
      <w:r w:rsidR="00FC7BA3">
        <w:t xml:space="preserve">в основном за счет увеличения трансфертов, передаваемых бюджетам субъектов РФ в целях софинансирования расходных обязательств субъектов РФ по возмещению производителям зерновых культур части затрат на </w:t>
      </w:r>
      <w:r w:rsidR="00935944">
        <w:t xml:space="preserve">их </w:t>
      </w:r>
      <w:r w:rsidR="00FC7BA3">
        <w:t>производство и реализацию (+424,8 млн. руб</w:t>
      </w:r>
      <w:r w:rsidR="00FC7BA3" w:rsidRPr="009408E9">
        <w:t>.), на финансовое обеспечение дорожной деятельности (+250 млн. руб.), на создание модельных муниципальных библиотек (+40 млн. руб.), трансфертов, передаваемых за счет средств резервного фонда Правительства РФ (+1215 млн. руб.)</w:t>
      </w:r>
      <w:r w:rsidR="00FC7BA3" w:rsidRPr="00C6266B">
        <w:t>;</w:t>
      </w:r>
    </w:p>
    <w:p w14:paraId="072A4E95" w14:textId="7351084E" w:rsidR="00FC7BA3" w:rsidRDefault="00572A96" w:rsidP="00FC7BA3">
      <w:pPr>
        <w:ind w:firstLine="680"/>
        <w:jc w:val="both"/>
        <w:rPr>
          <w:color w:val="000000"/>
        </w:rPr>
      </w:pPr>
      <w:r>
        <w:t xml:space="preserve"> </w:t>
      </w:r>
      <w:r w:rsidR="00FC7BA3" w:rsidRPr="00C6266B">
        <w:t>-б</w:t>
      </w:r>
      <w:r w:rsidR="00FC7BA3" w:rsidRPr="00C6266B">
        <w:rPr>
          <w:color w:val="000000"/>
        </w:rPr>
        <w:t xml:space="preserve">езвозмездные поступления от негосударственных организаций увеличены </w:t>
      </w:r>
      <w:r w:rsidR="00FC7BA3">
        <w:rPr>
          <w:color w:val="000000"/>
        </w:rPr>
        <w:t>на 2,1 млн. руб. (</w:t>
      </w:r>
      <w:r w:rsidR="00FC7BA3" w:rsidRPr="00C6266B">
        <w:rPr>
          <w:color w:val="000000"/>
        </w:rPr>
        <w:t xml:space="preserve">с 8,9 млн. руб. до </w:t>
      </w:r>
      <w:r w:rsidR="00FC7BA3">
        <w:rPr>
          <w:color w:val="000000"/>
        </w:rPr>
        <w:t xml:space="preserve">11 </w:t>
      </w:r>
      <w:r w:rsidR="00FC7BA3" w:rsidRPr="00C6266B">
        <w:rPr>
          <w:color w:val="000000"/>
        </w:rPr>
        <w:t>млн. руб.</w:t>
      </w:r>
      <w:r w:rsidR="00FC7BA3">
        <w:rPr>
          <w:color w:val="000000"/>
        </w:rPr>
        <w:t>);</w:t>
      </w:r>
    </w:p>
    <w:p w14:paraId="7D156BB0" w14:textId="06B88330" w:rsidR="00FC7BA3" w:rsidRPr="00C6266B" w:rsidRDefault="00572A96" w:rsidP="00FC7BA3">
      <w:pPr>
        <w:ind w:firstLine="680"/>
        <w:jc w:val="both"/>
        <w:rPr>
          <w:color w:val="000000"/>
        </w:rPr>
      </w:pPr>
      <w:r>
        <w:rPr>
          <w:color w:val="000000"/>
        </w:rPr>
        <w:t xml:space="preserve"> </w:t>
      </w:r>
      <w:r w:rsidR="00FC7BA3">
        <w:rPr>
          <w:color w:val="000000"/>
        </w:rPr>
        <w:t xml:space="preserve">-доходы бюджетов бюджетной системы РФ от возврата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 увеличены на 136,3 млн. руб. (с 17,4 млн. руб. до 153,7 млн. руб.). </w:t>
      </w:r>
    </w:p>
    <w:p w14:paraId="39D13CAB" w14:textId="77777777" w:rsidR="00FC7BA3" w:rsidRDefault="00FC7BA3" w:rsidP="00FC7BA3">
      <w:pPr>
        <w:ind w:firstLine="680"/>
        <w:jc w:val="both"/>
      </w:pPr>
    </w:p>
    <w:p w14:paraId="2A8E12A5" w14:textId="77777777" w:rsidR="004A3880" w:rsidRDefault="004A3880" w:rsidP="004A3880">
      <w:pPr>
        <w:jc w:val="center"/>
        <w:rPr>
          <w:b/>
          <w:i/>
          <w:u w:val="single"/>
        </w:rPr>
      </w:pPr>
      <w:r w:rsidRPr="00AC5D7E">
        <w:rPr>
          <w:b/>
          <w:i/>
          <w:u w:val="single"/>
        </w:rPr>
        <w:t>Предлагаемое законопроектом изменение общего объема</w:t>
      </w:r>
      <w:r>
        <w:rPr>
          <w:b/>
          <w:i/>
          <w:u w:val="single"/>
        </w:rPr>
        <w:t xml:space="preserve"> </w:t>
      </w:r>
      <w:r w:rsidRPr="00AC5D7E">
        <w:rPr>
          <w:b/>
          <w:i/>
          <w:u w:val="single"/>
        </w:rPr>
        <w:t>расходов</w:t>
      </w:r>
    </w:p>
    <w:p w14:paraId="276E1205" w14:textId="33D3B650" w:rsidR="004A3880" w:rsidRDefault="004A3880" w:rsidP="004A3880">
      <w:pPr>
        <w:jc w:val="center"/>
        <w:rPr>
          <w:b/>
          <w:i/>
          <w:u w:val="single"/>
        </w:rPr>
      </w:pPr>
      <w:r w:rsidRPr="00AC5D7E">
        <w:rPr>
          <w:b/>
          <w:i/>
          <w:u w:val="single"/>
        </w:rPr>
        <w:t xml:space="preserve"> областного бюджета на 20</w:t>
      </w:r>
      <w:r>
        <w:rPr>
          <w:b/>
          <w:i/>
          <w:u w:val="single"/>
        </w:rPr>
        <w:t>2</w:t>
      </w:r>
      <w:r w:rsidR="008E4CDC">
        <w:rPr>
          <w:b/>
          <w:i/>
          <w:u w:val="single"/>
        </w:rPr>
        <w:t>1</w:t>
      </w:r>
      <w:r w:rsidR="0074790D">
        <w:rPr>
          <w:b/>
          <w:i/>
          <w:u w:val="single"/>
        </w:rPr>
        <w:t xml:space="preserve"> </w:t>
      </w:r>
      <w:r w:rsidRPr="00AC5D7E">
        <w:rPr>
          <w:b/>
          <w:i/>
          <w:u w:val="single"/>
        </w:rPr>
        <w:t>год</w:t>
      </w:r>
      <w:r>
        <w:rPr>
          <w:b/>
          <w:i/>
          <w:u w:val="single"/>
        </w:rPr>
        <w:t>.</w:t>
      </w:r>
    </w:p>
    <w:p w14:paraId="6CA30333" w14:textId="77777777" w:rsidR="00E73711" w:rsidRPr="00AC5D7E" w:rsidRDefault="00E73711" w:rsidP="004A3880">
      <w:pPr>
        <w:jc w:val="center"/>
        <w:rPr>
          <w:b/>
          <w:i/>
          <w:u w:val="single"/>
        </w:rPr>
      </w:pPr>
    </w:p>
    <w:p w14:paraId="12CAC1E5" w14:textId="021A6EAE" w:rsidR="00963217" w:rsidRDefault="00C745E2" w:rsidP="00CC1142">
      <w:pPr>
        <w:jc w:val="both"/>
      </w:pPr>
      <w:r>
        <w:tab/>
      </w:r>
      <w:r w:rsidR="00CC1142">
        <w:t xml:space="preserve">В целом расходы областного бюджета на 2021 год предлагается увеличить на 4436,3 млн. руб., или на 3,2 процента. </w:t>
      </w:r>
    </w:p>
    <w:p w14:paraId="4B14B1F9" w14:textId="68B4763C" w:rsidR="00A30641" w:rsidRDefault="00A144CA" w:rsidP="00CC1142">
      <w:pPr>
        <w:jc w:val="both"/>
      </w:pPr>
      <w:r>
        <w:tab/>
      </w:r>
      <w:r w:rsidR="008749F1">
        <w:t xml:space="preserve">Сравнительный анализ показателей действующей редакции закона о бюджете на 2021-2023 годы и вносимых поправок в разрезе функциональной классификации расходов приведен </w:t>
      </w:r>
      <w:r w:rsidR="008749F1" w:rsidRPr="008749F1">
        <w:rPr>
          <w:b/>
          <w:bCs/>
          <w:i/>
          <w:iCs/>
          <w:u w:val="single"/>
        </w:rPr>
        <w:t>в приложении №1</w:t>
      </w:r>
      <w:r w:rsidR="008749F1">
        <w:t xml:space="preserve"> к настоящему заключению.</w:t>
      </w:r>
    </w:p>
    <w:p w14:paraId="528CA2BA" w14:textId="49DAE2DF" w:rsidR="00CC1142" w:rsidRDefault="009F2988" w:rsidP="00CC1142">
      <w:pPr>
        <w:jc w:val="both"/>
      </w:pPr>
      <w:r>
        <w:tab/>
        <w:t>Из приложения видно, что изменения коснулись практически всех разделов бюджетной классификации, а исключением раздела 1300 «Обслуживание государственного долга». При этом по 7 разделам ассигнования предлагается увеличить, по 6 разделам – сократить.</w:t>
      </w:r>
      <w:r w:rsidR="00064AB9">
        <w:t xml:space="preserve"> Наибольшее увеличение предусмотрено </w:t>
      </w:r>
      <w:r w:rsidR="00D37218">
        <w:t>по разделам 0900 «Здравоохранение»</w:t>
      </w:r>
      <w:r>
        <w:t xml:space="preserve"> </w:t>
      </w:r>
      <w:r w:rsidR="00D37218">
        <w:t>(на 2832,9 млн. руб., или на 16,4%) и 0400 «Национальная экономика» (на 1507,7 млн. руб., или на 5,4%). Наибольшее уменьшение ассигнований предусмотрено по разделу 1000 «Социальная политика» (на 774,5 млн. руб., или на 1,8%).</w:t>
      </w:r>
    </w:p>
    <w:p w14:paraId="774D8733" w14:textId="479140DC" w:rsidR="008749F1" w:rsidRPr="00D06EA9" w:rsidRDefault="005A1D2D" w:rsidP="00CC1142">
      <w:pPr>
        <w:jc w:val="both"/>
      </w:pPr>
      <w:r>
        <w:tab/>
        <w:t xml:space="preserve">Сравнительный анализ показателей действующей редакции закона о бюджете на 2022 год и </w:t>
      </w:r>
      <w:r w:rsidR="00D06EA9">
        <w:t xml:space="preserve">вносимых поправок в разрезе главных распорядителей бюджетных средств приведен </w:t>
      </w:r>
      <w:r w:rsidR="00D06EA9" w:rsidRPr="00D06EA9">
        <w:rPr>
          <w:b/>
          <w:bCs/>
          <w:i/>
          <w:iCs/>
          <w:u w:val="single"/>
        </w:rPr>
        <w:t xml:space="preserve">в </w:t>
      </w:r>
      <w:r w:rsidR="00D06EA9" w:rsidRPr="00D06EA9">
        <w:rPr>
          <w:b/>
          <w:bCs/>
          <w:i/>
          <w:iCs/>
          <w:u w:val="single"/>
        </w:rPr>
        <w:lastRenderedPageBreak/>
        <w:t>приложении №2</w:t>
      </w:r>
      <w:r w:rsidR="00D06EA9">
        <w:t>, из которого следует, что</w:t>
      </w:r>
      <w:r w:rsidR="000C65B6">
        <w:t xml:space="preserve"> изменения утвержденных ассигнований в той либо иной мере  коснулись всех без исключения главных распорядителей бюджетных</w:t>
      </w:r>
      <w:r w:rsidR="00D06EA9">
        <w:t xml:space="preserve"> </w:t>
      </w:r>
      <w:r w:rsidR="000C65B6">
        <w:t xml:space="preserve">средств. </w:t>
      </w:r>
      <w:r w:rsidR="00AA6B2D">
        <w:t xml:space="preserve">При этом </w:t>
      </w:r>
      <w:r w:rsidR="00D06EA9">
        <w:t>увеличение планируется по 11 из 34 главных распорядителей, по остальным 23  утвержденные показатели уменьшены.</w:t>
      </w:r>
      <w:r w:rsidR="00AA6B2D">
        <w:t xml:space="preserve"> Наибольшее увеличение предусмотрено по комитет</w:t>
      </w:r>
      <w:r w:rsidR="003D60F0">
        <w:t>у</w:t>
      </w:r>
      <w:r w:rsidR="00AA6B2D">
        <w:t xml:space="preserve"> здравоохранения </w:t>
      </w:r>
      <w:r w:rsidR="003D60F0">
        <w:t xml:space="preserve">Волгоградской области </w:t>
      </w:r>
      <w:r w:rsidR="00C243D3">
        <w:t>(</w:t>
      </w:r>
      <w:r w:rsidR="00AA6B2D">
        <w:t>на 3147,8 млн. руб., или на 11,5%</w:t>
      </w:r>
      <w:r w:rsidR="00C243D3">
        <w:t>)</w:t>
      </w:r>
      <w:r w:rsidR="00AA6B2D">
        <w:t xml:space="preserve"> и транспорта и дорожного хозяйства Волгоградской области </w:t>
      </w:r>
      <w:r w:rsidR="00C243D3">
        <w:t>(</w:t>
      </w:r>
      <w:r w:rsidR="00AA6B2D">
        <w:t>на 1690,5 млн. руб., или на 10,9</w:t>
      </w:r>
      <w:r w:rsidR="00C243D3">
        <w:t>%)</w:t>
      </w:r>
      <w:r w:rsidR="003D60F0">
        <w:t>, наибольшее уменьшение в абсолютных суммах по комитету строительства Волгоградской области (</w:t>
      </w:r>
      <w:r w:rsidR="00F1336C">
        <w:t>на 636,1 млн. руб., или на 6,5%)  по комитету по труду и занятости населения Волгоградской области (на 636,9 млн. руб., или на 32,3%).</w:t>
      </w:r>
    </w:p>
    <w:p w14:paraId="3208EE0C" w14:textId="3B36D6A3" w:rsidR="00D06EA9" w:rsidRDefault="005408DE" w:rsidP="00CC1142">
      <w:pPr>
        <w:jc w:val="both"/>
      </w:pPr>
      <w:r>
        <w:tab/>
        <w:t xml:space="preserve">Сравнение бюджетных ассигнований в разрезе государственных программ Волгоградской области и региональных (национальных) проектов приведено соответственно </w:t>
      </w:r>
      <w:r w:rsidRPr="005408DE">
        <w:rPr>
          <w:b/>
          <w:bCs/>
          <w:i/>
          <w:iCs/>
          <w:u w:val="single"/>
        </w:rPr>
        <w:t>в приложениях №№3 и 4.</w:t>
      </w:r>
      <w:r w:rsidR="001E6BE6">
        <w:t xml:space="preserve">  </w:t>
      </w:r>
    </w:p>
    <w:p w14:paraId="41D4F9D1" w14:textId="64046E65" w:rsidR="003438FF" w:rsidRPr="001E6BE6" w:rsidRDefault="003438FF" w:rsidP="00CC1142">
      <w:pPr>
        <w:jc w:val="both"/>
        <w:rPr>
          <w:color w:val="FF0000"/>
        </w:rPr>
      </w:pPr>
      <w:r>
        <w:tab/>
        <w:t>Из 2</w:t>
      </w:r>
      <w:r w:rsidR="00C0518D">
        <w:t>4</w:t>
      </w:r>
      <w:r>
        <w:t xml:space="preserve"> реализуемых в текущем году государственных программ ассигнования увеличиваются законопроектом по 9 программам (в их числе «Развитие здравоохранения в Волгоградской области», «Развитие образования в Волгоградской области», «Управление государственными финансами Волгоградской области» и др.), по остальным </w:t>
      </w:r>
      <w:r w:rsidR="00C0518D">
        <w:t xml:space="preserve">15 </w:t>
      </w:r>
      <w:r>
        <w:t xml:space="preserve">госпрограммам ассигнования предлагается сократить. </w:t>
      </w:r>
      <w:r w:rsidR="00C0518D">
        <w:t>Наибольшие суммы уменьшения в абсолютных величинах предусмотрены по госпрограммам «Развитие рынка труда и обеспечение занятости населения в Волгоградской области» (-636,7 млн. руб.), «Развитие культуры в Волгоградской области» (-234,3 млн. руб.), «</w:t>
      </w:r>
      <w:r w:rsidR="007E7D0B">
        <w:t>Обеспечение доступным и комфортным жильем жителей Волгоградской области» (-195,5 млн. руб.).</w:t>
      </w:r>
      <w:r w:rsidR="00C0518D">
        <w:t xml:space="preserve"> </w:t>
      </w:r>
    </w:p>
    <w:p w14:paraId="68A01FA1" w14:textId="77777777" w:rsidR="00760A0D" w:rsidRDefault="00A573A3" w:rsidP="00CC1142">
      <w:pPr>
        <w:jc w:val="both"/>
      </w:pPr>
      <w:r>
        <w:tab/>
        <w:t xml:space="preserve">Из 11 реализуемых на территории Волгоградской области национальных проектов </w:t>
      </w:r>
      <w:r w:rsidR="00A1638A">
        <w:t>ассигнования увеличиваются по трем: «Образование» (+194,4 млн. руб.), «Здравоохранение» (+61,6 млн. руб.) и «Безопасные и качественные автомобильные дороги» (+1507,7 млн. руб.)</w:t>
      </w:r>
      <w:r w:rsidR="00EE045A">
        <w:t>, по 7 нацпроектам ассигнования уменьшены, по нацпроекту «Производительность труда и поддержка занятости» остаются без изменения.</w:t>
      </w:r>
    </w:p>
    <w:p w14:paraId="19FF0548" w14:textId="6EE3FDD1" w:rsidR="005408DE" w:rsidRDefault="00760A0D" w:rsidP="00760A0D">
      <w:pPr>
        <w:ind w:firstLine="708"/>
        <w:jc w:val="both"/>
      </w:pPr>
      <w:r>
        <w:t xml:space="preserve">Ниже приведена информация об изменении бюджетных ассигнований по разделам и подразделам, которые </w:t>
      </w:r>
      <w:r w:rsidR="008A0790">
        <w:t>с</w:t>
      </w:r>
      <w:r>
        <w:t>корректированы</w:t>
      </w:r>
      <w:r w:rsidR="001C0E36">
        <w:t xml:space="preserve"> законопроектом</w:t>
      </w:r>
      <w:r>
        <w:t xml:space="preserve"> в наибольш</w:t>
      </w:r>
      <w:r w:rsidR="001C0E36">
        <w:t>их</w:t>
      </w:r>
      <w:r>
        <w:t xml:space="preserve"> размер</w:t>
      </w:r>
      <w:r w:rsidR="001C0E36">
        <w:t>ах</w:t>
      </w:r>
      <w:r>
        <w:t xml:space="preserve">. </w:t>
      </w:r>
      <w:r w:rsidR="00EE045A">
        <w:t xml:space="preserve"> </w:t>
      </w:r>
    </w:p>
    <w:p w14:paraId="39684051" w14:textId="77777777" w:rsidR="00A573A3" w:rsidRDefault="00A573A3" w:rsidP="00CC1142">
      <w:pPr>
        <w:jc w:val="both"/>
      </w:pPr>
    </w:p>
    <w:p w14:paraId="3F47D7D8" w14:textId="61115B33" w:rsidR="00C745E2" w:rsidRDefault="00C745E2" w:rsidP="008F67B2">
      <w:pPr>
        <w:jc w:val="center"/>
        <w:rPr>
          <w:b/>
          <w:i/>
          <w:u w:val="single"/>
        </w:rPr>
      </w:pPr>
      <w:r w:rsidRPr="0083136A">
        <w:rPr>
          <w:b/>
          <w:i/>
          <w:u w:val="single"/>
        </w:rPr>
        <w:t>Раздел 0100 «Общегосударственные вопросы»</w:t>
      </w:r>
    </w:p>
    <w:p w14:paraId="71E498AE" w14:textId="77777777" w:rsidR="00D75556" w:rsidRPr="0083136A" w:rsidRDefault="00D75556" w:rsidP="008F67B2">
      <w:pPr>
        <w:jc w:val="center"/>
        <w:rPr>
          <w:b/>
          <w:i/>
          <w:u w:val="single"/>
        </w:rPr>
      </w:pPr>
    </w:p>
    <w:p w14:paraId="17F899C4" w14:textId="19E87669" w:rsidR="00EE045A" w:rsidRDefault="00EE045A" w:rsidP="00EE045A">
      <w:pPr>
        <w:ind w:firstLine="709"/>
        <w:jc w:val="both"/>
      </w:pPr>
      <w:r w:rsidRPr="004707D3">
        <w:t xml:space="preserve">Законопроектом </w:t>
      </w:r>
      <w:r>
        <w:t xml:space="preserve">предусмотрено увеличение </w:t>
      </w:r>
      <w:r w:rsidRPr="004707D3">
        <w:t>ассигновани</w:t>
      </w:r>
      <w:r>
        <w:t>й</w:t>
      </w:r>
      <w:r w:rsidRPr="004707D3">
        <w:t xml:space="preserve"> по разделу </w:t>
      </w:r>
      <w:r>
        <w:t>на 2021 год в целом</w:t>
      </w:r>
      <w:r w:rsidRPr="004707D3">
        <w:t xml:space="preserve"> </w:t>
      </w:r>
      <w:r>
        <w:t>с 5510,9 млн. руб. до 5677,7 млн. руб. (</w:t>
      </w:r>
      <w:r w:rsidRPr="004707D3">
        <w:t xml:space="preserve">на </w:t>
      </w:r>
      <w:r>
        <w:t>166,8 млн. руб.), или на 3 процента.</w:t>
      </w:r>
    </w:p>
    <w:p w14:paraId="66256446" w14:textId="66F3555E" w:rsidR="00EE045A" w:rsidRDefault="00EE045A" w:rsidP="00EE045A">
      <w:pPr>
        <w:ind w:firstLine="709"/>
        <w:jc w:val="both"/>
      </w:pPr>
      <w:r>
        <w:t xml:space="preserve">Увеличение запланировано по </w:t>
      </w:r>
      <w:r w:rsidR="00760A0D">
        <w:t xml:space="preserve">следующим </w:t>
      </w:r>
      <w:r>
        <w:t>подразделам:</w:t>
      </w:r>
    </w:p>
    <w:p w14:paraId="4384C86A" w14:textId="15B8F125" w:rsidR="00EE045A" w:rsidRDefault="00EE045A" w:rsidP="00EE045A">
      <w:pPr>
        <w:ind w:firstLine="709"/>
        <w:jc w:val="both"/>
        <w:rPr>
          <w:rFonts w:eastAsiaTheme="minorHAnsi"/>
          <w:lang w:eastAsia="en-US"/>
        </w:rPr>
      </w:pPr>
      <w:r>
        <w:t xml:space="preserve">-125,1 млн. руб. - </w:t>
      </w:r>
      <w:r w:rsidRPr="00552E8E">
        <w:rPr>
          <w:i/>
          <w:iCs/>
        </w:rPr>
        <w:t>по подразделу 0111 «Резервные фонды».</w:t>
      </w:r>
      <w:r>
        <w:t xml:space="preserve"> Ассигнования резервного фонда Администрации Волгоградской области составят 699,7 млн. руб., или</w:t>
      </w:r>
      <w:r w:rsidRPr="000145A0">
        <w:t xml:space="preserve"> 0,</w:t>
      </w:r>
      <w:r>
        <w:t>5</w:t>
      </w:r>
      <w:r w:rsidRPr="000145A0">
        <w:t>% от общего объ</w:t>
      </w:r>
      <w:r w:rsidR="00760A0D">
        <w:t>е</w:t>
      </w:r>
      <w:r w:rsidRPr="000145A0">
        <w:t>ма расходов областного бюджета, что не превышает ограничения, установленного п</w:t>
      </w:r>
      <w:r w:rsidR="00760A0D">
        <w:t>унктом</w:t>
      </w:r>
      <w:r w:rsidRPr="000145A0">
        <w:t xml:space="preserve"> 3 ст</w:t>
      </w:r>
      <w:r w:rsidR="00760A0D">
        <w:t>атьи</w:t>
      </w:r>
      <w:r w:rsidRPr="000145A0">
        <w:t xml:space="preserve"> 81 БК РФ (3%)</w:t>
      </w:r>
      <w:r>
        <w:t>;</w:t>
      </w:r>
    </w:p>
    <w:p w14:paraId="5809756E" w14:textId="7307E6BD" w:rsidR="00EE045A" w:rsidRDefault="00EE045A" w:rsidP="00EE045A">
      <w:pPr>
        <w:autoSpaceDE w:val="0"/>
        <w:autoSpaceDN w:val="0"/>
        <w:adjustRightInd w:val="0"/>
        <w:ind w:firstLine="709"/>
        <w:jc w:val="both"/>
      </w:pPr>
      <w:r>
        <w:t xml:space="preserve">-69,8 млн. руб. - </w:t>
      </w:r>
      <w:r w:rsidRPr="00552E8E">
        <w:rPr>
          <w:i/>
          <w:iCs/>
        </w:rPr>
        <w:t>по подразделу 0107 «</w:t>
      </w:r>
      <w:r w:rsidRPr="00552E8E">
        <w:rPr>
          <w:i/>
          <w:iCs/>
          <w:color w:val="000000"/>
        </w:rPr>
        <w:t>Обеспечение проведения выборов и референдумов</w:t>
      </w:r>
      <w:r w:rsidRPr="00552E8E">
        <w:rPr>
          <w:i/>
          <w:iCs/>
        </w:rPr>
        <w:t>»</w:t>
      </w:r>
      <w:r>
        <w:t xml:space="preserve"> на реализацию постановления</w:t>
      </w:r>
      <w:r>
        <w:rPr>
          <w:rFonts w:eastAsiaTheme="minorHAnsi"/>
          <w:lang w:eastAsia="en-US"/>
        </w:rPr>
        <w:t xml:space="preserve"> Администрации Волгоградской области от 02.09.2021 №486-п «Об установлении единовременной выплаты членам участковых избирательных комиссий Волгоградской области с правом решающего голоса за условия работы, связанные с обеспечением санитарно-эпидемиологической безопасности при подготовке и проведении выборов депутатов Государственной Думы Федерального Собрания Российской Федерации восьмого созыва»;</w:t>
      </w:r>
    </w:p>
    <w:p w14:paraId="7DEADE84" w14:textId="2EC2807C" w:rsidR="00EE045A" w:rsidRDefault="00EE045A" w:rsidP="00EE045A">
      <w:pPr>
        <w:ind w:firstLine="709"/>
        <w:jc w:val="both"/>
      </w:pPr>
      <w:r>
        <w:t xml:space="preserve">-30 млн. руб. - </w:t>
      </w:r>
      <w:r w:rsidRPr="00552E8E">
        <w:rPr>
          <w:i/>
          <w:iCs/>
        </w:rPr>
        <w:t>по подразделу 0105 «Судебная система»</w:t>
      </w:r>
      <w:r>
        <w:t xml:space="preserve"> комитету юстиции Волгоградской области в основном на оплату </w:t>
      </w:r>
      <w:r>
        <w:rPr>
          <w:rFonts w:eastAsia="Calibri"/>
          <w:lang w:eastAsia="en-US"/>
        </w:rPr>
        <w:t>судебных почтовых отправлений.</w:t>
      </w:r>
    </w:p>
    <w:p w14:paraId="36675AD3" w14:textId="77777777" w:rsidR="00EE045A" w:rsidRDefault="00EE045A" w:rsidP="00EE045A">
      <w:pPr>
        <w:ind w:firstLine="709"/>
        <w:jc w:val="both"/>
      </w:pPr>
    </w:p>
    <w:p w14:paraId="771803FE" w14:textId="7C959CEC" w:rsidR="00C745E2" w:rsidRDefault="00C745E2" w:rsidP="008F67B2">
      <w:pPr>
        <w:ind w:firstLine="720"/>
        <w:jc w:val="center"/>
        <w:rPr>
          <w:b/>
          <w:i/>
          <w:u w:val="single"/>
        </w:rPr>
      </w:pPr>
      <w:r w:rsidRPr="006C2FA1">
        <w:rPr>
          <w:b/>
          <w:i/>
          <w:u w:val="single"/>
        </w:rPr>
        <w:t>Раздел 0400 «Национальная экономика»</w:t>
      </w:r>
    </w:p>
    <w:p w14:paraId="7370673F" w14:textId="27388B0B" w:rsidR="00EB7FEE" w:rsidRDefault="00EB7FEE" w:rsidP="008F67B2">
      <w:pPr>
        <w:pStyle w:val="Default"/>
        <w:ind w:firstLine="708"/>
        <w:jc w:val="center"/>
        <w:rPr>
          <w:b/>
          <w:bCs/>
          <w:i/>
          <w:iCs/>
          <w:color w:val="auto"/>
        </w:rPr>
      </w:pPr>
      <w:bookmarkStart w:id="1" w:name="_Hlk79137421"/>
    </w:p>
    <w:p w14:paraId="7C34ED86" w14:textId="77777777" w:rsidR="00CC0601" w:rsidRDefault="001C0E36" w:rsidP="001C0E36">
      <w:pPr>
        <w:ind w:firstLine="720"/>
        <w:jc w:val="both"/>
      </w:pPr>
      <w:r w:rsidRPr="00362458">
        <w:t xml:space="preserve">В целом по разделу законопроектом предусматривается увеличение </w:t>
      </w:r>
      <w:r>
        <w:t>ассигнований</w:t>
      </w:r>
      <w:r w:rsidRPr="00362458">
        <w:t xml:space="preserve"> </w:t>
      </w:r>
      <w:r>
        <w:t xml:space="preserve">на 2021 год </w:t>
      </w:r>
      <w:r w:rsidRPr="00362458">
        <w:t xml:space="preserve">с </w:t>
      </w:r>
      <w:r w:rsidRPr="00D31BF1">
        <w:t>27666,5</w:t>
      </w:r>
      <w:r w:rsidRPr="00362458">
        <w:t xml:space="preserve"> млн. руб. до </w:t>
      </w:r>
      <w:r w:rsidRPr="00D31BF1">
        <w:t>29</w:t>
      </w:r>
      <w:r>
        <w:t>1</w:t>
      </w:r>
      <w:r w:rsidRPr="00D31BF1">
        <w:t>74,2</w:t>
      </w:r>
      <w:r>
        <w:t xml:space="preserve"> </w:t>
      </w:r>
      <w:r w:rsidRPr="00362458">
        <w:t xml:space="preserve">млн. руб. (на </w:t>
      </w:r>
      <w:r w:rsidRPr="00D31BF1">
        <w:t>1507,7</w:t>
      </w:r>
      <w:r>
        <w:t xml:space="preserve"> </w:t>
      </w:r>
      <w:r w:rsidRPr="00362458">
        <w:t xml:space="preserve">млн. руб.), или на </w:t>
      </w:r>
      <w:r>
        <w:t>5,4</w:t>
      </w:r>
      <w:r w:rsidRPr="00362458">
        <w:t xml:space="preserve">% от утвержденного объема ассигнований. </w:t>
      </w:r>
    </w:p>
    <w:p w14:paraId="1E2167DF" w14:textId="4D20456A" w:rsidR="001C0E36" w:rsidRDefault="001C0E36" w:rsidP="001C0E36">
      <w:pPr>
        <w:ind w:firstLine="720"/>
        <w:jc w:val="both"/>
        <w:rPr>
          <w:rFonts w:eastAsiaTheme="minorEastAsia"/>
        </w:rPr>
      </w:pPr>
      <w:r>
        <w:lastRenderedPageBreak/>
        <w:t xml:space="preserve">Данное увеличение </w:t>
      </w:r>
      <w:r w:rsidR="00CC0601">
        <w:t xml:space="preserve">в основном </w:t>
      </w:r>
      <w:r>
        <w:t xml:space="preserve">обусловлено увеличением ассигнований </w:t>
      </w:r>
      <w:r w:rsidRPr="00CC0601">
        <w:rPr>
          <w:i/>
          <w:iCs/>
        </w:rPr>
        <w:t>по подразделу 0409 «</w:t>
      </w:r>
      <w:r w:rsidRPr="00CC0601">
        <w:rPr>
          <w:i/>
          <w:iCs/>
          <w:color w:val="000000"/>
        </w:rPr>
        <w:t>Дорожное хозяйство (дорожные фонды)»</w:t>
      </w:r>
      <w:r>
        <w:rPr>
          <w:color w:val="000000"/>
          <w:sz w:val="20"/>
          <w:szCs w:val="20"/>
        </w:rPr>
        <w:t xml:space="preserve">  - </w:t>
      </w:r>
      <w:r w:rsidRPr="00741D64">
        <w:t>с 1749</w:t>
      </w:r>
      <w:r>
        <w:t>4</w:t>
      </w:r>
      <w:r w:rsidRPr="00741D64">
        <w:t xml:space="preserve">,2 млн. руб. до </w:t>
      </w:r>
      <w:r w:rsidRPr="005B1C4C">
        <w:t>1900</w:t>
      </w:r>
      <w:r>
        <w:t>1</w:t>
      </w:r>
      <w:r w:rsidRPr="005B1C4C">
        <w:t>,6</w:t>
      </w:r>
      <w:r>
        <w:t xml:space="preserve"> </w:t>
      </w:r>
      <w:r w:rsidRPr="00741D64">
        <w:t>млн. руб</w:t>
      </w:r>
      <w:r>
        <w:t xml:space="preserve">. (на 1507,4 млн. руб.), или на 8,6%, что соответствует </w:t>
      </w:r>
      <w:r w:rsidRPr="00941043">
        <w:rPr>
          <w:rFonts w:eastAsiaTheme="minorEastAsia"/>
        </w:rPr>
        <w:t>объем</w:t>
      </w:r>
      <w:r>
        <w:rPr>
          <w:rFonts w:eastAsiaTheme="minorEastAsia"/>
        </w:rPr>
        <w:t>у</w:t>
      </w:r>
      <w:r w:rsidRPr="00941043">
        <w:rPr>
          <w:rFonts w:eastAsiaTheme="minorEastAsia"/>
        </w:rPr>
        <w:t xml:space="preserve"> ассигнований дорожного фонда Волгоградской области без учета расходов на обслуживание долговых обязательств, связанных с использованием бюджетных кредитов, полученных Волгоградской областью из федерального бюджета на строительство, </w:t>
      </w:r>
      <w:r w:rsidRPr="00253704">
        <w:rPr>
          <w:rFonts w:eastAsiaTheme="minorEastAsia"/>
        </w:rPr>
        <w:t xml:space="preserve">реконструкцию, капитальный ремонт, ремонт и содержание автомобильных дорог общего пользования (за исключением </w:t>
      </w:r>
      <w:r w:rsidRPr="00B84877">
        <w:rPr>
          <w:rFonts w:eastAsiaTheme="minorEastAsia"/>
        </w:rPr>
        <w:t>автомобильных дорог федерального значения), в размере 2 млн. рублей.</w:t>
      </w:r>
    </w:p>
    <w:p w14:paraId="029A8931" w14:textId="0786A888" w:rsidR="001C0E36" w:rsidRDefault="001C0E36" w:rsidP="001C0E3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B84877">
        <w:t xml:space="preserve">Увеличение </w:t>
      </w:r>
      <w:r w:rsidRPr="00B84877">
        <w:rPr>
          <w:rFonts w:eastAsiaTheme="minorEastAsia"/>
        </w:rPr>
        <w:t>объема ассигнований дорожного фонда обусловлено:</w:t>
      </w:r>
    </w:p>
    <w:p w14:paraId="7D8DD299" w14:textId="0B87E949" w:rsidR="001C0E36" w:rsidRDefault="001C0E36" w:rsidP="001C0E36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-250 млн. руб.</w:t>
      </w:r>
      <w:r w:rsidRPr="00F7512B">
        <w:t xml:space="preserve"> </w:t>
      </w:r>
      <w:r>
        <w:t xml:space="preserve">– предоставление </w:t>
      </w:r>
      <w:r w:rsidRPr="00B84877">
        <w:t>межбюджетн</w:t>
      </w:r>
      <w:r>
        <w:t>ого</w:t>
      </w:r>
      <w:r w:rsidRPr="00B84877">
        <w:t xml:space="preserve"> трансферт</w:t>
      </w:r>
      <w:r>
        <w:t>а</w:t>
      </w:r>
      <w:r w:rsidRPr="00B84877">
        <w:t xml:space="preserve"> из федерального бюджета</w:t>
      </w:r>
      <w:r>
        <w:t xml:space="preserve"> на строительство п</w:t>
      </w:r>
      <w:r w:rsidRPr="00651A1E">
        <w:t>утепроводн</w:t>
      </w:r>
      <w:r>
        <w:t>ой</w:t>
      </w:r>
      <w:r w:rsidRPr="00651A1E">
        <w:t xml:space="preserve"> развязк</w:t>
      </w:r>
      <w:r>
        <w:t>и</w:t>
      </w:r>
      <w:r w:rsidRPr="00651A1E">
        <w:t xml:space="preserve"> на пересечении автомобильной дороги </w:t>
      </w:r>
      <w:r>
        <w:t>«</w:t>
      </w:r>
      <w:r w:rsidRPr="00651A1E">
        <w:t>Волгоград – Октябрьский – Котельниково – Зимовники – Сальск</w:t>
      </w:r>
      <w:r>
        <w:t>»</w:t>
      </w:r>
      <w:r w:rsidRPr="00651A1E">
        <w:t xml:space="preserve"> (км 21+508) и железной дороги </w:t>
      </w:r>
      <w:r>
        <w:t>«</w:t>
      </w:r>
      <w:r w:rsidRPr="00651A1E">
        <w:t>Горнополянский – Канальная</w:t>
      </w:r>
      <w:r>
        <w:t>»</w:t>
      </w:r>
      <w:r w:rsidRPr="00651A1E">
        <w:t xml:space="preserve"> (км 30+105)</w:t>
      </w:r>
      <w:r>
        <w:t>;</w:t>
      </w:r>
    </w:p>
    <w:p w14:paraId="44D52175" w14:textId="271C1CE9" w:rsidR="001C0E36" w:rsidRDefault="001C0E36" w:rsidP="001C0E36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-1257,4 млн. руб.</w:t>
      </w:r>
      <w:r w:rsidRPr="007F7608">
        <w:t xml:space="preserve"> </w:t>
      </w:r>
      <w:r>
        <w:t>- увеличение за счет иных источников, что можно считать частичным устранением нарушения</w:t>
      </w:r>
      <w:r w:rsidRPr="00AA561A">
        <w:rPr>
          <w:rFonts w:eastAsiaTheme="minorEastAsia"/>
        </w:rPr>
        <w:t xml:space="preserve"> </w:t>
      </w:r>
      <w:r w:rsidRPr="00253704">
        <w:rPr>
          <w:rFonts w:eastAsiaTheme="minorEastAsia"/>
        </w:rPr>
        <w:t>п</w:t>
      </w:r>
      <w:r>
        <w:rPr>
          <w:rFonts w:eastAsiaTheme="minorEastAsia"/>
        </w:rPr>
        <w:t>ункта</w:t>
      </w:r>
      <w:r w:rsidRPr="00253704">
        <w:rPr>
          <w:rFonts w:eastAsiaTheme="minorEastAsia"/>
        </w:rPr>
        <w:t xml:space="preserve"> 4 ст</w:t>
      </w:r>
      <w:r>
        <w:rPr>
          <w:rFonts w:eastAsiaTheme="minorEastAsia"/>
        </w:rPr>
        <w:t>атьи</w:t>
      </w:r>
      <w:r w:rsidRPr="00253704">
        <w:rPr>
          <w:rFonts w:eastAsiaTheme="minorEastAsia"/>
        </w:rPr>
        <w:t xml:space="preserve"> 179.4 БК РФ</w:t>
      </w:r>
      <w:r w:rsidRPr="00F629A3">
        <w:t xml:space="preserve"> </w:t>
      </w:r>
      <w:r>
        <w:t xml:space="preserve">и </w:t>
      </w:r>
      <w:r w:rsidRPr="00E34626">
        <w:t>п</w:t>
      </w:r>
      <w:r>
        <w:t>ункта</w:t>
      </w:r>
      <w:r w:rsidRPr="00E34626">
        <w:t xml:space="preserve"> 4 ст</w:t>
      </w:r>
      <w:r>
        <w:t>атьи</w:t>
      </w:r>
      <w:r w:rsidRPr="00E34626">
        <w:t xml:space="preserve"> 1 </w:t>
      </w:r>
      <w:r>
        <w:t>Закона Волгоградской области от 07.11.2011 №2246-ОД «О дорожном фонде Волгоградской области» (далее Закон №2246-ОД)</w:t>
      </w:r>
      <w:r>
        <w:rPr>
          <w:rFonts w:eastAsiaTheme="minorEastAsia"/>
        </w:rPr>
        <w:t>, допущенного при формировании и утверждении закона об областном бюджете на 2021 год. О</w:t>
      </w:r>
      <w:r>
        <w:rPr>
          <w:rFonts w:eastAsiaTheme="minorHAnsi"/>
          <w:lang w:eastAsia="en-US"/>
        </w:rPr>
        <w:t xml:space="preserve">бъем бюджетных ассигнований дорожного фонда Волгоградской области был утвержден в размере менее прогнозируемого объема установленных законом доходов на 3513,7 млн. рублей. Это второе за 2021 год увеличение объема ассигнований дорожного фонда за счет </w:t>
      </w:r>
      <w:r w:rsidR="00E563AC">
        <w:rPr>
          <w:rFonts w:eastAsiaTheme="minorHAnsi"/>
          <w:lang w:eastAsia="en-US"/>
        </w:rPr>
        <w:t xml:space="preserve">средств </w:t>
      </w:r>
      <w:r>
        <w:rPr>
          <w:rFonts w:eastAsiaTheme="minorHAnsi"/>
          <w:lang w:eastAsia="en-US"/>
        </w:rPr>
        <w:t>областного бюджета. В совокупности разрыв между объемом ассигнований дорожного фонда Волгоградской области и прогнозируемым объемом установленных законом доходов сокращен до 2047,7 млн. рублей.</w:t>
      </w:r>
    </w:p>
    <w:p w14:paraId="3F71693C" w14:textId="77777777" w:rsidR="001C0E36" w:rsidRPr="00E563AC" w:rsidRDefault="001C0E36" w:rsidP="001C0E36">
      <w:pPr>
        <w:tabs>
          <w:tab w:val="left" w:pos="851"/>
        </w:tabs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E563AC">
        <w:rPr>
          <w:sz w:val="20"/>
          <w:szCs w:val="20"/>
        </w:rPr>
        <w:t>млн. руб.</w:t>
      </w:r>
    </w:p>
    <w:tbl>
      <w:tblPr>
        <w:tblW w:w="949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992"/>
        <w:gridCol w:w="993"/>
        <w:gridCol w:w="1134"/>
      </w:tblGrid>
      <w:tr w:rsidR="001C0E36" w:rsidRPr="007A22DF" w14:paraId="0EC2332A" w14:textId="77777777" w:rsidTr="00E563AC">
        <w:trPr>
          <w:trHeight w:val="20"/>
          <w:tblHeader/>
        </w:trPr>
        <w:tc>
          <w:tcPr>
            <w:tcW w:w="6379" w:type="dxa"/>
            <w:gridSpan w:val="2"/>
            <w:vMerge w:val="restart"/>
            <w:vAlign w:val="center"/>
          </w:tcPr>
          <w:p w14:paraId="7CDEF391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  <w:hideMark/>
          </w:tcPr>
          <w:p w14:paraId="1032FA8A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Ассигнования/</w:t>
            </w:r>
            <w:r w:rsidRPr="007A22DF">
              <w:rPr>
                <w:b/>
                <w:bCs/>
                <w:color w:val="000000"/>
                <w:sz w:val="20"/>
                <w:szCs w:val="20"/>
              </w:rPr>
              <w:t>Прогноз поступлений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доходов</w:t>
            </w:r>
          </w:p>
        </w:tc>
      </w:tr>
      <w:tr w:rsidR="001C0E36" w:rsidRPr="007A22DF" w14:paraId="22AEBAFD" w14:textId="77777777" w:rsidTr="00E563AC">
        <w:trPr>
          <w:trHeight w:val="20"/>
          <w:tblHeader/>
        </w:trPr>
        <w:tc>
          <w:tcPr>
            <w:tcW w:w="6379" w:type="dxa"/>
            <w:gridSpan w:val="2"/>
            <w:vMerge/>
            <w:tcBorders>
              <w:bottom w:val="double" w:sz="4" w:space="0" w:color="auto"/>
            </w:tcBorders>
          </w:tcPr>
          <w:p w14:paraId="4B317A1F" w14:textId="77777777" w:rsidR="001C0E36" w:rsidRPr="007A22DF" w:rsidRDefault="001C0E36" w:rsidP="00B32E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4426C304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22DF">
              <w:rPr>
                <w:b/>
                <w:bCs/>
                <w:color w:val="000000"/>
                <w:sz w:val="20"/>
                <w:szCs w:val="20"/>
              </w:rPr>
              <w:t xml:space="preserve">Закон </w:t>
            </w:r>
            <w:r>
              <w:rPr>
                <w:b/>
                <w:bCs/>
                <w:color w:val="000000"/>
                <w:sz w:val="20"/>
                <w:szCs w:val="20"/>
              </w:rPr>
              <w:t>о бюджете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1E143C6F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A22DF">
              <w:rPr>
                <w:b/>
                <w:bCs/>
                <w:color w:val="000000"/>
                <w:sz w:val="20"/>
                <w:szCs w:val="20"/>
              </w:rPr>
              <w:t>Законо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7A22DF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095F28D9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Увели-чение</w:t>
            </w:r>
          </w:p>
        </w:tc>
      </w:tr>
      <w:tr w:rsidR="001C0E36" w:rsidRPr="007A22DF" w14:paraId="7EB373C8" w14:textId="77777777" w:rsidTr="00E563AC">
        <w:trPr>
          <w:trHeight w:val="20"/>
        </w:trPr>
        <w:tc>
          <w:tcPr>
            <w:tcW w:w="6379" w:type="dxa"/>
            <w:gridSpan w:val="2"/>
            <w:tcBorders>
              <w:top w:val="double" w:sz="4" w:space="0" w:color="auto"/>
            </w:tcBorders>
          </w:tcPr>
          <w:p w14:paraId="2448518E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Дорожный фонд Волгоградской области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56D7FAB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17 496,2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54C776BF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2" w:name="_Hlk88726443"/>
            <w:r>
              <w:rPr>
                <w:b/>
                <w:bCs/>
                <w:color w:val="000000"/>
                <w:sz w:val="20"/>
                <w:szCs w:val="20"/>
              </w:rPr>
              <w:t>19 003,6</w:t>
            </w:r>
            <w:bookmarkEnd w:id="2"/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03235D00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1 507,4</w:t>
            </w:r>
          </w:p>
        </w:tc>
      </w:tr>
      <w:tr w:rsidR="001C0E36" w:rsidRPr="007A22DF" w14:paraId="3755F741" w14:textId="77777777" w:rsidTr="00E563AC">
        <w:trPr>
          <w:trHeight w:val="20"/>
        </w:trPr>
        <w:tc>
          <w:tcPr>
            <w:tcW w:w="637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56DB4FF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C5766D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-3 305,1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5E5CFAA1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-2 047,7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14:paraId="3007D3D2" w14:textId="77777777" w:rsidR="001C0E36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1 257,4</w:t>
            </w:r>
          </w:p>
        </w:tc>
      </w:tr>
      <w:tr w:rsidR="001C0E36" w:rsidRPr="007A22DF" w14:paraId="247AA4C2" w14:textId="77777777" w:rsidTr="00E563AC">
        <w:trPr>
          <w:trHeight w:val="20"/>
        </w:trPr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</w:tcPr>
          <w:p w14:paraId="77FB5BE4" w14:textId="77777777" w:rsidR="001C0E36" w:rsidRPr="007A22DF" w:rsidRDefault="001C0E36" w:rsidP="00B32E7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формирования дорожного фонда</w:t>
            </w:r>
          </w:p>
        </w:tc>
        <w:tc>
          <w:tcPr>
            <w:tcW w:w="56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1012D86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53C0C2D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20 801,3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0BABF16B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21 051,3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</w:tcPr>
          <w:p w14:paraId="5E595765" w14:textId="77777777" w:rsidR="001C0E36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1C0E36" w:rsidRPr="007A22DF" w14:paraId="282DAE57" w14:textId="77777777" w:rsidTr="00E563AC">
        <w:trPr>
          <w:trHeight w:val="20"/>
        </w:trPr>
        <w:tc>
          <w:tcPr>
            <w:tcW w:w="709" w:type="dxa"/>
            <w:vMerge/>
          </w:tcPr>
          <w:p w14:paraId="100F6738" w14:textId="77777777" w:rsidR="001C0E36" w:rsidRPr="007A22DF" w:rsidRDefault="001C0E36" w:rsidP="00B32E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39F7806C" w14:textId="77777777" w:rsidR="001C0E36" w:rsidRPr="009513A8" w:rsidRDefault="001C0E36" w:rsidP="00B32E7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13A8">
              <w:rPr>
                <w:b/>
                <w:bCs/>
                <w:i/>
                <w:iCs/>
                <w:color w:val="000000"/>
                <w:sz w:val="20"/>
                <w:szCs w:val="20"/>
              </w:rPr>
              <w:t>За счёт средств областного бюджета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7068819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15 576,6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A01142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15 576,6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C2D337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1C0E36" w:rsidRPr="007A22DF" w14:paraId="26DDBF38" w14:textId="77777777" w:rsidTr="00E563AC">
        <w:trPr>
          <w:trHeight w:val="20"/>
        </w:trPr>
        <w:tc>
          <w:tcPr>
            <w:tcW w:w="709" w:type="dxa"/>
            <w:vMerge/>
          </w:tcPr>
          <w:p w14:paraId="7B85F7E9" w14:textId="77777777" w:rsidR="001C0E36" w:rsidRPr="007A22DF" w:rsidRDefault="001C0E36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D84A5F5" w14:textId="77777777" w:rsidR="001C0E36" w:rsidRPr="009513A8" w:rsidRDefault="001C0E36" w:rsidP="00B32E7F">
            <w:pPr>
              <w:rPr>
                <w:color w:val="000000"/>
                <w:sz w:val="20"/>
                <w:szCs w:val="20"/>
              </w:rPr>
            </w:pPr>
            <w:r w:rsidRPr="009513A8">
              <w:rPr>
                <w:color w:val="000000"/>
                <w:sz w:val="20"/>
                <w:szCs w:val="20"/>
              </w:rPr>
              <w:t>Акцизы на нефтепродукты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DF976C" w14:textId="77777777" w:rsidR="001C0E36" w:rsidRPr="007A22DF" w:rsidRDefault="001C0E36" w:rsidP="00B32E7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12 318,9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50C0E7E5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12 318,9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8D17FB" w14:textId="77777777" w:rsidR="001C0E36" w:rsidRPr="00912801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912801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0E36" w:rsidRPr="007A22DF" w14:paraId="69E70423" w14:textId="77777777" w:rsidTr="00E563AC">
        <w:trPr>
          <w:trHeight w:val="20"/>
        </w:trPr>
        <w:tc>
          <w:tcPr>
            <w:tcW w:w="709" w:type="dxa"/>
            <w:vMerge/>
          </w:tcPr>
          <w:p w14:paraId="23FD8250" w14:textId="77777777" w:rsidR="001C0E36" w:rsidRPr="007A22DF" w:rsidRDefault="001C0E36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4F7D0F07" w14:textId="77777777" w:rsidR="001C0E36" w:rsidRPr="009513A8" w:rsidRDefault="001C0E36" w:rsidP="00B32E7F">
            <w:pPr>
              <w:rPr>
                <w:color w:val="000000"/>
                <w:sz w:val="20"/>
                <w:szCs w:val="20"/>
              </w:rPr>
            </w:pPr>
            <w:r w:rsidRPr="009513A8">
              <w:rPr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BB662D4" w14:textId="77777777" w:rsidR="001C0E36" w:rsidRPr="007A22DF" w:rsidRDefault="001C0E36" w:rsidP="00B32E7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FA05FA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C4330C" w14:textId="77777777" w:rsidR="001C0E36" w:rsidRPr="00912801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912801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0E36" w:rsidRPr="007A22DF" w14:paraId="7F338DBB" w14:textId="77777777" w:rsidTr="00E563AC">
        <w:trPr>
          <w:trHeight w:val="20"/>
        </w:trPr>
        <w:tc>
          <w:tcPr>
            <w:tcW w:w="709" w:type="dxa"/>
            <w:vMerge/>
          </w:tcPr>
          <w:p w14:paraId="5E969611" w14:textId="77777777" w:rsidR="001C0E36" w:rsidRPr="007A22DF" w:rsidRDefault="001C0E36" w:rsidP="00B32E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20804D5" w14:textId="77777777" w:rsidR="001C0E36" w:rsidRPr="009513A8" w:rsidRDefault="001C0E36" w:rsidP="00B32E7F">
            <w:pPr>
              <w:rPr>
                <w:color w:val="000000"/>
                <w:sz w:val="20"/>
                <w:szCs w:val="20"/>
              </w:rPr>
            </w:pPr>
            <w:r w:rsidRPr="009513A8">
              <w:rPr>
                <w:color w:val="000000"/>
                <w:sz w:val="20"/>
                <w:szCs w:val="20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8AE467C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D2B41F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55087D" w14:textId="77777777" w:rsidR="001C0E36" w:rsidRPr="00912801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912801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0E36" w:rsidRPr="007A22DF" w14:paraId="5641646A" w14:textId="77777777" w:rsidTr="00E563AC">
        <w:trPr>
          <w:trHeight w:val="20"/>
        </w:trPr>
        <w:tc>
          <w:tcPr>
            <w:tcW w:w="709" w:type="dxa"/>
            <w:vMerge/>
          </w:tcPr>
          <w:p w14:paraId="77D13578" w14:textId="77777777" w:rsidR="001C0E36" w:rsidRPr="007A22DF" w:rsidRDefault="001C0E36" w:rsidP="00B32E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2FFD2439" w14:textId="77777777" w:rsidR="001C0E36" w:rsidRPr="009513A8" w:rsidRDefault="001C0E36" w:rsidP="00B32E7F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9513A8">
              <w:rPr>
                <w:b/>
                <w:bCs/>
                <w:i/>
                <w:iCs/>
                <w:color w:val="00000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D635A47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5 224,7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8B18C8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5 474,7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4272F7" w14:textId="77777777" w:rsidR="001C0E36" w:rsidRPr="007A22DF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250,0</w:t>
            </w:r>
          </w:p>
        </w:tc>
      </w:tr>
      <w:tr w:rsidR="001C0E36" w:rsidRPr="007A22DF" w14:paraId="4368A0F8" w14:textId="77777777" w:rsidTr="00E563AC">
        <w:trPr>
          <w:trHeight w:val="20"/>
        </w:trPr>
        <w:tc>
          <w:tcPr>
            <w:tcW w:w="709" w:type="dxa"/>
            <w:vMerge/>
          </w:tcPr>
          <w:p w14:paraId="25B62BEC" w14:textId="77777777" w:rsidR="001C0E36" w:rsidRPr="007A22DF" w:rsidRDefault="001C0E36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8BFC869" w14:textId="77777777" w:rsidR="001C0E36" w:rsidRPr="009513A8" w:rsidRDefault="001C0E36" w:rsidP="00B32E7F">
            <w:pPr>
              <w:rPr>
                <w:color w:val="000000"/>
                <w:sz w:val="20"/>
                <w:szCs w:val="20"/>
              </w:rPr>
            </w:pPr>
            <w:r w:rsidRPr="009513A8">
              <w:rPr>
                <w:color w:val="000000"/>
                <w:sz w:val="20"/>
                <w:szCs w:val="20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50784F84" w14:textId="77777777" w:rsidR="001C0E36" w:rsidRPr="007A22DF" w:rsidRDefault="001C0E36" w:rsidP="00B32E7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8F5FF5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610E26" w14:textId="77777777" w:rsidR="001C0E36" w:rsidRPr="00912801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912801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0E36" w:rsidRPr="007A22DF" w14:paraId="55A589DC" w14:textId="77777777" w:rsidTr="00E563AC">
        <w:trPr>
          <w:trHeight w:val="20"/>
        </w:trPr>
        <w:tc>
          <w:tcPr>
            <w:tcW w:w="709" w:type="dxa"/>
            <w:vMerge/>
          </w:tcPr>
          <w:p w14:paraId="1FF429C8" w14:textId="77777777" w:rsidR="001C0E36" w:rsidRDefault="001C0E36" w:rsidP="00B32E7F">
            <w:pPr>
              <w:ind w:right="-92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4F38F68" w14:textId="77777777" w:rsidR="001C0E36" w:rsidRPr="009513A8" w:rsidRDefault="001C0E36" w:rsidP="00B32E7F">
            <w:pPr>
              <w:ind w:right="-92"/>
              <w:rPr>
                <w:color w:val="000000"/>
                <w:sz w:val="20"/>
                <w:szCs w:val="20"/>
              </w:rPr>
            </w:pPr>
            <w:r w:rsidRPr="009513A8">
              <w:rPr>
                <w:color w:val="000000"/>
                <w:sz w:val="20"/>
                <w:szCs w:val="20"/>
              </w:rPr>
              <w:t>Межбюджетный трансферт на финансовое обеспечение дорожной деятельности в рамках НП «Безопасные и качественные автомобильные дороги»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ED17A00" w14:textId="77777777" w:rsidR="001C0E36" w:rsidRPr="007A22DF" w:rsidRDefault="001C0E36" w:rsidP="00B32E7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1 868,0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542172A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1 868,0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7F4C78" w14:textId="77777777" w:rsidR="001C0E36" w:rsidRPr="00912801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912801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1C0E36" w:rsidRPr="007A22DF" w14:paraId="70C9D238" w14:textId="77777777" w:rsidTr="00E563AC">
        <w:trPr>
          <w:trHeight w:val="20"/>
        </w:trPr>
        <w:tc>
          <w:tcPr>
            <w:tcW w:w="709" w:type="dxa"/>
            <w:vMerge/>
          </w:tcPr>
          <w:p w14:paraId="4AA696D6" w14:textId="77777777" w:rsidR="001C0E36" w:rsidRPr="007A22DF" w:rsidRDefault="001C0E36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73F56861" w14:textId="77777777" w:rsidR="001C0E36" w:rsidRPr="009513A8" w:rsidRDefault="001C0E36" w:rsidP="00B32E7F">
            <w:pPr>
              <w:rPr>
                <w:color w:val="000000"/>
                <w:sz w:val="20"/>
                <w:szCs w:val="20"/>
              </w:rPr>
            </w:pPr>
            <w:r w:rsidRPr="009513A8">
              <w:rPr>
                <w:color w:val="000000"/>
                <w:sz w:val="20"/>
                <w:szCs w:val="20"/>
              </w:rPr>
              <w:t>Межбюджетные трансферты на финансовое обеспечение дорожной деятельности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B24CDF" w14:textId="77777777" w:rsidR="001C0E36" w:rsidRPr="007A22DF" w:rsidRDefault="001C0E36" w:rsidP="00B32E7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2 722,3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3BD5C3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2 972,3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847002" w14:textId="77777777" w:rsidR="001C0E36" w:rsidRPr="00912801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912801">
              <w:rPr>
                <w:color w:val="000000"/>
                <w:sz w:val="20"/>
                <w:szCs w:val="20"/>
              </w:rPr>
              <w:t>250,0</w:t>
            </w:r>
          </w:p>
        </w:tc>
      </w:tr>
      <w:tr w:rsidR="001C0E36" w:rsidRPr="007A22DF" w14:paraId="50804372" w14:textId="77777777" w:rsidTr="00E563AC">
        <w:trPr>
          <w:trHeight w:val="20"/>
        </w:trPr>
        <w:tc>
          <w:tcPr>
            <w:tcW w:w="709" w:type="dxa"/>
            <w:vMerge/>
          </w:tcPr>
          <w:p w14:paraId="099291DA" w14:textId="77777777" w:rsidR="001C0E36" w:rsidRDefault="001C0E36" w:rsidP="00B32E7F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14:paraId="56F21410" w14:textId="77777777" w:rsidR="001C0E36" w:rsidRPr="009513A8" w:rsidRDefault="001C0E36" w:rsidP="00B32E7F">
            <w:pPr>
              <w:jc w:val="both"/>
              <w:rPr>
                <w:color w:val="000000"/>
                <w:sz w:val="20"/>
                <w:szCs w:val="20"/>
              </w:rPr>
            </w:pPr>
            <w:r w:rsidRPr="009513A8">
              <w:rPr>
                <w:color w:val="000000"/>
                <w:sz w:val="20"/>
                <w:szCs w:val="20"/>
              </w:rPr>
              <w:t>Межбюджетный трансферт на внедрение интеллектуальных транспортных систем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FF888AD" w14:textId="77777777" w:rsidR="001C0E36" w:rsidRPr="007A22DF" w:rsidRDefault="001C0E36" w:rsidP="00B32E7F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CA006AD" w14:textId="77777777" w:rsidR="001C0E36" w:rsidRPr="007A22DF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2CECAB" w14:textId="77777777" w:rsidR="001C0E36" w:rsidRPr="00912801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912801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14:paraId="63A858C2" w14:textId="77777777" w:rsidR="001C0E36" w:rsidRDefault="001C0E36" w:rsidP="001C0E36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</w:p>
    <w:p w14:paraId="4C61FD57" w14:textId="14198478" w:rsidR="001C0E36" w:rsidRDefault="001C0E36" w:rsidP="001C0E36">
      <w:pPr>
        <w:autoSpaceDE w:val="0"/>
        <w:autoSpaceDN w:val="0"/>
        <w:adjustRightInd w:val="0"/>
        <w:ind w:firstLine="709"/>
        <w:jc w:val="both"/>
      </w:pPr>
      <w:bookmarkStart w:id="3" w:name="_Hlk69482635"/>
      <w:r>
        <w:t>Кроме того, остаются не устран</w:t>
      </w:r>
      <w:r w:rsidR="00DE626F">
        <w:t>е</w:t>
      </w:r>
      <w:r>
        <w:t xml:space="preserve">нными нарушения </w:t>
      </w:r>
      <w:r w:rsidRPr="004E308F">
        <w:t>п</w:t>
      </w:r>
      <w:r w:rsidR="00DE626F">
        <w:t>ункта</w:t>
      </w:r>
      <w:r w:rsidRPr="004E308F">
        <w:t xml:space="preserve"> 4 ст</w:t>
      </w:r>
      <w:r w:rsidR="00DE626F">
        <w:t>атьи</w:t>
      </w:r>
      <w:r w:rsidRPr="004E308F">
        <w:t xml:space="preserve"> 179.4 БК РФ, п</w:t>
      </w:r>
      <w:r w:rsidR="00DE626F">
        <w:t>ункта</w:t>
      </w:r>
      <w:r w:rsidRPr="004E308F">
        <w:t xml:space="preserve"> 6 ст</w:t>
      </w:r>
      <w:r w:rsidR="00DE626F">
        <w:t>атьи</w:t>
      </w:r>
      <w:r w:rsidRPr="004E308F">
        <w:t xml:space="preserve"> 1 Закона №2246-ОД</w:t>
      </w:r>
      <w:r>
        <w:t>, выявленные по итогам м</w:t>
      </w:r>
      <w:r w:rsidRPr="004E308F">
        <w:t>ониторинг</w:t>
      </w:r>
      <w:r>
        <w:t>а</w:t>
      </w:r>
      <w:r w:rsidRPr="004E308F">
        <w:t xml:space="preserve"> использования средств дорожного фонда Волгоградской области и муниципальных дорожных фондов в 2020 году, провед</w:t>
      </w:r>
      <w:r w:rsidR="00DE626F">
        <w:t>е</w:t>
      </w:r>
      <w:r w:rsidRPr="004E308F">
        <w:t>нн</w:t>
      </w:r>
      <w:r>
        <w:t>ого</w:t>
      </w:r>
      <w:r w:rsidRPr="004E308F">
        <w:t xml:space="preserve"> КСП</w:t>
      </w:r>
      <w:r>
        <w:t xml:space="preserve">, а именно: </w:t>
      </w:r>
      <w:r w:rsidRPr="004E308F">
        <w:t>объем бюджетных ассигнований дорожного фонда Волгоградской</w:t>
      </w:r>
      <w:r w:rsidRPr="008D4694">
        <w:t xml:space="preserve"> области </w:t>
      </w:r>
      <w:r>
        <w:t>на</w:t>
      </w:r>
      <w:r w:rsidRPr="008D4694">
        <w:t xml:space="preserve"> 202</w:t>
      </w:r>
      <w:r>
        <w:t>1</w:t>
      </w:r>
      <w:r w:rsidRPr="008D4694">
        <w:t xml:space="preserve"> год</w:t>
      </w:r>
      <w:r>
        <w:t xml:space="preserve"> не увеличен на 1476,2 млн. руб., в том числе:</w:t>
      </w:r>
    </w:p>
    <w:p w14:paraId="6640DDE7" w14:textId="31FBA611" w:rsidR="001C0E36" w:rsidRDefault="001C0E36" w:rsidP="001C0E36">
      <w:pPr>
        <w:autoSpaceDE w:val="0"/>
        <w:autoSpaceDN w:val="0"/>
        <w:adjustRightInd w:val="0"/>
        <w:ind w:firstLine="709"/>
        <w:jc w:val="both"/>
      </w:pPr>
      <w:r>
        <w:t>-</w:t>
      </w:r>
      <w:r w:rsidRPr="008D4694">
        <w:t>1333,1 млн. руб</w:t>
      </w:r>
      <w:r>
        <w:t xml:space="preserve">. – часть </w:t>
      </w:r>
      <w:r w:rsidRPr="008D4694">
        <w:t>положительн</w:t>
      </w:r>
      <w:r>
        <w:t>ой</w:t>
      </w:r>
      <w:r w:rsidRPr="008D4694">
        <w:t xml:space="preserve"> разниц</w:t>
      </w:r>
      <w:r>
        <w:t>ы</w:t>
      </w:r>
      <w:r w:rsidRPr="008D4694">
        <w:t xml:space="preserve"> между фактически поступившим и прогнозировавшимся объемом доходов областного бюджета, учитываемых при формировании дорожного фонда</w:t>
      </w:r>
      <w:r>
        <w:t xml:space="preserve"> в 2020 году, на которую не увеличен </w:t>
      </w:r>
      <w:r w:rsidRPr="008D4694">
        <w:t>объем бюджетных ассигнований дорожного фонда Волгоградской области в 2020 году</w:t>
      </w:r>
      <w:r>
        <w:t>;</w:t>
      </w:r>
    </w:p>
    <w:p w14:paraId="618DC4F4" w14:textId="1B3A6BA3" w:rsidR="001C0E36" w:rsidRDefault="001C0E36" w:rsidP="001C0E36">
      <w:pPr>
        <w:autoSpaceDE w:val="0"/>
        <w:autoSpaceDN w:val="0"/>
        <w:adjustRightInd w:val="0"/>
        <w:ind w:firstLine="709"/>
        <w:jc w:val="both"/>
      </w:pPr>
      <w:r>
        <w:lastRenderedPageBreak/>
        <w:t>-</w:t>
      </w:r>
      <w:r w:rsidRPr="008D4694">
        <w:t xml:space="preserve">143,1 млн. руб. </w:t>
      </w:r>
      <w:r>
        <w:t>- о</w:t>
      </w:r>
      <w:r w:rsidRPr="008D4694">
        <w:t>бъ</w:t>
      </w:r>
      <w:r w:rsidR="00DE626F">
        <w:t>е</w:t>
      </w:r>
      <w:r w:rsidRPr="008D4694">
        <w:t>м неиспользованных бюджетных ассигнований дорожного фонда Волгоградской области в 2020 году</w:t>
      </w:r>
      <w:r>
        <w:t>.</w:t>
      </w:r>
    </w:p>
    <w:p w14:paraId="16C99CE9" w14:textId="21BE6636" w:rsidR="001C0E36" w:rsidRDefault="001C0E36" w:rsidP="001C0E36">
      <w:pPr>
        <w:autoSpaceDE w:val="0"/>
        <w:autoSpaceDN w:val="0"/>
        <w:adjustRightInd w:val="0"/>
        <w:ind w:firstLine="709"/>
        <w:jc w:val="both"/>
      </w:pPr>
      <w:r>
        <w:t xml:space="preserve">Таким образом, предлагаемый законопроектом </w:t>
      </w:r>
      <w:r w:rsidRPr="00F72A24">
        <w:t>объем бюджетных ассигнований дорожного фонда</w:t>
      </w:r>
      <w:r>
        <w:t xml:space="preserve"> Волгоградской области на 2021 год (</w:t>
      </w:r>
      <w:r w:rsidRPr="00066940">
        <w:t>19003,6</w:t>
      </w:r>
      <w:r>
        <w:t xml:space="preserve"> млн. руб.) меньше объ</w:t>
      </w:r>
      <w:r w:rsidR="00DE626F">
        <w:t>е</w:t>
      </w:r>
      <w:r>
        <w:t>ма, отвечающего требованиям бюджетного законодательства (</w:t>
      </w:r>
      <w:r w:rsidRPr="00066940">
        <w:t>21</w:t>
      </w:r>
      <w:r>
        <w:t> </w:t>
      </w:r>
      <w:r w:rsidRPr="00066940">
        <w:t>051,3</w:t>
      </w:r>
      <w:r>
        <w:t>+</w:t>
      </w:r>
      <w:r w:rsidRPr="008D4694">
        <w:t>1 333,1</w:t>
      </w:r>
      <w:r>
        <w:t>+</w:t>
      </w:r>
      <w:r w:rsidRPr="008D4694">
        <w:t>143,1</w:t>
      </w:r>
      <w:r>
        <w:t xml:space="preserve">=22 527,5), на </w:t>
      </w:r>
      <w:r w:rsidRPr="00066940">
        <w:t>3523,9</w:t>
      </w:r>
      <w:r>
        <w:t xml:space="preserve"> млн. рублей.</w:t>
      </w:r>
    </w:p>
    <w:p w14:paraId="4F954912" w14:textId="419448DE" w:rsidR="001C0E36" w:rsidRDefault="001C0E36" w:rsidP="001C0E36">
      <w:pPr>
        <w:autoSpaceDE w:val="0"/>
        <w:autoSpaceDN w:val="0"/>
        <w:adjustRightInd w:val="0"/>
        <w:ind w:firstLine="709"/>
        <w:jc w:val="both"/>
      </w:pPr>
      <w:r>
        <w:t xml:space="preserve">Информация об изменениях ассигнований дорожного фонда Волгоградской области на реализацию мероприятий региональных проектов Волгоградской области в сфере национального проекта «Безопасные и качественные автомобильные дороги» представлена в </w:t>
      </w:r>
      <w:r w:rsidR="002C15B6">
        <w:t xml:space="preserve">следующей </w:t>
      </w:r>
      <w:r>
        <w:t>таблице.</w:t>
      </w:r>
    </w:p>
    <w:p w14:paraId="3898F31C" w14:textId="21F16C6A" w:rsidR="001C0E36" w:rsidRPr="002C15B6" w:rsidRDefault="001C0E36" w:rsidP="001C0E36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C15B6">
        <w:t xml:space="preserve">                 </w:t>
      </w:r>
      <w:r w:rsidRPr="002C15B6">
        <w:rPr>
          <w:sz w:val="20"/>
          <w:szCs w:val="20"/>
        </w:rPr>
        <w:t>млн. руб.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928"/>
        <w:gridCol w:w="1403"/>
        <w:gridCol w:w="1332"/>
        <w:gridCol w:w="1361"/>
      </w:tblGrid>
      <w:tr w:rsidR="001C0E36" w:rsidRPr="00D16308" w14:paraId="447EB0EF" w14:textId="77777777" w:rsidTr="002C15B6">
        <w:trPr>
          <w:trHeight w:val="20"/>
        </w:trPr>
        <w:tc>
          <w:tcPr>
            <w:tcW w:w="46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B35E19" w14:textId="77777777" w:rsidR="001C0E36" w:rsidRPr="00D16308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6308">
              <w:rPr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2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2DD8A0" w14:textId="77777777" w:rsidR="001C0E36" w:rsidRPr="00D16308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666D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3DC290C" w14:textId="77777777" w:rsidR="001C0E36" w:rsidRPr="00D16308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6308">
              <w:rPr>
                <w:b/>
                <w:bCs/>
                <w:color w:val="000000"/>
                <w:sz w:val="20"/>
                <w:szCs w:val="20"/>
              </w:rPr>
              <w:t>Закон</w:t>
            </w:r>
            <w:r w:rsidRPr="00AB666D">
              <w:rPr>
                <w:b/>
                <w:bCs/>
                <w:color w:val="000000"/>
                <w:sz w:val="20"/>
                <w:szCs w:val="20"/>
              </w:rPr>
              <w:t xml:space="preserve"> о бюджете</w:t>
            </w:r>
          </w:p>
        </w:tc>
        <w:tc>
          <w:tcPr>
            <w:tcW w:w="1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1F90AB" w14:textId="77777777" w:rsidR="001C0E36" w:rsidRPr="00D16308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666D">
              <w:rPr>
                <w:b/>
                <w:bCs/>
                <w:color w:val="000000"/>
                <w:sz w:val="20"/>
                <w:szCs w:val="20"/>
              </w:rPr>
              <w:t>Законо-п</w:t>
            </w:r>
            <w:r w:rsidRPr="00D16308">
              <w:rPr>
                <w:b/>
                <w:bCs/>
                <w:color w:val="000000"/>
                <w:sz w:val="20"/>
                <w:szCs w:val="20"/>
              </w:rPr>
              <w:t>роект</w:t>
            </w:r>
          </w:p>
        </w:tc>
        <w:tc>
          <w:tcPr>
            <w:tcW w:w="136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FDCBC3" w14:textId="77777777" w:rsidR="001C0E36" w:rsidRPr="00D16308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B666D"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</w:tr>
      <w:tr w:rsidR="001C0E36" w:rsidRPr="00D16308" w14:paraId="638CDEBD" w14:textId="77777777" w:rsidTr="002C15B6">
        <w:trPr>
          <w:trHeight w:val="20"/>
        </w:trPr>
        <w:tc>
          <w:tcPr>
            <w:tcW w:w="461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14:paraId="4B56AA66" w14:textId="77777777" w:rsidR="001C0E36" w:rsidRPr="00D16308" w:rsidRDefault="001C0E36" w:rsidP="00B32E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16308">
              <w:rPr>
                <w:b/>
                <w:bCs/>
                <w:color w:val="000000"/>
                <w:sz w:val="20"/>
                <w:szCs w:val="20"/>
              </w:rPr>
              <w:t xml:space="preserve">Национальный проект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D16308">
              <w:rPr>
                <w:b/>
                <w:bCs/>
                <w:color w:val="000000"/>
                <w:sz w:val="20"/>
                <w:szCs w:val="20"/>
              </w:rPr>
              <w:t xml:space="preserve">Безопасные качественные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автомобильные </w:t>
            </w:r>
            <w:r w:rsidRPr="00D16308">
              <w:rPr>
                <w:b/>
                <w:bCs/>
                <w:color w:val="000000"/>
                <w:sz w:val="20"/>
                <w:szCs w:val="20"/>
              </w:rPr>
              <w:t>дороги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928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6D3E245" w14:textId="77777777" w:rsidR="001C0E36" w:rsidRPr="00D16308" w:rsidRDefault="001C0E36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16308">
              <w:rPr>
                <w:b/>
                <w:bCs/>
                <w:color w:val="000000"/>
                <w:sz w:val="20"/>
                <w:szCs w:val="20"/>
              </w:rPr>
              <w:t>R0</w:t>
            </w: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99C5B64" w14:textId="77777777" w:rsidR="001C0E36" w:rsidRPr="00D16308" w:rsidRDefault="001C0E36" w:rsidP="002C1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332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6ADB81" w14:textId="77777777" w:rsidR="001C0E36" w:rsidRPr="00D16308" w:rsidRDefault="001C0E36" w:rsidP="002C1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705,7</w:t>
            </w:r>
          </w:p>
        </w:tc>
        <w:tc>
          <w:tcPr>
            <w:tcW w:w="136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73A4FB" w14:textId="77777777" w:rsidR="001C0E36" w:rsidRPr="00D16308" w:rsidRDefault="001C0E36" w:rsidP="002C15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507,7</w:t>
            </w:r>
          </w:p>
        </w:tc>
      </w:tr>
      <w:tr w:rsidR="001C0E36" w:rsidRPr="00D16308" w14:paraId="5AC4608C" w14:textId="77777777" w:rsidTr="002C15B6">
        <w:trPr>
          <w:trHeight w:val="20"/>
        </w:trPr>
        <w:tc>
          <w:tcPr>
            <w:tcW w:w="4615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14:paraId="2E49E349" w14:textId="77777777" w:rsidR="001C0E36" w:rsidRPr="00D16308" w:rsidRDefault="001C0E36" w:rsidP="00B32E7F">
            <w:pPr>
              <w:rPr>
                <w:color w:val="000000"/>
                <w:sz w:val="20"/>
                <w:szCs w:val="20"/>
              </w:rPr>
            </w:pPr>
            <w:r w:rsidRPr="00D16308">
              <w:rPr>
                <w:color w:val="000000"/>
                <w:sz w:val="20"/>
                <w:szCs w:val="20"/>
              </w:rPr>
              <w:t xml:space="preserve">Региональный проект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D16308">
              <w:rPr>
                <w:color w:val="000000"/>
                <w:sz w:val="20"/>
                <w:szCs w:val="20"/>
              </w:rPr>
              <w:t>Региональная и местная дорожная сеть (Волгоградская область)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63A12D33" w14:textId="77777777" w:rsidR="001C0E36" w:rsidRPr="00D16308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D16308">
              <w:rPr>
                <w:color w:val="000000"/>
                <w:sz w:val="20"/>
                <w:szCs w:val="20"/>
              </w:rPr>
              <w:t>R1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14:paraId="394FFAE2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947,3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4C588585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597,1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B071BD9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649,8</w:t>
            </w:r>
          </w:p>
        </w:tc>
      </w:tr>
      <w:tr w:rsidR="001C0E36" w:rsidRPr="00D16308" w14:paraId="3D496CCF" w14:textId="77777777" w:rsidTr="002C15B6">
        <w:trPr>
          <w:trHeight w:val="20"/>
        </w:trPr>
        <w:tc>
          <w:tcPr>
            <w:tcW w:w="4615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14:paraId="3AB8B97F" w14:textId="77777777" w:rsidR="001C0E36" w:rsidRPr="00D16308" w:rsidRDefault="001C0E36" w:rsidP="00B32E7F">
            <w:pPr>
              <w:rPr>
                <w:color w:val="000000"/>
                <w:sz w:val="20"/>
                <w:szCs w:val="20"/>
              </w:rPr>
            </w:pPr>
            <w:r w:rsidRPr="00D16308">
              <w:rPr>
                <w:color w:val="000000"/>
                <w:sz w:val="20"/>
                <w:szCs w:val="20"/>
              </w:rPr>
              <w:t xml:space="preserve">Региональный проект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D16308">
              <w:rPr>
                <w:color w:val="000000"/>
                <w:sz w:val="20"/>
                <w:szCs w:val="20"/>
              </w:rPr>
              <w:t>Общесистемные меры развития дорожного хозяйства (Волгоградская область)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28" w:type="dxa"/>
            <w:shd w:val="clear" w:color="auto" w:fill="auto"/>
            <w:noWrap/>
            <w:vAlign w:val="center"/>
            <w:hideMark/>
          </w:tcPr>
          <w:p w14:paraId="5BB1006C" w14:textId="77777777" w:rsidR="001C0E36" w:rsidRPr="00D16308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D16308">
              <w:rPr>
                <w:color w:val="000000"/>
                <w:sz w:val="20"/>
                <w:szCs w:val="20"/>
              </w:rPr>
              <w:t>R2</w:t>
            </w:r>
          </w:p>
        </w:tc>
        <w:tc>
          <w:tcPr>
            <w:tcW w:w="1403" w:type="dxa"/>
            <w:shd w:val="clear" w:color="auto" w:fill="auto"/>
            <w:noWrap/>
            <w:vAlign w:val="center"/>
            <w:hideMark/>
          </w:tcPr>
          <w:p w14:paraId="306A0D6C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151,8</w:t>
            </w:r>
          </w:p>
        </w:tc>
        <w:tc>
          <w:tcPr>
            <w:tcW w:w="1332" w:type="dxa"/>
            <w:shd w:val="clear" w:color="auto" w:fill="auto"/>
            <w:noWrap/>
            <w:vAlign w:val="center"/>
            <w:hideMark/>
          </w:tcPr>
          <w:p w14:paraId="6F91A812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008D9">
              <w:rPr>
                <w:color w:val="000000"/>
                <w:sz w:val="20"/>
                <w:szCs w:val="20"/>
              </w:rPr>
              <w:t>017,8</w:t>
            </w:r>
          </w:p>
        </w:tc>
        <w:tc>
          <w:tcPr>
            <w:tcW w:w="1361" w:type="dxa"/>
            <w:tcBorders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E9B173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-134,0</w:t>
            </w:r>
          </w:p>
        </w:tc>
      </w:tr>
      <w:tr w:rsidR="001C0E36" w:rsidRPr="00D16308" w14:paraId="4F3A1EAE" w14:textId="77777777" w:rsidTr="002C15B6">
        <w:trPr>
          <w:trHeight w:val="20"/>
        </w:trPr>
        <w:tc>
          <w:tcPr>
            <w:tcW w:w="461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44E0077B" w14:textId="77777777" w:rsidR="001C0E36" w:rsidRPr="00D16308" w:rsidRDefault="001C0E36" w:rsidP="00B32E7F">
            <w:pPr>
              <w:rPr>
                <w:color w:val="000000"/>
                <w:sz w:val="20"/>
                <w:szCs w:val="20"/>
              </w:rPr>
            </w:pPr>
            <w:r w:rsidRPr="00D16308">
              <w:rPr>
                <w:color w:val="000000"/>
                <w:sz w:val="20"/>
                <w:szCs w:val="20"/>
              </w:rPr>
              <w:t xml:space="preserve">Региональный проект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D16308">
              <w:rPr>
                <w:color w:val="000000"/>
                <w:sz w:val="20"/>
                <w:szCs w:val="20"/>
              </w:rPr>
              <w:t>Безопасность дорожного движения (Волгоградская область)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928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18BE20F" w14:textId="77777777" w:rsidR="001C0E36" w:rsidRPr="00D16308" w:rsidRDefault="001C0E36" w:rsidP="00B32E7F">
            <w:pPr>
              <w:jc w:val="center"/>
              <w:rPr>
                <w:color w:val="000000"/>
                <w:sz w:val="20"/>
                <w:szCs w:val="20"/>
              </w:rPr>
            </w:pPr>
            <w:r w:rsidRPr="00D16308">
              <w:rPr>
                <w:color w:val="000000"/>
                <w:sz w:val="20"/>
                <w:szCs w:val="20"/>
              </w:rPr>
              <w:t>R3</w:t>
            </w:r>
          </w:p>
        </w:tc>
        <w:tc>
          <w:tcPr>
            <w:tcW w:w="1403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E6C3443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81DCDE0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90,7</w:t>
            </w:r>
          </w:p>
        </w:tc>
        <w:tc>
          <w:tcPr>
            <w:tcW w:w="136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6FD48E" w14:textId="77777777" w:rsidR="001C0E36" w:rsidRPr="00D16308" w:rsidRDefault="001C0E36" w:rsidP="002C15B6">
            <w:pPr>
              <w:jc w:val="center"/>
              <w:rPr>
                <w:color w:val="000000"/>
                <w:sz w:val="20"/>
                <w:szCs w:val="20"/>
              </w:rPr>
            </w:pPr>
            <w:r w:rsidRPr="001008D9">
              <w:rPr>
                <w:color w:val="000000"/>
                <w:sz w:val="20"/>
                <w:szCs w:val="20"/>
              </w:rPr>
              <w:t>-8,2</w:t>
            </w:r>
          </w:p>
        </w:tc>
      </w:tr>
    </w:tbl>
    <w:p w14:paraId="03B7E3EA" w14:textId="77777777" w:rsidR="001C0E36" w:rsidRDefault="001C0E36" w:rsidP="001C0E36">
      <w:pPr>
        <w:autoSpaceDE w:val="0"/>
        <w:autoSpaceDN w:val="0"/>
        <w:adjustRightInd w:val="0"/>
        <w:ind w:firstLine="709"/>
        <w:jc w:val="both"/>
      </w:pPr>
    </w:p>
    <w:p w14:paraId="40AF2E4C" w14:textId="5147249C" w:rsidR="001C0E36" w:rsidRDefault="001C0E36" w:rsidP="001C0E3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0E08">
        <w:t xml:space="preserve">На реализацию </w:t>
      </w:r>
      <w:r w:rsidRPr="008E0E08">
        <w:rPr>
          <w:color w:val="000000"/>
        </w:rPr>
        <w:t>р</w:t>
      </w:r>
      <w:r w:rsidRPr="00D16308">
        <w:rPr>
          <w:color w:val="000000"/>
        </w:rPr>
        <w:t>егиональн</w:t>
      </w:r>
      <w:r w:rsidRPr="008E0E08">
        <w:rPr>
          <w:color w:val="000000"/>
        </w:rPr>
        <w:t>ого</w:t>
      </w:r>
      <w:r w:rsidRPr="00D16308">
        <w:rPr>
          <w:color w:val="000000"/>
        </w:rPr>
        <w:t xml:space="preserve"> проект</w:t>
      </w:r>
      <w:r w:rsidRPr="008E0E08">
        <w:rPr>
          <w:color w:val="000000"/>
        </w:rPr>
        <w:t>а</w:t>
      </w:r>
      <w:r w:rsidRPr="00D16308">
        <w:rPr>
          <w:color w:val="000000"/>
        </w:rPr>
        <w:t xml:space="preserve"> </w:t>
      </w:r>
      <w:r w:rsidRPr="008E0E08">
        <w:rPr>
          <w:color w:val="000000"/>
        </w:rPr>
        <w:t>«</w:t>
      </w:r>
      <w:r w:rsidRPr="00D16308">
        <w:rPr>
          <w:color w:val="000000"/>
        </w:rPr>
        <w:t>Региональная и местная дорожная сеть (Волгоградская область)</w:t>
      </w:r>
      <w:r w:rsidRPr="008E0E08">
        <w:rPr>
          <w:color w:val="000000"/>
        </w:rPr>
        <w:t>» ассигнования увеличены на 1649,8 млн. руб., в том числе за сч</w:t>
      </w:r>
      <w:r w:rsidR="002C15B6">
        <w:rPr>
          <w:color w:val="000000"/>
        </w:rPr>
        <w:t>е</w:t>
      </w:r>
      <w:r w:rsidRPr="008E0E08">
        <w:rPr>
          <w:color w:val="000000"/>
        </w:rPr>
        <w:t>т уменьшения ассигнований на реализацию р</w:t>
      </w:r>
      <w:r w:rsidRPr="00D16308">
        <w:rPr>
          <w:color w:val="000000"/>
        </w:rPr>
        <w:t>егиональн</w:t>
      </w:r>
      <w:r w:rsidRPr="008E0E08">
        <w:rPr>
          <w:color w:val="000000"/>
        </w:rPr>
        <w:t>ого</w:t>
      </w:r>
      <w:r w:rsidRPr="00D16308">
        <w:rPr>
          <w:color w:val="000000"/>
        </w:rPr>
        <w:t xml:space="preserve"> проект</w:t>
      </w:r>
      <w:r w:rsidRPr="008E0E08">
        <w:rPr>
          <w:color w:val="000000"/>
        </w:rPr>
        <w:t>а</w:t>
      </w:r>
      <w:r w:rsidRPr="00D16308">
        <w:rPr>
          <w:color w:val="000000"/>
        </w:rPr>
        <w:t xml:space="preserve"> </w:t>
      </w:r>
      <w:r w:rsidRPr="008E0E08">
        <w:rPr>
          <w:color w:val="000000"/>
        </w:rPr>
        <w:t>«</w:t>
      </w:r>
      <w:r w:rsidRPr="00D16308">
        <w:rPr>
          <w:color w:val="000000"/>
        </w:rPr>
        <w:t>Общесистемные меры развития дорожного хозяйства (Волгоградская область)</w:t>
      </w:r>
      <w:r w:rsidRPr="008E0E08">
        <w:rPr>
          <w:color w:val="000000"/>
        </w:rPr>
        <w:t xml:space="preserve">», что в большей степени обусловлено невыплатой платы концедента по </w:t>
      </w:r>
      <w:r w:rsidRPr="008E0E08">
        <w:rPr>
          <w:rFonts w:eastAsiaTheme="minorEastAsia"/>
        </w:rPr>
        <w:t>к</w:t>
      </w:r>
      <w:r w:rsidRPr="008E0E08">
        <w:t xml:space="preserve">онцессионному соглашению </w:t>
      </w:r>
      <w:r w:rsidRPr="008E0E08">
        <w:rPr>
          <w:rFonts w:eastAsia="Calibri"/>
        </w:rPr>
        <w:t>на создание и эксплуатацию объектов информационных технологий и технических средств, технологически связанных с ними и предназначенных для обеспечения их функционирования от 26.02.2020 (камеры фотовидеофиксации нарушений правил дорожного движения).</w:t>
      </w:r>
    </w:p>
    <w:p w14:paraId="4120DB57" w14:textId="16C88C20" w:rsidR="002128FF" w:rsidRPr="00A56AC4" w:rsidRDefault="002128FF" w:rsidP="002128FF">
      <w:pPr>
        <w:ind w:firstLine="709"/>
        <w:jc w:val="both"/>
        <w:outlineLvl w:val="1"/>
        <w:rPr>
          <w:rFonts w:eastAsia="Calibri"/>
        </w:rPr>
      </w:pPr>
      <w:r w:rsidRPr="002128FF">
        <w:rPr>
          <w:bCs/>
          <w:i/>
        </w:rPr>
        <w:t>По подразделу 0405 «Сельское хозяйство и рыболовство»</w:t>
      </w:r>
      <w:r>
        <w:rPr>
          <w:i/>
        </w:rPr>
        <w:t xml:space="preserve"> </w:t>
      </w:r>
      <w:r w:rsidRPr="002C4872">
        <w:t>з</w:t>
      </w:r>
      <w:r>
        <w:t xml:space="preserve">аконопроектом предусмотрено увеличение бюджетных ассигнований на 2021 год на 203 млн. руб., или на 4,8 процента. Основное увеличение коснулось комитета сельского хозяйства Волгоградской области в рамках госпрограммы </w:t>
      </w:r>
      <w:r w:rsidRPr="002128FF">
        <w:t xml:space="preserve">«Развитие сельского хозяйства и регулирование рынков сельскохозяйственной продукции, сырья и продовольствия» </w:t>
      </w:r>
      <w:r>
        <w:t xml:space="preserve">- </w:t>
      </w:r>
      <w:r w:rsidRPr="00CA3560">
        <w:t>на 204,5 млн. руб.,</w:t>
      </w:r>
      <w:r>
        <w:t xml:space="preserve"> в том числе </w:t>
      </w:r>
      <w:r>
        <w:rPr>
          <w:rFonts w:eastAsia="Calibri"/>
        </w:rPr>
        <w:t>по новому виду государственной поддержки - возмещение производителям зерновых культур части затрат на их производство и реализацию - на 425,3 млн. руб., из них на 424,8 млн. руб. – за счет средств федерального бюджета.</w:t>
      </w:r>
    </w:p>
    <w:p w14:paraId="248B8135" w14:textId="77777777" w:rsidR="002128FF" w:rsidRPr="00526A67" w:rsidRDefault="002128FF" w:rsidP="002128FF">
      <w:pPr>
        <w:ind w:firstLine="709"/>
        <w:jc w:val="both"/>
        <w:outlineLvl w:val="1"/>
        <w:rPr>
          <w:i/>
        </w:rPr>
      </w:pPr>
      <w:r w:rsidRPr="00CA3560">
        <w:rPr>
          <w:iCs/>
        </w:rPr>
        <w:t>Уменьшени</w:t>
      </w:r>
      <w:r>
        <w:rPr>
          <w:iCs/>
        </w:rPr>
        <w:t>е</w:t>
      </w:r>
      <w:r w:rsidRPr="00CA3560">
        <w:rPr>
          <w:iCs/>
        </w:rPr>
        <w:t xml:space="preserve"> расходов на 228,3 млн. руб. в</w:t>
      </w:r>
      <w:r w:rsidRPr="009A1EFA">
        <w:t xml:space="preserve"> основном сложил</w:t>
      </w:r>
      <w:r>
        <w:t>о</w:t>
      </w:r>
      <w:r w:rsidRPr="009A1EFA">
        <w:t>сь:</w:t>
      </w:r>
    </w:p>
    <w:p w14:paraId="16E8979D" w14:textId="259B33D2" w:rsidR="002128FF" w:rsidRDefault="002128FF" w:rsidP="002128FF">
      <w:pPr>
        <w:ind w:firstLine="708"/>
        <w:contextualSpacing/>
        <w:jc w:val="both"/>
        <w:outlineLvl w:val="1"/>
      </w:pPr>
      <w:r>
        <w:t xml:space="preserve">-по подпрограмме </w:t>
      </w:r>
      <w:r w:rsidRPr="002128FF">
        <w:t>«Поддержка малых форм хозяйствования и сельскохозяйственной кооперации»</w:t>
      </w:r>
      <w:r>
        <w:t xml:space="preserve"> - на 60,9 млн. руб., в том числе на 39,5 млн. руб. – за счет средств федерального бюджета, на 21,4 млн. руб. – за счет средств областного бюджета по 2-м видам государственной поддержки (гранты на развитие семейных ферм и сельскохозяйственным потребительским кооперативам для развития материально-технической базы);</w:t>
      </w:r>
    </w:p>
    <w:p w14:paraId="740D0ED7" w14:textId="68DF3B0D" w:rsidR="002128FF" w:rsidRPr="00EE5DA4" w:rsidRDefault="002128FF" w:rsidP="002128FF">
      <w:pPr>
        <w:ind w:firstLine="708"/>
        <w:contextualSpacing/>
        <w:jc w:val="both"/>
        <w:outlineLvl w:val="1"/>
      </w:pPr>
      <w:r>
        <w:t xml:space="preserve">-по подпрограмме </w:t>
      </w:r>
      <w:r w:rsidRPr="002128FF">
        <w:t xml:space="preserve">«Техническая и технологическая модернизация, инновационное развитие» </w:t>
      </w:r>
      <w:r>
        <w:t>за счет средств областного бюджета на 141,9 млн. рублей. Основное уменьшение расходов предусмотрено по субсидии в виде имущественного взноса Фонду «Перспективное развитие Волгоградской области» для финансового обеспечения проектов развития и (или) финансового оздоровления сельскохозяйственных товаропроизводителей Волгоградской области</w:t>
      </w:r>
      <w:r w:rsidRPr="009F26B3">
        <w:t xml:space="preserve"> </w:t>
      </w:r>
      <w:r>
        <w:t>(-100 млн. руб.) и на возмещение части затрат на уплату процентов по кредитам, полученным на рефинансирование кредитов в АПК (-36,4 млн. руб.).</w:t>
      </w:r>
    </w:p>
    <w:p w14:paraId="33FF3FC6" w14:textId="107A7156" w:rsidR="002128FF" w:rsidRDefault="002128FF" w:rsidP="002128FF">
      <w:pPr>
        <w:ind w:firstLine="708"/>
        <w:jc w:val="both"/>
        <w:outlineLvl w:val="1"/>
      </w:pPr>
      <w:r>
        <w:t xml:space="preserve">Указанные изменения предусмотрены в соответствии с соглашениями о предоставлении субсидии из федерального бюджета бюджету субъекта РФ, заключенными </w:t>
      </w:r>
      <w:r>
        <w:lastRenderedPageBreak/>
        <w:t>между Администрацией Волгоградской области и Минсельхозом РФ, и в соответствии с бюджетной росписью комитета сельского хозяйства по состоянию на 11.11.2021.</w:t>
      </w:r>
    </w:p>
    <w:p w14:paraId="0CB0FCFD" w14:textId="5693096B" w:rsidR="002128FF" w:rsidRDefault="002128FF" w:rsidP="002128FF">
      <w:pPr>
        <w:ind w:firstLine="709"/>
        <w:jc w:val="both"/>
      </w:pPr>
      <w:r w:rsidRPr="00134E30">
        <w:rPr>
          <w:i/>
        </w:rPr>
        <w:t>По подразделу 0406 «Водное хозяйство»</w:t>
      </w:r>
      <w:r>
        <w:t xml:space="preserve"> предусмотрено уменьшение ассигнований комитету природных ресурсов, лесного хозяйства и экологии Волгоградской области на 128,9 млн. руб., или на 13,4 процента. Сокращение расходов в основном сложилось по следующим мероприятиям:</w:t>
      </w:r>
    </w:p>
    <w:p w14:paraId="7CE61DB2" w14:textId="61DD20BD" w:rsidR="002128FF" w:rsidRDefault="002128FF" w:rsidP="002128FF">
      <w:pPr>
        <w:ind w:firstLine="709"/>
        <w:jc w:val="both"/>
      </w:pPr>
      <w:r>
        <w:t>-уменьшены расходы на экологическую реабилитацию водных объектов - на 41,8 млн. руб. (с</w:t>
      </w:r>
      <w:r w:rsidR="00134E30">
        <w:t>о</w:t>
      </w:r>
      <w:r>
        <w:t xml:space="preserve"> 148,2 до 106,4 млн. руб.). Ассигнования приведены </w:t>
      </w:r>
      <w:r>
        <w:rPr>
          <w:bCs/>
        </w:rPr>
        <w:t xml:space="preserve">в соответствие с </w:t>
      </w:r>
      <w:r>
        <w:t>дополнительным соглашением от 11.06.2021 №052-09-2019-076/11 к Соглашению о предоставлении субсидии из федерального бюджета бюджету субъекта РФ от 14.02.2019 №052-09-2019-076;</w:t>
      </w:r>
    </w:p>
    <w:p w14:paraId="230E20D0" w14:textId="11FFA0F2" w:rsidR="002128FF" w:rsidRDefault="002128FF" w:rsidP="002128FF">
      <w:pPr>
        <w:ind w:firstLine="709"/>
        <w:jc w:val="both"/>
      </w:pPr>
      <w:r>
        <w:t>-уменьшены средства областного бюджета на капитальный ремонт гидротехнических сооружений, находящихся в собственности субъектов РФ, муниципальной собственности, и бесхозяйных гидротехнических сооружений, расчистк</w:t>
      </w:r>
      <w:r w:rsidR="00134E30">
        <w:t>у</w:t>
      </w:r>
      <w:r>
        <w:t xml:space="preserve"> русел рек, определение и установление границ водоохранных зон и прибрежных защитных полос, охрана и восстановление водных объектов – на 61,9 млн. руб.;</w:t>
      </w:r>
    </w:p>
    <w:p w14:paraId="700D9BCF" w14:textId="3FD8A8F6" w:rsidR="002128FF" w:rsidRDefault="002128FF" w:rsidP="002128FF">
      <w:pPr>
        <w:ind w:firstLine="709"/>
        <w:jc w:val="both"/>
      </w:pPr>
      <w:r>
        <w:t>-исключены средства областного бюджета на разработку проектной документации по объекту «Берегоукрепление правого берега р. Волга в Краснооктябрьском и Тракторозаводском районах Волгограда» в связи с отсутствием контракта</w:t>
      </w:r>
      <w:r w:rsidR="00134E30">
        <w:t>, заключенного</w:t>
      </w:r>
      <w:r>
        <w:t xml:space="preserve"> с проектировщиком - на 10,5 млн. руб.; </w:t>
      </w:r>
    </w:p>
    <w:p w14:paraId="551F42A4" w14:textId="77777777" w:rsidR="002128FF" w:rsidRDefault="002128FF" w:rsidP="002128FF">
      <w:pPr>
        <w:ind w:firstLine="709"/>
        <w:jc w:val="both"/>
      </w:pPr>
      <w:r>
        <w:t>-исключены средства областного бюджета на строительство объекта «Инженерная защита станицы Кумылженская Кумылженского муниципального района Волгоградской области от затопления паводковыми водами» – на 7 млн. рублей.</w:t>
      </w:r>
    </w:p>
    <w:p w14:paraId="2B4C83E4" w14:textId="21B43904" w:rsidR="002128FF" w:rsidRPr="002861F4" w:rsidRDefault="00134E30" w:rsidP="002128FF">
      <w:pPr>
        <w:ind w:firstLine="708"/>
        <w:jc w:val="both"/>
        <w:rPr>
          <w:u w:val="single"/>
        </w:rPr>
      </w:pPr>
      <w:r>
        <w:rPr>
          <w:rFonts w:eastAsia="Calibri"/>
        </w:rPr>
        <w:t>Необходимо отметить, что з</w:t>
      </w:r>
      <w:r w:rsidR="002128FF" w:rsidRPr="00F15AB9">
        <w:rPr>
          <w:rFonts w:eastAsia="Calibri"/>
        </w:rPr>
        <w:t xml:space="preserve">аконопроектом </w:t>
      </w:r>
      <w:r w:rsidR="002128FF">
        <w:rPr>
          <w:rFonts w:eastAsia="Calibri"/>
        </w:rPr>
        <w:t xml:space="preserve">об областном бюджете на 2022 год </w:t>
      </w:r>
      <w:r w:rsidR="002128FF" w:rsidRPr="00F15AB9">
        <w:rPr>
          <w:rFonts w:eastAsia="Calibri"/>
        </w:rPr>
        <w:t xml:space="preserve">средства на </w:t>
      </w:r>
      <w:r w:rsidR="002128FF">
        <w:rPr>
          <w:rFonts w:eastAsia="Calibri"/>
        </w:rPr>
        <w:t>выше</w:t>
      </w:r>
      <w:r w:rsidR="002128FF" w:rsidRPr="00F15AB9">
        <w:rPr>
          <w:rFonts w:eastAsia="Calibri"/>
        </w:rPr>
        <w:t>указанны</w:t>
      </w:r>
      <w:r w:rsidR="002128FF">
        <w:rPr>
          <w:rFonts w:eastAsia="Calibri"/>
        </w:rPr>
        <w:t>й</w:t>
      </w:r>
      <w:r w:rsidR="002128FF" w:rsidRPr="00F15AB9">
        <w:rPr>
          <w:rFonts w:eastAsia="Calibri"/>
        </w:rPr>
        <w:t xml:space="preserve"> объект </w:t>
      </w:r>
      <w:r w:rsidR="002128FF">
        <w:rPr>
          <w:rFonts w:eastAsia="Calibri"/>
        </w:rPr>
        <w:t xml:space="preserve">также </w:t>
      </w:r>
      <w:r w:rsidR="002128FF" w:rsidRPr="00F15AB9">
        <w:rPr>
          <w:rFonts w:eastAsia="Calibri"/>
        </w:rPr>
        <w:t xml:space="preserve">не предусматриваются. </w:t>
      </w:r>
      <w:r w:rsidR="002128FF">
        <w:rPr>
          <w:rFonts w:eastAsia="Calibri"/>
        </w:rPr>
        <w:t>Вместе с тем п</w:t>
      </w:r>
      <w:r w:rsidR="002128FF" w:rsidRPr="00F15AB9">
        <w:t xml:space="preserve">роектные и изыскательские работы </w:t>
      </w:r>
      <w:r w:rsidR="002128FF">
        <w:t xml:space="preserve">по нему </w:t>
      </w:r>
      <w:r w:rsidR="002128FF" w:rsidRPr="00F15AB9">
        <w:t xml:space="preserve">за счет средств областного бюджета на сумму 10,4 млн. руб. были выполнены еще </w:t>
      </w:r>
      <w:r w:rsidR="002128FF" w:rsidRPr="002861F4">
        <w:t>в 2013 году.</w:t>
      </w:r>
      <w:r w:rsidR="002128FF" w:rsidRPr="00F15AB9">
        <w:t xml:space="preserve"> </w:t>
      </w:r>
      <w:r>
        <w:t>С</w:t>
      </w:r>
      <w:r w:rsidR="002128FF">
        <w:rPr>
          <w:iCs/>
        </w:rPr>
        <w:t xml:space="preserve">оглашение о предоставлении субсидии из федерального бюджета </w:t>
      </w:r>
      <w:r>
        <w:rPr>
          <w:iCs/>
        </w:rPr>
        <w:t xml:space="preserve">на данный объект </w:t>
      </w:r>
      <w:r w:rsidR="002128FF">
        <w:rPr>
          <w:iCs/>
        </w:rPr>
        <w:t xml:space="preserve">не заключено. </w:t>
      </w:r>
    </w:p>
    <w:bookmarkEnd w:id="3"/>
    <w:p w14:paraId="6101125E" w14:textId="1B3AF5E1" w:rsidR="00977A4D" w:rsidRPr="00D90409" w:rsidRDefault="00977A4D" w:rsidP="009A31D5">
      <w:pPr>
        <w:pStyle w:val="msonormalmrcssattr"/>
        <w:spacing w:before="0" w:beforeAutospacing="0" w:after="0" w:afterAutospacing="0"/>
        <w:ind w:firstLine="709"/>
        <w:jc w:val="both"/>
        <w:rPr>
          <w:iCs/>
        </w:rPr>
      </w:pPr>
      <w:r w:rsidRPr="00977A4D">
        <w:rPr>
          <w:bCs/>
          <w:i/>
        </w:rPr>
        <w:t>По</w:t>
      </w:r>
      <w:r>
        <w:rPr>
          <w:bCs/>
          <w:i/>
        </w:rPr>
        <w:t xml:space="preserve"> по</w:t>
      </w:r>
      <w:r w:rsidRPr="00977A4D">
        <w:rPr>
          <w:bCs/>
          <w:i/>
        </w:rPr>
        <w:t>драздел</w:t>
      </w:r>
      <w:r>
        <w:rPr>
          <w:bCs/>
          <w:i/>
        </w:rPr>
        <w:t>у</w:t>
      </w:r>
      <w:r w:rsidRPr="00977A4D">
        <w:rPr>
          <w:bCs/>
          <w:i/>
        </w:rPr>
        <w:t xml:space="preserve"> 0412 «Другие вопросы в области национальной экономики»</w:t>
      </w:r>
      <w:r>
        <w:rPr>
          <w:bCs/>
          <w:i/>
        </w:rPr>
        <w:t xml:space="preserve"> </w:t>
      </w:r>
      <w:r>
        <w:rPr>
          <w:bCs/>
          <w:iCs/>
        </w:rPr>
        <w:t xml:space="preserve">в целом предусмотрено уменьшение ассигнований на 40,9 млн. руб., что </w:t>
      </w:r>
      <w:r w:rsidR="009A31D5">
        <w:rPr>
          <w:bCs/>
          <w:iCs/>
        </w:rPr>
        <w:t xml:space="preserve">в основном </w:t>
      </w:r>
      <w:r>
        <w:rPr>
          <w:bCs/>
          <w:iCs/>
        </w:rPr>
        <w:t>обусловлено</w:t>
      </w:r>
      <w:r w:rsidR="009A31D5">
        <w:rPr>
          <w:bCs/>
          <w:iCs/>
        </w:rPr>
        <w:t xml:space="preserve"> уменьшением ассигнований </w:t>
      </w:r>
      <w:r w:rsidR="009A31D5">
        <w:rPr>
          <w:iCs/>
        </w:rPr>
        <w:t>к</w:t>
      </w:r>
      <w:r w:rsidRPr="00D90409">
        <w:rPr>
          <w:iCs/>
        </w:rPr>
        <w:t xml:space="preserve">омитету промышленной политики, торговли и топливно-энергетического комплекса Волгоградской области на 33,5 млн. руб. в рамках подпрограммы </w:t>
      </w:r>
      <w:r w:rsidRPr="009A31D5">
        <w:rPr>
          <w:iCs/>
        </w:rPr>
        <w:t>«Повышение эффективности взаимодействия с субъектами деятельности в сфере промышленности»</w:t>
      </w:r>
      <w:r w:rsidRPr="00D90409">
        <w:rPr>
          <w:iCs/>
        </w:rPr>
        <w:t xml:space="preserve"> госпрограммы </w:t>
      </w:r>
      <w:r w:rsidRPr="00D90409">
        <w:rPr>
          <w:i/>
        </w:rPr>
        <w:t>«</w:t>
      </w:r>
      <w:r w:rsidRPr="009A31D5">
        <w:rPr>
          <w:iCs/>
        </w:rPr>
        <w:t>Энергосбережение и повышение энергетической эффективности в Волгоградской области»</w:t>
      </w:r>
      <w:r w:rsidRPr="00D90409">
        <w:rPr>
          <w:iCs/>
        </w:rPr>
        <w:t xml:space="preserve">  на субсидии Фонду «Перспективное развитие Волгоградской области» в связи с отсутствием потребности (по информации комитета).</w:t>
      </w:r>
    </w:p>
    <w:p w14:paraId="3FF77129" w14:textId="35C6A38F" w:rsidR="009A31D5" w:rsidRPr="00D90409" w:rsidRDefault="009A31D5" w:rsidP="009A31D5">
      <w:pPr>
        <w:pStyle w:val="msonormalmrcssattr"/>
        <w:tabs>
          <w:tab w:val="left" w:pos="709"/>
        </w:tabs>
        <w:spacing w:before="0" w:beforeAutospacing="0" w:after="0" w:afterAutospacing="0"/>
        <w:jc w:val="both"/>
      </w:pPr>
      <w:r>
        <w:tab/>
        <w:t xml:space="preserve"> При этом к</w:t>
      </w:r>
      <w:r w:rsidRPr="00D90409">
        <w:t xml:space="preserve">омитету строительства Волгоградской области </w:t>
      </w:r>
      <w:r>
        <w:t>по данному подразделу</w:t>
      </w:r>
      <w:r w:rsidRPr="00D90409">
        <w:t xml:space="preserve"> ассигновани</w:t>
      </w:r>
      <w:r>
        <w:t>я увеличены</w:t>
      </w:r>
      <w:r w:rsidRPr="00D90409">
        <w:t xml:space="preserve"> на 9,5 млн. рублей. Основное увеличение (на 17,2 млн. руб.) предусмотрено на обеспечение деятельности ГКУ «Управление капитального строительства» в рамках подпрограммы </w:t>
      </w:r>
      <w:r w:rsidRPr="00A649AE">
        <w:t>«Стимулирование развития жилищного строительства в Волгоградской области»</w:t>
      </w:r>
      <w:r w:rsidRPr="00D90409">
        <w:t xml:space="preserve"> госпрограммы </w:t>
      </w:r>
      <w:r w:rsidRPr="00A649AE">
        <w:t xml:space="preserve">«Обеспечение доступным и комфортным жильем жителей Волгоградской области». </w:t>
      </w:r>
      <w:r w:rsidRPr="00D90409">
        <w:t>Субсидии в виде имущественного взноса некоммерческой организации «Волгоградский фонд жилья и ипотеки» уменьш</w:t>
      </w:r>
      <w:r w:rsidR="009D341C">
        <w:t>ены</w:t>
      </w:r>
      <w:r w:rsidRPr="00D90409">
        <w:t xml:space="preserve"> на 11,2 млн. рублей. </w:t>
      </w:r>
    </w:p>
    <w:p w14:paraId="012A7964" w14:textId="77777777" w:rsidR="00977A4D" w:rsidRPr="009E1A5E" w:rsidRDefault="00977A4D" w:rsidP="00977A4D">
      <w:pPr>
        <w:autoSpaceDE w:val="0"/>
        <w:autoSpaceDN w:val="0"/>
        <w:adjustRightInd w:val="0"/>
        <w:ind w:firstLine="709"/>
        <w:jc w:val="both"/>
        <w:rPr>
          <w:b/>
          <w:iCs/>
        </w:rPr>
      </w:pPr>
    </w:p>
    <w:p w14:paraId="3A35C71C" w14:textId="1AA87930" w:rsidR="00EB7FEE" w:rsidRDefault="00EB7FEE" w:rsidP="008F67B2">
      <w:pPr>
        <w:autoSpaceDE w:val="0"/>
        <w:autoSpaceDN w:val="0"/>
        <w:adjustRightInd w:val="0"/>
        <w:ind w:firstLine="709"/>
        <w:jc w:val="center"/>
        <w:rPr>
          <w:b/>
          <w:i/>
          <w:u w:val="single"/>
        </w:rPr>
      </w:pPr>
      <w:r w:rsidRPr="002340DA">
        <w:rPr>
          <w:b/>
          <w:i/>
          <w:u w:val="single"/>
        </w:rPr>
        <w:t>Раздел 0500 «Жилищно-коммунальное хозяйство»</w:t>
      </w:r>
    </w:p>
    <w:p w14:paraId="4C3DEDB2" w14:textId="1A09A347" w:rsidR="00D75556" w:rsidRDefault="00D75556" w:rsidP="008F67B2">
      <w:pPr>
        <w:autoSpaceDE w:val="0"/>
        <w:autoSpaceDN w:val="0"/>
        <w:adjustRightInd w:val="0"/>
        <w:ind w:firstLine="709"/>
        <w:jc w:val="center"/>
        <w:rPr>
          <w:b/>
          <w:i/>
          <w:u w:val="single"/>
        </w:rPr>
      </w:pPr>
    </w:p>
    <w:p w14:paraId="19E982B5" w14:textId="7A31E19F" w:rsidR="00367DBA" w:rsidRPr="009B01A2" w:rsidRDefault="00367DBA" w:rsidP="00367DBA">
      <w:pPr>
        <w:pStyle w:val="msonormalmrcssattr"/>
        <w:spacing w:before="0" w:beforeAutospacing="0" w:after="0" w:afterAutospacing="0"/>
        <w:ind w:firstLine="708"/>
        <w:jc w:val="both"/>
      </w:pPr>
      <w:r>
        <w:t xml:space="preserve">По данному разделу расходы на 2021 год предусмотрено уменьшить на 138 млн. руб. (-2,1%). При этом </w:t>
      </w:r>
      <w:r w:rsidRPr="009B01A2">
        <w:t xml:space="preserve">основное изменение бюджетных ассигнований на 2021 год предусмотрено по подразделам 0502 «Коммунальное хозяйство» </w:t>
      </w:r>
      <w:r>
        <w:t xml:space="preserve">(-238,5 млн. руб., или 9,2%) и </w:t>
      </w:r>
      <w:r w:rsidRPr="009B01A2">
        <w:t>0503 «Благоустройство»</w:t>
      </w:r>
      <w:r>
        <w:t xml:space="preserve"> (</w:t>
      </w:r>
      <w:r w:rsidR="00571DF5">
        <w:t>+</w:t>
      </w:r>
      <w:r w:rsidRPr="009B01A2">
        <w:t>108,7 млн. руб., или 10,1</w:t>
      </w:r>
      <w:r>
        <w:t>%).</w:t>
      </w:r>
    </w:p>
    <w:p w14:paraId="2077BC58" w14:textId="55026F56" w:rsidR="00367DBA" w:rsidRPr="009B01A2" w:rsidRDefault="00367DBA" w:rsidP="00367DBA">
      <w:pPr>
        <w:pStyle w:val="msonormalmrcssattr"/>
        <w:spacing w:before="0" w:beforeAutospacing="0" w:after="0" w:afterAutospacing="0"/>
        <w:ind w:firstLine="708"/>
        <w:jc w:val="both"/>
      </w:pPr>
      <w:r w:rsidRPr="00615CC6">
        <w:rPr>
          <w:i/>
          <w:iCs/>
        </w:rPr>
        <w:t>По подразделу 0502 «Коммунальное хозяйство»</w:t>
      </w:r>
      <w:r w:rsidRPr="00493671">
        <w:rPr>
          <w:b/>
          <w:bCs/>
          <w:i/>
          <w:iCs/>
        </w:rPr>
        <w:t xml:space="preserve"> </w:t>
      </w:r>
      <w:r w:rsidR="00615CC6">
        <w:t xml:space="preserve">ассигнования сокращены </w:t>
      </w:r>
      <w:r w:rsidR="00571DF5">
        <w:t xml:space="preserve">главным образом </w:t>
      </w:r>
      <w:r w:rsidR="00615CC6">
        <w:t>к</w:t>
      </w:r>
      <w:r w:rsidRPr="009B01A2">
        <w:t>омитету строительства Волгоградской области - на 219,1 млн. руб., в том числе:</w:t>
      </w:r>
    </w:p>
    <w:p w14:paraId="42CF809D" w14:textId="4E50BDD1" w:rsidR="00367DBA" w:rsidRPr="009B01A2" w:rsidRDefault="00367DBA" w:rsidP="00BB2793">
      <w:pPr>
        <w:ind w:firstLine="708"/>
        <w:jc w:val="both"/>
      </w:pPr>
      <w:r w:rsidRPr="009B01A2">
        <w:t xml:space="preserve">-в рамках подпрограммы </w:t>
      </w:r>
      <w:r w:rsidRPr="00615CC6">
        <w:t>«Стимулирование развития жилищного строительства в Волгоградской области» госпрограммы «Обеспечение доступным и комфортным жильем жителей Волгоградской области»</w:t>
      </w:r>
      <w:r w:rsidRPr="009B01A2">
        <w:t xml:space="preserve"> </w:t>
      </w:r>
      <w:r w:rsidR="00615CC6">
        <w:t>-</w:t>
      </w:r>
      <w:r w:rsidRPr="009B01A2">
        <w:t xml:space="preserve"> на 222,8 млн. руб., из них</w:t>
      </w:r>
      <w:r w:rsidR="00BB2793">
        <w:t xml:space="preserve"> </w:t>
      </w:r>
      <w:r w:rsidRPr="009B01A2">
        <w:t xml:space="preserve">за счет уменьшения расходов на </w:t>
      </w:r>
      <w:r w:rsidRPr="009B01A2">
        <w:lastRenderedPageBreak/>
        <w:t>предоставление субсидий юридическим лицам на финансовое обеспечение затрат на подключение (технологическое присоединение) многоквартирных домов, включенных в региональный перечень проблемных домов, к сетям инженерно-технического обеспечения и (или) возмещение затрат на завершение строительства многоквартирных домов, включенных в региональный перечень проблемных домов</w:t>
      </w:r>
      <w:r w:rsidR="00BB2793">
        <w:t xml:space="preserve"> - </w:t>
      </w:r>
      <w:r w:rsidR="00BB2793" w:rsidRPr="009B01A2">
        <w:t>60,7 млн. руб.</w:t>
      </w:r>
      <w:r w:rsidR="00BB2793">
        <w:t xml:space="preserve">, </w:t>
      </w:r>
      <w:r w:rsidRPr="009B01A2">
        <w:t xml:space="preserve">за счет уменьшения межбюджетных трансфертов по региональному проекту «Жилье», предусмотренных на предоставление субсидий </w:t>
      </w:r>
      <w:r w:rsidR="004135CF">
        <w:t xml:space="preserve">местным </w:t>
      </w:r>
      <w:r w:rsidRPr="009B01A2">
        <w:t>бюджетам, в том числе за счет субсидий, поступающих из федерального бюджета, на подключение (технологическое присоединение) объектов капитального строительства к сетям теплоснабжения, водоснабжения и водоотведения в целях реализации проектов по развитию территорий</w:t>
      </w:r>
      <w:r w:rsidR="00BB2793">
        <w:t xml:space="preserve"> - </w:t>
      </w:r>
      <w:r w:rsidR="00BB2793" w:rsidRPr="009B01A2">
        <w:t>на 162,1 млн. руб.</w:t>
      </w:r>
      <w:r w:rsidR="00BB2793">
        <w:t>;</w:t>
      </w:r>
    </w:p>
    <w:p w14:paraId="2D85D962" w14:textId="00EDF925" w:rsidR="00367DBA" w:rsidRPr="009B01A2" w:rsidRDefault="00367DBA" w:rsidP="00367DBA">
      <w:pPr>
        <w:autoSpaceDE w:val="0"/>
        <w:autoSpaceDN w:val="0"/>
        <w:adjustRightInd w:val="0"/>
        <w:ind w:firstLine="709"/>
        <w:jc w:val="both"/>
      </w:pPr>
      <w:r w:rsidRPr="009B01A2">
        <w:t xml:space="preserve">-в рамках подпрограммы </w:t>
      </w:r>
      <w:r w:rsidRPr="004135CF">
        <w:t>«Энергосбережение и повышение энергетической эффективности в теплоснабжении, системах коммунальной инфраструктуры и жилищном комплексе Волгоградской области»</w:t>
      </w:r>
      <w:r w:rsidRPr="009B01A2">
        <w:t xml:space="preserve"> госпрограммы </w:t>
      </w:r>
      <w:r w:rsidRPr="004135CF">
        <w:t>«Энергосбережение и повышение энергетической эффективности в Волгоградской области»</w:t>
      </w:r>
      <w:r w:rsidRPr="009B01A2">
        <w:rPr>
          <w:i/>
          <w:iCs/>
        </w:rPr>
        <w:t xml:space="preserve"> </w:t>
      </w:r>
      <w:r w:rsidRPr="009B01A2">
        <w:t xml:space="preserve">расходы </w:t>
      </w:r>
      <w:r w:rsidR="004135CF">
        <w:t>-</w:t>
      </w:r>
      <w:r w:rsidRPr="009B01A2">
        <w:t xml:space="preserve"> 18</w:t>
      </w:r>
      <w:r w:rsidR="004135CF">
        <w:t xml:space="preserve"> </w:t>
      </w:r>
      <w:r w:rsidRPr="009B01A2">
        <w:t xml:space="preserve"> млн. руб. в связи с тем, что строительство газовых котельных к 12 ФАПам перенесено на 2022 год из-за отсутствия участников конкурсных процедур (10,8 млн. руб.), а также в связи с тем, что проектирование двух котельных (зданий психоневрологического интерната в ст. Нижний Чир и городской больницы №1 в г. Петров Вал – 7,2 млн. руб.) в 2021 году не завершено, поскольку подрядчик не приступил к работам, в связи с чем с ним планируется расторжение контракта и объявление нового конкурса на проектирование</w:t>
      </w:r>
      <w:r w:rsidR="004135CF">
        <w:t>;</w:t>
      </w:r>
    </w:p>
    <w:p w14:paraId="02F14FFC" w14:textId="77777777" w:rsidR="00367DBA" w:rsidRPr="009B01A2" w:rsidRDefault="00367DBA" w:rsidP="00367DBA">
      <w:pPr>
        <w:ind w:firstLine="708"/>
        <w:jc w:val="both"/>
      </w:pPr>
      <w:r w:rsidRPr="009B01A2">
        <w:t xml:space="preserve">-в рамках подпрограммы </w:t>
      </w:r>
      <w:r w:rsidRPr="00571DF5">
        <w:t>«Газификация Волгоградской области» госпрограммы «Энергосбережение и повышение энергетической эффективности в Волгоградской области»</w:t>
      </w:r>
      <w:r w:rsidRPr="009B01A2">
        <w:t xml:space="preserve"> расходы увеличены на 19,2 млн. руб. в связи с удорожанием строительства внутрипоселкового газопровода в ст. Нижний Чир Суровикинского муниципального района по итогам положительного заключения госэкспертизы проектной документации в связи с увеличением количества домовладений, планируемых к подключению к газопроводу.</w:t>
      </w:r>
    </w:p>
    <w:p w14:paraId="51985500" w14:textId="5019090F" w:rsidR="00367DBA" w:rsidRPr="009B01A2" w:rsidRDefault="00367DBA" w:rsidP="00367DBA">
      <w:pPr>
        <w:pStyle w:val="msonormalmrcssattr"/>
        <w:spacing w:before="0" w:beforeAutospacing="0" w:after="0" w:afterAutospacing="0"/>
        <w:ind w:firstLine="708"/>
        <w:jc w:val="both"/>
      </w:pPr>
      <w:r w:rsidRPr="00571DF5">
        <w:rPr>
          <w:i/>
          <w:iCs/>
        </w:rPr>
        <w:t>По подразделу 0503 «Благоустройство»</w:t>
      </w:r>
      <w:r w:rsidRPr="00493671">
        <w:rPr>
          <w:b/>
          <w:bCs/>
          <w:i/>
          <w:iCs/>
        </w:rPr>
        <w:t xml:space="preserve"> </w:t>
      </w:r>
      <w:r w:rsidRPr="009B01A2">
        <w:t xml:space="preserve">ассигнования </w:t>
      </w:r>
      <w:r w:rsidR="00571DF5" w:rsidRPr="009B01A2">
        <w:t xml:space="preserve">на 2021 год </w:t>
      </w:r>
      <w:r w:rsidRPr="009B01A2">
        <w:t>увелич</w:t>
      </w:r>
      <w:r w:rsidR="00571DF5">
        <w:t>ены также</w:t>
      </w:r>
      <w:r w:rsidRPr="009B01A2">
        <w:t xml:space="preserve"> комитету строительства Волгоградской области </w:t>
      </w:r>
      <w:r w:rsidR="00571DF5">
        <w:t xml:space="preserve">- </w:t>
      </w:r>
      <w:r w:rsidRPr="009B01A2">
        <w:t xml:space="preserve">на 108,7 млн. руб., или на 10,1 процента. Основное увеличение предусмотрено по подпрограмме </w:t>
      </w:r>
      <w:r w:rsidRPr="00571DF5">
        <w:t xml:space="preserve">«Стимулирование развития жилищного строительства в Волгоградской области» </w:t>
      </w:r>
      <w:r w:rsidRPr="009B01A2">
        <w:t xml:space="preserve">госпрограммы </w:t>
      </w:r>
      <w:r w:rsidRPr="00571DF5">
        <w:t>«Обеспечение доступным и комфортным жильем жителей Волгоградской области»</w:t>
      </w:r>
      <w:r w:rsidRPr="009B01A2">
        <w:t xml:space="preserve"> с целью объявления конкурсных процедур на строительство автодороги по ул. Родниковая в границах от пр. Университетского до границ кварталов 06_08_097, 06_07_104 в Советском районе Волгограда стоимостью 260,3 млн. рублей. </w:t>
      </w:r>
    </w:p>
    <w:p w14:paraId="5C01B1EC" w14:textId="77777777" w:rsidR="00367DBA" w:rsidRPr="00493671" w:rsidRDefault="00367DBA" w:rsidP="00367DBA">
      <w:pPr>
        <w:pStyle w:val="msonormalmrcssattr"/>
        <w:spacing w:before="0" w:beforeAutospacing="0" w:after="0" w:afterAutospacing="0"/>
        <w:ind w:firstLine="708"/>
        <w:jc w:val="both"/>
        <w:rPr>
          <w:b/>
          <w:bCs/>
        </w:rPr>
      </w:pPr>
      <w:r w:rsidRPr="009B01A2">
        <w:t>Кроме того, предусмотрено уменьшение ассигнований в рамках вышеуказанной подпрограммы на 151,6 млн. руб., в том числе в связи с экономией по строительству двух автодорог на 51,7 млн. руб. и с целью приведения объемов финансирования в соответствие с соглашением, заключенным с Минстроем РФ.</w:t>
      </w:r>
      <w:r w:rsidRPr="00493671">
        <w:rPr>
          <w:b/>
          <w:bCs/>
        </w:rPr>
        <w:t xml:space="preserve"> </w:t>
      </w:r>
      <w:r w:rsidRPr="00493671">
        <w:rPr>
          <w:b/>
          <w:bCs/>
        </w:rPr>
        <w:tab/>
      </w:r>
    </w:p>
    <w:p w14:paraId="7EC998AE" w14:textId="77777777" w:rsidR="00367DBA" w:rsidRPr="00367DBA" w:rsidRDefault="00367DBA" w:rsidP="008F67B2">
      <w:pPr>
        <w:autoSpaceDE w:val="0"/>
        <w:autoSpaceDN w:val="0"/>
        <w:adjustRightInd w:val="0"/>
        <w:ind w:firstLine="709"/>
        <w:jc w:val="center"/>
        <w:rPr>
          <w:bCs/>
          <w:iCs/>
        </w:rPr>
      </w:pPr>
    </w:p>
    <w:p w14:paraId="6CF12E43" w14:textId="7ED49589" w:rsidR="00954687" w:rsidRDefault="00954687" w:rsidP="008F67B2">
      <w:pPr>
        <w:jc w:val="center"/>
        <w:rPr>
          <w:b/>
          <w:i/>
          <w:u w:val="single"/>
        </w:rPr>
      </w:pPr>
      <w:bookmarkStart w:id="4" w:name="_Hlk79074386"/>
      <w:bookmarkEnd w:id="1"/>
      <w:r>
        <w:rPr>
          <w:b/>
          <w:i/>
          <w:u w:val="single"/>
        </w:rPr>
        <w:t>Раздел 0600 «Охрана окружающей среды»</w:t>
      </w:r>
    </w:p>
    <w:p w14:paraId="3C799ABC" w14:textId="77777777" w:rsidR="00D75556" w:rsidRDefault="00D75556" w:rsidP="00954687">
      <w:pPr>
        <w:jc w:val="center"/>
        <w:rPr>
          <w:b/>
          <w:i/>
          <w:u w:val="single"/>
        </w:rPr>
      </w:pPr>
    </w:p>
    <w:p w14:paraId="19AD93AB" w14:textId="78902A45" w:rsidR="009168B5" w:rsidRDefault="009168B5" w:rsidP="009168B5">
      <w:pPr>
        <w:jc w:val="both"/>
        <w:rPr>
          <w:bCs/>
          <w:iCs/>
        </w:rPr>
      </w:pPr>
      <w:r>
        <w:rPr>
          <w:bCs/>
          <w:iCs/>
        </w:rPr>
        <w:tab/>
        <w:t>Расходы по разделу на 2021 год предусмотрено сократить на 96 млн. руб., или на 7,9 процента. Сокращение ассигнований произведено по всем трем подразделам данного раздела.</w:t>
      </w:r>
    </w:p>
    <w:p w14:paraId="410BE82B" w14:textId="1F9DBD77" w:rsidR="009168B5" w:rsidRPr="005516A9" w:rsidRDefault="009168B5" w:rsidP="009168B5">
      <w:pPr>
        <w:pStyle w:val="msonormalmrcssattr"/>
        <w:spacing w:before="0" w:beforeAutospacing="0" w:after="0" w:afterAutospacing="0"/>
        <w:ind w:firstLine="709"/>
        <w:jc w:val="both"/>
        <w:rPr>
          <w:rFonts w:eastAsiaTheme="minorHAnsi"/>
        </w:rPr>
      </w:pPr>
      <w:r>
        <w:t xml:space="preserve">Так, </w:t>
      </w:r>
      <w:r>
        <w:rPr>
          <w:i/>
          <w:iCs/>
        </w:rPr>
        <w:t>п</w:t>
      </w:r>
      <w:r w:rsidRPr="009168B5">
        <w:rPr>
          <w:i/>
          <w:iCs/>
        </w:rPr>
        <w:t>о подразделу 0602 «Сбор, удаление отходов и очистка сточных вод»</w:t>
      </w:r>
      <w:r w:rsidRPr="009168B5">
        <w:t xml:space="preserve"> </w:t>
      </w:r>
      <w:r w:rsidRPr="005516A9">
        <w:t>комитету жилищно-коммунального хозяйства Волгоградской области предусмотрено уменьшение на 18,</w:t>
      </w:r>
      <w:r>
        <w:t>8</w:t>
      </w:r>
      <w:r w:rsidRPr="005516A9">
        <w:t xml:space="preserve"> млн. руб., или на 2,6</w:t>
      </w:r>
      <w:r>
        <w:t>%, главным образом за счет</w:t>
      </w:r>
      <w:r w:rsidRPr="005516A9">
        <w:t xml:space="preserve"> уменьшени</w:t>
      </w:r>
      <w:r>
        <w:t>я</w:t>
      </w:r>
      <w:r w:rsidRPr="005516A9">
        <w:t xml:space="preserve"> расходов (на 20 млн. руб.) </w:t>
      </w:r>
      <w:r>
        <w:t xml:space="preserve">на реализацию мероприятий </w:t>
      </w:r>
      <w:r w:rsidRPr="005516A9">
        <w:t xml:space="preserve">подпрограммы </w:t>
      </w:r>
      <w:r w:rsidRPr="009168B5">
        <w:t>«Развитие жилищно-коммунального хозяйства Волгоградской области»</w:t>
      </w:r>
      <w:r w:rsidRPr="005516A9">
        <w:t xml:space="preserve"> госпрограммы </w:t>
      </w:r>
      <w:r w:rsidRPr="009168B5">
        <w:t>«Обеспечение качественными жилищно-коммунальными услугами населения Волгоградской области»</w:t>
      </w:r>
      <w:r w:rsidR="00A36579">
        <w:t xml:space="preserve"> -</w:t>
      </w:r>
      <w:r w:rsidRPr="005516A9">
        <w:t xml:space="preserve"> исключены ассигнования на предоставление субсидии бюджету г. Волгограда на выполнение работ по корректировке проектной документации по объекту «Строительство сооружений биологической очистки на о. Голодный в Волгограде». </w:t>
      </w:r>
    </w:p>
    <w:p w14:paraId="00D69915" w14:textId="60C90FE8" w:rsidR="009168B5" w:rsidRPr="003B29CF" w:rsidRDefault="009168B5" w:rsidP="009168B5">
      <w:pPr>
        <w:pStyle w:val="msonormalmrcssattr"/>
        <w:spacing w:before="0" w:beforeAutospacing="0" w:after="0" w:afterAutospacing="0"/>
        <w:ind w:firstLine="709"/>
        <w:jc w:val="both"/>
        <w:rPr>
          <w:lang w:eastAsia="en-US"/>
        </w:rPr>
      </w:pPr>
      <w:r w:rsidRPr="00D035AC">
        <w:rPr>
          <w:i/>
        </w:rPr>
        <w:t>По подразделу 0603 «Охрана объектов растительного и животного мира и среды их обитания»</w:t>
      </w:r>
      <w:r w:rsidRPr="003B29CF">
        <w:rPr>
          <w:lang w:eastAsia="en-US"/>
        </w:rPr>
        <w:t xml:space="preserve"> </w:t>
      </w:r>
      <w:r>
        <w:rPr>
          <w:lang w:eastAsia="en-US"/>
        </w:rPr>
        <w:t xml:space="preserve">комитету природных ресурсов, лесного хозяйства и экологии Волгоградской </w:t>
      </w:r>
      <w:r>
        <w:rPr>
          <w:lang w:eastAsia="en-US"/>
        </w:rPr>
        <w:lastRenderedPageBreak/>
        <w:t>области предусмотрено уменьшение ассигнований на 2021 год на 13,1 млн. руб., или на 7,8 процента.</w:t>
      </w:r>
      <w:r w:rsidRPr="003B29CF">
        <w:rPr>
          <w:lang w:eastAsia="en-US"/>
        </w:rPr>
        <w:t xml:space="preserve"> </w:t>
      </w:r>
      <w:r w:rsidR="00D035AC">
        <w:rPr>
          <w:lang w:eastAsia="en-US"/>
        </w:rPr>
        <w:t>В о</w:t>
      </w:r>
      <w:r w:rsidRPr="003B29CF">
        <w:rPr>
          <w:lang w:eastAsia="en-US"/>
        </w:rPr>
        <w:t>сновн</w:t>
      </w:r>
      <w:r>
        <w:rPr>
          <w:lang w:eastAsia="en-US"/>
        </w:rPr>
        <w:t>о</w:t>
      </w:r>
      <w:r w:rsidR="00D035AC">
        <w:rPr>
          <w:lang w:eastAsia="en-US"/>
        </w:rPr>
        <w:t>м</w:t>
      </w:r>
      <w:r>
        <w:rPr>
          <w:lang w:eastAsia="en-US"/>
        </w:rPr>
        <w:t xml:space="preserve"> сокращен</w:t>
      </w:r>
      <w:r w:rsidR="00D035AC">
        <w:rPr>
          <w:lang w:eastAsia="en-US"/>
        </w:rPr>
        <w:t>ы</w:t>
      </w:r>
      <w:r>
        <w:rPr>
          <w:lang w:eastAsia="en-US"/>
        </w:rPr>
        <w:t xml:space="preserve"> расход</w:t>
      </w:r>
      <w:r w:rsidR="00D035AC">
        <w:rPr>
          <w:lang w:eastAsia="en-US"/>
        </w:rPr>
        <w:t>ы</w:t>
      </w:r>
      <w:r>
        <w:rPr>
          <w:lang w:eastAsia="en-US"/>
        </w:rPr>
        <w:t xml:space="preserve"> </w:t>
      </w:r>
      <w:r w:rsidRPr="003B29CF">
        <w:rPr>
          <w:lang w:eastAsia="en-US"/>
        </w:rPr>
        <w:t xml:space="preserve">по подпрограмме </w:t>
      </w:r>
      <w:r w:rsidRPr="00D035AC">
        <w:rPr>
          <w:lang w:eastAsia="en-US"/>
        </w:rPr>
        <w:t>«Развитие охотничьего хозяйства»</w:t>
      </w:r>
      <w:r w:rsidRPr="003B29CF">
        <w:rPr>
          <w:lang w:eastAsia="en-US"/>
        </w:rPr>
        <w:t xml:space="preserve"> </w:t>
      </w:r>
      <w:r>
        <w:t xml:space="preserve">госпрограммы </w:t>
      </w:r>
      <w:r w:rsidRPr="00D035AC">
        <w:t>«Охрана окружающей среды на территории Волгоградской области»</w:t>
      </w:r>
      <w:r w:rsidRPr="00D035AC">
        <w:rPr>
          <w:lang w:eastAsia="en-US"/>
        </w:rPr>
        <w:t xml:space="preserve"> </w:t>
      </w:r>
      <w:r w:rsidRPr="003B29CF">
        <w:rPr>
          <w:lang w:eastAsia="en-US"/>
        </w:rPr>
        <w:t>по причине отсутствия контрактации.</w:t>
      </w:r>
    </w:p>
    <w:p w14:paraId="43BB7DD7" w14:textId="303D2919" w:rsidR="009168B5" w:rsidRPr="003B29CF" w:rsidRDefault="009168B5" w:rsidP="00201724">
      <w:pPr>
        <w:ind w:firstLine="709"/>
        <w:jc w:val="both"/>
      </w:pPr>
      <w:r w:rsidRPr="00D035AC">
        <w:rPr>
          <w:bCs/>
          <w:i/>
          <w:iCs/>
        </w:rPr>
        <w:t>По подразделу 0605 «Другие вопросы в области охраны окружающей среды»</w:t>
      </w:r>
      <w:r w:rsidR="00D035AC">
        <w:rPr>
          <w:bCs/>
          <w:i/>
          <w:iCs/>
        </w:rPr>
        <w:t xml:space="preserve"> </w:t>
      </w:r>
      <w:r w:rsidRPr="003B29CF">
        <w:t xml:space="preserve">комитету природных ресурсов, лесного хозяйства и экологии Волгоградской области </w:t>
      </w:r>
      <w:r>
        <w:t xml:space="preserve">предусмотрено уменьшение ассигнований </w:t>
      </w:r>
      <w:r w:rsidRPr="003B29CF">
        <w:t>на 2021 год на 64,1</w:t>
      </w:r>
      <w:r>
        <w:t xml:space="preserve"> млн. руб., или </w:t>
      </w:r>
      <w:r w:rsidR="00D035AC">
        <w:t xml:space="preserve">на </w:t>
      </w:r>
      <w:r w:rsidRPr="003B29CF">
        <w:t>19,6</w:t>
      </w:r>
      <w:r>
        <w:t xml:space="preserve"> процента.</w:t>
      </w:r>
      <w:r w:rsidR="00D035AC">
        <w:t xml:space="preserve"> Главным образом уменьшены расходы</w:t>
      </w:r>
      <w:r>
        <w:t xml:space="preserve"> </w:t>
      </w:r>
      <w:r w:rsidRPr="003B29CF">
        <w:t xml:space="preserve">на подпрограмму </w:t>
      </w:r>
      <w:r w:rsidRPr="00D035AC">
        <w:t>«Обращение с твердыми коммунальными отходами и ликвидация накопленного экологического вреда на территории Волгоградской области»</w:t>
      </w:r>
      <w:r w:rsidRPr="00792F12">
        <w:rPr>
          <w:i/>
          <w:iCs/>
        </w:rPr>
        <w:t xml:space="preserve"> </w:t>
      </w:r>
      <w:r w:rsidRPr="00792F12">
        <w:t>госпрограммы</w:t>
      </w:r>
      <w:r w:rsidRPr="00792F12">
        <w:rPr>
          <w:i/>
          <w:iCs/>
        </w:rPr>
        <w:t xml:space="preserve"> </w:t>
      </w:r>
      <w:r w:rsidRPr="00D035AC">
        <w:t>«Охрана окружающей среды на территории Волгоградской области»</w:t>
      </w:r>
      <w:r w:rsidRPr="003B29CF">
        <w:t xml:space="preserve"> </w:t>
      </w:r>
      <w:r>
        <w:t xml:space="preserve">- </w:t>
      </w:r>
      <w:r w:rsidRPr="003B29CF">
        <w:t xml:space="preserve">на 63,5 млн. рублей. Указанное сокращение связано с </w:t>
      </w:r>
      <w:r>
        <w:t>уменьшением предусмотренного ранее софинансирования</w:t>
      </w:r>
      <w:r w:rsidRPr="003B29CF">
        <w:t xml:space="preserve"> </w:t>
      </w:r>
      <w:r>
        <w:t>на мероприятия по ликвидации свалок на территории региона. В 2021 году с Минприроды России не было заключено соглашение о выделении федеральных средств, в связи с чем данные мероприятия не проводились.</w:t>
      </w:r>
    </w:p>
    <w:p w14:paraId="4B51541F" w14:textId="77777777" w:rsidR="00954687" w:rsidRDefault="00954687" w:rsidP="00201724">
      <w:pPr>
        <w:widowControl w:val="0"/>
        <w:ind w:firstLine="709"/>
        <w:jc w:val="both"/>
      </w:pPr>
    </w:p>
    <w:bookmarkEnd w:id="4"/>
    <w:p w14:paraId="7308F484" w14:textId="7E2FE913" w:rsidR="007876AE" w:rsidRDefault="00D75556" w:rsidP="00201724">
      <w:pPr>
        <w:ind w:firstLine="709"/>
        <w:jc w:val="center"/>
        <w:rPr>
          <w:b/>
          <w:i/>
          <w:u w:val="single"/>
        </w:rPr>
      </w:pPr>
      <w:r>
        <w:rPr>
          <w:b/>
          <w:i/>
          <w:u w:val="single"/>
        </w:rPr>
        <w:t>Р</w:t>
      </w:r>
      <w:r w:rsidR="007876AE" w:rsidRPr="007E0585">
        <w:rPr>
          <w:b/>
          <w:i/>
          <w:u w:val="single"/>
        </w:rPr>
        <w:t>аздел 0700 «Образование»</w:t>
      </w:r>
    </w:p>
    <w:p w14:paraId="419C227B" w14:textId="3002C7E3" w:rsidR="00337A18" w:rsidRDefault="00337A18" w:rsidP="00201724">
      <w:pPr>
        <w:jc w:val="center"/>
        <w:rPr>
          <w:b/>
          <w:i/>
          <w:u w:val="single"/>
        </w:rPr>
      </w:pPr>
    </w:p>
    <w:p w14:paraId="249D3002" w14:textId="32B926FE" w:rsidR="003701CD" w:rsidRPr="00154CBB" w:rsidRDefault="003701CD" w:rsidP="00201724">
      <w:pPr>
        <w:widowControl w:val="0"/>
        <w:ind w:firstLine="709"/>
        <w:jc w:val="both"/>
        <w:rPr>
          <w:b/>
          <w:bCs/>
        </w:rPr>
      </w:pPr>
      <w:r w:rsidRPr="00E173BC">
        <w:t xml:space="preserve">В представленном законопроекте расходы областного бюджета на 2021 год по разделу 0700 «Образование» в целом увеличены </w:t>
      </w:r>
      <w:r w:rsidRPr="003701CD">
        <w:t>на 410 млн. руб., или на 1,5 процента.</w:t>
      </w:r>
      <w:r w:rsidRPr="00154CBB">
        <w:rPr>
          <w:b/>
          <w:bCs/>
        </w:rPr>
        <w:t xml:space="preserve"> </w:t>
      </w:r>
    </w:p>
    <w:p w14:paraId="78E789B7" w14:textId="06A8D8EA" w:rsidR="003701CD" w:rsidRPr="00B63497" w:rsidRDefault="003701CD" w:rsidP="00C022A7">
      <w:pPr>
        <w:ind w:firstLine="708"/>
        <w:jc w:val="both"/>
      </w:pPr>
      <w:r w:rsidRPr="00E173BC">
        <w:t>Основное увеличение ассигнований предусмотрено</w:t>
      </w:r>
      <w:r>
        <w:t xml:space="preserve"> по г</w:t>
      </w:r>
      <w:r w:rsidRPr="00473FF0">
        <w:t>оспрограмм</w:t>
      </w:r>
      <w:r>
        <w:t>е</w:t>
      </w:r>
      <w:r w:rsidRPr="00473FF0">
        <w:t xml:space="preserve"> </w:t>
      </w:r>
      <w:r>
        <w:t>«</w:t>
      </w:r>
      <w:r w:rsidRPr="00473FF0">
        <w:t>Развитие образования в Волгоградской области</w:t>
      </w:r>
      <w:r>
        <w:t xml:space="preserve">» комитету образования, науки и молодежной политики Волгоградской области на </w:t>
      </w:r>
      <w:r w:rsidRPr="003701CD">
        <w:t>376,4 млн. руб.</w:t>
      </w:r>
      <w:r w:rsidRPr="00473FF0">
        <w:rPr>
          <w:b/>
          <w:bCs/>
        </w:rPr>
        <w:t xml:space="preserve"> </w:t>
      </w:r>
      <w:r w:rsidRPr="00473FF0">
        <w:t>(</w:t>
      </w:r>
      <w:r w:rsidR="00057654">
        <w:t xml:space="preserve">на </w:t>
      </w:r>
      <w:r w:rsidRPr="00B63497">
        <w:t xml:space="preserve">1,5% от утвержденного </w:t>
      </w:r>
      <w:r w:rsidR="00F7690D">
        <w:t>показателя</w:t>
      </w:r>
      <w:r w:rsidRPr="00B63497">
        <w:t xml:space="preserve">), </w:t>
      </w:r>
      <w:r w:rsidR="00C022A7">
        <w:t>главным образом на о</w:t>
      </w:r>
      <w:r w:rsidRPr="00B63497">
        <w:rPr>
          <w:bCs/>
          <w:iCs/>
        </w:rPr>
        <w:t>беспечение деятельности подведомственных учреждений</w:t>
      </w:r>
      <w:r w:rsidR="00F7690D">
        <w:rPr>
          <w:bCs/>
          <w:iCs/>
        </w:rPr>
        <w:t xml:space="preserve"> -</w:t>
      </w:r>
      <w:r w:rsidRPr="00B63497">
        <w:rPr>
          <w:bCs/>
          <w:iCs/>
        </w:rPr>
        <w:t xml:space="preserve"> заработную плату, оплату земельного и имущественного налогов, коммунальных платежей. Увеличение</w:t>
      </w:r>
      <w:r w:rsidRPr="00B63497">
        <w:t xml:space="preserve"> ассигнований обосновано необеспеченностью полной потребности на указанные расходы в </w:t>
      </w:r>
      <w:r w:rsidR="00F7690D">
        <w:t>действующей редакции закона о бюджете</w:t>
      </w:r>
      <w:r w:rsidR="00C022A7">
        <w:t xml:space="preserve"> на </w:t>
      </w:r>
      <w:r w:rsidRPr="00B63497">
        <w:t>сумм</w:t>
      </w:r>
      <w:r w:rsidR="00C022A7">
        <w:t>у</w:t>
      </w:r>
      <w:r w:rsidRPr="00B63497">
        <w:t xml:space="preserve"> 369 млн. руб</w:t>
      </w:r>
      <w:r w:rsidR="009C0B8A">
        <w:t>лей.</w:t>
      </w:r>
      <w:r w:rsidRPr="00B63497">
        <w:t xml:space="preserve"> </w:t>
      </w:r>
    </w:p>
    <w:p w14:paraId="5B60A17A" w14:textId="4ABDA305" w:rsidR="003701CD" w:rsidRPr="005B2832" w:rsidRDefault="009C0B8A" w:rsidP="003701CD">
      <w:pPr>
        <w:widowControl w:val="0"/>
        <w:ind w:firstLine="709"/>
        <w:jc w:val="both"/>
      </w:pPr>
      <w:r>
        <w:rPr>
          <w:bCs/>
        </w:rPr>
        <w:t>Кроме того, у</w:t>
      </w:r>
      <w:r w:rsidR="003701CD" w:rsidRPr="005B2832">
        <w:rPr>
          <w:bCs/>
        </w:rPr>
        <w:t xml:space="preserve">величены ассигнования </w:t>
      </w:r>
      <w:r w:rsidR="003701CD" w:rsidRPr="005B2832">
        <w:t xml:space="preserve">комитету строительства Волгоградской области </w:t>
      </w:r>
      <w:r>
        <w:t>на</w:t>
      </w:r>
      <w:r w:rsidR="003701CD" w:rsidRPr="005B2832">
        <w:t xml:space="preserve"> </w:t>
      </w:r>
      <w:r w:rsidR="003701CD" w:rsidRPr="009774D4">
        <w:t>46,3 млн. руб.</w:t>
      </w:r>
      <w:r w:rsidR="003701CD" w:rsidRPr="005B2832">
        <w:rPr>
          <w:b/>
          <w:bCs/>
        </w:rPr>
        <w:t xml:space="preserve"> </w:t>
      </w:r>
      <w:r w:rsidR="003701CD" w:rsidRPr="005B2832">
        <w:t>(</w:t>
      </w:r>
      <w:r w:rsidR="00057654">
        <w:t xml:space="preserve">на </w:t>
      </w:r>
      <w:r w:rsidR="003701CD" w:rsidRPr="005B2832">
        <w:t>2,1%)</w:t>
      </w:r>
      <w:r w:rsidR="00057654">
        <w:t xml:space="preserve">. </w:t>
      </w:r>
      <w:r w:rsidR="00E23E21">
        <w:t>П</w:t>
      </w:r>
      <w:r w:rsidR="00057654" w:rsidRPr="005B2832">
        <w:t>о подразделу 0702 «Общее образование»</w:t>
      </w:r>
      <w:r w:rsidR="00057654">
        <w:t xml:space="preserve"> увеличены ассигнования на </w:t>
      </w:r>
      <w:r w:rsidR="003701CD" w:rsidRPr="005B2832">
        <w:rPr>
          <w:bCs/>
        </w:rPr>
        <w:t>строительство общеобразовательной школы в Красноармейском районе Волгограда (+</w:t>
      </w:r>
      <w:r w:rsidR="003701CD" w:rsidRPr="005B2832">
        <w:t>194,4 млн. руб., или 66,7%), уменьшен</w:t>
      </w:r>
      <w:r w:rsidR="00057654">
        <w:t>ы ассигнования</w:t>
      </w:r>
      <w:r w:rsidR="003701CD" w:rsidRPr="005B2832">
        <w:t xml:space="preserve"> на завершение строительства общеобразовательной школы на 800 учащихся по ул. им. Григория Засекина в Кировском районе Волгограда (-49,4 млн. руб., или 15%)</w:t>
      </w:r>
      <w:r w:rsidR="00057654">
        <w:t>.</w:t>
      </w:r>
      <w:r w:rsidR="003701CD" w:rsidRPr="005B2832">
        <w:t xml:space="preserve"> </w:t>
      </w:r>
      <w:r w:rsidR="00057654">
        <w:t>П</w:t>
      </w:r>
      <w:r w:rsidR="00057654" w:rsidRPr="005B2832">
        <w:t>о подразделу 0701</w:t>
      </w:r>
      <w:r w:rsidR="00057654">
        <w:t xml:space="preserve"> «Дошкольное образование» </w:t>
      </w:r>
      <w:r w:rsidR="006C4A05">
        <w:t xml:space="preserve">расходы </w:t>
      </w:r>
      <w:r w:rsidR="00057654">
        <w:t xml:space="preserve">уменьшены на </w:t>
      </w:r>
      <w:r w:rsidR="003701CD" w:rsidRPr="005B2832">
        <w:t>строительство дошкольных образовательных организаций (-92,7 млн. руб., или 10,9%)</w:t>
      </w:r>
      <w:r w:rsidR="00057654">
        <w:t xml:space="preserve">, </w:t>
      </w:r>
      <w:r w:rsidR="00057654" w:rsidRPr="005B2832">
        <w:t>по подразделу 0704 «Среднее профессиональное образование»</w:t>
      </w:r>
      <w:r w:rsidR="006C4A05">
        <w:t xml:space="preserve"> - на </w:t>
      </w:r>
      <w:r w:rsidR="003701CD" w:rsidRPr="005B2832">
        <w:t>строительство учебного корпуса ГБПОУ «Профессиональное училище №13 имени дважды Героя Социалистического труда В.И.Штепо» (-6 млн. руб.</w:t>
      </w:r>
      <w:r w:rsidR="003701CD">
        <w:t>, или 100%</w:t>
      </w:r>
      <w:r w:rsidR="003701CD" w:rsidRPr="005B2832">
        <w:t>)</w:t>
      </w:r>
      <w:r w:rsidR="003701CD">
        <w:t xml:space="preserve"> в связи с переносом на 2022 год</w:t>
      </w:r>
      <w:r w:rsidR="003701CD" w:rsidRPr="005B2832">
        <w:t xml:space="preserve">. </w:t>
      </w:r>
    </w:p>
    <w:p w14:paraId="19944C98" w14:textId="77777777" w:rsidR="000F4A39" w:rsidRDefault="000F4A39" w:rsidP="007876AE">
      <w:pPr>
        <w:jc w:val="center"/>
        <w:rPr>
          <w:b/>
          <w:i/>
          <w:u w:val="single"/>
        </w:rPr>
      </w:pPr>
    </w:p>
    <w:p w14:paraId="24624266" w14:textId="0F0D6ED3" w:rsidR="007876AE" w:rsidRDefault="007876AE" w:rsidP="007876AE">
      <w:pPr>
        <w:jc w:val="center"/>
        <w:rPr>
          <w:b/>
          <w:i/>
          <w:u w:val="single"/>
        </w:rPr>
      </w:pPr>
      <w:r w:rsidRPr="002C1D4F">
        <w:rPr>
          <w:b/>
          <w:i/>
          <w:u w:val="single"/>
        </w:rPr>
        <w:t>Расходы по разделу 0800 «Культура и кинематография»</w:t>
      </w:r>
    </w:p>
    <w:p w14:paraId="11613DF1" w14:textId="75B8406A" w:rsidR="00D75556" w:rsidRDefault="00D75556" w:rsidP="007876AE">
      <w:pPr>
        <w:jc w:val="center"/>
        <w:rPr>
          <w:b/>
          <w:i/>
          <w:u w:val="single"/>
        </w:rPr>
      </w:pPr>
    </w:p>
    <w:p w14:paraId="72F153BA" w14:textId="7CB2D2AD" w:rsidR="00AC7E3D" w:rsidRPr="007833C9" w:rsidRDefault="00AC7E3D" w:rsidP="00AC7E3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3C9">
        <w:rPr>
          <w:rFonts w:ascii="Times New Roman" w:hAnsi="Times New Roman" w:cs="Times New Roman"/>
          <w:sz w:val="24"/>
          <w:szCs w:val="24"/>
        </w:rPr>
        <w:t xml:space="preserve">В представленном законопроекте расходы по разделу 0800 «Культура, кинематография» уменьшены на </w:t>
      </w:r>
      <w:r w:rsidRPr="00AC7E3D">
        <w:rPr>
          <w:rFonts w:ascii="Times New Roman" w:hAnsi="Times New Roman" w:cs="Times New Roman"/>
          <w:sz w:val="24"/>
          <w:szCs w:val="24"/>
        </w:rPr>
        <w:t>197,8 млн. руб.,</w:t>
      </w:r>
      <w:r w:rsidRPr="007833C9">
        <w:rPr>
          <w:rFonts w:ascii="Times New Roman" w:hAnsi="Times New Roman" w:cs="Times New Roman"/>
          <w:sz w:val="24"/>
          <w:szCs w:val="24"/>
        </w:rPr>
        <w:t xml:space="preserve"> или на 8,5 процента.</w:t>
      </w:r>
    </w:p>
    <w:p w14:paraId="2F25F76A" w14:textId="137DAB78" w:rsidR="00AC7E3D" w:rsidRPr="005B2832" w:rsidRDefault="00AC7E3D" w:rsidP="00AC7E3D">
      <w:pPr>
        <w:ind w:firstLine="708"/>
        <w:jc w:val="both"/>
      </w:pPr>
      <w:r w:rsidRPr="005B2832">
        <w:t xml:space="preserve">Уменьшение ассигнований </w:t>
      </w:r>
      <w:r>
        <w:t>предусмотрено</w:t>
      </w:r>
      <w:r w:rsidRPr="005B2832">
        <w:t xml:space="preserve"> комитету строительства Волгоградской области по подразделу 0801 «Культура» на </w:t>
      </w:r>
      <w:r w:rsidRPr="00AC7E3D">
        <w:t>235,2 млн. руб.,</w:t>
      </w:r>
      <w:r w:rsidRPr="005B2832">
        <w:rPr>
          <w:b/>
          <w:bCs/>
        </w:rPr>
        <w:t xml:space="preserve"> </w:t>
      </w:r>
      <w:r w:rsidRPr="005B2832">
        <w:t xml:space="preserve">или </w:t>
      </w:r>
      <w:r>
        <w:t xml:space="preserve">на </w:t>
      </w:r>
      <w:r w:rsidRPr="005B2832">
        <w:t>49,6 % в связи с уменьшением ассигнований на объекты капитального строительства и на капитальный ремонт, а именно на:</w:t>
      </w:r>
    </w:p>
    <w:p w14:paraId="5E916643" w14:textId="19094E92" w:rsidR="00AC7E3D" w:rsidRPr="00DF31DB" w:rsidRDefault="00AC7E3D" w:rsidP="00AC7E3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B2832">
        <w:rPr>
          <w:rFonts w:eastAsiaTheme="minorHAnsi"/>
          <w:lang w:eastAsia="en-US"/>
        </w:rPr>
        <w:t>-работы по с</w:t>
      </w:r>
      <w:r w:rsidRPr="005B2832">
        <w:t>охранению и приспособлению для размещения кукольного театра объекта культурного</w:t>
      </w:r>
      <w:r w:rsidRPr="00716E2A">
        <w:t xml:space="preserve"> наследия регионального значения </w:t>
      </w:r>
      <w:r>
        <w:t>«</w:t>
      </w:r>
      <w:r w:rsidRPr="00716E2A">
        <w:t xml:space="preserve">Училище Кулибина/кинотеатр </w:t>
      </w:r>
      <w:r>
        <w:t>«</w:t>
      </w:r>
      <w:r w:rsidRPr="00716E2A">
        <w:t>Победа</w:t>
      </w:r>
      <w:r>
        <w:t>»</w:t>
      </w:r>
      <w:r w:rsidRPr="00716E2A">
        <w:t xml:space="preserve">/, 1895г., </w:t>
      </w:r>
      <w:r w:rsidRPr="00DF31DB">
        <w:t>рек. 1948г., архитектор Е. И. Левитан</w:t>
      </w:r>
      <w:r>
        <w:t>»</w:t>
      </w:r>
      <w:r w:rsidRPr="00DF31DB">
        <w:rPr>
          <w:rFonts w:eastAsiaTheme="minorHAnsi"/>
          <w:lang w:eastAsia="en-US"/>
        </w:rPr>
        <w:t xml:space="preserve"> (-152,</w:t>
      </w:r>
      <w:r>
        <w:rPr>
          <w:rFonts w:eastAsiaTheme="minorHAnsi"/>
          <w:lang w:eastAsia="en-US"/>
        </w:rPr>
        <w:t>6</w:t>
      </w:r>
      <w:r w:rsidRPr="00DF31DB">
        <w:rPr>
          <w:rFonts w:eastAsiaTheme="minorHAnsi"/>
          <w:lang w:eastAsia="en-US"/>
        </w:rPr>
        <w:t> млн. руб.</w:t>
      </w:r>
      <w:r>
        <w:rPr>
          <w:rFonts w:eastAsiaTheme="minorHAnsi"/>
          <w:lang w:eastAsia="en-US"/>
        </w:rPr>
        <w:t>, или 88,3%</w:t>
      </w:r>
      <w:r w:rsidRPr="00DF31DB">
        <w:rPr>
          <w:rFonts w:eastAsiaTheme="minorHAnsi"/>
          <w:lang w:eastAsia="en-US"/>
        </w:rPr>
        <w:t>);</w:t>
      </w:r>
    </w:p>
    <w:p w14:paraId="0B0D007E" w14:textId="734942D0" w:rsidR="00AC7E3D" w:rsidRPr="00DF31DB" w:rsidRDefault="00AC7E3D" w:rsidP="00AC7E3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F31DB">
        <w:t>-р</w:t>
      </w:r>
      <w:r w:rsidRPr="00DF31DB">
        <w:rPr>
          <w:rFonts w:eastAsiaTheme="minorHAnsi"/>
          <w:lang w:eastAsia="en-US"/>
        </w:rPr>
        <w:t>аботы по сохранению объекта культурного наследия федерального значения «Здание Центрального универмага, в подвале которого 38 мотострелковая бригада полковника Бурмакова взяла в плен штаб вражеской группировки войск в 1943 г.», (-48,6 млн. руб.</w:t>
      </w:r>
      <w:r>
        <w:rPr>
          <w:rFonts w:eastAsiaTheme="minorHAnsi"/>
          <w:lang w:eastAsia="en-US"/>
        </w:rPr>
        <w:t>, или 100%</w:t>
      </w:r>
      <w:r w:rsidRPr="00DF31DB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, в связи с переносом на 2022 год</w:t>
      </w:r>
      <w:r w:rsidRPr="00DF31DB">
        <w:rPr>
          <w:rFonts w:eastAsiaTheme="minorHAnsi"/>
          <w:lang w:eastAsia="en-US"/>
        </w:rPr>
        <w:t>;</w:t>
      </w:r>
    </w:p>
    <w:p w14:paraId="0CD8A7AF" w14:textId="463E1BA5" w:rsidR="00AC7E3D" w:rsidRPr="00DF31DB" w:rsidRDefault="00AC7E3D" w:rsidP="00AC7E3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F31DB">
        <w:rPr>
          <w:rFonts w:eastAsiaTheme="minorHAnsi"/>
          <w:lang w:eastAsia="en-US"/>
        </w:rPr>
        <w:lastRenderedPageBreak/>
        <w:t>-сохранение и приспособление для современного использования объекта культурного наследия «Ансамбль застройки планетария»</w:t>
      </w:r>
      <w:r w:rsidR="00A82F33">
        <w:rPr>
          <w:rFonts w:eastAsiaTheme="minorHAnsi"/>
          <w:lang w:eastAsia="en-US"/>
        </w:rPr>
        <w:t xml:space="preserve"> </w:t>
      </w:r>
      <w:r w:rsidRPr="00DF31DB">
        <w:rPr>
          <w:rFonts w:eastAsiaTheme="minorHAnsi"/>
          <w:lang w:eastAsia="en-US"/>
        </w:rPr>
        <w:t>(-45,9 млн. руб.</w:t>
      </w:r>
      <w:r>
        <w:rPr>
          <w:rFonts w:eastAsiaTheme="minorHAnsi"/>
          <w:lang w:eastAsia="en-US"/>
        </w:rPr>
        <w:t>, или 100%</w:t>
      </w:r>
      <w:r w:rsidRPr="00DF31DB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>, в связи с переносом на 2022 год</w:t>
      </w:r>
      <w:r w:rsidR="00A82F33">
        <w:rPr>
          <w:rFonts w:eastAsiaTheme="minorHAnsi"/>
          <w:lang w:eastAsia="en-US"/>
        </w:rPr>
        <w:t xml:space="preserve"> и др.</w:t>
      </w:r>
    </w:p>
    <w:p w14:paraId="39C05170" w14:textId="04147F93" w:rsidR="00AC7E3D" w:rsidRPr="00B63497" w:rsidRDefault="00AC7E3D" w:rsidP="00A82F33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У</w:t>
      </w:r>
      <w:r w:rsidRPr="00BE76E7">
        <w:rPr>
          <w:rFonts w:eastAsiaTheme="minorHAnsi"/>
          <w:lang w:eastAsia="en-US"/>
        </w:rPr>
        <w:t>величение</w:t>
      </w:r>
      <w:r w:rsidRPr="00BE76E7">
        <w:t xml:space="preserve"> ассигнований</w:t>
      </w:r>
      <w:r w:rsidRPr="007450A3">
        <w:t xml:space="preserve"> </w:t>
      </w:r>
      <w:r w:rsidRPr="00BE76E7">
        <w:t>предусмотрено</w:t>
      </w:r>
      <w:r>
        <w:t xml:space="preserve"> </w:t>
      </w:r>
      <w:r w:rsidR="00A82F33">
        <w:t>к</w:t>
      </w:r>
      <w:r w:rsidRPr="007833C9">
        <w:rPr>
          <w:rFonts w:eastAsiaTheme="minorHAnsi"/>
          <w:lang w:eastAsia="en-US"/>
        </w:rPr>
        <w:t xml:space="preserve">омитету культуры </w:t>
      </w:r>
      <w:r w:rsidRPr="00BE76E7">
        <w:rPr>
          <w:rFonts w:eastAsiaTheme="minorHAnsi"/>
          <w:lang w:eastAsia="en-US"/>
        </w:rPr>
        <w:t xml:space="preserve">Волгоградской области </w:t>
      </w:r>
      <w:r w:rsidRPr="00BE76E7">
        <w:t>на</w:t>
      </w:r>
      <w:r w:rsidRPr="00BE76E7">
        <w:rPr>
          <w:rFonts w:eastAsiaTheme="minorHAnsi"/>
          <w:lang w:eastAsia="en-US"/>
        </w:rPr>
        <w:t xml:space="preserve"> </w:t>
      </w:r>
      <w:r w:rsidRPr="00A82F33">
        <w:rPr>
          <w:rFonts w:eastAsiaTheme="minorHAnsi"/>
          <w:lang w:eastAsia="en-US"/>
        </w:rPr>
        <w:t>38,1 млн. руб.,</w:t>
      </w:r>
      <w:r w:rsidRPr="00BE76E7">
        <w:rPr>
          <w:rFonts w:eastAsiaTheme="minorHAnsi"/>
          <w:lang w:eastAsia="en-US"/>
        </w:rPr>
        <w:t xml:space="preserve"> или на 2,3% в </w:t>
      </w:r>
      <w:r w:rsidRPr="00B63497">
        <w:rPr>
          <w:rFonts w:eastAsiaTheme="minorHAnsi"/>
          <w:lang w:eastAsia="en-US"/>
        </w:rPr>
        <w:t>основном на реализацию мероприятий государственной программы «Развитие культуры в Волгоградской области»</w:t>
      </w:r>
      <w:r w:rsidR="00A82F33">
        <w:rPr>
          <w:rFonts w:eastAsiaTheme="minorHAnsi"/>
          <w:lang w:eastAsia="en-US"/>
        </w:rPr>
        <w:t xml:space="preserve">. Так, </w:t>
      </w:r>
      <w:r w:rsidRPr="00B63497">
        <w:t>по подразделу 0801 «Культура»</w:t>
      </w:r>
      <w:r w:rsidRPr="00B63497">
        <w:rPr>
          <w:b/>
          <w:bCs/>
          <w:i/>
          <w:iCs/>
        </w:rPr>
        <w:t xml:space="preserve"> </w:t>
      </w:r>
      <w:r w:rsidRPr="00B63497">
        <w:rPr>
          <w:bCs/>
          <w:iCs/>
        </w:rPr>
        <w:t>увеличение</w:t>
      </w:r>
      <w:r w:rsidR="00A82F33">
        <w:rPr>
          <w:bCs/>
          <w:iCs/>
        </w:rPr>
        <w:t xml:space="preserve"> составило</w:t>
      </w:r>
      <w:r w:rsidRPr="00B63497">
        <w:rPr>
          <w:bCs/>
          <w:iCs/>
        </w:rPr>
        <w:t xml:space="preserve"> 39,4 млн. руб., или 2,5%, </w:t>
      </w:r>
      <w:r w:rsidR="00A82F33">
        <w:rPr>
          <w:bCs/>
          <w:iCs/>
        </w:rPr>
        <w:t>в том числе</w:t>
      </w:r>
      <w:r w:rsidRPr="00B63497">
        <w:rPr>
          <w:b/>
          <w:bCs/>
          <w:i/>
          <w:iCs/>
        </w:rPr>
        <w:t xml:space="preserve"> </w:t>
      </w:r>
      <w:r w:rsidRPr="00B63497">
        <w:t xml:space="preserve">на </w:t>
      </w:r>
      <w:r w:rsidRPr="00B63497">
        <w:rPr>
          <w:rFonts w:eastAsiaTheme="minorHAnsi"/>
          <w:lang w:eastAsia="en-US"/>
        </w:rPr>
        <w:t>приобретение передвижных многофункциональных культурных центров (автоклубов) для обслуживания сельского населения Волгоградской области, на создание модельных муниципальных библиотек</w:t>
      </w:r>
      <w:r w:rsidR="00A82F33">
        <w:rPr>
          <w:rFonts w:eastAsiaTheme="minorHAnsi"/>
          <w:lang w:eastAsia="en-US"/>
        </w:rPr>
        <w:t xml:space="preserve"> и другие мероприятия.</w:t>
      </w:r>
    </w:p>
    <w:p w14:paraId="02673E87" w14:textId="77777777" w:rsidR="00F16C2F" w:rsidRPr="002C1D4F" w:rsidRDefault="00F16C2F" w:rsidP="007876AE">
      <w:pPr>
        <w:jc w:val="center"/>
        <w:rPr>
          <w:b/>
          <w:i/>
          <w:u w:val="single"/>
        </w:rPr>
      </w:pPr>
    </w:p>
    <w:p w14:paraId="3CC774CF" w14:textId="6C15D0AB" w:rsidR="00F72CF1" w:rsidRDefault="00F72CF1" w:rsidP="00F72CF1">
      <w:pPr>
        <w:pStyle w:val="ConsPlusNormal"/>
        <w:jc w:val="center"/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</w:pPr>
      <w:r w:rsidRPr="00AE4F95"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  <w:t>Раздел 0900 «Здравоохранение»</w:t>
      </w:r>
    </w:p>
    <w:p w14:paraId="1BF30E75" w14:textId="4A8E8495" w:rsidR="00D75556" w:rsidRDefault="00D75556" w:rsidP="00F72CF1">
      <w:pPr>
        <w:pStyle w:val="ConsPlusNormal"/>
        <w:jc w:val="center"/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</w:pPr>
    </w:p>
    <w:p w14:paraId="717AAFF2" w14:textId="62A20D08" w:rsidR="00EF0A1B" w:rsidRPr="00E41B74" w:rsidRDefault="00EF0A1B" w:rsidP="00EF0A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1B74">
        <w:rPr>
          <w:rFonts w:ascii="Times New Roman" w:hAnsi="Times New Roman" w:cs="Times New Roman"/>
          <w:sz w:val="24"/>
          <w:szCs w:val="24"/>
        </w:rPr>
        <w:t xml:space="preserve">Законопроектом предусмотрено увеличение ассигнований на 2021 год по разделу 0900 «Здравоохранение» на 2832,9 млн. руб., или на 16,4%, </w:t>
      </w:r>
      <w:r>
        <w:rPr>
          <w:rFonts w:ascii="Times New Roman" w:hAnsi="Times New Roman" w:cs="Times New Roman"/>
          <w:sz w:val="24"/>
          <w:szCs w:val="24"/>
        </w:rPr>
        <w:t>в том числе</w:t>
      </w:r>
      <w:r w:rsidRPr="00E41B74">
        <w:rPr>
          <w:rFonts w:ascii="Times New Roman" w:hAnsi="Times New Roman" w:cs="Times New Roman"/>
          <w:sz w:val="24"/>
          <w:szCs w:val="24"/>
        </w:rPr>
        <w:t xml:space="preserve"> по подразделам:</w:t>
      </w:r>
    </w:p>
    <w:p w14:paraId="4CE3F269" w14:textId="301B44BA" w:rsidR="00EF0A1B" w:rsidRPr="00E41B74" w:rsidRDefault="00EF0A1B" w:rsidP="00EF0A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796">
        <w:rPr>
          <w:rFonts w:ascii="Times New Roman" w:hAnsi="Times New Roman" w:cs="Times New Roman"/>
          <w:i/>
          <w:iCs/>
          <w:sz w:val="24"/>
          <w:szCs w:val="24"/>
        </w:rPr>
        <w:t>0901 «Стационарная медицинская помощь»</w:t>
      </w:r>
      <w:r w:rsidRPr="00E41B74">
        <w:rPr>
          <w:rFonts w:ascii="Times New Roman" w:hAnsi="Times New Roman" w:cs="Times New Roman"/>
          <w:sz w:val="24"/>
          <w:szCs w:val="24"/>
        </w:rPr>
        <w:t xml:space="preserve"> расходы уменьшены на 2810,5 млн. руб., или на 28,7%: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1B74">
        <w:rPr>
          <w:rFonts w:ascii="Times New Roman" w:hAnsi="Times New Roman" w:cs="Times New Roman"/>
          <w:sz w:val="24"/>
          <w:szCs w:val="24"/>
        </w:rPr>
        <w:t xml:space="preserve">комитету здравоохранения </w:t>
      </w:r>
      <w:r>
        <w:rPr>
          <w:rFonts w:ascii="Times New Roman" w:hAnsi="Times New Roman" w:cs="Times New Roman"/>
          <w:sz w:val="24"/>
          <w:szCs w:val="24"/>
        </w:rPr>
        <w:t xml:space="preserve">Волгоградской области - </w:t>
      </w:r>
      <w:r w:rsidRPr="00E41B74">
        <w:rPr>
          <w:rFonts w:ascii="Times New Roman" w:hAnsi="Times New Roman" w:cs="Times New Roman"/>
          <w:sz w:val="24"/>
          <w:szCs w:val="24"/>
        </w:rPr>
        <w:t>на 2604,4 млн. руб. (на 28,9%) главным образом в связи с переносом ассигнований с подраздела 0901 в подраздел 0902</w:t>
      </w:r>
      <w:r>
        <w:rPr>
          <w:rFonts w:ascii="Times New Roman" w:hAnsi="Times New Roman" w:cs="Times New Roman"/>
          <w:sz w:val="24"/>
          <w:szCs w:val="24"/>
        </w:rPr>
        <w:t xml:space="preserve"> «Амбулаторная помощь»</w:t>
      </w:r>
      <w:r w:rsidRPr="00E41B74">
        <w:rPr>
          <w:rFonts w:ascii="Times New Roman" w:hAnsi="Times New Roman" w:cs="Times New Roman"/>
          <w:sz w:val="24"/>
          <w:szCs w:val="24"/>
        </w:rPr>
        <w:t xml:space="preserve"> на реализацию региональных программ модернизации первичного звена здравоохранения в сумме 1880,6 млн. руб. и в подраздел 0907 </w:t>
      </w:r>
      <w:r>
        <w:rPr>
          <w:rFonts w:ascii="Times New Roman" w:hAnsi="Times New Roman" w:cs="Times New Roman"/>
          <w:sz w:val="24"/>
          <w:szCs w:val="24"/>
        </w:rPr>
        <w:t xml:space="preserve">«Санитарно-эпидемиологическое благополучие» </w:t>
      </w:r>
      <w:bookmarkStart w:id="5" w:name="_Hlk88732966"/>
      <w:r w:rsidRPr="00E41B7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E41B74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 (в т</w:t>
      </w:r>
      <w:r w:rsidR="00400549">
        <w:rPr>
          <w:rFonts w:ascii="Times New Roman" w:hAnsi="Times New Roman" w:cs="Times New Roman"/>
          <w:sz w:val="24"/>
          <w:szCs w:val="24"/>
        </w:rPr>
        <w:t>ом числе</w:t>
      </w:r>
      <w:r>
        <w:rPr>
          <w:rFonts w:ascii="Times New Roman" w:hAnsi="Times New Roman" w:cs="Times New Roman"/>
          <w:sz w:val="24"/>
          <w:szCs w:val="24"/>
        </w:rPr>
        <w:t xml:space="preserve"> на заработную плату)</w:t>
      </w:r>
      <w:bookmarkEnd w:id="5"/>
      <w:r w:rsidR="00400549">
        <w:rPr>
          <w:rFonts w:ascii="Times New Roman" w:hAnsi="Times New Roman" w:cs="Times New Roman"/>
          <w:sz w:val="24"/>
          <w:szCs w:val="24"/>
        </w:rPr>
        <w:t xml:space="preserve">; </w:t>
      </w:r>
      <w:r w:rsidRPr="00E41B74">
        <w:rPr>
          <w:rFonts w:ascii="Times New Roman" w:hAnsi="Times New Roman" w:cs="Times New Roman"/>
          <w:sz w:val="24"/>
          <w:szCs w:val="24"/>
        </w:rPr>
        <w:t xml:space="preserve">комитету строительства </w:t>
      </w:r>
      <w:r>
        <w:rPr>
          <w:rFonts w:ascii="Times New Roman" w:hAnsi="Times New Roman" w:cs="Times New Roman"/>
          <w:sz w:val="24"/>
          <w:szCs w:val="24"/>
        </w:rPr>
        <w:t>Волгоградской области</w:t>
      </w:r>
      <w:r w:rsidR="00400549">
        <w:rPr>
          <w:rFonts w:ascii="Times New Roman" w:hAnsi="Times New Roman" w:cs="Times New Roman"/>
          <w:sz w:val="24"/>
          <w:szCs w:val="24"/>
        </w:rPr>
        <w:t xml:space="preserve"> -</w:t>
      </w:r>
      <w:r w:rsidRPr="00E41B74">
        <w:rPr>
          <w:rFonts w:ascii="Times New Roman" w:hAnsi="Times New Roman" w:cs="Times New Roman"/>
          <w:sz w:val="24"/>
          <w:szCs w:val="24"/>
        </w:rPr>
        <w:t xml:space="preserve"> на 206,1 млн. руб. (на 35,3%) </w:t>
      </w:r>
      <w:r w:rsidR="00400549">
        <w:rPr>
          <w:rFonts w:ascii="Times New Roman" w:hAnsi="Times New Roman" w:cs="Times New Roman"/>
          <w:sz w:val="24"/>
          <w:szCs w:val="24"/>
        </w:rPr>
        <w:t>в основном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в связи с переносом с подраздела 0901 в подраздел 0902 ассигнований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E41B74">
        <w:rPr>
          <w:rFonts w:ascii="Times New Roman" w:hAnsi="Times New Roman" w:cs="Times New Roman"/>
          <w:sz w:val="24"/>
          <w:szCs w:val="24"/>
        </w:rPr>
        <w:t>строительство 3 ФАП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E41B74">
        <w:rPr>
          <w:rFonts w:ascii="Times New Roman" w:hAnsi="Times New Roman" w:cs="Times New Roman"/>
          <w:sz w:val="24"/>
          <w:szCs w:val="24"/>
        </w:rPr>
        <w:t xml:space="preserve"> в сумме 36 млн. руб.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41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E41B74">
        <w:rPr>
          <w:rFonts w:ascii="Times New Roman" w:hAnsi="Times New Roman" w:cs="Times New Roman"/>
          <w:sz w:val="24"/>
          <w:szCs w:val="24"/>
        </w:rPr>
        <w:t>переносом на 2022 год ассигнований на строительство 13 ФАП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E41B74">
        <w:rPr>
          <w:rFonts w:ascii="Times New Roman" w:hAnsi="Times New Roman" w:cs="Times New Roman"/>
          <w:sz w:val="24"/>
          <w:szCs w:val="24"/>
        </w:rPr>
        <w:t xml:space="preserve"> (156 млн. руб.) и </w:t>
      </w:r>
      <w:r w:rsidR="00400549">
        <w:rPr>
          <w:rFonts w:ascii="Times New Roman" w:hAnsi="Times New Roman" w:cs="Times New Roman"/>
          <w:sz w:val="24"/>
          <w:szCs w:val="24"/>
        </w:rPr>
        <w:t xml:space="preserve">на </w:t>
      </w:r>
      <w:r w:rsidRPr="00E41B74">
        <w:rPr>
          <w:rFonts w:ascii="Times New Roman" w:hAnsi="Times New Roman" w:cs="Times New Roman"/>
          <w:sz w:val="24"/>
          <w:szCs w:val="24"/>
        </w:rPr>
        <w:t>проектировани</w:t>
      </w:r>
      <w:r w:rsidR="00400549">
        <w:rPr>
          <w:rFonts w:ascii="Times New Roman" w:hAnsi="Times New Roman" w:cs="Times New Roman"/>
          <w:sz w:val="24"/>
          <w:szCs w:val="24"/>
        </w:rPr>
        <w:t>е</w:t>
      </w:r>
      <w:r w:rsidRPr="00E41B74">
        <w:rPr>
          <w:rFonts w:ascii="Times New Roman" w:hAnsi="Times New Roman" w:cs="Times New Roman"/>
          <w:sz w:val="24"/>
          <w:szCs w:val="24"/>
        </w:rPr>
        <w:t xml:space="preserve"> строительства областной детской клинической больницы (31,6 млн. руб.).</w:t>
      </w:r>
    </w:p>
    <w:p w14:paraId="68DCFDA6" w14:textId="3705CCEE" w:rsidR="00EF0A1B" w:rsidRPr="00E41B74" w:rsidRDefault="00EF0A1B" w:rsidP="00EF0A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796">
        <w:rPr>
          <w:rFonts w:ascii="Times New Roman" w:hAnsi="Times New Roman" w:cs="Times New Roman"/>
          <w:i/>
          <w:iCs/>
          <w:sz w:val="24"/>
          <w:szCs w:val="24"/>
        </w:rPr>
        <w:t>0902 «Амбулаторная помощь»</w:t>
      </w:r>
      <w:r w:rsidRPr="00E41B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41B74">
        <w:rPr>
          <w:rFonts w:ascii="Times New Roman" w:hAnsi="Times New Roman" w:cs="Times New Roman"/>
          <w:sz w:val="24"/>
          <w:szCs w:val="24"/>
        </w:rPr>
        <w:t>расходы увеличены на 2524,8 млн. руб. (на 93,6%)</w:t>
      </w:r>
      <w:r w:rsidR="00492A41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E41B74">
        <w:rPr>
          <w:rFonts w:ascii="Times New Roman" w:hAnsi="Times New Roman" w:cs="Times New Roman"/>
          <w:sz w:val="24"/>
          <w:szCs w:val="24"/>
        </w:rPr>
        <w:t xml:space="preserve">комитету здравоохранения </w:t>
      </w:r>
      <w:r w:rsidR="00492A41">
        <w:rPr>
          <w:rFonts w:ascii="Times New Roman" w:hAnsi="Times New Roman" w:cs="Times New Roman"/>
          <w:sz w:val="24"/>
          <w:szCs w:val="24"/>
        </w:rPr>
        <w:t xml:space="preserve">- </w:t>
      </w:r>
      <w:r w:rsidRPr="00E41B74">
        <w:rPr>
          <w:rFonts w:ascii="Times New Roman" w:hAnsi="Times New Roman" w:cs="Times New Roman"/>
          <w:sz w:val="24"/>
          <w:szCs w:val="24"/>
        </w:rPr>
        <w:t>на 2558,4 млн. руб. (в 2 раза) главным образом в связи с переносом ассигнований с подраздела 0901 (1880,6 тыс. руб.)</w:t>
      </w:r>
      <w:r>
        <w:rPr>
          <w:rFonts w:ascii="Times New Roman" w:hAnsi="Times New Roman" w:cs="Times New Roman"/>
          <w:sz w:val="24"/>
          <w:szCs w:val="24"/>
        </w:rPr>
        <w:t>, а также</w:t>
      </w:r>
      <w:r w:rsidRPr="00E41B74">
        <w:rPr>
          <w:rFonts w:ascii="Times New Roman" w:hAnsi="Times New Roman" w:cs="Times New Roman"/>
          <w:sz w:val="24"/>
          <w:szCs w:val="24"/>
        </w:rPr>
        <w:t xml:space="preserve"> увеличение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E41B74">
        <w:rPr>
          <w:rFonts w:ascii="Times New Roman" w:hAnsi="Times New Roman" w:cs="Times New Roman"/>
          <w:sz w:val="24"/>
          <w:szCs w:val="24"/>
        </w:rPr>
        <w:t xml:space="preserve">ассигнований на лекарственное обеспечение граждан (229 млн. руб.) и </w:t>
      </w:r>
      <w:r>
        <w:rPr>
          <w:rFonts w:ascii="Times New Roman" w:hAnsi="Times New Roman" w:cs="Times New Roman"/>
          <w:sz w:val="24"/>
          <w:szCs w:val="24"/>
        </w:rPr>
        <w:t>на субсидии</w:t>
      </w:r>
      <w:r w:rsidRPr="00E41B74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 (в т</w:t>
      </w:r>
      <w:r w:rsidR="00492A41">
        <w:rPr>
          <w:rFonts w:ascii="Times New Roman" w:hAnsi="Times New Roman" w:cs="Times New Roman"/>
          <w:sz w:val="24"/>
          <w:szCs w:val="24"/>
        </w:rPr>
        <w:t xml:space="preserve">ом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492A41">
        <w:rPr>
          <w:rFonts w:ascii="Times New Roman" w:hAnsi="Times New Roman" w:cs="Times New Roman"/>
          <w:sz w:val="24"/>
          <w:szCs w:val="24"/>
        </w:rPr>
        <w:t>исле</w:t>
      </w:r>
      <w:r>
        <w:rPr>
          <w:rFonts w:ascii="Times New Roman" w:hAnsi="Times New Roman" w:cs="Times New Roman"/>
          <w:sz w:val="24"/>
          <w:szCs w:val="24"/>
        </w:rPr>
        <w:t xml:space="preserve"> на заработную плату)</w:t>
      </w:r>
      <w:r w:rsidR="00492A41">
        <w:rPr>
          <w:rFonts w:ascii="Times New Roman" w:hAnsi="Times New Roman" w:cs="Times New Roman"/>
          <w:sz w:val="24"/>
          <w:szCs w:val="24"/>
        </w:rPr>
        <w:t>.</w:t>
      </w:r>
    </w:p>
    <w:p w14:paraId="538E7301" w14:textId="4140F4A8" w:rsidR="00EF0A1B" w:rsidRPr="00E41B74" w:rsidRDefault="00EF0A1B" w:rsidP="00EF0A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3796">
        <w:rPr>
          <w:rFonts w:ascii="Times New Roman" w:hAnsi="Times New Roman" w:cs="Times New Roman"/>
          <w:i/>
          <w:iCs/>
          <w:sz w:val="24"/>
          <w:szCs w:val="24"/>
        </w:rPr>
        <w:t>0907 «Санитарно-эпидемиологическое благополучие»</w:t>
      </w:r>
      <w:r w:rsidRPr="00E41B74">
        <w:rPr>
          <w:rFonts w:ascii="Times New Roman" w:hAnsi="Times New Roman" w:cs="Times New Roman"/>
          <w:sz w:val="24"/>
          <w:szCs w:val="24"/>
        </w:rPr>
        <w:t xml:space="preserve"> расходы увеличены комитету здравоохранения на 1863,4 млн. руб. (в 4,7 раза) </w:t>
      </w:r>
      <w:r w:rsidR="00492A41">
        <w:rPr>
          <w:rFonts w:ascii="Times New Roman" w:hAnsi="Times New Roman" w:cs="Times New Roman"/>
          <w:sz w:val="24"/>
          <w:szCs w:val="24"/>
        </w:rPr>
        <w:t>в основном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на обеспечение специальных социальных выплат медицинским и иным работникам, оказывающим медицинскую помощь (участвующим в оказании, обеспечивающим оказание медицинской помощи) гражданам с новой коронавирусной инфекцией, предусмотренных постановлением Администрации Волгоградской области от 21.01.2021 №11-п (1313,6 млн. руб.)</w:t>
      </w:r>
      <w:r w:rsidR="00492A41">
        <w:rPr>
          <w:rFonts w:ascii="Times New Roman" w:hAnsi="Times New Roman" w:cs="Times New Roman"/>
          <w:sz w:val="24"/>
          <w:szCs w:val="24"/>
        </w:rPr>
        <w:t>,</w:t>
      </w:r>
      <w:r w:rsidRPr="00E41B74">
        <w:rPr>
          <w:rFonts w:ascii="Times New Roman" w:hAnsi="Times New Roman" w:cs="Times New Roman"/>
          <w:sz w:val="24"/>
          <w:szCs w:val="24"/>
        </w:rPr>
        <w:t xml:space="preserve"> и на </w:t>
      </w:r>
      <w:r>
        <w:rPr>
          <w:rFonts w:ascii="Times New Roman" w:hAnsi="Times New Roman" w:cs="Times New Roman"/>
          <w:sz w:val="24"/>
          <w:szCs w:val="24"/>
        </w:rPr>
        <w:t>субсидии</w:t>
      </w:r>
      <w:r w:rsidRPr="00E41B74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E41B74">
        <w:rPr>
          <w:rFonts w:ascii="Times New Roman" w:hAnsi="Times New Roman" w:cs="Times New Roman"/>
          <w:sz w:val="24"/>
          <w:szCs w:val="24"/>
        </w:rPr>
        <w:t xml:space="preserve">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 (в т</w:t>
      </w:r>
      <w:r w:rsidR="00492A41">
        <w:rPr>
          <w:rFonts w:ascii="Times New Roman" w:hAnsi="Times New Roman" w:cs="Times New Roman"/>
          <w:sz w:val="24"/>
          <w:szCs w:val="24"/>
        </w:rPr>
        <w:t xml:space="preserve">ом </w:t>
      </w:r>
      <w:r>
        <w:rPr>
          <w:rFonts w:ascii="Times New Roman" w:hAnsi="Times New Roman" w:cs="Times New Roman"/>
          <w:sz w:val="24"/>
          <w:szCs w:val="24"/>
        </w:rPr>
        <w:t>ч</w:t>
      </w:r>
      <w:r w:rsidR="00492A41">
        <w:rPr>
          <w:rFonts w:ascii="Times New Roman" w:hAnsi="Times New Roman" w:cs="Times New Roman"/>
          <w:sz w:val="24"/>
          <w:szCs w:val="24"/>
        </w:rPr>
        <w:t>исле</w:t>
      </w:r>
      <w:r>
        <w:rPr>
          <w:rFonts w:ascii="Times New Roman" w:hAnsi="Times New Roman" w:cs="Times New Roman"/>
          <w:sz w:val="24"/>
          <w:szCs w:val="24"/>
        </w:rPr>
        <w:t xml:space="preserve"> на заработную плату)</w:t>
      </w:r>
      <w:r w:rsidRPr="00E41B74">
        <w:rPr>
          <w:rFonts w:ascii="Times New Roman" w:hAnsi="Times New Roman" w:cs="Times New Roman"/>
          <w:sz w:val="24"/>
          <w:szCs w:val="24"/>
        </w:rPr>
        <w:t>.</w:t>
      </w:r>
    </w:p>
    <w:p w14:paraId="3E178D95" w14:textId="23E54AAF" w:rsidR="00EF0A1B" w:rsidRPr="00E41B74" w:rsidRDefault="00EF0A1B" w:rsidP="00EF0A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88727504"/>
      <w:r w:rsidRPr="00F63796">
        <w:rPr>
          <w:rFonts w:ascii="Times New Roman" w:hAnsi="Times New Roman" w:cs="Times New Roman"/>
          <w:i/>
          <w:iCs/>
          <w:sz w:val="24"/>
          <w:szCs w:val="24"/>
        </w:rPr>
        <w:t>0909 «Другие вопросы в области здравоохранения»</w:t>
      </w:r>
      <w:r w:rsidRPr="00E41B74">
        <w:rPr>
          <w:rFonts w:ascii="Times New Roman" w:hAnsi="Times New Roman" w:cs="Times New Roman"/>
          <w:sz w:val="24"/>
          <w:szCs w:val="24"/>
        </w:rPr>
        <w:t xml:space="preserve"> расходы увеличены на 1161,1 млн. руб. (на 31,5%)</w:t>
      </w:r>
      <w:r w:rsidR="00492A41">
        <w:rPr>
          <w:rFonts w:ascii="Times New Roman" w:hAnsi="Times New Roman" w:cs="Times New Roman"/>
          <w:sz w:val="24"/>
          <w:szCs w:val="24"/>
        </w:rPr>
        <w:t xml:space="preserve"> за счет увеличения ассигнований </w:t>
      </w:r>
      <w:bookmarkEnd w:id="6"/>
      <w:r w:rsidRPr="00E41B74">
        <w:rPr>
          <w:rFonts w:ascii="Times New Roman" w:hAnsi="Times New Roman" w:cs="Times New Roman"/>
          <w:sz w:val="24"/>
          <w:szCs w:val="24"/>
        </w:rPr>
        <w:t>комитету здравоохранения</w:t>
      </w:r>
      <w:r w:rsidR="00492A41">
        <w:rPr>
          <w:rFonts w:ascii="Times New Roman" w:hAnsi="Times New Roman" w:cs="Times New Roman"/>
          <w:sz w:val="24"/>
          <w:szCs w:val="24"/>
        </w:rPr>
        <w:t xml:space="preserve"> </w:t>
      </w:r>
      <w:r w:rsidRPr="00E41B74">
        <w:rPr>
          <w:rFonts w:ascii="Times New Roman" w:hAnsi="Times New Roman" w:cs="Times New Roman"/>
          <w:sz w:val="24"/>
          <w:szCs w:val="24"/>
        </w:rPr>
        <w:t>на 1211,1 млн. руб. (на 36,3%) в связи с увеличением расходов за счет средств федерального бюджета, передаваемых бюджету ТФОМС Волгоградской области на финансовое обеспечение мероприятий, связанных с оказанием медицинской помощи лицам с заболеванием и (или) подозрением на заболевание новой коронавирусной инфекции (838,6 млн. руб.) и обеспечение деятельности государственных учреждений здравоохранения</w:t>
      </w:r>
      <w:r w:rsidR="00492A41">
        <w:rPr>
          <w:rFonts w:ascii="Times New Roman" w:hAnsi="Times New Roman" w:cs="Times New Roman"/>
          <w:sz w:val="24"/>
          <w:szCs w:val="24"/>
        </w:rPr>
        <w:t>. К</w:t>
      </w:r>
      <w:r w:rsidRPr="00E41B74">
        <w:rPr>
          <w:rFonts w:ascii="Times New Roman" w:hAnsi="Times New Roman" w:cs="Times New Roman"/>
          <w:sz w:val="24"/>
          <w:szCs w:val="24"/>
        </w:rPr>
        <w:t xml:space="preserve">омитету строительства </w:t>
      </w:r>
      <w:r w:rsidR="00492A41">
        <w:rPr>
          <w:rFonts w:ascii="Times New Roman" w:hAnsi="Times New Roman" w:cs="Times New Roman"/>
          <w:sz w:val="24"/>
          <w:szCs w:val="24"/>
        </w:rPr>
        <w:t xml:space="preserve">ассигнования по данному подразделу </w:t>
      </w:r>
      <w:r w:rsidRPr="00E41B74">
        <w:rPr>
          <w:rFonts w:ascii="Times New Roman" w:hAnsi="Times New Roman" w:cs="Times New Roman"/>
          <w:sz w:val="24"/>
          <w:szCs w:val="24"/>
        </w:rPr>
        <w:t>уменьшены на 50 млн. руб. (на 16,6%) в связи с передачей средств комитету здравоохранения на закупку медицинского оборудования для лечебно-консультационного центра ГБУЗ «Волгоградский областной клинический онкологический диспансер №1».</w:t>
      </w:r>
    </w:p>
    <w:p w14:paraId="58811C46" w14:textId="77777777" w:rsidR="00F16C2F" w:rsidRPr="00AE4F95" w:rsidRDefault="00F16C2F" w:rsidP="00F72CF1">
      <w:pPr>
        <w:pStyle w:val="ConsPlusNormal"/>
        <w:jc w:val="center"/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</w:pPr>
    </w:p>
    <w:p w14:paraId="0D49EEA7" w14:textId="567E6C5A" w:rsidR="002345D7" w:rsidRDefault="002345D7" w:rsidP="002345D7">
      <w:pPr>
        <w:ind w:firstLine="709"/>
        <w:jc w:val="center"/>
        <w:rPr>
          <w:b/>
          <w:i/>
          <w:iCs/>
          <w:u w:val="single"/>
        </w:rPr>
      </w:pPr>
      <w:r w:rsidRPr="002345D7">
        <w:rPr>
          <w:b/>
          <w:i/>
          <w:iCs/>
          <w:u w:val="single"/>
        </w:rPr>
        <w:t>Раздел 1000 «Социальная политика»</w:t>
      </w:r>
    </w:p>
    <w:p w14:paraId="4B0FAE55" w14:textId="51E0CE24" w:rsidR="00D75556" w:rsidRDefault="00D75556" w:rsidP="002345D7">
      <w:pPr>
        <w:ind w:firstLine="709"/>
        <w:jc w:val="center"/>
        <w:rPr>
          <w:b/>
          <w:i/>
          <w:iCs/>
          <w:u w:val="single"/>
        </w:rPr>
      </w:pPr>
    </w:p>
    <w:p w14:paraId="6AC39FBF" w14:textId="7635A4F0" w:rsidR="000F4A39" w:rsidRDefault="00C30EC0" w:rsidP="000F4A39">
      <w:pPr>
        <w:ind w:firstLine="709"/>
        <w:jc w:val="both"/>
      </w:pPr>
      <w:r w:rsidRPr="002345D7">
        <w:t xml:space="preserve">Законопроектом предусмотрено на 2021 год </w:t>
      </w:r>
      <w:r>
        <w:t>уменьшение расходов по разделу</w:t>
      </w:r>
      <w:r w:rsidR="000F4A39">
        <w:t xml:space="preserve"> в целом</w:t>
      </w:r>
      <w:r>
        <w:t xml:space="preserve"> </w:t>
      </w:r>
      <w:r w:rsidRPr="002345D7">
        <w:t xml:space="preserve">на </w:t>
      </w:r>
      <w:r>
        <w:t>774,5</w:t>
      </w:r>
      <w:r w:rsidRPr="002345D7">
        <w:t xml:space="preserve"> млн. руб.</w:t>
      </w:r>
      <w:r>
        <w:t xml:space="preserve"> (на </w:t>
      </w:r>
      <w:r w:rsidRPr="002345D7">
        <w:t>1,</w:t>
      </w:r>
      <w:r>
        <w:t>8%)</w:t>
      </w:r>
      <w:r w:rsidR="000F4A39">
        <w:t xml:space="preserve">. При этом наибольшее уменьшение запланировано </w:t>
      </w:r>
      <w:r w:rsidR="000F4A39" w:rsidRPr="000F4A39">
        <w:rPr>
          <w:i/>
          <w:iCs/>
        </w:rPr>
        <w:t>по подразделу</w:t>
      </w:r>
      <w:r w:rsidR="000F4A39">
        <w:t xml:space="preserve"> </w:t>
      </w:r>
      <w:r w:rsidR="000F4A39" w:rsidRPr="000F4A39">
        <w:rPr>
          <w:i/>
          <w:iCs/>
        </w:rPr>
        <w:lastRenderedPageBreak/>
        <w:t>1003 «Социальное обеспечение населения»</w:t>
      </w:r>
      <w:r w:rsidR="000F4A39">
        <w:t>, по которому</w:t>
      </w:r>
      <w:r w:rsidR="000F4A39" w:rsidRPr="000F4A39">
        <w:rPr>
          <w:i/>
          <w:iCs/>
        </w:rPr>
        <w:t xml:space="preserve"> </w:t>
      </w:r>
      <w:r w:rsidR="000F4A39" w:rsidRPr="002345D7">
        <w:t xml:space="preserve">ассигнования уменьшены на </w:t>
      </w:r>
      <w:r w:rsidR="000F4A39">
        <w:t>652,7</w:t>
      </w:r>
      <w:r w:rsidR="000F4A39" w:rsidRPr="002345D7">
        <w:t xml:space="preserve"> млн. руб.</w:t>
      </w:r>
      <w:r w:rsidR="000F4A39">
        <w:t xml:space="preserve"> (3</w:t>
      </w:r>
      <w:r w:rsidR="000F4A39" w:rsidRPr="002345D7">
        <w:t>,</w:t>
      </w:r>
      <w:r w:rsidR="000F4A39">
        <w:t>4%), в том числе:</w:t>
      </w:r>
    </w:p>
    <w:p w14:paraId="6DD44FEE" w14:textId="5A145EA7" w:rsidR="000F4A39" w:rsidRDefault="00215253" w:rsidP="00215253">
      <w:pPr>
        <w:jc w:val="both"/>
      </w:pPr>
      <w:r>
        <w:tab/>
        <w:t>-</w:t>
      </w:r>
      <w:r w:rsidR="000F4A39">
        <w:t>к</w:t>
      </w:r>
      <w:r w:rsidR="000F4A39" w:rsidRPr="009F524C">
        <w:t>омитету по труду</w:t>
      </w:r>
      <w:r w:rsidR="000F4A39">
        <w:t xml:space="preserve"> </w:t>
      </w:r>
      <w:r>
        <w:t xml:space="preserve">и занятости Волгоградской области - </w:t>
      </w:r>
      <w:r w:rsidR="000F4A39">
        <w:t xml:space="preserve">на 616 </w:t>
      </w:r>
      <w:r w:rsidR="000F4A39" w:rsidRPr="002345D7">
        <w:t>млн. руб.</w:t>
      </w:r>
      <w:r w:rsidR="000F4A39">
        <w:t xml:space="preserve">, </w:t>
      </w:r>
      <w:r w:rsidR="000F4A39" w:rsidRPr="002345D7">
        <w:t>в основном в связи с</w:t>
      </w:r>
      <w:r w:rsidR="000F4A39">
        <w:t xml:space="preserve"> </w:t>
      </w:r>
      <w:r w:rsidR="000F4A39" w:rsidRPr="002345D7">
        <w:t xml:space="preserve">уменьшением </w:t>
      </w:r>
      <w:r>
        <w:t>(</w:t>
      </w:r>
      <w:r w:rsidR="000F4A39">
        <w:t xml:space="preserve">на 613,7 </w:t>
      </w:r>
      <w:r w:rsidR="000F4A39" w:rsidRPr="002345D7">
        <w:t>млн. руб.</w:t>
      </w:r>
      <w:r>
        <w:t>)</w:t>
      </w:r>
      <w:r w:rsidR="000F4A39">
        <w:t xml:space="preserve"> </w:t>
      </w:r>
      <w:r w:rsidR="000F4A39" w:rsidRPr="00A30C0D">
        <w:t>ассигновани</w:t>
      </w:r>
      <w:r w:rsidR="000F4A39">
        <w:t xml:space="preserve">й </w:t>
      </w:r>
      <w:r w:rsidR="000F4A39" w:rsidRPr="00341B07">
        <w:t>на социальные выплаты безработным гражданам</w:t>
      </w:r>
      <w:r w:rsidR="000F4A39">
        <w:t xml:space="preserve">, осуществляемые </w:t>
      </w:r>
      <w:r w:rsidR="000F4A39" w:rsidRPr="00A30C0D">
        <w:t xml:space="preserve">за счет </w:t>
      </w:r>
      <w:r w:rsidR="000F4A39">
        <w:t xml:space="preserve">субвенции из </w:t>
      </w:r>
      <w:r w:rsidR="000F4A39" w:rsidRPr="00A30C0D">
        <w:t>федерального бюджета</w:t>
      </w:r>
      <w:r w:rsidR="000F4A39">
        <w:t xml:space="preserve">; </w:t>
      </w:r>
    </w:p>
    <w:p w14:paraId="050B4CBC" w14:textId="3289819C" w:rsidR="000F4A39" w:rsidRDefault="00215253" w:rsidP="00215253">
      <w:pPr>
        <w:tabs>
          <w:tab w:val="left" w:pos="709"/>
        </w:tabs>
        <w:jc w:val="both"/>
      </w:pPr>
      <w:r>
        <w:tab/>
        <w:t>-</w:t>
      </w:r>
      <w:r w:rsidR="000F4A39">
        <w:t xml:space="preserve">комитету строительства Волгоградской области </w:t>
      </w:r>
      <w:r>
        <w:t xml:space="preserve">- </w:t>
      </w:r>
      <w:r w:rsidR="000F4A39">
        <w:t xml:space="preserve">на 39,2 </w:t>
      </w:r>
      <w:r w:rsidR="000F4A39" w:rsidRPr="002345D7">
        <w:t>млн. руб.</w:t>
      </w:r>
      <w:r w:rsidR="000F4A39">
        <w:t xml:space="preserve"> на о</w:t>
      </w:r>
      <w:r w:rsidR="000F4A39" w:rsidRPr="00CC22B5">
        <w:t>беспечение жилыми помещениями многодетных граждан путем выдачи жилищного сертификата</w:t>
      </w:r>
      <w:r w:rsidR="000F4A39">
        <w:t xml:space="preserve"> за счет средств областного бюджета и </w:t>
      </w:r>
      <w:r w:rsidR="000F4A39" w:rsidRPr="00215253">
        <w:rPr>
          <w:rFonts w:eastAsiaTheme="minorHAnsi"/>
          <w:lang w:eastAsia="en-US"/>
        </w:rPr>
        <w:t xml:space="preserve">отдельных категорий граждан в соответствии с Указом Президента РФ от 07.05.2008 №714 «Об обеспечении жильем ветеранов Великой Отечественной войны 1941-1945 годов» </w:t>
      </w:r>
      <w:r w:rsidR="000F4A39">
        <w:t xml:space="preserve">за счет средств федерального бюджета, </w:t>
      </w:r>
      <w:r w:rsidR="000F4A39" w:rsidRPr="00A30C0D">
        <w:t>в соответствии с потребностью на 202</w:t>
      </w:r>
      <w:r w:rsidR="000F4A39">
        <w:t>1</w:t>
      </w:r>
      <w:r w:rsidR="000F4A39" w:rsidRPr="00A30C0D">
        <w:t xml:space="preserve"> год</w:t>
      </w:r>
      <w:r>
        <w:t xml:space="preserve"> и др.</w:t>
      </w:r>
    </w:p>
    <w:p w14:paraId="4F0B54C5" w14:textId="50A07F6E" w:rsidR="0019196A" w:rsidRDefault="00215253" w:rsidP="00C30EC0">
      <w:pPr>
        <w:ind w:firstLine="709"/>
        <w:jc w:val="both"/>
      </w:pPr>
      <w:r>
        <w:t>Также ассигновани</w:t>
      </w:r>
      <w:r w:rsidR="00B77B8A">
        <w:t>я сокращены</w:t>
      </w:r>
      <w:r w:rsidR="0019196A">
        <w:t>:</w:t>
      </w:r>
      <w:r>
        <w:t xml:space="preserve"> </w:t>
      </w:r>
    </w:p>
    <w:p w14:paraId="4FA973C2" w14:textId="576EE8ED" w:rsidR="00C30EC0" w:rsidRDefault="0019196A" w:rsidP="00C30EC0">
      <w:pPr>
        <w:ind w:firstLine="709"/>
        <w:jc w:val="both"/>
      </w:pPr>
      <w:r>
        <w:t>-</w:t>
      </w:r>
      <w:r w:rsidR="00215253" w:rsidRPr="009E6E03">
        <w:rPr>
          <w:i/>
          <w:iCs/>
        </w:rPr>
        <w:t>по подразделу</w:t>
      </w:r>
      <w:r w:rsidR="00215253">
        <w:t xml:space="preserve"> </w:t>
      </w:r>
      <w:r w:rsidR="00C30EC0" w:rsidRPr="00215253">
        <w:rPr>
          <w:i/>
          <w:iCs/>
        </w:rPr>
        <w:t>1001 «Пенсионное обеспечение»</w:t>
      </w:r>
      <w:r w:rsidR="00C30EC0">
        <w:rPr>
          <w:b/>
          <w:bCs/>
          <w:i/>
          <w:iCs/>
        </w:rPr>
        <w:t xml:space="preserve"> </w:t>
      </w:r>
      <w:r w:rsidR="00C30EC0">
        <w:t xml:space="preserve">на 34,6 </w:t>
      </w:r>
      <w:r w:rsidR="00C30EC0" w:rsidRPr="002345D7">
        <w:t>млн. руб.</w:t>
      </w:r>
      <w:r w:rsidR="00C30EC0">
        <w:t xml:space="preserve"> (5</w:t>
      </w:r>
      <w:r w:rsidR="00C30EC0" w:rsidRPr="002345D7">
        <w:t>,</w:t>
      </w:r>
      <w:r w:rsidR="00C30EC0">
        <w:t>3%), в том числе к</w:t>
      </w:r>
      <w:r w:rsidR="00C30EC0" w:rsidRPr="00A30C0D">
        <w:t>омитету социальной защиты населения</w:t>
      </w:r>
      <w:r>
        <w:t xml:space="preserve"> -</w:t>
      </w:r>
      <w:r w:rsidR="00C30EC0">
        <w:t xml:space="preserve"> </w:t>
      </w:r>
      <w:r w:rsidR="00C30EC0" w:rsidRPr="00A30C0D">
        <w:t xml:space="preserve">на </w:t>
      </w:r>
      <w:r w:rsidR="00C30EC0">
        <w:t>28</w:t>
      </w:r>
      <w:r w:rsidR="00C30EC0" w:rsidRPr="00A30C0D">
        <w:t xml:space="preserve"> млн. руб. </w:t>
      </w:r>
      <w:r w:rsidR="00C30EC0" w:rsidRPr="009A7DEF">
        <w:t>за счет средств областного бюджета</w:t>
      </w:r>
      <w:r w:rsidR="00C30EC0" w:rsidRPr="00A30C0D">
        <w:t xml:space="preserve"> на доплаты к пенсиям государ</w:t>
      </w:r>
      <w:r w:rsidR="00C30EC0">
        <w:t>ственных служащих субъекта РФ; к</w:t>
      </w:r>
      <w:r w:rsidR="00C30EC0" w:rsidRPr="00A30C0D">
        <w:t>омитету по труду и занятости населения</w:t>
      </w:r>
      <w:r>
        <w:t xml:space="preserve"> -</w:t>
      </w:r>
      <w:r w:rsidR="00C30EC0">
        <w:t xml:space="preserve"> </w:t>
      </w:r>
      <w:r w:rsidR="00C30EC0" w:rsidRPr="00A30C0D">
        <w:t xml:space="preserve">на </w:t>
      </w:r>
      <w:r w:rsidR="00C30EC0">
        <w:t>6,6</w:t>
      </w:r>
      <w:r w:rsidR="00C30EC0" w:rsidRPr="00A30C0D">
        <w:t xml:space="preserve"> млн. руб. </w:t>
      </w:r>
      <w:r w:rsidR="00C30EC0" w:rsidRPr="009A7DEF">
        <w:t xml:space="preserve">за счет средств федерального бюджета </w:t>
      </w:r>
      <w:r w:rsidR="00C30EC0" w:rsidRPr="00A30C0D">
        <w:t>на возмещение расходов Пенсионного фонда РФ, связанных с назначением пенсии безработным гражданам досрочно, в соответствии с потребностью на 202</w:t>
      </w:r>
      <w:r w:rsidR="00C30EC0">
        <w:t>1</w:t>
      </w:r>
      <w:r w:rsidR="00C30EC0" w:rsidRPr="00A30C0D">
        <w:t xml:space="preserve"> год</w:t>
      </w:r>
      <w:r>
        <w:t>;</w:t>
      </w:r>
    </w:p>
    <w:p w14:paraId="58F97E18" w14:textId="672D4DAE" w:rsidR="0019196A" w:rsidRDefault="0019196A" w:rsidP="009E6E03">
      <w:pPr>
        <w:tabs>
          <w:tab w:val="left" w:pos="993"/>
        </w:tabs>
        <w:ind w:firstLine="709"/>
        <w:jc w:val="both"/>
      </w:pPr>
      <w:r>
        <w:t>-</w:t>
      </w:r>
      <w:r w:rsidRPr="009E6E03">
        <w:rPr>
          <w:i/>
          <w:iCs/>
        </w:rPr>
        <w:t>по подразделу</w:t>
      </w:r>
      <w:r>
        <w:t xml:space="preserve"> </w:t>
      </w:r>
      <w:r w:rsidRPr="0019196A">
        <w:rPr>
          <w:i/>
          <w:iCs/>
        </w:rPr>
        <w:t>1004 «Охрана семьи и детства»</w:t>
      </w:r>
      <w:r w:rsidRPr="002345D7">
        <w:t xml:space="preserve"> </w:t>
      </w:r>
      <w:r>
        <w:t xml:space="preserve">- </w:t>
      </w:r>
      <w:r w:rsidRPr="002345D7">
        <w:t xml:space="preserve">на </w:t>
      </w:r>
      <w:r>
        <w:t>117,7 млн. руб. (0</w:t>
      </w:r>
      <w:r w:rsidRPr="002345D7">
        <w:t>,</w:t>
      </w:r>
      <w:r>
        <w:t>8%), из них к</w:t>
      </w:r>
      <w:r w:rsidRPr="002345D7">
        <w:t xml:space="preserve">омитету </w:t>
      </w:r>
      <w:r w:rsidRPr="0062498D">
        <w:t>строительства</w:t>
      </w:r>
      <w:r w:rsidRPr="002345D7">
        <w:t xml:space="preserve"> увеличены на </w:t>
      </w:r>
      <w:r>
        <w:t>41,2</w:t>
      </w:r>
      <w:r w:rsidRPr="002345D7">
        <w:t xml:space="preserve"> млн. руб. за счет средств областного бюджета на исполнение судебных актов, </w:t>
      </w:r>
      <w:r>
        <w:t>в основном</w:t>
      </w:r>
      <w:r w:rsidRPr="002345D7">
        <w:t xml:space="preserve"> </w:t>
      </w:r>
      <w:r>
        <w:t>по</w:t>
      </w:r>
      <w:r w:rsidRPr="002345D7">
        <w:t xml:space="preserve"> обеспечени</w:t>
      </w:r>
      <w:r>
        <w:t>ю</w:t>
      </w:r>
      <w:r w:rsidRPr="002345D7">
        <w:t xml:space="preserve"> жиль</w:t>
      </w:r>
      <w:r w:rsidR="009E6E03">
        <w:t>е</w:t>
      </w:r>
      <w:r w:rsidRPr="002345D7">
        <w:t>м детей-сирот, детей, оставшихся без попечен</w:t>
      </w:r>
      <w:r>
        <w:t>ия родителей,  к</w:t>
      </w:r>
      <w:r w:rsidRPr="002345D7">
        <w:t xml:space="preserve">омитету </w:t>
      </w:r>
      <w:r w:rsidRPr="00821DD2">
        <w:t>социальной защиты</w:t>
      </w:r>
      <w:r>
        <w:t xml:space="preserve"> увеличены на 54,3 </w:t>
      </w:r>
      <w:r w:rsidRPr="002345D7">
        <w:t>млн. руб.</w:t>
      </w:r>
      <w:r>
        <w:t xml:space="preserve"> на меры </w:t>
      </w:r>
      <w:r w:rsidRPr="002345D7">
        <w:t xml:space="preserve">социальной </w:t>
      </w:r>
      <w:r>
        <w:t>помощи (поддержки)</w:t>
      </w:r>
      <w:r w:rsidR="00235E6A">
        <w:t>,</w:t>
      </w:r>
      <w:r>
        <w:t xml:space="preserve"> при </w:t>
      </w:r>
      <w:r w:rsidR="00235E6A">
        <w:t xml:space="preserve">этом </w:t>
      </w:r>
      <w:r>
        <w:t>уменьшен</w:t>
      </w:r>
      <w:r w:rsidR="00235E6A">
        <w:t>ы расходы</w:t>
      </w:r>
      <w:r>
        <w:t xml:space="preserve"> на 199 </w:t>
      </w:r>
      <w:r w:rsidRPr="002345D7">
        <w:t xml:space="preserve">млн. руб. </w:t>
      </w:r>
      <w:r>
        <w:t xml:space="preserve">на субвенции </w:t>
      </w:r>
      <w:r w:rsidRPr="00821DD2">
        <w:t xml:space="preserve">бюджетам муниципальных </w:t>
      </w:r>
      <w:r>
        <w:t xml:space="preserve">образований </w:t>
      </w:r>
      <w:r w:rsidRPr="00821DD2">
        <w:t>на осуществление государственных полномочий по опеке и попечительству</w:t>
      </w:r>
      <w:r w:rsidRPr="00987C4C">
        <w:t xml:space="preserve"> </w:t>
      </w:r>
      <w:r w:rsidRPr="002345D7">
        <w:t xml:space="preserve">в связи с </w:t>
      </w:r>
      <w:r>
        <w:t xml:space="preserve">изменением </w:t>
      </w:r>
      <w:r w:rsidRPr="002345D7">
        <w:t xml:space="preserve">потребности </w:t>
      </w:r>
      <w:r>
        <w:t>на 2021 год.</w:t>
      </w:r>
    </w:p>
    <w:p w14:paraId="32CAA71A" w14:textId="53B129B2" w:rsidR="00C30EC0" w:rsidRDefault="00F37D38" w:rsidP="00C30EC0">
      <w:pPr>
        <w:ind w:firstLine="709"/>
        <w:jc w:val="both"/>
        <w:rPr>
          <w:b/>
          <w:bCs/>
          <w:i/>
          <w:iCs/>
        </w:rPr>
      </w:pPr>
      <w:r w:rsidRPr="00F37D38">
        <w:rPr>
          <w:i/>
          <w:iCs/>
        </w:rPr>
        <w:t xml:space="preserve">По подразделу </w:t>
      </w:r>
      <w:r w:rsidR="00C30EC0" w:rsidRPr="00F37D38">
        <w:rPr>
          <w:i/>
          <w:iCs/>
        </w:rPr>
        <w:t>1002 «Социальное обслуживание населения»</w:t>
      </w:r>
      <w:r>
        <w:rPr>
          <w:i/>
          <w:iCs/>
        </w:rPr>
        <w:t xml:space="preserve"> </w:t>
      </w:r>
      <w:r>
        <w:t>ассигнования</w:t>
      </w:r>
      <w:r w:rsidR="00C30EC0" w:rsidRPr="00945B25">
        <w:t xml:space="preserve"> увеличены на 26,1 млн. руб. (0,4%) </w:t>
      </w:r>
      <w:r w:rsidR="00C30EC0">
        <w:t>к</w:t>
      </w:r>
      <w:r w:rsidR="00C30EC0" w:rsidRPr="00945B25">
        <w:t>омитету социальной защиты</w:t>
      </w:r>
      <w:r w:rsidR="00C30EC0" w:rsidRPr="00F731DB">
        <w:t xml:space="preserve"> </w:t>
      </w:r>
      <w:r w:rsidR="00464E32">
        <w:t xml:space="preserve">населения </w:t>
      </w:r>
      <w:r w:rsidR="00C30EC0" w:rsidRPr="00945B25">
        <w:t>на обеспечение деятельности подведомственных учреждений, главным образом в связи с увеличением ассигновани</w:t>
      </w:r>
      <w:r w:rsidR="00C30EC0">
        <w:t>й</w:t>
      </w:r>
      <w:r w:rsidR="00C30EC0" w:rsidRPr="00945B25">
        <w:t xml:space="preserve"> на мероприятия по организации </w:t>
      </w:r>
      <w:r w:rsidR="00C30EC0" w:rsidRPr="00945B25">
        <w:rPr>
          <w:rFonts w:eastAsiaTheme="minorHAnsi"/>
          <w:lang w:eastAsia="en-US"/>
        </w:rPr>
        <w:t>периодических обследований на COVID-2019 работников государственных организаций социального обслуживания Волгоградской области, осуществляющих стационарное социальное обслуживание граждан пожилого возраста и инвалидов, в том числе детей-инвалидов, обслуживание несовершеннолетних, в соответствии с постановлением Губернатора Волгоградской области от 15.03.2020 №179</w:t>
      </w:r>
      <w:r w:rsidR="00C30EC0">
        <w:rPr>
          <w:rFonts w:eastAsiaTheme="minorHAnsi"/>
          <w:lang w:eastAsia="en-US"/>
        </w:rPr>
        <w:t xml:space="preserve"> </w:t>
      </w:r>
      <w:r w:rsidR="00C30EC0" w:rsidRPr="00945B25">
        <w:rPr>
          <w:rFonts w:eastAsiaTheme="minorHAnsi"/>
          <w:lang w:eastAsia="en-US"/>
        </w:rPr>
        <w:t>«О введении режима повышенной готовности функционирования органов управления, сил и средств территориальной подсистемы Волгоградской области единой государственной системы предупреждения и ликвидации чрезвычайных ситуаций»</w:t>
      </w:r>
      <w:r w:rsidR="00C30EC0" w:rsidRPr="00945B25">
        <w:t>.</w:t>
      </w:r>
    </w:p>
    <w:p w14:paraId="6AF465C0" w14:textId="77777777" w:rsidR="00B73C63" w:rsidRDefault="00B73C63" w:rsidP="00AE4F95">
      <w:pPr>
        <w:pStyle w:val="ConsPlusNormal"/>
        <w:jc w:val="center"/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</w:pPr>
    </w:p>
    <w:p w14:paraId="2AB81AE0" w14:textId="2A726320" w:rsidR="00AE4F95" w:rsidRDefault="00AE4F95" w:rsidP="00AE4F95">
      <w:pPr>
        <w:pStyle w:val="ConsPlusNormal"/>
        <w:jc w:val="center"/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</w:pPr>
      <w:r w:rsidRPr="00AE4F95"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  <w:t>Раздел 1100 «Физическая культура и спорт»</w:t>
      </w:r>
    </w:p>
    <w:p w14:paraId="158034E1" w14:textId="77777777" w:rsidR="00D75556" w:rsidRPr="00AE4F95" w:rsidRDefault="00D75556" w:rsidP="00AE4F95">
      <w:pPr>
        <w:pStyle w:val="ConsPlusNormal"/>
        <w:jc w:val="center"/>
        <w:rPr>
          <w:rFonts w:ascii="Times New Roman" w:eastAsiaTheme="minorHAnsi" w:hAnsi="Times New Roman" w:cs="Times New Roman"/>
          <w:b/>
          <w:i/>
          <w:iCs/>
          <w:sz w:val="24"/>
          <w:szCs w:val="24"/>
          <w:u w:val="single"/>
          <w:lang w:eastAsia="en-US"/>
        </w:rPr>
      </w:pPr>
    </w:p>
    <w:p w14:paraId="2FA5E119" w14:textId="5FE1E5EE" w:rsidR="00C44B89" w:rsidRDefault="00F63796" w:rsidP="00C44B89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>
        <w:rPr>
          <w:rFonts w:eastAsiaTheme="minorHAnsi"/>
          <w:lang w:eastAsia="en-US"/>
        </w:rPr>
        <w:t xml:space="preserve">Законопроектом предлагается увеличить расходы на 2021 год на физическую культуру и спорт на </w:t>
      </w:r>
      <w:r>
        <w:rPr>
          <w:color w:val="000000"/>
        </w:rPr>
        <w:t>207,1</w:t>
      </w:r>
      <w:r>
        <w:rPr>
          <w:rFonts w:eastAsiaTheme="minorHAnsi"/>
          <w:lang w:eastAsia="en-US"/>
        </w:rPr>
        <w:t xml:space="preserve"> млн. руб., или </w:t>
      </w:r>
      <w:r>
        <w:rPr>
          <w:color w:val="000000"/>
        </w:rPr>
        <w:t xml:space="preserve">8,9 процента. </w:t>
      </w:r>
      <w:r w:rsidR="00C44B89">
        <w:rPr>
          <w:color w:val="000000"/>
        </w:rPr>
        <w:t xml:space="preserve">Увеличение в основном коснулось </w:t>
      </w:r>
      <w:r w:rsidR="00C44B89" w:rsidRPr="00563833">
        <w:rPr>
          <w:rFonts w:eastAsia="Calibri"/>
          <w:bCs/>
          <w:i/>
        </w:rPr>
        <w:t>подраздела 1103 «Спорт высших достижений»</w:t>
      </w:r>
      <w:r w:rsidR="00C44B89">
        <w:rPr>
          <w:rFonts w:eastAsia="Calibri"/>
          <w:bCs/>
          <w:iCs/>
        </w:rPr>
        <w:t xml:space="preserve">, </w:t>
      </w:r>
      <w:r w:rsidR="00C44B89">
        <w:rPr>
          <w:rFonts w:eastAsia="Calibri"/>
        </w:rPr>
        <w:t>ассигнования по которому увеличены на 249,6 млн. руб., или на 17,5%, комитету спорта и физической культуры Волгоградской области главным образом на оказание государственной поддержки футбольной команде «Ротор» (+170 млн. руб.) в виде субсидии государственным учреждениям на выполнение госзадания и иные цели.</w:t>
      </w:r>
    </w:p>
    <w:p w14:paraId="51E7572D" w14:textId="3F00A879" w:rsidR="00F63796" w:rsidRDefault="00563833" w:rsidP="00563833">
      <w:pPr>
        <w:pStyle w:val="ConsPlusNormal"/>
        <w:ind w:firstLine="709"/>
        <w:jc w:val="both"/>
        <w:rPr>
          <w:rFonts w:ascii="Times New Roman" w:eastAsiaTheme="minorHAns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этом </w:t>
      </w:r>
      <w:r w:rsidRPr="00563833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</w:t>
      </w:r>
      <w:r w:rsidR="00F63796" w:rsidRPr="00563833">
        <w:rPr>
          <w:rFonts w:ascii="Times New Roman" w:hAnsi="Times New Roman" w:cs="Times New Roman"/>
          <w:i/>
          <w:iCs/>
          <w:sz w:val="24"/>
          <w:szCs w:val="24"/>
        </w:rPr>
        <w:t>о подразделу 1102 «Массовый спорт»</w:t>
      </w:r>
      <w:r w:rsidR="00F63796">
        <w:rPr>
          <w:rFonts w:ascii="Times New Roman" w:hAnsi="Times New Roman" w:cs="Times New Roman"/>
          <w:sz w:val="24"/>
          <w:szCs w:val="24"/>
        </w:rPr>
        <w:t xml:space="preserve"> ассигнования в целом уменьшены </w:t>
      </w:r>
      <w:r w:rsidR="00F63796">
        <w:rPr>
          <w:rFonts w:ascii="Times New Roman" w:hAnsi="Times New Roman" w:cs="Times New Roman"/>
          <w:color w:val="000000"/>
          <w:sz w:val="24"/>
          <w:szCs w:val="24"/>
        </w:rPr>
        <w:t xml:space="preserve">на 43 млн. руб., или на 5%, </w:t>
      </w:r>
      <w:r>
        <w:rPr>
          <w:rFonts w:ascii="Times New Roman" w:hAnsi="Times New Roman" w:cs="Times New Roman"/>
          <w:color w:val="000000"/>
          <w:sz w:val="24"/>
          <w:szCs w:val="24"/>
        </w:rPr>
        <w:t>в том числе</w:t>
      </w:r>
      <w:r w:rsidR="00F637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3084A0A" w14:textId="5067D1E6" w:rsidR="00F63796" w:rsidRDefault="00F63796" w:rsidP="00F63796">
      <w:pPr>
        <w:pStyle w:val="af2"/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> </w:t>
      </w:r>
      <w:r w:rsidR="00563833">
        <w:rPr>
          <w:color w:val="000000"/>
        </w:rPr>
        <w:t>-</w:t>
      </w:r>
      <w:r>
        <w:rPr>
          <w:color w:val="000000"/>
        </w:rPr>
        <w:t>комитету строительства Волгоградской области</w:t>
      </w:r>
      <w:r w:rsidR="00563833">
        <w:rPr>
          <w:color w:val="000000"/>
        </w:rPr>
        <w:t xml:space="preserve"> -</w:t>
      </w:r>
      <w:r>
        <w:rPr>
          <w:color w:val="000000"/>
        </w:rPr>
        <w:t xml:space="preserve"> на 27,1 млн.  руб. в связи с сокращением расходов на капитальные вложения в </w:t>
      </w:r>
      <w:r w:rsidR="00563833">
        <w:rPr>
          <w:color w:val="000000"/>
        </w:rPr>
        <w:t xml:space="preserve">следующие </w:t>
      </w:r>
      <w:r>
        <w:rPr>
          <w:color w:val="000000"/>
        </w:rPr>
        <w:t>объекты спорта: «Административно-бытовой корпус на территории стадиона «Пищевик» с комплексом спортивных зданий и сооружений и с элементами благоустройства, «Реконструкция спортивно-зрелищной части здания Дворца Спорта</w:t>
      </w:r>
      <w:r w:rsidR="00E064B8">
        <w:rPr>
          <w:color w:val="000000"/>
        </w:rPr>
        <w:t>»</w:t>
      </w:r>
      <w:r>
        <w:rPr>
          <w:color w:val="000000"/>
        </w:rPr>
        <w:t>, а также увеличением расходов на 4,5 млн. руб. по другим объектам;</w:t>
      </w:r>
    </w:p>
    <w:p w14:paraId="600D42AA" w14:textId="7F331A84" w:rsidR="00F63796" w:rsidRDefault="00F63796" w:rsidP="00F63796">
      <w:pPr>
        <w:pStyle w:val="af2"/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>
        <w:rPr>
          <w:rFonts w:eastAsia="Calibri"/>
        </w:rPr>
        <w:lastRenderedPageBreak/>
        <w:t>-комитету спорта</w:t>
      </w:r>
      <w:r w:rsidR="00E064B8">
        <w:rPr>
          <w:rFonts w:eastAsia="Calibri"/>
        </w:rPr>
        <w:t xml:space="preserve"> физической культуры Волгоградской области -</w:t>
      </w:r>
      <w:r>
        <w:rPr>
          <w:color w:val="000000"/>
        </w:rPr>
        <w:t xml:space="preserve"> </w:t>
      </w:r>
      <w:r>
        <w:rPr>
          <w:rFonts w:eastAsia="Calibri"/>
        </w:rPr>
        <w:t xml:space="preserve">на 15,9 млн. руб. </w:t>
      </w:r>
      <w:r>
        <w:rPr>
          <w:color w:val="000000"/>
        </w:rPr>
        <w:t>в связи с сокращением расходов на капитальные вложения в объекты спорта:</w:t>
      </w:r>
      <w:r>
        <w:rPr>
          <w:rFonts w:eastAsia="Calibri"/>
        </w:rPr>
        <w:t xml:space="preserve"> на проектирование объекта «Строительство второй очереди крытого ледового катка на земельном участке, проектные работы и инженерные изыскания» на 6,9 млн. руб. (на 99%) в связи с переносом финансирования на 2022 год и «Физкультурно-оздоровительный комплекс открытого типа по адресу: г. Суровикино, ул. Орджоникидзе, 91а» в связи с несостоявшимися торгами в 2021 году на 10 млн. руб. (полностью)</w:t>
      </w:r>
      <w:r>
        <w:rPr>
          <w:color w:val="000000"/>
        </w:rPr>
        <w:t>.</w:t>
      </w:r>
    </w:p>
    <w:p w14:paraId="5411A5CF" w14:textId="77777777" w:rsidR="00AE4F95" w:rsidRPr="00AE4F95" w:rsidRDefault="00AE4F95" w:rsidP="00AE4F95">
      <w:pPr>
        <w:autoSpaceDE w:val="0"/>
        <w:autoSpaceDN w:val="0"/>
        <w:adjustRightInd w:val="0"/>
        <w:ind w:firstLine="709"/>
        <w:jc w:val="both"/>
      </w:pPr>
    </w:p>
    <w:p w14:paraId="66EBD881" w14:textId="77777777" w:rsidR="006321E3" w:rsidRPr="000804BB" w:rsidRDefault="006321E3" w:rsidP="006321E3">
      <w:pPr>
        <w:widowControl w:val="0"/>
        <w:ind w:firstLine="680"/>
        <w:jc w:val="center"/>
        <w:rPr>
          <w:b/>
          <w:bCs/>
          <w:i/>
          <w:iCs/>
          <w:u w:val="single"/>
        </w:rPr>
      </w:pPr>
      <w:r w:rsidRPr="000804BB">
        <w:rPr>
          <w:b/>
          <w:bCs/>
          <w:i/>
          <w:iCs/>
          <w:u w:val="single"/>
        </w:rPr>
        <w:t>Раздел 1400 «Межбюджетные трансферты общего характера</w:t>
      </w:r>
    </w:p>
    <w:p w14:paraId="00DDC940" w14:textId="18B43047" w:rsidR="006321E3" w:rsidRDefault="006321E3" w:rsidP="006321E3">
      <w:pPr>
        <w:widowControl w:val="0"/>
        <w:ind w:firstLine="680"/>
        <w:jc w:val="center"/>
        <w:rPr>
          <w:b/>
          <w:bCs/>
          <w:i/>
          <w:iCs/>
          <w:u w:val="single"/>
        </w:rPr>
      </w:pPr>
      <w:r w:rsidRPr="000804BB">
        <w:rPr>
          <w:b/>
          <w:bCs/>
          <w:i/>
          <w:iCs/>
          <w:u w:val="single"/>
        </w:rPr>
        <w:t>бюджетам бюджетной системы РФ»</w:t>
      </w:r>
    </w:p>
    <w:p w14:paraId="53ACE0AB" w14:textId="77777777" w:rsidR="00D75556" w:rsidRPr="000804BB" w:rsidRDefault="00D75556" w:rsidP="006321E3">
      <w:pPr>
        <w:widowControl w:val="0"/>
        <w:ind w:firstLine="680"/>
        <w:jc w:val="center"/>
        <w:rPr>
          <w:b/>
          <w:bCs/>
          <w:i/>
          <w:iCs/>
          <w:u w:val="single"/>
        </w:rPr>
      </w:pPr>
    </w:p>
    <w:p w14:paraId="556D038D" w14:textId="5D0BCBCB" w:rsidR="00D2694E" w:rsidRPr="00CF2079" w:rsidRDefault="00D2694E" w:rsidP="00D2694E">
      <w:pPr>
        <w:ind w:firstLine="709"/>
        <w:jc w:val="both"/>
      </w:pPr>
      <w:r w:rsidRPr="00CF2079">
        <w:t xml:space="preserve">Законопроектом предусмотрено увеличение бюджетных назначений по разделу на </w:t>
      </w:r>
      <w:r>
        <w:t>540</w:t>
      </w:r>
      <w:r w:rsidRPr="00CF2079">
        <w:t xml:space="preserve"> млн. руб. (с </w:t>
      </w:r>
      <w:r>
        <w:t>4272,7</w:t>
      </w:r>
      <w:r w:rsidRPr="00CF2079">
        <w:t xml:space="preserve"> млн. руб. до </w:t>
      </w:r>
      <w:r>
        <w:t>4812,7</w:t>
      </w:r>
      <w:r w:rsidRPr="00CF2079">
        <w:t xml:space="preserve"> млн. руб.), или на </w:t>
      </w:r>
      <w:r>
        <w:t xml:space="preserve">12,6% </w:t>
      </w:r>
      <w:r w:rsidRPr="00CF2079">
        <w:t xml:space="preserve">по подразделу </w:t>
      </w:r>
      <w:r w:rsidRPr="000733F0">
        <w:rPr>
          <w:i/>
          <w:iCs/>
        </w:rPr>
        <w:t>1402 «Иные дотации»</w:t>
      </w:r>
      <w:r w:rsidRPr="00CF2079">
        <w:t xml:space="preserve"> на предоставление дотаций на поддержку мер по обеспечению сбалансированности местных бюджетов в рамках подпрограммы «Обеспечение финансовой поддержки местных бюджетов Волгоградской области» государственной программы «Управление государственными финансами Волгоградской области»</w:t>
      </w:r>
      <w:r>
        <w:t>.</w:t>
      </w:r>
    </w:p>
    <w:p w14:paraId="522E0E17" w14:textId="77777777" w:rsidR="00D2694E" w:rsidRPr="00CF2079" w:rsidRDefault="00D2694E" w:rsidP="00D2694E">
      <w:pPr>
        <w:ind w:firstLine="709"/>
        <w:jc w:val="both"/>
      </w:pPr>
      <w:r w:rsidRPr="00CF2079">
        <w:t xml:space="preserve">Объемы бюджетных назначений по подразделам </w:t>
      </w:r>
      <w:r w:rsidRPr="000733F0">
        <w:rPr>
          <w:i/>
          <w:iCs/>
        </w:rPr>
        <w:t>1401 «Дотации на выравнивание бюджетной обеспеченности субъектов РФ и муниципальных образований»</w:t>
      </w:r>
      <w:r w:rsidRPr="00CF2079">
        <w:t xml:space="preserve"> и </w:t>
      </w:r>
      <w:r w:rsidRPr="000733F0">
        <w:rPr>
          <w:i/>
          <w:iCs/>
        </w:rPr>
        <w:t>1403 «Прочие межбюджетные трансферты общего характера»</w:t>
      </w:r>
      <w:r w:rsidRPr="00CF2079">
        <w:t xml:space="preserve"> предусмотрены законопроектом без изменений - в суммах 1</w:t>
      </w:r>
      <w:r w:rsidRPr="00A8106C">
        <w:t>249,8</w:t>
      </w:r>
      <w:r w:rsidRPr="00CF2079">
        <w:t xml:space="preserve"> млн. руб. и 1</w:t>
      </w:r>
      <w:r w:rsidRPr="00A8106C">
        <w:t>851,8</w:t>
      </w:r>
      <w:r w:rsidRPr="00CF2079">
        <w:t xml:space="preserve"> млн. руб. соответственно.</w:t>
      </w:r>
    </w:p>
    <w:p w14:paraId="4BDF6857" w14:textId="77777777" w:rsidR="00D2694E" w:rsidRDefault="00D2694E" w:rsidP="00D2694E"/>
    <w:p w14:paraId="2656B712" w14:textId="495B0B29" w:rsidR="00CD3F9D" w:rsidRDefault="00CD3F9D" w:rsidP="00CD3F9D">
      <w:pPr>
        <w:jc w:val="center"/>
        <w:rPr>
          <w:b/>
          <w:i/>
          <w:u w:val="single"/>
        </w:rPr>
      </w:pPr>
      <w:r w:rsidRPr="00963217">
        <w:rPr>
          <w:b/>
          <w:i/>
          <w:u w:val="single"/>
        </w:rPr>
        <w:t>Дефицит областного бюджет</w:t>
      </w:r>
      <w:r w:rsidR="00F167C0" w:rsidRPr="00963217">
        <w:rPr>
          <w:b/>
          <w:i/>
          <w:u w:val="single"/>
        </w:rPr>
        <w:t>а</w:t>
      </w:r>
      <w:r w:rsidRPr="00963217">
        <w:rPr>
          <w:b/>
          <w:i/>
          <w:u w:val="single"/>
        </w:rPr>
        <w:t xml:space="preserve"> и источники его финансирования</w:t>
      </w:r>
    </w:p>
    <w:p w14:paraId="24542BFD" w14:textId="6FDF4C26" w:rsidR="00D75556" w:rsidRDefault="00D75556" w:rsidP="00CD3F9D">
      <w:pPr>
        <w:jc w:val="center"/>
        <w:rPr>
          <w:b/>
          <w:i/>
          <w:u w:val="single"/>
        </w:rPr>
      </w:pPr>
    </w:p>
    <w:p w14:paraId="4718CFEE" w14:textId="73E89351" w:rsidR="00416091" w:rsidRDefault="00416091" w:rsidP="00416091">
      <w:pPr>
        <w:ind w:firstLine="709"/>
        <w:jc w:val="both"/>
      </w:pPr>
      <w:r w:rsidRPr="007C3AF1">
        <w:t xml:space="preserve">Размер </w:t>
      </w:r>
      <w:r w:rsidRPr="00335387">
        <w:rPr>
          <w:bCs/>
        </w:rPr>
        <w:t>дефицита областного бюджета</w:t>
      </w:r>
      <w:r w:rsidRPr="007C3AF1">
        <w:t xml:space="preserve"> </w:t>
      </w:r>
      <w:r>
        <w:t xml:space="preserve">на 2021 год </w:t>
      </w:r>
      <w:r w:rsidRPr="007C3AF1">
        <w:t xml:space="preserve">предусмотрен </w:t>
      </w:r>
      <w:r>
        <w:t xml:space="preserve">законопроектом </w:t>
      </w:r>
      <w:r w:rsidRPr="007C3AF1">
        <w:t xml:space="preserve">без изменений в сумме </w:t>
      </w:r>
      <w:r>
        <w:t>2750 млн.</w:t>
      </w:r>
      <w:r w:rsidRPr="007C3AF1">
        <w:t xml:space="preserve"> рублей.</w:t>
      </w:r>
    </w:p>
    <w:p w14:paraId="1DEDC623" w14:textId="37228477" w:rsidR="00416091" w:rsidRPr="00B53CFB" w:rsidRDefault="005429E2" w:rsidP="00416091">
      <w:pPr>
        <w:ind w:firstLine="708"/>
        <w:jc w:val="both"/>
      </w:pPr>
      <w:r>
        <w:t>П</w:t>
      </w:r>
      <w:r w:rsidR="00416091">
        <w:t>редлагаются изменения отдельных показателей источников внутреннего финансирования дефицита областного бюджета.</w:t>
      </w:r>
      <w:r w:rsidR="00416091" w:rsidRPr="001C224B">
        <w:t xml:space="preserve"> </w:t>
      </w:r>
      <w:r w:rsidR="00416091" w:rsidRPr="00B53CFB">
        <w:t>Основные изменения источников финансирования дефицита на 2021 год приведены в следующей таблице.</w:t>
      </w:r>
    </w:p>
    <w:p w14:paraId="45D6FD0A" w14:textId="19661F0F" w:rsidR="00416091" w:rsidRPr="00416091" w:rsidRDefault="00416091" w:rsidP="00416091">
      <w:pPr>
        <w:ind w:left="7788"/>
        <w:jc w:val="both"/>
        <w:rPr>
          <w:sz w:val="20"/>
          <w:szCs w:val="20"/>
        </w:rPr>
      </w:pPr>
      <w:r w:rsidRPr="00B53CFB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</w:t>
      </w:r>
      <w:r w:rsidRPr="00B53CF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416091">
        <w:rPr>
          <w:sz w:val="20"/>
          <w:szCs w:val="20"/>
        </w:rPr>
        <w:t>млн. руб.</w:t>
      </w:r>
    </w:p>
    <w:tbl>
      <w:tblPr>
        <w:tblW w:w="9389" w:type="dxa"/>
        <w:tblInd w:w="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1"/>
        <w:gridCol w:w="1559"/>
        <w:gridCol w:w="1560"/>
        <w:gridCol w:w="1559"/>
      </w:tblGrid>
      <w:tr w:rsidR="00416091" w:rsidRPr="00E16290" w14:paraId="06061D5A" w14:textId="77777777" w:rsidTr="00E45D5C">
        <w:trPr>
          <w:trHeight w:val="239"/>
        </w:trPr>
        <w:tc>
          <w:tcPr>
            <w:tcW w:w="471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bottom"/>
          </w:tcPr>
          <w:p w14:paraId="63B637AE" w14:textId="77777777" w:rsidR="00416091" w:rsidRPr="00E16290" w:rsidRDefault="00416091" w:rsidP="00B32E7F">
            <w:pPr>
              <w:jc w:val="center"/>
              <w:rPr>
                <w:b/>
                <w:bCs/>
                <w:sz w:val="20"/>
                <w:szCs w:val="20"/>
              </w:rPr>
            </w:pPr>
            <w:r w:rsidRPr="00E16290">
              <w:rPr>
                <w:b/>
                <w:bCs/>
                <w:sz w:val="20"/>
                <w:szCs w:val="20"/>
              </w:rPr>
              <w:t>Показатели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bottom"/>
          </w:tcPr>
          <w:p w14:paraId="60830040" w14:textId="77777777" w:rsidR="00416091" w:rsidRPr="00E16290" w:rsidRDefault="00416091" w:rsidP="00B32E7F">
            <w:pPr>
              <w:jc w:val="center"/>
              <w:rPr>
                <w:b/>
                <w:bCs/>
                <w:sz w:val="20"/>
                <w:szCs w:val="20"/>
              </w:rPr>
            </w:pPr>
            <w:r w:rsidRPr="00E16290">
              <w:rPr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bottom"/>
          </w:tcPr>
          <w:p w14:paraId="1CAD82A0" w14:textId="77777777" w:rsidR="00416091" w:rsidRPr="00E16290" w:rsidRDefault="00416091" w:rsidP="00B32E7F">
            <w:pPr>
              <w:jc w:val="center"/>
              <w:rPr>
                <w:b/>
                <w:bCs/>
                <w:sz w:val="20"/>
                <w:szCs w:val="20"/>
              </w:rPr>
            </w:pPr>
            <w:r w:rsidRPr="00E16290">
              <w:rPr>
                <w:b/>
                <w:bCs/>
                <w:sz w:val="20"/>
                <w:szCs w:val="20"/>
              </w:rPr>
              <w:t>Проект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bottom"/>
          </w:tcPr>
          <w:p w14:paraId="4778F2C4" w14:textId="77777777" w:rsidR="00416091" w:rsidRPr="00E16290" w:rsidRDefault="00416091" w:rsidP="00B32E7F">
            <w:pPr>
              <w:jc w:val="center"/>
              <w:rPr>
                <w:b/>
                <w:bCs/>
                <w:sz w:val="20"/>
                <w:szCs w:val="20"/>
              </w:rPr>
            </w:pPr>
            <w:r w:rsidRPr="00E16290">
              <w:rPr>
                <w:b/>
                <w:bCs/>
                <w:sz w:val="20"/>
                <w:szCs w:val="20"/>
              </w:rPr>
              <w:t>Изменения</w:t>
            </w:r>
          </w:p>
        </w:tc>
      </w:tr>
      <w:tr w:rsidR="00416091" w:rsidRPr="00E16290" w14:paraId="10E49D4D" w14:textId="77777777" w:rsidTr="00416091">
        <w:trPr>
          <w:trHeight w:val="216"/>
        </w:trPr>
        <w:tc>
          <w:tcPr>
            <w:tcW w:w="4711" w:type="dxa"/>
            <w:vAlign w:val="bottom"/>
          </w:tcPr>
          <w:p w14:paraId="33A0B87F" w14:textId="77777777" w:rsidR="00416091" w:rsidRPr="00E16290" w:rsidRDefault="00416091" w:rsidP="00B32E7F">
            <w:pPr>
              <w:rPr>
                <w:b/>
                <w:bCs/>
                <w:sz w:val="20"/>
                <w:szCs w:val="20"/>
              </w:rPr>
            </w:pPr>
            <w:r w:rsidRPr="00E16290">
              <w:rPr>
                <w:b/>
                <w:bCs/>
                <w:sz w:val="20"/>
                <w:szCs w:val="20"/>
              </w:rPr>
              <w:t>Дефицит бюджета (-), профицит бюджета (+)</w:t>
            </w:r>
          </w:p>
        </w:tc>
        <w:tc>
          <w:tcPr>
            <w:tcW w:w="1559" w:type="dxa"/>
            <w:vAlign w:val="center"/>
          </w:tcPr>
          <w:p w14:paraId="37D2BFD2" w14:textId="77777777" w:rsidR="00416091" w:rsidRPr="00E45D5C" w:rsidRDefault="00416091" w:rsidP="00416091">
            <w:pPr>
              <w:jc w:val="center"/>
              <w:rPr>
                <w:b/>
                <w:bCs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-2 750,0</w:t>
            </w:r>
          </w:p>
        </w:tc>
        <w:tc>
          <w:tcPr>
            <w:tcW w:w="1560" w:type="dxa"/>
            <w:vAlign w:val="center"/>
          </w:tcPr>
          <w:p w14:paraId="2B15B368" w14:textId="77777777" w:rsidR="00416091" w:rsidRPr="00E45D5C" w:rsidRDefault="00416091" w:rsidP="00416091">
            <w:pPr>
              <w:jc w:val="center"/>
              <w:rPr>
                <w:b/>
                <w:bCs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-2 750,0</w:t>
            </w:r>
          </w:p>
        </w:tc>
        <w:tc>
          <w:tcPr>
            <w:tcW w:w="1559" w:type="dxa"/>
            <w:vAlign w:val="center"/>
          </w:tcPr>
          <w:p w14:paraId="7A9067A2" w14:textId="77777777" w:rsidR="00416091" w:rsidRPr="00E45D5C" w:rsidRDefault="00416091" w:rsidP="00416091">
            <w:pPr>
              <w:jc w:val="center"/>
              <w:rPr>
                <w:b/>
                <w:bCs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16091" w:rsidRPr="00E16290" w14:paraId="3DF65D9F" w14:textId="77777777" w:rsidTr="00416091">
        <w:trPr>
          <w:trHeight w:val="300"/>
        </w:trPr>
        <w:tc>
          <w:tcPr>
            <w:tcW w:w="4711" w:type="dxa"/>
            <w:vAlign w:val="bottom"/>
          </w:tcPr>
          <w:p w14:paraId="2D7358BB" w14:textId="77777777" w:rsidR="00416091" w:rsidRPr="00E16290" w:rsidRDefault="00416091" w:rsidP="00B32E7F">
            <w:pPr>
              <w:rPr>
                <w:b/>
                <w:bCs/>
                <w:sz w:val="20"/>
                <w:szCs w:val="20"/>
              </w:rPr>
            </w:pPr>
            <w:r w:rsidRPr="00E16290">
              <w:rPr>
                <w:b/>
                <w:bCs/>
                <w:sz w:val="20"/>
                <w:szCs w:val="20"/>
              </w:rPr>
              <w:t>Источники внутреннего финансирования дефицита бюджета, в том числе за счет:</w:t>
            </w:r>
          </w:p>
        </w:tc>
        <w:tc>
          <w:tcPr>
            <w:tcW w:w="1559" w:type="dxa"/>
            <w:vAlign w:val="center"/>
          </w:tcPr>
          <w:p w14:paraId="3D1FDBE5" w14:textId="77777777" w:rsidR="00416091" w:rsidRPr="00E45D5C" w:rsidRDefault="00416091" w:rsidP="00416091">
            <w:pPr>
              <w:jc w:val="center"/>
              <w:rPr>
                <w:b/>
                <w:bCs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2 750,0</w:t>
            </w:r>
          </w:p>
        </w:tc>
        <w:tc>
          <w:tcPr>
            <w:tcW w:w="1560" w:type="dxa"/>
            <w:vAlign w:val="center"/>
          </w:tcPr>
          <w:p w14:paraId="0A43B17E" w14:textId="77777777" w:rsidR="00416091" w:rsidRPr="00E45D5C" w:rsidRDefault="00416091" w:rsidP="00416091">
            <w:pPr>
              <w:jc w:val="center"/>
              <w:rPr>
                <w:b/>
                <w:bCs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2 750,0</w:t>
            </w:r>
          </w:p>
        </w:tc>
        <w:tc>
          <w:tcPr>
            <w:tcW w:w="1559" w:type="dxa"/>
            <w:vAlign w:val="center"/>
          </w:tcPr>
          <w:p w14:paraId="61FCE552" w14:textId="77777777" w:rsidR="00416091" w:rsidRPr="00E45D5C" w:rsidRDefault="00416091" w:rsidP="00416091">
            <w:pPr>
              <w:jc w:val="center"/>
              <w:rPr>
                <w:b/>
                <w:bCs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416091" w:rsidRPr="00E16290" w14:paraId="76EBE6D3" w14:textId="77777777" w:rsidTr="00416091">
        <w:trPr>
          <w:trHeight w:val="65"/>
        </w:trPr>
        <w:tc>
          <w:tcPr>
            <w:tcW w:w="4711" w:type="dxa"/>
            <w:vAlign w:val="bottom"/>
          </w:tcPr>
          <w:p w14:paraId="2F7266A4" w14:textId="77777777" w:rsidR="00416091" w:rsidRPr="00E16290" w:rsidRDefault="00416091" w:rsidP="00B32E7F">
            <w:pPr>
              <w:rPr>
                <w:bCs/>
                <w:sz w:val="20"/>
                <w:szCs w:val="20"/>
              </w:rPr>
            </w:pPr>
            <w:r w:rsidRPr="00E16290">
              <w:rPr>
                <w:bCs/>
                <w:sz w:val="20"/>
                <w:szCs w:val="20"/>
              </w:rPr>
              <w:t>-заимствований</w:t>
            </w:r>
          </w:p>
        </w:tc>
        <w:tc>
          <w:tcPr>
            <w:tcW w:w="1559" w:type="dxa"/>
            <w:vAlign w:val="center"/>
          </w:tcPr>
          <w:p w14:paraId="52D87F2A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4 823,0</w:t>
            </w:r>
          </w:p>
        </w:tc>
        <w:tc>
          <w:tcPr>
            <w:tcW w:w="1560" w:type="dxa"/>
            <w:vAlign w:val="center"/>
          </w:tcPr>
          <w:p w14:paraId="56934313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3 823,0</w:t>
            </w:r>
          </w:p>
        </w:tc>
        <w:tc>
          <w:tcPr>
            <w:tcW w:w="1559" w:type="dxa"/>
            <w:vAlign w:val="center"/>
          </w:tcPr>
          <w:p w14:paraId="6A81216B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- 1 000,0</w:t>
            </w:r>
          </w:p>
        </w:tc>
      </w:tr>
      <w:tr w:rsidR="00416091" w:rsidRPr="00E16290" w14:paraId="52F6DCD0" w14:textId="77777777" w:rsidTr="00416091">
        <w:trPr>
          <w:trHeight w:val="65"/>
        </w:trPr>
        <w:tc>
          <w:tcPr>
            <w:tcW w:w="4711" w:type="dxa"/>
            <w:vAlign w:val="bottom"/>
          </w:tcPr>
          <w:p w14:paraId="53032E81" w14:textId="77777777" w:rsidR="00416091" w:rsidRPr="00E16290" w:rsidRDefault="00416091" w:rsidP="00B32E7F">
            <w:pPr>
              <w:rPr>
                <w:bCs/>
                <w:sz w:val="20"/>
                <w:szCs w:val="20"/>
              </w:rPr>
            </w:pPr>
            <w:r w:rsidRPr="00E16290">
              <w:rPr>
                <w:bCs/>
                <w:sz w:val="20"/>
                <w:szCs w:val="20"/>
              </w:rPr>
              <w:t>-изменения остатков</w:t>
            </w:r>
          </w:p>
        </w:tc>
        <w:tc>
          <w:tcPr>
            <w:tcW w:w="1559" w:type="dxa"/>
            <w:vAlign w:val="center"/>
          </w:tcPr>
          <w:p w14:paraId="3C1BDC76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69,4</w:t>
            </w:r>
          </w:p>
        </w:tc>
        <w:tc>
          <w:tcPr>
            <w:tcW w:w="1560" w:type="dxa"/>
            <w:vAlign w:val="center"/>
          </w:tcPr>
          <w:p w14:paraId="13E56D4B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64,2</w:t>
            </w:r>
          </w:p>
        </w:tc>
        <w:tc>
          <w:tcPr>
            <w:tcW w:w="1559" w:type="dxa"/>
            <w:vAlign w:val="center"/>
          </w:tcPr>
          <w:p w14:paraId="639E823A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-5,2</w:t>
            </w:r>
          </w:p>
        </w:tc>
      </w:tr>
      <w:tr w:rsidR="00416091" w:rsidRPr="00E16290" w14:paraId="1B36BBDE" w14:textId="77777777" w:rsidTr="00416091">
        <w:trPr>
          <w:trHeight w:val="65"/>
        </w:trPr>
        <w:tc>
          <w:tcPr>
            <w:tcW w:w="4711" w:type="dxa"/>
            <w:vAlign w:val="bottom"/>
          </w:tcPr>
          <w:p w14:paraId="6381E70F" w14:textId="77777777" w:rsidR="00416091" w:rsidRPr="00E16290" w:rsidRDefault="00416091" w:rsidP="00B32E7F">
            <w:pPr>
              <w:rPr>
                <w:bCs/>
                <w:sz w:val="20"/>
                <w:szCs w:val="20"/>
              </w:rPr>
            </w:pPr>
            <w:r w:rsidRPr="00E16290">
              <w:rPr>
                <w:bCs/>
                <w:sz w:val="20"/>
                <w:szCs w:val="20"/>
              </w:rPr>
              <w:t>-иных источников</w:t>
            </w:r>
          </w:p>
        </w:tc>
        <w:tc>
          <w:tcPr>
            <w:tcW w:w="1559" w:type="dxa"/>
            <w:vAlign w:val="center"/>
          </w:tcPr>
          <w:p w14:paraId="098A1FF1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- 2 142,4</w:t>
            </w:r>
          </w:p>
        </w:tc>
        <w:tc>
          <w:tcPr>
            <w:tcW w:w="1560" w:type="dxa"/>
            <w:vAlign w:val="center"/>
          </w:tcPr>
          <w:p w14:paraId="12F80CD6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-1 137,2</w:t>
            </w:r>
          </w:p>
        </w:tc>
        <w:tc>
          <w:tcPr>
            <w:tcW w:w="1559" w:type="dxa"/>
            <w:vAlign w:val="center"/>
          </w:tcPr>
          <w:p w14:paraId="51112EA1" w14:textId="77777777" w:rsidR="00416091" w:rsidRPr="00E45D5C" w:rsidRDefault="00416091" w:rsidP="00416091">
            <w:pPr>
              <w:jc w:val="center"/>
              <w:rPr>
                <w:bCs/>
                <w:sz w:val="20"/>
                <w:szCs w:val="20"/>
              </w:rPr>
            </w:pPr>
            <w:r w:rsidRPr="00E45D5C">
              <w:rPr>
                <w:bCs/>
                <w:sz w:val="20"/>
                <w:szCs w:val="20"/>
              </w:rPr>
              <w:t>1 005,2</w:t>
            </w:r>
          </w:p>
        </w:tc>
      </w:tr>
    </w:tbl>
    <w:p w14:paraId="1DD20446" w14:textId="77777777" w:rsidR="00416091" w:rsidRPr="00B53CFB" w:rsidRDefault="00416091" w:rsidP="00416091">
      <w:pPr>
        <w:ind w:firstLine="709"/>
        <w:jc w:val="both"/>
        <w:rPr>
          <w:bCs/>
          <w:color w:val="0070C0"/>
          <w:sz w:val="16"/>
          <w:szCs w:val="16"/>
        </w:rPr>
      </w:pPr>
    </w:p>
    <w:p w14:paraId="1CFAB5FE" w14:textId="1716FA8C" w:rsidR="00416091" w:rsidRDefault="00416091" w:rsidP="00416091">
      <w:pPr>
        <w:ind w:firstLine="708"/>
        <w:jc w:val="both"/>
      </w:pPr>
      <w:r>
        <w:t xml:space="preserve">Законопроектом </w:t>
      </w:r>
      <w:r w:rsidRPr="0069086F">
        <w:t>предусм</w:t>
      </w:r>
      <w:r>
        <w:t>атривается</w:t>
      </w:r>
      <w:r w:rsidRPr="0069086F">
        <w:t xml:space="preserve"> </w:t>
      </w:r>
      <w:r>
        <w:t>уменьшение</w:t>
      </w:r>
      <w:r w:rsidRPr="0069086F">
        <w:t xml:space="preserve"> объема </w:t>
      </w:r>
      <w:r w:rsidRPr="00B52F0F">
        <w:t xml:space="preserve">источников внутреннего финансирования дефицита областного бюджета в виде заимствований за счет увеличения суммы погашения долга по кредитам кредитных организаций на </w:t>
      </w:r>
      <w:r w:rsidR="00E03911">
        <w:t>1</w:t>
      </w:r>
      <w:r w:rsidRPr="00B52F0F">
        <w:t>000 млн</w:t>
      </w:r>
      <w:r>
        <w:t>. рублей.</w:t>
      </w:r>
    </w:p>
    <w:p w14:paraId="59248C77" w14:textId="77777777" w:rsidR="00416091" w:rsidRDefault="00416091" w:rsidP="00416091">
      <w:pPr>
        <w:ind w:firstLine="709"/>
        <w:jc w:val="both"/>
      </w:pPr>
      <w:r w:rsidRPr="00CB0D78">
        <w:t xml:space="preserve">Изменения </w:t>
      </w:r>
      <w:r w:rsidRPr="005D015D">
        <w:t>программ</w:t>
      </w:r>
      <w:r>
        <w:t>ы</w:t>
      </w:r>
      <w:r w:rsidRPr="005D015D">
        <w:t xml:space="preserve"> государственных внутренних заимствований </w:t>
      </w:r>
      <w:r w:rsidRPr="00CB0D78">
        <w:t>на 2021 год приведены в следующей таблице.</w:t>
      </w:r>
      <w:r>
        <w:t xml:space="preserve">                                                                                      </w:t>
      </w:r>
    </w:p>
    <w:p w14:paraId="6A2D9E19" w14:textId="77777777" w:rsidR="00416091" w:rsidRPr="00416091" w:rsidRDefault="00416091" w:rsidP="00416091">
      <w:pPr>
        <w:ind w:firstLine="709"/>
        <w:jc w:val="right"/>
        <w:rPr>
          <w:sz w:val="20"/>
          <w:szCs w:val="20"/>
        </w:rPr>
      </w:pPr>
      <w:r w:rsidRPr="00416091">
        <w:rPr>
          <w:sz w:val="20"/>
          <w:szCs w:val="20"/>
        </w:rPr>
        <w:t>млн. руб.</w:t>
      </w:r>
    </w:p>
    <w:tbl>
      <w:tblPr>
        <w:tblW w:w="9390" w:type="dxa"/>
        <w:tblInd w:w="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12"/>
        <w:gridCol w:w="1701"/>
        <w:gridCol w:w="1397"/>
        <w:gridCol w:w="1580"/>
      </w:tblGrid>
      <w:tr w:rsidR="00416091" w:rsidRPr="00E16290" w14:paraId="779FB8CB" w14:textId="77777777" w:rsidTr="00416091">
        <w:trPr>
          <w:trHeight w:val="20"/>
          <w:tblHeader/>
        </w:trPr>
        <w:tc>
          <w:tcPr>
            <w:tcW w:w="4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317225C" w14:textId="77777777" w:rsidR="00416091" w:rsidRPr="00E16290" w:rsidRDefault="00416091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6290">
              <w:rPr>
                <w:b/>
                <w:bCs/>
                <w:color w:val="000000"/>
                <w:sz w:val="20"/>
                <w:szCs w:val="20"/>
              </w:rPr>
              <w:t>Источники финансирования дефицита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98E183C" w14:textId="77777777" w:rsidR="00416091" w:rsidRPr="00E16290" w:rsidRDefault="00416091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139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449688" w14:textId="77777777" w:rsidR="00416091" w:rsidRPr="00E16290" w:rsidRDefault="00416091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6290">
              <w:rPr>
                <w:b/>
                <w:bCs/>
                <w:color w:val="000000"/>
                <w:sz w:val="20"/>
                <w:szCs w:val="20"/>
              </w:rPr>
              <w:t xml:space="preserve">Проект </w:t>
            </w:r>
          </w:p>
        </w:tc>
        <w:tc>
          <w:tcPr>
            <w:tcW w:w="1580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14FA5FD" w14:textId="77777777" w:rsidR="00416091" w:rsidRPr="00E16290" w:rsidRDefault="00416091" w:rsidP="00B32E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16290">
              <w:rPr>
                <w:b/>
                <w:bCs/>
                <w:color w:val="000000"/>
                <w:sz w:val="20"/>
                <w:szCs w:val="20"/>
              </w:rPr>
              <w:t>Изменения</w:t>
            </w:r>
          </w:p>
        </w:tc>
      </w:tr>
      <w:tr w:rsidR="00416091" w:rsidRPr="00E16290" w14:paraId="450567B4" w14:textId="77777777" w:rsidTr="00416091">
        <w:trPr>
          <w:trHeight w:val="20"/>
        </w:trPr>
        <w:tc>
          <w:tcPr>
            <w:tcW w:w="4712" w:type="dxa"/>
            <w:tcBorders>
              <w:top w:val="double" w:sz="4" w:space="0" w:color="auto"/>
            </w:tcBorders>
            <w:shd w:val="clear" w:color="auto" w:fill="auto"/>
            <w:vAlign w:val="bottom"/>
            <w:hideMark/>
          </w:tcPr>
          <w:p w14:paraId="45813470" w14:textId="77777777" w:rsidR="00416091" w:rsidRPr="00E16290" w:rsidRDefault="00416091" w:rsidP="00B32E7F">
            <w:pPr>
              <w:rPr>
                <w:b/>
                <w:color w:val="000000"/>
                <w:sz w:val="20"/>
                <w:szCs w:val="20"/>
              </w:rPr>
            </w:pPr>
            <w:r w:rsidRPr="00E16290">
              <w:rPr>
                <w:b/>
                <w:color w:val="000000"/>
                <w:sz w:val="20"/>
                <w:szCs w:val="20"/>
              </w:rPr>
              <w:t>Государственные ценные бумаги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8C58DB9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-1 000,0</w:t>
            </w:r>
          </w:p>
        </w:tc>
        <w:tc>
          <w:tcPr>
            <w:tcW w:w="1397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1DDAAE4D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-1 000,0</w:t>
            </w:r>
          </w:p>
        </w:tc>
        <w:tc>
          <w:tcPr>
            <w:tcW w:w="1580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695D8D5F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416091" w:rsidRPr="00E16290" w14:paraId="391847B3" w14:textId="77777777" w:rsidTr="00416091">
        <w:trPr>
          <w:trHeight w:val="20"/>
        </w:trPr>
        <w:tc>
          <w:tcPr>
            <w:tcW w:w="4712" w:type="dxa"/>
            <w:shd w:val="clear" w:color="auto" w:fill="auto"/>
            <w:vAlign w:val="bottom"/>
            <w:hideMark/>
          </w:tcPr>
          <w:p w14:paraId="7B683755" w14:textId="77777777" w:rsidR="00416091" w:rsidRPr="00E16290" w:rsidRDefault="00416091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16290">
              <w:rPr>
                <w:i/>
                <w:iCs/>
                <w:color w:val="000000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1FBB00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14:paraId="2455EA69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0F0E77D8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16091" w:rsidRPr="00E16290" w14:paraId="7229077B" w14:textId="77777777" w:rsidTr="00416091">
        <w:trPr>
          <w:trHeight w:val="20"/>
        </w:trPr>
        <w:tc>
          <w:tcPr>
            <w:tcW w:w="4712" w:type="dxa"/>
            <w:shd w:val="clear" w:color="auto" w:fill="auto"/>
            <w:vAlign w:val="bottom"/>
            <w:hideMark/>
          </w:tcPr>
          <w:p w14:paraId="73837AA3" w14:textId="77777777" w:rsidR="00416091" w:rsidRPr="00E16290" w:rsidRDefault="00416091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16290">
              <w:rPr>
                <w:i/>
                <w:iCs/>
                <w:color w:val="000000"/>
                <w:sz w:val="20"/>
                <w:szCs w:val="20"/>
              </w:rPr>
              <w:t>погашение долга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604AC8A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14:paraId="4C5BDE35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580" w:type="dxa"/>
            <w:shd w:val="clear" w:color="auto" w:fill="auto"/>
            <w:noWrap/>
            <w:vAlign w:val="bottom"/>
            <w:hideMark/>
          </w:tcPr>
          <w:p w14:paraId="7B687A4E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416091" w:rsidRPr="00E16290" w14:paraId="23470E3C" w14:textId="77777777" w:rsidTr="00416091">
        <w:trPr>
          <w:trHeight w:val="20"/>
        </w:trPr>
        <w:tc>
          <w:tcPr>
            <w:tcW w:w="4712" w:type="dxa"/>
            <w:shd w:val="clear" w:color="auto" w:fill="auto"/>
            <w:vAlign w:val="bottom"/>
            <w:hideMark/>
          </w:tcPr>
          <w:p w14:paraId="2B10F158" w14:textId="77777777" w:rsidR="00416091" w:rsidRPr="00E16290" w:rsidRDefault="00416091" w:rsidP="00B32E7F">
            <w:pPr>
              <w:rPr>
                <w:b/>
                <w:color w:val="000000"/>
                <w:sz w:val="20"/>
                <w:szCs w:val="20"/>
              </w:rPr>
            </w:pPr>
            <w:r w:rsidRPr="00E16290">
              <w:rPr>
                <w:b/>
                <w:color w:val="000000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0799F4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- 4 305,0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14:paraId="72AA0F70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- 5 305,0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011F27D0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- 1 000,0</w:t>
            </w:r>
          </w:p>
        </w:tc>
      </w:tr>
      <w:tr w:rsidR="00416091" w:rsidRPr="00E16290" w14:paraId="4455F0FC" w14:textId="77777777" w:rsidTr="00416091">
        <w:trPr>
          <w:trHeight w:val="20"/>
        </w:trPr>
        <w:tc>
          <w:tcPr>
            <w:tcW w:w="4712" w:type="dxa"/>
            <w:shd w:val="clear" w:color="auto" w:fill="auto"/>
            <w:vAlign w:val="bottom"/>
            <w:hideMark/>
          </w:tcPr>
          <w:p w14:paraId="77F9EC0F" w14:textId="77777777" w:rsidR="00416091" w:rsidRPr="00E16290" w:rsidRDefault="00416091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16290">
              <w:rPr>
                <w:i/>
                <w:iCs/>
                <w:color w:val="000000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E2061B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14:paraId="7F110568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3 000,0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4B09718C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0</w:t>
            </w:r>
          </w:p>
        </w:tc>
      </w:tr>
      <w:tr w:rsidR="00416091" w:rsidRPr="00E16290" w14:paraId="3EC4ACA2" w14:textId="77777777" w:rsidTr="00416091">
        <w:trPr>
          <w:trHeight w:val="20"/>
        </w:trPr>
        <w:tc>
          <w:tcPr>
            <w:tcW w:w="4712" w:type="dxa"/>
            <w:shd w:val="clear" w:color="auto" w:fill="auto"/>
            <w:vAlign w:val="bottom"/>
            <w:hideMark/>
          </w:tcPr>
          <w:p w14:paraId="300AC751" w14:textId="77777777" w:rsidR="00416091" w:rsidRPr="00E16290" w:rsidRDefault="00416091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16290">
              <w:rPr>
                <w:i/>
                <w:iCs/>
                <w:color w:val="000000"/>
                <w:sz w:val="20"/>
                <w:szCs w:val="20"/>
              </w:rPr>
              <w:t>погашение долга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8D4B1D" w14:textId="77777777" w:rsidR="00416091" w:rsidRPr="00E45D5C" w:rsidRDefault="00416091" w:rsidP="00416091">
            <w:pPr>
              <w:jc w:val="center"/>
              <w:rPr>
                <w:sz w:val="20"/>
                <w:szCs w:val="20"/>
              </w:rPr>
            </w:pPr>
            <w:r w:rsidRPr="00E45D5C">
              <w:rPr>
                <w:sz w:val="20"/>
                <w:szCs w:val="20"/>
              </w:rPr>
              <w:t>7 305,0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14:paraId="4F876576" w14:textId="77777777" w:rsidR="00416091" w:rsidRPr="00E45D5C" w:rsidRDefault="00416091" w:rsidP="00416091">
            <w:pPr>
              <w:jc w:val="center"/>
              <w:rPr>
                <w:sz w:val="20"/>
                <w:szCs w:val="20"/>
              </w:rPr>
            </w:pPr>
            <w:r w:rsidRPr="00E45D5C">
              <w:rPr>
                <w:sz w:val="20"/>
                <w:szCs w:val="20"/>
              </w:rPr>
              <w:t>8 305,0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184C361D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1 000,0</w:t>
            </w:r>
          </w:p>
        </w:tc>
      </w:tr>
      <w:tr w:rsidR="00416091" w:rsidRPr="00E16290" w14:paraId="1D4CB3A9" w14:textId="77777777" w:rsidTr="00416091">
        <w:trPr>
          <w:trHeight w:val="20"/>
        </w:trPr>
        <w:tc>
          <w:tcPr>
            <w:tcW w:w="4712" w:type="dxa"/>
            <w:shd w:val="clear" w:color="auto" w:fill="auto"/>
            <w:vAlign w:val="bottom"/>
            <w:hideMark/>
          </w:tcPr>
          <w:p w14:paraId="1A1FA23D" w14:textId="77777777" w:rsidR="00416091" w:rsidRPr="00E16290" w:rsidRDefault="00416091" w:rsidP="00B32E7F">
            <w:pPr>
              <w:rPr>
                <w:b/>
                <w:color w:val="000000"/>
                <w:sz w:val="20"/>
                <w:szCs w:val="20"/>
              </w:rPr>
            </w:pPr>
            <w:r w:rsidRPr="00E16290">
              <w:rPr>
                <w:b/>
                <w:color w:val="000000"/>
                <w:sz w:val="20"/>
                <w:szCs w:val="20"/>
              </w:rPr>
              <w:t>Бюджетные кредиты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A9FBA67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10 128,0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14:paraId="6CBEDCC1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10 128,0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7127C20F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416091" w:rsidRPr="00E16290" w14:paraId="52E86777" w14:textId="77777777" w:rsidTr="00416091">
        <w:trPr>
          <w:trHeight w:val="20"/>
        </w:trPr>
        <w:tc>
          <w:tcPr>
            <w:tcW w:w="4712" w:type="dxa"/>
            <w:shd w:val="clear" w:color="auto" w:fill="auto"/>
            <w:vAlign w:val="bottom"/>
            <w:hideMark/>
          </w:tcPr>
          <w:p w14:paraId="229517C3" w14:textId="77777777" w:rsidR="00416091" w:rsidRPr="00E16290" w:rsidRDefault="00416091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16290">
              <w:rPr>
                <w:i/>
                <w:iCs/>
                <w:color w:val="000000"/>
                <w:sz w:val="20"/>
                <w:szCs w:val="20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BD649D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16 447,4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14:paraId="18C9AD89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16 447,4</w:t>
            </w:r>
          </w:p>
        </w:tc>
        <w:tc>
          <w:tcPr>
            <w:tcW w:w="1580" w:type="dxa"/>
            <w:shd w:val="clear" w:color="auto" w:fill="auto"/>
            <w:noWrap/>
            <w:vAlign w:val="bottom"/>
          </w:tcPr>
          <w:p w14:paraId="0C1313B9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0</w:t>
            </w:r>
          </w:p>
        </w:tc>
      </w:tr>
      <w:tr w:rsidR="00416091" w:rsidRPr="00E16290" w14:paraId="354CF151" w14:textId="77777777" w:rsidTr="00416091">
        <w:trPr>
          <w:trHeight w:val="20"/>
        </w:trPr>
        <w:tc>
          <w:tcPr>
            <w:tcW w:w="4712" w:type="dxa"/>
            <w:tcBorders>
              <w:bottom w:val="single" w:sz="6" w:space="0" w:color="auto"/>
            </w:tcBorders>
            <w:shd w:val="clear" w:color="auto" w:fill="auto"/>
            <w:vAlign w:val="bottom"/>
            <w:hideMark/>
          </w:tcPr>
          <w:p w14:paraId="38D6101B" w14:textId="77777777" w:rsidR="00416091" w:rsidRPr="00E16290" w:rsidRDefault="00416091" w:rsidP="00B32E7F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16290">
              <w:rPr>
                <w:i/>
                <w:iCs/>
                <w:color w:val="000000"/>
                <w:sz w:val="20"/>
                <w:szCs w:val="20"/>
              </w:rPr>
              <w:t>погашение долга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734A76A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6 319,4</w:t>
            </w:r>
          </w:p>
        </w:tc>
        <w:tc>
          <w:tcPr>
            <w:tcW w:w="1397" w:type="dxa"/>
            <w:tcBorders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0A074B8D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6 319,4</w:t>
            </w:r>
          </w:p>
        </w:tc>
        <w:tc>
          <w:tcPr>
            <w:tcW w:w="1580" w:type="dxa"/>
            <w:tcBorders>
              <w:bottom w:val="single" w:sz="6" w:space="0" w:color="auto"/>
            </w:tcBorders>
            <w:shd w:val="clear" w:color="auto" w:fill="auto"/>
            <w:noWrap/>
            <w:vAlign w:val="bottom"/>
          </w:tcPr>
          <w:p w14:paraId="54EA22FC" w14:textId="77777777" w:rsidR="00416091" w:rsidRPr="00E45D5C" w:rsidRDefault="00416091" w:rsidP="00416091">
            <w:pPr>
              <w:jc w:val="center"/>
              <w:rPr>
                <w:color w:val="000000"/>
                <w:sz w:val="20"/>
                <w:szCs w:val="20"/>
              </w:rPr>
            </w:pPr>
            <w:r w:rsidRPr="00E45D5C">
              <w:rPr>
                <w:color w:val="000000"/>
                <w:sz w:val="20"/>
                <w:szCs w:val="20"/>
              </w:rPr>
              <w:t>0</w:t>
            </w:r>
          </w:p>
        </w:tc>
      </w:tr>
      <w:tr w:rsidR="00416091" w:rsidRPr="004344EB" w14:paraId="1B38843D" w14:textId="77777777" w:rsidTr="00416091">
        <w:trPr>
          <w:trHeight w:val="20"/>
        </w:trPr>
        <w:tc>
          <w:tcPr>
            <w:tcW w:w="4712" w:type="dxa"/>
            <w:tcBorders>
              <w:top w:val="single" w:sz="6" w:space="0" w:color="auto"/>
              <w:bottom w:val="double" w:sz="4" w:space="0" w:color="auto"/>
            </w:tcBorders>
            <w:shd w:val="clear" w:color="auto" w:fill="E2EFD9" w:themeFill="accent6" w:themeFillTint="33"/>
            <w:vAlign w:val="bottom"/>
          </w:tcPr>
          <w:p w14:paraId="63D28D1C" w14:textId="77777777" w:rsidR="00416091" w:rsidRPr="001C1349" w:rsidRDefault="00416091" w:rsidP="00B32E7F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1C1349">
              <w:rPr>
                <w:b/>
                <w:iCs/>
                <w:color w:val="000000"/>
                <w:sz w:val="20"/>
                <w:szCs w:val="20"/>
              </w:rPr>
              <w:t>Итого заимствований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1F7C5F77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4 823,0</w:t>
            </w:r>
          </w:p>
        </w:tc>
        <w:tc>
          <w:tcPr>
            <w:tcW w:w="1397" w:type="dxa"/>
            <w:tcBorders>
              <w:top w:val="single" w:sz="6" w:space="0" w:color="auto"/>
              <w:bottom w:val="doub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0167081D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3 823,0</w:t>
            </w:r>
          </w:p>
        </w:tc>
        <w:tc>
          <w:tcPr>
            <w:tcW w:w="1580" w:type="dxa"/>
            <w:tcBorders>
              <w:top w:val="single" w:sz="6" w:space="0" w:color="auto"/>
              <w:bottom w:val="doub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8AEF6A2" w14:textId="77777777" w:rsidR="00416091" w:rsidRPr="00E45D5C" w:rsidRDefault="00416091" w:rsidP="0041609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45D5C">
              <w:rPr>
                <w:b/>
                <w:bCs/>
                <w:sz w:val="20"/>
                <w:szCs w:val="20"/>
              </w:rPr>
              <w:t>- 1 000,0</w:t>
            </w:r>
          </w:p>
        </w:tc>
      </w:tr>
    </w:tbl>
    <w:p w14:paraId="6235DFDD" w14:textId="77777777" w:rsidR="00416091" w:rsidRPr="00B648C1" w:rsidRDefault="00416091" w:rsidP="00416091">
      <w:pPr>
        <w:ind w:firstLine="708"/>
        <w:jc w:val="both"/>
        <w:rPr>
          <w:iCs/>
          <w:sz w:val="16"/>
          <w:szCs w:val="16"/>
        </w:rPr>
      </w:pPr>
    </w:p>
    <w:p w14:paraId="47DA1AF8" w14:textId="67969B3B" w:rsidR="00416091" w:rsidRPr="00B52F0F" w:rsidRDefault="00416091" w:rsidP="00416091">
      <w:pPr>
        <w:ind w:firstLine="708"/>
        <w:jc w:val="both"/>
      </w:pPr>
      <w:r w:rsidRPr="00B52F0F">
        <w:lastRenderedPageBreak/>
        <w:t>Уменьшение объема заимствований предлагается в основном за счет увеличения объема иных источников внутреннего финансирования бюджета на 1005,2 млн. рублей.</w:t>
      </w:r>
    </w:p>
    <w:p w14:paraId="15497556" w14:textId="5123B461" w:rsidR="00416091" w:rsidRDefault="00416091" w:rsidP="00416091">
      <w:pPr>
        <w:ind w:firstLine="709"/>
        <w:jc w:val="both"/>
      </w:pPr>
      <w:r w:rsidRPr="00B52F0F">
        <w:t xml:space="preserve">Детализация объема иных источников финансирования дефицита в документах и </w:t>
      </w:r>
      <w:r>
        <w:t xml:space="preserve">материалах, представляемых одновременно с </w:t>
      </w:r>
      <w:r w:rsidR="00E03911">
        <w:t>з</w:t>
      </w:r>
      <w:r>
        <w:t xml:space="preserve">аконопроектом, не представлена, расчет указанного объема средств отсутствует. </w:t>
      </w:r>
      <w:r w:rsidRPr="00BF5FA5">
        <w:t xml:space="preserve">В ходе экспертизы </w:t>
      </w:r>
      <w:r w:rsidR="00E03911">
        <w:t>з</w:t>
      </w:r>
      <w:r w:rsidRPr="00BF5FA5">
        <w:t>аконопроекта установлен</w:t>
      </w:r>
      <w:r>
        <w:t xml:space="preserve"> состав иных источников, сводная информация о которых представлена в таблице.</w:t>
      </w:r>
    </w:p>
    <w:p w14:paraId="3E272488" w14:textId="77777777" w:rsidR="00416091" w:rsidRPr="00416091" w:rsidRDefault="00416091" w:rsidP="00416091">
      <w:pPr>
        <w:ind w:firstLine="709"/>
        <w:jc w:val="right"/>
        <w:rPr>
          <w:sz w:val="20"/>
          <w:szCs w:val="20"/>
        </w:rPr>
      </w:pPr>
      <w:r w:rsidRPr="00416091">
        <w:rPr>
          <w:sz w:val="20"/>
          <w:szCs w:val="20"/>
        </w:rPr>
        <w:t>млн. руб.</w:t>
      </w:r>
    </w:p>
    <w:tbl>
      <w:tblPr>
        <w:tblStyle w:val="ab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9"/>
        <w:gridCol w:w="1276"/>
        <w:gridCol w:w="1134"/>
        <w:gridCol w:w="1134"/>
      </w:tblGrid>
      <w:tr w:rsidR="00C30262" w:rsidRPr="00E16290" w14:paraId="18A77D64" w14:textId="77777777" w:rsidTr="000341C1">
        <w:tc>
          <w:tcPr>
            <w:tcW w:w="5939" w:type="dxa"/>
            <w:tcBorders>
              <w:top w:val="double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7EB14966" w14:textId="77777777" w:rsidR="00416091" w:rsidRDefault="00416091" w:rsidP="00B32E7F">
            <w:pPr>
              <w:jc w:val="center"/>
              <w:rPr>
                <w:b/>
                <w:bCs/>
                <w:szCs w:val="20"/>
              </w:rPr>
            </w:pPr>
            <w:r w:rsidRPr="00E16290">
              <w:rPr>
                <w:b/>
                <w:bCs/>
                <w:szCs w:val="20"/>
              </w:rPr>
              <w:t xml:space="preserve">Состав иных источников </w:t>
            </w:r>
          </w:p>
          <w:p w14:paraId="7259BFA5" w14:textId="77777777" w:rsidR="00416091" w:rsidRPr="00E16290" w:rsidRDefault="00416091" w:rsidP="00B32E7F">
            <w:pPr>
              <w:jc w:val="center"/>
              <w:rPr>
                <w:b/>
                <w:bCs/>
                <w:szCs w:val="20"/>
              </w:rPr>
            </w:pPr>
            <w:r w:rsidRPr="00E16290">
              <w:rPr>
                <w:b/>
                <w:bCs/>
                <w:szCs w:val="20"/>
              </w:rPr>
              <w:t>внутреннего финансирования дефицита</w:t>
            </w:r>
          </w:p>
        </w:tc>
        <w:tc>
          <w:tcPr>
            <w:tcW w:w="1276" w:type="dxa"/>
            <w:tcBorders>
              <w:top w:val="double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781A04DD" w14:textId="77777777" w:rsidR="00416091" w:rsidRPr="00E16290" w:rsidRDefault="00416091" w:rsidP="00B32E7F">
            <w:pPr>
              <w:ind w:left="-57" w:right="-57"/>
              <w:jc w:val="center"/>
              <w:rPr>
                <w:b/>
                <w:bCs/>
                <w:szCs w:val="20"/>
              </w:rPr>
            </w:pPr>
            <w:r w:rsidRPr="00E16290">
              <w:rPr>
                <w:b/>
                <w:bCs/>
                <w:szCs w:val="20"/>
              </w:rPr>
              <w:t>Утверждено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19399018" w14:textId="77777777" w:rsidR="00416091" w:rsidRPr="00E16290" w:rsidRDefault="00416091" w:rsidP="00B32E7F">
            <w:pPr>
              <w:jc w:val="center"/>
              <w:rPr>
                <w:b/>
                <w:bCs/>
                <w:szCs w:val="20"/>
              </w:rPr>
            </w:pPr>
            <w:r w:rsidRPr="00E16290">
              <w:rPr>
                <w:b/>
                <w:bCs/>
                <w:szCs w:val="20"/>
              </w:rPr>
              <w:t>Проект</w:t>
            </w:r>
          </w:p>
        </w:tc>
        <w:tc>
          <w:tcPr>
            <w:tcW w:w="1134" w:type="dxa"/>
            <w:tcBorders>
              <w:top w:val="double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14:paraId="50599B4B" w14:textId="5B86D745" w:rsidR="00416091" w:rsidRPr="00E16290" w:rsidRDefault="00416091" w:rsidP="00AF03EB">
            <w:pPr>
              <w:ind w:left="-57" w:right="-57"/>
              <w:jc w:val="center"/>
              <w:rPr>
                <w:b/>
                <w:bCs/>
                <w:szCs w:val="20"/>
              </w:rPr>
            </w:pPr>
            <w:r w:rsidRPr="00E16290">
              <w:rPr>
                <w:b/>
                <w:bCs/>
                <w:szCs w:val="20"/>
              </w:rPr>
              <w:t>Измене</w:t>
            </w:r>
            <w:r w:rsidR="00C30262">
              <w:rPr>
                <w:b/>
                <w:bCs/>
                <w:szCs w:val="20"/>
              </w:rPr>
              <w:t>н</w:t>
            </w:r>
            <w:r w:rsidRPr="00E16290">
              <w:rPr>
                <w:b/>
                <w:bCs/>
                <w:szCs w:val="20"/>
              </w:rPr>
              <w:t>ия</w:t>
            </w:r>
          </w:p>
        </w:tc>
      </w:tr>
      <w:tr w:rsidR="00AF03EB" w:rsidRPr="00E16290" w14:paraId="0C7CE747" w14:textId="77777777" w:rsidTr="000341C1">
        <w:tc>
          <w:tcPr>
            <w:tcW w:w="5939" w:type="dxa"/>
            <w:tcBorders>
              <w:top w:val="dotted" w:sz="4" w:space="0" w:color="auto"/>
            </w:tcBorders>
          </w:tcPr>
          <w:p w14:paraId="6C822371" w14:textId="77777777" w:rsidR="00416091" w:rsidRPr="00E16290" w:rsidRDefault="00416091" w:rsidP="00B32E7F">
            <w:pPr>
              <w:rPr>
                <w:szCs w:val="20"/>
              </w:rPr>
            </w:pPr>
            <w:r w:rsidRPr="00E16290">
              <w:rPr>
                <w:szCs w:val="20"/>
              </w:rPr>
              <w:t>Привлечение на единый счет бюджета остатков средств бюджетных и автономных учреждений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14:paraId="57969624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4 000,0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470AD917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5 000,0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14:paraId="0637246C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1 000,0</w:t>
            </w:r>
          </w:p>
        </w:tc>
      </w:tr>
      <w:tr w:rsidR="00AF03EB" w:rsidRPr="00E16290" w14:paraId="55A42CD8" w14:textId="77777777" w:rsidTr="000341C1">
        <w:tc>
          <w:tcPr>
            <w:tcW w:w="5939" w:type="dxa"/>
          </w:tcPr>
          <w:p w14:paraId="2EC1506E" w14:textId="77777777" w:rsidR="00416091" w:rsidRPr="00E16290" w:rsidRDefault="00416091" w:rsidP="00B32E7F">
            <w:pPr>
              <w:rPr>
                <w:szCs w:val="20"/>
              </w:rPr>
            </w:pPr>
            <w:r w:rsidRPr="00E16290">
              <w:rPr>
                <w:szCs w:val="20"/>
              </w:rPr>
              <w:t>Бюджетные кредиты, предоставленные муниципальным образованиям</w:t>
            </w:r>
            <w:r>
              <w:rPr>
                <w:szCs w:val="20"/>
              </w:rPr>
              <w:t xml:space="preserve"> на погашение муниципального долга</w:t>
            </w:r>
          </w:p>
        </w:tc>
        <w:tc>
          <w:tcPr>
            <w:tcW w:w="1276" w:type="dxa"/>
            <w:vAlign w:val="center"/>
          </w:tcPr>
          <w:p w14:paraId="49376A4C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-6 142,4</w:t>
            </w:r>
          </w:p>
        </w:tc>
        <w:tc>
          <w:tcPr>
            <w:tcW w:w="1134" w:type="dxa"/>
            <w:vAlign w:val="center"/>
          </w:tcPr>
          <w:p w14:paraId="6DF5B362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-6 142,4</w:t>
            </w:r>
          </w:p>
        </w:tc>
        <w:tc>
          <w:tcPr>
            <w:tcW w:w="1134" w:type="dxa"/>
            <w:vAlign w:val="center"/>
          </w:tcPr>
          <w:p w14:paraId="05EFA546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0,0</w:t>
            </w:r>
          </w:p>
        </w:tc>
      </w:tr>
      <w:tr w:rsidR="00AF03EB" w:rsidRPr="00E16290" w14:paraId="6D3DA0F1" w14:textId="77777777" w:rsidTr="000341C1">
        <w:tc>
          <w:tcPr>
            <w:tcW w:w="5939" w:type="dxa"/>
          </w:tcPr>
          <w:p w14:paraId="16594013" w14:textId="77777777" w:rsidR="00416091" w:rsidRPr="00E16290" w:rsidRDefault="00416091" w:rsidP="00B32E7F">
            <w:pPr>
              <w:rPr>
                <w:szCs w:val="20"/>
              </w:rPr>
            </w:pPr>
            <w:r w:rsidRPr="00E16290">
              <w:rPr>
                <w:szCs w:val="20"/>
              </w:rPr>
              <w:t xml:space="preserve">Средства от продажи акций </w:t>
            </w:r>
            <w:bookmarkStart w:id="7" w:name="_Hlk88666407"/>
            <w:r w:rsidRPr="00E16290">
              <w:rPr>
                <w:szCs w:val="20"/>
              </w:rPr>
              <w:t>АО «Сельхозхимия «Волжская»</w:t>
            </w:r>
            <w:bookmarkEnd w:id="7"/>
          </w:p>
        </w:tc>
        <w:tc>
          <w:tcPr>
            <w:tcW w:w="1276" w:type="dxa"/>
            <w:vAlign w:val="center"/>
          </w:tcPr>
          <w:p w14:paraId="78FBD810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14:paraId="709CE2BC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5,2</w:t>
            </w:r>
          </w:p>
        </w:tc>
        <w:tc>
          <w:tcPr>
            <w:tcW w:w="1134" w:type="dxa"/>
            <w:vAlign w:val="center"/>
          </w:tcPr>
          <w:p w14:paraId="4DB32920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5,2</w:t>
            </w:r>
          </w:p>
        </w:tc>
      </w:tr>
      <w:tr w:rsidR="00AF03EB" w:rsidRPr="00E16290" w14:paraId="519BFB66" w14:textId="77777777" w:rsidTr="000341C1">
        <w:tc>
          <w:tcPr>
            <w:tcW w:w="5939" w:type="dxa"/>
            <w:tcBorders>
              <w:bottom w:val="dotted" w:sz="4" w:space="0" w:color="auto"/>
            </w:tcBorders>
          </w:tcPr>
          <w:p w14:paraId="7054221A" w14:textId="77777777" w:rsidR="00416091" w:rsidRPr="00E16290" w:rsidRDefault="00416091" w:rsidP="00B32E7F">
            <w:pPr>
              <w:rPr>
                <w:szCs w:val="20"/>
              </w:rPr>
            </w:pPr>
            <w:r w:rsidRPr="00E16290">
              <w:rPr>
                <w:szCs w:val="20"/>
              </w:rPr>
              <w:t>Возврат бюджетных средств, предоставленных юридическим лицам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66AD36A7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1E16A493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0,025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14:paraId="65B45133" w14:textId="77777777" w:rsidR="00416091" w:rsidRPr="00E45D5C" w:rsidRDefault="00416091" w:rsidP="00416091">
            <w:pPr>
              <w:jc w:val="center"/>
              <w:rPr>
                <w:sz w:val="18"/>
                <w:szCs w:val="18"/>
              </w:rPr>
            </w:pPr>
            <w:r w:rsidRPr="00E45D5C">
              <w:rPr>
                <w:sz w:val="18"/>
                <w:szCs w:val="18"/>
              </w:rPr>
              <w:t>0,025</w:t>
            </w:r>
          </w:p>
        </w:tc>
      </w:tr>
      <w:tr w:rsidR="00C30262" w:rsidRPr="00E16290" w14:paraId="48EDD102" w14:textId="77777777" w:rsidTr="000341C1">
        <w:tc>
          <w:tcPr>
            <w:tcW w:w="5939" w:type="dxa"/>
            <w:tcBorders>
              <w:top w:val="dotted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68086B24" w14:textId="77777777" w:rsidR="00416091" w:rsidRPr="00E16290" w:rsidRDefault="00416091" w:rsidP="00B32E7F">
            <w:pPr>
              <w:rPr>
                <w:b/>
                <w:szCs w:val="20"/>
              </w:rPr>
            </w:pPr>
            <w:r w:rsidRPr="00E16290">
              <w:rPr>
                <w:b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6034448" w14:textId="77777777" w:rsidR="00416091" w:rsidRPr="00E16290" w:rsidRDefault="00416091" w:rsidP="00416091">
            <w:pPr>
              <w:jc w:val="center"/>
              <w:rPr>
                <w:b/>
                <w:szCs w:val="20"/>
              </w:rPr>
            </w:pPr>
            <w:r w:rsidRPr="00E16290">
              <w:rPr>
                <w:b/>
                <w:szCs w:val="20"/>
              </w:rPr>
              <w:t>- 2</w:t>
            </w:r>
            <w:r>
              <w:rPr>
                <w:b/>
                <w:szCs w:val="20"/>
              </w:rPr>
              <w:t> </w:t>
            </w:r>
            <w:r w:rsidRPr="00E16290">
              <w:rPr>
                <w:b/>
                <w:szCs w:val="20"/>
              </w:rPr>
              <w:t>142</w:t>
            </w:r>
            <w:r>
              <w:rPr>
                <w:b/>
                <w:szCs w:val="20"/>
              </w:rPr>
              <w:t>,4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65F4FD3" w14:textId="77777777" w:rsidR="00416091" w:rsidRPr="00E16290" w:rsidRDefault="00416091" w:rsidP="00416091">
            <w:pPr>
              <w:jc w:val="center"/>
              <w:rPr>
                <w:b/>
                <w:szCs w:val="20"/>
              </w:rPr>
            </w:pPr>
            <w:r w:rsidRPr="00E16290">
              <w:rPr>
                <w:b/>
                <w:szCs w:val="20"/>
              </w:rPr>
              <w:t>- 1</w:t>
            </w:r>
            <w:r>
              <w:rPr>
                <w:b/>
                <w:szCs w:val="20"/>
              </w:rPr>
              <w:t> </w:t>
            </w:r>
            <w:r w:rsidRPr="00E16290">
              <w:rPr>
                <w:b/>
                <w:szCs w:val="20"/>
              </w:rPr>
              <w:t>137</w:t>
            </w:r>
            <w:r>
              <w:rPr>
                <w:b/>
                <w:szCs w:val="20"/>
              </w:rPr>
              <w:t>,2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1865167" w14:textId="77777777" w:rsidR="00416091" w:rsidRPr="00E16290" w:rsidRDefault="00416091" w:rsidP="00416091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1 005,2</w:t>
            </w:r>
          </w:p>
        </w:tc>
      </w:tr>
    </w:tbl>
    <w:p w14:paraId="6678057A" w14:textId="77777777" w:rsidR="00416091" w:rsidRPr="00A65D94" w:rsidRDefault="00416091" w:rsidP="00416091">
      <w:pPr>
        <w:ind w:firstLine="709"/>
        <w:jc w:val="both"/>
        <w:rPr>
          <w:sz w:val="16"/>
          <w:szCs w:val="16"/>
        </w:rPr>
      </w:pPr>
    </w:p>
    <w:p w14:paraId="25770BAA" w14:textId="76EDCFAD" w:rsidR="00416091" w:rsidRPr="00E05A2C" w:rsidRDefault="00416091" w:rsidP="00416091">
      <w:pPr>
        <w:ind w:firstLine="709"/>
        <w:jc w:val="both"/>
      </w:pPr>
      <w:r>
        <w:t>Кроме приведения к фактическому исполнению показателей по объему средств, полученных от продажи акций</w:t>
      </w:r>
      <w:r w:rsidRPr="007239F5">
        <w:t xml:space="preserve"> АО «Сельхозхимия «Волжская» </w:t>
      </w:r>
      <w:r>
        <w:t xml:space="preserve">и от возврата </w:t>
      </w:r>
      <w:r w:rsidRPr="007239F5">
        <w:t>бюджетных средств</w:t>
      </w:r>
      <w:r>
        <w:t xml:space="preserve">, </w:t>
      </w:r>
      <w:r w:rsidR="00E03911">
        <w:t>з</w:t>
      </w:r>
      <w:r w:rsidRPr="00F43D83">
        <w:t xml:space="preserve">аконопроектом предусматривается увеличение иных источников внутреннего финансирования дефицита областного бюджета за счет </w:t>
      </w:r>
      <w:r>
        <w:t xml:space="preserve">увеличения </w:t>
      </w:r>
      <w:r w:rsidRPr="00F43D83">
        <w:t>привлечени</w:t>
      </w:r>
      <w:r>
        <w:t>я</w:t>
      </w:r>
      <w:r w:rsidRPr="00F43D83">
        <w:t xml:space="preserve"> на единый счет бюджета </w:t>
      </w:r>
      <w:r w:rsidRPr="00E05A2C">
        <w:t xml:space="preserve">остатков средств бюджетных и автономных учреждений </w:t>
      </w:r>
      <w:r>
        <w:t>с 4000 млн. руб. до</w:t>
      </w:r>
      <w:r w:rsidRPr="00E05A2C">
        <w:t xml:space="preserve"> 5000 млн. рублей.</w:t>
      </w:r>
    </w:p>
    <w:p w14:paraId="6479325B" w14:textId="188DC446" w:rsidR="0067569B" w:rsidRDefault="0067569B" w:rsidP="00CD3F9D">
      <w:pPr>
        <w:jc w:val="center"/>
        <w:rPr>
          <w:b/>
          <w:i/>
          <w:u w:val="single"/>
        </w:rPr>
      </w:pPr>
    </w:p>
    <w:p w14:paraId="3723EA3A" w14:textId="77777777" w:rsidR="00E45D5C" w:rsidRDefault="00E45D5C" w:rsidP="004A3880">
      <w:pPr>
        <w:ind w:firstLine="708"/>
        <w:jc w:val="center"/>
        <w:rPr>
          <w:b/>
          <w:i/>
        </w:rPr>
      </w:pPr>
    </w:p>
    <w:p w14:paraId="31F703FA" w14:textId="45B7CC42" w:rsidR="004A3880" w:rsidRDefault="004A3880" w:rsidP="004A3880">
      <w:pPr>
        <w:ind w:firstLine="708"/>
        <w:jc w:val="center"/>
        <w:rPr>
          <w:b/>
          <w:i/>
        </w:rPr>
      </w:pPr>
      <w:r w:rsidRPr="00396A0D">
        <w:rPr>
          <w:b/>
          <w:i/>
        </w:rPr>
        <w:t>ВЫВОДЫ:</w:t>
      </w:r>
    </w:p>
    <w:p w14:paraId="6C6057EC" w14:textId="77777777" w:rsidR="004A3880" w:rsidRDefault="004A3880" w:rsidP="004A3880">
      <w:pPr>
        <w:ind w:firstLine="708"/>
        <w:jc w:val="center"/>
        <w:rPr>
          <w:b/>
          <w:i/>
        </w:rPr>
      </w:pPr>
    </w:p>
    <w:p w14:paraId="43B7C6AB" w14:textId="4E370546" w:rsidR="00660A03" w:rsidRDefault="00513196" w:rsidP="0099236B">
      <w:pPr>
        <w:tabs>
          <w:tab w:val="num" w:pos="0"/>
        </w:tabs>
        <w:ind w:firstLine="708"/>
        <w:jc w:val="both"/>
        <w:outlineLvl w:val="0"/>
      </w:pPr>
      <w:r w:rsidRPr="0099236B">
        <w:rPr>
          <w:b/>
          <w:bCs/>
        </w:rPr>
        <w:t>1</w:t>
      </w:r>
      <w:r>
        <w:t xml:space="preserve">. </w:t>
      </w:r>
      <w:r w:rsidR="00660A03">
        <w:t xml:space="preserve">Законопроектом предлагается увеличить доходы областного бюджета на 2021 год на </w:t>
      </w:r>
      <w:r w:rsidR="00D91526">
        <w:t>4436,3 млн. руб., в том числе налоговые и неналоговые доходы – на 3362,6 млн. руб., безвозмездные поступления – на 1073,7 млн. рублей.</w:t>
      </w:r>
    </w:p>
    <w:p w14:paraId="7D5E7CBD" w14:textId="5356E777" w:rsidR="0099236B" w:rsidRPr="001112E0" w:rsidRDefault="00D91526" w:rsidP="0099236B">
      <w:pPr>
        <w:tabs>
          <w:tab w:val="num" w:pos="0"/>
        </w:tabs>
        <w:ind w:firstLine="708"/>
        <w:jc w:val="both"/>
        <w:outlineLvl w:val="0"/>
      </w:pPr>
      <w:r>
        <w:t>Вместе с тем а</w:t>
      </w:r>
      <w:r w:rsidR="0099236B" w:rsidRPr="001112E0">
        <w:t xml:space="preserve">нализ представленных с </w:t>
      </w:r>
      <w:r w:rsidR="0099236B">
        <w:t>з</w:t>
      </w:r>
      <w:r w:rsidR="0099236B" w:rsidRPr="001112E0">
        <w:t xml:space="preserve">аконопроектом материалов свидетельствует о наличии рисков недопоступления </w:t>
      </w:r>
      <w:r w:rsidR="0099236B">
        <w:t xml:space="preserve">в текущем году </w:t>
      </w:r>
      <w:r w:rsidR="0099236B" w:rsidRPr="001112E0">
        <w:t>в областной бюджет налог</w:t>
      </w:r>
      <w:r>
        <w:t>а</w:t>
      </w:r>
      <w:r w:rsidR="0099236B" w:rsidRPr="001112E0">
        <w:t xml:space="preserve"> на прибыль организаций </w:t>
      </w:r>
      <w:r w:rsidR="0099236B">
        <w:t xml:space="preserve">порядка </w:t>
      </w:r>
      <w:r>
        <w:t>1</w:t>
      </w:r>
      <w:r w:rsidR="0099236B">
        <w:t xml:space="preserve">000 млн. руб. </w:t>
      </w:r>
      <w:r w:rsidR="0099236B" w:rsidRPr="001112E0">
        <w:t>и акцизов на пиво</w:t>
      </w:r>
      <w:r w:rsidR="0099236B">
        <w:t xml:space="preserve"> порядка 222 млн. рублей.</w:t>
      </w:r>
    </w:p>
    <w:p w14:paraId="2CBEB0E4" w14:textId="77777777" w:rsidR="009274E3" w:rsidRDefault="009274E3" w:rsidP="00513196">
      <w:pPr>
        <w:pStyle w:val="af2"/>
        <w:ind w:left="0" w:firstLine="709"/>
        <w:jc w:val="both"/>
      </w:pPr>
    </w:p>
    <w:p w14:paraId="27DF75BD" w14:textId="543CAA73" w:rsidR="000733F0" w:rsidRDefault="009274E3" w:rsidP="000733F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274E3">
        <w:rPr>
          <w:b/>
          <w:bCs/>
        </w:rPr>
        <w:t>2.</w:t>
      </w:r>
      <w:r>
        <w:t xml:space="preserve"> </w:t>
      </w:r>
      <w:r w:rsidR="000733F0">
        <w:t>Законопроектом второй раз в течение 2021 года увеличиваются ассигнования дорожного фонда Волгоградской области</w:t>
      </w:r>
      <w:r w:rsidR="006159AF">
        <w:t xml:space="preserve"> за счет средств областного бюджета (+</w:t>
      </w:r>
      <w:r w:rsidR="000733F0">
        <w:t>1257,4 млн. руб.</w:t>
      </w:r>
      <w:r w:rsidR="006159AF">
        <w:t>), что является</w:t>
      </w:r>
      <w:r w:rsidR="000733F0" w:rsidRPr="007F7608">
        <w:t xml:space="preserve"> </w:t>
      </w:r>
      <w:r w:rsidR="006159AF">
        <w:t xml:space="preserve">частичным </w:t>
      </w:r>
      <w:r w:rsidR="000733F0">
        <w:t>устранением нарушения</w:t>
      </w:r>
      <w:r w:rsidR="000733F0" w:rsidRPr="00AA561A">
        <w:rPr>
          <w:rFonts w:eastAsiaTheme="minorEastAsia"/>
        </w:rPr>
        <w:t xml:space="preserve"> </w:t>
      </w:r>
      <w:r w:rsidR="000733F0" w:rsidRPr="00253704">
        <w:rPr>
          <w:rFonts w:eastAsiaTheme="minorEastAsia"/>
        </w:rPr>
        <w:t>п</w:t>
      </w:r>
      <w:r w:rsidR="000733F0">
        <w:rPr>
          <w:rFonts w:eastAsiaTheme="minorEastAsia"/>
        </w:rPr>
        <w:t>ункта</w:t>
      </w:r>
      <w:r w:rsidR="000733F0" w:rsidRPr="00253704">
        <w:rPr>
          <w:rFonts w:eastAsiaTheme="minorEastAsia"/>
        </w:rPr>
        <w:t xml:space="preserve"> 4 ст</w:t>
      </w:r>
      <w:r w:rsidR="000733F0">
        <w:rPr>
          <w:rFonts w:eastAsiaTheme="minorEastAsia"/>
        </w:rPr>
        <w:t>атьи</w:t>
      </w:r>
      <w:r w:rsidR="000733F0" w:rsidRPr="00253704">
        <w:rPr>
          <w:rFonts w:eastAsiaTheme="minorEastAsia"/>
        </w:rPr>
        <w:t xml:space="preserve"> 179.4 БК РФ</w:t>
      </w:r>
      <w:r w:rsidR="000733F0" w:rsidRPr="00F629A3">
        <w:t xml:space="preserve"> </w:t>
      </w:r>
      <w:r w:rsidR="000733F0">
        <w:t xml:space="preserve">и </w:t>
      </w:r>
      <w:r w:rsidR="000733F0" w:rsidRPr="00E34626">
        <w:t>п</w:t>
      </w:r>
      <w:r w:rsidR="000733F0">
        <w:t>ункта</w:t>
      </w:r>
      <w:r w:rsidR="000733F0" w:rsidRPr="00E34626">
        <w:t xml:space="preserve"> 4 ст</w:t>
      </w:r>
      <w:r w:rsidR="000733F0">
        <w:t>атьи</w:t>
      </w:r>
      <w:r w:rsidR="000733F0" w:rsidRPr="00E34626">
        <w:t xml:space="preserve"> 1 </w:t>
      </w:r>
      <w:r w:rsidR="000733F0">
        <w:t>Закона Волгоградской области от 07.11.2011 №2246-ОД «О дорожном фонде Волгоградской области»</w:t>
      </w:r>
      <w:r w:rsidR="000733F0">
        <w:rPr>
          <w:rFonts w:eastAsiaTheme="minorEastAsia"/>
        </w:rPr>
        <w:t>, допущенного при формировании и утверждении закона об областном бюджете на 2021 год</w:t>
      </w:r>
      <w:r w:rsidR="00AB0CCA">
        <w:rPr>
          <w:rFonts w:eastAsiaTheme="minorEastAsia"/>
        </w:rPr>
        <w:t>,</w:t>
      </w:r>
      <w:r w:rsidR="006159AF">
        <w:rPr>
          <w:rFonts w:eastAsiaTheme="minorEastAsia"/>
        </w:rPr>
        <w:t xml:space="preserve"> </w:t>
      </w:r>
      <w:r w:rsidR="000733F0">
        <w:rPr>
          <w:rFonts w:eastAsiaTheme="minorHAnsi"/>
          <w:lang w:eastAsia="en-US"/>
        </w:rPr>
        <w:t xml:space="preserve">и </w:t>
      </w:r>
      <w:r w:rsidR="006159AF">
        <w:rPr>
          <w:rFonts w:eastAsiaTheme="minorHAnsi"/>
          <w:lang w:eastAsia="en-US"/>
        </w:rPr>
        <w:t xml:space="preserve">сокращает </w:t>
      </w:r>
      <w:r w:rsidR="000733F0">
        <w:rPr>
          <w:rFonts w:eastAsiaTheme="minorHAnsi"/>
          <w:lang w:eastAsia="en-US"/>
        </w:rPr>
        <w:t>разрыв между объемом ассигнований дорожного фонда и прогнозируемым объемом установленных законом доходов.</w:t>
      </w:r>
    </w:p>
    <w:p w14:paraId="3663E089" w14:textId="30A9AAAF" w:rsidR="003068E3" w:rsidRDefault="003068E3" w:rsidP="000733F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2440516C" w14:textId="5767BF2C" w:rsidR="003068E3" w:rsidRPr="002861F4" w:rsidRDefault="003068E3" w:rsidP="003068E3">
      <w:pPr>
        <w:ind w:firstLine="709"/>
        <w:jc w:val="both"/>
        <w:rPr>
          <w:u w:val="single"/>
        </w:rPr>
      </w:pPr>
      <w:r w:rsidRPr="003068E3">
        <w:rPr>
          <w:rFonts w:eastAsiaTheme="minorHAnsi"/>
          <w:b/>
          <w:bCs/>
          <w:lang w:eastAsia="en-US"/>
        </w:rPr>
        <w:t>3.</w:t>
      </w:r>
      <w:r>
        <w:rPr>
          <w:rFonts w:eastAsiaTheme="minorHAnsi"/>
          <w:lang w:eastAsia="en-US"/>
        </w:rPr>
        <w:t xml:space="preserve"> </w:t>
      </w:r>
      <w:r w:rsidR="00B325F5">
        <w:rPr>
          <w:rFonts w:eastAsiaTheme="minorHAnsi"/>
          <w:lang w:eastAsia="en-US"/>
        </w:rPr>
        <w:t>К</w:t>
      </w:r>
      <w:r>
        <w:rPr>
          <w:rFonts w:eastAsiaTheme="minorHAnsi"/>
          <w:lang w:eastAsia="en-US"/>
        </w:rPr>
        <w:t>омитету природны</w:t>
      </w:r>
      <w:r w:rsidR="00EC78C3">
        <w:rPr>
          <w:rFonts w:eastAsiaTheme="minorHAnsi"/>
          <w:lang w:eastAsia="en-US"/>
        </w:rPr>
        <w:t>х</w:t>
      </w:r>
      <w:r>
        <w:rPr>
          <w:rFonts w:eastAsiaTheme="minorHAnsi"/>
          <w:lang w:eastAsia="en-US"/>
        </w:rPr>
        <w:t xml:space="preserve"> ресурсов, лесного хозяйства и экологии Волгоградской области </w:t>
      </w:r>
      <w:r w:rsidR="00B325F5">
        <w:rPr>
          <w:rFonts w:eastAsiaTheme="minorHAnsi"/>
          <w:lang w:eastAsia="en-US"/>
        </w:rPr>
        <w:t>законопроектом</w:t>
      </w:r>
      <w:r w:rsidR="00B325F5">
        <w:t xml:space="preserve"> </w:t>
      </w:r>
      <w:r>
        <w:t xml:space="preserve">исключены ассигнования на строительство объекта «Инженерная защита станицы Кумылженская Кумылженского муниципального района Волгоградской области от затопления паводковыми водами». Не предусмотрено финансирование данного объекта и проектом областного бюджета на 2022 год. </w:t>
      </w:r>
      <w:r>
        <w:rPr>
          <w:rFonts w:eastAsia="Calibri"/>
        </w:rPr>
        <w:t>Вместе с тем п</w:t>
      </w:r>
      <w:r w:rsidRPr="00F15AB9">
        <w:t xml:space="preserve">роектные и изыскательские работы </w:t>
      </w:r>
      <w:r>
        <w:t xml:space="preserve">по нему </w:t>
      </w:r>
      <w:r w:rsidRPr="00F15AB9">
        <w:t xml:space="preserve">за счет средств областного бюджета на сумму 10,4 млн. руб. были выполнены еще </w:t>
      </w:r>
      <w:r w:rsidRPr="002861F4">
        <w:t>в 2013 году.</w:t>
      </w:r>
      <w:r w:rsidRPr="00F15AB9">
        <w:t xml:space="preserve"> </w:t>
      </w:r>
    </w:p>
    <w:p w14:paraId="7805B6EA" w14:textId="5280581A" w:rsidR="003068E3" w:rsidRDefault="003068E3" w:rsidP="000733F0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14:paraId="3395DC5C" w14:textId="1BFE5809" w:rsidR="004157FC" w:rsidRPr="00B52F0F" w:rsidRDefault="004157FC" w:rsidP="004157FC">
      <w:pPr>
        <w:ind w:firstLine="708"/>
        <w:jc w:val="both"/>
      </w:pPr>
      <w:r w:rsidRPr="004157FC">
        <w:rPr>
          <w:b/>
          <w:bCs/>
        </w:rPr>
        <w:t>4</w:t>
      </w:r>
      <w:r>
        <w:t xml:space="preserve">. Законопроектом </w:t>
      </w:r>
      <w:r w:rsidRPr="0069086F">
        <w:t>предусм</w:t>
      </w:r>
      <w:r>
        <w:t>атривается</w:t>
      </w:r>
      <w:r w:rsidRPr="0069086F">
        <w:t xml:space="preserve"> </w:t>
      </w:r>
      <w:r>
        <w:t>уменьшение</w:t>
      </w:r>
      <w:r w:rsidRPr="0069086F">
        <w:t xml:space="preserve"> объема </w:t>
      </w:r>
      <w:r w:rsidRPr="00B52F0F">
        <w:t xml:space="preserve">источников внутреннего финансирования дефицита областного бюджета в виде заимствований за счет увеличения суммы погашения долга по кредитам кредитных организаций на </w:t>
      </w:r>
      <w:r>
        <w:t>1</w:t>
      </w:r>
      <w:r w:rsidRPr="00B52F0F">
        <w:t>000 млн</w:t>
      </w:r>
      <w:r>
        <w:t xml:space="preserve">. руб. </w:t>
      </w:r>
      <w:r w:rsidR="00696B14">
        <w:t>пр</w:t>
      </w:r>
      <w:r>
        <w:t>и</w:t>
      </w:r>
      <w:r w:rsidRPr="00B52F0F">
        <w:t xml:space="preserve"> </w:t>
      </w:r>
      <w:r w:rsidRPr="00B52F0F">
        <w:lastRenderedPageBreak/>
        <w:t>увеличени</w:t>
      </w:r>
      <w:r w:rsidR="00696B14">
        <w:t>и</w:t>
      </w:r>
      <w:r w:rsidRPr="00B52F0F">
        <w:t xml:space="preserve"> объема </w:t>
      </w:r>
      <w:r w:rsidR="00696B14">
        <w:t>п</w:t>
      </w:r>
      <w:r w:rsidR="00696B14" w:rsidRPr="00E16290">
        <w:rPr>
          <w:szCs w:val="20"/>
        </w:rPr>
        <w:t>ривлечени</w:t>
      </w:r>
      <w:r w:rsidR="00696B14">
        <w:rPr>
          <w:szCs w:val="20"/>
        </w:rPr>
        <w:t>я</w:t>
      </w:r>
      <w:r w:rsidR="00696B14" w:rsidRPr="00E16290">
        <w:rPr>
          <w:szCs w:val="20"/>
        </w:rPr>
        <w:t xml:space="preserve"> на единый счет </w:t>
      </w:r>
      <w:r w:rsidR="00EF0A55">
        <w:rPr>
          <w:szCs w:val="20"/>
        </w:rPr>
        <w:t xml:space="preserve">областного </w:t>
      </w:r>
      <w:r w:rsidR="00696B14" w:rsidRPr="00E16290">
        <w:rPr>
          <w:szCs w:val="20"/>
        </w:rPr>
        <w:t>бюджета остатков средств бюджетных и автономных учреждений</w:t>
      </w:r>
      <w:r w:rsidR="00696B14" w:rsidRPr="00B52F0F">
        <w:t xml:space="preserve"> </w:t>
      </w:r>
      <w:r w:rsidRPr="00B52F0F">
        <w:t>на 100</w:t>
      </w:r>
      <w:r w:rsidR="00696B14">
        <w:t>0</w:t>
      </w:r>
      <w:r w:rsidRPr="00B52F0F">
        <w:t xml:space="preserve"> млн. рублей.</w:t>
      </w:r>
    </w:p>
    <w:p w14:paraId="260E23DB" w14:textId="1733739D" w:rsidR="004157FC" w:rsidRDefault="004157FC" w:rsidP="004157FC">
      <w:pPr>
        <w:ind w:firstLine="708"/>
        <w:jc w:val="both"/>
      </w:pPr>
    </w:p>
    <w:p w14:paraId="04195FE4" w14:textId="07824F12" w:rsidR="005E0543" w:rsidRDefault="005E0543" w:rsidP="00513196">
      <w:pPr>
        <w:ind w:firstLine="709"/>
        <w:jc w:val="both"/>
      </w:pPr>
    </w:p>
    <w:p w14:paraId="5F34E5E1" w14:textId="77777777" w:rsidR="00031C9F" w:rsidRDefault="00031C9F" w:rsidP="00031C9F">
      <w:pPr>
        <w:ind w:firstLine="708"/>
        <w:contextualSpacing/>
        <w:jc w:val="both"/>
      </w:pPr>
      <w:r>
        <w:t xml:space="preserve">С учетом вышеизложенного </w:t>
      </w:r>
      <w:r w:rsidRPr="00E1387E">
        <w:rPr>
          <w:b/>
          <w:i/>
          <w:u w:val="single"/>
        </w:rPr>
        <w:t>ко</w:t>
      </w:r>
      <w:r w:rsidRPr="006246B6">
        <w:rPr>
          <w:b/>
          <w:i/>
          <w:u w:val="single"/>
        </w:rPr>
        <w:t xml:space="preserve">нтрольно-счетная палата Волгоградской области </w:t>
      </w:r>
      <w:r>
        <w:rPr>
          <w:b/>
          <w:i/>
          <w:u w:val="single"/>
        </w:rPr>
        <w:t>рекомендует</w:t>
      </w:r>
      <w:r w:rsidRPr="006246B6">
        <w:rPr>
          <w:b/>
          <w:i/>
          <w:u w:val="single"/>
        </w:rPr>
        <w:t xml:space="preserve"> Волгоградской областной Дум</w:t>
      </w:r>
      <w:r>
        <w:rPr>
          <w:b/>
          <w:i/>
          <w:u w:val="single"/>
        </w:rPr>
        <w:t>е рассмотреть внесенный законопроект</w:t>
      </w:r>
      <w:r>
        <w:t>, предложив Администрации Волгоградской области реализовать следующие мероприятия:</w:t>
      </w:r>
    </w:p>
    <w:p w14:paraId="0372EE1F" w14:textId="77777777" w:rsidR="004157FC" w:rsidRDefault="004157FC" w:rsidP="00513196">
      <w:pPr>
        <w:ind w:firstLine="709"/>
        <w:jc w:val="both"/>
      </w:pPr>
    </w:p>
    <w:p w14:paraId="646EF815" w14:textId="54DA37AA" w:rsidR="00513196" w:rsidRPr="00836577" w:rsidRDefault="00031C9F" w:rsidP="00513196">
      <w:pPr>
        <w:ind w:firstLine="709"/>
        <w:jc w:val="both"/>
      </w:pPr>
      <w:r w:rsidRPr="00031C9F">
        <w:rPr>
          <w:b/>
          <w:bCs/>
        </w:rPr>
        <w:t>1</w:t>
      </w:r>
      <w:r>
        <w:t>. П</w:t>
      </w:r>
      <w:r w:rsidR="00513196">
        <w:t xml:space="preserve">родолжить работу, направленную на увеличение </w:t>
      </w:r>
      <w:r w:rsidR="00513196" w:rsidRPr="00F72A24">
        <w:t>объем</w:t>
      </w:r>
      <w:r w:rsidR="00513196">
        <w:t>а</w:t>
      </w:r>
      <w:r w:rsidR="00513196" w:rsidRPr="00F72A24">
        <w:t xml:space="preserve"> бюджетных ассигнований дорожного фонда</w:t>
      </w:r>
      <w:r w:rsidR="00513196">
        <w:t xml:space="preserve"> Волгоградской области </w:t>
      </w:r>
      <w:r>
        <w:t xml:space="preserve">на последующие плановые периоды </w:t>
      </w:r>
      <w:r w:rsidR="00513196">
        <w:t>до объ</w:t>
      </w:r>
      <w:r w:rsidR="00B22024">
        <w:t>е</w:t>
      </w:r>
      <w:r w:rsidR="00513196">
        <w:t>ма, отвечающего требованиям бюджетного законодательства.</w:t>
      </w:r>
    </w:p>
    <w:p w14:paraId="6A479F39" w14:textId="58B43A94" w:rsidR="0067569B" w:rsidRDefault="0067569B" w:rsidP="004A3880">
      <w:pPr>
        <w:autoSpaceDE w:val="0"/>
        <w:autoSpaceDN w:val="0"/>
        <w:adjustRightInd w:val="0"/>
        <w:ind w:firstLine="708"/>
        <w:jc w:val="both"/>
      </w:pPr>
    </w:p>
    <w:p w14:paraId="153816AF" w14:textId="1E92A34C" w:rsidR="0067569B" w:rsidRDefault="0099066E" w:rsidP="00EF0A55">
      <w:pPr>
        <w:autoSpaceDE w:val="0"/>
        <w:autoSpaceDN w:val="0"/>
        <w:adjustRightInd w:val="0"/>
        <w:ind w:firstLine="709"/>
        <w:jc w:val="both"/>
      </w:pPr>
      <w:r w:rsidRPr="0099066E">
        <w:rPr>
          <w:b/>
          <w:bCs/>
        </w:rPr>
        <w:t>2</w:t>
      </w:r>
      <w:r>
        <w:t>. Во избежание неэффективных расходов средств областного бюджета, направленных на проведение проектных и изыскательских работ</w:t>
      </w:r>
      <w:r w:rsidR="00A44078">
        <w:t xml:space="preserve"> по </w:t>
      </w:r>
      <w:r>
        <w:t>объект</w:t>
      </w:r>
      <w:r w:rsidR="00A44078">
        <w:t>у</w:t>
      </w:r>
      <w:r>
        <w:t xml:space="preserve"> «Инженерная защита станицы Кумылженская Кумылженского муниципального района Волгоградской области от затопления паводковыми водами»</w:t>
      </w:r>
      <w:r w:rsidR="005E5F1B">
        <w:t xml:space="preserve"> рассмотреть вопрос об увеличении ассигнований комитету природных ресурсов, лесного хозяйства и экологии Волгоградской области на 2022 год на строительство данного объекта. </w:t>
      </w:r>
      <w:r>
        <w:t xml:space="preserve"> </w:t>
      </w:r>
    </w:p>
    <w:p w14:paraId="3EB2F4D6" w14:textId="72679BB8" w:rsidR="0067569B" w:rsidRDefault="0067569B" w:rsidP="00EF0A55">
      <w:pPr>
        <w:autoSpaceDE w:val="0"/>
        <w:autoSpaceDN w:val="0"/>
        <w:adjustRightInd w:val="0"/>
        <w:ind w:firstLine="709"/>
        <w:jc w:val="both"/>
      </w:pPr>
    </w:p>
    <w:p w14:paraId="0BCDC3DA" w14:textId="360A1AEC" w:rsidR="0067569B" w:rsidRPr="00EF0A55" w:rsidRDefault="00EF0A55" w:rsidP="00EF0A5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EF0A55">
        <w:rPr>
          <w:b/>
          <w:bCs/>
        </w:rPr>
        <w:t xml:space="preserve">3. </w:t>
      </w:r>
      <w:r w:rsidR="000B173F" w:rsidRPr="000B173F">
        <w:t>П</w:t>
      </w:r>
      <w:r w:rsidRPr="00EF0A55">
        <w:t>ривлечени</w:t>
      </w:r>
      <w:r w:rsidR="000B173F">
        <w:t>е</w:t>
      </w:r>
      <w:r>
        <w:t xml:space="preserve"> в 2022 году </w:t>
      </w:r>
      <w:r w:rsidRPr="00E16290">
        <w:rPr>
          <w:szCs w:val="20"/>
        </w:rPr>
        <w:t xml:space="preserve">на единый счет </w:t>
      </w:r>
      <w:r>
        <w:rPr>
          <w:szCs w:val="20"/>
        </w:rPr>
        <w:t xml:space="preserve">областного </w:t>
      </w:r>
      <w:r w:rsidRPr="00E16290">
        <w:rPr>
          <w:szCs w:val="20"/>
        </w:rPr>
        <w:t>бюджета остатков средств бюджетных и автономных учреждений</w:t>
      </w:r>
      <w:r>
        <w:rPr>
          <w:szCs w:val="20"/>
        </w:rPr>
        <w:t xml:space="preserve"> в качестве иного источника </w:t>
      </w:r>
      <w:r w:rsidR="00071A46">
        <w:rPr>
          <w:szCs w:val="20"/>
        </w:rPr>
        <w:t>финансирования дефицита бюджета</w:t>
      </w:r>
      <w:r w:rsidR="000B173F">
        <w:rPr>
          <w:szCs w:val="20"/>
        </w:rPr>
        <w:t xml:space="preserve"> </w:t>
      </w:r>
      <w:r w:rsidR="00021279">
        <w:rPr>
          <w:szCs w:val="20"/>
        </w:rPr>
        <w:t xml:space="preserve">осуществлять </w:t>
      </w:r>
      <w:r w:rsidR="000B173F">
        <w:rPr>
          <w:szCs w:val="20"/>
        </w:rPr>
        <w:t xml:space="preserve">с учетом </w:t>
      </w:r>
      <w:r w:rsidR="00021279">
        <w:rPr>
          <w:szCs w:val="20"/>
        </w:rPr>
        <w:t xml:space="preserve">требований </w:t>
      </w:r>
      <w:r w:rsidR="000B173F">
        <w:rPr>
          <w:szCs w:val="20"/>
        </w:rPr>
        <w:t>пункта 11 статьи 236.1 Бюджетного кодекса РФ</w:t>
      </w:r>
      <w:r w:rsidR="00B3661E">
        <w:rPr>
          <w:szCs w:val="20"/>
        </w:rPr>
        <w:t xml:space="preserve"> </w:t>
      </w:r>
      <w:r w:rsidR="00A95463">
        <w:rPr>
          <w:szCs w:val="20"/>
        </w:rPr>
        <w:t xml:space="preserve">и внесенными в него изменениями </w:t>
      </w:r>
      <w:r w:rsidR="00021279">
        <w:rPr>
          <w:szCs w:val="20"/>
        </w:rPr>
        <w:t>проектом ф</w:t>
      </w:r>
      <w:r w:rsidR="00A95463">
        <w:rPr>
          <w:szCs w:val="20"/>
        </w:rPr>
        <w:t>едеральн</w:t>
      </w:r>
      <w:r w:rsidR="00021279">
        <w:rPr>
          <w:szCs w:val="20"/>
        </w:rPr>
        <w:t>ого</w:t>
      </w:r>
      <w:r w:rsidR="00A95463">
        <w:rPr>
          <w:szCs w:val="20"/>
        </w:rPr>
        <w:t xml:space="preserve"> закон</w:t>
      </w:r>
      <w:r w:rsidR="00021279">
        <w:rPr>
          <w:szCs w:val="20"/>
        </w:rPr>
        <w:t>а</w:t>
      </w:r>
      <w:r w:rsidR="00A95463">
        <w:rPr>
          <w:szCs w:val="20"/>
        </w:rPr>
        <w:t xml:space="preserve"> «О внесении изменений в Бюджетный кодекс Российской Федерации и отдельные законодательные </w:t>
      </w:r>
      <w:r w:rsidR="00021279">
        <w:rPr>
          <w:szCs w:val="20"/>
        </w:rPr>
        <w:t>Российской Федерации и установлении особенностей исполнения бюджетов бюджетной системы</w:t>
      </w:r>
      <w:r w:rsidR="002E3859">
        <w:rPr>
          <w:szCs w:val="20"/>
        </w:rPr>
        <w:t xml:space="preserve"> </w:t>
      </w:r>
      <w:r w:rsidR="00021279">
        <w:rPr>
          <w:szCs w:val="20"/>
        </w:rPr>
        <w:t>Российской Федерации в 2022 году», одобренным</w:t>
      </w:r>
      <w:r w:rsidR="00071A46">
        <w:rPr>
          <w:szCs w:val="20"/>
        </w:rPr>
        <w:t xml:space="preserve"> </w:t>
      </w:r>
      <w:r w:rsidR="00021279">
        <w:rPr>
          <w:szCs w:val="20"/>
        </w:rPr>
        <w:t>Советом Федерации и направленным Президенту РФ 19.11.2021.</w:t>
      </w:r>
      <w:r>
        <w:rPr>
          <w:b/>
          <w:bCs/>
        </w:rPr>
        <w:t xml:space="preserve"> </w:t>
      </w:r>
    </w:p>
    <w:p w14:paraId="06F57508" w14:textId="759A546C" w:rsidR="00E45D5C" w:rsidRDefault="00E45D5C" w:rsidP="004A3880">
      <w:pPr>
        <w:autoSpaceDE w:val="0"/>
        <w:autoSpaceDN w:val="0"/>
        <w:adjustRightInd w:val="0"/>
        <w:ind w:firstLine="708"/>
        <w:jc w:val="both"/>
      </w:pPr>
    </w:p>
    <w:p w14:paraId="3CA5A6ED" w14:textId="3A0196F5" w:rsidR="00071A46" w:rsidRDefault="00071A46" w:rsidP="004A3880">
      <w:pPr>
        <w:autoSpaceDE w:val="0"/>
        <w:autoSpaceDN w:val="0"/>
        <w:adjustRightInd w:val="0"/>
        <w:ind w:firstLine="708"/>
        <w:jc w:val="both"/>
      </w:pPr>
    </w:p>
    <w:p w14:paraId="6A090C11" w14:textId="7820EAEC" w:rsidR="00071A46" w:rsidRDefault="00071A46" w:rsidP="004A3880">
      <w:pPr>
        <w:autoSpaceDE w:val="0"/>
        <w:autoSpaceDN w:val="0"/>
        <w:adjustRightInd w:val="0"/>
        <w:ind w:firstLine="708"/>
        <w:jc w:val="both"/>
      </w:pPr>
    </w:p>
    <w:p w14:paraId="21E15E84" w14:textId="05BC5686" w:rsidR="00071A46" w:rsidRDefault="00071A46" w:rsidP="004A3880">
      <w:pPr>
        <w:autoSpaceDE w:val="0"/>
        <w:autoSpaceDN w:val="0"/>
        <w:adjustRightInd w:val="0"/>
        <w:ind w:firstLine="708"/>
        <w:jc w:val="both"/>
      </w:pPr>
    </w:p>
    <w:p w14:paraId="25500C9A" w14:textId="0B003316" w:rsidR="00EC6074" w:rsidRDefault="00EC6074" w:rsidP="004A3880">
      <w:pPr>
        <w:autoSpaceDE w:val="0"/>
        <w:autoSpaceDN w:val="0"/>
        <w:adjustRightInd w:val="0"/>
        <w:ind w:firstLine="708"/>
        <w:jc w:val="both"/>
      </w:pPr>
    </w:p>
    <w:p w14:paraId="21B47CE1" w14:textId="77777777" w:rsidR="00EC6074" w:rsidRDefault="00EC6074" w:rsidP="004A3880">
      <w:pPr>
        <w:autoSpaceDE w:val="0"/>
        <w:autoSpaceDN w:val="0"/>
        <w:adjustRightInd w:val="0"/>
        <w:ind w:firstLine="708"/>
        <w:jc w:val="both"/>
      </w:pPr>
    </w:p>
    <w:p w14:paraId="77747722" w14:textId="77777777" w:rsidR="00E45D5C" w:rsidRDefault="00E45D5C" w:rsidP="004A3880">
      <w:pPr>
        <w:autoSpaceDE w:val="0"/>
        <w:autoSpaceDN w:val="0"/>
        <w:adjustRightInd w:val="0"/>
        <w:ind w:firstLine="708"/>
        <w:jc w:val="both"/>
      </w:pPr>
    </w:p>
    <w:p w14:paraId="0409EAFC" w14:textId="363CFFFF" w:rsidR="004A3880" w:rsidRPr="00C3264F" w:rsidRDefault="00F167C0" w:rsidP="004A3880">
      <w:pPr>
        <w:rPr>
          <w:b/>
          <w:i/>
        </w:rPr>
      </w:pPr>
      <w:r>
        <w:rPr>
          <w:b/>
          <w:i/>
        </w:rPr>
        <w:t>П</w:t>
      </w:r>
      <w:r w:rsidR="004A3880" w:rsidRPr="00C3264F">
        <w:rPr>
          <w:b/>
          <w:i/>
        </w:rPr>
        <w:t>редседател</w:t>
      </w:r>
      <w:r>
        <w:rPr>
          <w:b/>
          <w:i/>
        </w:rPr>
        <w:t>ь</w:t>
      </w:r>
      <w:r w:rsidR="004A3880" w:rsidRPr="00C3264F">
        <w:rPr>
          <w:b/>
          <w:i/>
        </w:rPr>
        <w:t xml:space="preserve">                                                                       </w:t>
      </w:r>
      <w:r w:rsidR="004A3880">
        <w:rPr>
          <w:b/>
          <w:i/>
        </w:rPr>
        <w:t xml:space="preserve">                          </w:t>
      </w:r>
      <w:r w:rsidR="0067569B">
        <w:rPr>
          <w:b/>
          <w:i/>
        </w:rPr>
        <w:t xml:space="preserve"> </w:t>
      </w:r>
      <w:r w:rsidR="007202E1">
        <w:rPr>
          <w:b/>
          <w:i/>
        </w:rPr>
        <w:t xml:space="preserve">     </w:t>
      </w:r>
      <w:r>
        <w:rPr>
          <w:b/>
          <w:i/>
        </w:rPr>
        <w:t>И. А. Дьяченко</w:t>
      </w:r>
    </w:p>
    <w:p w14:paraId="0B88761B" w14:textId="77777777" w:rsidR="004A3880" w:rsidRPr="00C004CE" w:rsidRDefault="004A3880" w:rsidP="004A3880"/>
    <w:sectPr w:rsidR="004A3880" w:rsidRPr="00C004CE" w:rsidSect="002F3079">
      <w:headerReference w:type="even" r:id="rId9"/>
      <w:headerReference w:type="default" r:id="rId10"/>
      <w:headerReference w:type="first" r:id="rId11"/>
      <w:pgSz w:w="11906" w:h="16838"/>
      <w:pgMar w:top="1021" w:right="851" w:bottom="851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981F2" w14:textId="77777777" w:rsidR="00B35B93" w:rsidRDefault="00B35B93">
      <w:r>
        <w:separator/>
      </w:r>
    </w:p>
  </w:endnote>
  <w:endnote w:type="continuationSeparator" w:id="0">
    <w:p w14:paraId="02106236" w14:textId="77777777" w:rsidR="00B35B93" w:rsidRDefault="00B3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59F0B" w14:textId="77777777" w:rsidR="00B35B93" w:rsidRDefault="00B35B93">
      <w:r>
        <w:separator/>
      </w:r>
    </w:p>
  </w:footnote>
  <w:footnote w:type="continuationSeparator" w:id="0">
    <w:p w14:paraId="35C41997" w14:textId="77777777" w:rsidR="00B35B93" w:rsidRDefault="00B35B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791E6" w14:textId="77777777" w:rsidR="0029533A" w:rsidRDefault="004A3880" w:rsidP="00926D5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214DED9" w14:textId="77777777" w:rsidR="0029533A" w:rsidRDefault="00B35B9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B735" w14:textId="77777777" w:rsidR="0029533A" w:rsidRDefault="004A3880" w:rsidP="00926D5E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04143636" w14:textId="77777777" w:rsidR="0029533A" w:rsidRDefault="00B35B9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9CE5" w14:textId="77777777" w:rsidR="0029533A" w:rsidRDefault="00B35B9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6369"/>
    <w:multiLevelType w:val="hybridMultilevel"/>
    <w:tmpl w:val="BB58B58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EC1F93"/>
    <w:multiLevelType w:val="hybridMultilevel"/>
    <w:tmpl w:val="0238560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4E6089A"/>
    <w:multiLevelType w:val="hybridMultilevel"/>
    <w:tmpl w:val="71320D6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7492825"/>
    <w:multiLevelType w:val="hybridMultilevel"/>
    <w:tmpl w:val="D8CCB06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A54DB8"/>
    <w:multiLevelType w:val="hybridMultilevel"/>
    <w:tmpl w:val="46BABB36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183E4B9A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0ABD1E3D"/>
    <w:multiLevelType w:val="hybridMultilevel"/>
    <w:tmpl w:val="A51EF07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D640CD"/>
    <w:multiLevelType w:val="hybridMultilevel"/>
    <w:tmpl w:val="8A682E8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04369DC"/>
    <w:multiLevelType w:val="hybridMultilevel"/>
    <w:tmpl w:val="342CED1A"/>
    <w:lvl w:ilvl="0" w:tplc="DB805D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2733DD7"/>
    <w:multiLevelType w:val="hybridMultilevel"/>
    <w:tmpl w:val="3ABC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F7E2F"/>
    <w:multiLevelType w:val="hybridMultilevel"/>
    <w:tmpl w:val="EBBE5822"/>
    <w:lvl w:ilvl="0" w:tplc="DDAEFB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72270"/>
    <w:multiLevelType w:val="hybridMultilevel"/>
    <w:tmpl w:val="B3C2A1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EC454E2"/>
    <w:multiLevelType w:val="hybridMultilevel"/>
    <w:tmpl w:val="77186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311684"/>
    <w:multiLevelType w:val="hybridMultilevel"/>
    <w:tmpl w:val="0AF4B58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34F24D5"/>
    <w:multiLevelType w:val="hybridMultilevel"/>
    <w:tmpl w:val="98686B7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0B93C25"/>
    <w:multiLevelType w:val="hybridMultilevel"/>
    <w:tmpl w:val="3174BBE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F20D1"/>
    <w:multiLevelType w:val="hybridMultilevel"/>
    <w:tmpl w:val="76DC7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5515CC"/>
    <w:multiLevelType w:val="hybridMultilevel"/>
    <w:tmpl w:val="6F325F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C832CE"/>
    <w:multiLevelType w:val="hybridMultilevel"/>
    <w:tmpl w:val="7764BD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AB00F42"/>
    <w:multiLevelType w:val="hybridMultilevel"/>
    <w:tmpl w:val="3550D0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D243216"/>
    <w:multiLevelType w:val="hybridMultilevel"/>
    <w:tmpl w:val="7948282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D22A83"/>
    <w:multiLevelType w:val="hybridMultilevel"/>
    <w:tmpl w:val="1B285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E05588"/>
    <w:multiLevelType w:val="hybridMultilevel"/>
    <w:tmpl w:val="E684F1CE"/>
    <w:lvl w:ilvl="0" w:tplc="4FC80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FB808E0"/>
    <w:multiLevelType w:val="hybridMultilevel"/>
    <w:tmpl w:val="4936F51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48B1366"/>
    <w:multiLevelType w:val="hybridMultilevel"/>
    <w:tmpl w:val="C95C7F7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55420DB2"/>
    <w:multiLevelType w:val="hybridMultilevel"/>
    <w:tmpl w:val="940033C2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5" w15:restartNumberingAfterBreak="0">
    <w:nsid w:val="570E72E3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5AB7703C"/>
    <w:multiLevelType w:val="hybridMultilevel"/>
    <w:tmpl w:val="F84C35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DA13E73"/>
    <w:multiLevelType w:val="hybridMultilevel"/>
    <w:tmpl w:val="FE326FA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917A3E"/>
    <w:multiLevelType w:val="hybridMultilevel"/>
    <w:tmpl w:val="450428E2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1EB47C2"/>
    <w:multiLevelType w:val="hybridMultilevel"/>
    <w:tmpl w:val="8688B51A"/>
    <w:lvl w:ilvl="0" w:tplc="42ECD7D2">
      <w:start w:val="5"/>
      <w:numFmt w:val="bullet"/>
      <w:lvlText w:val="-"/>
      <w:lvlJc w:val="left"/>
      <w:pPr>
        <w:ind w:left="10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0" w15:restartNumberingAfterBreak="0">
    <w:nsid w:val="64460E31"/>
    <w:multiLevelType w:val="hybridMultilevel"/>
    <w:tmpl w:val="F2647C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2C421C"/>
    <w:multiLevelType w:val="hybridMultilevel"/>
    <w:tmpl w:val="F4DAD1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B5B5D5A"/>
    <w:multiLevelType w:val="hybridMultilevel"/>
    <w:tmpl w:val="E778629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DC7075D"/>
    <w:multiLevelType w:val="hybridMultilevel"/>
    <w:tmpl w:val="3FFC34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EC53246"/>
    <w:multiLevelType w:val="hybridMultilevel"/>
    <w:tmpl w:val="F6221BBA"/>
    <w:lvl w:ilvl="0" w:tplc="BDF4E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34"/>
  </w:num>
  <w:num w:numId="3">
    <w:abstractNumId w:val="24"/>
  </w:num>
  <w:num w:numId="4">
    <w:abstractNumId w:val="19"/>
  </w:num>
  <w:num w:numId="5">
    <w:abstractNumId w:val="23"/>
  </w:num>
  <w:num w:numId="6">
    <w:abstractNumId w:val="29"/>
  </w:num>
  <w:num w:numId="7">
    <w:abstractNumId w:val="9"/>
  </w:num>
  <w:num w:numId="8">
    <w:abstractNumId w:val="24"/>
  </w:num>
  <w:num w:numId="9">
    <w:abstractNumId w:val="15"/>
  </w:num>
  <w:num w:numId="10">
    <w:abstractNumId w:val="31"/>
  </w:num>
  <w:num w:numId="11">
    <w:abstractNumId w:val="8"/>
  </w:num>
  <w:num w:numId="12">
    <w:abstractNumId w:val="18"/>
  </w:num>
  <w:num w:numId="13">
    <w:abstractNumId w:val="32"/>
  </w:num>
  <w:num w:numId="14">
    <w:abstractNumId w:val="27"/>
  </w:num>
  <w:num w:numId="15">
    <w:abstractNumId w:val="3"/>
  </w:num>
  <w:num w:numId="16">
    <w:abstractNumId w:val="28"/>
  </w:num>
  <w:num w:numId="17">
    <w:abstractNumId w:val="25"/>
  </w:num>
  <w:num w:numId="18">
    <w:abstractNumId w:val="21"/>
  </w:num>
  <w:num w:numId="19">
    <w:abstractNumId w:val="30"/>
  </w:num>
  <w:num w:numId="20">
    <w:abstractNumId w:val="26"/>
  </w:num>
  <w:num w:numId="21">
    <w:abstractNumId w:val="16"/>
  </w:num>
  <w:num w:numId="22">
    <w:abstractNumId w:val="1"/>
  </w:num>
  <w:num w:numId="23">
    <w:abstractNumId w:val="11"/>
  </w:num>
  <w:num w:numId="24">
    <w:abstractNumId w:val="0"/>
  </w:num>
  <w:num w:numId="25">
    <w:abstractNumId w:val="2"/>
  </w:num>
  <w:num w:numId="26">
    <w:abstractNumId w:val="13"/>
  </w:num>
  <w:num w:numId="27">
    <w:abstractNumId w:val="6"/>
  </w:num>
  <w:num w:numId="28">
    <w:abstractNumId w:val="17"/>
  </w:num>
  <w:num w:numId="29">
    <w:abstractNumId w:val="5"/>
  </w:num>
  <w:num w:numId="30">
    <w:abstractNumId w:val="14"/>
  </w:num>
  <w:num w:numId="31">
    <w:abstractNumId w:val="20"/>
  </w:num>
  <w:num w:numId="32">
    <w:abstractNumId w:val="33"/>
  </w:num>
  <w:num w:numId="33">
    <w:abstractNumId w:val="12"/>
  </w:num>
  <w:num w:numId="34">
    <w:abstractNumId w:val="4"/>
  </w:num>
  <w:num w:numId="35">
    <w:abstractNumId w:val="10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80"/>
    <w:rsid w:val="00004EDD"/>
    <w:rsid w:val="00021279"/>
    <w:rsid w:val="00024B81"/>
    <w:rsid w:val="00026BE6"/>
    <w:rsid w:val="00026CE6"/>
    <w:rsid w:val="00027E06"/>
    <w:rsid w:val="00031C9F"/>
    <w:rsid w:val="00033C7C"/>
    <w:rsid w:val="000341C1"/>
    <w:rsid w:val="00044B03"/>
    <w:rsid w:val="00052508"/>
    <w:rsid w:val="00057654"/>
    <w:rsid w:val="000649D5"/>
    <w:rsid w:val="00064AB9"/>
    <w:rsid w:val="000678DE"/>
    <w:rsid w:val="00071A46"/>
    <w:rsid w:val="000733F0"/>
    <w:rsid w:val="0009109F"/>
    <w:rsid w:val="000B173F"/>
    <w:rsid w:val="000C0451"/>
    <w:rsid w:val="000C65B6"/>
    <w:rsid w:val="000E2790"/>
    <w:rsid w:val="000F4A39"/>
    <w:rsid w:val="000F5BE5"/>
    <w:rsid w:val="00101228"/>
    <w:rsid w:val="00117D61"/>
    <w:rsid w:val="001231CE"/>
    <w:rsid w:val="001316E8"/>
    <w:rsid w:val="00134E30"/>
    <w:rsid w:val="001444FA"/>
    <w:rsid w:val="00146985"/>
    <w:rsid w:val="00151638"/>
    <w:rsid w:val="00152E1C"/>
    <w:rsid w:val="001543E8"/>
    <w:rsid w:val="00154DE3"/>
    <w:rsid w:val="00155620"/>
    <w:rsid w:val="001645C1"/>
    <w:rsid w:val="00187024"/>
    <w:rsid w:val="0019196A"/>
    <w:rsid w:val="0019336C"/>
    <w:rsid w:val="00196EBC"/>
    <w:rsid w:val="001B3537"/>
    <w:rsid w:val="001C0E36"/>
    <w:rsid w:val="001C4E09"/>
    <w:rsid w:val="001C5BD9"/>
    <w:rsid w:val="001C6497"/>
    <w:rsid w:val="001D375D"/>
    <w:rsid w:val="001D6666"/>
    <w:rsid w:val="001D69A2"/>
    <w:rsid w:val="001E6BE6"/>
    <w:rsid w:val="00201724"/>
    <w:rsid w:val="00205E88"/>
    <w:rsid w:val="002128FF"/>
    <w:rsid w:val="00215253"/>
    <w:rsid w:val="00217F48"/>
    <w:rsid w:val="002203F2"/>
    <w:rsid w:val="00225D13"/>
    <w:rsid w:val="002340DA"/>
    <w:rsid w:val="002345D7"/>
    <w:rsid w:val="002347A1"/>
    <w:rsid w:val="00235E6A"/>
    <w:rsid w:val="00236F36"/>
    <w:rsid w:val="00241231"/>
    <w:rsid w:val="002540B4"/>
    <w:rsid w:val="00254B70"/>
    <w:rsid w:val="00254BB0"/>
    <w:rsid w:val="00255FE5"/>
    <w:rsid w:val="00270E94"/>
    <w:rsid w:val="00277695"/>
    <w:rsid w:val="002818ED"/>
    <w:rsid w:val="002867EE"/>
    <w:rsid w:val="002B09ED"/>
    <w:rsid w:val="002C138C"/>
    <w:rsid w:val="002C15B6"/>
    <w:rsid w:val="002D0FF7"/>
    <w:rsid w:val="002E3859"/>
    <w:rsid w:val="002F3079"/>
    <w:rsid w:val="00301077"/>
    <w:rsid w:val="003020A7"/>
    <w:rsid w:val="003068E3"/>
    <w:rsid w:val="003073B3"/>
    <w:rsid w:val="003114AC"/>
    <w:rsid w:val="00311619"/>
    <w:rsid w:val="00337A18"/>
    <w:rsid w:val="003438FF"/>
    <w:rsid w:val="00367DBA"/>
    <w:rsid w:val="003701CD"/>
    <w:rsid w:val="00373A33"/>
    <w:rsid w:val="00383819"/>
    <w:rsid w:val="00385BC5"/>
    <w:rsid w:val="00387713"/>
    <w:rsid w:val="00393E2D"/>
    <w:rsid w:val="0039432B"/>
    <w:rsid w:val="003C17B6"/>
    <w:rsid w:val="003D60F0"/>
    <w:rsid w:val="003E3975"/>
    <w:rsid w:val="003E6017"/>
    <w:rsid w:val="003E6026"/>
    <w:rsid w:val="00400549"/>
    <w:rsid w:val="00403812"/>
    <w:rsid w:val="004135CF"/>
    <w:rsid w:val="00414934"/>
    <w:rsid w:val="00414C76"/>
    <w:rsid w:val="004157FC"/>
    <w:rsid w:val="00416091"/>
    <w:rsid w:val="0044198F"/>
    <w:rsid w:val="004456B8"/>
    <w:rsid w:val="00452816"/>
    <w:rsid w:val="0046051B"/>
    <w:rsid w:val="004647F7"/>
    <w:rsid w:val="00464E32"/>
    <w:rsid w:val="004729B5"/>
    <w:rsid w:val="0048437D"/>
    <w:rsid w:val="00486405"/>
    <w:rsid w:val="00492A41"/>
    <w:rsid w:val="004A3880"/>
    <w:rsid w:val="004A6CF6"/>
    <w:rsid w:val="004B13AB"/>
    <w:rsid w:val="004B15DF"/>
    <w:rsid w:val="004B2237"/>
    <w:rsid w:val="004B2F94"/>
    <w:rsid w:val="004B733A"/>
    <w:rsid w:val="004E4025"/>
    <w:rsid w:val="004E65BE"/>
    <w:rsid w:val="0050504A"/>
    <w:rsid w:val="00506328"/>
    <w:rsid w:val="00513196"/>
    <w:rsid w:val="005408DE"/>
    <w:rsid w:val="005429E2"/>
    <w:rsid w:val="00552E8E"/>
    <w:rsid w:val="00556F5B"/>
    <w:rsid w:val="00563833"/>
    <w:rsid w:val="00571DF5"/>
    <w:rsid w:val="00572A96"/>
    <w:rsid w:val="00572D79"/>
    <w:rsid w:val="005753CD"/>
    <w:rsid w:val="00577235"/>
    <w:rsid w:val="00586920"/>
    <w:rsid w:val="005A1D2D"/>
    <w:rsid w:val="005B263F"/>
    <w:rsid w:val="005C2F7F"/>
    <w:rsid w:val="005E0543"/>
    <w:rsid w:val="005E5F1B"/>
    <w:rsid w:val="005E64D3"/>
    <w:rsid w:val="005F32D1"/>
    <w:rsid w:val="005F5C0D"/>
    <w:rsid w:val="00606950"/>
    <w:rsid w:val="00611EE4"/>
    <w:rsid w:val="00612A73"/>
    <w:rsid w:val="00613871"/>
    <w:rsid w:val="006159AF"/>
    <w:rsid w:val="00615CC6"/>
    <w:rsid w:val="00622866"/>
    <w:rsid w:val="00627414"/>
    <w:rsid w:val="006321E3"/>
    <w:rsid w:val="00632E2B"/>
    <w:rsid w:val="006420A4"/>
    <w:rsid w:val="006455FC"/>
    <w:rsid w:val="006559B3"/>
    <w:rsid w:val="00660A03"/>
    <w:rsid w:val="006626EA"/>
    <w:rsid w:val="006632C1"/>
    <w:rsid w:val="00673A57"/>
    <w:rsid w:val="0067569B"/>
    <w:rsid w:val="00677E68"/>
    <w:rsid w:val="006820C4"/>
    <w:rsid w:val="00682D50"/>
    <w:rsid w:val="00690BDC"/>
    <w:rsid w:val="006923A3"/>
    <w:rsid w:val="00694A93"/>
    <w:rsid w:val="00696B14"/>
    <w:rsid w:val="006B09F9"/>
    <w:rsid w:val="006C2FA1"/>
    <w:rsid w:val="006C4A05"/>
    <w:rsid w:val="006D0411"/>
    <w:rsid w:val="006D0C60"/>
    <w:rsid w:val="006D7E6E"/>
    <w:rsid w:val="006F172D"/>
    <w:rsid w:val="007107FE"/>
    <w:rsid w:val="007202E1"/>
    <w:rsid w:val="00724236"/>
    <w:rsid w:val="00736FD6"/>
    <w:rsid w:val="0074790D"/>
    <w:rsid w:val="007509DF"/>
    <w:rsid w:val="00753B63"/>
    <w:rsid w:val="00760A0D"/>
    <w:rsid w:val="00777678"/>
    <w:rsid w:val="007876AE"/>
    <w:rsid w:val="00793AAB"/>
    <w:rsid w:val="007977F4"/>
    <w:rsid w:val="007B77D6"/>
    <w:rsid w:val="007C1921"/>
    <w:rsid w:val="007C22BE"/>
    <w:rsid w:val="007C36FA"/>
    <w:rsid w:val="007D1DBA"/>
    <w:rsid w:val="007E260D"/>
    <w:rsid w:val="007E7D0B"/>
    <w:rsid w:val="00807618"/>
    <w:rsid w:val="00811D34"/>
    <w:rsid w:val="00827B2F"/>
    <w:rsid w:val="0083136A"/>
    <w:rsid w:val="008339D6"/>
    <w:rsid w:val="00840FB7"/>
    <w:rsid w:val="00841962"/>
    <w:rsid w:val="0085140F"/>
    <w:rsid w:val="008630FA"/>
    <w:rsid w:val="00865F17"/>
    <w:rsid w:val="00871260"/>
    <w:rsid w:val="00872084"/>
    <w:rsid w:val="008749F1"/>
    <w:rsid w:val="00882125"/>
    <w:rsid w:val="008939A3"/>
    <w:rsid w:val="008A0790"/>
    <w:rsid w:val="008A2B13"/>
    <w:rsid w:val="008C21E8"/>
    <w:rsid w:val="008C288A"/>
    <w:rsid w:val="008C755E"/>
    <w:rsid w:val="008D1AA5"/>
    <w:rsid w:val="008D2A16"/>
    <w:rsid w:val="008E4CDC"/>
    <w:rsid w:val="008F04AA"/>
    <w:rsid w:val="008F2B55"/>
    <w:rsid w:val="008F67B2"/>
    <w:rsid w:val="009168B5"/>
    <w:rsid w:val="009274E3"/>
    <w:rsid w:val="00930DF3"/>
    <w:rsid w:val="00935944"/>
    <w:rsid w:val="00947419"/>
    <w:rsid w:val="00954687"/>
    <w:rsid w:val="00963217"/>
    <w:rsid w:val="00963CE2"/>
    <w:rsid w:val="00963D51"/>
    <w:rsid w:val="009774D4"/>
    <w:rsid w:val="00977A4D"/>
    <w:rsid w:val="0099066E"/>
    <w:rsid w:val="0099236B"/>
    <w:rsid w:val="009A31D5"/>
    <w:rsid w:val="009A5618"/>
    <w:rsid w:val="009B2B15"/>
    <w:rsid w:val="009C0B8A"/>
    <w:rsid w:val="009D0CB1"/>
    <w:rsid w:val="009D341C"/>
    <w:rsid w:val="009E0AFA"/>
    <w:rsid w:val="009E6E03"/>
    <w:rsid w:val="009F0C50"/>
    <w:rsid w:val="009F2988"/>
    <w:rsid w:val="009F3E53"/>
    <w:rsid w:val="00A10F0F"/>
    <w:rsid w:val="00A144CA"/>
    <w:rsid w:val="00A1638A"/>
    <w:rsid w:val="00A274A2"/>
    <w:rsid w:val="00A30641"/>
    <w:rsid w:val="00A36579"/>
    <w:rsid w:val="00A44078"/>
    <w:rsid w:val="00A573A3"/>
    <w:rsid w:val="00A6442F"/>
    <w:rsid w:val="00A649AE"/>
    <w:rsid w:val="00A65D97"/>
    <w:rsid w:val="00A7250B"/>
    <w:rsid w:val="00A7463E"/>
    <w:rsid w:val="00A82F33"/>
    <w:rsid w:val="00A95463"/>
    <w:rsid w:val="00A95B92"/>
    <w:rsid w:val="00AA6B2D"/>
    <w:rsid w:val="00AB0CCA"/>
    <w:rsid w:val="00AC6CC4"/>
    <w:rsid w:val="00AC7E3D"/>
    <w:rsid w:val="00AD7982"/>
    <w:rsid w:val="00AE4F95"/>
    <w:rsid w:val="00AE65AF"/>
    <w:rsid w:val="00AF03EB"/>
    <w:rsid w:val="00B04F20"/>
    <w:rsid w:val="00B22024"/>
    <w:rsid w:val="00B31FCC"/>
    <w:rsid w:val="00B325F5"/>
    <w:rsid w:val="00B35B93"/>
    <w:rsid w:val="00B3661E"/>
    <w:rsid w:val="00B518B1"/>
    <w:rsid w:val="00B53A59"/>
    <w:rsid w:val="00B53C48"/>
    <w:rsid w:val="00B557E3"/>
    <w:rsid w:val="00B6717F"/>
    <w:rsid w:val="00B73C63"/>
    <w:rsid w:val="00B77B8A"/>
    <w:rsid w:val="00B81E66"/>
    <w:rsid w:val="00B85340"/>
    <w:rsid w:val="00B86BC3"/>
    <w:rsid w:val="00B95184"/>
    <w:rsid w:val="00BA0528"/>
    <w:rsid w:val="00BB2793"/>
    <w:rsid w:val="00BB4EFC"/>
    <w:rsid w:val="00BD4BE7"/>
    <w:rsid w:val="00BE1284"/>
    <w:rsid w:val="00BE296E"/>
    <w:rsid w:val="00BF6FE3"/>
    <w:rsid w:val="00C00990"/>
    <w:rsid w:val="00C022A7"/>
    <w:rsid w:val="00C0518D"/>
    <w:rsid w:val="00C23BA8"/>
    <w:rsid w:val="00C243D3"/>
    <w:rsid w:val="00C30262"/>
    <w:rsid w:val="00C30EC0"/>
    <w:rsid w:val="00C44B89"/>
    <w:rsid w:val="00C45847"/>
    <w:rsid w:val="00C66858"/>
    <w:rsid w:val="00C745E2"/>
    <w:rsid w:val="00C80BFF"/>
    <w:rsid w:val="00C835B8"/>
    <w:rsid w:val="00CA608C"/>
    <w:rsid w:val="00CB4357"/>
    <w:rsid w:val="00CC0601"/>
    <w:rsid w:val="00CC0A1D"/>
    <w:rsid w:val="00CC1142"/>
    <w:rsid w:val="00CC3134"/>
    <w:rsid w:val="00CC5EB5"/>
    <w:rsid w:val="00CD3F9D"/>
    <w:rsid w:val="00CE1E7D"/>
    <w:rsid w:val="00CE3151"/>
    <w:rsid w:val="00CE6076"/>
    <w:rsid w:val="00CF0515"/>
    <w:rsid w:val="00D035AC"/>
    <w:rsid w:val="00D03D0A"/>
    <w:rsid w:val="00D06586"/>
    <w:rsid w:val="00D06EA9"/>
    <w:rsid w:val="00D2694E"/>
    <w:rsid w:val="00D26E59"/>
    <w:rsid w:val="00D30F66"/>
    <w:rsid w:val="00D37218"/>
    <w:rsid w:val="00D479E9"/>
    <w:rsid w:val="00D56EC9"/>
    <w:rsid w:val="00D60C06"/>
    <w:rsid w:val="00D6505F"/>
    <w:rsid w:val="00D75556"/>
    <w:rsid w:val="00D909EA"/>
    <w:rsid w:val="00D91526"/>
    <w:rsid w:val="00DA3F73"/>
    <w:rsid w:val="00DD2DF8"/>
    <w:rsid w:val="00DD4237"/>
    <w:rsid w:val="00DD6CCB"/>
    <w:rsid w:val="00DD7B57"/>
    <w:rsid w:val="00DE626F"/>
    <w:rsid w:val="00DE634E"/>
    <w:rsid w:val="00DF0CA2"/>
    <w:rsid w:val="00DF281B"/>
    <w:rsid w:val="00DF3369"/>
    <w:rsid w:val="00DF420C"/>
    <w:rsid w:val="00DF563B"/>
    <w:rsid w:val="00DF7100"/>
    <w:rsid w:val="00E00795"/>
    <w:rsid w:val="00E03911"/>
    <w:rsid w:val="00E064B8"/>
    <w:rsid w:val="00E20F6F"/>
    <w:rsid w:val="00E23E21"/>
    <w:rsid w:val="00E246CB"/>
    <w:rsid w:val="00E30FB8"/>
    <w:rsid w:val="00E4054D"/>
    <w:rsid w:val="00E45D5C"/>
    <w:rsid w:val="00E563AC"/>
    <w:rsid w:val="00E6288E"/>
    <w:rsid w:val="00E73711"/>
    <w:rsid w:val="00E77CB1"/>
    <w:rsid w:val="00E82904"/>
    <w:rsid w:val="00E966A4"/>
    <w:rsid w:val="00EA43BE"/>
    <w:rsid w:val="00EA7C49"/>
    <w:rsid w:val="00EB7FEE"/>
    <w:rsid w:val="00EC4D9B"/>
    <w:rsid w:val="00EC6074"/>
    <w:rsid w:val="00EC78C3"/>
    <w:rsid w:val="00ED77C8"/>
    <w:rsid w:val="00EE045A"/>
    <w:rsid w:val="00EE3CD0"/>
    <w:rsid w:val="00EF0A1B"/>
    <w:rsid w:val="00EF0A55"/>
    <w:rsid w:val="00EF15BB"/>
    <w:rsid w:val="00EF2F18"/>
    <w:rsid w:val="00F1336C"/>
    <w:rsid w:val="00F167C0"/>
    <w:rsid w:val="00F16C2F"/>
    <w:rsid w:val="00F25C46"/>
    <w:rsid w:val="00F31F57"/>
    <w:rsid w:val="00F37D38"/>
    <w:rsid w:val="00F40995"/>
    <w:rsid w:val="00F56175"/>
    <w:rsid w:val="00F62379"/>
    <w:rsid w:val="00F62E52"/>
    <w:rsid w:val="00F63796"/>
    <w:rsid w:val="00F70A3D"/>
    <w:rsid w:val="00F72CF1"/>
    <w:rsid w:val="00F7690D"/>
    <w:rsid w:val="00F82BEE"/>
    <w:rsid w:val="00FB01C0"/>
    <w:rsid w:val="00FB0A37"/>
    <w:rsid w:val="00FB50B7"/>
    <w:rsid w:val="00FC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FC258"/>
  <w15:chartTrackingRefBased/>
  <w15:docId w15:val="{6E7979FC-16BB-46ED-A9D0-F22207031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880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A388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000080"/>
    </w:rPr>
  </w:style>
  <w:style w:type="paragraph" w:styleId="3">
    <w:name w:val="heading 3"/>
    <w:basedOn w:val="a"/>
    <w:next w:val="a"/>
    <w:link w:val="30"/>
    <w:semiHidden/>
    <w:unhideWhenUsed/>
    <w:qFormat/>
    <w:rsid w:val="004A38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A3880"/>
    <w:rPr>
      <w:rFonts w:ascii="Arial" w:eastAsia="Calibri" w:hAnsi="Arial" w:cs="Times New Roman"/>
      <w:b/>
      <w:bCs/>
      <w:color w:val="000080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4A3880"/>
    <w:rPr>
      <w:rFonts w:asciiTheme="majorHAnsi" w:eastAsiaTheme="majorEastAsia" w:hAnsiTheme="majorHAnsi" w:cstheme="majorBidi"/>
      <w:b/>
      <w:bCs/>
      <w:color w:val="4472C4" w:themeColor="accent1"/>
      <w:szCs w:val="24"/>
      <w:lang w:eastAsia="ru-RU"/>
    </w:rPr>
  </w:style>
  <w:style w:type="paragraph" w:customStyle="1" w:styleId="11">
    <w:name w:val="1"/>
    <w:uiPriority w:val="99"/>
    <w:rsid w:val="004A3880"/>
    <w:pPr>
      <w:autoSpaceDE w:val="0"/>
      <w:autoSpaceDN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21">
    <w:name w:val="Заголовок 21"/>
    <w:basedOn w:val="a"/>
    <w:next w:val="a"/>
    <w:uiPriority w:val="99"/>
    <w:rsid w:val="004A3880"/>
    <w:pPr>
      <w:keepNext/>
      <w:jc w:val="center"/>
      <w:outlineLvl w:val="1"/>
    </w:pPr>
    <w:rPr>
      <w:b/>
      <w:caps/>
      <w:sz w:val="34"/>
      <w:szCs w:val="20"/>
    </w:rPr>
  </w:style>
  <w:style w:type="paragraph" w:styleId="a3">
    <w:name w:val="Balloon Text"/>
    <w:basedOn w:val="a"/>
    <w:link w:val="a4"/>
    <w:uiPriority w:val="99"/>
    <w:semiHidden/>
    <w:rsid w:val="004A38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388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4A38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3880"/>
    <w:rPr>
      <w:rFonts w:eastAsia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4A38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3880"/>
    <w:rPr>
      <w:rFonts w:eastAsia="Times New Roman" w:cs="Times New Roman"/>
      <w:szCs w:val="24"/>
      <w:lang w:eastAsia="ru-RU"/>
    </w:rPr>
  </w:style>
  <w:style w:type="paragraph" w:styleId="a9">
    <w:name w:val="Body Text Indent"/>
    <w:basedOn w:val="a"/>
    <w:link w:val="aa"/>
    <w:rsid w:val="004A3880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basedOn w:val="a0"/>
    <w:link w:val="a9"/>
    <w:rsid w:val="004A3880"/>
    <w:rPr>
      <w:rFonts w:eastAsia="Calibri" w:cs="Times New Roman"/>
      <w:szCs w:val="24"/>
      <w:lang w:eastAsia="ru-RU"/>
    </w:rPr>
  </w:style>
  <w:style w:type="table" w:styleId="ab">
    <w:name w:val="Table Grid"/>
    <w:basedOn w:val="a1"/>
    <w:uiPriority w:val="39"/>
    <w:rsid w:val="004A388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uiPriority w:val="99"/>
    <w:rsid w:val="004A3880"/>
    <w:rPr>
      <w:rFonts w:cs="Times New Roman"/>
    </w:rPr>
  </w:style>
  <w:style w:type="paragraph" w:styleId="ad">
    <w:name w:val="Title"/>
    <w:basedOn w:val="a"/>
    <w:link w:val="ae"/>
    <w:uiPriority w:val="10"/>
    <w:qFormat/>
    <w:rsid w:val="004A3880"/>
    <w:pPr>
      <w:jc w:val="center"/>
    </w:pPr>
    <w:rPr>
      <w:rFonts w:eastAsia="Calibri"/>
    </w:rPr>
  </w:style>
  <w:style w:type="character" w:customStyle="1" w:styleId="ae">
    <w:name w:val="Заголовок Знак"/>
    <w:basedOn w:val="a0"/>
    <w:link w:val="ad"/>
    <w:uiPriority w:val="10"/>
    <w:rsid w:val="004A3880"/>
    <w:rPr>
      <w:rFonts w:eastAsia="Calibri" w:cs="Times New Roman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A38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A3880"/>
    <w:rPr>
      <w:rFonts w:ascii="Arial" w:eastAsia="Calibri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rsid w:val="004A388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4A3880"/>
    <w:rPr>
      <w:rFonts w:eastAsia="Times New Roman" w:cs="Times New Roman"/>
      <w:szCs w:val="24"/>
      <w:lang w:eastAsia="ru-RU"/>
    </w:rPr>
  </w:style>
  <w:style w:type="character" w:styleId="af1">
    <w:name w:val="Hyperlink"/>
    <w:basedOn w:val="a0"/>
    <w:uiPriority w:val="99"/>
    <w:rsid w:val="004A3880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4A388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A388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A3880"/>
    <w:rPr>
      <w:rFonts w:eastAsia="Times New Roman" w:cs="Times New Roman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4A3880"/>
    <w:pPr>
      <w:ind w:left="708"/>
    </w:pPr>
  </w:style>
  <w:style w:type="paragraph" w:styleId="af2">
    <w:name w:val="List Paragraph"/>
    <w:aliases w:val="_Абзац списка,A_маркированный_список,Bullet List,FooterText,numbered,ТЗ список,Абзац списка литеральный,Bullet 1,Use Case List Paragraph"/>
    <w:basedOn w:val="a"/>
    <w:link w:val="af3"/>
    <w:uiPriority w:val="34"/>
    <w:qFormat/>
    <w:rsid w:val="004A3880"/>
    <w:pPr>
      <w:ind w:left="708"/>
    </w:pPr>
  </w:style>
  <w:style w:type="paragraph" w:customStyle="1" w:styleId="af4">
    <w:name w:val="Прижатый влево"/>
    <w:basedOn w:val="a"/>
    <w:next w:val="a"/>
    <w:rsid w:val="004A3880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ListParagraph1">
    <w:name w:val="List Paragraph1"/>
    <w:basedOn w:val="a"/>
    <w:uiPriority w:val="99"/>
    <w:rsid w:val="004A3880"/>
    <w:pPr>
      <w:ind w:left="708"/>
    </w:pPr>
    <w:rPr>
      <w:rFonts w:eastAsia="Calibri"/>
    </w:rPr>
  </w:style>
  <w:style w:type="paragraph" w:customStyle="1" w:styleId="ConsPlusTitle">
    <w:name w:val="ConsPlusTitle"/>
    <w:uiPriority w:val="99"/>
    <w:rsid w:val="004A3880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uiPriority w:val="99"/>
    <w:semiHidden/>
    <w:rsid w:val="004A388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A3880"/>
    <w:rPr>
      <w:rFonts w:eastAsia="Times New Roman" w:cs="Times New Roman"/>
      <w:sz w:val="16"/>
      <w:szCs w:val="16"/>
      <w:lang w:eastAsia="ru-RU"/>
    </w:rPr>
  </w:style>
  <w:style w:type="paragraph" w:customStyle="1" w:styleId="af5">
    <w:name w:val="Таблотст"/>
    <w:basedOn w:val="a"/>
    <w:uiPriority w:val="99"/>
    <w:rsid w:val="004A3880"/>
    <w:pPr>
      <w:spacing w:line="220" w:lineRule="exact"/>
      <w:ind w:left="85"/>
      <w:jc w:val="both"/>
    </w:pPr>
    <w:rPr>
      <w:rFonts w:ascii="Arial" w:hAnsi="Arial"/>
      <w:sz w:val="20"/>
      <w:szCs w:val="20"/>
    </w:rPr>
  </w:style>
  <w:style w:type="paragraph" w:customStyle="1" w:styleId="13">
    <w:name w:val="Обычный1"/>
    <w:rsid w:val="004A3880"/>
    <w:pPr>
      <w:widowControl w:val="0"/>
      <w:snapToGrid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A3880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CharAttribute2">
    <w:name w:val="CharAttribute2"/>
    <w:rsid w:val="004A3880"/>
    <w:rPr>
      <w:rFonts w:ascii="Times New Roman" w:eastAsia="Times New Roman"/>
      <w:sz w:val="24"/>
    </w:rPr>
  </w:style>
  <w:style w:type="character" w:customStyle="1" w:styleId="CharAttribute14">
    <w:name w:val="CharAttribute14"/>
    <w:rsid w:val="004A3880"/>
    <w:rPr>
      <w:rFonts w:ascii="Times New Roman" w:eastAsia="Times New Roman"/>
      <w:i/>
      <w:sz w:val="24"/>
      <w:u w:val="single"/>
    </w:rPr>
  </w:style>
  <w:style w:type="character" w:customStyle="1" w:styleId="FontStyle25">
    <w:name w:val="Font Style25"/>
    <w:basedOn w:val="a0"/>
    <w:rsid w:val="004A3880"/>
    <w:rPr>
      <w:rFonts w:ascii="Times New Roman" w:hAnsi="Times New Roman" w:cs="Times New Roman" w:hint="default"/>
      <w:sz w:val="26"/>
      <w:szCs w:val="26"/>
    </w:rPr>
  </w:style>
  <w:style w:type="character" w:customStyle="1" w:styleId="af6">
    <w:name w:val="Цветовое выделение"/>
    <w:uiPriority w:val="99"/>
    <w:rsid w:val="004A3880"/>
    <w:rPr>
      <w:b/>
      <w:bCs/>
      <w:color w:val="26282F"/>
    </w:rPr>
  </w:style>
  <w:style w:type="paragraph" w:customStyle="1" w:styleId="ParaAttribute18">
    <w:name w:val="ParaAttribute18"/>
    <w:uiPriority w:val="99"/>
    <w:rsid w:val="004A3880"/>
    <w:pPr>
      <w:spacing w:after="0" w:line="240" w:lineRule="auto"/>
      <w:ind w:firstLine="709"/>
      <w:jc w:val="center"/>
    </w:pPr>
    <w:rPr>
      <w:rFonts w:eastAsia="??" w:cs="Times New Roman"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4A3880"/>
    <w:pPr>
      <w:widowControl w:val="0"/>
      <w:autoSpaceDE w:val="0"/>
      <w:autoSpaceDN w:val="0"/>
      <w:adjustRightInd w:val="0"/>
      <w:spacing w:line="670" w:lineRule="exact"/>
      <w:ind w:firstLine="1440"/>
      <w:jc w:val="both"/>
    </w:pPr>
  </w:style>
  <w:style w:type="paragraph" w:customStyle="1" w:styleId="Default">
    <w:name w:val="Default"/>
    <w:rsid w:val="004A388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styleId="af7">
    <w:name w:val="Plain Text"/>
    <w:basedOn w:val="a"/>
    <w:link w:val="af8"/>
    <w:uiPriority w:val="99"/>
    <w:unhideWhenUsed/>
    <w:rsid w:val="004A3880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8">
    <w:name w:val="Текст Знак"/>
    <w:basedOn w:val="a0"/>
    <w:link w:val="af7"/>
    <w:uiPriority w:val="99"/>
    <w:rsid w:val="004A3880"/>
    <w:rPr>
      <w:rFonts w:ascii="Consolas" w:hAnsi="Consolas"/>
      <w:sz w:val="21"/>
      <w:szCs w:val="21"/>
    </w:rPr>
  </w:style>
  <w:style w:type="paragraph" w:styleId="22">
    <w:name w:val="Body Text 2"/>
    <w:basedOn w:val="a"/>
    <w:link w:val="23"/>
    <w:uiPriority w:val="99"/>
    <w:rsid w:val="004A3880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4A3880"/>
    <w:rPr>
      <w:rFonts w:eastAsia="Times New Roman" w:cs="Times New Roman"/>
      <w:szCs w:val="24"/>
      <w:lang w:eastAsia="ru-RU"/>
    </w:rPr>
  </w:style>
  <w:style w:type="paragraph" w:styleId="33">
    <w:name w:val="Body Text 3"/>
    <w:basedOn w:val="a"/>
    <w:link w:val="34"/>
    <w:uiPriority w:val="99"/>
    <w:unhideWhenUsed/>
    <w:rsid w:val="004A388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4A3880"/>
    <w:rPr>
      <w:rFonts w:eastAsia="Times New Roman" w:cs="Times New Roman"/>
      <w:sz w:val="16"/>
      <w:szCs w:val="16"/>
      <w:lang w:eastAsia="ru-RU"/>
    </w:rPr>
  </w:style>
  <w:style w:type="paragraph" w:customStyle="1" w:styleId="msonormalmrcssattr">
    <w:name w:val="msonormal_mr_css_attr"/>
    <w:basedOn w:val="a"/>
    <w:rsid w:val="007876AE"/>
    <w:pPr>
      <w:spacing w:before="100" w:beforeAutospacing="1" w:after="100" w:afterAutospacing="1"/>
    </w:pPr>
  </w:style>
  <w:style w:type="character" w:customStyle="1" w:styleId="af3">
    <w:name w:val="Абзац списка Знак"/>
    <w:aliases w:val="_Абзац списка Знак,A_маркированный_список Знак,Bullet List Знак,FooterText Знак,numbered Знак,ТЗ список Знак,Абзац списка литеральный Знак,Bullet 1 Знак,Use Case List Paragraph Знак"/>
    <w:link w:val="af2"/>
    <w:uiPriority w:val="34"/>
    <w:locked/>
    <w:rsid w:val="00F63796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4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p@volganet.ru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B3B90953E6148A49B7C27ED0A7C88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18C866-EA9D-43B8-9285-AA00585B2317}"/>
      </w:docPartPr>
      <w:docPartBody>
        <w:p w:rsidR="00594457" w:rsidRDefault="00CE1B35" w:rsidP="00CE1B35">
          <w:pPr>
            <w:pStyle w:val="8B3B90953E6148A49B7C27ED0A7C88EE"/>
          </w:pPr>
          <w:r w:rsidRPr="00CB07D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35"/>
    <w:rsid w:val="00033864"/>
    <w:rsid w:val="000850EA"/>
    <w:rsid w:val="00411638"/>
    <w:rsid w:val="00594457"/>
    <w:rsid w:val="00603F0D"/>
    <w:rsid w:val="00935B4C"/>
    <w:rsid w:val="00AF3D61"/>
    <w:rsid w:val="00CE1B35"/>
    <w:rsid w:val="00CE1E67"/>
    <w:rsid w:val="00C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E1B35"/>
  </w:style>
  <w:style w:type="paragraph" w:customStyle="1" w:styleId="8B3B90953E6148A49B7C27ED0A7C88EE">
    <w:name w:val="8B3B90953E6148A49B7C27ED0A7C88EE"/>
    <w:rsid w:val="00CE1B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14</Pages>
  <Words>7352</Words>
  <Characters>41911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Ноздрюхина Наталья Лукинична</dc:creator>
  <cp:keywords/>
  <dc:description/>
  <cp:lastModifiedBy>Горгоцкая Лариса Михайловна</cp:lastModifiedBy>
  <cp:revision>147</cp:revision>
  <cp:lastPrinted>2021-11-25T12:42:00Z</cp:lastPrinted>
  <dcterms:created xsi:type="dcterms:W3CDTF">2021-11-23T08:45:00Z</dcterms:created>
  <dcterms:modified xsi:type="dcterms:W3CDTF">2021-11-29T06:52:00Z</dcterms:modified>
</cp:coreProperties>
</file>