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4AAE" w14:textId="77777777" w:rsidR="00BF6E94" w:rsidRDefault="00BF6E94" w:rsidP="00B32132">
      <w:pPr>
        <w:pStyle w:val="a5"/>
        <w:tabs>
          <w:tab w:val="left" w:pos="8007"/>
        </w:tabs>
        <w:rPr>
          <w:szCs w:val="24"/>
        </w:rPr>
      </w:pPr>
    </w:p>
    <w:p w14:paraId="7229CF59" w14:textId="77777777" w:rsidR="00BF6E94" w:rsidRPr="00FB2C30" w:rsidRDefault="00BF6E94" w:rsidP="00BF6E94">
      <w:pPr>
        <w:ind w:left="4956" w:firstLine="708"/>
        <w:rPr>
          <w:b/>
          <w:bCs/>
          <w:caps/>
        </w:rPr>
      </w:pPr>
      <w:r w:rsidRPr="00FB2C30">
        <w:rPr>
          <w:b/>
          <w:bCs/>
          <w:caps/>
        </w:rPr>
        <w:t>УТВЕРЖДАЮ</w:t>
      </w:r>
    </w:p>
    <w:p w14:paraId="490476E1" w14:textId="77777777" w:rsidR="00BF6E94" w:rsidRPr="00FB2C30" w:rsidRDefault="00BF6E94" w:rsidP="00BF6E94">
      <w:pPr>
        <w:ind w:left="5664"/>
        <w:rPr>
          <w:b/>
        </w:rPr>
      </w:pPr>
      <w:r w:rsidRPr="00FB2C30">
        <w:rPr>
          <w:b/>
        </w:rPr>
        <w:t>Председатель контрольно-счетной палаты Волгоградской области</w:t>
      </w:r>
    </w:p>
    <w:p w14:paraId="4B515ECB" w14:textId="77777777" w:rsidR="00BF6E94" w:rsidRPr="00FB2C30" w:rsidRDefault="00BF6E94" w:rsidP="00BF6E94">
      <w:pPr>
        <w:ind w:left="4956" w:firstLine="708"/>
        <w:rPr>
          <w:b/>
          <w:bCs/>
        </w:rPr>
      </w:pPr>
    </w:p>
    <w:p w14:paraId="0BAE6F69" w14:textId="77777777" w:rsidR="00BF6E94" w:rsidRPr="00FB2C30" w:rsidRDefault="00BF6E94" w:rsidP="00BF6E94">
      <w:pPr>
        <w:ind w:left="4956" w:firstLine="708"/>
        <w:rPr>
          <w:b/>
          <w:bCs/>
        </w:rPr>
      </w:pPr>
      <w:r w:rsidRPr="00FB2C30">
        <w:rPr>
          <w:b/>
          <w:bCs/>
        </w:rPr>
        <w:t>____________ И.А. Дьяченко</w:t>
      </w:r>
    </w:p>
    <w:p w14:paraId="3DF4C492" w14:textId="77777777" w:rsidR="00BF6E94" w:rsidRPr="00FB2C30" w:rsidRDefault="00BF6E94" w:rsidP="00BF6E94">
      <w:pPr>
        <w:ind w:left="4956" w:firstLine="708"/>
        <w:rPr>
          <w:b/>
          <w:bCs/>
        </w:rPr>
      </w:pPr>
    </w:p>
    <w:p w14:paraId="7225DC11" w14:textId="77777777" w:rsidR="00BF6E94" w:rsidRPr="00FB2C30" w:rsidRDefault="00BF6E94" w:rsidP="00BF6E94">
      <w:pPr>
        <w:ind w:left="4956" w:firstLine="708"/>
        <w:rPr>
          <w:b/>
          <w:bCs/>
        </w:rPr>
      </w:pPr>
      <w:r w:rsidRPr="00FB2C30">
        <w:rPr>
          <w:b/>
          <w:bCs/>
        </w:rPr>
        <w:t>«______»  марта  2019 года</w:t>
      </w:r>
    </w:p>
    <w:p w14:paraId="31787FDF" w14:textId="77777777" w:rsidR="00BF6E94" w:rsidRPr="00FB2C30" w:rsidRDefault="00BF6E94" w:rsidP="00B32132">
      <w:pPr>
        <w:pStyle w:val="a5"/>
        <w:tabs>
          <w:tab w:val="left" w:pos="8007"/>
        </w:tabs>
        <w:rPr>
          <w:szCs w:val="24"/>
        </w:rPr>
      </w:pPr>
    </w:p>
    <w:p w14:paraId="76CE660D" w14:textId="77777777" w:rsidR="00DD3278" w:rsidRPr="00FB2C30" w:rsidRDefault="00BF6E94" w:rsidP="00B32132">
      <w:pPr>
        <w:pStyle w:val="a5"/>
        <w:tabs>
          <w:tab w:val="left" w:pos="8007"/>
        </w:tabs>
        <w:rPr>
          <w:szCs w:val="24"/>
        </w:rPr>
      </w:pPr>
      <w:r w:rsidRPr="00FB2C30">
        <w:rPr>
          <w:szCs w:val="24"/>
        </w:rPr>
        <w:t>Заключение</w:t>
      </w:r>
    </w:p>
    <w:p w14:paraId="672DEAF8" w14:textId="77777777" w:rsidR="00DD3278" w:rsidRPr="00FB2C30" w:rsidRDefault="00BF6E94" w:rsidP="00B32132">
      <w:pPr>
        <w:pStyle w:val="a5"/>
        <w:rPr>
          <w:i/>
          <w:szCs w:val="24"/>
        </w:rPr>
      </w:pPr>
      <w:r w:rsidRPr="00FB2C30">
        <w:rPr>
          <w:i/>
          <w:szCs w:val="24"/>
        </w:rPr>
        <w:t xml:space="preserve">по результатам </w:t>
      </w:r>
      <w:r w:rsidR="00DD3278" w:rsidRPr="00FB2C30">
        <w:rPr>
          <w:i/>
          <w:szCs w:val="24"/>
        </w:rPr>
        <w:t xml:space="preserve">внешней проверки бюджетной отчетности и </w:t>
      </w:r>
    </w:p>
    <w:p w14:paraId="679C1BCF" w14:textId="77777777" w:rsidR="00DD3278" w:rsidRPr="00FB2C30" w:rsidRDefault="00DD3278" w:rsidP="00B32132">
      <w:pPr>
        <w:pStyle w:val="a5"/>
      </w:pPr>
      <w:r w:rsidRPr="00FB2C30">
        <w:rPr>
          <w:i/>
          <w:szCs w:val="24"/>
        </w:rPr>
        <w:t>отдельных вопросов исполнения областного бюджета</w:t>
      </w:r>
      <w:r w:rsidR="009822FE" w:rsidRPr="00FB2C30">
        <w:rPr>
          <w:i/>
        </w:rPr>
        <w:t xml:space="preserve"> за 201</w:t>
      </w:r>
      <w:r w:rsidR="00823647" w:rsidRPr="00FB2C30">
        <w:rPr>
          <w:i/>
        </w:rPr>
        <w:t>8</w:t>
      </w:r>
      <w:r w:rsidRPr="00FB2C30">
        <w:rPr>
          <w:i/>
        </w:rPr>
        <w:t xml:space="preserve"> год главным администратором средств областного бюджета – </w:t>
      </w:r>
      <w:r w:rsidR="00D07502" w:rsidRPr="00FB2C30">
        <w:rPr>
          <w:i/>
        </w:rPr>
        <w:t>комитетом по делам территориальных образований, внутренней и информационной политики Волгоградской области</w:t>
      </w:r>
    </w:p>
    <w:p w14:paraId="6AE3CDBB" w14:textId="77777777" w:rsidR="00D07502" w:rsidRPr="00FB2C30" w:rsidRDefault="00D07502" w:rsidP="00B32132">
      <w:pPr>
        <w:pStyle w:val="a5"/>
      </w:pPr>
    </w:p>
    <w:p w14:paraId="4058709A" w14:textId="0DED10AA" w:rsidR="00BF6E94" w:rsidRPr="00FB2C30" w:rsidRDefault="00BF6E94" w:rsidP="00BF6E94">
      <w:pPr>
        <w:ind w:firstLine="720"/>
        <w:jc w:val="both"/>
      </w:pPr>
      <w:r w:rsidRPr="00FB2C30">
        <w:t>Камеральная проверка проведена в соответствии</w:t>
      </w:r>
      <w:r w:rsidR="003511B1">
        <w:t xml:space="preserve"> с </w:t>
      </w:r>
      <w:r w:rsidR="003511B1" w:rsidRPr="003511B1">
        <w:t>пунктом 2.1.2</w:t>
      </w:r>
      <w:r w:rsidR="003511B1">
        <w:t>9</w:t>
      </w:r>
      <w:bookmarkStart w:id="0" w:name="_GoBack"/>
      <w:bookmarkEnd w:id="0"/>
      <w:r w:rsidR="003511B1" w:rsidRPr="003511B1">
        <w:t xml:space="preserve"> плана работы контрольно-счетной палаты Волгоградской области на 2019 год, утвержденного постановлением коллегии контрольно-счетной палаты Волгоградской области от 17.12.2018 № 23/2,</w:t>
      </w:r>
      <w:r w:rsidRPr="00FB2C30">
        <w:t xml:space="preserve"> </w:t>
      </w:r>
      <w:r w:rsidR="003511B1">
        <w:t xml:space="preserve">и </w:t>
      </w:r>
      <w:r w:rsidRPr="00FB2C30">
        <w:rPr>
          <w:snapToGrid w:val="0"/>
        </w:rPr>
        <w:t xml:space="preserve">со Стандартом финансового контроля </w:t>
      </w:r>
      <w:r w:rsidRPr="00FB2C30">
        <w:t>«Последующий контроль за исполнением бюджета Волгоградской области»</w:t>
      </w:r>
      <w:r w:rsidRPr="00FB2C30">
        <w:rPr>
          <w:snapToGrid w:val="0"/>
        </w:rPr>
        <w:t>, утвержденным постановлением коллегии КСП от 30.09.2008 № 37 (далее Стандарт финансового контроля КСП),</w:t>
      </w:r>
      <w:r w:rsidRPr="00FB2C30">
        <w:t xml:space="preserve"> на основе бюджетной отчетности Комитета за 2018 год в составе, определенном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 № 191н (далее Инструкция № 191н).</w:t>
      </w:r>
    </w:p>
    <w:p w14:paraId="1BE48C8E" w14:textId="77777777" w:rsidR="0073099F" w:rsidRPr="00FB2C30" w:rsidRDefault="0073099F" w:rsidP="00B3213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2C3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Комитет осуществляет свою деятельность в соответствии с Положением о комитете по делам территориальных образований, внутренней и информационной политики Волгоградской области (далее Комитет), утвержденным постановлением Губернатора Волгоградской области от 19.12.2016 № 955.</w:t>
      </w:r>
    </w:p>
    <w:p w14:paraId="29F0D770" w14:textId="77777777" w:rsidR="0073099F" w:rsidRPr="00FB2C30" w:rsidRDefault="0073099F" w:rsidP="00B32132">
      <w:pPr>
        <w:tabs>
          <w:tab w:val="left" w:pos="1410"/>
        </w:tabs>
        <w:ind w:firstLine="709"/>
        <w:jc w:val="both"/>
      </w:pPr>
      <w:r w:rsidRPr="00FB2C30">
        <w:t>Комитет является органом исполнительной власти Волгоградской области, участвующим в проведении единой государственной политики по вопросам организации местного самоуправления, а также уполномоченным на организацию и обеспечение взаимодействия Губернатора Волгоградской области и Администрации Волгоградской области с некоммерческими организациями, в том числе с политическими партиями и организациями ветеранов, на проведение государственной информационной политики на территории Волгоградской области в сфере средств массовой информации и массовых коммуникаций, развития информационных ресурсов, печати, издательской, полиграфической деятельности, распространения печатной продукции.</w:t>
      </w:r>
    </w:p>
    <w:p w14:paraId="1785B1D7" w14:textId="77777777" w:rsidR="0073099F" w:rsidRPr="00FB2C30" w:rsidRDefault="0073099F" w:rsidP="00B32132">
      <w:pPr>
        <w:tabs>
          <w:tab w:val="left" w:pos="900"/>
        </w:tabs>
        <w:ind w:firstLine="720"/>
        <w:jc w:val="both"/>
      </w:pPr>
      <w:r w:rsidRPr="00FB2C30">
        <w:t>Штатная численность государственных служащих Комитета утверждена Законом Волгоградской области от 1</w:t>
      </w:r>
      <w:r w:rsidR="00DD6A12" w:rsidRPr="00FB2C30">
        <w:t>5</w:t>
      </w:r>
      <w:r w:rsidRPr="00FB2C30">
        <w:t>.12.201</w:t>
      </w:r>
      <w:r w:rsidR="00DD6A12" w:rsidRPr="00FB2C30">
        <w:t>7</w:t>
      </w:r>
      <w:r w:rsidRPr="00FB2C30">
        <w:t xml:space="preserve"> № 12</w:t>
      </w:r>
      <w:r w:rsidR="00DD6A12" w:rsidRPr="00FB2C30">
        <w:t>4</w:t>
      </w:r>
      <w:r w:rsidRPr="00FB2C30">
        <w:t>-ОД «Об областном бюджете на 201</w:t>
      </w:r>
      <w:r w:rsidR="00DD6A12" w:rsidRPr="00FB2C30">
        <w:t>8</w:t>
      </w:r>
      <w:r w:rsidRPr="00FB2C30">
        <w:t xml:space="preserve"> год и на плановый период 201</w:t>
      </w:r>
      <w:r w:rsidR="00DD6A12" w:rsidRPr="00FB2C30">
        <w:t>9</w:t>
      </w:r>
      <w:r w:rsidRPr="00FB2C30">
        <w:t xml:space="preserve"> и 20</w:t>
      </w:r>
      <w:r w:rsidR="00DD6A12" w:rsidRPr="00FB2C30">
        <w:t>20</w:t>
      </w:r>
      <w:r w:rsidRPr="00FB2C30">
        <w:t xml:space="preserve"> годов» (далее - Закон об областном бюджете)  на 201</w:t>
      </w:r>
      <w:r w:rsidR="00DD6A12" w:rsidRPr="00FB2C30">
        <w:t>8</w:t>
      </w:r>
      <w:r w:rsidRPr="00FB2C30">
        <w:t xml:space="preserve"> год в количестве 58 ед. Штатная численность всех работников Комитета на 01.01.201</w:t>
      </w:r>
      <w:r w:rsidR="005B3804" w:rsidRPr="00FB2C30">
        <w:t>9</w:t>
      </w:r>
      <w:r w:rsidRPr="00FB2C30">
        <w:t xml:space="preserve"> составила 65 ед., из них: 1 ед. – государственной должности, 58 ед. - должности государственной гражданской службы, 6 ед.- должности, не являющиеся должностями государственной гражданской службы.</w:t>
      </w:r>
    </w:p>
    <w:p w14:paraId="7F0449E3" w14:textId="77777777" w:rsidR="00544B40" w:rsidRPr="00FB2C30" w:rsidRDefault="00544B40" w:rsidP="00B32132">
      <w:pPr>
        <w:ind w:firstLine="709"/>
        <w:jc w:val="center"/>
        <w:rPr>
          <w:b/>
        </w:rPr>
      </w:pPr>
    </w:p>
    <w:p w14:paraId="62937FED" w14:textId="77777777" w:rsidR="00DD3278" w:rsidRPr="00FB2C30" w:rsidRDefault="00DD3278" w:rsidP="00B32132">
      <w:pPr>
        <w:ind w:firstLine="709"/>
        <w:jc w:val="center"/>
        <w:rPr>
          <w:b/>
          <w:i/>
        </w:rPr>
      </w:pPr>
      <w:r w:rsidRPr="00FB2C30">
        <w:rPr>
          <w:b/>
          <w:i/>
        </w:rPr>
        <w:t>Проверка полноты бюджетной отчетности. Визуальный контроль бюджетной отчетности</w:t>
      </w:r>
    </w:p>
    <w:p w14:paraId="4F9F87AE" w14:textId="77777777" w:rsidR="004B67FA" w:rsidRPr="00FB2C30" w:rsidRDefault="004B67FA" w:rsidP="00B32132">
      <w:pPr>
        <w:jc w:val="both"/>
      </w:pPr>
      <w:r w:rsidRPr="00FB2C30">
        <w:tab/>
        <w:t xml:space="preserve">Сводная бюджетная </w:t>
      </w:r>
      <w:r w:rsidRPr="00FB2C30">
        <w:rPr>
          <w:bCs/>
        </w:rPr>
        <w:t>отчетность Комитета за 201</w:t>
      </w:r>
      <w:r w:rsidR="009F30C4" w:rsidRPr="00FB2C30">
        <w:rPr>
          <w:bCs/>
        </w:rPr>
        <w:t>8</w:t>
      </w:r>
      <w:r w:rsidRPr="00FB2C30">
        <w:rPr>
          <w:bCs/>
        </w:rPr>
        <w:t xml:space="preserve"> год представлена к </w:t>
      </w:r>
      <w:r w:rsidRPr="00FB2C30">
        <w:t>проверке в составе, определенном ст. 264.1 БК РФ и предусмотренном Инструкцией №191н.</w:t>
      </w:r>
      <w:r w:rsidR="00F97324" w:rsidRPr="00FB2C30">
        <w:t xml:space="preserve"> Информация о комплектности и соответствии установленным формам бюджетной отчетности представлена в приложении №1.</w:t>
      </w:r>
    </w:p>
    <w:p w14:paraId="3624FD39" w14:textId="77777777" w:rsidR="004D6F3C" w:rsidRPr="00FB2C30" w:rsidRDefault="004D6F3C" w:rsidP="004D6F3C">
      <w:pPr>
        <w:ind w:firstLine="709"/>
        <w:jc w:val="both"/>
      </w:pPr>
      <w:r w:rsidRPr="00FB2C30">
        <w:t>В соответствии с соглашением от 29.05.2015 № 9 Комитетом полномочия по ведению бухгалтерского учета и формированию бюджетной отчетности переданы ГКУ Волгоградской области «Центр бюджетного учета и отчетности» (далее – ГКУ ЦБУ).</w:t>
      </w:r>
    </w:p>
    <w:p w14:paraId="44133379" w14:textId="77777777" w:rsidR="00DF7FFB" w:rsidRPr="00FB2C30" w:rsidRDefault="004B67FA" w:rsidP="00B32132">
      <w:pPr>
        <w:pStyle w:val="ab"/>
        <w:spacing w:after="0"/>
        <w:ind w:left="0" w:firstLine="709"/>
        <w:jc w:val="both"/>
        <w:rPr>
          <w:rStyle w:val="iceouttxt51"/>
          <w:b/>
          <w:color w:val="auto"/>
        </w:rPr>
      </w:pPr>
      <w:r w:rsidRPr="00FB2C30">
        <w:rPr>
          <w:rFonts w:eastAsiaTheme="minorHAnsi"/>
          <w:lang w:eastAsia="en-US"/>
        </w:rPr>
        <w:lastRenderedPageBreak/>
        <w:t>Бюджетная отчетность Комитета за 201</w:t>
      </w:r>
      <w:r w:rsidR="002B51D3" w:rsidRPr="00FB2C30">
        <w:rPr>
          <w:rFonts w:eastAsiaTheme="minorHAnsi"/>
          <w:lang w:eastAsia="en-US"/>
        </w:rPr>
        <w:t>8</w:t>
      </w:r>
      <w:r w:rsidR="00DF7FFB" w:rsidRPr="00FB2C30">
        <w:rPr>
          <w:rFonts w:eastAsiaTheme="minorHAnsi"/>
          <w:lang w:eastAsia="en-US"/>
        </w:rPr>
        <w:t xml:space="preserve"> </w:t>
      </w:r>
      <w:r w:rsidR="0032633D" w:rsidRPr="00FB2C30">
        <w:rPr>
          <w:rFonts w:eastAsiaTheme="minorHAnsi"/>
          <w:lang w:eastAsia="en-US"/>
        </w:rPr>
        <w:t xml:space="preserve">год </w:t>
      </w:r>
      <w:r w:rsidR="004F4B98" w:rsidRPr="00FB2C30">
        <w:rPr>
          <w:rFonts w:eastAsiaTheme="minorHAnsi"/>
          <w:lang w:eastAsia="en-US"/>
        </w:rPr>
        <w:t>представлена</w:t>
      </w:r>
      <w:r w:rsidR="0032633D" w:rsidRPr="00FB2C30">
        <w:rPr>
          <w:rFonts w:eastAsiaTheme="minorHAnsi"/>
          <w:lang w:eastAsia="en-US"/>
        </w:rPr>
        <w:t xml:space="preserve"> ГКУ ЦБУ</w:t>
      </w:r>
      <w:r w:rsidRPr="00FB2C30">
        <w:rPr>
          <w:rFonts w:eastAsiaTheme="minorHAnsi"/>
          <w:lang w:eastAsia="en-US"/>
        </w:rPr>
        <w:t xml:space="preserve"> </w:t>
      </w:r>
      <w:r w:rsidR="00DF7FFB" w:rsidRPr="00FB2C30">
        <w:rPr>
          <w:rFonts w:eastAsiaTheme="minorHAnsi"/>
          <w:lang w:eastAsia="en-US"/>
        </w:rPr>
        <w:t xml:space="preserve">в </w:t>
      </w:r>
      <w:r w:rsidR="00DF7FFB" w:rsidRPr="00FB2C30">
        <w:t xml:space="preserve">комитет финансов Волгоградской области (далее Облфин) </w:t>
      </w:r>
      <w:r w:rsidR="00DF7FFB" w:rsidRPr="00FB2C30">
        <w:rPr>
          <w:rFonts w:eastAsiaTheme="minorHAnsi"/>
          <w:lang w:eastAsia="en-US"/>
        </w:rPr>
        <w:t>0</w:t>
      </w:r>
      <w:r w:rsidR="004F4B98" w:rsidRPr="00FB2C30">
        <w:rPr>
          <w:rFonts w:eastAsiaTheme="minorHAnsi"/>
          <w:lang w:eastAsia="en-US"/>
        </w:rPr>
        <w:t>7</w:t>
      </w:r>
      <w:r w:rsidRPr="00FB2C30">
        <w:rPr>
          <w:rFonts w:eastAsiaTheme="minorHAnsi"/>
          <w:lang w:eastAsia="en-US"/>
        </w:rPr>
        <w:t xml:space="preserve"> февраля 201</w:t>
      </w:r>
      <w:r w:rsidR="002B51D3" w:rsidRPr="00FB2C30">
        <w:rPr>
          <w:rFonts w:eastAsiaTheme="minorHAnsi"/>
          <w:lang w:eastAsia="en-US"/>
        </w:rPr>
        <w:t>9</w:t>
      </w:r>
      <w:r w:rsidRPr="00FB2C30">
        <w:rPr>
          <w:rFonts w:eastAsiaTheme="minorHAnsi"/>
          <w:lang w:eastAsia="en-US"/>
        </w:rPr>
        <w:t xml:space="preserve"> года в срок, установленный </w:t>
      </w:r>
      <w:r w:rsidR="0060470C" w:rsidRPr="00FB2C30">
        <w:rPr>
          <w:rFonts w:eastAsiaTheme="minorHAnsi"/>
          <w:lang w:eastAsia="en-US"/>
        </w:rPr>
        <w:t>Облфином (</w:t>
      </w:r>
      <w:r w:rsidR="00DF7FFB" w:rsidRPr="00FB2C30">
        <w:t>Письмо №06-05-01-61/</w:t>
      </w:r>
      <w:r w:rsidR="004F4B98" w:rsidRPr="00FB2C30">
        <w:t>10357</w:t>
      </w:r>
      <w:r w:rsidR="00DF7FFB" w:rsidRPr="00FB2C30">
        <w:t>)</w:t>
      </w:r>
      <w:r w:rsidRPr="00FB2C30">
        <w:t xml:space="preserve">. </w:t>
      </w:r>
      <w:r w:rsidR="00E80275" w:rsidRPr="00FB2C30">
        <w:t>По данным справки о проверке и рассмотрении годового отчета об исполнении бюджета бюджетная отчетность Комитета принята Облфином 27.02.2019.</w:t>
      </w:r>
    </w:p>
    <w:p w14:paraId="2FAA728A" w14:textId="77777777" w:rsidR="004B67FA" w:rsidRPr="00FB2C30" w:rsidRDefault="004B67FA" w:rsidP="00B32132">
      <w:pPr>
        <w:ind w:firstLine="720"/>
        <w:jc w:val="both"/>
      </w:pPr>
      <w:r w:rsidRPr="00FB2C30">
        <w:t xml:space="preserve">Все формы отчетности подписаны руководителем Комитета, руководителем и главным бухгалтером </w:t>
      </w:r>
      <w:r w:rsidR="0032633D" w:rsidRPr="00FB2C30">
        <w:t>ГКУ ЦБУ</w:t>
      </w:r>
      <w:r w:rsidRPr="00FB2C30">
        <w:t>.</w:t>
      </w:r>
    </w:p>
    <w:p w14:paraId="38F8D9D8" w14:textId="77777777" w:rsidR="00EF5D22" w:rsidRPr="00FB2C30" w:rsidRDefault="00EF5D22" w:rsidP="00B32132">
      <w:pPr>
        <w:ind w:firstLine="720"/>
        <w:jc w:val="both"/>
      </w:pPr>
      <w:r w:rsidRPr="00FB2C30">
        <w:t xml:space="preserve">Проверкой состава и содержания бюджетной отчетности установлено </w:t>
      </w:r>
      <w:r w:rsidR="0046518B" w:rsidRPr="00FB2C30">
        <w:t>5</w:t>
      </w:r>
      <w:r w:rsidRPr="00FB2C30">
        <w:t xml:space="preserve"> случаев нарушения положений Инструкции № 191н</w:t>
      </w:r>
      <w:r w:rsidR="009315EF" w:rsidRPr="00FB2C30">
        <w:t xml:space="preserve"> при составлении </w:t>
      </w:r>
      <w:r w:rsidR="0046518B" w:rsidRPr="00FB2C30">
        <w:t>5</w:t>
      </w:r>
      <w:r w:rsidR="009315EF" w:rsidRPr="00FB2C30">
        <w:t xml:space="preserve"> форм бюджетной отчетности</w:t>
      </w:r>
      <w:r w:rsidRPr="00FB2C30">
        <w:t>, которы</w:t>
      </w:r>
      <w:r w:rsidR="0046518B" w:rsidRPr="00FB2C30">
        <w:t>е</w:t>
      </w:r>
      <w:r w:rsidRPr="00FB2C30">
        <w:t xml:space="preserve"> в ходе проверки </w:t>
      </w:r>
      <w:r w:rsidR="0046518B" w:rsidRPr="00FB2C30">
        <w:t>были устранены</w:t>
      </w:r>
      <w:r w:rsidR="009315EF" w:rsidRPr="00FB2C30">
        <w:t>.</w:t>
      </w:r>
      <w:r w:rsidRPr="00FB2C30">
        <w:t xml:space="preserve"> </w:t>
      </w:r>
    </w:p>
    <w:p w14:paraId="3DCA18C6" w14:textId="77777777" w:rsidR="006461FE" w:rsidRPr="00FB2C30" w:rsidRDefault="00CB4B47" w:rsidP="00BB24AF">
      <w:pPr>
        <w:ind w:firstLine="720"/>
        <w:jc w:val="both"/>
        <w:rPr>
          <w:i/>
          <w:color w:val="FF0000"/>
        </w:rPr>
      </w:pPr>
      <w:r w:rsidRPr="00FB2C30">
        <w:rPr>
          <w:rFonts w:eastAsia="Calibri"/>
        </w:rPr>
        <w:t>В ходе проверки представлены уточненные формы отчетности</w:t>
      </w:r>
      <w:r w:rsidRPr="00FB2C30">
        <w:t xml:space="preserve"> письмами от 25.02.2019 №13-01-01-01/630, от  </w:t>
      </w:r>
      <w:r w:rsidRPr="00FB2C30">
        <w:rPr>
          <w:rFonts w:eastAsia="Calibri"/>
        </w:rPr>
        <w:t>27.02.2019 №13-01-01-01/674, от 28.02.2019 №13-01-01-01/704.</w:t>
      </w:r>
    </w:p>
    <w:p w14:paraId="0D252D96" w14:textId="77777777" w:rsidR="00EB0E5A" w:rsidRPr="00FB2C30" w:rsidRDefault="00EB0E5A" w:rsidP="00BB24AF">
      <w:pPr>
        <w:pStyle w:val="ab"/>
        <w:spacing w:after="0"/>
        <w:ind w:left="0" w:firstLine="709"/>
        <w:jc w:val="center"/>
        <w:rPr>
          <w:b/>
          <w:i/>
        </w:rPr>
      </w:pPr>
    </w:p>
    <w:p w14:paraId="66529C2C" w14:textId="77777777" w:rsidR="0003532A" w:rsidRPr="00FB2C30" w:rsidRDefault="0003532A" w:rsidP="0003532A">
      <w:pPr>
        <w:pStyle w:val="ab"/>
        <w:spacing w:before="120" w:after="0"/>
        <w:ind w:left="0" w:firstLine="709"/>
        <w:jc w:val="center"/>
        <w:rPr>
          <w:b/>
          <w:i/>
        </w:rPr>
      </w:pPr>
      <w:r w:rsidRPr="00FB2C30">
        <w:rPr>
          <w:b/>
          <w:i/>
        </w:rPr>
        <w:t>Основные показатели отчетности</w:t>
      </w:r>
    </w:p>
    <w:p w14:paraId="0A3E252C" w14:textId="77777777" w:rsidR="00DD3278" w:rsidRPr="00FB2C30" w:rsidRDefault="00DD3278" w:rsidP="0003532A">
      <w:pPr>
        <w:autoSpaceDE w:val="0"/>
        <w:autoSpaceDN w:val="0"/>
        <w:adjustRightInd w:val="0"/>
        <w:ind w:firstLine="709"/>
        <w:jc w:val="both"/>
        <w:outlineLvl w:val="0"/>
        <w:rPr>
          <w:bCs/>
          <w:i/>
          <w:u w:val="single"/>
        </w:rPr>
      </w:pPr>
      <w:r w:rsidRPr="00FB2C30">
        <w:rPr>
          <w:i/>
          <w:u w:val="single"/>
        </w:rPr>
        <w:t>Исполнение доход</w:t>
      </w:r>
      <w:r w:rsidR="0046518B" w:rsidRPr="00FB2C30">
        <w:rPr>
          <w:i/>
          <w:u w:val="single"/>
        </w:rPr>
        <w:t>ов</w:t>
      </w:r>
    </w:p>
    <w:p w14:paraId="0D24ACA7" w14:textId="77777777" w:rsidR="00F97324" w:rsidRPr="00FB2C30" w:rsidRDefault="00DD3278" w:rsidP="00B32132">
      <w:pPr>
        <w:pStyle w:val="1"/>
        <w:spacing w:before="0" w:after="0"/>
        <w:ind w:firstLine="720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bookmarkStart w:id="1" w:name="OLE_LINK2"/>
      <w:r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Данные об администрируемых Комитетом доходах и</w:t>
      </w:r>
      <w:r w:rsidR="0032633D"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фактическом </w:t>
      </w:r>
      <w:r w:rsidR="0076461D"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их </w:t>
      </w:r>
      <w:r w:rsidR="0032633D"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поступлении за 201</w:t>
      </w:r>
      <w:r w:rsidR="002B51D3"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8</w:t>
      </w:r>
      <w:r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год отражены в </w:t>
      </w:r>
      <w:r w:rsidR="0003532A"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таблице №1</w:t>
      </w:r>
      <w:r w:rsidRPr="00FB2C3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.</w:t>
      </w:r>
    </w:p>
    <w:p w14:paraId="530047D3" w14:textId="77777777" w:rsidR="0003532A" w:rsidRPr="00FB2C30" w:rsidRDefault="0003532A" w:rsidP="0003532A">
      <w:pPr>
        <w:jc w:val="right"/>
        <w:rPr>
          <w:rFonts w:eastAsia="Calibri"/>
        </w:rPr>
      </w:pPr>
      <w:r w:rsidRPr="00FB2C30">
        <w:rPr>
          <w:rFonts w:eastAsia="Calibri"/>
        </w:rPr>
        <w:t>Таблица №1</w:t>
      </w:r>
    </w:p>
    <w:tbl>
      <w:tblPr>
        <w:tblW w:w="10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559"/>
        <w:gridCol w:w="1560"/>
        <w:gridCol w:w="1623"/>
        <w:gridCol w:w="960"/>
        <w:gridCol w:w="960"/>
      </w:tblGrid>
      <w:tr w:rsidR="0003532A" w:rsidRPr="00FB2C30" w14:paraId="07308651" w14:textId="77777777" w:rsidTr="00381D72">
        <w:trPr>
          <w:trHeight w:val="43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C98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F1E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22E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F0FC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Исполнено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EF2E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Отклонение</w:t>
            </w:r>
          </w:p>
        </w:tc>
      </w:tr>
      <w:tr w:rsidR="0003532A" w:rsidRPr="00FB2C30" w14:paraId="54C825E0" w14:textId="77777777" w:rsidTr="00381D72">
        <w:trPr>
          <w:trHeight w:val="43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734B" w14:textId="77777777" w:rsidR="0003532A" w:rsidRPr="00FB2C30" w:rsidRDefault="0003532A" w:rsidP="000353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E1FC" w14:textId="77777777" w:rsidR="0003532A" w:rsidRPr="00FB2C30" w:rsidRDefault="0003532A" w:rsidP="0003532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D04" w14:textId="77777777" w:rsidR="0003532A" w:rsidRPr="00FB2C30" w:rsidRDefault="0003532A" w:rsidP="0003532A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8C55" w14:textId="77777777" w:rsidR="0003532A" w:rsidRPr="00FB2C30" w:rsidRDefault="0003532A" w:rsidP="0003532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7676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880D" w14:textId="77777777" w:rsidR="0003532A" w:rsidRPr="00FB2C30" w:rsidRDefault="0003532A" w:rsidP="0003532A">
            <w:pPr>
              <w:jc w:val="center"/>
              <w:rPr>
                <w:color w:val="000000"/>
                <w:sz w:val="20"/>
                <w:szCs w:val="20"/>
              </w:rPr>
            </w:pPr>
            <w:r w:rsidRPr="00FB2C30">
              <w:rPr>
                <w:color w:val="000000"/>
                <w:sz w:val="20"/>
                <w:szCs w:val="20"/>
              </w:rPr>
              <w:t>%</w:t>
            </w:r>
          </w:p>
        </w:tc>
      </w:tr>
      <w:tr w:rsidR="0003532A" w:rsidRPr="00FB2C30" w14:paraId="64DAF22E" w14:textId="77777777" w:rsidTr="00381D72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E356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0F5E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5AAB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43F0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24BB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EBE7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6</w:t>
            </w:r>
          </w:p>
        </w:tc>
      </w:tr>
      <w:tr w:rsidR="0003532A" w:rsidRPr="00FB2C30" w14:paraId="66A7A354" w14:textId="77777777" w:rsidTr="00381D72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B2E4" w14:textId="77777777" w:rsidR="0003532A" w:rsidRPr="00FB2C30" w:rsidRDefault="0003532A" w:rsidP="0003532A">
            <w:pPr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90C" w14:textId="77777777" w:rsidR="0003532A" w:rsidRPr="00FB2C30" w:rsidRDefault="0003532A" w:rsidP="0003532A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117F" w14:textId="77777777" w:rsidR="0003532A" w:rsidRPr="00FB2C30" w:rsidRDefault="0003532A" w:rsidP="00381D7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1 366,0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EA55" w14:textId="77777777" w:rsidR="0003532A" w:rsidRPr="00FB2C30" w:rsidRDefault="0003532A" w:rsidP="00381D7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1 116,1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DBC" w14:textId="77777777" w:rsidR="0003532A" w:rsidRPr="00FB2C30" w:rsidRDefault="0003532A" w:rsidP="00381D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2C30">
              <w:rPr>
                <w:b/>
                <w:bCs/>
                <w:color w:val="000000"/>
                <w:sz w:val="20"/>
                <w:szCs w:val="20"/>
              </w:rPr>
              <w:t>-249,</w:t>
            </w:r>
            <w:r w:rsidR="00381D72" w:rsidRPr="00FB2C3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9CA1" w14:textId="77777777" w:rsidR="0003532A" w:rsidRPr="00FB2C30" w:rsidRDefault="0003532A" w:rsidP="000353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2C30">
              <w:rPr>
                <w:b/>
                <w:bCs/>
                <w:color w:val="000000"/>
                <w:sz w:val="20"/>
                <w:szCs w:val="20"/>
              </w:rPr>
              <w:t>-18,3</w:t>
            </w:r>
          </w:p>
        </w:tc>
      </w:tr>
      <w:tr w:rsidR="0003532A" w:rsidRPr="00FB2C30" w14:paraId="6591B95F" w14:textId="77777777" w:rsidTr="00381D72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BB5C" w14:textId="77777777" w:rsidR="0003532A" w:rsidRPr="00FB2C30" w:rsidRDefault="0003532A" w:rsidP="00381D72">
            <w:pPr>
              <w:jc w:val="both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9D34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1 13 02992 02 0000 130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9321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1 025,0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3E84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1 058,0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C84" w14:textId="77777777" w:rsidR="0003532A" w:rsidRPr="00FB2C30" w:rsidRDefault="0003532A" w:rsidP="00381D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2C30">
              <w:rPr>
                <w:b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8046" w14:textId="77777777" w:rsidR="0003532A" w:rsidRPr="00FB2C30" w:rsidRDefault="0003532A" w:rsidP="000353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2C30">
              <w:rPr>
                <w:b/>
                <w:bCs/>
                <w:color w:val="000000"/>
                <w:sz w:val="20"/>
                <w:szCs w:val="20"/>
              </w:rPr>
              <w:t>3,2</w:t>
            </w:r>
          </w:p>
        </w:tc>
      </w:tr>
      <w:tr w:rsidR="0003532A" w:rsidRPr="00FB2C30" w14:paraId="62669CE5" w14:textId="77777777" w:rsidTr="00381D72">
        <w:trPr>
          <w:trHeight w:val="11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5757" w14:textId="77777777" w:rsidR="0003532A" w:rsidRPr="00FB2C30" w:rsidRDefault="0003532A" w:rsidP="00381D72">
            <w:pPr>
              <w:jc w:val="both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78AD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1 16 32000 02 0000 140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570B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335,4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4CC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253,</w:t>
            </w:r>
            <w:r w:rsidR="00381D72" w:rsidRPr="00FB2C30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A436" w14:textId="77777777" w:rsidR="0003532A" w:rsidRPr="00FB2C30" w:rsidRDefault="0003532A" w:rsidP="00381D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2C30">
              <w:rPr>
                <w:b/>
                <w:bCs/>
                <w:color w:val="000000"/>
                <w:sz w:val="20"/>
                <w:szCs w:val="20"/>
              </w:rPr>
              <w:t>-81,9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05C" w14:textId="77777777" w:rsidR="0003532A" w:rsidRPr="00FB2C30" w:rsidRDefault="0003532A" w:rsidP="000353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2C30">
              <w:rPr>
                <w:b/>
                <w:bCs/>
                <w:color w:val="000000"/>
                <w:sz w:val="20"/>
                <w:szCs w:val="20"/>
              </w:rPr>
              <w:t>-24,4</w:t>
            </w:r>
          </w:p>
        </w:tc>
      </w:tr>
      <w:tr w:rsidR="0003532A" w:rsidRPr="00FB2C30" w14:paraId="5FC60645" w14:textId="77777777" w:rsidTr="00EB514C">
        <w:trPr>
          <w:trHeight w:val="138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F53B" w14:textId="77777777" w:rsidR="0003532A" w:rsidRPr="00FB2C30" w:rsidRDefault="0003532A" w:rsidP="00381D72">
            <w:pPr>
              <w:jc w:val="both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8B75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1 16 33020 02 0000 140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FC19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5,6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F078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5,</w:t>
            </w:r>
            <w:r w:rsidR="00381D72" w:rsidRPr="00FB2C30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DEF" w14:textId="77777777" w:rsidR="0003532A" w:rsidRPr="00FB2C30" w:rsidRDefault="00381D72" w:rsidP="0003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B2C3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3AB4" w14:textId="77777777" w:rsidR="0003532A" w:rsidRPr="00FB2C30" w:rsidRDefault="00381D72" w:rsidP="000353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B2C30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3532A" w:rsidRPr="00FB2C30" w14:paraId="256A1356" w14:textId="77777777" w:rsidTr="00381D72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8113" w14:textId="77777777" w:rsidR="0003532A" w:rsidRPr="00FB2C30" w:rsidRDefault="0003532A" w:rsidP="00381D72">
            <w:pPr>
              <w:jc w:val="both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Возврат остатков субсидий на мероприятия по поддержке социально ориентированных некоммерческих организаций из бюджетов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0FB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2 19 25085 02 0000 151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72C" w14:textId="77777777" w:rsidR="0003532A" w:rsidRPr="00FB2C30" w:rsidRDefault="0003532A" w:rsidP="0003532A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298" w14:textId="77777777" w:rsidR="0003532A" w:rsidRPr="00FB2C30" w:rsidRDefault="0003532A" w:rsidP="00381D7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-20</w:t>
            </w:r>
            <w:r w:rsidR="00381D72" w:rsidRPr="00FB2C30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C25D" w14:textId="77777777" w:rsidR="0003532A" w:rsidRPr="00FB2C30" w:rsidRDefault="0003532A" w:rsidP="0003532A">
            <w:pPr>
              <w:jc w:val="center"/>
              <w:rPr>
                <w:color w:val="000000"/>
                <w:sz w:val="20"/>
                <w:szCs w:val="20"/>
              </w:rPr>
            </w:pPr>
            <w:r w:rsidRPr="00FB2C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5F1F" w14:textId="77777777" w:rsidR="0003532A" w:rsidRPr="00FB2C30" w:rsidRDefault="0003532A" w:rsidP="0003532A">
            <w:pPr>
              <w:jc w:val="center"/>
              <w:rPr>
                <w:color w:val="000000"/>
                <w:sz w:val="20"/>
                <w:szCs w:val="20"/>
              </w:rPr>
            </w:pPr>
            <w:r w:rsidRPr="00FB2C30"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71749372" w14:textId="77777777" w:rsidR="000E0DA1" w:rsidRPr="00FB2C30" w:rsidRDefault="00A4391D" w:rsidP="00B32132">
      <w:pPr>
        <w:ind w:firstLine="709"/>
        <w:jc w:val="both"/>
      </w:pPr>
      <w:r w:rsidRPr="00FB2C30">
        <w:t xml:space="preserve">Как видно из </w:t>
      </w:r>
      <w:r w:rsidR="0003532A" w:rsidRPr="00FB2C30">
        <w:t>таблицы №1</w:t>
      </w:r>
      <w:r w:rsidR="00B32132" w:rsidRPr="00FB2C30">
        <w:t>,</w:t>
      </w:r>
      <w:r w:rsidRPr="00FB2C30">
        <w:t xml:space="preserve"> д</w:t>
      </w:r>
      <w:r w:rsidR="00CE47F0" w:rsidRPr="00FB2C30">
        <w:t xml:space="preserve">оходы </w:t>
      </w:r>
      <w:r w:rsidR="00726362" w:rsidRPr="00FB2C30">
        <w:t>исполнены</w:t>
      </w:r>
      <w:r w:rsidR="00CE47F0" w:rsidRPr="00FB2C30">
        <w:t xml:space="preserve"> в сумме </w:t>
      </w:r>
      <w:r w:rsidR="00726362" w:rsidRPr="00FB2C30">
        <w:t>1116,1</w:t>
      </w:r>
      <w:r w:rsidR="00CE47F0" w:rsidRPr="00FB2C30">
        <w:t xml:space="preserve"> тыс.</w:t>
      </w:r>
      <w:r w:rsidR="00355EF1" w:rsidRPr="00FB2C30">
        <w:t xml:space="preserve"> </w:t>
      </w:r>
      <w:r w:rsidR="00CE47F0" w:rsidRPr="00FB2C30">
        <w:t>руб.</w:t>
      </w:r>
      <w:r w:rsidR="0076461D" w:rsidRPr="00FB2C30">
        <w:t>,</w:t>
      </w:r>
      <w:r w:rsidR="00726362" w:rsidRPr="00FB2C30">
        <w:t xml:space="preserve"> </w:t>
      </w:r>
      <w:r w:rsidR="00CE47F0" w:rsidRPr="00FB2C30">
        <w:t xml:space="preserve">или </w:t>
      </w:r>
      <w:r w:rsidR="0076461D" w:rsidRPr="00FB2C30">
        <w:t xml:space="preserve">на </w:t>
      </w:r>
      <w:r w:rsidR="00726362" w:rsidRPr="00FB2C30">
        <w:t xml:space="preserve">81,7 % </w:t>
      </w:r>
      <w:r w:rsidR="0076461D" w:rsidRPr="00FB2C30">
        <w:t>от утвержденных назначений</w:t>
      </w:r>
      <w:r w:rsidRPr="00FB2C30">
        <w:t xml:space="preserve">, </w:t>
      </w:r>
      <w:r w:rsidR="004C03C5" w:rsidRPr="00FB2C30">
        <w:t xml:space="preserve">в разрезе источников доходов исполнение по отношению к прогнозным показателям составило от </w:t>
      </w:r>
      <w:r w:rsidR="00726362" w:rsidRPr="00FB2C30">
        <w:t>75,6</w:t>
      </w:r>
      <w:r w:rsidR="004C03C5" w:rsidRPr="00FB2C30">
        <w:t xml:space="preserve">% до </w:t>
      </w:r>
      <w:r w:rsidR="007D64FD" w:rsidRPr="00FB2C30">
        <w:t>103,2</w:t>
      </w:r>
      <w:r w:rsidRPr="00FB2C30">
        <w:t xml:space="preserve"> </w:t>
      </w:r>
      <w:r w:rsidR="00922367" w:rsidRPr="00FB2C30">
        <w:t>процент</w:t>
      </w:r>
      <w:r w:rsidR="007D64FD" w:rsidRPr="00FB2C30">
        <w:t>а</w:t>
      </w:r>
      <w:r w:rsidRPr="00FB2C30">
        <w:t>.</w:t>
      </w:r>
      <w:r w:rsidR="00355EF1" w:rsidRPr="00FB2C30">
        <w:t xml:space="preserve"> </w:t>
      </w:r>
      <w:r w:rsidR="00922367" w:rsidRPr="00FB2C30">
        <w:t xml:space="preserve"> </w:t>
      </w:r>
    </w:p>
    <w:p w14:paraId="20496803" w14:textId="77777777" w:rsidR="004C03C5" w:rsidRPr="00FB2C30" w:rsidRDefault="00164289" w:rsidP="00B32132">
      <w:pPr>
        <w:tabs>
          <w:tab w:val="left" w:pos="1372"/>
        </w:tabs>
        <w:autoSpaceDE w:val="0"/>
        <w:autoSpaceDN w:val="0"/>
        <w:adjustRightInd w:val="0"/>
        <w:ind w:firstLine="540"/>
        <w:jc w:val="both"/>
        <w:outlineLvl w:val="2"/>
      </w:pPr>
      <w:r w:rsidRPr="00FB2C30">
        <w:t xml:space="preserve">Согласно форме 0503164 </w:t>
      </w:r>
      <w:r w:rsidR="00377754" w:rsidRPr="00FB2C30">
        <w:t>«</w:t>
      </w:r>
      <w:r w:rsidRPr="00FB2C30">
        <w:t>Сведения об исполнении бюджета</w:t>
      </w:r>
      <w:r w:rsidR="00377754" w:rsidRPr="00FB2C30">
        <w:t>»</w:t>
      </w:r>
      <w:r w:rsidRPr="00FB2C30">
        <w:t xml:space="preserve"> Комитета о</w:t>
      </w:r>
      <w:r w:rsidR="004C03C5" w:rsidRPr="00FB2C30">
        <w:t xml:space="preserve">сновными причинами отклонения кассового исполнения отдельных видов доходов от прогнозных значений являются: </w:t>
      </w:r>
    </w:p>
    <w:p w14:paraId="3B280EA3" w14:textId="77777777" w:rsidR="004C03C5" w:rsidRPr="00FB2C30" w:rsidRDefault="004C03C5" w:rsidP="00B32132">
      <w:pPr>
        <w:tabs>
          <w:tab w:val="left" w:pos="1372"/>
        </w:tabs>
        <w:autoSpaceDE w:val="0"/>
        <w:autoSpaceDN w:val="0"/>
        <w:adjustRightInd w:val="0"/>
        <w:ind w:firstLine="540"/>
        <w:jc w:val="both"/>
        <w:outlineLvl w:val="2"/>
      </w:pPr>
      <w:r w:rsidRPr="00FB2C30">
        <w:t>-</w:t>
      </w:r>
      <w:r w:rsidR="00B10C9F" w:rsidRPr="00FB2C30">
        <w:t xml:space="preserve"> </w:t>
      </w:r>
      <w:r w:rsidR="000E0DA1" w:rsidRPr="00FB2C30">
        <w:t xml:space="preserve">по прочим доходам от компенсации затрат бюджетов субъектов РФ </w:t>
      </w:r>
      <w:r w:rsidR="0076461D" w:rsidRPr="00FB2C30">
        <w:t xml:space="preserve">- </w:t>
      </w:r>
      <w:r w:rsidR="000E0DA1" w:rsidRPr="00FB2C30">
        <w:t>в связи с возврат</w:t>
      </w:r>
      <w:r w:rsidR="005A3A35" w:rsidRPr="00FB2C30">
        <w:t>ом</w:t>
      </w:r>
      <w:r w:rsidR="00660CAB" w:rsidRPr="00FB2C30">
        <w:t xml:space="preserve"> получателями</w:t>
      </w:r>
      <w:r w:rsidR="005A3A35" w:rsidRPr="00FB2C30">
        <w:t xml:space="preserve"> </w:t>
      </w:r>
      <w:r w:rsidR="000E0DA1" w:rsidRPr="00FB2C30">
        <w:t xml:space="preserve"> неиспользованных остатков грантов </w:t>
      </w:r>
      <w:r w:rsidR="002D06EB" w:rsidRPr="00FB2C30">
        <w:t>в конце декабря 2018 года</w:t>
      </w:r>
      <w:r w:rsidRPr="00FB2C30">
        <w:t>;</w:t>
      </w:r>
    </w:p>
    <w:p w14:paraId="0AC64B00" w14:textId="77777777" w:rsidR="004C03C5" w:rsidRPr="00FB2C30" w:rsidRDefault="004C03C5" w:rsidP="00B32132">
      <w:pPr>
        <w:tabs>
          <w:tab w:val="left" w:pos="1372"/>
        </w:tabs>
        <w:autoSpaceDE w:val="0"/>
        <w:autoSpaceDN w:val="0"/>
        <w:adjustRightInd w:val="0"/>
        <w:ind w:firstLine="540"/>
        <w:jc w:val="both"/>
        <w:outlineLvl w:val="2"/>
      </w:pPr>
      <w:r w:rsidRPr="00FB2C30">
        <w:t>-</w:t>
      </w:r>
      <w:r w:rsidR="00B10C9F" w:rsidRPr="00FB2C30">
        <w:t xml:space="preserve"> </w:t>
      </w:r>
      <w:r w:rsidR="000E0DA1" w:rsidRPr="00FB2C30">
        <w:t>по денежным взысканиям, налагаемым в возмещение ущерба, причиненного в результате незаконного или нецелевого использования бюджетных</w:t>
      </w:r>
      <w:r w:rsidR="00CE1F8E" w:rsidRPr="00FB2C30">
        <w:t xml:space="preserve"> </w:t>
      </w:r>
      <w:r w:rsidR="00660CAB" w:rsidRPr="00FB2C30">
        <w:t xml:space="preserve">средств - </w:t>
      </w:r>
      <w:r w:rsidR="00CE1F8E" w:rsidRPr="00FB2C30">
        <w:t xml:space="preserve">в связи с непоступлением </w:t>
      </w:r>
      <w:r w:rsidR="00381E05" w:rsidRPr="00FB2C30">
        <w:t>доходов по исполнительным листам</w:t>
      </w:r>
      <w:r w:rsidR="00DB7B51" w:rsidRPr="00FB2C30">
        <w:t xml:space="preserve">. Отклонение от прогнозных поступлений превышает 10% </w:t>
      </w:r>
      <w:r w:rsidR="00841C69" w:rsidRPr="00FB2C30">
        <w:t>невыполнения</w:t>
      </w:r>
      <w:r w:rsidR="00DB7B51" w:rsidRPr="00FB2C30">
        <w:t xml:space="preserve">, что в соответствии со Стандартом  </w:t>
      </w:r>
      <w:r w:rsidR="00DB7B51" w:rsidRPr="00FB2C30">
        <w:rPr>
          <w:snapToGrid w:val="0"/>
        </w:rPr>
        <w:t>финансового контроля КСП</w:t>
      </w:r>
      <w:r w:rsidR="00DB7B51" w:rsidRPr="00FB2C30">
        <w:t xml:space="preserve"> расценивается как некачественное планирование</w:t>
      </w:r>
      <w:r w:rsidRPr="00FB2C30">
        <w:t>;</w:t>
      </w:r>
    </w:p>
    <w:p w14:paraId="7437F2EC" w14:textId="77777777" w:rsidR="004C03C5" w:rsidRPr="00FB2C30" w:rsidRDefault="004C03C5" w:rsidP="00B32132">
      <w:pPr>
        <w:tabs>
          <w:tab w:val="left" w:pos="1372"/>
        </w:tabs>
        <w:autoSpaceDE w:val="0"/>
        <w:autoSpaceDN w:val="0"/>
        <w:adjustRightInd w:val="0"/>
        <w:ind w:firstLine="540"/>
        <w:jc w:val="both"/>
        <w:outlineLvl w:val="2"/>
      </w:pPr>
      <w:r w:rsidRPr="00FB2C30">
        <w:t>-</w:t>
      </w:r>
      <w:r w:rsidR="00B10C9F" w:rsidRPr="00FB2C30">
        <w:t xml:space="preserve"> </w:t>
      </w:r>
      <w:r w:rsidRPr="00FB2C30">
        <w:t xml:space="preserve">по </w:t>
      </w:r>
      <w:r w:rsidR="000E0DA1" w:rsidRPr="00FB2C30">
        <w:t>безвозмездн</w:t>
      </w:r>
      <w:r w:rsidR="00CB0A6E" w:rsidRPr="00FB2C30">
        <w:t>ы</w:t>
      </w:r>
      <w:r w:rsidR="000E0DA1" w:rsidRPr="00FB2C30">
        <w:t xml:space="preserve">м поступлениям </w:t>
      </w:r>
      <w:r w:rsidR="00841C69" w:rsidRPr="00FB2C30">
        <w:t xml:space="preserve">- </w:t>
      </w:r>
      <w:r w:rsidR="000E0DA1" w:rsidRPr="00FB2C30">
        <w:t xml:space="preserve">в связи с </w:t>
      </w:r>
      <w:r w:rsidR="007D64FD" w:rsidRPr="00FB2C30">
        <w:t xml:space="preserve">возвратом </w:t>
      </w:r>
      <w:r w:rsidR="00CB5C20" w:rsidRPr="00FB2C30">
        <w:t xml:space="preserve">в 2018 году </w:t>
      </w:r>
      <w:r w:rsidR="007D64FD" w:rsidRPr="00FB2C30">
        <w:t>остатков субсидий на мероприятия по поддержке социально ориентированных некоммерческих организаций</w:t>
      </w:r>
      <w:r w:rsidR="00B10C9F" w:rsidRPr="00FB2C30">
        <w:t xml:space="preserve"> </w:t>
      </w:r>
      <w:r w:rsidR="00CB5C20" w:rsidRPr="00FB2C30">
        <w:t xml:space="preserve">(решение Минфина РФ от 21.08.2018 №1736 в связи с несоблюдением Комитетом в 2015 году условий </w:t>
      </w:r>
      <w:r w:rsidR="00CB5C20" w:rsidRPr="00FB2C30">
        <w:lastRenderedPageBreak/>
        <w:t>предоставления субсидии из федерального бюджета в части необеспечения уровня софинансирования расходных обязательств за счет средств бюджета Волгоградской области)</w:t>
      </w:r>
    </w:p>
    <w:bookmarkEnd w:id="1"/>
    <w:p w14:paraId="216F4338" w14:textId="77777777" w:rsidR="00A339B6" w:rsidRPr="00FB2C30" w:rsidRDefault="00DD3278" w:rsidP="00381D7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FB2C30">
        <w:rPr>
          <w:i/>
          <w:u w:val="single"/>
        </w:rPr>
        <w:t>Исполнение расходов</w:t>
      </w:r>
    </w:p>
    <w:p w14:paraId="44727C02" w14:textId="77777777" w:rsidR="005A4E1D" w:rsidRPr="00FB2C30" w:rsidRDefault="00BD6A61" w:rsidP="00B32132">
      <w:pPr>
        <w:ind w:firstLine="709"/>
        <w:jc w:val="both"/>
      </w:pPr>
      <w:r w:rsidRPr="00FB2C30">
        <w:t>Законом об областном бюджете на 201</w:t>
      </w:r>
      <w:r w:rsidR="00127F2A" w:rsidRPr="00FB2C30">
        <w:t>8</w:t>
      </w:r>
      <w:r w:rsidRPr="00FB2C30">
        <w:t xml:space="preserve"> год </w:t>
      </w:r>
      <w:r w:rsidR="00841C69" w:rsidRPr="00FB2C30">
        <w:t xml:space="preserve">Комитету </w:t>
      </w:r>
      <w:r w:rsidRPr="00FB2C30">
        <w:t xml:space="preserve">предусмотрены расходы в сумме </w:t>
      </w:r>
      <w:r w:rsidR="001C4785" w:rsidRPr="00FB2C30">
        <w:t>279814,6</w:t>
      </w:r>
      <w:r w:rsidRPr="00FB2C30">
        <w:t xml:space="preserve"> тыс. руб., в окончательной редакции </w:t>
      </w:r>
      <w:r w:rsidR="00841C69" w:rsidRPr="00FB2C30">
        <w:t>закона</w:t>
      </w:r>
      <w:r w:rsidRPr="00FB2C30">
        <w:t xml:space="preserve"> утверждены ассигнования в сумме </w:t>
      </w:r>
      <w:r w:rsidR="001C4785" w:rsidRPr="00FB2C30">
        <w:t>293298,9</w:t>
      </w:r>
      <w:r w:rsidR="00DD3278" w:rsidRPr="00FB2C30">
        <w:t xml:space="preserve"> тыс. руб</w:t>
      </w:r>
      <w:r w:rsidR="005A4E1D" w:rsidRPr="00FB2C30">
        <w:t>лей.</w:t>
      </w:r>
      <w:r w:rsidR="00DD3278" w:rsidRPr="00FB2C30">
        <w:t xml:space="preserve"> </w:t>
      </w:r>
    </w:p>
    <w:p w14:paraId="770C2932" w14:textId="77777777" w:rsidR="00F83164" w:rsidRPr="00FB2C30" w:rsidRDefault="005A4E1D" w:rsidP="00B32132">
      <w:pPr>
        <w:autoSpaceDE w:val="0"/>
        <w:autoSpaceDN w:val="0"/>
        <w:adjustRightInd w:val="0"/>
        <w:ind w:firstLine="567"/>
        <w:jc w:val="both"/>
      </w:pPr>
      <w:r w:rsidRPr="00FB2C30">
        <w:t>С</w:t>
      </w:r>
      <w:r w:rsidR="00DE6988" w:rsidRPr="00FB2C30">
        <w:t xml:space="preserve">огласно </w:t>
      </w:r>
      <w:r w:rsidR="00DD3278" w:rsidRPr="00FB2C30">
        <w:t>бюджетной росписи и отчету об исполнении бюджета (ф. 0305127) бюджетны</w:t>
      </w:r>
      <w:r w:rsidR="007B6EC8" w:rsidRPr="00FB2C30">
        <w:t xml:space="preserve">е назначения составили </w:t>
      </w:r>
      <w:r w:rsidR="00022B3B" w:rsidRPr="00FB2C30">
        <w:t>307606</w:t>
      </w:r>
      <w:r w:rsidR="00C66FCD" w:rsidRPr="00FB2C30">
        <w:t xml:space="preserve"> тыс. руб., или </w:t>
      </w:r>
      <w:r w:rsidR="00F83164" w:rsidRPr="00FB2C30">
        <w:t xml:space="preserve">на </w:t>
      </w:r>
      <w:r w:rsidR="00022B3B" w:rsidRPr="00FB2C30">
        <w:t>27791,4</w:t>
      </w:r>
      <w:r w:rsidR="00F83164" w:rsidRPr="00FB2C30">
        <w:t xml:space="preserve"> тыс.</w:t>
      </w:r>
      <w:r w:rsidR="00355EF1" w:rsidRPr="00FB2C30">
        <w:t xml:space="preserve"> </w:t>
      </w:r>
      <w:r w:rsidR="00F83164" w:rsidRPr="00FB2C30">
        <w:t xml:space="preserve">руб. больше утвержденного первоначально Законом об областном бюджете и </w:t>
      </w:r>
      <w:r w:rsidR="00C66FCD" w:rsidRPr="00FB2C30">
        <w:t xml:space="preserve">на </w:t>
      </w:r>
      <w:r w:rsidR="00022B3B" w:rsidRPr="00FB2C30">
        <w:t>14307,1</w:t>
      </w:r>
      <w:r w:rsidR="00DD3278" w:rsidRPr="00FB2C30">
        <w:t xml:space="preserve"> тыс. руб.</w:t>
      </w:r>
      <w:r w:rsidR="00841C69" w:rsidRPr="00FB2C30">
        <w:t>,</w:t>
      </w:r>
      <w:r w:rsidR="00DD3278" w:rsidRPr="00FB2C30">
        <w:t xml:space="preserve"> </w:t>
      </w:r>
      <w:r w:rsidR="00C66FCD" w:rsidRPr="00FB2C30">
        <w:t xml:space="preserve">или </w:t>
      </w:r>
      <w:r w:rsidR="00022B3B" w:rsidRPr="00FB2C30">
        <w:t>на 4,9 %</w:t>
      </w:r>
      <w:r w:rsidRPr="00FB2C30">
        <w:t xml:space="preserve"> больше</w:t>
      </w:r>
      <w:r w:rsidR="007B6EC8" w:rsidRPr="00FB2C30">
        <w:t xml:space="preserve"> </w:t>
      </w:r>
      <w:r w:rsidR="00DD3278" w:rsidRPr="00FB2C30">
        <w:t xml:space="preserve">утвержденного </w:t>
      </w:r>
      <w:r w:rsidR="00F83164" w:rsidRPr="00FB2C30">
        <w:t xml:space="preserve">в </w:t>
      </w:r>
      <w:r w:rsidR="00CB0A6E" w:rsidRPr="00FB2C30">
        <w:t>о</w:t>
      </w:r>
      <w:r w:rsidR="00F83164" w:rsidRPr="00FB2C30">
        <w:t xml:space="preserve">кончательной редакции </w:t>
      </w:r>
      <w:r w:rsidR="00CB0A6E" w:rsidRPr="00FB2C30">
        <w:t>Закона</w:t>
      </w:r>
      <w:r w:rsidR="00DD3278" w:rsidRPr="00FB2C30">
        <w:t xml:space="preserve"> об областном бюджете.</w:t>
      </w:r>
      <w:r w:rsidR="00DE6988" w:rsidRPr="00FB2C30">
        <w:t xml:space="preserve"> </w:t>
      </w:r>
    </w:p>
    <w:p w14:paraId="28956684" w14:textId="77777777" w:rsidR="00C12164" w:rsidRPr="00FB2C30" w:rsidRDefault="00C12164" w:rsidP="00B321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FB2C30">
        <w:t xml:space="preserve">Согласно данным формы 0503163 «Сведения об изменениях бюджетной росписи главного распорядителя бюджетных средств» расхождение сложилось в связи с внесением изменений в бюджетную роспись в соответствии с п.3 ст.217 БК РФ, ст.46 Закона об </w:t>
      </w:r>
      <w:r w:rsidRPr="00FB2C30">
        <w:rPr>
          <w:rFonts w:eastAsia="Calibri"/>
          <w:lang w:eastAsia="en-US"/>
        </w:rPr>
        <w:t xml:space="preserve">областном бюджете на 2018 год, законов Волгоградской области от 30.05.2018 №66-ОД, от 19.09.2018 №99-ОД, от </w:t>
      </w:r>
      <w:r w:rsidR="0079357C" w:rsidRPr="00FB2C30">
        <w:rPr>
          <w:rFonts w:eastAsia="Calibri"/>
          <w:lang w:eastAsia="en-US"/>
        </w:rPr>
        <w:t>20.11.2018 №122-ОД о внесении изменений в Закон об областном бюджете на 2018 год.</w:t>
      </w:r>
    </w:p>
    <w:p w14:paraId="068A9978" w14:textId="77777777" w:rsidR="007C3A69" w:rsidRPr="00FB2C30" w:rsidRDefault="007C3A69" w:rsidP="00B321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FB2C30">
        <w:rPr>
          <w:rFonts w:eastAsia="Calibri"/>
          <w:lang w:eastAsia="en-US"/>
        </w:rPr>
        <w:t>В течение 2018 года были:</w:t>
      </w:r>
    </w:p>
    <w:p w14:paraId="0E2E36F6" w14:textId="77777777" w:rsidR="007C3A69" w:rsidRPr="00FB2C30" w:rsidRDefault="007C3A69" w:rsidP="00B321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FB2C30">
        <w:rPr>
          <w:rFonts w:eastAsia="Calibri"/>
          <w:lang w:eastAsia="en-US"/>
        </w:rPr>
        <w:t xml:space="preserve">- увеличены бюджетные ассигнования на 27841,4 тыс. руб., в том числе </w:t>
      </w:r>
      <w:r w:rsidRPr="00FB2C30">
        <w:t>и</w:t>
      </w:r>
      <w:r w:rsidRPr="00FB2C30">
        <w:rPr>
          <w:rFonts w:eastAsia="Calibri"/>
          <w:lang w:eastAsia="en-US"/>
        </w:rPr>
        <w:t xml:space="preserve">нформирование населения о реализации приоритетных направлений социально-экономического развития Волгоградской области – 11955 тыс. руб., обеспечение равенства политических партий, представленных в Волгоградской областной Думе, при освещении их деятельности – 475,1 тыс. руб., обеспечение деятельности государственных органов Волгоградской области и непрограммные расходы </w:t>
      </w:r>
      <w:r w:rsidR="00BD1577" w:rsidRPr="00FB2C30">
        <w:rPr>
          <w:rFonts w:eastAsia="Calibri"/>
          <w:lang w:eastAsia="en-US"/>
        </w:rPr>
        <w:t>–</w:t>
      </w:r>
      <w:r w:rsidRPr="00FB2C30">
        <w:rPr>
          <w:rFonts w:eastAsia="Calibri"/>
          <w:lang w:eastAsia="en-US"/>
        </w:rPr>
        <w:t xml:space="preserve"> </w:t>
      </w:r>
      <w:r w:rsidR="00BD1577" w:rsidRPr="00FB2C30">
        <w:rPr>
          <w:rFonts w:eastAsia="Calibri"/>
          <w:lang w:eastAsia="en-US"/>
        </w:rPr>
        <w:t>6618,1 тыс. руб., субсидии бюджетному учреждению на финансовое обеспечение выполнения государственного задания и на иные цели – 1227,5 тыс. руб.</w:t>
      </w:r>
      <w:r w:rsidR="00A81FE4" w:rsidRPr="00FB2C30">
        <w:rPr>
          <w:rFonts w:eastAsia="Calibri"/>
          <w:lang w:eastAsia="en-US"/>
        </w:rPr>
        <w:t>, профессиональную подготовку, переподготовку и повышение квалификации – 945,2 тыс. руб., субсидии на поддержку социально ориентированных некоммерческих организаций – 5392,7 тыс. руб., прочие мероприятия в области социальной политики – 1227,8 тыс. рублей;</w:t>
      </w:r>
    </w:p>
    <w:p w14:paraId="1DFF2ED8" w14:textId="77777777" w:rsidR="00A81FE4" w:rsidRPr="00FB2C30" w:rsidRDefault="00A81FE4" w:rsidP="00B3213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FB2C30">
        <w:rPr>
          <w:rFonts w:eastAsia="Calibri"/>
          <w:lang w:eastAsia="en-US"/>
        </w:rPr>
        <w:t>- уменьшены бюджетные ассигнования на 50 тыс. руб. по грантам Волгоградской области средствам массовой информации.</w:t>
      </w:r>
    </w:p>
    <w:p w14:paraId="61B4E624" w14:textId="77777777" w:rsidR="00A339B6" w:rsidRPr="00FB2C30" w:rsidRDefault="00EF412E" w:rsidP="00B32132">
      <w:pPr>
        <w:autoSpaceDE w:val="0"/>
        <w:autoSpaceDN w:val="0"/>
        <w:adjustRightInd w:val="0"/>
        <w:ind w:firstLine="567"/>
        <w:jc w:val="both"/>
      </w:pPr>
      <w:r w:rsidRPr="00FB2C30">
        <w:t xml:space="preserve">Исполнение кассовых расходов составило </w:t>
      </w:r>
      <w:r w:rsidR="002657D0" w:rsidRPr="00FB2C30">
        <w:t>305816,5</w:t>
      </w:r>
      <w:r w:rsidRPr="00FB2C30">
        <w:t xml:space="preserve"> тыс. руб., или </w:t>
      </w:r>
      <w:r w:rsidR="007D11FB" w:rsidRPr="00FB2C30">
        <w:t>9</w:t>
      </w:r>
      <w:r w:rsidR="002657D0" w:rsidRPr="00FB2C30">
        <w:t>9,4</w:t>
      </w:r>
      <w:r w:rsidRPr="00FB2C30">
        <w:t xml:space="preserve">% от </w:t>
      </w:r>
      <w:r w:rsidR="00841C69" w:rsidRPr="00FB2C30">
        <w:t>утвержденных в росписи</w:t>
      </w:r>
      <w:r w:rsidRPr="00FB2C30">
        <w:t xml:space="preserve"> ассигнований.</w:t>
      </w:r>
      <w:r w:rsidR="007F02D1" w:rsidRPr="00FB2C30">
        <w:t xml:space="preserve"> </w:t>
      </w:r>
      <w:r w:rsidR="00A339B6" w:rsidRPr="00FB2C30">
        <w:t xml:space="preserve">Анализ исполнения бюджетных назначений Комитета представлен в </w:t>
      </w:r>
      <w:r w:rsidR="009D53A1" w:rsidRPr="00FB2C30">
        <w:t>п</w:t>
      </w:r>
      <w:r w:rsidR="007F02D1" w:rsidRPr="00FB2C30">
        <w:t xml:space="preserve">риложении </w:t>
      </w:r>
      <w:r w:rsidR="00B7220C" w:rsidRPr="00FB2C30">
        <w:t>№</w:t>
      </w:r>
      <w:r w:rsidR="006B3C4F" w:rsidRPr="00FB2C30">
        <w:t>2</w:t>
      </w:r>
      <w:r w:rsidR="00A339B6" w:rsidRPr="00FB2C30">
        <w:t>.</w:t>
      </w:r>
    </w:p>
    <w:p w14:paraId="73EDCC77" w14:textId="77777777" w:rsidR="00707B60" w:rsidRPr="00FB2C30" w:rsidRDefault="002E73C7" w:rsidP="00B32132">
      <w:pPr>
        <w:ind w:firstLine="720"/>
        <w:jc w:val="both"/>
      </w:pPr>
      <w:r w:rsidRPr="00FB2C30">
        <w:t>Общая сумма неисполненных назначений на 01.01.201</w:t>
      </w:r>
      <w:r w:rsidR="002657D0" w:rsidRPr="00FB2C30">
        <w:t>9</w:t>
      </w:r>
      <w:r w:rsidR="006D3803" w:rsidRPr="00FB2C30">
        <w:t xml:space="preserve"> </w:t>
      </w:r>
      <w:r w:rsidRPr="00FB2C30">
        <w:t xml:space="preserve">составила </w:t>
      </w:r>
      <w:r w:rsidR="002657D0" w:rsidRPr="00FB2C30">
        <w:t>1789,6</w:t>
      </w:r>
      <w:r w:rsidRPr="00FB2C30">
        <w:t xml:space="preserve"> тыс. руб., или </w:t>
      </w:r>
      <w:r w:rsidR="002657D0" w:rsidRPr="00FB2C30">
        <w:t>0,6</w:t>
      </w:r>
      <w:r w:rsidRPr="00FB2C30">
        <w:t xml:space="preserve">% от утвержденных бюджетных назначений, и сложилась в основном </w:t>
      </w:r>
      <w:r w:rsidR="00707B60" w:rsidRPr="00FB2C30">
        <w:t xml:space="preserve">в </w:t>
      </w:r>
      <w:r w:rsidR="000607BC" w:rsidRPr="00FB2C30">
        <w:t xml:space="preserve">связи с </w:t>
      </w:r>
      <w:r w:rsidR="00323480" w:rsidRPr="00FB2C30">
        <w:t xml:space="preserve">оплатой работ «по факту» на основании актов выполненных работ </w:t>
      </w:r>
      <w:r w:rsidR="00D042DA" w:rsidRPr="00FB2C30">
        <w:t>в сумме 736,4 тыс. руб. (</w:t>
      </w:r>
      <w:r w:rsidR="00323480" w:rsidRPr="00FB2C30">
        <w:t xml:space="preserve">по разделу 1006 «Другие вопросы </w:t>
      </w:r>
      <w:r w:rsidR="00D042DA" w:rsidRPr="00FB2C30">
        <w:t xml:space="preserve">в области социальной политики» - </w:t>
      </w:r>
      <w:r w:rsidR="00323480" w:rsidRPr="00FB2C30">
        <w:t>704,9 тыс. руб.</w:t>
      </w:r>
      <w:r w:rsidR="00D042DA" w:rsidRPr="00FB2C30">
        <w:t>, по разделу 0705 «Профессиональная подготовка, переподготовка и повышение квалификации» - 31,5 тыс. руб.</w:t>
      </w:r>
      <w:r w:rsidR="00323480" w:rsidRPr="00FB2C30">
        <w:t>)</w:t>
      </w:r>
      <w:r w:rsidR="00841C69" w:rsidRPr="00FB2C30">
        <w:t>;</w:t>
      </w:r>
      <w:r w:rsidR="00323480" w:rsidRPr="00FB2C30">
        <w:t xml:space="preserve"> непроведение</w:t>
      </w:r>
      <w:r w:rsidR="00841C69" w:rsidRPr="00FB2C30">
        <w:t>м</w:t>
      </w:r>
      <w:r w:rsidR="00323480" w:rsidRPr="00FB2C30">
        <w:t xml:space="preserve"> </w:t>
      </w:r>
      <w:r w:rsidR="00D23F5C" w:rsidRPr="00FB2C30">
        <w:t>процедуры согласования закупок товаров, работ, услуг в сроки</w:t>
      </w:r>
      <w:r w:rsidR="00841C69" w:rsidRPr="00FB2C30">
        <w:t>,</w:t>
      </w:r>
      <w:r w:rsidR="00D23F5C" w:rsidRPr="00FB2C30">
        <w:t xml:space="preserve"> установленные постановлением Администрации Волгоградской области от 14.05.2018 №198-п «Об утверждении Положения о мерах по обеспечению исполнения областного бюджета»</w:t>
      </w:r>
      <w:r w:rsidR="00841C69" w:rsidRPr="00FB2C30">
        <w:t>,</w:t>
      </w:r>
      <w:r w:rsidR="00D23F5C" w:rsidRPr="00FB2C30">
        <w:t xml:space="preserve"> </w:t>
      </w:r>
      <w:r w:rsidR="00D17284" w:rsidRPr="00FB2C30">
        <w:t xml:space="preserve">на сумму 792,9 тыс. руб. (Комитет - 143 тыс. руб. по разделу 0113 «Другие общегосударственные вопросы» (обеспечение деятельности государственных органов Волгоградской области), государственным бюджетным учреждением Волгоградской области «Региональный информационно-аналитический центр» (далее ГБУ ВО «РИАЦ») - </w:t>
      </w:r>
      <w:r w:rsidR="00D23F5C" w:rsidRPr="00FB2C30">
        <w:t>649,9 тыс. руб.</w:t>
      </w:r>
      <w:r w:rsidR="00D17284" w:rsidRPr="00FB2C30">
        <w:t xml:space="preserve"> по разделу 0410 «Связь и информатика»</w:t>
      </w:r>
      <w:r w:rsidR="00D23F5C" w:rsidRPr="00FB2C30">
        <w:t>)</w:t>
      </w:r>
      <w:r w:rsidR="00D17284" w:rsidRPr="00FB2C30">
        <w:t xml:space="preserve"> </w:t>
      </w:r>
      <w:r w:rsidR="00525F47" w:rsidRPr="00FB2C30">
        <w:t xml:space="preserve">и  отсутствие потребности в средствах </w:t>
      </w:r>
      <w:r w:rsidR="00D17284" w:rsidRPr="00FB2C30">
        <w:t xml:space="preserve">в сумме 190,7 тыс. руб. (Комитет - 163,3 тыс. руб. по разделу 0113 «Другие общегосударственные вопросы» (информирование населения о реализации приоритетных направлений социально-экономического развития Волгоградской области), ГБУ ВО «РИАЦ» - </w:t>
      </w:r>
      <w:r w:rsidR="00525F47" w:rsidRPr="00FB2C30">
        <w:t>27,4 тыс. руб. по разделу 0410 «Связь и информатика»</w:t>
      </w:r>
      <w:r w:rsidR="00D17284" w:rsidRPr="00FB2C30">
        <w:t>)</w:t>
      </w:r>
    </w:p>
    <w:p w14:paraId="04C9E5D3" w14:textId="77777777" w:rsidR="00EB0E5A" w:rsidRPr="00FB2C30" w:rsidRDefault="00861D02" w:rsidP="00BB24AF">
      <w:pPr>
        <w:ind w:firstLine="720"/>
        <w:jc w:val="both"/>
      </w:pPr>
      <w:r w:rsidRPr="00FB2C30">
        <w:t>Сравнение показателей исполнения расходов областного бюджета за отчетный и предыдущий годы в разрезе разделов и подразделов бюджетной классификации</w:t>
      </w:r>
      <w:r w:rsidR="00C64832" w:rsidRPr="00FB2C30">
        <w:t xml:space="preserve"> отражен</w:t>
      </w:r>
      <w:r w:rsidR="0081688F" w:rsidRPr="00FB2C30">
        <w:t>о</w:t>
      </w:r>
      <w:r w:rsidR="00C64832" w:rsidRPr="00FB2C30">
        <w:t xml:space="preserve"> в </w:t>
      </w:r>
      <w:r w:rsidR="00E33ACA" w:rsidRPr="00FB2C30">
        <w:t>т</w:t>
      </w:r>
      <w:r w:rsidR="00033925" w:rsidRPr="00FB2C30">
        <w:t>аблице №</w:t>
      </w:r>
      <w:r w:rsidR="00017482" w:rsidRPr="00FB2C30">
        <w:t>2</w:t>
      </w:r>
      <w:r w:rsidRPr="00FB2C30">
        <w:t xml:space="preserve">.  </w:t>
      </w:r>
    </w:p>
    <w:p w14:paraId="5082750A" w14:textId="77777777" w:rsidR="00033925" w:rsidRPr="00FB2C30" w:rsidRDefault="00033925" w:rsidP="00B32132">
      <w:pPr>
        <w:ind w:firstLine="720"/>
        <w:jc w:val="right"/>
      </w:pPr>
      <w:r w:rsidRPr="00FB2C30">
        <w:t>Таблица №</w:t>
      </w:r>
      <w:r w:rsidR="00017482" w:rsidRPr="00FB2C30">
        <w:t>2</w:t>
      </w:r>
      <w:r w:rsidR="007F02D1" w:rsidRPr="00FB2C30">
        <w:t xml:space="preserve">, </w:t>
      </w:r>
      <w:r w:rsidRPr="00FB2C30">
        <w:t>тыс. руб.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980"/>
        <w:gridCol w:w="4207"/>
        <w:gridCol w:w="960"/>
        <w:gridCol w:w="1040"/>
        <w:gridCol w:w="932"/>
        <w:gridCol w:w="1179"/>
      </w:tblGrid>
      <w:tr w:rsidR="005748EB" w:rsidRPr="00FB2C30" w14:paraId="75192091" w14:textId="77777777" w:rsidTr="00CB17F2">
        <w:trPr>
          <w:trHeight w:val="5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D0F2F9" w14:textId="77777777" w:rsidR="005748EB" w:rsidRPr="00FB2C30" w:rsidRDefault="005748EB" w:rsidP="00B3213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061B56" w14:textId="77777777" w:rsidR="005748EB" w:rsidRPr="00FB2C30" w:rsidRDefault="005748EB" w:rsidP="00B3213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D21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7A46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2017 год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426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2018 год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96F" w14:textId="77777777" w:rsidR="005748EB" w:rsidRPr="00FB2C30" w:rsidRDefault="005748EB" w:rsidP="00B3213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Увеличение, снижение (-)</w:t>
            </w:r>
          </w:p>
        </w:tc>
      </w:tr>
      <w:tr w:rsidR="005748EB" w:rsidRPr="00FB2C30" w14:paraId="454A74E1" w14:textId="77777777" w:rsidTr="00CB17F2">
        <w:trPr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522F" w14:textId="77777777" w:rsidR="005748EB" w:rsidRPr="00FB2C30" w:rsidRDefault="005748EB" w:rsidP="00B321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CA7C" w14:textId="77777777" w:rsidR="005748EB" w:rsidRPr="00FB2C30" w:rsidRDefault="005748EB" w:rsidP="00B321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E916" w14:textId="77777777" w:rsidR="005748EB" w:rsidRPr="00FB2C30" w:rsidRDefault="005748EB" w:rsidP="00B321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C84" w14:textId="77777777" w:rsidR="005748EB" w:rsidRPr="00FB2C30" w:rsidRDefault="005748EB" w:rsidP="00B321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809B" w14:textId="77777777" w:rsidR="005748EB" w:rsidRPr="00FB2C30" w:rsidRDefault="005748EB" w:rsidP="00B321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8D2E" w14:textId="77777777" w:rsidR="005748EB" w:rsidRPr="00FB2C30" w:rsidRDefault="005748EB" w:rsidP="00B3213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F381" w14:textId="77777777" w:rsidR="005748EB" w:rsidRPr="00FB2C30" w:rsidRDefault="005748EB" w:rsidP="00B32132">
            <w:pPr>
              <w:jc w:val="center"/>
              <w:rPr>
                <w:b/>
                <w:bCs/>
                <w:sz w:val="20"/>
                <w:szCs w:val="20"/>
              </w:rPr>
            </w:pPr>
            <w:r w:rsidRPr="00FB2C30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5748EB" w:rsidRPr="00FB2C30" w14:paraId="00C4CADB" w14:textId="77777777" w:rsidTr="00CB17F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AD7C" w14:textId="77777777" w:rsidR="005748EB" w:rsidRPr="00FB2C30" w:rsidRDefault="005748EB" w:rsidP="00B32132">
            <w:pPr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E67" w14:textId="77777777" w:rsidR="005748EB" w:rsidRPr="00FB2C30" w:rsidRDefault="005748EB" w:rsidP="00B32132">
            <w:pPr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 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5E3" w14:textId="77777777" w:rsidR="005748EB" w:rsidRPr="00FB2C30" w:rsidRDefault="005748EB" w:rsidP="00B32132">
            <w:pPr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197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263411,7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3CAD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305 816,5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520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42 404,8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F304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16,1</w:t>
            </w:r>
          </w:p>
        </w:tc>
      </w:tr>
      <w:tr w:rsidR="005748EB" w:rsidRPr="00FB2C30" w14:paraId="34DA20BD" w14:textId="77777777" w:rsidTr="00EB514C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457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A99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13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BF60" w14:textId="77777777" w:rsidR="005748EB" w:rsidRPr="00FB2C30" w:rsidRDefault="005748EB" w:rsidP="00B32132">
            <w:pPr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BAA" w14:textId="77777777" w:rsidR="005748EB" w:rsidRPr="00FB2C30" w:rsidRDefault="005748EB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140248,4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30EA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173 555,1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7C6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33 306,7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2DCE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23,7</w:t>
            </w:r>
          </w:p>
        </w:tc>
      </w:tr>
      <w:tr w:rsidR="005748EB" w:rsidRPr="00FB2C30" w14:paraId="402BD21F" w14:textId="77777777" w:rsidTr="00CB17F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187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4ABA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10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4BD" w14:textId="77777777" w:rsidR="005748EB" w:rsidRPr="00FB2C30" w:rsidRDefault="005748EB" w:rsidP="00B32132">
            <w:pPr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Связь и 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12D" w14:textId="77777777" w:rsidR="005748EB" w:rsidRPr="00FB2C30" w:rsidRDefault="005748EB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24873,7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63B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27 148,9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69E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2 275,2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C56D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9,1</w:t>
            </w:r>
          </w:p>
        </w:tc>
      </w:tr>
      <w:tr w:rsidR="005748EB" w:rsidRPr="00FB2C30" w14:paraId="02FE2D42" w14:textId="77777777" w:rsidTr="00CB17F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BBE9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2E0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D7AF" w14:textId="77777777" w:rsidR="005748EB" w:rsidRPr="00FB2C30" w:rsidRDefault="005748EB" w:rsidP="00B32132">
            <w:pPr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153E" w14:textId="77777777" w:rsidR="005748EB" w:rsidRPr="00FB2C30" w:rsidRDefault="005748EB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95A2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913,8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4D6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881,8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AF8C" w14:textId="77777777" w:rsidR="005748EB" w:rsidRPr="00FB2C30" w:rsidRDefault="005748EB" w:rsidP="00873D5B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в 2</w:t>
            </w:r>
            <w:r w:rsidR="00873D5B" w:rsidRPr="00FB2C30">
              <w:rPr>
                <w:b/>
                <w:bCs/>
                <w:sz w:val="18"/>
                <w:szCs w:val="18"/>
              </w:rPr>
              <w:t>8</w:t>
            </w:r>
            <w:r w:rsidRPr="00FB2C30">
              <w:rPr>
                <w:b/>
                <w:bCs/>
                <w:sz w:val="18"/>
                <w:szCs w:val="18"/>
              </w:rPr>
              <w:t>,6 раза</w:t>
            </w:r>
          </w:p>
        </w:tc>
      </w:tr>
      <w:tr w:rsidR="005748EB" w:rsidRPr="00FB2C30" w14:paraId="4FF2B660" w14:textId="77777777" w:rsidTr="00CB17F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F492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CB3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06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2F0" w14:textId="77777777" w:rsidR="005748EB" w:rsidRPr="00FB2C30" w:rsidRDefault="005748EB" w:rsidP="00B32132">
            <w:pPr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4150" w14:textId="77777777" w:rsidR="005748EB" w:rsidRPr="00FB2C30" w:rsidRDefault="005748EB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7535,9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B48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11 648,6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E3E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4 112,7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2622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54,6</w:t>
            </w:r>
          </w:p>
        </w:tc>
      </w:tr>
      <w:tr w:rsidR="005748EB" w:rsidRPr="00FB2C30" w14:paraId="505E63B9" w14:textId="77777777" w:rsidTr="00CB17F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A6A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0AC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9FF" w14:textId="77777777" w:rsidR="005748EB" w:rsidRPr="00FB2C30" w:rsidRDefault="005748EB" w:rsidP="00B32132">
            <w:pPr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B85D" w14:textId="77777777" w:rsidR="005748EB" w:rsidRPr="00FB2C30" w:rsidRDefault="005748EB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24121,5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1A0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26 000,0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8CD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1 878,5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37F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7,8</w:t>
            </w:r>
          </w:p>
        </w:tc>
      </w:tr>
      <w:tr w:rsidR="005748EB" w:rsidRPr="00FB2C30" w14:paraId="13A6795F" w14:textId="77777777" w:rsidTr="00CB17F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A252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1622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04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0E0" w14:textId="77777777" w:rsidR="005748EB" w:rsidRPr="00FB2C30" w:rsidRDefault="005748EB" w:rsidP="00B32132">
            <w:pPr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 xml:space="preserve">Другие вопросы в области средств массовой информации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CF87" w14:textId="77777777" w:rsidR="005748EB" w:rsidRPr="00FB2C30" w:rsidRDefault="005748EB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bCs/>
                <w:sz w:val="18"/>
                <w:szCs w:val="18"/>
              </w:rPr>
              <w:t>66600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6A0E" w14:textId="77777777" w:rsidR="005748EB" w:rsidRPr="00FB2C30" w:rsidRDefault="005748EB" w:rsidP="00B32132">
            <w:pPr>
              <w:jc w:val="center"/>
              <w:rPr>
                <w:sz w:val="20"/>
                <w:szCs w:val="20"/>
              </w:rPr>
            </w:pPr>
            <w:r w:rsidRPr="00FB2C30">
              <w:rPr>
                <w:sz w:val="20"/>
                <w:szCs w:val="20"/>
              </w:rPr>
              <w:t>66 550,0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3FE0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555" w14:textId="77777777" w:rsidR="005748EB" w:rsidRPr="00FB2C30" w:rsidRDefault="005748EB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-0,1</w:t>
            </w:r>
          </w:p>
        </w:tc>
      </w:tr>
    </w:tbl>
    <w:p w14:paraId="748ADCAB" w14:textId="77777777" w:rsidR="0079511F" w:rsidRPr="00FB2C30" w:rsidRDefault="00033925" w:rsidP="0079511F">
      <w:pPr>
        <w:ind w:firstLine="709"/>
        <w:jc w:val="both"/>
      </w:pPr>
      <w:r w:rsidRPr="00FB2C30">
        <w:t>Как видно из таблицы</w:t>
      </w:r>
      <w:r w:rsidR="0081688F" w:rsidRPr="00FB2C30">
        <w:t xml:space="preserve"> </w:t>
      </w:r>
      <w:r w:rsidR="006B3C4F" w:rsidRPr="00FB2C30">
        <w:t>№2</w:t>
      </w:r>
      <w:r w:rsidRPr="00FB2C30">
        <w:t>, кассовые расходы Комитета в 201</w:t>
      </w:r>
      <w:r w:rsidR="005748EB" w:rsidRPr="00FB2C30">
        <w:t>8</w:t>
      </w:r>
      <w:r w:rsidRPr="00FB2C30">
        <w:t xml:space="preserve"> году увеличились  по отношению к 201</w:t>
      </w:r>
      <w:r w:rsidR="005748EB" w:rsidRPr="00FB2C30">
        <w:t>7</w:t>
      </w:r>
      <w:r w:rsidRPr="00FB2C30">
        <w:t xml:space="preserve"> году на </w:t>
      </w:r>
      <w:r w:rsidR="005748EB" w:rsidRPr="00FB2C30">
        <w:t>42404,8</w:t>
      </w:r>
      <w:r w:rsidRPr="00FB2C30">
        <w:t xml:space="preserve"> тыс. руб.</w:t>
      </w:r>
      <w:r w:rsidR="0081688F" w:rsidRPr="00FB2C30">
        <w:t>,</w:t>
      </w:r>
      <w:r w:rsidRPr="00FB2C30">
        <w:t xml:space="preserve"> или </w:t>
      </w:r>
      <w:r w:rsidR="005748EB" w:rsidRPr="00FB2C30">
        <w:t>на 16,1%</w:t>
      </w:r>
      <w:r w:rsidR="0081688F" w:rsidRPr="00FB2C30">
        <w:t>,</w:t>
      </w:r>
      <w:r w:rsidR="009D53A1" w:rsidRPr="00FB2C30">
        <w:t xml:space="preserve"> в </w:t>
      </w:r>
      <w:r w:rsidRPr="00FB2C30">
        <w:t>связи с</w:t>
      </w:r>
      <w:r w:rsidR="0079511F" w:rsidRPr="00FB2C30">
        <w:t>:</w:t>
      </w:r>
    </w:p>
    <w:p w14:paraId="0E407DF1" w14:textId="77777777" w:rsidR="0079511F" w:rsidRPr="00FB2C30" w:rsidRDefault="0079511F" w:rsidP="0079511F">
      <w:pPr>
        <w:ind w:firstLine="709"/>
        <w:jc w:val="both"/>
      </w:pPr>
      <w:r w:rsidRPr="00FB2C30">
        <w:t>-</w:t>
      </w:r>
      <w:r w:rsidR="00033925" w:rsidRPr="00FB2C30">
        <w:t xml:space="preserve"> </w:t>
      </w:r>
      <w:r w:rsidR="00911A87" w:rsidRPr="00FB2C30">
        <w:t>увеличением расходов на</w:t>
      </w:r>
      <w:r w:rsidRPr="00FB2C30">
        <w:t>:</w:t>
      </w:r>
    </w:p>
    <w:p w14:paraId="5B2C36BA" w14:textId="77777777" w:rsidR="0079511F" w:rsidRPr="00FB2C30" w:rsidRDefault="00911A87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информирование населения о реализации приоритетных направлений социально-экономического развития Волгоградской области</w:t>
      </w:r>
      <w:r w:rsidR="00F80257" w:rsidRPr="00FB2C30">
        <w:rPr>
          <w:rFonts w:ascii="Times New Roman" w:hAnsi="Times New Roman" w:cs="Times New Roman"/>
          <w:sz w:val="24"/>
          <w:szCs w:val="24"/>
        </w:rPr>
        <w:t xml:space="preserve"> (в том числе расходы по обязательствам прошлых лет)</w:t>
      </w:r>
      <w:r w:rsidR="001124B8" w:rsidRPr="00FB2C30">
        <w:rPr>
          <w:rFonts w:ascii="Times New Roman" w:hAnsi="Times New Roman" w:cs="Times New Roman"/>
          <w:sz w:val="24"/>
          <w:szCs w:val="24"/>
        </w:rPr>
        <w:t xml:space="preserve"> </w:t>
      </w:r>
      <w:r w:rsidRPr="00FB2C30">
        <w:rPr>
          <w:rFonts w:ascii="Times New Roman" w:hAnsi="Times New Roman" w:cs="Times New Roman"/>
          <w:sz w:val="24"/>
          <w:szCs w:val="24"/>
        </w:rPr>
        <w:t xml:space="preserve">на </w:t>
      </w:r>
      <w:r w:rsidR="001124B8" w:rsidRPr="00FB2C30">
        <w:rPr>
          <w:rFonts w:ascii="Times New Roman" w:hAnsi="Times New Roman" w:cs="Times New Roman"/>
          <w:sz w:val="24"/>
          <w:szCs w:val="24"/>
        </w:rPr>
        <w:t>40716</w:t>
      </w:r>
      <w:r w:rsidRPr="00FB2C30">
        <w:rPr>
          <w:rFonts w:ascii="Times New Roman" w:hAnsi="Times New Roman" w:cs="Times New Roman"/>
          <w:sz w:val="24"/>
          <w:szCs w:val="24"/>
        </w:rPr>
        <w:t>,4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1124B8" w:rsidRPr="00FB2C30">
        <w:rPr>
          <w:rFonts w:ascii="Times New Roman" w:hAnsi="Times New Roman" w:cs="Times New Roman"/>
          <w:sz w:val="24"/>
          <w:szCs w:val="24"/>
        </w:rPr>
        <w:t xml:space="preserve"> </w:t>
      </w:r>
      <w:r w:rsidR="00F80257" w:rsidRPr="00FB2C30">
        <w:rPr>
          <w:rFonts w:ascii="Times New Roman" w:hAnsi="Times New Roman" w:cs="Times New Roman"/>
          <w:sz w:val="24"/>
          <w:szCs w:val="24"/>
        </w:rPr>
        <w:t xml:space="preserve"> или на 55%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4A3C75E8" w14:textId="77777777" w:rsidR="0079511F" w:rsidRPr="00FB2C30" w:rsidRDefault="00911A87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предоставление субсидии бюджетному учреждению на финансовое обеспечение государственного задания </w:t>
      </w:r>
      <w:r w:rsidR="005C3310" w:rsidRPr="00FB2C30">
        <w:rPr>
          <w:rFonts w:ascii="Times New Roman" w:hAnsi="Times New Roman" w:cs="Times New Roman"/>
          <w:sz w:val="24"/>
          <w:szCs w:val="24"/>
        </w:rPr>
        <w:t xml:space="preserve">и иные цели </w:t>
      </w:r>
      <w:r w:rsidRPr="00FB2C30">
        <w:rPr>
          <w:rFonts w:ascii="Times New Roman" w:hAnsi="Times New Roman" w:cs="Times New Roman"/>
          <w:sz w:val="24"/>
          <w:szCs w:val="24"/>
        </w:rPr>
        <w:t xml:space="preserve">на </w:t>
      </w:r>
      <w:r w:rsidR="005C3310" w:rsidRPr="00FB2C30">
        <w:rPr>
          <w:rFonts w:ascii="Times New Roman" w:hAnsi="Times New Roman" w:cs="Times New Roman"/>
          <w:sz w:val="24"/>
          <w:szCs w:val="24"/>
        </w:rPr>
        <w:t>2275,1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F80257" w:rsidRPr="00FB2C30">
        <w:rPr>
          <w:rFonts w:ascii="Times New Roman" w:hAnsi="Times New Roman" w:cs="Times New Roman"/>
          <w:sz w:val="24"/>
          <w:szCs w:val="24"/>
        </w:rPr>
        <w:t xml:space="preserve"> или на 9,1%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0C84142F" w14:textId="77777777" w:rsidR="0079511F" w:rsidRPr="00FB2C30" w:rsidRDefault="001124B8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обеспечение равенства политических партий, представленных в Волгоградской областной Думе, при освещении их деятельности на </w:t>
      </w:r>
      <w:r w:rsidR="009675FE" w:rsidRPr="00FB2C30">
        <w:rPr>
          <w:rFonts w:ascii="Times New Roman" w:hAnsi="Times New Roman" w:cs="Times New Roman"/>
          <w:sz w:val="24"/>
          <w:szCs w:val="24"/>
        </w:rPr>
        <w:t>2376,4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F80257" w:rsidRPr="00FB2C30">
        <w:rPr>
          <w:rFonts w:ascii="Times New Roman" w:hAnsi="Times New Roman" w:cs="Times New Roman"/>
          <w:sz w:val="24"/>
          <w:szCs w:val="24"/>
        </w:rPr>
        <w:t xml:space="preserve"> или в 26,5 раза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42070CD1" w14:textId="77777777" w:rsidR="0079511F" w:rsidRPr="00FB2C30" w:rsidRDefault="00911A87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предоставление субсидии на поддержку социально ориентированных некоммерческих организаций на </w:t>
      </w:r>
      <w:r w:rsidR="00F874C0" w:rsidRPr="00FB2C30">
        <w:rPr>
          <w:rFonts w:ascii="Times New Roman" w:hAnsi="Times New Roman" w:cs="Times New Roman"/>
          <w:sz w:val="24"/>
          <w:szCs w:val="24"/>
        </w:rPr>
        <w:t>2167,6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F80257" w:rsidRPr="00FB2C30">
        <w:rPr>
          <w:rFonts w:ascii="Times New Roman" w:hAnsi="Times New Roman" w:cs="Times New Roman"/>
          <w:sz w:val="24"/>
          <w:szCs w:val="24"/>
        </w:rPr>
        <w:t xml:space="preserve"> или на 32,2 %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23837B2E" w14:textId="77777777" w:rsidR="0079511F" w:rsidRPr="00FB2C30" w:rsidRDefault="001124B8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прочие мероприятия в области социальной политики на </w:t>
      </w:r>
      <w:r w:rsidR="00F874C0" w:rsidRPr="00FB2C30">
        <w:rPr>
          <w:rFonts w:ascii="Times New Roman" w:hAnsi="Times New Roman" w:cs="Times New Roman"/>
          <w:sz w:val="24"/>
          <w:szCs w:val="24"/>
        </w:rPr>
        <w:t>1945,1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F80257" w:rsidRPr="00FB2C30">
        <w:rPr>
          <w:rFonts w:ascii="Times New Roman" w:hAnsi="Times New Roman" w:cs="Times New Roman"/>
          <w:sz w:val="24"/>
          <w:szCs w:val="24"/>
        </w:rPr>
        <w:t xml:space="preserve"> или в 2,4 раза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0619519B" w14:textId="77777777" w:rsidR="0079511F" w:rsidRPr="00FB2C30" w:rsidRDefault="00A92B22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субсидии бюджетам муниципальных районов и городских округов </w:t>
      </w:r>
      <w:r w:rsidR="00942DA0" w:rsidRPr="00FB2C30">
        <w:rPr>
          <w:rFonts w:ascii="Times New Roman" w:hAnsi="Times New Roman" w:cs="Times New Roman"/>
          <w:sz w:val="24"/>
          <w:szCs w:val="24"/>
        </w:rPr>
        <w:t>В</w:t>
      </w:r>
      <w:r w:rsidRPr="00FB2C30">
        <w:rPr>
          <w:rFonts w:ascii="Times New Roman" w:hAnsi="Times New Roman" w:cs="Times New Roman"/>
          <w:sz w:val="24"/>
          <w:szCs w:val="24"/>
        </w:rPr>
        <w:t>олгоградской области на софинансирование расходных обязательств, возникающих в связи с доведением до сведения жителей муниципальных районов и (или) городских округов Волгоградской области официальной информации на 2000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Pr="00FB2C30">
        <w:rPr>
          <w:rFonts w:ascii="Times New Roman" w:hAnsi="Times New Roman" w:cs="Times New Roman"/>
          <w:sz w:val="24"/>
          <w:szCs w:val="24"/>
        </w:rPr>
        <w:t xml:space="preserve"> или на 9,1 %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145C5C23" w14:textId="77777777" w:rsidR="0079511F" w:rsidRPr="00FB2C30" w:rsidRDefault="00F874C0" w:rsidP="00D508EF">
      <w:pPr>
        <w:pStyle w:val="ad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профессиональную подготовку, переподготовку и повышение квалификации на 881,8 тыс. руб.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A92B22" w:rsidRPr="00FB2C30">
        <w:rPr>
          <w:rFonts w:ascii="Times New Roman" w:hAnsi="Times New Roman" w:cs="Times New Roman"/>
          <w:sz w:val="24"/>
          <w:szCs w:val="24"/>
        </w:rPr>
        <w:t xml:space="preserve"> или в 27,6 раза</w:t>
      </w:r>
      <w:r w:rsidR="0079511F" w:rsidRPr="00FB2C30">
        <w:rPr>
          <w:rFonts w:ascii="Times New Roman" w:hAnsi="Times New Roman" w:cs="Times New Roman"/>
          <w:sz w:val="24"/>
          <w:szCs w:val="24"/>
        </w:rPr>
        <w:t>.</w:t>
      </w:r>
    </w:p>
    <w:p w14:paraId="3647605D" w14:textId="77777777" w:rsidR="0079511F" w:rsidRPr="00FB2C30" w:rsidRDefault="0079511F" w:rsidP="0079511F">
      <w:pPr>
        <w:ind w:firstLine="709"/>
        <w:jc w:val="both"/>
      </w:pPr>
      <w:r w:rsidRPr="00FB2C30">
        <w:t>-</w:t>
      </w:r>
      <w:r w:rsidR="001124B8" w:rsidRPr="00FB2C30">
        <w:t xml:space="preserve"> уменьшения расходов на</w:t>
      </w:r>
      <w:r w:rsidRPr="00FB2C30">
        <w:t>:</w:t>
      </w:r>
    </w:p>
    <w:p w14:paraId="6B48ABB8" w14:textId="77777777" w:rsidR="0079511F" w:rsidRPr="00FB2C30" w:rsidRDefault="001124B8" w:rsidP="00D508EF">
      <w:pPr>
        <w:pStyle w:val="ad"/>
        <w:numPr>
          <w:ilvl w:val="0"/>
          <w:numId w:val="1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обеспечение деятельности государственных органов на </w:t>
      </w:r>
      <w:r w:rsidR="00F874C0" w:rsidRPr="00FB2C30">
        <w:rPr>
          <w:rFonts w:ascii="Times New Roman" w:hAnsi="Times New Roman" w:cs="Times New Roman"/>
          <w:sz w:val="24"/>
          <w:szCs w:val="24"/>
        </w:rPr>
        <w:t>4285,3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F874C0" w:rsidRPr="00FB2C30">
        <w:rPr>
          <w:rFonts w:ascii="Times New Roman" w:hAnsi="Times New Roman" w:cs="Times New Roman"/>
          <w:sz w:val="24"/>
          <w:szCs w:val="24"/>
        </w:rPr>
        <w:t>.</w:t>
      </w:r>
      <w:r w:rsidR="0079511F" w:rsidRPr="00FB2C30">
        <w:rPr>
          <w:rFonts w:ascii="Times New Roman" w:hAnsi="Times New Roman" w:cs="Times New Roman"/>
          <w:sz w:val="24"/>
          <w:szCs w:val="24"/>
        </w:rPr>
        <w:t>,</w:t>
      </w:r>
      <w:r w:rsidR="00A92B22" w:rsidRPr="00FB2C30">
        <w:rPr>
          <w:rFonts w:ascii="Times New Roman" w:hAnsi="Times New Roman" w:cs="Times New Roman"/>
          <w:sz w:val="24"/>
          <w:szCs w:val="24"/>
        </w:rPr>
        <w:t xml:space="preserve"> или на 7,1%</w:t>
      </w:r>
      <w:r w:rsidR="0079511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5DF0AD2D" w14:textId="77777777" w:rsidR="00D508EF" w:rsidRPr="00FB2C30" w:rsidRDefault="00F874C0" w:rsidP="00D508EF">
      <w:pPr>
        <w:pStyle w:val="ad"/>
        <w:numPr>
          <w:ilvl w:val="0"/>
          <w:numId w:val="1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непрограммные расходы государственных органов на 5500,8 тыс. руб</w:t>
      </w:r>
      <w:r w:rsidR="001124B8" w:rsidRPr="00FB2C30">
        <w:rPr>
          <w:rFonts w:ascii="Times New Roman" w:hAnsi="Times New Roman" w:cs="Times New Roman"/>
          <w:sz w:val="24"/>
          <w:szCs w:val="24"/>
        </w:rPr>
        <w:t>.</w:t>
      </w:r>
      <w:r w:rsidR="00D508EF" w:rsidRPr="00FB2C30">
        <w:rPr>
          <w:rFonts w:ascii="Times New Roman" w:hAnsi="Times New Roman" w:cs="Times New Roman"/>
          <w:sz w:val="24"/>
          <w:szCs w:val="24"/>
        </w:rPr>
        <w:t>,</w:t>
      </w:r>
      <w:r w:rsidR="00A92B22" w:rsidRPr="00FB2C30">
        <w:rPr>
          <w:rFonts w:ascii="Times New Roman" w:hAnsi="Times New Roman" w:cs="Times New Roman"/>
          <w:sz w:val="24"/>
          <w:szCs w:val="24"/>
        </w:rPr>
        <w:t xml:space="preserve"> или на 96,6%</w:t>
      </w:r>
      <w:r w:rsidR="00D508E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75307096" w14:textId="77777777" w:rsidR="00D508EF" w:rsidRPr="00FB2C30" w:rsidRDefault="00A92B22" w:rsidP="00D508EF">
      <w:pPr>
        <w:pStyle w:val="ad"/>
        <w:numPr>
          <w:ilvl w:val="0"/>
          <w:numId w:val="1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субсидии на возмещение расходов, связанных с финансовым обеспечением официальных публикаций на 121,5 тыс. руб.</w:t>
      </w:r>
      <w:r w:rsidR="00D508EF" w:rsidRPr="00FB2C30">
        <w:rPr>
          <w:rFonts w:ascii="Times New Roman" w:hAnsi="Times New Roman" w:cs="Times New Roman"/>
          <w:sz w:val="24"/>
          <w:szCs w:val="24"/>
        </w:rPr>
        <w:t>,</w:t>
      </w:r>
      <w:r w:rsidRPr="00FB2C30">
        <w:rPr>
          <w:rFonts w:ascii="Times New Roman" w:hAnsi="Times New Roman" w:cs="Times New Roman"/>
          <w:sz w:val="24"/>
          <w:szCs w:val="24"/>
        </w:rPr>
        <w:t xml:space="preserve"> или на 5,7%</w:t>
      </w:r>
      <w:r w:rsidR="00D508EF" w:rsidRPr="00FB2C30">
        <w:rPr>
          <w:rFonts w:ascii="Times New Roman" w:hAnsi="Times New Roman" w:cs="Times New Roman"/>
          <w:sz w:val="24"/>
          <w:szCs w:val="24"/>
        </w:rPr>
        <w:t>;</w:t>
      </w:r>
    </w:p>
    <w:p w14:paraId="5E5C1124" w14:textId="77777777" w:rsidR="00C80A3D" w:rsidRPr="00FB2C30" w:rsidRDefault="00A92B22" w:rsidP="00D508EF">
      <w:pPr>
        <w:pStyle w:val="ad"/>
        <w:numPr>
          <w:ilvl w:val="0"/>
          <w:numId w:val="18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гранты средствам массовой информации на 50 тыс. руб.</w:t>
      </w:r>
      <w:r w:rsidR="00D508EF" w:rsidRPr="00FB2C30">
        <w:rPr>
          <w:rFonts w:ascii="Times New Roman" w:hAnsi="Times New Roman" w:cs="Times New Roman"/>
          <w:sz w:val="24"/>
          <w:szCs w:val="24"/>
        </w:rPr>
        <w:t>,</w:t>
      </w:r>
      <w:r w:rsidRPr="00FB2C30">
        <w:rPr>
          <w:rFonts w:ascii="Times New Roman" w:hAnsi="Times New Roman" w:cs="Times New Roman"/>
          <w:sz w:val="24"/>
          <w:szCs w:val="24"/>
        </w:rPr>
        <w:t xml:space="preserve"> или на 0,1 процента.</w:t>
      </w:r>
    </w:p>
    <w:p w14:paraId="0D0A8C97" w14:textId="77777777" w:rsidR="005566CF" w:rsidRPr="00FB2C30" w:rsidRDefault="005566CF" w:rsidP="005566CF">
      <w:pPr>
        <w:ind w:firstLine="851"/>
        <w:jc w:val="both"/>
      </w:pPr>
      <w:r w:rsidRPr="00FB2C30">
        <w:t>Согласно форме бюджетной отчетности 0503123 «Отчёт о движении денежных средств» дополнительные расходы бюджетных средств на уплату штрафов за 2018 год составили 44,7 тыс. руб., в том числе:</w:t>
      </w:r>
    </w:p>
    <w:p w14:paraId="68C02FA8" w14:textId="77777777" w:rsidR="005566CF" w:rsidRPr="00FB2C30" w:rsidRDefault="005566CF" w:rsidP="005566CF">
      <w:pPr>
        <w:ind w:firstLine="851"/>
        <w:jc w:val="both"/>
      </w:pPr>
      <w:r w:rsidRPr="00FB2C30">
        <w:t>- уплату штрафов за нарушение законодательства о налогах и сборах, законодательства о страховых взносах – 5,7 тыс. руб. (уплата пени по страховым взносам в</w:t>
      </w:r>
      <w:r w:rsidR="00D508EF" w:rsidRPr="00FB2C30">
        <w:t>о внебюджетные фонды</w:t>
      </w:r>
      <w:r w:rsidRPr="00FB2C30">
        <w:t>);</w:t>
      </w:r>
    </w:p>
    <w:p w14:paraId="2FF11FB7" w14:textId="77777777" w:rsidR="005566CF" w:rsidRPr="00FB2C30" w:rsidRDefault="005566CF" w:rsidP="005566CF">
      <w:pPr>
        <w:ind w:firstLine="851"/>
        <w:jc w:val="both"/>
      </w:pPr>
      <w:r w:rsidRPr="00FB2C30">
        <w:t xml:space="preserve">- уплату штрафов за нарушение законодательства о закупках и нарушение условий контрактов (договоров) в сумме 39 тыс. руб. по исполнительному листу от 18.11.2016 ФС № 013288614 (взыскание суммы расходов по выплате неустойки по договору от 03.06.2013 №б/н, заключенному министерством печати и информации Волгоградской области с </w:t>
      </w:r>
      <w:r w:rsidRPr="00FB2C30">
        <w:rPr>
          <w:color w:val="0C0E31"/>
          <w:shd w:val="clear" w:color="auto" w:fill="FFFFFF"/>
        </w:rPr>
        <w:t>государственным бюджетным образовательным учреждением дополнительного профессионального образования Волгоградской области "Институт молодежной политики и социальной работы"</w:t>
      </w:r>
      <w:r w:rsidRPr="00FB2C30">
        <w:t>).</w:t>
      </w:r>
    </w:p>
    <w:p w14:paraId="505A8798" w14:textId="77777777" w:rsidR="00017482" w:rsidRPr="00FB2C30" w:rsidRDefault="00942DA0" w:rsidP="0089539A">
      <w:pPr>
        <w:ind w:firstLine="709"/>
        <w:jc w:val="both"/>
      </w:pPr>
      <w:r w:rsidRPr="00FB2C30">
        <w:t xml:space="preserve">Несвоевременное финансирование Облфином </w:t>
      </w:r>
      <w:r w:rsidR="0089539A" w:rsidRPr="00FB2C30">
        <w:t xml:space="preserve">заявок </w:t>
      </w:r>
      <w:r w:rsidRPr="00FB2C30">
        <w:t>Комитет</w:t>
      </w:r>
      <w:r w:rsidR="0089539A" w:rsidRPr="00FB2C30">
        <w:t xml:space="preserve">а в 2017 году, нарушение </w:t>
      </w:r>
      <w:r w:rsidRPr="00FB2C30">
        <w:t xml:space="preserve"> </w:t>
      </w:r>
      <w:r w:rsidR="0089539A" w:rsidRPr="00FB2C30">
        <w:t>министерством печати и информации Волгоградской области  условий договора</w:t>
      </w:r>
      <w:r w:rsidRPr="00FB2C30">
        <w:t xml:space="preserve"> привело к  расходам областного бюджета на оплату в 2018 году штрафов (пени) в сумме </w:t>
      </w:r>
      <w:r w:rsidR="0089539A" w:rsidRPr="00FB2C30">
        <w:t>44,7</w:t>
      </w:r>
      <w:r w:rsidRPr="00FB2C30">
        <w:t xml:space="preserve"> тыс. руб., в </w:t>
      </w:r>
      <w:r w:rsidRPr="00FB2C30">
        <w:lastRenderedPageBreak/>
        <w:t>результате чего нарушен принцип эффективного использования бюджетных средств, установленный ст. 34 БК РФ</w:t>
      </w:r>
      <w:r w:rsidR="0089539A" w:rsidRPr="00FB2C30">
        <w:t>.</w:t>
      </w:r>
    </w:p>
    <w:p w14:paraId="3C10C370" w14:textId="77777777" w:rsidR="00EB514C" w:rsidRPr="00FB2C30" w:rsidRDefault="00EB514C" w:rsidP="00B32132">
      <w:pPr>
        <w:ind w:firstLine="709"/>
        <w:jc w:val="center"/>
        <w:rPr>
          <w:b/>
          <w:i/>
        </w:rPr>
      </w:pPr>
    </w:p>
    <w:p w14:paraId="6A2664C5" w14:textId="77777777" w:rsidR="009E7C61" w:rsidRPr="00FB2C30" w:rsidRDefault="009E7C61" w:rsidP="00B32132">
      <w:pPr>
        <w:ind w:firstLine="709"/>
        <w:jc w:val="center"/>
        <w:rPr>
          <w:b/>
          <w:i/>
        </w:rPr>
      </w:pPr>
    </w:p>
    <w:p w14:paraId="5DF4C589" w14:textId="77777777" w:rsidR="00C80A3D" w:rsidRPr="00FB2C30" w:rsidRDefault="00017482" w:rsidP="00B32132">
      <w:pPr>
        <w:ind w:firstLine="709"/>
        <w:jc w:val="center"/>
        <w:rPr>
          <w:b/>
          <w:i/>
        </w:rPr>
      </w:pPr>
      <w:r w:rsidRPr="00FB2C30">
        <w:rPr>
          <w:b/>
          <w:i/>
        </w:rPr>
        <w:t>Анализ</w:t>
      </w:r>
      <w:r w:rsidR="00F43958" w:rsidRPr="00FB2C30">
        <w:rPr>
          <w:b/>
          <w:i/>
        </w:rPr>
        <w:t xml:space="preserve"> дебиторской и кредиторской задолженности</w:t>
      </w:r>
    </w:p>
    <w:p w14:paraId="124B0F29" w14:textId="77777777" w:rsidR="00E33ACA" w:rsidRPr="00FB2C30" w:rsidRDefault="00F43958" w:rsidP="00017482">
      <w:pPr>
        <w:autoSpaceDE w:val="0"/>
        <w:autoSpaceDN w:val="0"/>
        <w:adjustRightInd w:val="0"/>
        <w:ind w:firstLine="709"/>
        <w:jc w:val="both"/>
      </w:pPr>
      <w:r w:rsidRPr="00FB2C30">
        <w:t>Информация о динамике дебиторской и кредиторской задолженности в 201</w:t>
      </w:r>
      <w:r w:rsidR="005748EB" w:rsidRPr="00FB2C30">
        <w:t>8</w:t>
      </w:r>
      <w:r w:rsidRPr="00FB2C30">
        <w:t xml:space="preserve"> году приведена в таблице</w:t>
      </w:r>
      <w:r w:rsidR="000607BC" w:rsidRPr="00FB2C30">
        <w:t xml:space="preserve"> №</w:t>
      </w:r>
      <w:r w:rsidR="00017482" w:rsidRPr="00FB2C30">
        <w:t>3</w:t>
      </w:r>
      <w:r w:rsidR="009F456C" w:rsidRPr="00FB2C30">
        <w:t>.</w:t>
      </w:r>
    </w:p>
    <w:p w14:paraId="64914B12" w14:textId="77777777" w:rsidR="00F43958" w:rsidRPr="00FB2C30" w:rsidRDefault="000607BC" w:rsidP="00B32132">
      <w:pPr>
        <w:autoSpaceDE w:val="0"/>
        <w:autoSpaceDN w:val="0"/>
        <w:adjustRightInd w:val="0"/>
        <w:jc w:val="right"/>
      </w:pPr>
      <w:r w:rsidRPr="00FB2C30">
        <w:t>Таблица №</w:t>
      </w:r>
      <w:r w:rsidR="00017482" w:rsidRPr="00FB2C30">
        <w:t>3</w:t>
      </w:r>
      <w:r w:rsidR="007F02D1" w:rsidRPr="00FB2C30">
        <w:t xml:space="preserve">, </w:t>
      </w:r>
      <w:r w:rsidR="00F43958" w:rsidRPr="00FB2C30">
        <w:t xml:space="preserve"> тыс. руб.</w:t>
      </w:r>
    </w:p>
    <w:tbl>
      <w:tblPr>
        <w:tblW w:w="10234" w:type="dxa"/>
        <w:tblInd w:w="93" w:type="dxa"/>
        <w:tblLook w:val="04A0" w:firstRow="1" w:lastRow="0" w:firstColumn="1" w:lastColumn="0" w:noHBand="0" w:noVBand="1"/>
      </w:tblPr>
      <w:tblGrid>
        <w:gridCol w:w="6394"/>
        <w:gridCol w:w="960"/>
        <w:gridCol w:w="960"/>
        <w:gridCol w:w="960"/>
        <w:gridCol w:w="960"/>
      </w:tblGrid>
      <w:tr w:rsidR="000E4E87" w:rsidRPr="00FB2C30" w14:paraId="1922B2C8" w14:textId="77777777" w:rsidTr="00D44433">
        <w:trPr>
          <w:trHeight w:val="374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DB4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35E6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Данные о задолженности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ABA5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Динамика</w:t>
            </w:r>
          </w:p>
        </w:tc>
      </w:tr>
      <w:tr w:rsidR="000E4E87" w:rsidRPr="00FB2C30" w14:paraId="1360FDC8" w14:textId="77777777" w:rsidTr="00D44433">
        <w:trPr>
          <w:trHeight w:val="238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7454" w14:textId="77777777" w:rsidR="000E4E87" w:rsidRPr="00FB2C30" w:rsidRDefault="000E4E87" w:rsidP="00B321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93E7" w14:textId="77777777" w:rsidR="000E4E87" w:rsidRPr="00FB2C30" w:rsidRDefault="000E4E87" w:rsidP="00B32132">
            <w:pPr>
              <w:jc w:val="center"/>
              <w:rPr>
                <w:b/>
                <w:bCs/>
                <w:sz w:val="16"/>
                <w:szCs w:val="16"/>
              </w:rPr>
            </w:pPr>
            <w:r w:rsidRPr="00FB2C30">
              <w:rPr>
                <w:b/>
                <w:bCs/>
                <w:sz w:val="16"/>
                <w:szCs w:val="16"/>
              </w:rPr>
              <w:t>на 01.01.2018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F982" w14:textId="77777777" w:rsidR="000E4E87" w:rsidRPr="00FB2C30" w:rsidRDefault="000E4E87" w:rsidP="00B32132">
            <w:pPr>
              <w:jc w:val="center"/>
              <w:rPr>
                <w:b/>
                <w:bCs/>
                <w:sz w:val="16"/>
                <w:szCs w:val="16"/>
              </w:rPr>
            </w:pPr>
            <w:r w:rsidRPr="00FB2C30">
              <w:rPr>
                <w:b/>
                <w:bCs/>
                <w:sz w:val="16"/>
                <w:szCs w:val="16"/>
              </w:rPr>
              <w:t>на 01.01.2019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BBFB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5829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0E4E87" w:rsidRPr="00FB2C30" w14:paraId="0A0E6F21" w14:textId="77777777" w:rsidTr="009A3AED">
        <w:trPr>
          <w:trHeight w:val="25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8FD1" w14:textId="77777777" w:rsidR="000E4E87" w:rsidRPr="00FB2C30" w:rsidRDefault="000E4E87" w:rsidP="00B3213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B2C30">
              <w:rPr>
                <w:b/>
                <w:bCs/>
                <w:i/>
                <w:iCs/>
                <w:sz w:val="20"/>
                <w:szCs w:val="20"/>
              </w:rPr>
              <w:t>Дебиторская  задолженность ИТОГО:</w:t>
            </w:r>
            <w:r w:rsidRPr="00FB2C30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FB2C30">
              <w:rPr>
                <w:sz w:val="18"/>
                <w:szCs w:val="18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F434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iCs/>
                <w:sz w:val="18"/>
                <w:szCs w:val="18"/>
              </w:rPr>
              <w:t>176849,4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6055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88297,9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76DE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-88551,5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0243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-50,1</w:t>
            </w:r>
          </w:p>
        </w:tc>
      </w:tr>
      <w:tr w:rsidR="000E4E87" w:rsidRPr="00FB2C30" w14:paraId="6EC479BC" w14:textId="77777777" w:rsidTr="000E4E87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ED99" w14:textId="77777777" w:rsidR="000E4E87" w:rsidRPr="00FB2C30" w:rsidRDefault="000E4E87" w:rsidP="00B32132">
            <w:pPr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расчеты по выданным авансам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F1A7" w14:textId="77777777" w:rsidR="000E4E87" w:rsidRPr="00FB2C30" w:rsidRDefault="000E4E87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176046,2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8329" w14:textId="77777777" w:rsidR="000E4E87" w:rsidRPr="00FB2C30" w:rsidRDefault="000E4E87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83709,4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A086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-92336,8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60C58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-52,5</w:t>
            </w:r>
          </w:p>
        </w:tc>
      </w:tr>
      <w:tr w:rsidR="000E4E87" w:rsidRPr="00FB2C30" w14:paraId="594BE954" w14:textId="77777777" w:rsidTr="00D44433">
        <w:trPr>
          <w:trHeight w:val="46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258D" w14:textId="77777777" w:rsidR="000E4E87" w:rsidRPr="00FB2C30" w:rsidRDefault="000E4E87" w:rsidP="00B32132">
            <w:pPr>
              <w:rPr>
                <w:i/>
                <w:iCs/>
                <w:sz w:val="20"/>
                <w:szCs w:val="20"/>
              </w:rPr>
            </w:pPr>
            <w:r w:rsidRPr="00FB2C30">
              <w:rPr>
                <w:i/>
                <w:iCs/>
                <w:sz w:val="20"/>
                <w:szCs w:val="20"/>
              </w:rPr>
              <w:t>в том числе расчеты по авансовым безвозмездным перечислениям организациям, за исключением государственных и муниципальных 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3643" w14:textId="77777777" w:rsidR="000E4E87" w:rsidRPr="00FB2C30" w:rsidRDefault="00EA5868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123788,8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9057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54357,4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4EF1" w14:textId="77777777" w:rsidR="000E4E87" w:rsidRPr="00FB2C30" w:rsidRDefault="00EA5868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-69431,4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5EA0" w14:textId="77777777" w:rsidR="000E4E87" w:rsidRPr="00FB2C30" w:rsidRDefault="000E4E87" w:rsidP="00EA5868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</w:t>
            </w:r>
            <w:r w:rsidR="00EA5868" w:rsidRPr="00FB2C30">
              <w:rPr>
                <w:b/>
                <w:bCs/>
                <w:sz w:val="18"/>
                <w:szCs w:val="18"/>
              </w:rPr>
              <w:t>56,1</w:t>
            </w:r>
          </w:p>
        </w:tc>
      </w:tr>
      <w:tr w:rsidR="000E4E87" w:rsidRPr="00FB2C30" w14:paraId="14AB7F15" w14:textId="77777777" w:rsidTr="00D44433">
        <w:trPr>
          <w:trHeight w:val="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271D" w14:textId="77777777" w:rsidR="000E4E87" w:rsidRPr="00FB2C30" w:rsidRDefault="000E4E87" w:rsidP="00B32132">
            <w:pPr>
              <w:rPr>
                <w:i/>
                <w:iCs/>
                <w:sz w:val="20"/>
                <w:szCs w:val="20"/>
              </w:rPr>
            </w:pPr>
            <w:r w:rsidRPr="00FB2C30">
              <w:rPr>
                <w:i/>
                <w:iCs/>
                <w:sz w:val="20"/>
                <w:szCs w:val="20"/>
              </w:rPr>
              <w:t>расчеты по ущербу и иным доходам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5715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8869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4433,5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FE6F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4433,5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BD72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E4E87" w:rsidRPr="00FB2C30" w14:paraId="76D299B2" w14:textId="77777777" w:rsidTr="00D44433">
        <w:trPr>
          <w:trHeight w:val="9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F2BE" w14:textId="77777777" w:rsidR="000E4E87" w:rsidRPr="00FB2C30" w:rsidRDefault="000E4E87" w:rsidP="00B32132">
            <w:pPr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расчеты по платежам в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19A5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803,2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B8BF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16C9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-648,2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D49E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-80,7</w:t>
            </w:r>
          </w:p>
        </w:tc>
      </w:tr>
      <w:tr w:rsidR="000E4E87" w:rsidRPr="00FB2C30" w14:paraId="1B7AE662" w14:textId="77777777" w:rsidTr="00D44433">
        <w:trPr>
          <w:trHeight w:val="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3BE0" w14:textId="77777777" w:rsidR="000E4E87" w:rsidRPr="00FB2C30" w:rsidRDefault="000E4E87" w:rsidP="00B3213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FB2C30">
              <w:rPr>
                <w:b/>
                <w:bCs/>
                <w:i/>
                <w:iCs/>
                <w:sz w:val="20"/>
                <w:szCs w:val="20"/>
              </w:rPr>
              <w:t xml:space="preserve">Кредиторская задолженность ИТОГО: </w:t>
            </w:r>
            <w:r w:rsidRPr="00FB2C30">
              <w:rPr>
                <w:sz w:val="20"/>
                <w:szCs w:val="20"/>
              </w:rPr>
              <w:t>в</w:t>
            </w:r>
            <w:r w:rsidRPr="00FB2C30">
              <w:rPr>
                <w:b/>
                <w:bCs/>
                <w:sz w:val="20"/>
                <w:szCs w:val="20"/>
              </w:rPr>
              <w:t xml:space="preserve"> </w:t>
            </w:r>
            <w:r w:rsidRPr="00FB2C30">
              <w:rPr>
                <w:sz w:val="18"/>
                <w:szCs w:val="18"/>
              </w:rPr>
              <w:t>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BDBE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iCs/>
                <w:sz w:val="18"/>
                <w:szCs w:val="18"/>
              </w:rPr>
              <w:t>8084,5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3F2CC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4E9C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-7401,5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69A0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-91,6</w:t>
            </w:r>
          </w:p>
        </w:tc>
      </w:tr>
      <w:tr w:rsidR="000E4E87" w:rsidRPr="00FB2C30" w14:paraId="3556E210" w14:textId="77777777" w:rsidTr="00D44433">
        <w:trPr>
          <w:trHeight w:val="21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0D79" w14:textId="77777777" w:rsidR="000E4E87" w:rsidRPr="00FB2C30" w:rsidRDefault="000E4E87" w:rsidP="00B32132">
            <w:pPr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расчеты по принятым обязательствам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CCEC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6543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5E24" w14:textId="77777777" w:rsidR="000E4E87" w:rsidRPr="00FB2C30" w:rsidRDefault="000E4E87" w:rsidP="00B32132">
            <w:pPr>
              <w:jc w:val="center"/>
              <w:rPr>
                <w:i/>
                <w:iCs/>
                <w:sz w:val="18"/>
                <w:szCs w:val="18"/>
              </w:rPr>
            </w:pPr>
            <w:r w:rsidRPr="00FB2C30">
              <w:rPr>
                <w:i/>
                <w:iCs/>
                <w:sz w:val="18"/>
                <w:szCs w:val="18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4DD6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-5860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04E0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-89,6</w:t>
            </w:r>
          </w:p>
        </w:tc>
      </w:tr>
      <w:tr w:rsidR="000E4E87" w:rsidRPr="00FB2C30" w14:paraId="07530A7D" w14:textId="77777777" w:rsidTr="00D44433">
        <w:trPr>
          <w:trHeight w:val="11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4DBC" w14:textId="77777777" w:rsidR="000E4E87" w:rsidRPr="00FB2C30" w:rsidRDefault="000E4E87" w:rsidP="00B32132">
            <w:pPr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расчеты по платежам в бюджеты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21E7" w14:textId="77777777" w:rsidR="000E4E87" w:rsidRPr="00FB2C30" w:rsidRDefault="000E4E87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1541,5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7761" w14:textId="77777777" w:rsidR="000E4E87" w:rsidRPr="00FB2C30" w:rsidRDefault="000E4E87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A39F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-1541,5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ED5D" w14:textId="77777777" w:rsidR="000E4E87" w:rsidRPr="00FB2C30" w:rsidRDefault="000E4E87" w:rsidP="00B32132">
            <w:pPr>
              <w:jc w:val="center"/>
              <w:rPr>
                <w:b/>
                <w:bCs/>
                <w:sz w:val="18"/>
                <w:szCs w:val="18"/>
              </w:rPr>
            </w:pPr>
            <w:r w:rsidRPr="00FB2C30">
              <w:rPr>
                <w:b/>
                <w:bCs/>
                <w:sz w:val="18"/>
                <w:szCs w:val="18"/>
              </w:rPr>
              <w:t>-100,0</w:t>
            </w:r>
          </w:p>
        </w:tc>
      </w:tr>
    </w:tbl>
    <w:p w14:paraId="17C62113" w14:textId="77777777" w:rsidR="00DD3278" w:rsidRPr="00FB2C30" w:rsidRDefault="00DD3278" w:rsidP="00D44433">
      <w:pPr>
        <w:ind w:firstLine="720"/>
        <w:jc w:val="both"/>
        <w:rPr>
          <w:i/>
          <w:u w:val="single"/>
        </w:rPr>
      </w:pPr>
      <w:r w:rsidRPr="00FB2C30">
        <w:rPr>
          <w:i/>
          <w:u w:val="single"/>
        </w:rPr>
        <w:t>Состояние дебиторской задолженности:</w:t>
      </w:r>
    </w:p>
    <w:p w14:paraId="26EF8A34" w14:textId="77777777" w:rsidR="004D17CA" w:rsidRPr="00FB2C30" w:rsidRDefault="00DD3278" w:rsidP="00D44433">
      <w:pPr>
        <w:ind w:firstLine="720"/>
        <w:jc w:val="both"/>
      </w:pPr>
      <w:r w:rsidRPr="00FB2C30">
        <w:t>Основная сумма задолженности приходится на расчеты</w:t>
      </w:r>
      <w:r w:rsidR="00712690" w:rsidRPr="00FB2C30">
        <w:t xml:space="preserve"> по выданным авансам – </w:t>
      </w:r>
      <w:r w:rsidR="00C80A3D" w:rsidRPr="00FB2C30">
        <w:t>83709,4</w:t>
      </w:r>
      <w:r w:rsidR="00712690" w:rsidRPr="00FB2C30">
        <w:t xml:space="preserve"> </w:t>
      </w:r>
      <w:r w:rsidRPr="00FB2C30">
        <w:t>тыс. руб</w:t>
      </w:r>
      <w:r w:rsidR="007361C4" w:rsidRPr="00FB2C30">
        <w:t>.</w:t>
      </w:r>
      <w:r w:rsidR="00FA72CF" w:rsidRPr="00FB2C30">
        <w:t xml:space="preserve">, в том числе </w:t>
      </w:r>
      <w:r w:rsidR="004D17CA" w:rsidRPr="00FB2C30">
        <w:rPr>
          <w:snapToGrid w:val="0"/>
        </w:rPr>
        <w:t xml:space="preserve">задолженность по грантам средствам массовой информации </w:t>
      </w:r>
      <w:r w:rsidR="00601CA8" w:rsidRPr="00FB2C30">
        <w:rPr>
          <w:snapToGrid w:val="0"/>
        </w:rPr>
        <w:t xml:space="preserve">- </w:t>
      </w:r>
      <w:r w:rsidR="004D17CA" w:rsidRPr="00FB2C30">
        <w:rPr>
          <w:snapToGrid w:val="0"/>
        </w:rPr>
        <w:t xml:space="preserve">50640,5 тыс. руб., по субсидии бюджетам муниципальных районов и городских округов Волгоградской области на софинансирование расходных обязательств, возникающих в связи с доведением до сведения жителей официальной информации </w:t>
      </w:r>
      <w:r w:rsidR="00601CA8" w:rsidRPr="00FB2C30">
        <w:rPr>
          <w:snapToGrid w:val="0"/>
        </w:rPr>
        <w:t>-</w:t>
      </w:r>
      <w:r w:rsidR="004D17CA" w:rsidRPr="00FB2C30">
        <w:rPr>
          <w:snapToGrid w:val="0"/>
        </w:rPr>
        <w:t xml:space="preserve"> 24000 тыс. руб., по субсидии на поддержку СО НКО </w:t>
      </w:r>
      <w:r w:rsidR="00601CA8" w:rsidRPr="00FB2C30">
        <w:rPr>
          <w:snapToGrid w:val="0"/>
        </w:rPr>
        <w:t>-</w:t>
      </w:r>
      <w:r w:rsidR="004D17CA" w:rsidRPr="00FB2C30">
        <w:rPr>
          <w:snapToGrid w:val="0"/>
        </w:rPr>
        <w:t xml:space="preserve"> 7031,2 тыс. руб</w:t>
      </w:r>
      <w:r w:rsidR="00FA72CF" w:rsidRPr="00FB2C30">
        <w:rPr>
          <w:snapToGrid w:val="0"/>
        </w:rPr>
        <w:t>лей</w:t>
      </w:r>
      <w:r w:rsidR="004D17CA" w:rsidRPr="00FB2C30">
        <w:rPr>
          <w:snapToGrid w:val="0"/>
        </w:rPr>
        <w:t>.</w:t>
      </w:r>
      <w:r w:rsidR="007361C4" w:rsidRPr="00FB2C30">
        <w:t xml:space="preserve"> </w:t>
      </w:r>
    </w:p>
    <w:p w14:paraId="4E95BE7D" w14:textId="77777777" w:rsidR="00041499" w:rsidRPr="00FB2C30" w:rsidRDefault="00E80275" w:rsidP="00D44433">
      <w:pPr>
        <w:ind w:firstLine="720"/>
        <w:jc w:val="both"/>
      </w:pPr>
      <w:r w:rsidRPr="00FB2C30">
        <w:t xml:space="preserve">Просроченная дебиторская задолженность Комитета на 01.01.2019 года составляет 10742,1 тыс. руб., в том числе задолженность за ООО «Издательский дом «Волгоградская правда»» </w:t>
      </w:r>
      <w:r w:rsidR="00601CA8" w:rsidRPr="00FB2C30">
        <w:t>-</w:t>
      </w:r>
      <w:r w:rsidRPr="00FB2C30">
        <w:t xml:space="preserve"> 10739,3 тыс. рублей.</w:t>
      </w:r>
      <w:r w:rsidR="00B13B5D" w:rsidRPr="00FB2C30">
        <w:t xml:space="preserve"> </w:t>
      </w:r>
    </w:p>
    <w:p w14:paraId="61B993D4" w14:textId="77777777" w:rsidR="00601CA8" w:rsidRPr="00FB2C30" w:rsidRDefault="00043204" w:rsidP="00D44433">
      <w:pPr>
        <w:autoSpaceDE w:val="0"/>
        <w:autoSpaceDN w:val="0"/>
        <w:adjustRightInd w:val="0"/>
        <w:ind w:firstLine="540"/>
        <w:jc w:val="both"/>
      </w:pPr>
      <w:r w:rsidRPr="00FB2C30">
        <w:t>В ходе проверки установлено, что н</w:t>
      </w:r>
      <w:r w:rsidR="00B13B5D" w:rsidRPr="00FB2C30">
        <w:t>а счете 1 206 00 «Расчеты по выданным авансам» на 01.01.2019 числится дебиторская задолженность по грант</w:t>
      </w:r>
      <w:r w:rsidR="004E4110" w:rsidRPr="00FB2C30">
        <w:t>ам Волгоградской области</w:t>
      </w:r>
      <w:r w:rsidR="00B13B5D" w:rsidRPr="00FB2C30">
        <w:t xml:space="preserve"> средствам массовой информации</w:t>
      </w:r>
      <w:r w:rsidR="00CD14A6" w:rsidRPr="00FB2C30">
        <w:t>, полученн</w:t>
      </w:r>
      <w:r w:rsidR="00CC30B6" w:rsidRPr="00FB2C30">
        <w:t>ым в 2017 году</w:t>
      </w:r>
      <w:r w:rsidR="00CD14A6" w:rsidRPr="00FB2C30">
        <w:t xml:space="preserve"> ООО «Издательский дом «Волгоградская правда»» </w:t>
      </w:r>
      <w:r w:rsidR="00601CA8" w:rsidRPr="00FB2C30">
        <w:t>(</w:t>
      </w:r>
      <w:r w:rsidR="00CD14A6" w:rsidRPr="00FB2C30">
        <w:t>по 24 соглашениям от 15.02.2017</w:t>
      </w:r>
      <w:r w:rsidR="00601CA8" w:rsidRPr="00FB2C30">
        <w:t>)</w:t>
      </w:r>
      <w:r w:rsidR="00CD14A6" w:rsidRPr="00FB2C30">
        <w:t xml:space="preserve"> в сумме 10739,3 тыс. рублей. </w:t>
      </w:r>
      <w:r w:rsidR="00FE21B9" w:rsidRPr="00FB2C30">
        <w:t xml:space="preserve">Срок окончания реализации проектов по соглашениям </w:t>
      </w:r>
      <w:r w:rsidR="00601CA8" w:rsidRPr="00FB2C30">
        <w:t xml:space="preserve">- </w:t>
      </w:r>
      <w:r w:rsidR="00FE21B9" w:rsidRPr="00FB2C30">
        <w:t xml:space="preserve">январь 2018 года. </w:t>
      </w:r>
      <w:r w:rsidR="00AD651F" w:rsidRPr="00FB2C30">
        <w:rPr>
          <w:spacing w:val="-6"/>
        </w:rPr>
        <w:t xml:space="preserve">Срок предоставления отчетов – до 10.02.2018. </w:t>
      </w:r>
      <w:r w:rsidR="007318E1" w:rsidRPr="00FB2C30">
        <w:t xml:space="preserve">В соответствии с п.167 Инструкции №191н  данная задолженность является просроченной и подлежит отражению в гр.11 раздела 1 «Сведения о дебиторской задолженности» с </w:t>
      </w:r>
      <w:r w:rsidRPr="00FB2C30">
        <w:t>указанием информации о задолженности</w:t>
      </w:r>
      <w:r w:rsidR="007318E1" w:rsidRPr="00FB2C30">
        <w:t xml:space="preserve"> в разделе 2 «Сведения о просроченной задолженности» формы 0503169.  </w:t>
      </w:r>
      <w:r w:rsidR="00FE21B9" w:rsidRPr="00FB2C30">
        <w:t>По пояснениям Комитета данный объем задолженности относится к еще не принятым актам приема-сдачи выполненных работ и отчетам за 4 квартал 2017 года и 1 квартал 2018 года, которые были представлены ООО «Издательский дом «Волгоградская правда»» в установленные соглашениями сроки.</w:t>
      </w:r>
      <w:r w:rsidR="00CD14A6" w:rsidRPr="00FB2C30">
        <w:t xml:space="preserve"> </w:t>
      </w:r>
      <w:r w:rsidR="004E4110" w:rsidRPr="00FB2C30">
        <w:t xml:space="preserve">Представленные отчеты были возвращены ООО «Издательский дом «Волгоградская правда»» для исправления выявленных замечаний. Следует отметить, что Порядком предоставления грантов </w:t>
      </w:r>
      <w:r w:rsidR="004A340C" w:rsidRPr="00FB2C30">
        <w:t>Волгоградской области средствам массовой информации, утвержденным п</w:t>
      </w:r>
      <w:r w:rsidR="004A340C" w:rsidRPr="00FB2C30">
        <w:rPr>
          <w:rFonts w:eastAsiaTheme="minorHAnsi"/>
          <w:lang w:eastAsia="en-US"/>
        </w:rPr>
        <w:t>остановлением Администрации Волгоградской обл. от 30.07.2015 № 449-п</w:t>
      </w:r>
      <w:r w:rsidR="00D042DA" w:rsidRPr="00FB2C30">
        <w:rPr>
          <w:rFonts w:eastAsiaTheme="minorHAnsi"/>
          <w:lang w:eastAsia="en-US"/>
        </w:rPr>
        <w:t xml:space="preserve"> (далее Порядок №449-п)</w:t>
      </w:r>
      <w:r w:rsidR="004A340C" w:rsidRPr="00FB2C30">
        <w:rPr>
          <w:rFonts w:eastAsiaTheme="minorHAnsi"/>
          <w:lang w:eastAsia="en-US"/>
        </w:rPr>
        <w:t>, направление Комитетом отчетов на доработку не предусмотрено.</w:t>
      </w:r>
      <w:r w:rsidRPr="00FB2C30">
        <w:rPr>
          <w:rFonts w:eastAsiaTheme="minorHAnsi"/>
          <w:lang w:eastAsia="en-US"/>
        </w:rPr>
        <w:t xml:space="preserve"> В ходе проверки в </w:t>
      </w:r>
      <w:r w:rsidRPr="00FB2C30">
        <w:t>форму 0503169 «Сведения по дебиторской и кредиторской задолженности» были внесены изменения</w:t>
      </w:r>
      <w:r w:rsidR="00CC30B6" w:rsidRPr="00FB2C30">
        <w:t xml:space="preserve"> в части отражения суммы просроченной дебиторской задолженности</w:t>
      </w:r>
      <w:r w:rsidRPr="00FB2C30">
        <w:t>.</w:t>
      </w:r>
      <w:r w:rsidR="00D042DA" w:rsidRPr="00FB2C30">
        <w:t xml:space="preserve"> </w:t>
      </w:r>
    </w:p>
    <w:p w14:paraId="276924BA" w14:textId="77777777" w:rsidR="00B13B5D" w:rsidRPr="00FB2C30" w:rsidRDefault="00D042DA" w:rsidP="00D44433">
      <w:pPr>
        <w:autoSpaceDE w:val="0"/>
        <w:autoSpaceDN w:val="0"/>
        <w:adjustRightInd w:val="0"/>
        <w:ind w:firstLine="540"/>
        <w:jc w:val="both"/>
        <w:rPr>
          <w:i/>
          <w:u w:val="single"/>
        </w:rPr>
      </w:pPr>
      <w:r w:rsidRPr="00FB2C30">
        <w:t>В соответствии с п.1 Представления КСП от 15.05.2018 №01КСП-01-09/35 Комитетом проведена работа по внесению изменений в Порядок №449-п.</w:t>
      </w:r>
      <w:r w:rsidR="00891883" w:rsidRPr="00FB2C30">
        <w:t xml:space="preserve"> Постановлением Администрации Волгоградской области от 06.08.2018 №355-п внесены изменения в Порядок №449-п, согласно которым к</w:t>
      </w:r>
      <w:r w:rsidR="00891883" w:rsidRPr="00FB2C30">
        <w:rPr>
          <w:rFonts w:eastAsiaTheme="minorHAnsi"/>
          <w:iCs/>
          <w:lang w:eastAsia="en-US"/>
        </w:rPr>
        <w:t xml:space="preserve"> организациям, участвующим в конкурсе, предъявляются, в том числе следующие требования:</w:t>
      </w:r>
      <w:r w:rsidR="00891883" w:rsidRPr="00FB2C30">
        <w:rPr>
          <w:rFonts w:eastAsiaTheme="minorHAnsi"/>
          <w:i/>
          <w:iCs/>
          <w:lang w:eastAsia="en-US"/>
        </w:rPr>
        <w:t xml:space="preserve"> отсутствие просроченной задолженности по возврату грантов в областной бюджет, отсутствие в деятельности организации фактов нецелевого использования грантов.</w:t>
      </w:r>
    </w:p>
    <w:p w14:paraId="07B2BEF4" w14:textId="77777777" w:rsidR="00D87C5C" w:rsidRPr="00FB2C30" w:rsidRDefault="002C44DC" w:rsidP="00D44433">
      <w:pPr>
        <w:ind w:firstLine="720"/>
        <w:jc w:val="both"/>
      </w:pPr>
      <w:r w:rsidRPr="00FB2C30">
        <w:lastRenderedPageBreak/>
        <w:t>На 01.01.2019 у Комитета числится дебиторская задолженность по расчетам по ущербу и иным доходам в сумме 4433,5 тыс. руб., в том числе задолженность по субсиди</w:t>
      </w:r>
      <w:r w:rsidR="00CB1303" w:rsidRPr="00FB2C30">
        <w:t>и</w:t>
      </w:r>
      <w:r w:rsidRPr="00FB2C30">
        <w:t xml:space="preserve"> некоммерческим организациям территориального общественного самоуправления</w:t>
      </w:r>
      <w:r w:rsidR="00E02F1C" w:rsidRPr="00FB2C30">
        <w:t xml:space="preserve"> (далее ТОС)</w:t>
      </w:r>
      <w:r w:rsidR="00CB1303" w:rsidRPr="00FB2C30">
        <w:t>,</w:t>
      </w:r>
      <w:r w:rsidRPr="00FB2C30">
        <w:t xml:space="preserve"> начисленн</w:t>
      </w:r>
      <w:r w:rsidR="00CB1303" w:rsidRPr="00FB2C30">
        <w:t>ая</w:t>
      </w:r>
      <w:r w:rsidRPr="00FB2C30">
        <w:t xml:space="preserve"> по </w:t>
      </w:r>
      <w:r w:rsidR="00CB1303" w:rsidRPr="00FB2C30">
        <w:t xml:space="preserve">поступившим исполнительным </w:t>
      </w:r>
      <w:r w:rsidR="00D87C5C" w:rsidRPr="00FB2C30">
        <w:t xml:space="preserve">листам в сумме 4433 тыс. рублей. </w:t>
      </w:r>
    </w:p>
    <w:p w14:paraId="6F543FC6" w14:textId="77777777" w:rsidR="00D87C5C" w:rsidRPr="00FB2C30" w:rsidRDefault="00D87C5C" w:rsidP="00D44433">
      <w:pPr>
        <w:ind w:firstLine="720"/>
        <w:jc w:val="both"/>
      </w:pPr>
      <w:r w:rsidRPr="00FB2C30">
        <w:t>П</w:t>
      </w:r>
      <w:r w:rsidR="00F31D6C" w:rsidRPr="00FB2C30">
        <w:t xml:space="preserve">о счету 04 </w:t>
      </w:r>
      <w:r w:rsidRPr="00FB2C30">
        <w:t xml:space="preserve">«Задолженность неплатежеспособных дебиторов» у Комитета числится задолженность </w:t>
      </w:r>
      <w:r w:rsidR="00745873" w:rsidRPr="00FB2C30">
        <w:t xml:space="preserve">на 01.01.2019 </w:t>
      </w:r>
      <w:r w:rsidRPr="00FB2C30">
        <w:t>в сумме 1448,2 тыс. руб</w:t>
      </w:r>
      <w:r w:rsidR="00F31D6C" w:rsidRPr="00FB2C30">
        <w:t>.</w:t>
      </w:r>
      <w:r w:rsidRPr="00FB2C30">
        <w:t xml:space="preserve">, в том числе: АО «Волга-Медиа» - 515,7 тыс. руб., общероссийская общественная организация «Ассамблея </w:t>
      </w:r>
      <w:r w:rsidR="00E02F1C" w:rsidRPr="00FB2C30">
        <w:t>народов России</w:t>
      </w:r>
      <w:r w:rsidRPr="00FB2C30">
        <w:t>»</w:t>
      </w:r>
      <w:r w:rsidR="00E02F1C" w:rsidRPr="00FB2C30">
        <w:t xml:space="preserve"> - 47 тыс. руб., ТОС «Горная поляна» - 220 тыс. руб., ТОС «Донские зори» - 220 тыс. руб., ТОС «Медведица-Стар» - 198 тыс. руб., ТОС «Молодежный» - 27,4 тыс. руб., ТОС «Успех Заплавинский» - 220 тыс. рублей.</w:t>
      </w:r>
    </w:p>
    <w:p w14:paraId="0E1F846C" w14:textId="77777777" w:rsidR="004E5C81" w:rsidRPr="00FB2C30" w:rsidRDefault="004E5C81" w:rsidP="00D44433">
      <w:pPr>
        <w:ind w:firstLine="720"/>
        <w:jc w:val="both"/>
      </w:pPr>
      <w:r w:rsidRPr="00FB2C30">
        <w:t>В соответствии с п.2 Представления КСП от 15.05.2018 №01КСП-01-09/35 Комитетом проведена работа по уменьшению дебиторской задолженности по субсиди</w:t>
      </w:r>
      <w:r w:rsidR="00601CA8" w:rsidRPr="00FB2C30">
        <w:t>ям</w:t>
      </w:r>
      <w:r w:rsidRPr="00FB2C30">
        <w:t xml:space="preserve"> ТОС. </w:t>
      </w:r>
      <w:r w:rsidR="0061068E" w:rsidRPr="00FB2C30">
        <w:t>В 2018 году</w:t>
      </w:r>
      <w:r w:rsidRPr="00FB2C30">
        <w:t xml:space="preserve"> дебиторская задолженность по субсиди</w:t>
      </w:r>
      <w:r w:rsidR="00601CA8" w:rsidRPr="00FB2C30">
        <w:t>ям</w:t>
      </w:r>
      <w:r w:rsidRPr="00FB2C30">
        <w:t xml:space="preserve"> ТОС уменьшилась на </w:t>
      </w:r>
      <w:r w:rsidR="0061068E" w:rsidRPr="00FB2C30">
        <w:t>64752,6 тыс. руб.</w:t>
      </w:r>
      <w:r w:rsidR="00601CA8" w:rsidRPr="00FB2C30">
        <w:t>,</w:t>
      </w:r>
      <w:r w:rsidR="0061068E" w:rsidRPr="00FB2C30">
        <w:t xml:space="preserve"> или на 92,4 %</w:t>
      </w:r>
      <w:r w:rsidR="00601CA8" w:rsidRPr="00FB2C30">
        <w:t>,</w:t>
      </w:r>
      <w:r w:rsidR="0061068E" w:rsidRPr="00FB2C30">
        <w:t xml:space="preserve"> и по состоянию на 01.01.2019 составила 5318,5 тыс. рублей.</w:t>
      </w:r>
    </w:p>
    <w:p w14:paraId="6A27CF84" w14:textId="77777777" w:rsidR="00E02F1C" w:rsidRPr="00FB2C30" w:rsidRDefault="008C0092" w:rsidP="00D44433">
      <w:pPr>
        <w:ind w:firstLine="720"/>
        <w:jc w:val="both"/>
      </w:pPr>
      <w:r w:rsidRPr="00FB2C30">
        <w:t>П</w:t>
      </w:r>
      <w:r w:rsidR="006A3898" w:rsidRPr="00FB2C30">
        <w:t>о информации Комитета</w:t>
      </w:r>
      <w:r w:rsidR="00432F2F" w:rsidRPr="00FB2C30">
        <w:t xml:space="preserve"> </w:t>
      </w:r>
      <w:r w:rsidR="006A3898" w:rsidRPr="00FB2C30">
        <w:t xml:space="preserve">исполнительные листы по общероссийской общественной организации «Ассамблея народов России» и ТОС «Молодежный» получены и направлены в службу судебных приставов, судебное заседание по делу ТОС «Донские зори» перенесено на </w:t>
      </w:r>
      <w:r w:rsidRPr="00FB2C30">
        <w:t>04.04.2019</w:t>
      </w:r>
      <w:r w:rsidR="00174040" w:rsidRPr="00FB2C30">
        <w:t>.</w:t>
      </w:r>
      <w:r w:rsidR="006A3898" w:rsidRPr="00FB2C30">
        <w:t xml:space="preserve"> </w:t>
      </w:r>
      <w:r w:rsidR="00174040" w:rsidRPr="00FB2C30">
        <w:t>В</w:t>
      </w:r>
      <w:r w:rsidR="006A3898" w:rsidRPr="00FB2C30">
        <w:t xml:space="preserve"> отношении АО «Волга-Медиа» </w:t>
      </w:r>
      <w:r w:rsidR="00174040" w:rsidRPr="00FB2C30">
        <w:t>конкурсное управление продлено до 21.03.2019, Комитет включен в реестр кредиторов в третью очередь. ТОС «Успех Заплавинский», ТОС «Медведица-Стар», ТОС «Горная поляна» не могут распоряжаться средствами субсидии по причине блокировки счетов обслуживающих их банков в связи с отзывом у них лицензии на осуществление банковской деятельности Центральным банком России.</w:t>
      </w:r>
      <w:r w:rsidR="00745873" w:rsidRPr="00FB2C30">
        <w:t xml:space="preserve"> Комитетом было направлено исковое заявление в суд о взыскании задолженности с ТОС «Успех Заплавинский», но суд отказал в удовлетворении исковых требований. </w:t>
      </w:r>
    </w:p>
    <w:p w14:paraId="1450E235" w14:textId="77777777" w:rsidR="00DD3278" w:rsidRPr="00FB2C30" w:rsidRDefault="00DD3278" w:rsidP="00D44433">
      <w:pPr>
        <w:ind w:firstLine="720"/>
        <w:jc w:val="both"/>
        <w:rPr>
          <w:i/>
          <w:u w:val="single"/>
        </w:rPr>
      </w:pPr>
      <w:r w:rsidRPr="00FB2C30">
        <w:rPr>
          <w:i/>
          <w:u w:val="single"/>
        </w:rPr>
        <w:t>Состояние кредиторской задолженности:</w:t>
      </w:r>
    </w:p>
    <w:p w14:paraId="7E02CA44" w14:textId="77777777" w:rsidR="00B14CC5" w:rsidRPr="00FB2C30" w:rsidRDefault="008F646F" w:rsidP="00D44433">
      <w:pPr>
        <w:ind w:firstLine="720"/>
        <w:jc w:val="both"/>
      </w:pPr>
      <w:r w:rsidRPr="00FB2C30">
        <w:t>Кредиторская задолженность на 01.01.201</w:t>
      </w:r>
      <w:r w:rsidR="00337771" w:rsidRPr="00FB2C30">
        <w:t>9</w:t>
      </w:r>
      <w:r w:rsidRPr="00FB2C30">
        <w:t xml:space="preserve"> по сравнению с началом 201</w:t>
      </w:r>
      <w:r w:rsidR="00337771" w:rsidRPr="00FB2C30">
        <w:t>8</w:t>
      </w:r>
      <w:r w:rsidRPr="00FB2C30">
        <w:t xml:space="preserve"> года </w:t>
      </w:r>
      <w:r w:rsidR="00337771" w:rsidRPr="00FB2C30">
        <w:t>уменьшилась на 91,6 %</w:t>
      </w:r>
      <w:r w:rsidRPr="00FB2C30">
        <w:t xml:space="preserve"> и </w:t>
      </w:r>
      <w:r w:rsidR="00712690" w:rsidRPr="00FB2C30">
        <w:t xml:space="preserve"> составила </w:t>
      </w:r>
      <w:r w:rsidR="00337771" w:rsidRPr="00FB2C30">
        <w:t>683</w:t>
      </w:r>
      <w:r w:rsidR="00712690" w:rsidRPr="00FB2C30">
        <w:t xml:space="preserve"> </w:t>
      </w:r>
      <w:r w:rsidR="00DD3278" w:rsidRPr="00FB2C30">
        <w:t>тыс. руб</w:t>
      </w:r>
      <w:r w:rsidR="00D8683E" w:rsidRPr="00FB2C30">
        <w:t>лей</w:t>
      </w:r>
      <w:r w:rsidR="004D19C4" w:rsidRPr="00FB2C30">
        <w:t xml:space="preserve">. </w:t>
      </w:r>
      <w:r w:rsidR="00D8683E" w:rsidRPr="00FB2C30">
        <w:t>Просроченная кредиторская задолженность у Комитета отсутствует.</w:t>
      </w:r>
    </w:p>
    <w:p w14:paraId="4C1689B0" w14:textId="77777777" w:rsidR="00707B60" w:rsidRPr="00FB2C30" w:rsidRDefault="00DD3278" w:rsidP="00D44433">
      <w:pPr>
        <w:ind w:firstLine="720"/>
        <w:jc w:val="both"/>
      </w:pPr>
      <w:r w:rsidRPr="00FB2C30">
        <w:t xml:space="preserve">Из Пояснительной записки (ф. 0503160) следует, что </w:t>
      </w:r>
      <w:r w:rsidR="004D19C4" w:rsidRPr="00FB2C30">
        <w:t>основ</w:t>
      </w:r>
      <w:r w:rsidR="00E02F49" w:rsidRPr="00FB2C30">
        <w:t>н</w:t>
      </w:r>
      <w:r w:rsidR="004D19C4" w:rsidRPr="00FB2C30">
        <w:t xml:space="preserve">ую долю </w:t>
      </w:r>
      <w:r w:rsidR="008A4DD7" w:rsidRPr="00FB2C30">
        <w:t xml:space="preserve">кредиторской </w:t>
      </w:r>
      <w:r w:rsidRPr="00FB2C30">
        <w:t>задолженност</w:t>
      </w:r>
      <w:r w:rsidR="004D19C4" w:rsidRPr="00FB2C30">
        <w:t>и соста</w:t>
      </w:r>
      <w:r w:rsidR="00E02F49" w:rsidRPr="00FB2C30">
        <w:t>в</w:t>
      </w:r>
      <w:r w:rsidR="004D19C4" w:rsidRPr="00FB2C30">
        <w:t>ляет задолженност</w:t>
      </w:r>
      <w:r w:rsidR="00D8683E" w:rsidRPr="00FB2C30">
        <w:t>ь по соглашению о предоставлении</w:t>
      </w:r>
      <w:r w:rsidR="004D19C4" w:rsidRPr="00FB2C30">
        <w:t xml:space="preserve"> </w:t>
      </w:r>
      <w:r w:rsidR="0061068E" w:rsidRPr="00FB2C30">
        <w:t xml:space="preserve">в 2018 году </w:t>
      </w:r>
      <w:r w:rsidR="004D19C4" w:rsidRPr="00FB2C30">
        <w:t xml:space="preserve">субсидии на выполнение государственного задания подведомственным учреждением ГБУ ВО </w:t>
      </w:r>
      <w:r w:rsidR="00D8683E" w:rsidRPr="00FB2C30">
        <w:t>«</w:t>
      </w:r>
      <w:r w:rsidR="004D19C4" w:rsidRPr="00FB2C30">
        <w:t>РИАЦ</w:t>
      </w:r>
      <w:r w:rsidR="00D8683E" w:rsidRPr="00FB2C30">
        <w:t>»</w:t>
      </w:r>
      <w:r w:rsidR="004D19C4" w:rsidRPr="00FB2C30">
        <w:t xml:space="preserve"> (</w:t>
      </w:r>
      <w:r w:rsidR="00D8683E" w:rsidRPr="00FB2C30">
        <w:t>677,3</w:t>
      </w:r>
      <w:r w:rsidR="004D19C4" w:rsidRPr="00FB2C30">
        <w:t xml:space="preserve"> тыс.</w:t>
      </w:r>
      <w:r w:rsidR="00D8683E" w:rsidRPr="00FB2C30">
        <w:t xml:space="preserve"> </w:t>
      </w:r>
      <w:r w:rsidR="004D19C4" w:rsidRPr="00FB2C30">
        <w:t xml:space="preserve">руб.), </w:t>
      </w:r>
      <w:r w:rsidR="00D8683E" w:rsidRPr="00FB2C30">
        <w:t>за услуги связи (</w:t>
      </w:r>
      <w:r w:rsidR="007F3F97" w:rsidRPr="00FB2C30">
        <w:t>5,7 тыс. рублей</w:t>
      </w:r>
      <w:r w:rsidR="00D8683E" w:rsidRPr="00FB2C30">
        <w:t>)</w:t>
      </w:r>
      <w:r w:rsidR="007F3F97" w:rsidRPr="00FB2C30">
        <w:t>.</w:t>
      </w:r>
    </w:p>
    <w:p w14:paraId="17AD0FDD" w14:textId="77777777" w:rsidR="00EB0E5A" w:rsidRPr="00FB2C30" w:rsidRDefault="00EB0E5A" w:rsidP="00D44433">
      <w:pPr>
        <w:autoSpaceDE w:val="0"/>
        <w:autoSpaceDN w:val="0"/>
        <w:adjustRightInd w:val="0"/>
        <w:ind w:firstLine="539"/>
        <w:jc w:val="center"/>
        <w:rPr>
          <w:b/>
          <w:i/>
        </w:rPr>
      </w:pPr>
    </w:p>
    <w:p w14:paraId="65464C7A" w14:textId="77777777" w:rsidR="00DD3278" w:rsidRPr="00FB2C30" w:rsidRDefault="00A81CA1" w:rsidP="00D44433">
      <w:pPr>
        <w:autoSpaceDE w:val="0"/>
        <w:autoSpaceDN w:val="0"/>
        <w:adjustRightInd w:val="0"/>
        <w:ind w:firstLine="539"/>
        <w:jc w:val="center"/>
        <w:rPr>
          <w:b/>
          <w:i/>
        </w:rPr>
      </w:pPr>
      <w:r w:rsidRPr="00FB2C30">
        <w:rPr>
          <w:b/>
          <w:i/>
        </w:rPr>
        <w:t>Исполнение государственных (ведомственных) программ Волгоградской области</w:t>
      </w:r>
    </w:p>
    <w:p w14:paraId="54F0D131" w14:textId="77777777" w:rsidR="00CB40C4" w:rsidRPr="00FB2C30" w:rsidRDefault="00D053E1" w:rsidP="00B32132">
      <w:pPr>
        <w:ind w:firstLine="720"/>
        <w:jc w:val="both"/>
      </w:pPr>
      <w:r w:rsidRPr="00FB2C30">
        <w:t>В течение 201</w:t>
      </w:r>
      <w:r w:rsidR="00042FD4" w:rsidRPr="00FB2C30">
        <w:t>8</w:t>
      </w:r>
      <w:r w:rsidR="00DD3278" w:rsidRPr="00FB2C30">
        <w:t xml:space="preserve"> года Комитет выполнял мероприятия по государственн</w:t>
      </w:r>
      <w:r w:rsidR="00042FD4" w:rsidRPr="00FB2C30">
        <w:t>ой</w:t>
      </w:r>
      <w:r w:rsidR="00DD3278" w:rsidRPr="00FB2C30">
        <w:t xml:space="preserve"> </w:t>
      </w:r>
      <w:r w:rsidR="00042FD4" w:rsidRPr="00FB2C30">
        <w:t xml:space="preserve">программе </w:t>
      </w:r>
      <w:r w:rsidR="00377754" w:rsidRPr="00FB2C30">
        <w:t>«</w:t>
      </w:r>
      <w:r w:rsidR="009D2F11" w:rsidRPr="00FB2C30">
        <w:t>Развитие гражданского общества</w:t>
      </w:r>
      <w:r w:rsidR="00CB40C4" w:rsidRPr="00FB2C30">
        <w:t xml:space="preserve"> на территории </w:t>
      </w:r>
      <w:r w:rsidR="00652250" w:rsidRPr="00FB2C30">
        <w:t>В</w:t>
      </w:r>
      <w:r w:rsidR="00CB40C4" w:rsidRPr="00FB2C30">
        <w:t>олгоградской области</w:t>
      </w:r>
      <w:r w:rsidR="00377754" w:rsidRPr="00FB2C30">
        <w:t>»</w:t>
      </w:r>
      <w:r w:rsidR="00652250" w:rsidRPr="00FB2C30">
        <w:t xml:space="preserve">, утвержденной постановлением </w:t>
      </w:r>
      <w:r w:rsidR="009D2F11" w:rsidRPr="00FB2C30">
        <w:t>Администрации</w:t>
      </w:r>
      <w:r w:rsidR="00652250" w:rsidRPr="00FB2C30">
        <w:t xml:space="preserve"> Волгоградской области от </w:t>
      </w:r>
      <w:r w:rsidR="009D2F11" w:rsidRPr="00FB2C30">
        <w:t>26</w:t>
      </w:r>
      <w:r w:rsidR="00652250" w:rsidRPr="00FB2C30">
        <w:t>.1</w:t>
      </w:r>
      <w:r w:rsidR="009D2F11" w:rsidRPr="00FB2C30">
        <w:t>0</w:t>
      </w:r>
      <w:r w:rsidR="00652250" w:rsidRPr="00FB2C30">
        <w:t>.201</w:t>
      </w:r>
      <w:r w:rsidR="009D2F11" w:rsidRPr="00FB2C30">
        <w:t>7</w:t>
      </w:r>
      <w:r w:rsidR="00652250" w:rsidRPr="00FB2C30">
        <w:t xml:space="preserve"> № </w:t>
      </w:r>
      <w:r w:rsidR="009D2F11" w:rsidRPr="00FB2C30">
        <w:t>561</w:t>
      </w:r>
      <w:r w:rsidR="00652250" w:rsidRPr="00FB2C30">
        <w:t>-п (</w:t>
      </w:r>
      <w:r w:rsidR="00CB40C4" w:rsidRPr="00FB2C30">
        <w:t xml:space="preserve">далее ГП </w:t>
      </w:r>
      <w:r w:rsidR="00377754" w:rsidRPr="00FB2C30">
        <w:t>«</w:t>
      </w:r>
      <w:r w:rsidR="009D2F11" w:rsidRPr="00FB2C30">
        <w:t>Развитие гражданского общества</w:t>
      </w:r>
      <w:r w:rsidR="00377754" w:rsidRPr="00FB2C30">
        <w:t>»</w:t>
      </w:r>
      <w:r w:rsidR="00652250" w:rsidRPr="00FB2C30">
        <w:t>, Пос</w:t>
      </w:r>
      <w:r w:rsidR="00A3374C" w:rsidRPr="00FB2C30">
        <w:t>т</w:t>
      </w:r>
      <w:r w:rsidR="00652250" w:rsidRPr="00FB2C30">
        <w:t>ановление №</w:t>
      </w:r>
      <w:r w:rsidR="002E0F8A" w:rsidRPr="00FB2C30">
        <w:t>561</w:t>
      </w:r>
      <w:r w:rsidR="00652250" w:rsidRPr="00FB2C30">
        <w:t>-п)</w:t>
      </w:r>
      <w:r w:rsidR="009D2F11" w:rsidRPr="00FB2C30">
        <w:t xml:space="preserve"> и </w:t>
      </w:r>
      <w:r w:rsidR="00CB40C4" w:rsidRPr="00FB2C30">
        <w:t>ведомст</w:t>
      </w:r>
      <w:r w:rsidR="00E02F49" w:rsidRPr="00FB2C30">
        <w:t>в</w:t>
      </w:r>
      <w:r w:rsidR="00CB40C4" w:rsidRPr="00FB2C30">
        <w:t xml:space="preserve">енной целевой программе </w:t>
      </w:r>
      <w:r w:rsidR="00377754" w:rsidRPr="00FB2C30">
        <w:t>«</w:t>
      </w:r>
      <w:r w:rsidR="00CB40C4" w:rsidRPr="00FB2C30">
        <w:t>Реализация государственной информационной политики на территории Волгоградской области в сфере средств массовой информации и массовых коммуникаций, развития информационных ресурсов, печати, издательской, полиграфической деятельности, распространения печатной продукции</w:t>
      </w:r>
      <w:r w:rsidR="00377754" w:rsidRPr="00FB2C30">
        <w:t>»</w:t>
      </w:r>
      <w:r w:rsidR="00CB40C4" w:rsidRPr="00FB2C30">
        <w:t xml:space="preserve"> на 2016 - 2018 годы, утвержденной приказом комитета информационной политики Волгоградской области от 12.11.2015 №202 (далее ВЦП </w:t>
      </w:r>
      <w:r w:rsidR="00A3374C" w:rsidRPr="00FB2C30">
        <w:t>р</w:t>
      </w:r>
      <w:r w:rsidR="00CB40C4" w:rsidRPr="00FB2C30">
        <w:t>еализация информационной политики</w:t>
      </w:r>
      <w:r w:rsidR="00636AD7" w:rsidRPr="00FB2C30">
        <w:t xml:space="preserve">, </w:t>
      </w:r>
      <w:r w:rsidR="0039717A" w:rsidRPr="00FB2C30">
        <w:t xml:space="preserve">ВЦП, </w:t>
      </w:r>
      <w:r w:rsidR="00082EF2" w:rsidRPr="00FB2C30">
        <w:t>Приказ</w:t>
      </w:r>
      <w:r w:rsidR="00636AD7" w:rsidRPr="00FB2C30">
        <w:t xml:space="preserve"> №202</w:t>
      </w:r>
      <w:r w:rsidR="00CB40C4" w:rsidRPr="00FB2C30">
        <w:t>).</w:t>
      </w:r>
    </w:p>
    <w:p w14:paraId="35961BB8" w14:textId="77777777" w:rsidR="00EB514C" w:rsidRPr="00FB2C30" w:rsidRDefault="00DD3278" w:rsidP="00D44433">
      <w:pPr>
        <w:ind w:firstLine="720"/>
        <w:jc w:val="both"/>
      </w:pPr>
      <w:r w:rsidRPr="00FB2C30">
        <w:t>Обобщённые данные  по исполнению программ представлены в таблице</w:t>
      </w:r>
      <w:r w:rsidR="00CB40C4" w:rsidRPr="00FB2C30">
        <w:t xml:space="preserve"> №</w:t>
      </w:r>
      <w:r w:rsidR="00004146" w:rsidRPr="00FB2C30">
        <w:t>4</w:t>
      </w:r>
      <w:r w:rsidRPr="00FB2C30">
        <w:t>.</w:t>
      </w:r>
    </w:p>
    <w:p w14:paraId="5AB2304B" w14:textId="77777777" w:rsidR="00DD3278" w:rsidRPr="00FB2C30" w:rsidRDefault="00DD3278" w:rsidP="00B32132">
      <w:pPr>
        <w:jc w:val="right"/>
      </w:pPr>
      <w:r w:rsidRPr="00FB2C30">
        <w:t xml:space="preserve">  </w:t>
      </w:r>
      <w:r w:rsidR="00CB40C4" w:rsidRPr="00FB2C30">
        <w:t>Таблица №</w:t>
      </w:r>
      <w:r w:rsidR="00004146" w:rsidRPr="00FB2C30">
        <w:t>4</w:t>
      </w:r>
      <w:r w:rsidR="00A81CA1" w:rsidRPr="00FB2C30">
        <w:t>,</w:t>
      </w:r>
      <w:r w:rsidRPr="00FB2C30">
        <w:t xml:space="preserve"> тыс. руб.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1701"/>
        <w:gridCol w:w="1668"/>
        <w:gridCol w:w="1559"/>
        <w:gridCol w:w="1591"/>
        <w:gridCol w:w="1470"/>
      </w:tblGrid>
      <w:tr w:rsidR="00652250" w:rsidRPr="00FB2C30" w14:paraId="0990B386" w14:textId="77777777" w:rsidTr="00A3374C">
        <w:trPr>
          <w:jc w:val="center"/>
        </w:trPr>
        <w:tc>
          <w:tcPr>
            <w:tcW w:w="2474" w:type="dxa"/>
          </w:tcPr>
          <w:p w14:paraId="00F38DE8" w14:textId="77777777" w:rsidR="00652250" w:rsidRPr="00FB2C30" w:rsidRDefault="00652250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Наименование ГП</w:t>
            </w:r>
          </w:p>
        </w:tc>
        <w:tc>
          <w:tcPr>
            <w:tcW w:w="1701" w:type="dxa"/>
          </w:tcPr>
          <w:p w14:paraId="1A97BCE6" w14:textId="77777777" w:rsidR="00652250" w:rsidRPr="00FB2C30" w:rsidRDefault="00652250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Утверждено программой (за счет областного бюджета)</w:t>
            </w:r>
          </w:p>
        </w:tc>
        <w:tc>
          <w:tcPr>
            <w:tcW w:w="1668" w:type="dxa"/>
          </w:tcPr>
          <w:p w14:paraId="4A367F33" w14:textId="77777777" w:rsidR="00652250" w:rsidRPr="00FB2C30" w:rsidRDefault="00652250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Утверждено Законом об областном бюджете</w:t>
            </w:r>
          </w:p>
        </w:tc>
        <w:tc>
          <w:tcPr>
            <w:tcW w:w="1559" w:type="dxa"/>
          </w:tcPr>
          <w:p w14:paraId="27BA9CFC" w14:textId="77777777" w:rsidR="00652250" w:rsidRPr="00FB2C30" w:rsidRDefault="00652250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Утверждено бюджетной росписью</w:t>
            </w:r>
          </w:p>
        </w:tc>
        <w:tc>
          <w:tcPr>
            <w:tcW w:w="1591" w:type="dxa"/>
          </w:tcPr>
          <w:p w14:paraId="3D253C6C" w14:textId="77777777" w:rsidR="00652250" w:rsidRPr="00FB2C30" w:rsidRDefault="00652250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Исполнено</w:t>
            </w:r>
          </w:p>
        </w:tc>
        <w:tc>
          <w:tcPr>
            <w:tcW w:w="1470" w:type="dxa"/>
          </w:tcPr>
          <w:p w14:paraId="588BE302" w14:textId="77777777" w:rsidR="00652250" w:rsidRPr="00FB2C30" w:rsidRDefault="00652250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Исполнено от бюджетной росписи (%)</w:t>
            </w:r>
          </w:p>
        </w:tc>
      </w:tr>
      <w:tr w:rsidR="00652250" w:rsidRPr="00FB2C30" w14:paraId="2DDDC3C5" w14:textId="77777777" w:rsidTr="00A3374C">
        <w:trPr>
          <w:trHeight w:val="40"/>
          <w:jc w:val="center"/>
        </w:trPr>
        <w:tc>
          <w:tcPr>
            <w:tcW w:w="2474" w:type="dxa"/>
            <w:vAlign w:val="center"/>
          </w:tcPr>
          <w:p w14:paraId="0F43CF75" w14:textId="77777777" w:rsidR="00652250" w:rsidRPr="00FB2C30" w:rsidRDefault="00652250" w:rsidP="00B3213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 xml:space="preserve">ГП </w:t>
            </w:r>
            <w:r w:rsidR="00377754" w:rsidRPr="00FB2C30">
              <w:rPr>
                <w:sz w:val="18"/>
                <w:szCs w:val="18"/>
              </w:rPr>
              <w:t>«</w:t>
            </w:r>
            <w:r w:rsidR="009D2F11" w:rsidRPr="00FB2C30">
              <w:rPr>
                <w:sz w:val="18"/>
                <w:szCs w:val="18"/>
              </w:rPr>
              <w:t>Развитие гражданского общества</w:t>
            </w:r>
            <w:r w:rsidR="00377754" w:rsidRPr="00FB2C3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14:paraId="377A82B0" w14:textId="77777777" w:rsidR="00652250" w:rsidRPr="00FB2C30" w:rsidRDefault="009D2F11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1</w:t>
            </w:r>
            <w:r w:rsidR="00B423D8" w:rsidRPr="00FB2C30">
              <w:rPr>
                <w:sz w:val="18"/>
                <w:szCs w:val="18"/>
              </w:rPr>
              <w:t>254</w:t>
            </w:r>
            <w:r w:rsidRPr="00FB2C30">
              <w:rPr>
                <w:sz w:val="18"/>
                <w:szCs w:val="18"/>
              </w:rPr>
              <w:t>5</w:t>
            </w:r>
          </w:p>
        </w:tc>
        <w:tc>
          <w:tcPr>
            <w:tcW w:w="1668" w:type="dxa"/>
            <w:vAlign w:val="center"/>
          </w:tcPr>
          <w:p w14:paraId="71F462D7" w14:textId="77777777" w:rsidR="00652250" w:rsidRPr="00FB2C30" w:rsidRDefault="00386BD2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12545</w:t>
            </w:r>
          </w:p>
        </w:tc>
        <w:tc>
          <w:tcPr>
            <w:tcW w:w="1559" w:type="dxa"/>
          </w:tcPr>
          <w:p w14:paraId="4780C831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12171,1</w:t>
            </w:r>
          </w:p>
        </w:tc>
        <w:tc>
          <w:tcPr>
            <w:tcW w:w="1591" w:type="dxa"/>
            <w:vAlign w:val="center"/>
          </w:tcPr>
          <w:p w14:paraId="328CE3D5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11466,1</w:t>
            </w:r>
          </w:p>
        </w:tc>
        <w:tc>
          <w:tcPr>
            <w:tcW w:w="1470" w:type="dxa"/>
            <w:vAlign w:val="center"/>
          </w:tcPr>
          <w:p w14:paraId="620D28A9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94,2</w:t>
            </w:r>
          </w:p>
        </w:tc>
      </w:tr>
      <w:tr w:rsidR="00652250" w:rsidRPr="00FB2C30" w14:paraId="20EB128C" w14:textId="77777777" w:rsidTr="00A3374C">
        <w:trPr>
          <w:trHeight w:val="60"/>
          <w:jc w:val="center"/>
        </w:trPr>
        <w:tc>
          <w:tcPr>
            <w:tcW w:w="2474" w:type="dxa"/>
            <w:vAlign w:val="center"/>
          </w:tcPr>
          <w:p w14:paraId="2FAC3761" w14:textId="77777777" w:rsidR="00652250" w:rsidRPr="00FB2C30" w:rsidRDefault="00652250" w:rsidP="00B3213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ВЦП Реализация информационной политики</w:t>
            </w:r>
          </w:p>
        </w:tc>
        <w:tc>
          <w:tcPr>
            <w:tcW w:w="1701" w:type="dxa"/>
          </w:tcPr>
          <w:p w14:paraId="7CD563C5" w14:textId="77777777" w:rsidR="009D2F11" w:rsidRPr="00FB2C30" w:rsidRDefault="009D2F11" w:rsidP="00B321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B2C30">
              <w:rPr>
                <w:rFonts w:eastAsiaTheme="minorHAnsi"/>
                <w:sz w:val="18"/>
                <w:szCs w:val="18"/>
                <w:lang w:eastAsia="en-US"/>
              </w:rPr>
              <w:t>224219,6</w:t>
            </w:r>
          </w:p>
          <w:p w14:paraId="21616D1C" w14:textId="77777777" w:rsidR="00652250" w:rsidRPr="00FB2C30" w:rsidRDefault="00652250" w:rsidP="00B32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</w:tcPr>
          <w:p w14:paraId="31A39E6B" w14:textId="77777777" w:rsidR="00652250" w:rsidRPr="00FB2C30" w:rsidRDefault="00B423D8" w:rsidP="00B32132">
            <w:pPr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227649,2</w:t>
            </w:r>
          </w:p>
        </w:tc>
        <w:tc>
          <w:tcPr>
            <w:tcW w:w="1559" w:type="dxa"/>
          </w:tcPr>
          <w:p w14:paraId="6D014124" w14:textId="77777777" w:rsidR="00652250" w:rsidRPr="00FB2C30" w:rsidRDefault="00B423D8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237827</w:t>
            </w:r>
          </w:p>
        </w:tc>
        <w:tc>
          <w:tcPr>
            <w:tcW w:w="1591" w:type="dxa"/>
          </w:tcPr>
          <w:p w14:paraId="642CECD9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236977,2</w:t>
            </w:r>
          </w:p>
        </w:tc>
        <w:tc>
          <w:tcPr>
            <w:tcW w:w="1470" w:type="dxa"/>
          </w:tcPr>
          <w:p w14:paraId="2A873AE4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2C30">
              <w:rPr>
                <w:sz w:val="18"/>
                <w:szCs w:val="18"/>
              </w:rPr>
              <w:t>99,6</w:t>
            </w:r>
          </w:p>
        </w:tc>
      </w:tr>
      <w:tr w:rsidR="00652250" w:rsidRPr="00FB2C30" w14:paraId="3E9B5667" w14:textId="77777777" w:rsidTr="00A3374C">
        <w:trPr>
          <w:trHeight w:val="229"/>
          <w:jc w:val="center"/>
        </w:trPr>
        <w:tc>
          <w:tcPr>
            <w:tcW w:w="2474" w:type="dxa"/>
            <w:vAlign w:val="center"/>
          </w:tcPr>
          <w:p w14:paraId="753356E7" w14:textId="77777777" w:rsidR="00652250" w:rsidRPr="00FB2C30" w:rsidRDefault="00652250" w:rsidP="00B3213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Итого по ГП и ВЦП:</w:t>
            </w:r>
          </w:p>
        </w:tc>
        <w:tc>
          <w:tcPr>
            <w:tcW w:w="1701" w:type="dxa"/>
          </w:tcPr>
          <w:p w14:paraId="4D99D826" w14:textId="77777777" w:rsidR="00652250" w:rsidRPr="00FB2C30" w:rsidRDefault="00386BD2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236</w:t>
            </w:r>
            <w:r w:rsidR="00B423D8" w:rsidRPr="00FB2C30">
              <w:rPr>
                <w:b/>
                <w:sz w:val="18"/>
                <w:szCs w:val="18"/>
              </w:rPr>
              <w:t>764,6</w:t>
            </w:r>
          </w:p>
        </w:tc>
        <w:tc>
          <w:tcPr>
            <w:tcW w:w="1668" w:type="dxa"/>
          </w:tcPr>
          <w:p w14:paraId="220609F1" w14:textId="77777777" w:rsidR="00652250" w:rsidRPr="00FB2C30" w:rsidRDefault="00B423D8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240194,2</w:t>
            </w:r>
          </w:p>
        </w:tc>
        <w:tc>
          <w:tcPr>
            <w:tcW w:w="1559" w:type="dxa"/>
          </w:tcPr>
          <w:p w14:paraId="5CB817C0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249998,1</w:t>
            </w:r>
          </w:p>
        </w:tc>
        <w:tc>
          <w:tcPr>
            <w:tcW w:w="1591" w:type="dxa"/>
          </w:tcPr>
          <w:p w14:paraId="1D73F93E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248443,3</w:t>
            </w:r>
          </w:p>
        </w:tc>
        <w:tc>
          <w:tcPr>
            <w:tcW w:w="1470" w:type="dxa"/>
          </w:tcPr>
          <w:p w14:paraId="052D86DC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99,4</w:t>
            </w:r>
          </w:p>
        </w:tc>
      </w:tr>
      <w:tr w:rsidR="00652250" w:rsidRPr="00FB2C30" w14:paraId="3BD1F7D9" w14:textId="77777777" w:rsidTr="00A3374C">
        <w:trPr>
          <w:trHeight w:val="60"/>
          <w:jc w:val="center"/>
        </w:trPr>
        <w:tc>
          <w:tcPr>
            <w:tcW w:w="2474" w:type="dxa"/>
            <w:vAlign w:val="center"/>
          </w:tcPr>
          <w:p w14:paraId="684E74E6" w14:textId="77777777" w:rsidR="00652250" w:rsidRPr="00FB2C30" w:rsidRDefault="00652250" w:rsidP="00B3213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ВСЕГО расходы  Комитета</w:t>
            </w:r>
          </w:p>
        </w:tc>
        <w:tc>
          <w:tcPr>
            <w:tcW w:w="1701" w:type="dxa"/>
          </w:tcPr>
          <w:p w14:paraId="24E78056" w14:textId="77777777" w:rsidR="00652250" w:rsidRPr="00FB2C30" w:rsidRDefault="002D4D59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668" w:type="dxa"/>
            <w:vAlign w:val="center"/>
          </w:tcPr>
          <w:p w14:paraId="6033227B" w14:textId="77777777" w:rsidR="00652250" w:rsidRPr="00FB2C30" w:rsidRDefault="00B423D8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293298,9</w:t>
            </w:r>
          </w:p>
        </w:tc>
        <w:tc>
          <w:tcPr>
            <w:tcW w:w="1559" w:type="dxa"/>
          </w:tcPr>
          <w:p w14:paraId="24BEAE37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307606</w:t>
            </w:r>
          </w:p>
        </w:tc>
        <w:tc>
          <w:tcPr>
            <w:tcW w:w="1591" w:type="dxa"/>
            <w:vAlign w:val="center"/>
          </w:tcPr>
          <w:p w14:paraId="422E2C2D" w14:textId="77777777" w:rsidR="00652250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305816,5</w:t>
            </w:r>
          </w:p>
        </w:tc>
        <w:tc>
          <w:tcPr>
            <w:tcW w:w="1470" w:type="dxa"/>
            <w:vAlign w:val="center"/>
          </w:tcPr>
          <w:p w14:paraId="00619D08" w14:textId="77777777" w:rsidR="00652250" w:rsidRPr="00FB2C30" w:rsidRDefault="00D102D4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99,4</w:t>
            </w:r>
          </w:p>
        </w:tc>
      </w:tr>
      <w:tr w:rsidR="00CD3275" w:rsidRPr="00FB2C30" w14:paraId="5BDA204B" w14:textId="77777777" w:rsidTr="00590A02">
        <w:trPr>
          <w:trHeight w:val="60"/>
          <w:jc w:val="center"/>
        </w:trPr>
        <w:tc>
          <w:tcPr>
            <w:tcW w:w="2474" w:type="dxa"/>
            <w:shd w:val="clear" w:color="auto" w:fill="auto"/>
            <w:vAlign w:val="center"/>
          </w:tcPr>
          <w:p w14:paraId="011E25AA" w14:textId="77777777" w:rsidR="00CD3275" w:rsidRPr="00FB2C30" w:rsidRDefault="001075E3" w:rsidP="00B3213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 xml:space="preserve">Доля </w:t>
            </w:r>
            <w:r w:rsidR="00CD3275" w:rsidRPr="00FB2C30">
              <w:rPr>
                <w:b/>
                <w:sz w:val="18"/>
                <w:szCs w:val="18"/>
              </w:rPr>
              <w:t xml:space="preserve">программных </w:t>
            </w:r>
            <w:r w:rsidR="00CD3275" w:rsidRPr="00FB2C30">
              <w:rPr>
                <w:b/>
                <w:sz w:val="18"/>
                <w:szCs w:val="18"/>
              </w:rPr>
              <w:lastRenderedPageBreak/>
              <w:t xml:space="preserve">расходов в общих расходах Комитета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7A6D9" w14:textId="77777777" w:rsidR="00CD3275" w:rsidRPr="00FB2C30" w:rsidRDefault="00CD3275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lastRenderedPageBreak/>
              <w:t>Х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0E8C699" w14:textId="77777777" w:rsidR="00CD3275" w:rsidRPr="00FB2C30" w:rsidRDefault="00CD3275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7B306" w14:textId="77777777" w:rsidR="00CD3275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81,3</w:t>
            </w:r>
            <w:r w:rsidR="00CD3275" w:rsidRPr="00FB2C30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13BC60B" w14:textId="77777777" w:rsidR="00CD3275" w:rsidRPr="00FB2C30" w:rsidRDefault="00371177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81,2</w:t>
            </w:r>
            <w:r w:rsidR="00CD3275" w:rsidRPr="00FB2C30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297E2C" w14:textId="77777777" w:rsidR="00CD3275" w:rsidRPr="00FB2C30" w:rsidRDefault="00CD3275" w:rsidP="00B3213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2C30">
              <w:rPr>
                <w:b/>
                <w:sz w:val="18"/>
                <w:szCs w:val="18"/>
              </w:rPr>
              <w:t>Х</w:t>
            </w:r>
          </w:p>
        </w:tc>
      </w:tr>
    </w:tbl>
    <w:p w14:paraId="5A15D3EE" w14:textId="77777777" w:rsidR="00EB0E5A" w:rsidRPr="00FB2C30" w:rsidRDefault="00EB0E5A" w:rsidP="00B32132">
      <w:pPr>
        <w:pStyle w:val="1"/>
        <w:spacing w:before="0" w:after="0"/>
        <w:ind w:firstLine="600"/>
        <w:rPr>
          <w:rFonts w:ascii="Times New Roman" w:hAnsi="Times New Roman"/>
          <w:b w:val="0"/>
          <w:i/>
          <w:color w:val="auto"/>
          <w:sz w:val="24"/>
          <w:szCs w:val="24"/>
          <w:u w:val="single"/>
        </w:rPr>
      </w:pPr>
    </w:p>
    <w:p w14:paraId="127046E0" w14:textId="77777777" w:rsidR="009E7C61" w:rsidRPr="00FB2C30" w:rsidRDefault="009E7C61" w:rsidP="00B32132">
      <w:pPr>
        <w:pStyle w:val="1"/>
        <w:spacing w:before="0" w:after="0"/>
        <w:ind w:firstLine="600"/>
        <w:rPr>
          <w:rFonts w:ascii="Times New Roman" w:hAnsi="Times New Roman"/>
          <w:b w:val="0"/>
          <w:i/>
          <w:color w:val="auto"/>
          <w:sz w:val="24"/>
          <w:szCs w:val="24"/>
          <w:u w:val="single"/>
        </w:rPr>
      </w:pPr>
    </w:p>
    <w:p w14:paraId="785BCB0D" w14:textId="77777777" w:rsidR="00F17BA4" w:rsidRPr="00FB2C30" w:rsidRDefault="00F17BA4" w:rsidP="00B32132">
      <w:pPr>
        <w:pStyle w:val="1"/>
        <w:spacing w:before="0" w:after="0"/>
        <w:ind w:firstLine="600"/>
        <w:rPr>
          <w:rFonts w:ascii="Times New Roman" w:hAnsi="Times New Roman"/>
          <w:b w:val="0"/>
          <w:i/>
          <w:color w:val="auto"/>
          <w:sz w:val="24"/>
          <w:szCs w:val="24"/>
          <w:u w:val="single"/>
        </w:rPr>
      </w:pPr>
      <w:r w:rsidRPr="00FB2C30">
        <w:rPr>
          <w:rFonts w:ascii="Times New Roman" w:hAnsi="Times New Roman"/>
          <w:b w:val="0"/>
          <w:i/>
          <w:color w:val="auto"/>
          <w:sz w:val="24"/>
          <w:szCs w:val="24"/>
          <w:u w:val="single"/>
        </w:rPr>
        <w:t xml:space="preserve">6.1 </w:t>
      </w:r>
      <w:r w:rsidR="00C46599" w:rsidRPr="00FB2C30">
        <w:rPr>
          <w:rFonts w:ascii="Times New Roman" w:hAnsi="Times New Roman"/>
          <w:b w:val="0"/>
          <w:i/>
          <w:color w:val="auto"/>
          <w:sz w:val="24"/>
          <w:szCs w:val="24"/>
          <w:u w:val="single"/>
        </w:rPr>
        <w:t>ГП «Развитие гражданского общества»</w:t>
      </w:r>
    </w:p>
    <w:p w14:paraId="74899D18" w14:textId="77777777" w:rsidR="00506C7F" w:rsidRPr="00FB2C30" w:rsidRDefault="00F17BA4" w:rsidP="00B32132">
      <w:pPr>
        <w:pStyle w:val="1"/>
        <w:spacing w:before="0" w:after="0"/>
        <w:ind w:firstLine="60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B2C30">
        <w:rPr>
          <w:rFonts w:ascii="Times New Roman" w:hAnsi="Times New Roman"/>
          <w:b w:val="0"/>
          <w:color w:val="auto"/>
          <w:sz w:val="24"/>
          <w:szCs w:val="24"/>
        </w:rPr>
        <w:t>Комитет являлся в 201</w:t>
      </w:r>
      <w:r w:rsidR="00C46599" w:rsidRPr="00FB2C30">
        <w:rPr>
          <w:rFonts w:ascii="Times New Roman" w:hAnsi="Times New Roman"/>
          <w:b w:val="0"/>
          <w:color w:val="auto"/>
          <w:sz w:val="24"/>
          <w:szCs w:val="24"/>
        </w:rPr>
        <w:t>8</w:t>
      </w:r>
      <w:r w:rsidRPr="00FB2C30">
        <w:rPr>
          <w:rFonts w:ascii="Times New Roman" w:hAnsi="Times New Roman"/>
          <w:b w:val="0"/>
          <w:color w:val="auto"/>
          <w:sz w:val="24"/>
          <w:szCs w:val="24"/>
        </w:rPr>
        <w:t xml:space="preserve"> году ответственным исполнителем </w:t>
      </w:r>
      <w:r w:rsidRPr="00FB2C30">
        <w:rPr>
          <w:rFonts w:ascii="Times New Roman" w:hAnsi="Times New Roman"/>
          <w:b w:val="0"/>
          <w:i/>
          <w:color w:val="auto"/>
          <w:sz w:val="24"/>
          <w:szCs w:val="24"/>
        </w:rPr>
        <w:t>ГП «</w:t>
      </w:r>
      <w:r w:rsidR="00C46599" w:rsidRPr="00FB2C30">
        <w:rPr>
          <w:rFonts w:ascii="Times New Roman" w:hAnsi="Times New Roman"/>
          <w:b w:val="0"/>
          <w:i/>
          <w:color w:val="auto"/>
          <w:sz w:val="24"/>
          <w:szCs w:val="24"/>
        </w:rPr>
        <w:t>Развитие гражданского общества</w:t>
      </w:r>
      <w:r w:rsidRPr="00FB2C30">
        <w:rPr>
          <w:rFonts w:ascii="Times New Roman" w:hAnsi="Times New Roman"/>
          <w:b w:val="0"/>
          <w:i/>
          <w:color w:val="auto"/>
          <w:sz w:val="24"/>
          <w:szCs w:val="24"/>
        </w:rPr>
        <w:t>»</w:t>
      </w:r>
      <w:r w:rsidRPr="00FB2C30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506C7F" w:rsidRPr="00FB2C30">
        <w:rPr>
          <w:rFonts w:ascii="Times New Roman" w:hAnsi="Times New Roman"/>
          <w:b w:val="0"/>
          <w:color w:val="auto"/>
          <w:sz w:val="24"/>
          <w:szCs w:val="24"/>
        </w:rPr>
        <w:t>в том числе по 2 подпрограммам:</w:t>
      </w:r>
    </w:p>
    <w:p w14:paraId="5E5C86CC" w14:textId="77777777" w:rsidR="00F17BA4" w:rsidRPr="00FB2C30" w:rsidRDefault="00506C7F" w:rsidP="00EA5868">
      <w:pPr>
        <w:autoSpaceDE w:val="0"/>
        <w:autoSpaceDN w:val="0"/>
        <w:adjustRightInd w:val="0"/>
        <w:ind w:firstLine="567"/>
        <w:jc w:val="both"/>
        <w:rPr>
          <w:b/>
        </w:rPr>
      </w:pPr>
      <w:r w:rsidRPr="00FB2C30">
        <w:rPr>
          <w:b/>
        </w:rPr>
        <w:t xml:space="preserve"> - </w:t>
      </w:r>
      <w:r w:rsidRPr="00FB2C30">
        <w:t>по подпрограмме</w:t>
      </w:r>
      <w:r w:rsidRPr="00FB2C30">
        <w:rPr>
          <w:b/>
        </w:rPr>
        <w:t xml:space="preserve"> «</w:t>
      </w:r>
      <w:r w:rsidRPr="00FB2C30">
        <w:rPr>
          <w:rFonts w:eastAsiaTheme="minorHAnsi"/>
          <w:lang w:eastAsia="en-US"/>
        </w:rPr>
        <w:t>Государственная поддержка социально ориентированных некоммерческих организаций</w:t>
      </w:r>
      <w:r w:rsidR="00F53D66" w:rsidRPr="00FB2C30">
        <w:rPr>
          <w:rFonts w:eastAsiaTheme="minorHAnsi"/>
          <w:lang w:eastAsia="en-US"/>
        </w:rPr>
        <w:t xml:space="preserve"> (далее СО НКО)</w:t>
      </w:r>
      <w:r w:rsidRPr="00FB2C30">
        <w:rPr>
          <w:rFonts w:eastAsiaTheme="minorHAnsi"/>
          <w:lang w:eastAsia="en-US"/>
        </w:rPr>
        <w:t xml:space="preserve">, осуществляющих деятельность на территории Волгоградской области» </w:t>
      </w:r>
      <w:r w:rsidR="00F17BA4" w:rsidRPr="00FB2C30">
        <w:t xml:space="preserve">на реализацию которой бюджетной росписью было предусмотрено </w:t>
      </w:r>
      <w:r w:rsidR="00C46599" w:rsidRPr="00FB2C30">
        <w:t>12171,1</w:t>
      </w:r>
      <w:r w:rsidR="00F17BA4" w:rsidRPr="00FB2C30">
        <w:t xml:space="preserve"> тыс. руб., исполнение составило </w:t>
      </w:r>
      <w:r w:rsidR="00C46599" w:rsidRPr="00FB2C30">
        <w:t>11466,1</w:t>
      </w:r>
      <w:r w:rsidR="00F17BA4" w:rsidRPr="00FB2C30">
        <w:t xml:space="preserve"> тыс. руб., или </w:t>
      </w:r>
      <w:r w:rsidR="00C46599" w:rsidRPr="00FB2C30">
        <w:t>94,2</w:t>
      </w:r>
      <w:r w:rsidR="00F17BA4" w:rsidRPr="00FB2C30">
        <w:t xml:space="preserve"> процентов. Неисполненные бюджетные назначения составили </w:t>
      </w:r>
      <w:r w:rsidR="00C46599" w:rsidRPr="00FB2C30">
        <w:t>705</w:t>
      </w:r>
      <w:r w:rsidR="00F17BA4" w:rsidRPr="00FB2C30">
        <w:t xml:space="preserve"> тыс. руб. (</w:t>
      </w:r>
      <w:r w:rsidR="00C46599" w:rsidRPr="00FB2C30">
        <w:t>5,8</w:t>
      </w:r>
      <w:r w:rsidR="00F17BA4" w:rsidRPr="00FB2C30">
        <w:t xml:space="preserve">%) в связи с </w:t>
      </w:r>
      <w:r w:rsidR="00C46599" w:rsidRPr="00FB2C30">
        <w:t>оплатой работ «по факту» на основании актов выполненных работ</w:t>
      </w:r>
      <w:r w:rsidR="00F17BA4" w:rsidRPr="00FB2C30">
        <w:t>.</w:t>
      </w:r>
    </w:p>
    <w:p w14:paraId="1EAC1B4D" w14:textId="77777777" w:rsidR="00AD651F" w:rsidRPr="00FB2C30" w:rsidRDefault="00506C7F" w:rsidP="00AD651F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6"/>
          <w:lang w:eastAsia="en-US"/>
        </w:rPr>
      </w:pPr>
      <w:r w:rsidRPr="00FB2C30">
        <w:t>- по подпрограмме «</w:t>
      </w:r>
      <w:r w:rsidRPr="00FB2C30">
        <w:rPr>
          <w:rFonts w:eastAsiaTheme="minorHAnsi"/>
          <w:lang w:eastAsia="en-US"/>
        </w:rPr>
        <w:t xml:space="preserve">Развитие и совершенствование системы территориального общественного самоуправления Волгоградской области». </w:t>
      </w:r>
      <w:r w:rsidR="00AD651F" w:rsidRPr="00FB2C30">
        <w:rPr>
          <w:rFonts w:eastAsiaTheme="minorHAnsi"/>
          <w:spacing w:val="-6"/>
          <w:lang w:eastAsia="en-US"/>
        </w:rPr>
        <w:t>Финансирование мероприятий данной подпрограммой не предусмотрено.</w:t>
      </w:r>
    </w:p>
    <w:p w14:paraId="4BA00E9F" w14:textId="77777777" w:rsidR="008F47CA" w:rsidRPr="00FB2C30" w:rsidRDefault="008F47CA" w:rsidP="00B32132">
      <w:pPr>
        <w:autoSpaceDE w:val="0"/>
        <w:autoSpaceDN w:val="0"/>
        <w:adjustRightInd w:val="0"/>
        <w:ind w:firstLine="567"/>
        <w:jc w:val="both"/>
      </w:pPr>
      <w:r w:rsidRPr="00FB2C30">
        <w:rPr>
          <w:rFonts w:eastAsia="Calibri"/>
          <w:iCs/>
          <w:lang w:eastAsia="en-US"/>
        </w:rPr>
        <w:t>ГП</w:t>
      </w:r>
      <w:r w:rsidRPr="00FB2C30">
        <w:rPr>
          <w:rFonts w:eastAsia="Calibri"/>
        </w:rPr>
        <w:t xml:space="preserve"> </w:t>
      </w:r>
      <w:r w:rsidR="0005604B" w:rsidRPr="00FB2C30">
        <w:rPr>
          <w:i/>
        </w:rPr>
        <w:t xml:space="preserve">«Развитие гражданского общества» </w:t>
      </w:r>
      <w:r w:rsidRPr="00FB2C30">
        <w:rPr>
          <w:rFonts w:eastAsia="Calibri"/>
        </w:rPr>
        <w:t>определены 5 целевых показателей</w:t>
      </w:r>
      <w:r w:rsidR="00082EF2" w:rsidRPr="00FB2C30">
        <w:rPr>
          <w:rFonts w:eastAsia="Calibri"/>
        </w:rPr>
        <w:t>,</w:t>
      </w:r>
      <w:r w:rsidRPr="00FB2C30">
        <w:rPr>
          <w:rFonts w:eastAsia="Calibri"/>
        </w:rPr>
        <w:t xml:space="preserve"> по</w:t>
      </w:r>
      <w:r w:rsidR="00082EF2" w:rsidRPr="00FB2C30">
        <w:rPr>
          <w:rFonts w:eastAsia="Calibri"/>
        </w:rPr>
        <w:t>длежащих достижению в 2018 году</w:t>
      </w:r>
      <w:r w:rsidRPr="00FB2C30">
        <w:rPr>
          <w:rFonts w:eastAsia="Calibri"/>
        </w:rPr>
        <w:t xml:space="preserve"> по результатам исполнения вышеперечисленных подпрограмм</w:t>
      </w:r>
      <w:r w:rsidR="0005604B" w:rsidRPr="00FB2C30">
        <w:rPr>
          <w:rFonts w:eastAsia="Calibri"/>
        </w:rPr>
        <w:t xml:space="preserve">. По данным приложения №1 к годовому докладу о ходе реализации в 2018 году </w:t>
      </w:r>
      <w:r w:rsidR="0005604B" w:rsidRPr="00FB2C30">
        <w:rPr>
          <w:rFonts w:eastAsia="Calibri"/>
          <w:iCs/>
          <w:lang w:eastAsia="en-US"/>
        </w:rPr>
        <w:t>ГП</w:t>
      </w:r>
      <w:r w:rsidR="0005604B" w:rsidRPr="00FB2C30">
        <w:rPr>
          <w:rFonts w:eastAsia="Calibri"/>
        </w:rPr>
        <w:t xml:space="preserve"> </w:t>
      </w:r>
      <w:r w:rsidR="0005604B" w:rsidRPr="00FB2C30">
        <w:rPr>
          <w:i/>
        </w:rPr>
        <w:t xml:space="preserve">«Развитие гражданского общества» </w:t>
      </w:r>
      <w:r w:rsidR="0005604B" w:rsidRPr="00FB2C30">
        <w:t>4 целевых показателя перевыполнены, 1 не выполнен, в том числе:</w:t>
      </w:r>
    </w:p>
    <w:p w14:paraId="565DC5B3" w14:textId="77777777" w:rsidR="00F53D66" w:rsidRPr="00FB2C30" w:rsidRDefault="0005604B" w:rsidP="007F30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B2C30">
        <w:t xml:space="preserve">- по подпрограмме </w:t>
      </w:r>
      <w:r w:rsidRPr="00FB2C30">
        <w:rPr>
          <w:b/>
        </w:rPr>
        <w:t>«</w:t>
      </w:r>
      <w:r w:rsidRPr="00FB2C30">
        <w:rPr>
          <w:rFonts w:eastAsiaTheme="minorHAnsi"/>
          <w:lang w:eastAsia="en-US"/>
        </w:rPr>
        <w:t xml:space="preserve">Государственная поддержка </w:t>
      </w:r>
      <w:r w:rsidR="00F53D66" w:rsidRPr="00FB2C30">
        <w:rPr>
          <w:rFonts w:eastAsiaTheme="minorHAnsi"/>
          <w:lang w:eastAsia="en-US"/>
        </w:rPr>
        <w:t>СО НКО</w:t>
      </w:r>
      <w:r w:rsidRPr="00FB2C30">
        <w:rPr>
          <w:rFonts w:eastAsiaTheme="minorHAnsi"/>
          <w:lang w:eastAsia="en-US"/>
        </w:rPr>
        <w:t xml:space="preserve">, осуществляющих деятельность на территории Волгоградской области» показатель </w:t>
      </w:r>
      <w:r w:rsidRPr="00FB2C30">
        <w:rPr>
          <w:rFonts w:eastAsiaTheme="minorHAnsi"/>
          <w:i/>
          <w:lang w:eastAsia="en-US"/>
        </w:rPr>
        <w:t xml:space="preserve">«Количество </w:t>
      </w:r>
      <w:r w:rsidR="00F53D66" w:rsidRPr="00FB2C30">
        <w:rPr>
          <w:rFonts w:eastAsiaTheme="minorHAnsi"/>
          <w:i/>
          <w:lang w:eastAsia="en-US"/>
        </w:rPr>
        <w:t>СО НКО</w:t>
      </w:r>
      <w:r w:rsidRPr="00FB2C30">
        <w:rPr>
          <w:rFonts w:eastAsiaTheme="minorHAnsi"/>
          <w:i/>
          <w:lang w:eastAsia="en-US"/>
        </w:rPr>
        <w:t>, осуществляющих деятельность на территории Волгоградской области, получивших финансовую поддержку»</w:t>
      </w:r>
      <w:r w:rsidRPr="00FB2C30">
        <w:rPr>
          <w:rFonts w:eastAsiaTheme="minorHAnsi"/>
          <w:lang w:eastAsia="en-US"/>
        </w:rPr>
        <w:t xml:space="preserve"> выполнен на 114% </w:t>
      </w:r>
      <w:r w:rsidR="00F53D66" w:rsidRPr="00FB2C30">
        <w:rPr>
          <w:rFonts w:eastAsiaTheme="minorHAnsi"/>
          <w:lang w:eastAsia="en-US"/>
        </w:rPr>
        <w:t xml:space="preserve"> </w:t>
      </w:r>
      <w:r w:rsidRPr="00FB2C30">
        <w:rPr>
          <w:rFonts w:eastAsiaTheme="minorHAnsi"/>
          <w:lang w:eastAsia="en-US"/>
        </w:rPr>
        <w:t>и составил 57</w:t>
      </w:r>
      <w:r w:rsidR="00F53D66" w:rsidRPr="00FB2C30">
        <w:rPr>
          <w:rFonts w:eastAsiaTheme="minorHAnsi"/>
          <w:lang w:eastAsia="en-US"/>
        </w:rPr>
        <w:t xml:space="preserve"> единиц (план 50 единиц), показатель </w:t>
      </w:r>
      <w:r w:rsidR="00F53D66" w:rsidRPr="00FB2C30">
        <w:rPr>
          <w:rFonts w:eastAsiaTheme="minorHAnsi"/>
          <w:i/>
          <w:lang w:eastAsia="en-US"/>
        </w:rPr>
        <w:t>«Количество СО НКО, получивших имущественную поддержку»</w:t>
      </w:r>
      <w:r w:rsidR="00F53D66" w:rsidRPr="00FB2C30">
        <w:rPr>
          <w:rFonts w:eastAsiaTheme="minorHAnsi"/>
          <w:lang w:eastAsia="en-US"/>
        </w:rPr>
        <w:t xml:space="preserve"> выполнен на 193% и составил 81 единица (план 42 единицы), показатель </w:t>
      </w:r>
      <w:r w:rsidR="00F53D66" w:rsidRPr="00FB2C30">
        <w:rPr>
          <w:rFonts w:eastAsiaTheme="minorHAnsi"/>
          <w:i/>
          <w:lang w:eastAsia="en-US"/>
        </w:rPr>
        <w:t xml:space="preserve">«Доля государственных учреждений социальной сферы, при которых действуют попечительские (общественные, наблюдательные) советы, в состав которых входят представители СО НКО, к общему количеству государственных учреждений социальной сферы» </w:t>
      </w:r>
      <w:r w:rsidR="00F53D66" w:rsidRPr="00FB2C30">
        <w:rPr>
          <w:rFonts w:eastAsiaTheme="minorHAnsi"/>
          <w:lang w:eastAsia="en-US"/>
        </w:rPr>
        <w:t>выполнен на 186 % и составил 29,7% (план 16%)</w:t>
      </w:r>
      <w:r w:rsidR="007072CA" w:rsidRPr="00FB2C30">
        <w:rPr>
          <w:rFonts w:eastAsiaTheme="minorHAnsi"/>
          <w:lang w:eastAsia="en-US"/>
        </w:rPr>
        <w:t xml:space="preserve">. В ходе проверки было установлено, что плановые назначения целевых показателей подпрограммы установлены </w:t>
      </w:r>
      <w:r w:rsidR="00EB3F7D" w:rsidRPr="00FB2C30">
        <w:rPr>
          <w:rFonts w:eastAsiaTheme="minorHAnsi"/>
          <w:lang w:eastAsia="en-US"/>
        </w:rPr>
        <w:t xml:space="preserve">на 2018 год </w:t>
      </w:r>
      <w:r w:rsidR="007072CA" w:rsidRPr="00FB2C30">
        <w:rPr>
          <w:rFonts w:eastAsiaTheme="minorHAnsi"/>
          <w:lang w:eastAsia="en-US"/>
        </w:rPr>
        <w:t>в меньшем размере</w:t>
      </w:r>
      <w:r w:rsidR="00EB3F7D" w:rsidRPr="00FB2C30">
        <w:rPr>
          <w:rFonts w:eastAsiaTheme="minorHAnsi"/>
          <w:lang w:eastAsia="en-US"/>
        </w:rPr>
        <w:t>,</w:t>
      </w:r>
      <w:r w:rsidR="007072CA" w:rsidRPr="00FB2C30">
        <w:rPr>
          <w:rFonts w:eastAsiaTheme="minorHAnsi"/>
          <w:lang w:eastAsia="en-US"/>
        </w:rPr>
        <w:t xml:space="preserve"> чем фактически достигнутые аналогичные целевые показатели за 2017 год по государственной программе Волгоградской области "Государственная поддержка социально ориентированных некоммерческих организаций, осуществляющих деятельность на территории Волгоградской области" на 2014 - 2020 годы", утвержденной постановление</w:t>
      </w:r>
      <w:r w:rsidR="00E25A7D" w:rsidRPr="00FB2C30">
        <w:rPr>
          <w:rFonts w:eastAsiaTheme="minorHAnsi"/>
          <w:lang w:eastAsia="en-US"/>
        </w:rPr>
        <w:t>м</w:t>
      </w:r>
      <w:r w:rsidR="007072CA" w:rsidRPr="00FB2C30">
        <w:rPr>
          <w:rFonts w:eastAsiaTheme="minorHAnsi"/>
          <w:lang w:eastAsia="en-US"/>
        </w:rPr>
        <w:t xml:space="preserve"> Правительства Волгоградской области от 09.12.2013 № 722-п</w:t>
      </w:r>
      <w:r w:rsidR="00E25A7D" w:rsidRPr="00FB2C30">
        <w:rPr>
          <w:rFonts w:eastAsiaTheme="minorHAnsi"/>
          <w:lang w:eastAsia="en-US"/>
        </w:rPr>
        <w:t>,</w:t>
      </w:r>
      <w:r w:rsidR="007072CA" w:rsidRPr="00FB2C30">
        <w:rPr>
          <w:rFonts w:eastAsiaTheme="minorHAnsi"/>
          <w:lang w:eastAsia="en-US"/>
        </w:rPr>
        <w:t xml:space="preserve"> на 13 единиц, на 55 единиц</w:t>
      </w:r>
      <w:r w:rsidR="00EB3F7D" w:rsidRPr="00FB2C30">
        <w:rPr>
          <w:rFonts w:eastAsiaTheme="minorHAnsi"/>
          <w:lang w:eastAsia="en-US"/>
        </w:rPr>
        <w:t xml:space="preserve"> и</w:t>
      </w:r>
      <w:r w:rsidR="007072CA" w:rsidRPr="00FB2C30">
        <w:rPr>
          <w:rFonts w:eastAsiaTheme="minorHAnsi"/>
          <w:lang w:eastAsia="en-US"/>
        </w:rPr>
        <w:t xml:space="preserve"> на 11 процентных пунктов соответственно</w:t>
      </w:r>
      <w:r w:rsidR="00B261D5" w:rsidRPr="00FB2C30">
        <w:rPr>
          <w:rFonts w:eastAsiaTheme="minorHAnsi"/>
          <w:lang w:eastAsia="en-US"/>
        </w:rPr>
        <w:t xml:space="preserve">, что противоречит </w:t>
      </w:r>
      <w:r w:rsidR="007072CA" w:rsidRPr="00FB2C30">
        <w:rPr>
          <w:rFonts w:eastAsiaTheme="minorHAnsi"/>
          <w:lang w:eastAsia="en-US"/>
        </w:rPr>
        <w:t xml:space="preserve"> п.2.5. Порядка разработки, реализации и оценки эффективности реализации государственных программ Волгоградской области, утвержденного </w:t>
      </w:r>
      <w:r w:rsidR="00E25A7D" w:rsidRPr="00FB2C30">
        <w:rPr>
          <w:rFonts w:eastAsiaTheme="minorHAnsi"/>
          <w:lang w:eastAsia="en-US"/>
        </w:rPr>
        <w:t>п</w:t>
      </w:r>
      <w:r w:rsidR="007072CA" w:rsidRPr="00FB2C30">
        <w:rPr>
          <w:rFonts w:eastAsiaTheme="minorHAnsi"/>
          <w:lang w:eastAsia="en-US"/>
        </w:rPr>
        <w:t>остановление</w:t>
      </w:r>
      <w:r w:rsidR="00E25A7D" w:rsidRPr="00FB2C30">
        <w:rPr>
          <w:rFonts w:eastAsiaTheme="minorHAnsi"/>
          <w:lang w:eastAsia="en-US"/>
        </w:rPr>
        <w:t>м</w:t>
      </w:r>
      <w:r w:rsidR="007072CA" w:rsidRPr="00FB2C30">
        <w:rPr>
          <w:rFonts w:eastAsiaTheme="minorHAnsi"/>
          <w:lang w:eastAsia="en-US"/>
        </w:rPr>
        <w:t xml:space="preserve"> Правительства Волгоградской обл</w:t>
      </w:r>
      <w:r w:rsidR="007F3081" w:rsidRPr="00FB2C30">
        <w:rPr>
          <w:rFonts w:eastAsiaTheme="minorHAnsi"/>
          <w:lang w:eastAsia="en-US"/>
        </w:rPr>
        <w:t>асти</w:t>
      </w:r>
      <w:r w:rsidR="007072CA" w:rsidRPr="00FB2C30">
        <w:rPr>
          <w:rFonts w:eastAsiaTheme="minorHAnsi"/>
          <w:lang w:eastAsia="en-US"/>
        </w:rPr>
        <w:t xml:space="preserve"> от 27.08.2013 </w:t>
      </w:r>
      <w:r w:rsidR="007F3081" w:rsidRPr="00FB2C30">
        <w:rPr>
          <w:rFonts w:eastAsiaTheme="minorHAnsi"/>
          <w:lang w:eastAsia="en-US"/>
        </w:rPr>
        <w:t>№</w:t>
      </w:r>
      <w:r w:rsidR="007072CA" w:rsidRPr="00FB2C30">
        <w:rPr>
          <w:rFonts w:eastAsiaTheme="minorHAnsi"/>
          <w:lang w:eastAsia="en-US"/>
        </w:rPr>
        <w:t xml:space="preserve"> 423-п</w:t>
      </w:r>
      <w:r w:rsidR="007F3081" w:rsidRPr="00FB2C30">
        <w:rPr>
          <w:rFonts w:eastAsiaTheme="minorHAnsi"/>
          <w:lang w:eastAsia="en-US"/>
        </w:rPr>
        <w:t xml:space="preserve">, </w:t>
      </w:r>
      <w:r w:rsidR="00B261D5" w:rsidRPr="00FB2C30">
        <w:rPr>
          <w:rFonts w:eastAsiaTheme="minorHAnsi"/>
          <w:lang w:eastAsia="en-US"/>
        </w:rPr>
        <w:t xml:space="preserve">который определяет, что </w:t>
      </w:r>
      <w:r w:rsidR="007F3081" w:rsidRPr="00FB2C30">
        <w:rPr>
          <w:rFonts w:eastAsiaTheme="minorHAnsi"/>
          <w:lang w:eastAsia="en-US"/>
        </w:rPr>
        <w:t>целевые показатели должны определяться на основе данных официальной ведомственной и (или) статистической отчетности</w:t>
      </w:r>
      <w:r w:rsidR="00F53D66" w:rsidRPr="00FB2C30">
        <w:rPr>
          <w:rFonts w:eastAsiaTheme="minorHAnsi"/>
          <w:lang w:eastAsia="en-US"/>
        </w:rPr>
        <w:t>;</w:t>
      </w:r>
    </w:p>
    <w:p w14:paraId="667638FE" w14:textId="77777777" w:rsidR="00AD651F" w:rsidRPr="00FB2C30" w:rsidRDefault="00F53D66" w:rsidP="00AD651F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6"/>
          <w:lang w:eastAsia="en-US"/>
        </w:rPr>
      </w:pPr>
      <w:r w:rsidRPr="00FB2C30">
        <w:rPr>
          <w:rFonts w:eastAsiaTheme="minorHAnsi"/>
          <w:lang w:eastAsia="en-US"/>
        </w:rPr>
        <w:t xml:space="preserve">- по подпрограмме  </w:t>
      </w:r>
      <w:r w:rsidRPr="00FB2C30">
        <w:t>«</w:t>
      </w:r>
      <w:r w:rsidRPr="00FB2C30">
        <w:rPr>
          <w:rFonts w:eastAsiaTheme="minorHAnsi"/>
          <w:lang w:eastAsia="en-US"/>
        </w:rPr>
        <w:t xml:space="preserve">Развитие и совершенствование системы территориального общественного самоуправления Волгоградской области» показатель </w:t>
      </w:r>
      <w:r w:rsidRPr="00FB2C30">
        <w:rPr>
          <w:rFonts w:eastAsiaTheme="minorHAnsi"/>
          <w:i/>
          <w:lang w:eastAsia="en-US"/>
        </w:rPr>
        <w:t>«Доля реализованных инициатив граждан в результате взаимодействия организаций территориального общественного самоуправления с органами местного самоуправления муниципальных образований Волгоградской области от общего числа выдвинутых инициатив»</w:t>
      </w:r>
      <w:r w:rsidRPr="00FB2C30">
        <w:rPr>
          <w:rFonts w:eastAsiaTheme="minorHAnsi"/>
          <w:lang w:eastAsia="en-US"/>
        </w:rPr>
        <w:t xml:space="preserve"> выполнен на 102%  и составил 87,9% (план 86,3%), показатель </w:t>
      </w:r>
      <w:r w:rsidRPr="00FB2C30">
        <w:rPr>
          <w:rFonts w:eastAsiaTheme="minorHAnsi"/>
          <w:i/>
          <w:lang w:eastAsia="en-US"/>
        </w:rPr>
        <w:t>«Доля муниципальных районов и городских округов Волгоградской области, имеющих финансируемые целевые программы развития территориального общественного самоуправления, от общего числа муниципальных районов и городских округов Волгоградской области»</w:t>
      </w:r>
      <w:r w:rsidRPr="00FB2C30">
        <w:rPr>
          <w:rFonts w:eastAsiaTheme="minorHAnsi"/>
          <w:lang w:eastAsia="en-US"/>
        </w:rPr>
        <w:t xml:space="preserve"> выполнен на 64% и составил 60,5% (</w:t>
      </w:r>
      <w:r w:rsidR="00936CF8" w:rsidRPr="00FB2C30">
        <w:rPr>
          <w:rFonts w:eastAsiaTheme="minorHAnsi"/>
          <w:lang w:eastAsia="en-US"/>
        </w:rPr>
        <w:t>план 94,7%</w:t>
      </w:r>
      <w:r w:rsidRPr="00FB2C30">
        <w:rPr>
          <w:rFonts w:eastAsiaTheme="minorHAnsi"/>
          <w:lang w:eastAsia="en-US"/>
        </w:rPr>
        <w:t>)</w:t>
      </w:r>
      <w:r w:rsidR="00936CF8" w:rsidRPr="00FB2C30">
        <w:rPr>
          <w:rFonts w:eastAsiaTheme="minorHAnsi"/>
          <w:lang w:eastAsia="en-US"/>
        </w:rPr>
        <w:t>. Неисполнение данного показателя стало следствием окончания срока реализации ряда муниципальных программ развития ТОС</w:t>
      </w:r>
      <w:r w:rsidR="007F3081" w:rsidRPr="00FB2C30">
        <w:rPr>
          <w:rFonts w:eastAsiaTheme="minorHAnsi"/>
          <w:lang w:eastAsia="en-US"/>
        </w:rPr>
        <w:t>. Принятие их на новый срок не производилось</w:t>
      </w:r>
      <w:r w:rsidR="00936CF8" w:rsidRPr="00FB2C30">
        <w:rPr>
          <w:rFonts w:eastAsiaTheme="minorHAnsi"/>
          <w:lang w:eastAsia="en-US"/>
        </w:rPr>
        <w:t xml:space="preserve">  в связи с отсутствием финансирования</w:t>
      </w:r>
      <w:r w:rsidR="007F3081" w:rsidRPr="00FB2C30">
        <w:rPr>
          <w:rFonts w:eastAsiaTheme="minorHAnsi"/>
          <w:lang w:eastAsia="en-US"/>
        </w:rPr>
        <w:t>.</w:t>
      </w:r>
      <w:r w:rsidR="00B261D5" w:rsidRPr="00FB2C30">
        <w:rPr>
          <w:rFonts w:eastAsiaTheme="minorHAnsi"/>
          <w:lang w:eastAsia="en-US"/>
        </w:rPr>
        <w:t xml:space="preserve"> </w:t>
      </w:r>
      <w:r w:rsidR="00AD651F" w:rsidRPr="00FB2C30">
        <w:rPr>
          <w:rFonts w:eastAsiaTheme="minorHAnsi"/>
          <w:spacing w:val="-6"/>
          <w:lang w:eastAsia="en-US"/>
        </w:rPr>
        <w:t xml:space="preserve">Отсутствие финансирования подпрограммы из бюджетов всех уровней приводит к несогласованности ресурсов и целевых показателей достижения целей и задач подпрограммы, что  не соответствует п. 2.4 Порядка №423-п. Корректировка показателя в 2018 году не </w:t>
      </w:r>
      <w:r w:rsidR="00AD651F" w:rsidRPr="00FB2C30">
        <w:rPr>
          <w:rFonts w:eastAsiaTheme="minorHAnsi"/>
          <w:spacing w:val="-6"/>
          <w:lang w:eastAsia="en-US"/>
        </w:rPr>
        <w:lastRenderedPageBreak/>
        <w:t>производилась по причине отсутствия в Комитете до 31.12.2018 информации о выполнении муниципальными образованиями данного целевого показателя.</w:t>
      </w:r>
    </w:p>
    <w:p w14:paraId="607567BA" w14:textId="77777777" w:rsidR="005566CF" w:rsidRPr="00FB2C30" w:rsidRDefault="005566CF" w:rsidP="00AD651F">
      <w:pPr>
        <w:autoSpaceDE w:val="0"/>
        <w:autoSpaceDN w:val="0"/>
        <w:adjustRightInd w:val="0"/>
        <w:ind w:firstLine="567"/>
        <w:jc w:val="both"/>
        <w:rPr>
          <w:i/>
          <w:u w:val="single"/>
        </w:rPr>
      </w:pPr>
      <w:r w:rsidRPr="00FB2C30">
        <w:t>По данным годового доклада о ходе реализации в 2018 году ГП «Развитие гражданского общества» оценка эффективности реализации ГП «Развитие гражданского общества» за 2018 год составляет 94,57% и признается высокой. Одно мероприятие ГП «Развитие гражданского общества» «</w:t>
      </w:r>
      <w:r w:rsidRPr="00FB2C30">
        <w:rPr>
          <w:i/>
        </w:rPr>
        <w:t>Привлечение СО НКО к реализации государственной политики в социальной сфере</w:t>
      </w:r>
      <w:r w:rsidRPr="00FB2C30">
        <w:t>» не было исполнено в полном объеме. При этом Комитет при оценке эффективности указанное мероприятие учтено как выполненное в полном объеме. В связи с изложенным значение эффективности реализации Госпрограммы (94,57 %) является не в полной мере обоснованным.</w:t>
      </w:r>
      <w:r w:rsidR="003E6AD0" w:rsidRPr="00FB2C30">
        <w:t xml:space="preserve"> </w:t>
      </w:r>
      <w:r w:rsidR="00E25A7D" w:rsidRPr="00FB2C30">
        <w:t>По расчету КСП</w:t>
      </w:r>
      <w:r w:rsidR="003E6AD0" w:rsidRPr="00FB2C30">
        <w:t xml:space="preserve"> значение эффективности реализации Госпрограммы составляет 90,4 </w:t>
      </w:r>
      <w:r w:rsidR="001515A1" w:rsidRPr="00FB2C30">
        <w:t>процентов</w:t>
      </w:r>
      <w:r w:rsidR="003E6AD0" w:rsidRPr="00FB2C30">
        <w:t>.</w:t>
      </w:r>
    </w:p>
    <w:p w14:paraId="1319234A" w14:textId="77777777" w:rsidR="00AD651F" w:rsidRPr="00FB2C30" w:rsidRDefault="00AD651F" w:rsidP="00AD651F">
      <w:pPr>
        <w:autoSpaceDE w:val="0"/>
        <w:autoSpaceDN w:val="0"/>
        <w:adjustRightInd w:val="0"/>
        <w:ind w:firstLine="709"/>
        <w:jc w:val="center"/>
        <w:rPr>
          <w:i/>
          <w:spacing w:val="-6"/>
          <w:u w:val="single"/>
        </w:rPr>
      </w:pPr>
      <w:r w:rsidRPr="00FB2C30">
        <w:rPr>
          <w:i/>
          <w:spacing w:val="-6"/>
          <w:u w:val="single"/>
        </w:rPr>
        <w:t>6.2 ВЦП «Реализация информационной политики»</w:t>
      </w:r>
    </w:p>
    <w:p w14:paraId="466B83C2" w14:textId="77777777" w:rsidR="00AD651F" w:rsidRPr="00FB2C30" w:rsidRDefault="00AD651F" w:rsidP="00AD651F">
      <w:pPr>
        <w:tabs>
          <w:tab w:val="left" w:pos="1106"/>
        </w:tabs>
        <w:ind w:firstLine="709"/>
        <w:jc w:val="both"/>
        <w:rPr>
          <w:spacing w:val="-6"/>
        </w:rPr>
      </w:pPr>
      <w:r w:rsidRPr="00FB2C30">
        <w:rPr>
          <w:spacing w:val="-6"/>
        </w:rPr>
        <w:t>ВЦП Реализация информационной политики включает 7 мероприятий с общим объемом финансирования 224219,6 тыс.руб., что на 3429,6 тыс. руб., или на 1,5% меньше бюджетных ассигнований, утвержденных Законом об областном бюджете на 2018 год.</w:t>
      </w:r>
    </w:p>
    <w:p w14:paraId="25AA73F5" w14:textId="77777777" w:rsidR="00676F11" w:rsidRPr="00FB2C30" w:rsidRDefault="00AD651F" w:rsidP="00AD651F">
      <w:pPr>
        <w:autoSpaceDE w:val="0"/>
        <w:autoSpaceDN w:val="0"/>
        <w:adjustRightInd w:val="0"/>
        <w:ind w:firstLine="567"/>
        <w:jc w:val="both"/>
        <w:rPr>
          <w:spacing w:val="-6"/>
        </w:rPr>
      </w:pPr>
      <w:r w:rsidRPr="00FB2C30">
        <w:rPr>
          <w:spacing w:val="-6"/>
        </w:rPr>
        <w:t xml:space="preserve">Бюджетной росписью Комитета бюджетные ассигнования на реализацию ВЦП </w:t>
      </w:r>
      <w:r w:rsidR="00676F11" w:rsidRPr="00FB2C30">
        <w:rPr>
          <w:spacing w:val="-6"/>
        </w:rPr>
        <w:t xml:space="preserve">на основании абз.7 ст.46 Закона об областном бюджете на 2018 год, </w:t>
      </w:r>
      <w:r w:rsidR="00676F11" w:rsidRPr="00FB2C30">
        <w:rPr>
          <w:rFonts w:eastAsia="Calibri"/>
          <w:spacing w:val="-6"/>
          <w:lang w:eastAsia="en-US"/>
        </w:rPr>
        <w:t>закона Волгоградской области от 20.11.2018 №122-ОД о внесении изменений в Закон об областном бюджете на 2018 год</w:t>
      </w:r>
      <w:r w:rsidR="00676F11" w:rsidRPr="00FB2C30">
        <w:rPr>
          <w:spacing w:val="-6"/>
        </w:rPr>
        <w:t xml:space="preserve"> </w:t>
      </w:r>
      <w:r w:rsidRPr="00FB2C30">
        <w:rPr>
          <w:spacing w:val="-6"/>
        </w:rPr>
        <w:t>утверждены в сумме 237827 тыс. руб., или на 13607,4 тыс. руб. больше утвержденного ВЦП, в том числе за счет увеличения ассигнований на и</w:t>
      </w:r>
      <w:r w:rsidRPr="00FB2C30">
        <w:rPr>
          <w:rFonts w:eastAsia="Calibri"/>
          <w:spacing w:val="-6"/>
          <w:lang w:eastAsia="en-US"/>
        </w:rPr>
        <w:t>нформирование населения о реализации приоритетных направлений социально-экономического развития Волгоградской области – 11954,8 тыс. руб., обеспечение равенства политических партий, представленных в Волгоградской областной Думе, при освещении их деятельности – 475,1 тыс. руб., субсидии бюджетному учреждению на иные цели  – 1227,5 тыс. руб. (в том числе на погашение кредиторской задолженности 1197,5 тыс. руб.) и уменьшения на 50 тыс. руб. по грантам Волгоградской области средствам массовой информации</w:t>
      </w:r>
      <w:r w:rsidRPr="00FB2C30">
        <w:rPr>
          <w:spacing w:val="-6"/>
        </w:rPr>
        <w:t xml:space="preserve">. </w:t>
      </w:r>
      <w:r w:rsidR="00676F11" w:rsidRPr="00FB2C30">
        <w:rPr>
          <w:spacing w:val="-6"/>
        </w:rPr>
        <w:t>Увеличение ассигнований на реализацию ВЦП без соответствующих изменений как самой ВЦП, так и целевых показателей свидетельствует о формальном отношении Комитета к формированию и исполнению ВЦП.</w:t>
      </w:r>
    </w:p>
    <w:p w14:paraId="172F469D" w14:textId="77777777" w:rsidR="00AD651F" w:rsidRPr="00FB2C30" w:rsidRDefault="00AD651F" w:rsidP="00AD651F">
      <w:pPr>
        <w:autoSpaceDE w:val="0"/>
        <w:autoSpaceDN w:val="0"/>
        <w:adjustRightInd w:val="0"/>
        <w:ind w:firstLine="567"/>
        <w:jc w:val="both"/>
        <w:rPr>
          <w:spacing w:val="-6"/>
        </w:rPr>
      </w:pPr>
      <w:r w:rsidRPr="00FB2C30">
        <w:rPr>
          <w:spacing w:val="-6"/>
        </w:rPr>
        <w:t xml:space="preserve">Кассовые расходы на реализацию мероприятий составили 236977,2 тыс.руб., или 99,6% от утвержденных бюджетных назначений в бюджетной росписи Комитета. </w:t>
      </w:r>
    </w:p>
    <w:p w14:paraId="0BB4A8E4" w14:textId="77777777" w:rsidR="00AD651F" w:rsidRPr="00FB2C30" w:rsidRDefault="00AD651F" w:rsidP="00676F11">
      <w:pPr>
        <w:autoSpaceDE w:val="0"/>
        <w:autoSpaceDN w:val="0"/>
        <w:adjustRightInd w:val="0"/>
        <w:ind w:firstLine="567"/>
        <w:jc w:val="both"/>
        <w:rPr>
          <w:spacing w:val="-6"/>
        </w:rPr>
      </w:pPr>
      <w:r w:rsidRPr="00FB2C30">
        <w:rPr>
          <w:rFonts w:eastAsiaTheme="minorHAnsi"/>
          <w:spacing w:val="-6"/>
          <w:lang w:eastAsia="en-US"/>
        </w:rPr>
        <w:t>Согласно разделу 8 Приказа №202</w:t>
      </w:r>
      <w:r w:rsidRPr="00FB2C30">
        <w:rPr>
          <w:rFonts w:eastAsiaTheme="minorHAnsi"/>
          <w:b/>
          <w:spacing w:val="-6"/>
          <w:lang w:eastAsia="en-US"/>
        </w:rPr>
        <w:t xml:space="preserve"> </w:t>
      </w:r>
      <w:r w:rsidRPr="00FB2C30">
        <w:rPr>
          <w:rFonts w:eastAsiaTheme="minorHAnsi"/>
          <w:spacing w:val="-6"/>
          <w:lang w:eastAsia="en-US"/>
        </w:rPr>
        <w:t xml:space="preserve">оценка эффективности </w:t>
      </w:r>
      <w:r w:rsidRPr="00FB2C30">
        <w:rPr>
          <w:spacing w:val="-6"/>
        </w:rPr>
        <w:t>ВЦП Реализация информационной политики</w:t>
      </w:r>
      <w:r w:rsidRPr="00FB2C30">
        <w:rPr>
          <w:rFonts w:eastAsiaTheme="minorHAnsi"/>
          <w:spacing w:val="-6"/>
          <w:lang w:eastAsia="en-US"/>
        </w:rPr>
        <w:t xml:space="preserve"> осуществляется по итогам ее исполнения за отчетный период путем  оценки достижения запланированных результатов по каждому расчетному и базовому индикатору (показателю) за отчетный период на основании процентного сопоставления фактически достигнутых значений целевых индикаторов (показателей) за отчетный период с их плановыми значениями за отчетный период. </w:t>
      </w:r>
      <w:r w:rsidRPr="00FB2C30">
        <w:rPr>
          <w:spacing w:val="-6"/>
        </w:rPr>
        <w:t>Оценка эффективности производилась посредством достижения 13-ти целевых индикаторов (приложение №3). По данным отчета о выполнении в 2018 году ВЦП Реализация информационной политики установленные целевые показатели достигнуты. При этом фактическое исполнение показателей:</w:t>
      </w:r>
      <w:r w:rsidRPr="00FB2C30">
        <w:rPr>
          <w:i/>
          <w:spacing w:val="-6"/>
        </w:rPr>
        <w:t xml:space="preserve"> «Количество печатных площадей газеты «Волгоградская правда», занятых правовыми актами органов государственной власти Волгоградской области и иной официальной информацией»</w:t>
      </w:r>
      <w:r w:rsidRPr="00FB2C30">
        <w:rPr>
          <w:spacing w:val="-6"/>
        </w:rPr>
        <w:t xml:space="preserve"> и </w:t>
      </w:r>
      <w:r w:rsidRPr="00FB2C30">
        <w:rPr>
          <w:i/>
          <w:spacing w:val="-6"/>
        </w:rPr>
        <w:t xml:space="preserve">«Объем эфирного времени, затраченного на освещение деятельности политических партий, представленных в Волгоградской областной Думе, в котором обеспечены гарантии равенства политических партий, представленных в Волгоградской областной Думе, при освещении их деятельности региональным телеканалом и радиоканалом» </w:t>
      </w:r>
      <w:r w:rsidRPr="00FB2C30">
        <w:rPr>
          <w:spacing w:val="-6"/>
        </w:rPr>
        <w:t xml:space="preserve">перевыполнены в 4 и 7 раз соответственно, что свидетельствует о некорректном планировании Комитетом данных показателей.  </w:t>
      </w:r>
    </w:p>
    <w:p w14:paraId="2CBFDA9E" w14:textId="77777777" w:rsidR="003842BE" w:rsidRPr="00FB2C30" w:rsidRDefault="00AD651F" w:rsidP="003842BE">
      <w:pPr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FB2C30">
        <w:rPr>
          <w:spacing w:val="-6"/>
        </w:rPr>
        <w:t xml:space="preserve">Исходя из вышеизложенного, </w:t>
      </w:r>
      <w:r w:rsidR="003842BE" w:rsidRPr="00FB2C30">
        <w:rPr>
          <w:spacing w:val="-6"/>
        </w:rPr>
        <w:t xml:space="preserve">Комитетом были использованы доведенные бюджетные ассигнования на достижение большего результата, чем установлено ВЦП, что </w:t>
      </w:r>
      <w:r w:rsidR="002C766E" w:rsidRPr="00FB2C30">
        <w:rPr>
          <w:spacing w:val="-6"/>
        </w:rPr>
        <w:t>обусловлено</w:t>
      </w:r>
      <w:r w:rsidR="003842BE" w:rsidRPr="00FB2C30">
        <w:rPr>
          <w:spacing w:val="-6"/>
        </w:rPr>
        <w:t xml:space="preserve"> не объективном формировании расчетной стоимости </w:t>
      </w:r>
      <w:r w:rsidR="003842BE" w:rsidRPr="00FB2C30">
        <w:rPr>
          <w:rFonts w:eastAsiaTheme="minorHAnsi"/>
          <w:lang w:eastAsia="en-US"/>
        </w:rPr>
        <w:t xml:space="preserve"> производства и выпуска 1 кв. сантиметра газеты "Волгоградская правда" занятых правовыми актами органов государственной власти Волгоградской области и иной официальной информацией</w:t>
      </w:r>
      <w:r w:rsidR="003842BE" w:rsidRPr="00FB2C30">
        <w:rPr>
          <w:spacing w:val="-6"/>
        </w:rPr>
        <w:t>, так как за тот же размер субсидии объем выполненной работы в 4 раза больше от запланированного ВЦП</w:t>
      </w:r>
      <w:r w:rsidR="002C766E" w:rsidRPr="00FB2C30">
        <w:rPr>
          <w:spacing w:val="-6"/>
        </w:rPr>
        <w:t xml:space="preserve">. Перевыполнение </w:t>
      </w:r>
      <w:r w:rsidR="0067454A" w:rsidRPr="00FB2C30">
        <w:rPr>
          <w:spacing w:val="-6"/>
        </w:rPr>
        <w:t>данных целевых показателей</w:t>
      </w:r>
      <w:r w:rsidR="002C766E" w:rsidRPr="00FB2C30">
        <w:rPr>
          <w:spacing w:val="-6"/>
        </w:rPr>
        <w:t xml:space="preserve"> свидетельствует об отсутствии взаимоувязки финансового обеспечения программы утвержденным целевым показателям.</w:t>
      </w:r>
    </w:p>
    <w:p w14:paraId="5732A42E" w14:textId="77777777" w:rsidR="00BB24AF" w:rsidRPr="00FB2C30" w:rsidRDefault="00BB24AF" w:rsidP="00B32132">
      <w:pPr>
        <w:autoSpaceDE w:val="0"/>
        <w:autoSpaceDN w:val="0"/>
        <w:adjustRightInd w:val="0"/>
        <w:ind w:firstLine="709"/>
        <w:jc w:val="center"/>
        <w:rPr>
          <w:b/>
          <w:i/>
        </w:rPr>
      </w:pPr>
    </w:p>
    <w:p w14:paraId="4CD16F2C" w14:textId="77777777" w:rsidR="00DA2BBD" w:rsidRPr="00FB2C30" w:rsidRDefault="00DA2BBD" w:rsidP="00B32132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FB2C30">
        <w:rPr>
          <w:b/>
          <w:i/>
        </w:rPr>
        <w:t xml:space="preserve">Состояние внутреннего финансового контроля и аудита </w:t>
      </w:r>
    </w:p>
    <w:p w14:paraId="19A2CB7F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lastRenderedPageBreak/>
        <w:t>В соответствии с п.4 ст.160.2-1 БК РФ главные распорядители (распорядители)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(их уполномоченные должностные лица) осуществляют на основе функциональной независимости внутренний финансовый аудит.</w:t>
      </w:r>
    </w:p>
    <w:p w14:paraId="156578D1" w14:textId="77777777" w:rsidR="00FA490D" w:rsidRPr="00FB2C30" w:rsidRDefault="005C4AC1" w:rsidP="00B32132">
      <w:pPr>
        <w:autoSpaceDE w:val="0"/>
        <w:autoSpaceDN w:val="0"/>
        <w:adjustRightInd w:val="0"/>
        <w:ind w:firstLine="709"/>
        <w:jc w:val="both"/>
      </w:pPr>
      <w:hyperlink r:id="rId8" w:history="1">
        <w:r w:rsidR="00FA490D" w:rsidRPr="00FB2C30">
          <w:t>Постановлением</w:t>
        </w:r>
      </w:hyperlink>
      <w:r w:rsidR="00FA490D" w:rsidRPr="00FB2C30">
        <w:t xml:space="preserve"> Правительства Волгоградской области от 26.05.2014 №266-п утвержден Порядок осуществления внутреннего финансового контроля и внутреннего финансового аудита на территории Волгоградской области (далее Порядок №266-п).</w:t>
      </w:r>
    </w:p>
    <w:p w14:paraId="70D8ADCF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bookmarkStart w:id="2" w:name="sub_33"/>
      <w:r w:rsidRPr="00FB2C30">
        <w:t xml:space="preserve">В структуре Комитета предусмотрен сектор внутреннего финансового аудита. В соответствии с Положением о секторе внутреннего финансового аудита, утвержденным председателем Комитета 30.01.2015, сектор подчиняется непосредственно председателю Комитета. </w:t>
      </w:r>
    </w:p>
    <w:p w14:paraId="4390CDC4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 xml:space="preserve">В соответствии с п. 5 </w:t>
      </w:r>
      <w:r w:rsidR="00460AD9" w:rsidRPr="00FB2C30">
        <w:t>ст. 160.2 БК РФ Комитетом издан</w:t>
      </w:r>
      <w:r w:rsidRPr="00FB2C30">
        <w:t xml:space="preserve"> приказ от 03.04.2017 № 17 </w:t>
      </w:r>
      <w:r w:rsidR="00377754" w:rsidRPr="00FB2C30">
        <w:t>«</w:t>
      </w:r>
      <w:r w:rsidRPr="00FB2C30">
        <w:t>Об организации внутреннего финансового контроля и внутреннего финансового аудита в комитете по делам территориальных образований, внутренней и информационной политики Волгоградской области</w:t>
      </w:r>
      <w:r w:rsidR="00377754" w:rsidRPr="00FB2C30">
        <w:t>»</w:t>
      </w:r>
      <w:r w:rsidRPr="00FB2C30">
        <w:t xml:space="preserve"> (далее – Прика</w:t>
      </w:r>
      <w:r w:rsidR="00460AD9" w:rsidRPr="00FB2C30">
        <w:t>з №17)</w:t>
      </w:r>
      <w:r w:rsidRPr="00FB2C30">
        <w:t>.</w:t>
      </w:r>
    </w:p>
    <w:p w14:paraId="2532C3E1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>Согласно Приказу №17 сектор внутреннего финансового аудита  наделен полномочиями по осуществлению внутреннего финансового аудита.</w:t>
      </w:r>
    </w:p>
    <w:bookmarkEnd w:id="2"/>
    <w:p w14:paraId="279142E4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>В 201</w:t>
      </w:r>
      <w:r w:rsidR="00460AD9" w:rsidRPr="00FB2C30">
        <w:t>8</w:t>
      </w:r>
      <w:r w:rsidRPr="00FB2C30">
        <w:t xml:space="preserve"> году в соответствии с планом аудиторских проверок, утвержденного приказом Комитета от 22.</w:t>
      </w:r>
      <w:r w:rsidR="00460AD9" w:rsidRPr="00FB2C30">
        <w:t>12</w:t>
      </w:r>
      <w:r w:rsidRPr="00FB2C30">
        <w:t xml:space="preserve">.2017 № </w:t>
      </w:r>
      <w:r w:rsidR="00460AD9" w:rsidRPr="00FB2C30">
        <w:t>193</w:t>
      </w:r>
      <w:r w:rsidRPr="00FB2C30">
        <w:t xml:space="preserve"> </w:t>
      </w:r>
      <w:r w:rsidR="00377754" w:rsidRPr="00FB2C30">
        <w:t>«</w:t>
      </w:r>
      <w:r w:rsidRPr="00FB2C30">
        <w:t xml:space="preserve">Об утверждении </w:t>
      </w:r>
      <w:r w:rsidR="00460AD9" w:rsidRPr="00FB2C30">
        <w:t>п</w:t>
      </w:r>
      <w:r w:rsidRPr="00FB2C30">
        <w:t>лана внутреннего финансового аудита комитета по делам территориальных образований, внутренней и информационной политики Волгоградской области на 201</w:t>
      </w:r>
      <w:r w:rsidR="00460AD9" w:rsidRPr="00FB2C30">
        <w:t>8</w:t>
      </w:r>
      <w:r w:rsidRPr="00FB2C30">
        <w:t xml:space="preserve"> год</w:t>
      </w:r>
      <w:r w:rsidR="00377754" w:rsidRPr="00FB2C30">
        <w:t>»</w:t>
      </w:r>
      <w:r w:rsidR="000C1D5A" w:rsidRPr="00FB2C30">
        <w:t>, проведено 7</w:t>
      </w:r>
      <w:r w:rsidRPr="00FB2C30">
        <w:t xml:space="preserve"> плановых аудиторских проверок: одна проверка в отношении </w:t>
      </w:r>
      <w:r w:rsidR="000C1D5A" w:rsidRPr="00FB2C30">
        <w:t>управления по работе с территориями</w:t>
      </w:r>
      <w:r w:rsidRPr="00FB2C30">
        <w:t xml:space="preserve"> Комитета, </w:t>
      </w:r>
      <w:r w:rsidR="000C1D5A" w:rsidRPr="00FB2C30">
        <w:t xml:space="preserve">одна проверка в отношении </w:t>
      </w:r>
      <w:r w:rsidR="00B63D2D" w:rsidRPr="00FB2C30">
        <w:t xml:space="preserve">управления информационной политики, </w:t>
      </w:r>
      <w:r w:rsidR="000C1D5A" w:rsidRPr="00FB2C30">
        <w:t>четыре</w:t>
      </w:r>
      <w:r w:rsidRPr="00FB2C30">
        <w:t xml:space="preserve"> проверки в отношении отдела финансового, хозяйственного обеспечения и делопроизводства Комитета и одна проверка государственного казенного учреждения Волгоградской области </w:t>
      </w:r>
      <w:r w:rsidR="00377754" w:rsidRPr="00FB2C30">
        <w:t>«</w:t>
      </w:r>
      <w:r w:rsidRPr="00FB2C30">
        <w:t>Центр бюджетного учета и отчетности</w:t>
      </w:r>
      <w:r w:rsidR="00377754" w:rsidRPr="00FB2C30">
        <w:t>»</w:t>
      </w:r>
      <w:r w:rsidRPr="00FB2C30">
        <w:t xml:space="preserve">. </w:t>
      </w:r>
    </w:p>
    <w:p w14:paraId="0ABFE87E" w14:textId="77777777" w:rsidR="000B5441" w:rsidRPr="00FB2C30" w:rsidRDefault="000B5441" w:rsidP="00B32132">
      <w:pPr>
        <w:autoSpaceDE w:val="0"/>
        <w:autoSpaceDN w:val="0"/>
        <w:adjustRightInd w:val="0"/>
        <w:ind w:firstLine="709"/>
        <w:jc w:val="both"/>
      </w:pPr>
      <w:r w:rsidRPr="00FB2C30">
        <w:t>Информация о состоянии внутреннего финансового аудита представлена в приложении №</w:t>
      </w:r>
      <w:r w:rsidR="00C138B3" w:rsidRPr="00FB2C30">
        <w:t>4</w:t>
      </w:r>
      <w:r w:rsidRPr="00FB2C30">
        <w:t>.</w:t>
      </w:r>
    </w:p>
    <w:p w14:paraId="7F46DE12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>В соответствии с п.3.3 Порядка №266-п объектами внутреннего финансового аудита являются структурные подразделения главного администратора бюджетных средств, администратора бюджетных средств, подведомственные им администраторы бюджетных средств и получатели бюджетных средств. Таким образом, включение в план аудиторских проверок на 201</w:t>
      </w:r>
      <w:r w:rsidR="00B63D2D" w:rsidRPr="00FB2C30">
        <w:t>8</w:t>
      </w:r>
      <w:r w:rsidRPr="00FB2C30">
        <w:t xml:space="preserve"> год государственного казенного учреждения Волгоградской области </w:t>
      </w:r>
      <w:r w:rsidR="00377754" w:rsidRPr="00FB2C30">
        <w:t>«</w:t>
      </w:r>
      <w:r w:rsidRPr="00FB2C30">
        <w:t>Центр бюджетного учета и отчетности</w:t>
      </w:r>
      <w:r w:rsidR="00377754" w:rsidRPr="00FB2C30">
        <w:t>»</w:t>
      </w:r>
      <w:r w:rsidRPr="00FB2C30">
        <w:t xml:space="preserve">, подведомственного комитету финансов Волгоградской области, </w:t>
      </w:r>
      <w:r w:rsidR="001515A1" w:rsidRPr="00FB2C30">
        <w:t>не соответствует</w:t>
      </w:r>
      <w:r w:rsidRPr="00FB2C30">
        <w:t xml:space="preserve"> п.3.3 Порядка №266-п. </w:t>
      </w:r>
      <w:r w:rsidR="00B63D2D" w:rsidRPr="00FB2C30">
        <w:t xml:space="preserve">Следует отметить, что данное </w:t>
      </w:r>
      <w:r w:rsidR="001515A1" w:rsidRPr="00FB2C30">
        <w:t>несоответствие</w:t>
      </w:r>
      <w:r w:rsidR="00B63D2D" w:rsidRPr="00FB2C30">
        <w:t xml:space="preserve"> отмечалось КСП в акте проверки Комитета от 16.04.2018.</w:t>
      </w:r>
      <w:r w:rsidR="00F55033" w:rsidRPr="00FB2C30">
        <w:t xml:space="preserve"> </w:t>
      </w:r>
      <w:r w:rsidR="00F6020B" w:rsidRPr="00FB2C30">
        <w:t xml:space="preserve">По пояснениям специалиста Комитета, ответственного за внутренний финансовый аудит, </w:t>
      </w:r>
      <w:r w:rsidR="00D93689" w:rsidRPr="00FB2C30">
        <w:t>на момент проведения внешней проверки КСП (с 20.03.2018 по 16.04.2018) проверка ГКУ «ЦБУ» была завершена, отчет представлен для ознакомления председателю Комитета и в ГКУ «ЦБУ» для исправления замечаний, что не позволило внести изменения в план проверок на 2018 год. Рекомендации КСП учтены при формировании плана проведения внутреннего финансового аудита на 2019 год.</w:t>
      </w:r>
    </w:p>
    <w:p w14:paraId="5CC2507F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center"/>
        <w:rPr>
          <w:i/>
        </w:rPr>
      </w:pPr>
      <w:r w:rsidRPr="00FB2C30">
        <w:rPr>
          <w:i/>
        </w:rPr>
        <w:t>Внутренний финансовый контроль</w:t>
      </w:r>
    </w:p>
    <w:p w14:paraId="259710FF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>Главный распорядитель бюджетных средств согласно п.1 ст.160.2-1 БК РФ осуществляет внутренний финансовый контроль.</w:t>
      </w:r>
    </w:p>
    <w:p w14:paraId="2F73DFF4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>Руководители структурных подразделений, исполняющие бюджетные полномочия и ответственные за результаты внутренних бюджетных процедур, обеспечивают организацию внутреннего финансового контроля возглавляемых ими структурных подразделений.</w:t>
      </w:r>
    </w:p>
    <w:p w14:paraId="0B635AE7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>Согласно п.п. 2.7. и 2.8. постановления Правительства Волгоградской области от 26.05.2014 №266-п внутренний финансовый контроль осуществляется в соответствии с утвержденной картой внутреннего финансового контроля, в которой указываются способы проведения контрольных действий (сплошной и выборочный).</w:t>
      </w:r>
    </w:p>
    <w:p w14:paraId="7DA2F96D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lastRenderedPageBreak/>
        <w:t>В представленных к проверке картах внутреннего финансового контроля на 201</w:t>
      </w:r>
      <w:r w:rsidR="00044F46" w:rsidRPr="00FB2C30">
        <w:t>8</w:t>
      </w:r>
      <w:r w:rsidRPr="00FB2C30">
        <w:t xml:space="preserve"> год указаны сплошной и выборочный способы контроля, что соответствует вышеуказанным пунктам постановления Правительства Волгоградской области от 26.05.2014 №266-п.</w:t>
      </w:r>
    </w:p>
    <w:p w14:paraId="7047BC90" w14:textId="77777777" w:rsidR="00FA490D" w:rsidRPr="00FB2C30" w:rsidRDefault="00FA490D" w:rsidP="00B32132">
      <w:pPr>
        <w:autoSpaceDE w:val="0"/>
        <w:autoSpaceDN w:val="0"/>
        <w:adjustRightInd w:val="0"/>
        <w:ind w:firstLine="709"/>
        <w:jc w:val="both"/>
      </w:pPr>
      <w:r w:rsidRPr="00FB2C30">
        <w:t xml:space="preserve">Приказом №17 утверждена форма карты внутреннего финансового контроля. В ходе проверки были предоставлены карты внутреннего финансового контроля управления по работе с территориями, отдела финансового, хозяйственного обеспечения и делопроизводства, управления информационной политики, управления общественных связей. Карты внутреннего финансового контроля актуализировались </w:t>
      </w:r>
      <w:r w:rsidR="00044F46" w:rsidRPr="00FB2C30">
        <w:t>26</w:t>
      </w:r>
      <w:r w:rsidRPr="00FB2C30">
        <w:t>.11.201</w:t>
      </w:r>
      <w:r w:rsidR="00044F46" w:rsidRPr="00FB2C30">
        <w:t>8</w:t>
      </w:r>
      <w:r w:rsidRPr="00FB2C30">
        <w:t>.</w:t>
      </w:r>
    </w:p>
    <w:p w14:paraId="0B19C4CB" w14:textId="77777777" w:rsidR="00FA490D" w:rsidRPr="00FB2C30" w:rsidRDefault="00FA490D" w:rsidP="00B32132">
      <w:pPr>
        <w:ind w:firstLine="709"/>
        <w:jc w:val="both"/>
      </w:pPr>
      <w:r w:rsidRPr="00FB2C30">
        <w:t>В ходе контрольных действий Комитетом нарушения не выявлены.</w:t>
      </w:r>
    </w:p>
    <w:p w14:paraId="769F698C" w14:textId="77777777" w:rsidR="00FA490D" w:rsidRPr="00FB2C30" w:rsidRDefault="00FA490D" w:rsidP="00B32132">
      <w:pPr>
        <w:ind w:firstLine="709"/>
        <w:jc w:val="both"/>
      </w:pPr>
      <w:r w:rsidRPr="00FB2C30">
        <w:t xml:space="preserve">Форма </w:t>
      </w:r>
      <w:hyperlink r:id="rId9" w:history="1">
        <w:r w:rsidRPr="00FB2C30">
          <w:t>Отчета</w:t>
        </w:r>
      </w:hyperlink>
      <w:r w:rsidRPr="00FB2C30">
        <w:t xml:space="preserve"> о результатах внутреннего финансового контроля на основе данных регистров (журналов) внутреннего финансового контроля утверждена Приказом №17.</w:t>
      </w:r>
    </w:p>
    <w:p w14:paraId="5CA11CD7" w14:textId="77777777" w:rsidR="00FA490D" w:rsidRPr="00FB2C30" w:rsidRDefault="00FA490D" w:rsidP="00B32132">
      <w:pPr>
        <w:ind w:firstLine="709"/>
        <w:jc w:val="both"/>
      </w:pPr>
      <w:r w:rsidRPr="00FB2C30">
        <w:t>По состоянию на 01 января 201</w:t>
      </w:r>
      <w:r w:rsidR="0023533C" w:rsidRPr="00FB2C30">
        <w:t>9</w:t>
      </w:r>
      <w:r w:rsidRPr="00FB2C30">
        <w:t xml:space="preserve"> г. все контрольные мероприятия, запланированные утвержденными картами внутреннего финансового контроля, выполнены в полном объеме. </w:t>
      </w:r>
    </w:p>
    <w:p w14:paraId="2BDC3D0C" w14:textId="77777777" w:rsidR="00EB514C" w:rsidRPr="00FB2C30" w:rsidRDefault="00EB514C" w:rsidP="00EB514C">
      <w:pPr>
        <w:ind w:firstLine="709"/>
        <w:jc w:val="center"/>
        <w:rPr>
          <w:b/>
          <w:i/>
        </w:rPr>
      </w:pPr>
    </w:p>
    <w:p w14:paraId="3B1EC023" w14:textId="77777777" w:rsidR="00004146" w:rsidRPr="00FB2C30" w:rsidRDefault="00004146" w:rsidP="00EB514C">
      <w:pPr>
        <w:ind w:firstLine="709"/>
        <w:jc w:val="center"/>
        <w:rPr>
          <w:b/>
          <w:i/>
        </w:rPr>
      </w:pPr>
      <w:r w:rsidRPr="00FB2C30">
        <w:rPr>
          <w:b/>
          <w:i/>
        </w:rPr>
        <w:t>Выводы</w:t>
      </w:r>
    </w:p>
    <w:p w14:paraId="25BDE332" w14:textId="77777777" w:rsidR="00004146" w:rsidRPr="00FB2C30" w:rsidRDefault="00004146" w:rsidP="00EB514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FB2C30">
        <w:t xml:space="preserve">Проверкой состава и содержания бюджетной отчетности установлено </w:t>
      </w:r>
      <w:r w:rsidR="00800754" w:rsidRPr="00FB2C30">
        <w:t>5</w:t>
      </w:r>
      <w:r w:rsidRPr="00FB2C30">
        <w:t xml:space="preserve"> случа</w:t>
      </w:r>
      <w:r w:rsidR="00800754" w:rsidRPr="00FB2C30">
        <w:t>ев</w:t>
      </w:r>
      <w:r w:rsidRPr="00FB2C30">
        <w:t xml:space="preserve"> нарушения положений Инструкции № 191н при составлении </w:t>
      </w:r>
      <w:r w:rsidR="00800754" w:rsidRPr="00FB2C30">
        <w:t>5</w:t>
      </w:r>
      <w:r w:rsidRPr="00FB2C30">
        <w:t xml:space="preserve"> форм бюджетной отчетности,  которые устранены в ходе проверки. </w:t>
      </w:r>
    </w:p>
    <w:p w14:paraId="00C1BEE6" w14:textId="77777777" w:rsidR="00004146" w:rsidRPr="00FB2C30" w:rsidRDefault="00004146" w:rsidP="00004146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По  </w:t>
      </w:r>
      <w:r w:rsidR="00800754" w:rsidRPr="00FB2C30">
        <w:rPr>
          <w:rFonts w:ascii="Times New Roman" w:hAnsi="Times New Roman" w:cs="Times New Roman"/>
          <w:sz w:val="24"/>
          <w:szCs w:val="24"/>
        </w:rPr>
        <w:t>«</w:t>
      </w:r>
      <w:r w:rsidR="00DB7B51" w:rsidRPr="00FB2C30">
        <w:rPr>
          <w:rFonts w:ascii="Times New Roman" w:hAnsi="Times New Roman" w:cs="Times New Roman"/>
          <w:sz w:val="24"/>
          <w:szCs w:val="24"/>
        </w:rPr>
        <w:t>Денежным взысканиям, налагаемым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</w:r>
      <w:r w:rsidR="00800754" w:rsidRPr="00FB2C30">
        <w:rPr>
          <w:rFonts w:ascii="Times New Roman" w:hAnsi="Times New Roman" w:cs="Times New Roman"/>
          <w:sz w:val="24"/>
          <w:szCs w:val="24"/>
        </w:rPr>
        <w:t xml:space="preserve">» </w:t>
      </w:r>
      <w:r w:rsidRPr="00FB2C30">
        <w:rPr>
          <w:rFonts w:ascii="Times New Roman" w:hAnsi="Times New Roman" w:cs="Times New Roman"/>
          <w:sz w:val="24"/>
          <w:szCs w:val="24"/>
        </w:rPr>
        <w:t>отклонение от прогнозных поступлений превышает 10% в сторону</w:t>
      </w:r>
      <w:r w:rsidR="00995696" w:rsidRPr="00FB2C30">
        <w:rPr>
          <w:rFonts w:ascii="Times New Roman" w:hAnsi="Times New Roman" w:cs="Times New Roman"/>
          <w:sz w:val="24"/>
          <w:szCs w:val="24"/>
        </w:rPr>
        <w:t xml:space="preserve"> невыполнения</w:t>
      </w:r>
      <w:r w:rsidRPr="00FB2C30">
        <w:rPr>
          <w:rFonts w:ascii="Times New Roman" w:hAnsi="Times New Roman" w:cs="Times New Roman"/>
          <w:sz w:val="24"/>
          <w:szCs w:val="24"/>
        </w:rPr>
        <w:t xml:space="preserve">, что в соответствии со Стандартом  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>финансового контроля КСП</w:t>
      </w:r>
      <w:r w:rsidRPr="00FB2C30">
        <w:rPr>
          <w:rFonts w:ascii="Times New Roman" w:hAnsi="Times New Roman" w:cs="Times New Roman"/>
          <w:sz w:val="24"/>
          <w:szCs w:val="24"/>
        </w:rPr>
        <w:t xml:space="preserve"> расценивается как некачественное планирование.</w:t>
      </w:r>
    </w:p>
    <w:p w14:paraId="23C526D8" w14:textId="77777777" w:rsidR="00004146" w:rsidRPr="00FB2C30" w:rsidRDefault="00004146" w:rsidP="004E60D2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napToGrid w:val="0"/>
          <w:sz w:val="24"/>
          <w:szCs w:val="24"/>
        </w:rPr>
      </w:pPr>
      <w:r w:rsidRPr="00FB2C30">
        <w:rPr>
          <w:rFonts w:ascii="Times New Roman" w:hAnsi="Times New Roman" w:cs="Times New Roman"/>
          <w:snapToGrid w:val="0"/>
          <w:sz w:val="24"/>
          <w:szCs w:val="24"/>
        </w:rPr>
        <w:t>За 201</w:t>
      </w:r>
      <w:r w:rsidR="00800754" w:rsidRPr="00FB2C30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 год расходы </w:t>
      </w:r>
      <w:r w:rsidR="00995696" w:rsidRPr="00FB2C30">
        <w:rPr>
          <w:rFonts w:ascii="Times New Roman" w:hAnsi="Times New Roman" w:cs="Times New Roman"/>
          <w:snapToGrid w:val="0"/>
          <w:sz w:val="24"/>
          <w:szCs w:val="24"/>
        </w:rPr>
        <w:t>Комитета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 исполнены на </w:t>
      </w:r>
      <w:r w:rsidR="00800754" w:rsidRPr="00FB2C30">
        <w:rPr>
          <w:rFonts w:ascii="Times New Roman" w:hAnsi="Times New Roman" w:cs="Times New Roman"/>
          <w:sz w:val="24"/>
          <w:szCs w:val="24"/>
        </w:rPr>
        <w:t xml:space="preserve">305816,5 тыс. руб., или </w:t>
      </w:r>
      <w:r w:rsidR="00995696" w:rsidRPr="00FB2C30">
        <w:rPr>
          <w:rFonts w:ascii="Times New Roman" w:hAnsi="Times New Roman" w:cs="Times New Roman"/>
          <w:sz w:val="24"/>
          <w:szCs w:val="24"/>
        </w:rPr>
        <w:t xml:space="preserve">на </w:t>
      </w:r>
      <w:r w:rsidR="00800754" w:rsidRPr="00FB2C30">
        <w:rPr>
          <w:rFonts w:ascii="Times New Roman" w:hAnsi="Times New Roman" w:cs="Times New Roman"/>
          <w:sz w:val="24"/>
          <w:szCs w:val="24"/>
        </w:rPr>
        <w:t xml:space="preserve">99,4% 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 от утвержденных </w:t>
      </w:r>
      <w:r w:rsidR="00DB7B51"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бюджетной росписью 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>бюджетных назначений.</w:t>
      </w:r>
    </w:p>
    <w:p w14:paraId="5D6FE32B" w14:textId="77777777" w:rsidR="00827091" w:rsidRPr="00FB2C30" w:rsidRDefault="00827091" w:rsidP="00AD651F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FB2C30">
        <w:rPr>
          <w:rFonts w:ascii="Times New Roman" w:hAnsi="Times New Roman" w:cs="Times New Roman"/>
          <w:snapToGrid w:val="0"/>
          <w:sz w:val="24"/>
          <w:szCs w:val="24"/>
        </w:rPr>
        <w:t>По состоянию на 01.01.2019 года дебиторская задолженность по отношению к предыдущему году уменьшилась в целом на 88551,5 тыс. руб.</w:t>
      </w:r>
      <w:r w:rsidR="00995696" w:rsidRPr="00FB2C30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 или на 50,1%</w:t>
      </w:r>
      <w:r w:rsidR="00995696" w:rsidRPr="00FB2C30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FA72CF"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 и составила 88297,9 тыс. руб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FA72CF" w:rsidRPr="00FB2C30">
        <w:rPr>
          <w:rFonts w:ascii="Times New Roman" w:hAnsi="Times New Roman" w:cs="Times New Roman"/>
          <w:snapToGrid w:val="0"/>
          <w:sz w:val="24"/>
          <w:szCs w:val="24"/>
        </w:rPr>
        <w:t>, в том числе просроченная дебиторская задолженность 10742,1 тыс. рублей.</w:t>
      </w:r>
      <w:r w:rsidRPr="00FB2C3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E60D2" w:rsidRPr="00FB2C30">
        <w:rPr>
          <w:rFonts w:ascii="Times New Roman" w:hAnsi="Times New Roman" w:cs="Times New Roman"/>
          <w:sz w:val="24"/>
          <w:szCs w:val="24"/>
        </w:rPr>
        <w:t>Основная доля просроченной задолженности числится по грантам Волгоградской области средствам массовой информации, полученным в 2017 году ООО «Издательский дом «Волгоградская правда»» в сумме 10739,3 тыс. рублей. Данный объем задолженности относится к еще не принятым актам приема-сдачи выполненных работ и отчетам за 4 квартал 2017 года и 1 квартал 2018 года</w:t>
      </w:r>
      <w:r w:rsidR="00AD651F" w:rsidRPr="00FB2C30">
        <w:rPr>
          <w:rFonts w:ascii="Times New Roman" w:hAnsi="Times New Roman" w:cs="Times New Roman"/>
          <w:spacing w:val="-6"/>
          <w:sz w:val="24"/>
          <w:szCs w:val="24"/>
        </w:rPr>
        <w:t>, срок по представлению которых истек 10.02.2018.</w:t>
      </w:r>
    </w:p>
    <w:p w14:paraId="286ABE87" w14:textId="77777777" w:rsidR="00E80275" w:rsidRPr="00FB2C30" w:rsidRDefault="00E80275" w:rsidP="004E60D2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napToGrid w:val="0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По состоянию на 01.01.201</w:t>
      </w:r>
      <w:r w:rsidR="00FA72CF" w:rsidRPr="00FB2C30">
        <w:rPr>
          <w:rFonts w:ascii="Times New Roman" w:hAnsi="Times New Roman" w:cs="Times New Roman"/>
          <w:sz w:val="24"/>
          <w:szCs w:val="24"/>
        </w:rPr>
        <w:t>9</w:t>
      </w:r>
      <w:r w:rsidRPr="00FB2C30">
        <w:rPr>
          <w:rFonts w:ascii="Times New Roman" w:hAnsi="Times New Roman" w:cs="Times New Roman"/>
          <w:sz w:val="24"/>
          <w:szCs w:val="24"/>
        </w:rPr>
        <w:t xml:space="preserve"> года кредиторская задолженность по отношению к предыдущему году </w:t>
      </w:r>
      <w:r w:rsidR="00AE363B" w:rsidRPr="00FB2C30">
        <w:rPr>
          <w:rFonts w:ascii="Times New Roman" w:hAnsi="Times New Roman" w:cs="Times New Roman"/>
          <w:sz w:val="24"/>
          <w:szCs w:val="24"/>
        </w:rPr>
        <w:t>уменьшилась на 7401,5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904EE" w:rsidRPr="00FB2C30">
        <w:rPr>
          <w:rFonts w:ascii="Times New Roman" w:hAnsi="Times New Roman" w:cs="Times New Roman"/>
          <w:sz w:val="24"/>
          <w:szCs w:val="24"/>
        </w:rPr>
        <w:t>,</w:t>
      </w:r>
      <w:r w:rsidRPr="00FB2C30">
        <w:rPr>
          <w:rFonts w:ascii="Times New Roman" w:hAnsi="Times New Roman" w:cs="Times New Roman"/>
          <w:sz w:val="24"/>
          <w:szCs w:val="24"/>
        </w:rPr>
        <w:t xml:space="preserve"> </w:t>
      </w:r>
      <w:r w:rsidR="00AE363B" w:rsidRPr="00FB2C30">
        <w:rPr>
          <w:rFonts w:ascii="Times New Roman" w:hAnsi="Times New Roman" w:cs="Times New Roman"/>
          <w:sz w:val="24"/>
          <w:szCs w:val="24"/>
        </w:rPr>
        <w:t>или на 91,6%</w:t>
      </w:r>
      <w:r w:rsidR="006904EE" w:rsidRPr="00FB2C30">
        <w:rPr>
          <w:rFonts w:ascii="Times New Roman" w:hAnsi="Times New Roman" w:cs="Times New Roman"/>
          <w:sz w:val="24"/>
          <w:szCs w:val="24"/>
        </w:rPr>
        <w:t>,</w:t>
      </w:r>
      <w:r w:rsidRPr="00FB2C30">
        <w:rPr>
          <w:rFonts w:ascii="Times New Roman" w:hAnsi="Times New Roman" w:cs="Times New Roman"/>
          <w:sz w:val="24"/>
          <w:szCs w:val="24"/>
        </w:rPr>
        <w:t xml:space="preserve"> и составила </w:t>
      </w:r>
      <w:r w:rsidR="00AE363B" w:rsidRPr="00FB2C30">
        <w:rPr>
          <w:rFonts w:ascii="Times New Roman" w:hAnsi="Times New Roman" w:cs="Times New Roman"/>
          <w:sz w:val="24"/>
          <w:szCs w:val="24"/>
        </w:rPr>
        <w:t>683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рублей. Основную долю кредиторской задолженности составляет задолженность по субсидии </w:t>
      </w:r>
      <w:r w:rsidR="00AE363B" w:rsidRPr="00FB2C30">
        <w:rPr>
          <w:rFonts w:ascii="Times New Roman" w:hAnsi="Times New Roman" w:cs="Times New Roman"/>
          <w:sz w:val="24"/>
          <w:szCs w:val="24"/>
        </w:rPr>
        <w:t>ГБУ ВО «РИАЦ»</w:t>
      </w:r>
      <w:r w:rsidRPr="00FB2C30">
        <w:rPr>
          <w:rFonts w:ascii="Times New Roman" w:hAnsi="Times New Roman" w:cs="Times New Roman"/>
          <w:sz w:val="24"/>
          <w:szCs w:val="24"/>
        </w:rPr>
        <w:t xml:space="preserve"> на выполнение государственного задания – </w:t>
      </w:r>
      <w:r w:rsidR="00AE363B" w:rsidRPr="00FB2C30">
        <w:rPr>
          <w:rFonts w:ascii="Times New Roman" w:hAnsi="Times New Roman" w:cs="Times New Roman"/>
          <w:sz w:val="24"/>
          <w:szCs w:val="24"/>
        </w:rPr>
        <w:t>677,3</w:t>
      </w:r>
      <w:r w:rsidRPr="00FB2C30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AE363B" w:rsidRPr="00FB2C30">
        <w:rPr>
          <w:rFonts w:ascii="Times New Roman" w:hAnsi="Times New Roman" w:cs="Times New Roman"/>
          <w:sz w:val="24"/>
          <w:szCs w:val="24"/>
        </w:rPr>
        <w:t>лей</w:t>
      </w:r>
      <w:r w:rsidRPr="00FB2C30">
        <w:rPr>
          <w:rFonts w:ascii="Times New Roman" w:hAnsi="Times New Roman" w:cs="Times New Roman"/>
          <w:sz w:val="24"/>
          <w:szCs w:val="24"/>
        </w:rPr>
        <w:t>.</w:t>
      </w:r>
    </w:p>
    <w:p w14:paraId="221C115E" w14:textId="77777777" w:rsidR="00BB24AF" w:rsidRPr="00FB2C30" w:rsidRDefault="00BB24AF" w:rsidP="00BB24AF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 xml:space="preserve">По ГП «Развитие гражданского общества» выполнены 4 показателя из 5. Не достигнут показатель </w:t>
      </w:r>
      <w:r w:rsidRPr="00FB2C30">
        <w:rPr>
          <w:rFonts w:ascii="Times New Roman" w:hAnsi="Times New Roman" w:cs="Times New Roman"/>
          <w:i/>
          <w:sz w:val="24"/>
          <w:szCs w:val="24"/>
        </w:rPr>
        <w:t>«Доля муниципальных районов и городских округов Волгоградской области, имеющих финансируемые целевые программы развития территориального общественного самоуправления, от общего числа муниципальных районов и городских округов Волгоградской области»</w:t>
      </w:r>
      <w:r w:rsidRPr="00FB2C30">
        <w:rPr>
          <w:rFonts w:ascii="Times New Roman" w:hAnsi="Times New Roman" w:cs="Times New Roman"/>
          <w:sz w:val="24"/>
          <w:szCs w:val="24"/>
        </w:rPr>
        <w:t xml:space="preserve"> в следствии окончания срока реализации ряда муниципальных программ развития ТОС. Корректировка показателя в 2018 году не производилась по причине отсутствия в Комитете до 31.12.2018 информации о выполнении муниципальными образования данного целевого показателя.</w:t>
      </w:r>
    </w:p>
    <w:p w14:paraId="29D31233" w14:textId="77777777" w:rsidR="00BB24AF" w:rsidRPr="00FB2C30" w:rsidRDefault="00BB24AF" w:rsidP="00BB24AF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2C30">
        <w:rPr>
          <w:rFonts w:ascii="Times New Roman" w:hAnsi="Times New Roman" w:cs="Times New Roman"/>
          <w:spacing w:val="-6"/>
          <w:sz w:val="24"/>
          <w:szCs w:val="24"/>
        </w:rPr>
        <w:t>Бюджетной росписью Комитета бюджетные ассигнования на реализацию ВЦП утверждены в сумме 237827 тыс. руб., или на 13607,4 тыс. руб. больше утвержденного ВЦП. Увеличение ассигнований на реализацию ВЦП без соответствующих изменений как самой ВЦП, так и целевых показателей свидетельствует о формальном отношении Комитета к формированию и исполнению ВЦП.</w:t>
      </w:r>
    </w:p>
    <w:p w14:paraId="216DFA35" w14:textId="77777777" w:rsidR="003842BE" w:rsidRPr="00FB2C30" w:rsidRDefault="00AE363B" w:rsidP="00BB24AF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napToGrid w:val="0"/>
          <w:sz w:val="24"/>
          <w:szCs w:val="24"/>
        </w:rPr>
      </w:pPr>
      <w:r w:rsidRPr="00FB2C30">
        <w:rPr>
          <w:rFonts w:ascii="Times New Roman" w:hAnsi="Times New Roman" w:cs="Times New Roman"/>
          <w:sz w:val="24"/>
          <w:szCs w:val="24"/>
        </w:rPr>
        <w:t>Установленные целевые показатели по ВЦП Реализация информационной политики достигнуты,</w:t>
      </w:r>
      <w:r w:rsidR="007A34D8" w:rsidRPr="00FB2C30">
        <w:rPr>
          <w:rFonts w:ascii="Times New Roman" w:hAnsi="Times New Roman" w:cs="Times New Roman"/>
          <w:sz w:val="24"/>
          <w:szCs w:val="24"/>
        </w:rPr>
        <w:t xml:space="preserve"> в том числе целевые показатели «</w:t>
      </w:r>
      <w:r w:rsidR="007A34D8" w:rsidRPr="00FB2C30">
        <w:rPr>
          <w:rFonts w:ascii="Times New Roman" w:hAnsi="Times New Roman" w:cs="Times New Roman"/>
          <w:i/>
          <w:sz w:val="24"/>
          <w:szCs w:val="24"/>
        </w:rPr>
        <w:t>Количество печатных площадей газеты "Волгоградская правда", занятых правовыми актами органов государственной власти Волгоградской области и иной официальной информацией</w:t>
      </w:r>
      <w:r w:rsidR="007A34D8" w:rsidRPr="00FB2C30">
        <w:rPr>
          <w:rFonts w:ascii="Times New Roman" w:hAnsi="Times New Roman" w:cs="Times New Roman"/>
          <w:sz w:val="24"/>
          <w:szCs w:val="24"/>
        </w:rPr>
        <w:t>» и «</w:t>
      </w:r>
      <w:r w:rsidR="007A34D8" w:rsidRPr="00FB2C30">
        <w:rPr>
          <w:rFonts w:ascii="Times New Roman" w:hAnsi="Times New Roman" w:cs="Times New Roman"/>
          <w:i/>
          <w:sz w:val="24"/>
          <w:szCs w:val="24"/>
        </w:rPr>
        <w:t xml:space="preserve">Объем эфирного времени, </w:t>
      </w:r>
      <w:r w:rsidR="007A34D8" w:rsidRPr="00FB2C30">
        <w:rPr>
          <w:rFonts w:ascii="Times New Roman" w:hAnsi="Times New Roman" w:cs="Times New Roman"/>
          <w:i/>
          <w:sz w:val="24"/>
          <w:szCs w:val="24"/>
        </w:rPr>
        <w:lastRenderedPageBreak/>
        <w:t>затраченного на освещение деятельности политических партий, представленных в Волгоградской областной Думе, в котором обеспечены гарантии равенства политических партий, представленных в Волгоградской областной Думе, при освещении их деятельности региональными телеканалом и радиоканалом</w:t>
      </w:r>
      <w:r w:rsidR="007A34D8" w:rsidRPr="00FB2C30">
        <w:rPr>
          <w:rFonts w:ascii="Times New Roman" w:hAnsi="Times New Roman" w:cs="Times New Roman"/>
          <w:sz w:val="24"/>
          <w:szCs w:val="24"/>
        </w:rPr>
        <w:t>»</w:t>
      </w:r>
      <w:r w:rsidRPr="00FB2C30">
        <w:rPr>
          <w:rFonts w:ascii="Times New Roman" w:hAnsi="Times New Roman" w:cs="Times New Roman"/>
          <w:sz w:val="24"/>
          <w:szCs w:val="24"/>
        </w:rPr>
        <w:t xml:space="preserve"> </w:t>
      </w:r>
      <w:r w:rsidR="007A34D8" w:rsidRPr="00FB2C30">
        <w:rPr>
          <w:rFonts w:ascii="Times New Roman" w:hAnsi="Times New Roman" w:cs="Times New Roman"/>
          <w:sz w:val="24"/>
          <w:szCs w:val="24"/>
        </w:rPr>
        <w:t>перевыполнены в 4 и в 7 раз соответственно</w:t>
      </w:r>
      <w:r w:rsidR="006904EE" w:rsidRPr="00FB2C30">
        <w:rPr>
          <w:rFonts w:ascii="Times New Roman" w:hAnsi="Times New Roman" w:cs="Times New Roman"/>
          <w:sz w:val="24"/>
          <w:szCs w:val="24"/>
        </w:rPr>
        <w:t xml:space="preserve">, </w:t>
      </w:r>
      <w:r w:rsidR="00B074ED" w:rsidRPr="00FB2C30">
        <w:rPr>
          <w:rFonts w:ascii="Times New Roman" w:hAnsi="Times New Roman" w:cs="Times New Roman"/>
          <w:sz w:val="24"/>
          <w:szCs w:val="24"/>
        </w:rPr>
        <w:t>что свидетельствует о некорректном планировании Комитетом данных показателей.</w:t>
      </w:r>
      <w:r w:rsidR="00AD651F" w:rsidRPr="00FB2C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3248844" w14:textId="77777777" w:rsidR="00BB24AF" w:rsidRPr="00FB2C30" w:rsidRDefault="00AD651F" w:rsidP="002C766E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FB2C30">
        <w:rPr>
          <w:spacing w:val="-6"/>
        </w:rPr>
        <w:t xml:space="preserve">Комитетом были использованы доведенные бюджетные ассигнования на достижение большего результата, чем установлено ВЦП, </w:t>
      </w:r>
      <w:r w:rsidR="002C766E" w:rsidRPr="00FB2C30">
        <w:rPr>
          <w:spacing w:val="-6"/>
        </w:rPr>
        <w:t xml:space="preserve">что обусловлено не объективном формировании расчетной стоимости </w:t>
      </w:r>
      <w:r w:rsidR="002C766E" w:rsidRPr="00FB2C30">
        <w:rPr>
          <w:rFonts w:eastAsiaTheme="minorHAnsi"/>
          <w:lang w:eastAsia="en-US"/>
        </w:rPr>
        <w:t xml:space="preserve"> производства и выпуска 1 кв. сантиметра газеты "Волгоградская правда" занятых правовыми актами органов государственной власти Волгоградской области и иной официальной информацией</w:t>
      </w:r>
      <w:r w:rsidR="002C766E" w:rsidRPr="00FB2C30">
        <w:rPr>
          <w:spacing w:val="-6"/>
        </w:rPr>
        <w:t>, так как за тот же размер субсидии объем выполненной работы в 4 раза больше от запланированного ВЦП</w:t>
      </w:r>
      <w:r w:rsidR="0067454A" w:rsidRPr="00FB2C30">
        <w:rPr>
          <w:spacing w:val="-6"/>
        </w:rPr>
        <w:t>.</w:t>
      </w:r>
      <w:r w:rsidR="002C766E" w:rsidRPr="00FB2C30">
        <w:rPr>
          <w:spacing w:val="-6"/>
        </w:rPr>
        <w:t xml:space="preserve"> </w:t>
      </w:r>
    </w:p>
    <w:p w14:paraId="7B8C5757" w14:textId="77777777" w:rsidR="002C766E" w:rsidRPr="00FB2C30" w:rsidRDefault="0067454A" w:rsidP="002C766E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FB2C30">
        <w:rPr>
          <w:spacing w:val="-6"/>
        </w:rPr>
        <w:t>Перевыполнение данных целевых показателей свидетельствует об отсутствии взаимоувязки финансового обеспечения программы утвержденным целевым показателям.</w:t>
      </w:r>
    </w:p>
    <w:p w14:paraId="51FF9F1D" w14:textId="77777777" w:rsidR="00FC5C39" w:rsidRPr="00FB2C30" w:rsidRDefault="00FC5C39" w:rsidP="00BB24AF">
      <w:pPr>
        <w:pStyle w:val="ad"/>
        <w:autoSpaceDE w:val="0"/>
        <w:autoSpaceDN w:val="0"/>
        <w:adjustRightInd w:val="0"/>
        <w:spacing w:after="0" w:line="240" w:lineRule="auto"/>
        <w:ind w:left="1418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FB2C30">
        <w:rPr>
          <w:rFonts w:ascii="Times New Roman" w:hAnsi="Times New Roman" w:cs="Times New Roman"/>
          <w:b/>
          <w:i/>
          <w:sz w:val="24"/>
          <w:szCs w:val="24"/>
        </w:rPr>
        <w:t>Предложения</w:t>
      </w:r>
    </w:p>
    <w:p w14:paraId="5687F4C6" w14:textId="77777777" w:rsidR="00FC5C39" w:rsidRPr="00FB2C30" w:rsidRDefault="00FC5C39" w:rsidP="00FC5C39">
      <w:pPr>
        <w:ind w:firstLine="708"/>
        <w:jc w:val="both"/>
      </w:pPr>
      <w:r w:rsidRPr="00FB2C30">
        <w:rPr>
          <w:b/>
        </w:rPr>
        <w:t xml:space="preserve">1. </w:t>
      </w:r>
      <w:r w:rsidRPr="00FB2C30">
        <w:t xml:space="preserve">Обратить внимание на необходимость строгого соблюдения требований Инструкции № 191н при заполнении форм годовой бюджетной отчетности. </w:t>
      </w:r>
    </w:p>
    <w:p w14:paraId="38C63695" w14:textId="77777777" w:rsidR="00FC5C39" w:rsidRPr="00FB2C30" w:rsidRDefault="00FC5C39" w:rsidP="00FC5C39">
      <w:pPr>
        <w:ind w:firstLine="708"/>
        <w:jc w:val="both"/>
      </w:pPr>
      <w:r w:rsidRPr="00FB2C30">
        <w:rPr>
          <w:b/>
        </w:rPr>
        <w:t xml:space="preserve">2. </w:t>
      </w:r>
      <w:r w:rsidRPr="00FB2C30">
        <w:t xml:space="preserve"> Принять меры, направленные на недопущение искажения форм бюджетной отчетности и нарушений требований Инструкции №191н при составлении бюджетной отчетности за 2019 год. </w:t>
      </w:r>
    </w:p>
    <w:p w14:paraId="2728C620" w14:textId="77777777" w:rsidR="00FC5C39" w:rsidRPr="00FB2C30" w:rsidRDefault="00F87752" w:rsidP="00FC5C39">
      <w:pPr>
        <w:ind w:firstLine="708"/>
        <w:jc w:val="both"/>
      </w:pPr>
      <w:r w:rsidRPr="00FB2C30">
        <w:rPr>
          <w:b/>
        </w:rPr>
        <w:t>3.</w:t>
      </w:r>
      <w:r w:rsidR="00FC5C39" w:rsidRPr="00FB2C30">
        <w:t xml:space="preserve"> </w:t>
      </w:r>
      <w:r w:rsidR="00DB7B51" w:rsidRPr="00FB2C30">
        <w:t xml:space="preserve">В целях уменьшения дебиторской задолженности по грантам </w:t>
      </w:r>
      <w:r w:rsidR="003E6AD0" w:rsidRPr="00FB2C30">
        <w:t>Волгоградской области средствам массовой информации, полученным ООО «Издательс</w:t>
      </w:r>
      <w:r w:rsidR="006904EE" w:rsidRPr="00FB2C30">
        <w:t>кий дом «Волгоградская правда»»</w:t>
      </w:r>
      <w:r w:rsidR="003E6AD0" w:rsidRPr="00FB2C30">
        <w:t xml:space="preserve"> </w:t>
      </w:r>
      <w:r w:rsidR="00DB7B51" w:rsidRPr="00FB2C30">
        <w:t xml:space="preserve"> активизировать работу по приему отчетов по использованию грантов до истечения сроков исковой давности. При установлении несоблюдения условий их получения взыскать задолженность в досудебном (судебном) порядке с учетом неустойки (пени) в соответствии с условиями заключенных соглашений (договоров).</w:t>
      </w:r>
    </w:p>
    <w:p w14:paraId="624584DA" w14:textId="77777777" w:rsidR="003842BE" w:rsidRPr="00FB2C30" w:rsidRDefault="00AD651F" w:rsidP="003842B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lang w:eastAsia="en-US"/>
        </w:rPr>
      </w:pPr>
      <w:r w:rsidRPr="00FB2C30">
        <w:rPr>
          <w:b/>
        </w:rPr>
        <w:t xml:space="preserve">4. </w:t>
      </w:r>
      <w:r w:rsidRPr="00FB2C30">
        <w:t xml:space="preserve">Комитету произвести объективный расчет </w:t>
      </w:r>
      <w:r w:rsidR="003842BE" w:rsidRPr="00FB2C30">
        <w:rPr>
          <w:rFonts w:eastAsiaTheme="minorHAnsi"/>
          <w:bCs/>
          <w:lang w:eastAsia="en-US"/>
        </w:rPr>
        <w:t>стоимость производства и выпуска 1 кв. сантиметра газеты "Волгоградская правда".</w:t>
      </w:r>
    </w:p>
    <w:p w14:paraId="20068720" w14:textId="77777777" w:rsidR="007E5E92" w:rsidRPr="00FB2C30" w:rsidRDefault="007E5E92" w:rsidP="00FC5C39">
      <w:pPr>
        <w:ind w:firstLine="708"/>
        <w:jc w:val="both"/>
      </w:pPr>
    </w:p>
    <w:p w14:paraId="357A87A1" w14:textId="77777777" w:rsidR="008C0092" w:rsidRPr="00FB2C30" w:rsidRDefault="008C0092" w:rsidP="00FC5C39">
      <w:pPr>
        <w:ind w:firstLine="708"/>
        <w:jc w:val="both"/>
      </w:pPr>
    </w:p>
    <w:p w14:paraId="38B1FD63" w14:textId="77777777" w:rsidR="008E173D" w:rsidRPr="009A4865" w:rsidRDefault="004D6F3C" w:rsidP="00B32132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FB2C30">
        <w:rPr>
          <w:b/>
          <w:noProof/>
        </w:rPr>
        <w:t>Аудитор                                                                                                М.Е.Татаринцев</w:t>
      </w:r>
    </w:p>
    <w:sectPr w:rsidR="008E173D" w:rsidRPr="009A4865" w:rsidSect="00D566EF">
      <w:headerReference w:type="even" r:id="rId10"/>
      <w:headerReference w:type="default" r:id="rId11"/>
      <w:pgSz w:w="11906" w:h="16838" w:code="9"/>
      <w:pgMar w:top="966" w:right="737" w:bottom="79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9CBE4" w14:textId="77777777" w:rsidR="005C4AC1" w:rsidRDefault="005C4AC1" w:rsidP="00223DA8">
      <w:r>
        <w:separator/>
      </w:r>
    </w:p>
  </w:endnote>
  <w:endnote w:type="continuationSeparator" w:id="0">
    <w:p w14:paraId="6D00B8B3" w14:textId="77777777" w:rsidR="005C4AC1" w:rsidRDefault="005C4AC1" w:rsidP="002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BDE36" w14:textId="77777777" w:rsidR="005C4AC1" w:rsidRDefault="005C4AC1" w:rsidP="00223DA8">
      <w:r>
        <w:separator/>
      </w:r>
    </w:p>
  </w:footnote>
  <w:footnote w:type="continuationSeparator" w:id="0">
    <w:p w14:paraId="091C27AC" w14:textId="77777777" w:rsidR="005C4AC1" w:rsidRDefault="005C4AC1" w:rsidP="0022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B4BDF" w14:textId="77777777" w:rsidR="00BD1577" w:rsidRDefault="00582E38" w:rsidP="00022E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157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5A75EA" w14:textId="77777777" w:rsidR="00BD1577" w:rsidRDefault="00BD15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155F" w14:textId="77777777" w:rsidR="00BD1577" w:rsidRDefault="00582E38" w:rsidP="00022E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157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2C30">
      <w:rPr>
        <w:rStyle w:val="a9"/>
        <w:noProof/>
      </w:rPr>
      <w:t>11</w:t>
    </w:r>
    <w:r>
      <w:rPr>
        <w:rStyle w:val="a9"/>
      </w:rPr>
      <w:fldChar w:fldCharType="end"/>
    </w:r>
  </w:p>
  <w:p w14:paraId="782FD924" w14:textId="77777777" w:rsidR="00BD1577" w:rsidRDefault="00BD15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BF2"/>
    <w:multiLevelType w:val="hybridMultilevel"/>
    <w:tmpl w:val="5BAAFCFE"/>
    <w:lvl w:ilvl="0" w:tplc="773A7726">
      <w:start w:val="1"/>
      <w:numFmt w:val="decimal"/>
      <w:lvlText w:val="%1."/>
      <w:lvlJc w:val="left"/>
      <w:pPr>
        <w:tabs>
          <w:tab w:val="num" w:pos="567"/>
        </w:tabs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41F03"/>
    <w:multiLevelType w:val="hybridMultilevel"/>
    <w:tmpl w:val="E9D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795"/>
    <w:multiLevelType w:val="hybridMultilevel"/>
    <w:tmpl w:val="C6B487D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E3A6D1D"/>
    <w:multiLevelType w:val="hybridMultilevel"/>
    <w:tmpl w:val="75C22F8C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2254414"/>
    <w:multiLevelType w:val="hybridMultilevel"/>
    <w:tmpl w:val="285CCEB6"/>
    <w:lvl w:ilvl="0" w:tplc="B9F8E2A4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</w:abstractNum>
  <w:abstractNum w:abstractNumId="5" w15:restartNumberingAfterBreak="0">
    <w:nsid w:val="152D0658"/>
    <w:multiLevelType w:val="hybridMultilevel"/>
    <w:tmpl w:val="5A4C82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706E15"/>
    <w:multiLevelType w:val="hybridMultilevel"/>
    <w:tmpl w:val="0AB05B94"/>
    <w:lvl w:ilvl="0" w:tplc="D6F053D8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195516"/>
    <w:multiLevelType w:val="hybridMultilevel"/>
    <w:tmpl w:val="99585BCA"/>
    <w:lvl w:ilvl="0" w:tplc="E1BA4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DC6E06"/>
    <w:multiLevelType w:val="hybridMultilevel"/>
    <w:tmpl w:val="54F24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5EDB"/>
    <w:multiLevelType w:val="hybridMultilevel"/>
    <w:tmpl w:val="89E00092"/>
    <w:lvl w:ilvl="0" w:tplc="E4CADF5C">
      <w:start w:val="1"/>
      <w:numFmt w:val="decimal"/>
      <w:lvlText w:val="%1)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26BC8"/>
    <w:multiLevelType w:val="hybridMultilevel"/>
    <w:tmpl w:val="BAE6A570"/>
    <w:lvl w:ilvl="0" w:tplc="D0CE06F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D53218D"/>
    <w:multiLevelType w:val="hybridMultilevel"/>
    <w:tmpl w:val="90244E7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58601B82"/>
    <w:multiLevelType w:val="hybridMultilevel"/>
    <w:tmpl w:val="DC7CFC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2F63503"/>
    <w:multiLevelType w:val="hybridMultilevel"/>
    <w:tmpl w:val="D6CCD6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65D4778"/>
    <w:multiLevelType w:val="hybridMultilevel"/>
    <w:tmpl w:val="4CCE04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9C6FCF"/>
    <w:multiLevelType w:val="hybridMultilevel"/>
    <w:tmpl w:val="71F0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5"/>
  </w:num>
  <w:num w:numId="10">
    <w:abstractNumId w:val="2"/>
  </w:num>
  <w:num w:numId="11">
    <w:abstractNumId w:val="8"/>
  </w:num>
  <w:num w:numId="12">
    <w:abstractNumId w:val="13"/>
  </w:num>
  <w:num w:numId="13">
    <w:abstractNumId w:val="1"/>
  </w:num>
  <w:num w:numId="14">
    <w:abstractNumId w:val="14"/>
  </w:num>
  <w:num w:numId="15">
    <w:abstractNumId w:val="9"/>
  </w:num>
  <w:num w:numId="16">
    <w:abstractNumId w:val="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278"/>
    <w:rsid w:val="0000228C"/>
    <w:rsid w:val="000035B0"/>
    <w:rsid w:val="00004146"/>
    <w:rsid w:val="00006320"/>
    <w:rsid w:val="0000661F"/>
    <w:rsid w:val="00007A61"/>
    <w:rsid w:val="0001026D"/>
    <w:rsid w:val="00010B0A"/>
    <w:rsid w:val="00014D26"/>
    <w:rsid w:val="0001528C"/>
    <w:rsid w:val="00015588"/>
    <w:rsid w:val="00016A9C"/>
    <w:rsid w:val="00017353"/>
    <w:rsid w:val="00017482"/>
    <w:rsid w:val="00020B0D"/>
    <w:rsid w:val="00022B3B"/>
    <w:rsid w:val="00022E2A"/>
    <w:rsid w:val="00023A44"/>
    <w:rsid w:val="00026922"/>
    <w:rsid w:val="00027206"/>
    <w:rsid w:val="00027577"/>
    <w:rsid w:val="000337F6"/>
    <w:rsid w:val="00033925"/>
    <w:rsid w:val="00034DCA"/>
    <w:rsid w:val="0003532A"/>
    <w:rsid w:val="0003539D"/>
    <w:rsid w:val="00041499"/>
    <w:rsid w:val="00041DC1"/>
    <w:rsid w:val="00041FE3"/>
    <w:rsid w:val="00042FD4"/>
    <w:rsid w:val="00043204"/>
    <w:rsid w:val="000435E1"/>
    <w:rsid w:val="00043F8E"/>
    <w:rsid w:val="00044F46"/>
    <w:rsid w:val="00045A77"/>
    <w:rsid w:val="00052BF7"/>
    <w:rsid w:val="0005604B"/>
    <w:rsid w:val="0006057C"/>
    <w:rsid w:val="000607BC"/>
    <w:rsid w:val="00062502"/>
    <w:rsid w:val="0006410F"/>
    <w:rsid w:val="00066955"/>
    <w:rsid w:val="000675FF"/>
    <w:rsid w:val="00075972"/>
    <w:rsid w:val="000806D4"/>
    <w:rsid w:val="00081DC9"/>
    <w:rsid w:val="00082EF2"/>
    <w:rsid w:val="00084B08"/>
    <w:rsid w:val="00084EBA"/>
    <w:rsid w:val="00087945"/>
    <w:rsid w:val="0009075A"/>
    <w:rsid w:val="000908AB"/>
    <w:rsid w:val="00091185"/>
    <w:rsid w:val="00095185"/>
    <w:rsid w:val="000953AB"/>
    <w:rsid w:val="00095BEC"/>
    <w:rsid w:val="0009778B"/>
    <w:rsid w:val="000A0166"/>
    <w:rsid w:val="000A04C4"/>
    <w:rsid w:val="000A19D0"/>
    <w:rsid w:val="000A203B"/>
    <w:rsid w:val="000A4034"/>
    <w:rsid w:val="000A4E6F"/>
    <w:rsid w:val="000B0EFF"/>
    <w:rsid w:val="000B4857"/>
    <w:rsid w:val="000B5441"/>
    <w:rsid w:val="000B7722"/>
    <w:rsid w:val="000C06DC"/>
    <w:rsid w:val="000C1D5A"/>
    <w:rsid w:val="000C2AD2"/>
    <w:rsid w:val="000C441F"/>
    <w:rsid w:val="000C497E"/>
    <w:rsid w:val="000C4A32"/>
    <w:rsid w:val="000C5102"/>
    <w:rsid w:val="000C680E"/>
    <w:rsid w:val="000C79C7"/>
    <w:rsid w:val="000D2936"/>
    <w:rsid w:val="000D305B"/>
    <w:rsid w:val="000D3FCA"/>
    <w:rsid w:val="000D5266"/>
    <w:rsid w:val="000D6246"/>
    <w:rsid w:val="000E0DA1"/>
    <w:rsid w:val="000E12F0"/>
    <w:rsid w:val="000E3675"/>
    <w:rsid w:val="000E4E87"/>
    <w:rsid w:val="000F5A9A"/>
    <w:rsid w:val="000F792A"/>
    <w:rsid w:val="00101CF7"/>
    <w:rsid w:val="00104AF5"/>
    <w:rsid w:val="001063D4"/>
    <w:rsid w:val="00106CC5"/>
    <w:rsid w:val="001072DA"/>
    <w:rsid w:val="001075E3"/>
    <w:rsid w:val="001124B8"/>
    <w:rsid w:val="0011292D"/>
    <w:rsid w:val="001135BE"/>
    <w:rsid w:val="001169E4"/>
    <w:rsid w:val="00123597"/>
    <w:rsid w:val="001242F9"/>
    <w:rsid w:val="001251C7"/>
    <w:rsid w:val="00127F2A"/>
    <w:rsid w:val="0013432C"/>
    <w:rsid w:val="001357BE"/>
    <w:rsid w:val="00136500"/>
    <w:rsid w:val="001365D7"/>
    <w:rsid w:val="0013690E"/>
    <w:rsid w:val="001422C4"/>
    <w:rsid w:val="001424E4"/>
    <w:rsid w:val="001458E7"/>
    <w:rsid w:val="001479D7"/>
    <w:rsid w:val="001515A1"/>
    <w:rsid w:val="001542BE"/>
    <w:rsid w:val="0015780D"/>
    <w:rsid w:val="00164289"/>
    <w:rsid w:val="00166202"/>
    <w:rsid w:val="0016773D"/>
    <w:rsid w:val="001719B4"/>
    <w:rsid w:val="00172168"/>
    <w:rsid w:val="00173AC4"/>
    <w:rsid w:val="00174040"/>
    <w:rsid w:val="00185EA8"/>
    <w:rsid w:val="00192C42"/>
    <w:rsid w:val="00196A12"/>
    <w:rsid w:val="001978BC"/>
    <w:rsid w:val="00197A80"/>
    <w:rsid w:val="001A1528"/>
    <w:rsid w:val="001A2034"/>
    <w:rsid w:val="001A2DFE"/>
    <w:rsid w:val="001A2E23"/>
    <w:rsid w:val="001A444C"/>
    <w:rsid w:val="001A5B4B"/>
    <w:rsid w:val="001A6C2D"/>
    <w:rsid w:val="001A7C28"/>
    <w:rsid w:val="001B094F"/>
    <w:rsid w:val="001C27AE"/>
    <w:rsid w:val="001C3231"/>
    <w:rsid w:val="001C3389"/>
    <w:rsid w:val="001C4785"/>
    <w:rsid w:val="001C6F48"/>
    <w:rsid w:val="001D0833"/>
    <w:rsid w:val="001D356C"/>
    <w:rsid w:val="001D3B12"/>
    <w:rsid w:val="001D4F42"/>
    <w:rsid w:val="001D5D83"/>
    <w:rsid w:val="001D7E35"/>
    <w:rsid w:val="001E0D69"/>
    <w:rsid w:val="001E4F32"/>
    <w:rsid w:val="001E7143"/>
    <w:rsid w:val="001F0393"/>
    <w:rsid w:val="001F0BDB"/>
    <w:rsid w:val="001F36C4"/>
    <w:rsid w:val="001F4A84"/>
    <w:rsid w:val="001F6BE5"/>
    <w:rsid w:val="001F7140"/>
    <w:rsid w:val="00201F95"/>
    <w:rsid w:val="002031C8"/>
    <w:rsid w:val="00207C52"/>
    <w:rsid w:val="00210137"/>
    <w:rsid w:val="00211D57"/>
    <w:rsid w:val="00217638"/>
    <w:rsid w:val="00221722"/>
    <w:rsid w:val="00222690"/>
    <w:rsid w:val="002234E0"/>
    <w:rsid w:val="00223DA8"/>
    <w:rsid w:val="00224D18"/>
    <w:rsid w:val="002303A6"/>
    <w:rsid w:val="002315AF"/>
    <w:rsid w:val="00234694"/>
    <w:rsid w:val="0023533C"/>
    <w:rsid w:val="00242958"/>
    <w:rsid w:val="00242B17"/>
    <w:rsid w:val="00244E5C"/>
    <w:rsid w:val="0025062C"/>
    <w:rsid w:val="00253AB4"/>
    <w:rsid w:val="002543A2"/>
    <w:rsid w:val="002553C3"/>
    <w:rsid w:val="002553D4"/>
    <w:rsid w:val="00255A15"/>
    <w:rsid w:val="00256FA2"/>
    <w:rsid w:val="00261F1B"/>
    <w:rsid w:val="00263D59"/>
    <w:rsid w:val="002641CD"/>
    <w:rsid w:val="00264788"/>
    <w:rsid w:val="002657D0"/>
    <w:rsid w:val="00265C99"/>
    <w:rsid w:val="00267260"/>
    <w:rsid w:val="00267685"/>
    <w:rsid w:val="00272442"/>
    <w:rsid w:val="00272C22"/>
    <w:rsid w:val="00273DCE"/>
    <w:rsid w:val="00274371"/>
    <w:rsid w:val="00274FFC"/>
    <w:rsid w:val="00281D73"/>
    <w:rsid w:val="002825AB"/>
    <w:rsid w:val="00283043"/>
    <w:rsid w:val="00283A3C"/>
    <w:rsid w:val="00284ED4"/>
    <w:rsid w:val="00286D80"/>
    <w:rsid w:val="002875E5"/>
    <w:rsid w:val="00287A1A"/>
    <w:rsid w:val="00290E1B"/>
    <w:rsid w:val="00297F49"/>
    <w:rsid w:val="002A2A1E"/>
    <w:rsid w:val="002A5423"/>
    <w:rsid w:val="002A5A1D"/>
    <w:rsid w:val="002A7A47"/>
    <w:rsid w:val="002B0379"/>
    <w:rsid w:val="002B2F80"/>
    <w:rsid w:val="002B33EB"/>
    <w:rsid w:val="002B3C2F"/>
    <w:rsid w:val="002B51D3"/>
    <w:rsid w:val="002C1862"/>
    <w:rsid w:val="002C2421"/>
    <w:rsid w:val="002C44DC"/>
    <w:rsid w:val="002C766E"/>
    <w:rsid w:val="002D06EB"/>
    <w:rsid w:val="002D42E9"/>
    <w:rsid w:val="002D4D59"/>
    <w:rsid w:val="002E0669"/>
    <w:rsid w:val="002E0F8A"/>
    <w:rsid w:val="002E32E1"/>
    <w:rsid w:val="002E48FF"/>
    <w:rsid w:val="002E73C7"/>
    <w:rsid w:val="002F7D0D"/>
    <w:rsid w:val="00301861"/>
    <w:rsid w:val="00305D9C"/>
    <w:rsid w:val="0030643F"/>
    <w:rsid w:val="003109E6"/>
    <w:rsid w:val="003126F3"/>
    <w:rsid w:val="003129D5"/>
    <w:rsid w:val="00316F5D"/>
    <w:rsid w:val="00322D77"/>
    <w:rsid w:val="00323480"/>
    <w:rsid w:val="0032633D"/>
    <w:rsid w:val="003301D8"/>
    <w:rsid w:val="00332091"/>
    <w:rsid w:val="00332D1B"/>
    <w:rsid w:val="003339CB"/>
    <w:rsid w:val="00333B18"/>
    <w:rsid w:val="00333EE5"/>
    <w:rsid w:val="00337771"/>
    <w:rsid w:val="00341C5B"/>
    <w:rsid w:val="00347C62"/>
    <w:rsid w:val="00350C67"/>
    <w:rsid w:val="003511B1"/>
    <w:rsid w:val="00353615"/>
    <w:rsid w:val="0035565A"/>
    <w:rsid w:val="00355EF1"/>
    <w:rsid w:val="00357BB3"/>
    <w:rsid w:val="0036221F"/>
    <w:rsid w:val="00362A01"/>
    <w:rsid w:val="00365EC6"/>
    <w:rsid w:val="00366AF4"/>
    <w:rsid w:val="00370C4F"/>
    <w:rsid w:val="00371177"/>
    <w:rsid w:val="00372256"/>
    <w:rsid w:val="00375949"/>
    <w:rsid w:val="00377754"/>
    <w:rsid w:val="00381D72"/>
    <w:rsid w:val="00381E05"/>
    <w:rsid w:val="003820F3"/>
    <w:rsid w:val="003830F3"/>
    <w:rsid w:val="00383192"/>
    <w:rsid w:val="00383A48"/>
    <w:rsid w:val="00383A6C"/>
    <w:rsid w:val="003842BE"/>
    <w:rsid w:val="003842D6"/>
    <w:rsid w:val="00385A1D"/>
    <w:rsid w:val="00386BD2"/>
    <w:rsid w:val="00386E61"/>
    <w:rsid w:val="00387FFC"/>
    <w:rsid w:val="00391780"/>
    <w:rsid w:val="00391B96"/>
    <w:rsid w:val="00393FCD"/>
    <w:rsid w:val="0039504A"/>
    <w:rsid w:val="0039527B"/>
    <w:rsid w:val="003960EF"/>
    <w:rsid w:val="003967CE"/>
    <w:rsid w:val="0039717A"/>
    <w:rsid w:val="003A05F9"/>
    <w:rsid w:val="003A25C0"/>
    <w:rsid w:val="003A4A5D"/>
    <w:rsid w:val="003B3908"/>
    <w:rsid w:val="003C6FA6"/>
    <w:rsid w:val="003E2071"/>
    <w:rsid w:val="003E61A2"/>
    <w:rsid w:val="003E6AD0"/>
    <w:rsid w:val="003F01BE"/>
    <w:rsid w:val="003F0396"/>
    <w:rsid w:val="003F19E8"/>
    <w:rsid w:val="003F23C4"/>
    <w:rsid w:val="003F34D5"/>
    <w:rsid w:val="003F76BC"/>
    <w:rsid w:val="004005AF"/>
    <w:rsid w:val="004008C4"/>
    <w:rsid w:val="004028FB"/>
    <w:rsid w:val="00402AD5"/>
    <w:rsid w:val="00403B6B"/>
    <w:rsid w:val="00410761"/>
    <w:rsid w:val="004141CA"/>
    <w:rsid w:val="00420252"/>
    <w:rsid w:val="00424536"/>
    <w:rsid w:val="004314E9"/>
    <w:rsid w:val="004317BE"/>
    <w:rsid w:val="004319CE"/>
    <w:rsid w:val="00432A12"/>
    <w:rsid w:val="00432F2F"/>
    <w:rsid w:val="0043332F"/>
    <w:rsid w:val="00447094"/>
    <w:rsid w:val="004509EB"/>
    <w:rsid w:val="00451012"/>
    <w:rsid w:val="00452147"/>
    <w:rsid w:val="0045354F"/>
    <w:rsid w:val="00454789"/>
    <w:rsid w:val="00460AD9"/>
    <w:rsid w:val="004610C3"/>
    <w:rsid w:val="0046518B"/>
    <w:rsid w:val="00471E33"/>
    <w:rsid w:val="00474B91"/>
    <w:rsid w:val="004755FC"/>
    <w:rsid w:val="0047577B"/>
    <w:rsid w:val="00480894"/>
    <w:rsid w:val="004831C2"/>
    <w:rsid w:val="0048381D"/>
    <w:rsid w:val="004846D6"/>
    <w:rsid w:val="00484868"/>
    <w:rsid w:val="00484D01"/>
    <w:rsid w:val="004861EC"/>
    <w:rsid w:val="00486A5D"/>
    <w:rsid w:val="00487D78"/>
    <w:rsid w:val="00491577"/>
    <w:rsid w:val="00495E2C"/>
    <w:rsid w:val="00497844"/>
    <w:rsid w:val="004A0BE2"/>
    <w:rsid w:val="004A340C"/>
    <w:rsid w:val="004A3EE6"/>
    <w:rsid w:val="004A414C"/>
    <w:rsid w:val="004A4FD3"/>
    <w:rsid w:val="004A7B69"/>
    <w:rsid w:val="004B11C4"/>
    <w:rsid w:val="004B1463"/>
    <w:rsid w:val="004B23E4"/>
    <w:rsid w:val="004B67FA"/>
    <w:rsid w:val="004B717F"/>
    <w:rsid w:val="004C03C5"/>
    <w:rsid w:val="004C70AF"/>
    <w:rsid w:val="004C7734"/>
    <w:rsid w:val="004D001A"/>
    <w:rsid w:val="004D17CA"/>
    <w:rsid w:val="004D19C4"/>
    <w:rsid w:val="004D6F3C"/>
    <w:rsid w:val="004E059D"/>
    <w:rsid w:val="004E174D"/>
    <w:rsid w:val="004E21E9"/>
    <w:rsid w:val="004E4110"/>
    <w:rsid w:val="004E4580"/>
    <w:rsid w:val="004E4FA7"/>
    <w:rsid w:val="004E584F"/>
    <w:rsid w:val="004E5C81"/>
    <w:rsid w:val="004E5D4D"/>
    <w:rsid w:val="004E60D2"/>
    <w:rsid w:val="004E7963"/>
    <w:rsid w:val="004F4514"/>
    <w:rsid w:val="004F4B1A"/>
    <w:rsid w:val="004F4B98"/>
    <w:rsid w:val="004F5331"/>
    <w:rsid w:val="004F5534"/>
    <w:rsid w:val="00500FC1"/>
    <w:rsid w:val="00502693"/>
    <w:rsid w:val="00503757"/>
    <w:rsid w:val="00504A65"/>
    <w:rsid w:val="005050A4"/>
    <w:rsid w:val="00506C7F"/>
    <w:rsid w:val="00506DD0"/>
    <w:rsid w:val="00507ABC"/>
    <w:rsid w:val="00507BF9"/>
    <w:rsid w:val="00516E60"/>
    <w:rsid w:val="00525F47"/>
    <w:rsid w:val="00527AA0"/>
    <w:rsid w:val="0053131A"/>
    <w:rsid w:val="005329CE"/>
    <w:rsid w:val="005348B4"/>
    <w:rsid w:val="0053575B"/>
    <w:rsid w:val="005376CA"/>
    <w:rsid w:val="00537A88"/>
    <w:rsid w:val="00540C56"/>
    <w:rsid w:val="0054131C"/>
    <w:rsid w:val="00544B40"/>
    <w:rsid w:val="00545B6B"/>
    <w:rsid w:val="00551709"/>
    <w:rsid w:val="005520B0"/>
    <w:rsid w:val="00554591"/>
    <w:rsid w:val="005566CF"/>
    <w:rsid w:val="005602B7"/>
    <w:rsid w:val="00560DA8"/>
    <w:rsid w:val="00561D14"/>
    <w:rsid w:val="00562DAD"/>
    <w:rsid w:val="005664BC"/>
    <w:rsid w:val="00573C49"/>
    <w:rsid w:val="005748EB"/>
    <w:rsid w:val="005753E0"/>
    <w:rsid w:val="005772A4"/>
    <w:rsid w:val="00581471"/>
    <w:rsid w:val="00582D8D"/>
    <w:rsid w:val="00582E38"/>
    <w:rsid w:val="00590A02"/>
    <w:rsid w:val="00592984"/>
    <w:rsid w:val="005951F3"/>
    <w:rsid w:val="00595DAF"/>
    <w:rsid w:val="00597629"/>
    <w:rsid w:val="00597B36"/>
    <w:rsid w:val="00597EC7"/>
    <w:rsid w:val="005A0DE1"/>
    <w:rsid w:val="005A3A35"/>
    <w:rsid w:val="005A4E1D"/>
    <w:rsid w:val="005A5160"/>
    <w:rsid w:val="005B173E"/>
    <w:rsid w:val="005B25A3"/>
    <w:rsid w:val="005B25D6"/>
    <w:rsid w:val="005B2E45"/>
    <w:rsid w:val="005B31FB"/>
    <w:rsid w:val="005B36AB"/>
    <w:rsid w:val="005B3804"/>
    <w:rsid w:val="005B7F0A"/>
    <w:rsid w:val="005C3310"/>
    <w:rsid w:val="005C3F19"/>
    <w:rsid w:val="005C42CB"/>
    <w:rsid w:val="005C4AC1"/>
    <w:rsid w:val="005C6DC5"/>
    <w:rsid w:val="005D246C"/>
    <w:rsid w:val="005D2B03"/>
    <w:rsid w:val="005D5AE9"/>
    <w:rsid w:val="005D7226"/>
    <w:rsid w:val="005D7261"/>
    <w:rsid w:val="005E1480"/>
    <w:rsid w:val="005E2A3F"/>
    <w:rsid w:val="005E4A2C"/>
    <w:rsid w:val="005E5D51"/>
    <w:rsid w:val="005F279C"/>
    <w:rsid w:val="005F3C4F"/>
    <w:rsid w:val="005F4A58"/>
    <w:rsid w:val="005F7B2D"/>
    <w:rsid w:val="00601CA8"/>
    <w:rsid w:val="0060470C"/>
    <w:rsid w:val="0061068E"/>
    <w:rsid w:val="0061087E"/>
    <w:rsid w:val="00613F70"/>
    <w:rsid w:val="0062069F"/>
    <w:rsid w:val="0062355D"/>
    <w:rsid w:val="00626D0C"/>
    <w:rsid w:val="00630BF1"/>
    <w:rsid w:val="00631B20"/>
    <w:rsid w:val="00634620"/>
    <w:rsid w:val="006351B3"/>
    <w:rsid w:val="00636AD7"/>
    <w:rsid w:val="006415E0"/>
    <w:rsid w:val="00642E68"/>
    <w:rsid w:val="006461FE"/>
    <w:rsid w:val="00652250"/>
    <w:rsid w:val="00652359"/>
    <w:rsid w:val="00655FAC"/>
    <w:rsid w:val="00660CAB"/>
    <w:rsid w:val="0066704C"/>
    <w:rsid w:val="006704BE"/>
    <w:rsid w:val="006735C5"/>
    <w:rsid w:val="0067454A"/>
    <w:rsid w:val="00675E9E"/>
    <w:rsid w:val="00676F11"/>
    <w:rsid w:val="0068349C"/>
    <w:rsid w:val="00683D86"/>
    <w:rsid w:val="00685176"/>
    <w:rsid w:val="00686658"/>
    <w:rsid w:val="0068722B"/>
    <w:rsid w:val="006904B3"/>
    <w:rsid w:val="006904EE"/>
    <w:rsid w:val="0069360A"/>
    <w:rsid w:val="00694A88"/>
    <w:rsid w:val="006978B6"/>
    <w:rsid w:val="006A0CAB"/>
    <w:rsid w:val="006A35B9"/>
    <w:rsid w:val="006A3898"/>
    <w:rsid w:val="006A54AB"/>
    <w:rsid w:val="006A6FE5"/>
    <w:rsid w:val="006B3425"/>
    <w:rsid w:val="006B3C4F"/>
    <w:rsid w:val="006B5748"/>
    <w:rsid w:val="006B6D9C"/>
    <w:rsid w:val="006C0A80"/>
    <w:rsid w:val="006C1DAE"/>
    <w:rsid w:val="006C2726"/>
    <w:rsid w:val="006C2E78"/>
    <w:rsid w:val="006C4783"/>
    <w:rsid w:val="006C4FBC"/>
    <w:rsid w:val="006C57B6"/>
    <w:rsid w:val="006C75E8"/>
    <w:rsid w:val="006D1ECE"/>
    <w:rsid w:val="006D3803"/>
    <w:rsid w:val="006D5DA4"/>
    <w:rsid w:val="006D655D"/>
    <w:rsid w:val="006D733E"/>
    <w:rsid w:val="006D791F"/>
    <w:rsid w:val="006E0A3A"/>
    <w:rsid w:val="006E154B"/>
    <w:rsid w:val="006E19A7"/>
    <w:rsid w:val="006E3533"/>
    <w:rsid w:val="006F0452"/>
    <w:rsid w:val="006F1263"/>
    <w:rsid w:val="006F2E77"/>
    <w:rsid w:val="006F2EC9"/>
    <w:rsid w:val="00700334"/>
    <w:rsid w:val="007022FC"/>
    <w:rsid w:val="00705269"/>
    <w:rsid w:val="00706F66"/>
    <w:rsid w:val="007072CA"/>
    <w:rsid w:val="00707B60"/>
    <w:rsid w:val="00710E48"/>
    <w:rsid w:val="00712690"/>
    <w:rsid w:val="007127A3"/>
    <w:rsid w:val="00714D5B"/>
    <w:rsid w:val="00715AF1"/>
    <w:rsid w:val="00717C60"/>
    <w:rsid w:val="00721B9C"/>
    <w:rsid w:val="00722946"/>
    <w:rsid w:val="00722E34"/>
    <w:rsid w:val="00726362"/>
    <w:rsid w:val="0073099F"/>
    <w:rsid w:val="007318E1"/>
    <w:rsid w:val="00732A47"/>
    <w:rsid w:val="007349AB"/>
    <w:rsid w:val="007354A0"/>
    <w:rsid w:val="0073587A"/>
    <w:rsid w:val="007361C4"/>
    <w:rsid w:val="00736477"/>
    <w:rsid w:val="007377B7"/>
    <w:rsid w:val="00740B6F"/>
    <w:rsid w:val="007424F0"/>
    <w:rsid w:val="00745873"/>
    <w:rsid w:val="00752EBB"/>
    <w:rsid w:val="00753340"/>
    <w:rsid w:val="00761FFB"/>
    <w:rsid w:val="0076461D"/>
    <w:rsid w:val="007659D7"/>
    <w:rsid w:val="0076749D"/>
    <w:rsid w:val="0077090B"/>
    <w:rsid w:val="00770A85"/>
    <w:rsid w:val="00775B3A"/>
    <w:rsid w:val="00776330"/>
    <w:rsid w:val="00781819"/>
    <w:rsid w:val="00786201"/>
    <w:rsid w:val="0078787E"/>
    <w:rsid w:val="0078793B"/>
    <w:rsid w:val="007927A2"/>
    <w:rsid w:val="0079357C"/>
    <w:rsid w:val="00794F97"/>
    <w:rsid w:val="0079511F"/>
    <w:rsid w:val="00796E02"/>
    <w:rsid w:val="007A2CAE"/>
    <w:rsid w:val="007A31B0"/>
    <w:rsid w:val="007A34D8"/>
    <w:rsid w:val="007A51C2"/>
    <w:rsid w:val="007A730C"/>
    <w:rsid w:val="007B3CA4"/>
    <w:rsid w:val="007B41DA"/>
    <w:rsid w:val="007B5E37"/>
    <w:rsid w:val="007B6EC8"/>
    <w:rsid w:val="007C104C"/>
    <w:rsid w:val="007C3A69"/>
    <w:rsid w:val="007C3CCC"/>
    <w:rsid w:val="007C4960"/>
    <w:rsid w:val="007C5924"/>
    <w:rsid w:val="007D0ECD"/>
    <w:rsid w:val="007D11FB"/>
    <w:rsid w:val="007D1C17"/>
    <w:rsid w:val="007D3877"/>
    <w:rsid w:val="007D3ABD"/>
    <w:rsid w:val="007D499F"/>
    <w:rsid w:val="007D4BCC"/>
    <w:rsid w:val="007D64FD"/>
    <w:rsid w:val="007E235F"/>
    <w:rsid w:val="007E5E92"/>
    <w:rsid w:val="007F02D1"/>
    <w:rsid w:val="007F0714"/>
    <w:rsid w:val="007F0AE5"/>
    <w:rsid w:val="007F2157"/>
    <w:rsid w:val="007F3081"/>
    <w:rsid w:val="007F3F97"/>
    <w:rsid w:val="007F40D2"/>
    <w:rsid w:val="007F4599"/>
    <w:rsid w:val="007F68DB"/>
    <w:rsid w:val="007F6BE4"/>
    <w:rsid w:val="00800754"/>
    <w:rsid w:val="0080305F"/>
    <w:rsid w:val="00804F35"/>
    <w:rsid w:val="00807858"/>
    <w:rsid w:val="0081109C"/>
    <w:rsid w:val="00811FD9"/>
    <w:rsid w:val="00815B48"/>
    <w:rsid w:val="0081688F"/>
    <w:rsid w:val="00816915"/>
    <w:rsid w:val="008211AC"/>
    <w:rsid w:val="00821A31"/>
    <w:rsid w:val="00823647"/>
    <w:rsid w:val="008257B0"/>
    <w:rsid w:val="00825EBA"/>
    <w:rsid w:val="00827091"/>
    <w:rsid w:val="008275E9"/>
    <w:rsid w:val="008321B0"/>
    <w:rsid w:val="00835D04"/>
    <w:rsid w:val="00840A88"/>
    <w:rsid w:val="00840AF2"/>
    <w:rsid w:val="00841C69"/>
    <w:rsid w:val="008429C7"/>
    <w:rsid w:val="0084379D"/>
    <w:rsid w:val="008526F1"/>
    <w:rsid w:val="00852FE1"/>
    <w:rsid w:val="00853AC5"/>
    <w:rsid w:val="008554EC"/>
    <w:rsid w:val="00855816"/>
    <w:rsid w:val="008569C6"/>
    <w:rsid w:val="008569FF"/>
    <w:rsid w:val="0085789D"/>
    <w:rsid w:val="00861D02"/>
    <w:rsid w:val="00864B4D"/>
    <w:rsid w:val="00865331"/>
    <w:rsid w:val="0087044A"/>
    <w:rsid w:val="008704B3"/>
    <w:rsid w:val="0087163B"/>
    <w:rsid w:val="008726BB"/>
    <w:rsid w:val="00873D5B"/>
    <w:rsid w:val="00874BD4"/>
    <w:rsid w:val="00874E9C"/>
    <w:rsid w:val="00880C21"/>
    <w:rsid w:val="008811B2"/>
    <w:rsid w:val="00883E2F"/>
    <w:rsid w:val="00886A46"/>
    <w:rsid w:val="00891883"/>
    <w:rsid w:val="00891A85"/>
    <w:rsid w:val="00893D64"/>
    <w:rsid w:val="0089539A"/>
    <w:rsid w:val="00897986"/>
    <w:rsid w:val="008A049C"/>
    <w:rsid w:val="008A1313"/>
    <w:rsid w:val="008A3EF8"/>
    <w:rsid w:val="008A4DD7"/>
    <w:rsid w:val="008A5D3F"/>
    <w:rsid w:val="008A6BBC"/>
    <w:rsid w:val="008B5100"/>
    <w:rsid w:val="008B6BBF"/>
    <w:rsid w:val="008C0092"/>
    <w:rsid w:val="008C0B34"/>
    <w:rsid w:val="008C1A52"/>
    <w:rsid w:val="008C34B0"/>
    <w:rsid w:val="008C67CE"/>
    <w:rsid w:val="008C7309"/>
    <w:rsid w:val="008D0334"/>
    <w:rsid w:val="008D1930"/>
    <w:rsid w:val="008D19A3"/>
    <w:rsid w:val="008D286E"/>
    <w:rsid w:val="008D54D9"/>
    <w:rsid w:val="008D56D9"/>
    <w:rsid w:val="008D57B6"/>
    <w:rsid w:val="008E173D"/>
    <w:rsid w:val="008E330D"/>
    <w:rsid w:val="008E5037"/>
    <w:rsid w:val="008E7761"/>
    <w:rsid w:val="008E7987"/>
    <w:rsid w:val="008F47CA"/>
    <w:rsid w:val="008F646F"/>
    <w:rsid w:val="00902885"/>
    <w:rsid w:val="00903CC6"/>
    <w:rsid w:val="00906521"/>
    <w:rsid w:val="009070DA"/>
    <w:rsid w:val="00911A87"/>
    <w:rsid w:val="00912FAC"/>
    <w:rsid w:val="00916F24"/>
    <w:rsid w:val="00922367"/>
    <w:rsid w:val="009305E3"/>
    <w:rsid w:val="009315EF"/>
    <w:rsid w:val="00931CE2"/>
    <w:rsid w:val="00934731"/>
    <w:rsid w:val="00936CF8"/>
    <w:rsid w:val="00942DA0"/>
    <w:rsid w:val="0094387E"/>
    <w:rsid w:val="00943BFC"/>
    <w:rsid w:val="00945A62"/>
    <w:rsid w:val="00950AA0"/>
    <w:rsid w:val="009547BE"/>
    <w:rsid w:val="009547E1"/>
    <w:rsid w:val="009548E3"/>
    <w:rsid w:val="00954B80"/>
    <w:rsid w:val="009577C2"/>
    <w:rsid w:val="00957855"/>
    <w:rsid w:val="009632C9"/>
    <w:rsid w:val="009675FE"/>
    <w:rsid w:val="009701B5"/>
    <w:rsid w:val="00973A63"/>
    <w:rsid w:val="009822FE"/>
    <w:rsid w:val="00987BB7"/>
    <w:rsid w:val="009901BF"/>
    <w:rsid w:val="00990920"/>
    <w:rsid w:val="00992C5C"/>
    <w:rsid w:val="00992E78"/>
    <w:rsid w:val="00995696"/>
    <w:rsid w:val="00996608"/>
    <w:rsid w:val="009A190C"/>
    <w:rsid w:val="009A3107"/>
    <w:rsid w:val="009A3AED"/>
    <w:rsid w:val="009A4617"/>
    <w:rsid w:val="009A4865"/>
    <w:rsid w:val="009A6AEE"/>
    <w:rsid w:val="009B1A35"/>
    <w:rsid w:val="009B610D"/>
    <w:rsid w:val="009B6171"/>
    <w:rsid w:val="009B662F"/>
    <w:rsid w:val="009B69BB"/>
    <w:rsid w:val="009C2D28"/>
    <w:rsid w:val="009C6B6B"/>
    <w:rsid w:val="009D1653"/>
    <w:rsid w:val="009D2F11"/>
    <w:rsid w:val="009D363C"/>
    <w:rsid w:val="009D4102"/>
    <w:rsid w:val="009D51C5"/>
    <w:rsid w:val="009D53A1"/>
    <w:rsid w:val="009E110F"/>
    <w:rsid w:val="009E212E"/>
    <w:rsid w:val="009E7C61"/>
    <w:rsid w:val="009F30C4"/>
    <w:rsid w:val="009F456C"/>
    <w:rsid w:val="009F5F85"/>
    <w:rsid w:val="009F7048"/>
    <w:rsid w:val="009F73AC"/>
    <w:rsid w:val="009F77B7"/>
    <w:rsid w:val="00A0110C"/>
    <w:rsid w:val="00A03B92"/>
    <w:rsid w:val="00A046EA"/>
    <w:rsid w:val="00A11B81"/>
    <w:rsid w:val="00A1243E"/>
    <w:rsid w:val="00A12E90"/>
    <w:rsid w:val="00A12EF1"/>
    <w:rsid w:val="00A17AD5"/>
    <w:rsid w:val="00A20D69"/>
    <w:rsid w:val="00A2240A"/>
    <w:rsid w:val="00A274D7"/>
    <w:rsid w:val="00A27D5B"/>
    <w:rsid w:val="00A3374C"/>
    <w:rsid w:val="00A339B6"/>
    <w:rsid w:val="00A3600E"/>
    <w:rsid w:val="00A36CBC"/>
    <w:rsid w:val="00A401B1"/>
    <w:rsid w:val="00A411A0"/>
    <w:rsid w:val="00A411EF"/>
    <w:rsid w:val="00A41814"/>
    <w:rsid w:val="00A4299E"/>
    <w:rsid w:val="00A4391D"/>
    <w:rsid w:val="00A43E79"/>
    <w:rsid w:val="00A446FF"/>
    <w:rsid w:val="00A44826"/>
    <w:rsid w:val="00A47034"/>
    <w:rsid w:val="00A47068"/>
    <w:rsid w:val="00A47347"/>
    <w:rsid w:val="00A54012"/>
    <w:rsid w:val="00A567A1"/>
    <w:rsid w:val="00A56BDF"/>
    <w:rsid w:val="00A577D2"/>
    <w:rsid w:val="00A60A75"/>
    <w:rsid w:val="00A81CA1"/>
    <w:rsid w:val="00A81FE4"/>
    <w:rsid w:val="00A82793"/>
    <w:rsid w:val="00A83DAE"/>
    <w:rsid w:val="00A875D2"/>
    <w:rsid w:val="00A92B22"/>
    <w:rsid w:val="00A94D51"/>
    <w:rsid w:val="00A96BF9"/>
    <w:rsid w:val="00AA16C2"/>
    <w:rsid w:val="00AA47A8"/>
    <w:rsid w:val="00AA7D79"/>
    <w:rsid w:val="00AB02EE"/>
    <w:rsid w:val="00AB0572"/>
    <w:rsid w:val="00AB21C4"/>
    <w:rsid w:val="00AB545B"/>
    <w:rsid w:val="00AB5AFF"/>
    <w:rsid w:val="00AB6666"/>
    <w:rsid w:val="00AB6AD5"/>
    <w:rsid w:val="00AC13C9"/>
    <w:rsid w:val="00AC484F"/>
    <w:rsid w:val="00AC732E"/>
    <w:rsid w:val="00AD651F"/>
    <w:rsid w:val="00AD729B"/>
    <w:rsid w:val="00AE0514"/>
    <w:rsid w:val="00AE363B"/>
    <w:rsid w:val="00AE4AB9"/>
    <w:rsid w:val="00AF302B"/>
    <w:rsid w:val="00AF6E4A"/>
    <w:rsid w:val="00B01173"/>
    <w:rsid w:val="00B014D1"/>
    <w:rsid w:val="00B021B0"/>
    <w:rsid w:val="00B05830"/>
    <w:rsid w:val="00B061BB"/>
    <w:rsid w:val="00B074ED"/>
    <w:rsid w:val="00B10C9F"/>
    <w:rsid w:val="00B13B5D"/>
    <w:rsid w:val="00B14CC5"/>
    <w:rsid w:val="00B1565C"/>
    <w:rsid w:val="00B15F28"/>
    <w:rsid w:val="00B21320"/>
    <w:rsid w:val="00B21FE5"/>
    <w:rsid w:val="00B261D5"/>
    <w:rsid w:val="00B3080C"/>
    <w:rsid w:val="00B32132"/>
    <w:rsid w:val="00B336CA"/>
    <w:rsid w:val="00B37017"/>
    <w:rsid w:val="00B37924"/>
    <w:rsid w:val="00B37DE2"/>
    <w:rsid w:val="00B41853"/>
    <w:rsid w:val="00B423D8"/>
    <w:rsid w:val="00B4398B"/>
    <w:rsid w:val="00B441AB"/>
    <w:rsid w:val="00B451F0"/>
    <w:rsid w:val="00B522FE"/>
    <w:rsid w:val="00B542B3"/>
    <w:rsid w:val="00B542B8"/>
    <w:rsid w:val="00B5486C"/>
    <w:rsid w:val="00B60B11"/>
    <w:rsid w:val="00B62233"/>
    <w:rsid w:val="00B63D2D"/>
    <w:rsid w:val="00B708C4"/>
    <w:rsid w:val="00B7220C"/>
    <w:rsid w:val="00B77107"/>
    <w:rsid w:val="00B8232D"/>
    <w:rsid w:val="00B826C7"/>
    <w:rsid w:val="00B828CE"/>
    <w:rsid w:val="00B84934"/>
    <w:rsid w:val="00B90C7F"/>
    <w:rsid w:val="00B916EB"/>
    <w:rsid w:val="00B92125"/>
    <w:rsid w:val="00B93997"/>
    <w:rsid w:val="00B96AA9"/>
    <w:rsid w:val="00BA501E"/>
    <w:rsid w:val="00BB14C6"/>
    <w:rsid w:val="00BB24AF"/>
    <w:rsid w:val="00BB6B01"/>
    <w:rsid w:val="00BB722C"/>
    <w:rsid w:val="00BC298B"/>
    <w:rsid w:val="00BC48A3"/>
    <w:rsid w:val="00BC61E5"/>
    <w:rsid w:val="00BC6D62"/>
    <w:rsid w:val="00BC7AA7"/>
    <w:rsid w:val="00BD1577"/>
    <w:rsid w:val="00BD676D"/>
    <w:rsid w:val="00BD6A61"/>
    <w:rsid w:val="00BD6FBD"/>
    <w:rsid w:val="00BD70B2"/>
    <w:rsid w:val="00BD70F7"/>
    <w:rsid w:val="00BE0CAA"/>
    <w:rsid w:val="00BE1A46"/>
    <w:rsid w:val="00BE4B2A"/>
    <w:rsid w:val="00BE735C"/>
    <w:rsid w:val="00BF13A4"/>
    <w:rsid w:val="00BF221C"/>
    <w:rsid w:val="00BF6245"/>
    <w:rsid w:val="00BF6E94"/>
    <w:rsid w:val="00C03726"/>
    <w:rsid w:val="00C0391F"/>
    <w:rsid w:val="00C04811"/>
    <w:rsid w:val="00C07037"/>
    <w:rsid w:val="00C07A8A"/>
    <w:rsid w:val="00C12164"/>
    <w:rsid w:val="00C138B3"/>
    <w:rsid w:val="00C14EC5"/>
    <w:rsid w:val="00C1598F"/>
    <w:rsid w:val="00C16ADE"/>
    <w:rsid w:val="00C17930"/>
    <w:rsid w:val="00C23208"/>
    <w:rsid w:val="00C2468D"/>
    <w:rsid w:val="00C24DCF"/>
    <w:rsid w:val="00C27F9B"/>
    <w:rsid w:val="00C31508"/>
    <w:rsid w:val="00C317A3"/>
    <w:rsid w:val="00C3272E"/>
    <w:rsid w:val="00C35663"/>
    <w:rsid w:val="00C459D4"/>
    <w:rsid w:val="00C46599"/>
    <w:rsid w:val="00C53E18"/>
    <w:rsid w:val="00C53E4E"/>
    <w:rsid w:val="00C54118"/>
    <w:rsid w:val="00C54BE3"/>
    <w:rsid w:val="00C60DAE"/>
    <w:rsid w:val="00C6247F"/>
    <w:rsid w:val="00C642F7"/>
    <w:rsid w:val="00C64832"/>
    <w:rsid w:val="00C6556A"/>
    <w:rsid w:val="00C66FCD"/>
    <w:rsid w:val="00C6707E"/>
    <w:rsid w:val="00C67C15"/>
    <w:rsid w:val="00C703F5"/>
    <w:rsid w:val="00C717B3"/>
    <w:rsid w:val="00C738A1"/>
    <w:rsid w:val="00C76CD0"/>
    <w:rsid w:val="00C77997"/>
    <w:rsid w:val="00C80A3D"/>
    <w:rsid w:val="00C908D9"/>
    <w:rsid w:val="00C910CF"/>
    <w:rsid w:val="00C9164B"/>
    <w:rsid w:val="00C92F1F"/>
    <w:rsid w:val="00C95078"/>
    <w:rsid w:val="00C9561B"/>
    <w:rsid w:val="00C95824"/>
    <w:rsid w:val="00C95E91"/>
    <w:rsid w:val="00CA5679"/>
    <w:rsid w:val="00CA79DE"/>
    <w:rsid w:val="00CB0772"/>
    <w:rsid w:val="00CB0A6E"/>
    <w:rsid w:val="00CB1303"/>
    <w:rsid w:val="00CB17F2"/>
    <w:rsid w:val="00CB3D19"/>
    <w:rsid w:val="00CB40C4"/>
    <w:rsid w:val="00CB47CC"/>
    <w:rsid w:val="00CB4B47"/>
    <w:rsid w:val="00CB5C20"/>
    <w:rsid w:val="00CB67A9"/>
    <w:rsid w:val="00CB7E17"/>
    <w:rsid w:val="00CC07B2"/>
    <w:rsid w:val="00CC1985"/>
    <w:rsid w:val="00CC30B6"/>
    <w:rsid w:val="00CC589F"/>
    <w:rsid w:val="00CC63D5"/>
    <w:rsid w:val="00CC79E3"/>
    <w:rsid w:val="00CD14A6"/>
    <w:rsid w:val="00CD3275"/>
    <w:rsid w:val="00CD4CFA"/>
    <w:rsid w:val="00CE1F8E"/>
    <w:rsid w:val="00CE47F0"/>
    <w:rsid w:val="00CE4E82"/>
    <w:rsid w:val="00CF0F61"/>
    <w:rsid w:val="00CF4F7C"/>
    <w:rsid w:val="00CF7885"/>
    <w:rsid w:val="00D0320C"/>
    <w:rsid w:val="00D042DA"/>
    <w:rsid w:val="00D053E1"/>
    <w:rsid w:val="00D07502"/>
    <w:rsid w:val="00D07B24"/>
    <w:rsid w:val="00D102D4"/>
    <w:rsid w:val="00D10342"/>
    <w:rsid w:val="00D11447"/>
    <w:rsid w:val="00D12AF0"/>
    <w:rsid w:val="00D17284"/>
    <w:rsid w:val="00D215C6"/>
    <w:rsid w:val="00D22534"/>
    <w:rsid w:val="00D23F5C"/>
    <w:rsid w:val="00D24DA8"/>
    <w:rsid w:val="00D25C68"/>
    <w:rsid w:val="00D3299B"/>
    <w:rsid w:val="00D339B7"/>
    <w:rsid w:val="00D3620E"/>
    <w:rsid w:val="00D37557"/>
    <w:rsid w:val="00D43C17"/>
    <w:rsid w:val="00D44433"/>
    <w:rsid w:val="00D47A11"/>
    <w:rsid w:val="00D508EF"/>
    <w:rsid w:val="00D52B10"/>
    <w:rsid w:val="00D566EF"/>
    <w:rsid w:val="00D57692"/>
    <w:rsid w:val="00D602F7"/>
    <w:rsid w:val="00D63384"/>
    <w:rsid w:val="00D64FCF"/>
    <w:rsid w:val="00D6508D"/>
    <w:rsid w:val="00D730A9"/>
    <w:rsid w:val="00D747A7"/>
    <w:rsid w:val="00D75BAA"/>
    <w:rsid w:val="00D76085"/>
    <w:rsid w:val="00D76AF1"/>
    <w:rsid w:val="00D834E3"/>
    <w:rsid w:val="00D85D6B"/>
    <w:rsid w:val="00D8608E"/>
    <w:rsid w:val="00D8683E"/>
    <w:rsid w:val="00D869B6"/>
    <w:rsid w:val="00D8733D"/>
    <w:rsid w:val="00D875D0"/>
    <w:rsid w:val="00D87C5C"/>
    <w:rsid w:val="00D91D4C"/>
    <w:rsid w:val="00D91E2C"/>
    <w:rsid w:val="00D92324"/>
    <w:rsid w:val="00D93689"/>
    <w:rsid w:val="00D950E7"/>
    <w:rsid w:val="00DA2BBD"/>
    <w:rsid w:val="00DA539D"/>
    <w:rsid w:val="00DA70BF"/>
    <w:rsid w:val="00DB12CB"/>
    <w:rsid w:val="00DB1FD7"/>
    <w:rsid w:val="00DB4989"/>
    <w:rsid w:val="00DB5AE4"/>
    <w:rsid w:val="00DB5DB2"/>
    <w:rsid w:val="00DB7B51"/>
    <w:rsid w:val="00DC04EA"/>
    <w:rsid w:val="00DC468A"/>
    <w:rsid w:val="00DC555B"/>
    <w:rsid w:val="00DD0223"/>
    <w:rsid w:val="00DD323A"/>
    <w:rsid w:val="00DD3278"/>
    <w:rsid w:val="00DD3BCA"/>
    <w:rsid w:val="00DD4A49"/>
    <w:rsid w:val="00DD4DA6"/>
    <w:rsid w:val="00DD6A12"/>
    <w:rsid w:val="00DD7231"/>
    <w:rsid w:val="00DE5BAC"/>
    <w:rsid w:val="00DE6988"/>
    <w:rsid w:val="00DE6D63"/>
    <w:rsid w:val="00DF33B1"/>
    <w:rsid w:val="00DF7FFB"/>
    <w:rsid w:val="00E02F1C"/>
    <w:rsid w:val="00E02F49"/>
    <w:rsid w:val="00E05DB0"/>
    <w:rsid w:val="00E10D98"/>
    <w:rsid w:val="00E10F1D"/>
    <w:rsid w:val="00E11CF8"/>
    <w:rsid w:val="00E12348"/>
    <w:rsid w:val="00E13ABD"/>
    <w:rsid w:val="00E14450"/>
    <w:rsid w:val="00E17523"/>
    <w:rsid w:val="00E20E46"/>
    <w:rsid w:val="00E23A0E"/>
    <w:rsid w:val="00E25A7D"/>
    <w:rsid w:val="00E310A9"/>
    <w:rsid w:val="00E33ACA"/>
    <w:rsid w:val="00E341A5"/>
    <w:rsid w:val="00E355CB"/>
    <w:rsid w:val="00E3568A"/>
    <w:rsid w:val="00E360B4"/>
    <w:rsid w:val="00E37C30"/>
    <w:rsid w:val="00E442CF"/>
    <w:rsid w:val="00E44798"/>
    <w:rsid w:val="00E44D2E"/>
    <w:rsid w:val="00E45FE9"/>
    <w:rsid w:val="00E52267"/>
    <w:rsid w:val="00E55714"/>
    <w:rsid w:val="00E562C6"/>
    <w:rsid w:val="00E57305"/>
    <w:rsid w:val="00E6002F"/>
    <w:rsid w:val="00E63AE9"/>
    <w:rsid w:val="00E64CA0"/>
    <w:rsid w:val="00E713DD"/>
    <w:rsid w:val="00E73F5C"/>
    <w:rsid w:val="00E775E1"/>
    <w:rsid w:val="00E80275"/>
    <w:rsid w:val="00E80566"/>
    <w:rsid w:val="00E82618"/>
    <w:rsid w:val="00E82C0F"/>
    <w:rsid w:val="00E9170A"/>
    <w:rsid w:val="00E92A79"/>
    <w:rsid w:val="00E93696"/>
    <w:rsid w:val="00E94C66"/>
    <w:rsid w:val="00E94F39"/>
    <w:rsid w:val="00EA03C0"/>
    <w:rsid w:val="00EA5868"/>
    <w:rsid w:val="00EB0E5A"/>
    <w:rsid w:val="00EB2A6B"/>
    <w:rsid w:val="00EB2B16"/>
    <w:rsid w:val="00EB3395"/>
    <w:rsid w:val="00EB39EA"/>
    <w:rsid w:val="00EB3F7D"/>
    <w:rsid w:val="00EB514C"/>
    <w:rsid w:val="00EB5EAF"/>
    <w:rsid w:val="00EC1802"/>
    <w:rsid w:val="00EC5312"/>
    <w:rsid w:val="00EC65EF"/>
    <w:rsid w:val="00EC6CDC"/>
    <w:rsid w:val="00ED0370"/>
    <w:rsid w:val="00ED1539"/>
    <w:rsid w:val="00ED346F"/>
    <w:rsid w:val="00ED40E2"/>
    <w:rsid w:val="00ED6F3E"/>
    <w:rsid w:val="00ED74AA"/>
    <w:rsid w:val="00EE5236"/>
    <w:rsid w:val="00EF253C"/>
    <w:rsid w:val="00EF2A22"/>
    <w:rsid w:val="00EF3778"/>
    <w:rsid w:val="00EF412E"/>
    <w:rsid w:val="00EF5D22"/>
    <w:rsid w:val="00F00276"/>
    <w:rsid w:val="00F02CD6"/>
    <w:rsid w:val="00F03E1A"/>
    <w:rsid w:val="00F118F1"/>
    <w:rsid w:val="00F11E19"/>
    <w:rsid w:val="00F120C3"/>
    <w:rsid w:val="00F12645"/>
    <w:rsid w:val="00F13AB4"/>
    <w:rsid w:val="00F141B9"/>
    <w:rsid w:val="00F15E12"/>
    <w:rsid w:val="00F17BA4"/>
    <w:rsid w:val="00F200B4"/>
    <w:rsid w:val="00F24C6D"/>
    <w:rsid w:val="00F25828"/>
    <w:rsid w:val="00F27A03"/>
    <w:rsid w:val="00F30D60"/>
    <w:rsid w:val="00F31D6C"/>
    <w:rsid w:val="00F35FE1"/>
    <w:rsid w:val="00F43958"/>
    <w:rsid w:val="00F43AA7"/>
    <w:rsid w:val="00F43E52"/>
    <w:rsid w:val="00F443A1"/>
    <w:rsid w:val="00F5134D"/>
    <w:rsid w:val="00F51AA8"/>
    <w:rsid w:val="00F53D66"/>
    <w:rsid w:val="00F5408F"/>
    <w:rsid w:val="00F55033"/>
    <w:rsid w:val="00F56768"/>
    <w:rsid w:val="00F56A68"/>
    <w:rsid w:val="00F6020B"/>
    <w:rsid w:val="00F611AB"/>
    <w:rsid w:val="00F64FF0"/>
    <w:rsid w:val="00F742AB"/>
    <w:rsid w:val="00F7736B"/>
    <w:rsid w:val="00F80257"/>
    <w:rsid w:val="00F806AB"/>
    <w:rsid w:val="00F809A3"/>
    <w:rsid w:val="00F83164"/>
    <w:rsid w:val="00F83A1E"/>
    <w:rsid w:val="00F85361"/>
    <w:rsid w:val="00F85E64"/>
    <w:rsid w:val="00F874C0"/>
    <w:rsid w:val="00F87752"/>
    <w:rsid w:val="00F915F2"/>
    <w:rsid w:val="00F930A3"/>
    <w:rsid w:val="00F97324"/>
    <w:rsid w:val="00FA12A2"/>
    <w:rsid w:val="00FA12D7"/>
    <w:rsid w:val="00FA3295"/>
    <w:rsid w:val="00FA490D"/>
    <w:rsid w:val="00FA72CF"/>
    <w:rsid w:val="00FB2844"/>
    <w:rsid w:val="00FB2C30"/>
    <w:rsid w:val="00FC0C19"/>
    <w:rsid w:val="00FC334A"/>
    <w:rsid w:val="00FC5C39"/>
    <w:rsid w:val="00FD02B3"/>
    <w:rsid w:val="00FD0D87"/>
    <w:rsid w:val="00FD1858"/>
    <w:rsid w:val="00FD2344"/>
    <w:rsid w:val="00FD2C15"/>
    <w:rsid w:val="00FD6E83"/>
    <w:rsid w:val="00FD6EE9"/>
    <w:rsid w:val="00FE183F"/>
    <w:rsid w:val="00FE1D18"/>
    <w:rsid w:val="00FE21B9"/>
    <w:rsid w:val="00FE3B57"/>
    <w:rsid w:val="00FE4DC1"/>
    <w:rsid w:val="00FE65EF"/>
    <w:rsid w:val="00FE6EB1"/>
    <w:rsid w:val="00FE705A"/>
    <w:rsid w:val="00FE78C2"/>
    <w:rsid w:val="00FF1A0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00A7C"/>
  <w15:docId w15:val="{2241C89D-35EB-4412-881E-7316F4B0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327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327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D327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D3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DD3278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uiPriority w:val="99"/>
    <w:rsid w:val="00DD32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DD32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D3278"/>
    <w:rPr>
      <w:rFonts w:cs="Times New Roman"/>
    </w:rPr>
  </w:style>
  <w:style w:type="paragraph" w:customStyle="1" w:styleId="aa">
    <w:name w:val="Заголовок статьи"/>
    <w:basedOn w:val="a"/>
    <w:next w:val="a"/>
    <w:uiPriority w:val="99"/>
    <w:rsid w:val="00DD327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Body Text Indent"/>
    <w:basedOn w:val="a"/>
    <w:link w:val="ac"/>
    <w:unhideWhenUsed/>
    <w:rsid w:val="004B67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B67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51">
    <w:name w:val="iceouttxt51"/>
    <w:basedOn w:val="a0"/>
    <w:rsid w:val="004B67FA"/>
    <w:rPr>
      <w:rFonts w:ascii="Arial" w:hAnsi="Arial" w:cs="Arial" w:hint="default"/>
      <w:color w:val="666666"/>
      <w:sz w:val="14"/>
      <w:szCs w:val="14"/>
    </w:rPr>
  </w:style>
  <w:style w:type="paragraph" w:styleId="ad">
    <w:name w:val="List Paragraph"/>
    <w:basedOn w:val="a"/>
    <w:uiPriority w:val="99"/>
    <w:qFormat/>
    <w:rsid w:val="00A60A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B60B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60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4E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522FE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4E059D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5E148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p2">
    <w:name w:val="p2"/>
    <w:basedOn w:val="a"/>
    <w:rsid w:val="00903CC6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semiHidden/>
    <w:unhideWhenUsed/>
    <w:rsid w:val="00357BB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7B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75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E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5520B0"/>
    <w:rPr>
      <w:color w:val="0000FF"/>
      <w:u w:val="single"/>
    </w:rPr>
  </w:style>
  <w:style w:type="paragraph" w:customStyle="1" w:styleId="ConsPlusTitle">
    <w:name w:val="ConsPlusTitle"/>
    <w:uiPriority w:val="99"/>
    <w:rsid w:val="00396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E02F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831CC3150DC1765BE1CBB227F57989FA4D3FFE2A148FD580F75FBEA3399284FL6r3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35B50121DC056AA51BEB81A82B91F27281A4AF3D6F40783C2A1E33B841843D4CE8FD63144EA4662C5CD534g5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8CF7-9D65-4E69-B78D-2185C1BE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6427256</TotalTime>
  <Pages>1</Pages>
  <Words>5941</Words>
  <Characters>33868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</dc:creator>
  <cp:keywords/>
  <dc:description/>
  <cp:lastModifiedBy>HP Inc.</cp:lastModifiedBy>
  <cp:revision>4</cp:revision>
  <cp:lastPrinted>2019-03-22T06:25:00Z</cp:lastPrinted>
  <dcterms:created xsi:type="dcterms:W3CDTF">2019-03-22T06:26:00Z</dcterms:created>
  <dcterms:modified xsi:type="dcterms:W3CDTF">2020-02-03T07:23:00Z</dcterms:modified>
</cp:coreProperties>
</file>