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42EFC" w14:textId="77777777" w:rsidR="006D37E7" w:rsidRPr="00A639D1" w:rsidRDefault="006D37E7" w:rsidP="006D37E7">
      <w:pPr>
        <w:ind w:left="5760"/>
        <w:jc w:val="center"/>
        <w:rPr>
          <w:b/>
        </w:rPr>
      </w:pPr>
      <w:r w:rsidRPr="00A639D1">
        <w:rPr>
          <w:b/>
        </w:rPr>
        <w:t>УТВЕРЖДАЮ</w:t>
      </w:r>
    </w:p>
    <w:p w14:paraId="18CB76FB" w14:textId="77777777" w:rsidR="006D37E7" w:rsidRPr="006D37E7" w:rsidRDefault="006D37E7" w:rsidP="006D37E7">
      <w:pPr>
        <w:ind w:left="5760"/>
        <w:jc w:val="both"/>
        <w:rPr>
          <w:b/>
        </w:rPr>
      </w:pPr>
      <w:r w:rsidRPr="006D37E7">
        <w:rPr>
          <w:b/>
        </w:rPr>
        <w:t>председатель контрольно-счетной палаты Волгоградской области _________________  И. А. Дьяченко</w:t>
      </w:r>
    </w:p>
    <w:p w14:paraId="50A0315B" w14:textId="77777777" w:rsidR="006D37E7" w:rsidRPr="006D37E7" w:rsidRDefault="006D37E7" w:rsidP="006D37E7">
      <w:pPr>
        <w:ind w:left="5760"/>
        <w:rPr>
          <w:b/>
        </w:rPr>
      </w:pPr>
      <w:r w:rsidRPr="006D37E7">
        <w:rPr>
          <w:b/>
        </w:rPr>
        <w:t>«      » апреля  2019 года</w:t>
      </w:r>
    </w:p>
    <w:p w14:paraId="2C92566A" w14:textId="77777777" w:rsidR="006F1CB2" w:rsidRPr="006D37E7" w:rsidRDefault="006F1CB2" w:rsidP="006F1CB2">
      <w:pPr>
        <w:pStyle w:val="a5"/>
        <w:rPr>
          <w:szCs w:val="24"/>
        </w:rPr>
      </w:pPr>
    </w:p>
    <w:p w14:paraId="0509D8A2" w14:textId="77777777" w:rsidR="006F1CB2" w:rsidRPr="006D37E7" w:rsidRDefault="006F1CB2" w:rsidP="006F1CB2">
      <w:pPr>
        <w:pStyle w:val="a5"/>
        <w:rPr>
          <w:szCs w:val="24"/>
        </w:rPr>
      </w:pPr>
    </w:p>
    <w:p w14:paraId="65C87433" w14:textId="77777777" w:rsidR="006F1CB2" w:rsidRPr="006D37E7" w:rsidRDefault="006F1CB2" w:rsidP="006F1CB2">
      <w:pPr>
        <w:pStyle w:val="a5"/>
        <w:rPr>
          <w:szCs w:val="24"/>
        </w:rPr>
      </w:pPr>
      <w:r w:rsidRPr="006D37E7">
        <w:rPr>
          <w:szCs w:val="24"/>
        </w:rPr>
        <w:t>ЗАКЛЮЧЕНИЕ</w:t>
      </w:r>
    </w:p>
    <w:p w14:paraId="561EAEF4" w14:textId="77777777" w:rsidR="00AB7C31" w:rsidRPr="006D37E7" w:rsidRDefault="006F1CB2" w:rsidP="006F1CB2">
      <w:pPr>
        <w:pStyle w:val="a5"/>
        <w:tabs>
          <w:tab w:val="left" w:pos="8007"/>
        </w:tabs>
        <w:rPr>
          <w:szCs w:val="24"/>
        </w:rPr>
      </w:pPr>
      <w:r w:rsidRPr="006D37E7">
        <w:rPr>
          <w:szCs w:val="24"/>
        </w:rPr>
        <w:t xml:space="preserve">по результатам внешней проверки </w:t>
      </w:r>
      <w:r w:rsidR="00AB7C31" w:rsidRPr="006D37E7">
        <w:rPr>
          <w:szCs w:val="24"/>
        </w:rPr>
        <w:t xml:space="preserve"> бюджетной отчетности и </w:t>
      </w:r>
    </w:p>
    <w:p w14:paraId="722AAC17" w14:textId="77777777" w:rsidR="00AB7C31" w:rsidRPr="006D37E7" w:rsidRDefault="00AB7C31" w:rsidP="00AB7C31">
      <w:pPr>
        <w:pStyle w:val="a5"/>
      </w:pPr>
      <w:r w:rsidRPr="006D37E7">
        <w:rPr>
          <w:szCs w:val="24"/>
        </w:rPr>
        <w:t>отдельных вопросов исполнения областного бюджета</w:t>
      </w:r>
      <w:r w:rsidRPr="006D37E7">
        <w:t xml:space="preserve"> за 2018 год главным администратором средств областного бюджета – </w:t>
      </w:r>
    </w:p>
    <w:p w14:paraId="6A18EC4F" w14:textId="77777777" w:rsidR="00AB7C31" w:rsidRPr="006D37E7" w:rsidRDefault="00AB7C31" w:rsidP="00AB7C31">
      <w:pPr>
        <w:pStyle w:val="a5"/>
      </w:pPr>
      <w:r w:rsidRPr="006D37E7">
        <w:t>комитетом культуры Волгоградской области</w:t>
      </w:r>
    </w:p>
    <w:p w14:paraId="592E7993" w14:textId="77777777" w:rsidR="00FF4DBC" w:rsidRPr="006D37E7" w:rsidRDefault="00FF4DBC" w:rsidP="00AB7C31">
      <w:pPr>
        <w:pStyle w:val="a5"/>
        <w:ind w:firstLine="708"/>
        <w:jc w:val="both"/>
        <w:rPr>
          <w:b w:val="0"/>
        </w:rPr>
      </w:pPr>
    </w:p>
    <w:p w14:paraId="66FAE54D" w14:textId="77777777" w:rsidR="006F1CB2" w:rsidRPr="006D37E7" w:rsidRDefault="006F1CB2" w:rsidP="006F1CB2">
      <w:pPr>
        <w:spacing w:before="120" w:after="120"/>
        <w:jc w:val="center"/>
        <w:rPr>
          <w:b/>
        </w:rPr>
      </w:pPr>
      <w:r w:rsidRPr="006D37E7">
        <w:rPr>
          <w:b/>
        </w:rPr>
        <w:t>1. Общие сведения</w:t>
      </w:r>
    </w:p>
    <w:p w14:paraId="4864275A" w14:textId="77777777" w:rsidR="000A5450" w:rsidRDefault="000A5450" w:rsidP="00AB7C31">
      <w:pPr>
        <w:pStyle w:val="ConsPlusNormal"/>
        <w:ind w:firstLine="540"/>
        <w:jc w:val="both"/>
        <w:rPr>
          <w:rFonts w:ascii="Times New Roman" w:eastAsiaTheme="minorHAnsi" w:hAnsi="Times New Roman" w:cs="Times New Roman"/>
          <w:sz w:val="24"/>
          <w:szCs w:val="24"/>
          <w:lang w:eastAsia="en-US"/>
        </w:rPr>
      </w:pPr>
      <w:r w:rsidRPr="000A5450">
        <w:rPr>
          <w:rFonts w:ascii="Times New Roman" w:eastAsiaTheme="minorHAnsi" w:hAnsi="Times New Roman" w:cs="Times New Roman"/>
          <w:b/>
          <w:bCs/>
          <w:sz w:val="24"/>
          <w:szCs w:val="24"/>
          <w:lang w:eastAsia="en-US"/>
        </w:rPr>
        <w:t>Основание для проведения проверки:</w:t>
      </w:r>
      <w:r w:rsidRPr="000A5450">
        <w:rPr>
          <w:rFonts w:ascii="Times New Roman" w:eastAsiaTheme="minorHAnsi" w:hAnsi="Times New Roman" w:cs="Times New Roman"/>
          <w:sz w:val="24"/>
          <w:szCs w:val="24"/>
          <w:lang w:eastAsia="en-US"/>
        </w:rPr>
        <w:t xml:space="preserve"> пункт 2.1.2 плана работы контрольно-счетной палаты Волгоградской области на 2019 год, утвержденного постановл</w:t>
      </w:r>
      <w:bookmarkStart w:id="0" w:name="_GoBack"/>
      <w:bookmarkEnd w:id="0"/>
      <w:r w:rsidRPr="000A5450">
        <w:rPr>
          <w:rFonts w:ascii="Times New Roman" w:eastAsiaTheme="minorHAnsi" w:hAnsi="Times New Roman" w:cs="Times New Roman"/>
          <w:sz w:val="24"/>
          <w:szCs w:val="24"/>
          <w:lang w:eastAsia="en-US"/>
        </w:rPr>
        <w:t>ением коллегии контрольно-счетной палаты Волгоградской области от 17.12.2018 № 23/2.</w:t>
      </w:r>
    </w:p>
    <w:p w14:paraId="423BA033" w14:textId="289DCA3C" w:rsidR="00AB7C31" w:rsidRPr="006D37E7" w:rsidRDefault="00AB7C31" w:rsidP="00AB7C31">
      <w:pPr>
        <w:pStyle w:val="ConsPlusNormal"/>
        <w:ind w:firstLine="540"/>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 xml:space="preserve">Согласно Положению о комитете культуры Волгоградской области (далее </w:t>
      </w:r>
      <w:r w:rsidR="00FF4DBC" w:rsidRPr="006D37E7">
        <w:rPr>
          <w:rFonts w:ascii="Times New Roman" w:eastAsiaTheme="minorHAnsi" w:hAnsi="Times New Roman" w:cs="Times New Roman"/>
          <w:sz w:val="24"/>
          <w:szCs w:val="24"/>
          <w:lang w:eastAsia="en-US"/>
        </w:rPr>
        <w:t xml:space="preserve">- </w:t>
      </w:r>
      <w:r w:rsidRPr="006D37E7">
        <w:rPr>
          <w:rFonts w:ascii="Times New Roman" w:eastAsiaTheme="minorHAnsi" w:hAnsi="Times New Roman" w:cs="Times New Roman"/>
          <w:sz w:val="24"/>
          <w:szCs w:val="24"/>
          <w:lang w:eastAsia="en-US"/>
        </w:rPr>
        <w:t>Комитет), утвержденному постановлением Губернатора Волгоградской области от 19.12.2016 №943</w:t>
      </w:r>
      <w:r w:rsidR="004542C3" w:rsidRPr="006D37E7">
        <w:rPr>
          <w:rFonts w:ascii="Times New Roman" w:eastAsiaTheme="minorHAnsi" w:hAnsi="Times New Roman" w:cs="Times New Roman"/>
          <w:sz w:val="24"/>
          <w:szCs w:val="24"/>
          <w:lang w:eastAsia="en-US"/>
        </w:rPr>
        <w:t>,</w:t>
      </w:r>
      <w:r w:rsidRPr="006D37E7">
        <w:rPr>
          <w:rFonts w:ascii="Times New Roman" w:eastAsiaTheme="minorHAnsi" w:hAnsi="Times New Roman" w:cs="Times New Roman"/>
          <w:sz w:val="24"/>
          <w:szCs w:val="24"/>
          <w:lang w:eastAsia="en-US"/>
        </w:rPr>
        <w:t xml:space="preserve"> Комитет является органом исполнительной власти Волгоградской области, уполномоченным в сфере культуры и искусства, государственного управления архивным делом в Волгоградской области, контроля за сохранностью, комплектованием, учетом и использованием документов архивного фонда Волгоградской области как составной части архивного фонда </w:t>
      </w:r>
      <w:r w:rsidR="00FF4DBC" w:rsidRPr="006D37E7">
        <w:rPr>
          <w:rFonts w:ascii="Times New Roman" w:eastAsiaTheme="minorHAnsi" w:hAnsi="Times New Roman" w:cs="Times New Roman"/>
          <w:sz w:val="24"/>
          <w:szCs w:val="24"/>
          <w:lang w:eastAsia="en-US"/>
        </w:rPr>
        <w:t>РФ</w:t>
      </w:r>
      <w:r w:rsidRPr="006D37E7">
        <w:rPr>
          <w:rFonts w:ascii="Times New Roman" w:eastAsiaTheme="minorHAnsi" w:hAnsi="Times New Roman" w:cs="Times New Roman"/>
          <w:sz w:val="24"/>
          <w:szCs w:val="24"/>
          <w:lang w:eastAsia="en-US"/>
        </w:rPr>
        <w:t xml:space="preserve"> и других архивных документов, делопроизводства и документооборота в органах исполнительной власти Волгоградской области, рассекречивания и продления сроков засекречивания архивных документов Волгоградской области. Кроме этого, до 01.11.2018 Комитет также являлся уполномоченным органом в сфере туризма.</w:t>
      </w:r>
    </w:p>
    <w:p w14:paraId="047DAD95" w14:textId="77777777" w:rsidR="00AB7C31" w:rsidRPr="006D37E7" w:rsidRDefault="00AB7C31" w:rsidP="000F0E2F">
      <w:pPr>
        <w:autoSpaceDE w:val="0"/>
        <w:autoSpaceDN w:val="0"/>
        <w:adjustRightInd w:val="0"/>
        <w:ind w:firstLine="709"/>
        <w:jc w:val="both"/>
      </w:pPr>
      <w:r w:rsidRPr="006D37E7">
        <w:t xml:space="preserve">Законом Волгоградской области от 15.12.2017 № 124-ОД «Об областном бюджете на 2018 год и на плановый период 2019 и 2020 годов» (далее - Закон об областном бюджете) </w:t>
      </w:r>
      <w:r w:rsidR="000F0E2F" w:rsidRPr="006D37E7">
        <w:t>п</w:t>
      </w:r>
      <w:r w:rsidRPr="006D37E7">
        <w:t xml:space="preserve">редельная штатная численность государственных гражданских служащих (далее – ГГС) Комитета утверждена в количестве 42 единиц. Кроме председателя Комитета (госдолжность) и </w:t>
      </w:r>
      <w:r w:rsidR="004542C3" w:rsidRPr="006D37E7">
        <w:t>ГГС</w:t>
      </w:r>
      <w:r w:rsidRPr="006D37E7">
        <w:t xml:space="preserve"> (42 ед.) в штат Комитета включены должности, не отнесенные к должностям </w:t>
      </w:r>
      <w:r w:rsidR="004542C3" w:rsidRPr="006D37E7">
        <w:t>ГГС</w:t>
      </w:r>
      <w:r w:rsidRPr="006D37E7">
        <w:t xml:space="preserve"> (6 </w:t>
      </w:r>
      <w:r w:rsidR="00AC0D42" w:rsidRPr="006D37E7">
        <w:t>ед</w:t>
      </w:r>
      <w:r w:rsidRPr="006D37E7">
        <w:t>., из которых по состоянию на 01.01.2019 1 ставка вакантна).</w:t>
      </w:r>
    </w:p>
    <w:p w14:paraId="6478D391" w14:textId="77777777" w:rsidR="00AB7C31" w:rsidRPr="006D37E7" w:rsidRDefault="00AB7C31" w:rsidP="00AB7C31">
      <w:pPr>
        <w:autoSpaceDE w:val="0"/>
        <w:autoSpaceDN w:val="0"/>
        <w:adjustRightInd w:val="0"/>
        <w:ind w:firstLine="709"/>
        <w:jc w:val="both"/>
      </w:pPr>
      <w:r w:rsidRPr="006D37E7">
        <w:t xml:space="preserve">В ведении Комитета по состоянию на 01.01.2018 находились 25 учреждений (6 казенных, 1 автономное, 18 бюджетных). В соответствии с постановлением Администрации Волгоградской области от 09.04.2018 №157-п Комитет определен органом, уполномоченным на осуществление функций и полномочий учредителя ГБУК «Волгоградский планетарий», соответственно по состоянию на 01.01.2019 в ведении комитета находились 26 учреждений. </w:t>
      </w:r>
    </w:p>
    <w:p w14:paraId="0A59427D" w14:textId="77777777" w:rsidR="006E0FDF" w:rsidRPr="006D37E7" w:rsidRDefault="000F0E2F" w:rsidP="000F0E2F">
      <w:pPr>
        <w:ind w:firstLine="720"/>
        <w:jc w:val="both"/>
      </w:pPr>
      <w:r w:rsidRPr="006D37E7">
        <w:t>По результатам проверки оформлены и подписаны 1 акт проверки, 1 акт обследования имущества Комитета, 10 актов встречных проверок</w:t>
      </w:r>
      <w:r w:rsidR="008E067A" w:rsidRPr="006D37E7">
        <w:t xml:space="preserve"> в</w:t>
      </w:r>
      <w:r w:rsidR="006E0FDF" w:rsidRPr="006D37E7">
        <w:t>:</w:t>
      </w:r>
      <w:r w:rsidR="00BB1191" w:rsidRPr="006D37E7">
        <w:t xml:space="preserve"> </w:t>
      </w:r>
    </w:p>
    <w:p w14:paraId="1D585C9A" w14:textId="77777777" w:rsidR="006E0FDF" w:rsidRPr="006D37E7" w:rsidRDefault="006E0FDF" w:rsidP="00AB7C31">
      <w:pPr>
        <w:autoSpaceDE w:val="0"/>
        <w:autoSpaceDN w:val="0"/>
        <w:adjustRightInd w:val="0"/>
        <w:ind w:firstLine="709"/>
        <w:jc w:val="both"/>
      </w:pPr>
      <w:r w:rsidRPr="006D37E7">
        <w:t xml:space="preserve">-государственном бюджетном учреждении культуры Волгоградской области </w:t>
      </w:r>
      <w:r w:rsidR="00ED5F40" w:rsidRPr="006D37E7">
        <w:t xml:space="preserve">(далее </w:t>
      </w:r>
      <w:r w:rsidR="00FF4DBC" w:rsidRPr="006D37E7">
        <w:t xml:space="preserve">- </w:t>
      </w:r>
      <w:r w:rsidR="00ED5F40" w:rsidRPr="006D37E7">
        <w:t xml:space="preserve">ГБУК ВО) </w:t>
      </w:r>
      <w:r w:rsidRPr="006D37E7">
        <w:t xml:space="preserve">«Интерактивный музей «Россия - Моя история» (далее </w:t>
      </w:r>
      <w:r w:rsidR="00FF4DBC" w:rsidRPr="006D37E7">
        <w:t xml:space="preserve">- </w:t>
      </w:r>
      <w:r w:rsidR="0045085D" w:rsidRPr="006D37E7">
        <w:t>Интерактивный музей</w:t>
      </w:r>
      <w:r w:rsidRPr="006D37E7">
        <w:t>);</w:t>
      </w:r>
    </w:p>
    <w:p w14:paraId="61E53358" w14:textId="77777777" w:rsidR="006E0FDF" w:rsidRPr="006D37E7" w:rsidRDefault="006E0FDF" w:rsidP="00AB7C31">
      <w:pPr>
        <w:autoSpaceDE w:val="0"/>
        <w:autoSpaceDN w:val="0"/>
        <w:adjustRightInd w:val="0"/>
        <w:ind w:firstLine="709"/>
        <w:jc w:val="both"/>
      </w:pPr>
      <w:r w:rsidRPr="006D37E7">
        <w:t>-</w:t>
      </w:r>
      <w:r w:rsidR="00ED5F40" w:rsidRPr="006D37E7">
        <w:t>ГБУК</w:t>
      </w:r>
      <w:r w:rsidRPr="006D37E7">
        <w:t xml:space="preserve"> </w:t>
      </w:r>
      <w:r w:rsidR="00ED5F40" w:rsidRPr="006D37E7">
        <w:t>ВО</w:t>
      </w:r>
      <w:r w:rsidRPr="006D37E7">
        <w:t xml:space="preserve"> «Волгоградский планетарий» (далее</w:t>
      </w:r>
      <w:r w:rsidR="00FF4DBC" w:rsidRPr="006D37E7">
        <w:t xml:space="preserve"> -</w:t>
      </w:r>
      <w:r w:rsidR="0019333C" w:rsidRPr="006D37E7">
        <w:t xml:space="preserve"> Планетарий);</w:t>
      </w:r>
    </w:p>
    <w:p w14:paraId="30EFA809" w14:textId="77777777" w:rsidR="002F0F3C" w:rsidRPr="006D37E7" w:rsidRDefault="002F0F3C" w:rsidP="002F0F3C">
      <w:pPr>
        <w:autoSpaceDE w:val="0"/>
        <w:autoSpaceDN w:val="0"/>
        <w:adjustRightInd w:val="0"/>
        <w:ind w:firstLine="709"/>
        <w:jc w:val="both"/>
      </w:pPr>
      <w:r w:rsidRPr="006D37E7">
        <w:t>-ГБУК «Волгоградский институт культуры и искусств»;</w:t>
      </w:r>
    </w:p>
    <w:p w14:paraId="750E3EC7" w14:textId="77777777" w:rsidR="002F0F3C" w:rsidRPr="006D37E7" w:rsidRDefault="002F0F3C" w:rsidP="002F0F3C">
      <w:pPr>
        <w:autoSpaceDE w:val="0"/>
        <w:autoSpaceDN w:val="0"/>
        <w:adjustRightInd w:val="0"/>
        <w:ind w:firstLine="709"/>
        <w:jc w:val="both"/>
      </w:pPr>
      <w:r w:rsidRPr="006D37E7">
        <w:t>- ГБУК «Волгоградский областной центр народного творчества» (далее - ВОЦНТ);</w:t>
      </w:r>
    </w:p>
    <w:p w14:paraId="3E8B4C82" w14:textId="77777777" w:rsidR="0030602D" w:rsidRPr="006D37E7" w:rsidRDefault="0030602D" w:rsidP="0030602D">
      <w:pPr>
        <w:autoSpaceDE w:val="0"/>
        <w:autoSpaceDN w:val="0"/>
        <w:adjustRightInd w:val="0"/>
        <w:ind w:firstLine="709"/>
        <w:jc w:val="both"/>
      </w:pPr>
      <w:r w:rsidRPr="006D37E7">
        <w:t>-ГБУК ВО «Детская областная филармония» (далее - Детская филармония);</w:t>
      </w:r>
    </w:p>
    <w:p w14:paraId="0102E694" w14:textId="77777777" w:rsidR="006E0FDF" w:rsidRPr="006D37E7" w:rsidRDefault="006E0FDF" w:rsidP="00AB7C31">
      <w:pPr>
        <w:autoSpaceDE w:val="0"/>
        <w:autoSpaceDN w:val="0"/>
        <w:adjustRightInd w:val="0"/>
        <w:ind w:firstLine="709"/>
        <w:jc w:val="both"/>
      </w:pPr>
      <w:r w:rsidRPr="006D37E7">
        <w:t>-</w:t>
      </w:r>
      <w:r w:rsidR="00ED5F40" w:rsidRPr="006D37E7">
        <w:t>ГБУК</w:t>
      </w:r>
      <w:r w:rsidRPr="006D37E7">
        <w:t xml:space="preserve"> «Волгоградская филармония» (далее </w:t>
      </w:r>
      <w:r w:rsidR="00FF4DBC" w:rsidRPr="006D37E7">
        <w:t xml:space="preserve">- </w:t>
      </w:r>
      <w:r w:rsidRPr="006D37E7">
        <w:t>Филармония);</w:t>
      </w:r>
    </w:p>
    <w:p w14:paraId="67547CF3" w14:textId="77777777" w:rsidR="0035472A" w:rsidRPr="006D37E7" w:rsidRDefault="00ED5F40" w:rsidP="00AB7C31">
      <w:pPr>
        <w:autoSpaceDE w:val="0"/>
        <w:autoSpaceDN w:val="0"/>
        <w:adjustRightInd w:val="0"/>
        <w:ind w:firstLine="709"/>
        <w:jc w:val="both"/>
      </w:pPr>
      <w:r w:rsidRPr="006D37E7">
        <w:t>-</w:t>
      </w:r>
      <w:r w:rsidR="00390CD8" w:rsidRPr="006D37E7">
        <w:t>государственном автономном учреждении Волгоградской области «Агентство развития туризма» (далее Агентство</w:t>
      </w:r>
      <w:r w:rsidR="00BB1191" w:rsidRPr="006D37E7">
        <w:t xml:space="preserve"> развития туризма</w:t>
      </w:r>
      <w:r w:rsidR="00390CD8" w:rsidRPr="006D37E7">
        <w:t>)</w:t>
      </w:r>
      <w:r w:rsidR="0035472A" w:rsidRPr="006D37E7">
        <w:t>;</w:t>
      </w:r>
    </w:p>
    <w:p w14:paraId="2F4A7788" w14:textId="77777777" w:rsidR="008E067A" w:rsidRPr="006D37E7" w:rsidRDefault="00ED5F40" w:rsidP="00AB7C31">
      <w:pPr>
        <w:autoSpaceDE w:val="0"/>
        <w:autoSpaceDN w:val="0"/>
        <w:adjustRightInd w:val="0"/>
        <w:ind w:firstLine="709"/>
        <w:jc w:val="both"/>
      </w:pPr>
      <w:r w:rsidRPr="006D37E7">
        <w:t>-</w:t>
      </w:r>
      <w:r w:rsidR="008E067A" w:rsidRPr="006D37E7">
        <w:t>ГКУ ВО «Дирекция по материально-техническому и хозяйственному обеспечению Администрации Волгоградской области»;</w:t>
      </w:r>
    </w:p>
    <w:p w14:paraId="56D86802" w14:textId="77777777" w:rsidR="008E067A" w:rsidRPr="006D37E7" w:rsidRDefault="008E067A" w:rsidP="00AB7C31">
      <w:pPr>
        <w:autoSpaceDE w:val="0"/>
        <w:autoSpaceDN w:val="0"/>
        <w:adjustRightInd w:val="0"/>
        <w:ind w:firstLine="709"/>
        <w:jc w:val="both"/>
      </w:pPr>
      <w:r w:rsidRPr="006D37E7">
        <w:t>-ГАУ ВО «Дирекция по эксплуатации стадиона «Волгоград Арена»;</w:t>
      </w:r>
    </w:p>
    <w:p w14:paraId="471AF921" w14:textId="77777777" w:rsidR="000F0E2F" w:rsidRPr="006D37E7" w:rsidRDefault="004542C3" w:rsidP="00AB7C31">
      <w:pPr>
        <w:autoSpaceDE w:val="0"/>
        <w:autoSpaceDN w:val="0"/>
        <w:adjustRightInd w:val="0"/>
        <w:ind w:firstLine="709"/>
        <w:jc w:val="both"/>
      </w:pPr>
      <w:r w:rsidRPr="006D37E7">
        <w:t xml:space="preserve">-Комитете по развитию </w:t>
      </w:r>
      <w:r w:rsidR="008E067A" w:rsidRPr="006D37E7">
        <w:t>туризма Волгоградской области</w:t>
      </w:r>
      <w:r w:rsidR="00C20D92" w:rsidRPr="006D37E7">
        <w:t xml:space="preserve"> (далее </w:t>
      </w:r>
      <w:proofErr w:type="spellStart"/>
      <w:r w:rsidR="00C20D92" w:rsidRPr="006D37E7">
        <w:t>Облкомтуризма</w:t>
      </w:r>
      <w:proofErr w:type="spellEnd"/>
      <w:r w:rsidR="00C20D92" w:rsidRPr="006D37E7">
        <w:t>)</w:t>
      </w:r>
      <w:r w:rsidR="000F0E2F" w:rsidRPr="006D37E7">
        <w:t>.</w:t>
      </w:r>
    </w:p>
    <w:p w14:paraId="70D4501C" w14:textId="77777777" w:rsidR="000F0E2F" w:rsidRPr="006D37E7" w:rsidRDefault="00962ADD" w:rsidP="000F0E2F">
      <w:pPr>
        <w:ind w:firstLine="720"/>
        <w:jc w:val="both"/>
        <w:rPr>
          <w:color w:val="0000CC"/>
          <w:spacing w:val="-2"/>
        </w:rPr>
      </w:pPr>
      <w:r w:rsidRPr="006D37E7">
        <w:lastRenderedPageBreak/>
        <w:t>С пояснениями подписаны 3 а</w:t>
      </w:r>
      <w:r w:rsidR="000F0E2F" w:rsidRPr="006D37E7">
        <w:t>кт</w:t>
      </w:r>
      <w:r w:rsidRPr="006D37E7">
        <w:t>а встречных проверок</w:t>
      </w:r>
      <w:r w:rsidR="001A10C3" w:rsidRPr="006D37E7">
        <w:t xml:space="preserve"> </w:t>
      </w:r>
      <w:r w:rsidRPr="006D37E7">
        <w:t xml:space="preserve">и акт Комитета, </w:t>
      </w:r>
      <w:r w:rsidR="000F0E2F" w:rsidRPr="006D37E7">
        <w:t xml:space="preserve"> </w:t>
      </w:r>
      <w:r w:rsidR="000F0E2F" w:rsidRPr="006D37E7">
        <w:rPr>
          <w:spacing w:val="-2"/>
        </w:rPr>
        <w:t xml:space="preserve">на которые КСП подготовлены соответствующие заключения </w:t>
      </w:r>
      <w:r w:rsidR="000F0E2F" w:rsidRPr="006D37E7">
        <w:rPr>
          <w:color w:val="0000CC"/>
          <w:spacing w:val="-2"/>
        </w:rPr>
        <w:t>(приложения №№1-</w:t>
      </w:r>
      <w:r w:rsidR="00CA1E93" w:rsidRPr="006D37E7">
        <w:rPr>
          <w:color w:val="0000CC"/>
          <w:spacing w:val="-2"/>
        </w:rPr>
        <w:t>4</w:t>
      </w:r>
      <w:r w:rsidR="000F0E2F" w:rsidRPr="006D37E7">
        <w:rPr>
          <w:color w:val="0000CC"/>
          <w:spacing w:val="-2"/>
        </w:rPr>
        <w:t>).</w:t>
      </w:r>
    </w:p>
    <w:p w14:paraId="1C123C4F" w14:textId="77777777" w:rsidR="001A10C3" w:rsidRPr="006D37E7" w:rsidRDefault="001A10C3" w:rsidP="00BB1191">
      <w:pPr>
        <w:spacing w:after="120"/>
        <w:ind w:firstLine="709"/>
        <w:jc w:val="center"/>
        <w:rPr>
          <w:b/>
        </w:rPr>
      </w:pPr>
    </w:p>
    <w:p w14:paraId="02A0592D" w14:textId="77777777" w:rsidR="00C03D28" w:rsidRPr="006D37E7" w:rsidRDefault="00C03D28" w:rsidP="00BB1191">
      <w:pPr>
        <w:spacing w:after="120"/>
        <w:ind w:firstLine="709"/>
        <w:jc w:val="center"/>
        <w:rPr>
          <w:b/>
        </w:rPr>
      </w:pPr>
    </w:p>
    <w:p w14:paraId="5C89C8D8" w14:textId="77777777" w:rsidR="00AB7C31" w:rsidRPr="006D37E7" w:rsidRDefault="00AB7C31" w:rsidP="00BB1191">
      <w:pPr>
        <w:spacing w:after="120"/>
        <w:ind w:firstLine="709"/>
        <w:jc w:val="center"/>
        <w:rPr>
          <w:b/>
        </w:rPr>
      </w:pPr>
      <w:r w:rsidRPr="006D37E7">
        <w:rPr>
          <w:b/>
        </w:rPr>
        <w:t xml:space="preserve">2. Проверка полноты бюджетной отчетности </w:t>
      </w:r>
    </w:p>
    <w:p w14:paraId="2CEAFAD6" w14:textId="77777777" w:rsidR="000F0E2F" w:rsidRPr="006D37E7" w:rsidRDefault="00AB7C31" w:rsidP="00855196">
      <w:pPr>
        <w:pStyle w:val="ab"/>
        <w:spacing w:after="0"/>
        <w:ind w:left="0" w:firstLine="709"/>
        <w:jc w:val="both"/>
      </w:pPr>
      <w:r w:rsidRPr="006D37E7">
        <w:t xml:space="preserve">Сводная бюджетная </w:t>
      </w:r>
      <w:r w:rsidRPr="006D37E7">
        <w:rPr>
          <w:bCs/>
        </w:rPr>
        <w:t xml:space="preserve">отчетность Комитета за 2018 год представлена к </w:t>
      </w:r>
      <w:r w:rsidRPr="006D37E7">
        <w:t>проверке в составе, определенном ст. 264.1 БК РФ</w:t>
      </w:r>
      <w:r w:rsidR="00855196" w:rsidRPr="006D37E7">
        <w:t>,</w:t>
      </w:r>
      <w:r w:rsidRPr="006D37E7">
        <w:t xml:space="preserve"> </w:t>
      </w:r>
      <w:r w:rsidR="000F0E2F" w:rsidRPr="006D37E7">
        <w:t>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(далее - Инструкция №191н)</w:t>
      </w:r>
      <w:r w:rsidR="00855196" w:rsidRPr="006D37E7">
        <w:t xml:space="preserve"> и</w:t>
      </w:r>
      <w:r w:rsidR="00D052D1" w:rsidRPr="006D37E7">
        <w:t xml:space="preserve"> </w:t>
      </w:r>
      <w:r w:rsidR="000F0E2F" w:rsidRPr="006D37E7">
        <w:rPr>
          <w:rFonts w:eastAsiaTheme="minorHAnsi"/>
          <w:lang w:eastAsia="en-US"/>
        </w:rPr>
        <w:t xml:space="preserve">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r w:rsidR="000F0E2F" w:rsidRPr="006D37E7">
        <w:t xml:space="preserve">приказом Минфина РФ </w:t>
      </w:r>
      <w:r w:rsidR="000F0E2F" w:rsidRPr="006D37E7">
        <w:rPr>
          <w:rFonts w:eastAsiaTheme="minorHAnsi"/>
          <w:lang w:eastAsia="en-US"/>
        </w:rPr>
        <w:t>от 25.03.2011 № 33н (далее – Инструкция №33н).</w:t>
      </w:r>
      <w:r w:rsidR="000F0E2F" w:rsidRPr="006D37E7">
        <w:t xml:space="preserve"> </w:t>
      </w:r>
    </w:p>
    <w:p w14:paraId="4DA5B198" w14:textId="77777777" w:rsidR="00AB7C31" w:rsidRPr="006D37E7" w:rsidRDefault="00AB7C31" w:rsidP="000F0E2F">
      <w:pPr>
        <w:pStyle w:val="ab"/>
        <w:spacing w:after="0"/>
        <w:ind w:left="0" w:firstLine="709"/>
        <w:jc w:val="both"/>
      </w:pPr>
      <w:r w:rsidRPr="006D37E7">
        <w:rPr>
          <w:rFonts w:eastAsiaTheme="minorHAnsi"/>
          <w:lang w:eastAsia="en-US"/>
        </w:rPr>
        <w:t xml:space="preserve">Бюджетная отчетность Комитета за 2018 год сдана в </w:t>
      </w:r>
      <w:r w:rsidRPr="006D37E7">
        <w:t xml:space="preserve">комитет финансов Волгоградской области (далее </w:t>
      </w:r>
      <w:r w:rsidR="00D052D1" w:rsidRPr="006D37E7">
        <w:t xml:space="preserve">- </w:t>
      </w:r>
      <w:proofErr w:type="spellStart"/>
      <w:r w:rsidRPr="006D37E7">
        <w:t>Облфин</w:t>
      </w:r>
      <w:proofErr w:type="spellEnd"/>
      <w:r w:rsidRPr="006D37E7">
        <w:t xml:space="preserve">) </w:t>
      </w:r>
      <w:r w:rsidRPr="006D37E7">
        <w:rPr>
          <w:rFonts w:eastAsiaTheme="minorHAnsi"/>
          <w:lang w:eastAsia="en-US"/>
        </w:rPr>
        <w:t xml:space="preserve">в срок, установленный </w:t>
      </w:r>
      <w:proofErr w:type="spellStart"/>
      <w:r w:rsidRPr="006D37E7">
        <w:rPr>
          <w:rFonts w:eastAsiaTheme="minorHAnsi"/>
          <w:lang w:eastAsia="en-US"/>
        </w:rPr>
        <w:t>Облфином</w:t>
      </w:r>
      <w:proofErr w:type="spellEnd"/>
      <w:r w:rsidR="00AC0D42" w:rsidRPr="006D37E7">
        <w:rPr>
          <w:rFonts w:eastAsiaTheme="minorHAnsi"/>
          <w:lang w:eastAsia="en-US"/>
        </w:rPr>
        <w:t>, т.е. 12.02.2019 года</w:t>
      </w:r>
      <w:r w:rsidRPr="006D37E7">
        <w:rPr>
          <w:rFonts w:eastAsiaTheme="minorHAnsi"/>
          <w:lang w:eastAsia="en-US"/>
        </w:rPr>
        <w:t>.</w:t>
      </w:r>
      <w:r w:rsidR="000F0E2F" w:rsidRPr="006D37E7">
        <w:rPr>
          <w:rFonts w:eastAsiaTheme="minorHAnsi"/>
          <w:lang w:eastAsia="en-US"/>
        </w:rPr>
        <w:t xml:space="preserve"> </w:t>
      </w:r>
    </w:p>
    <w:p w14:paraId="689AE37E" w14:textId="77777777" w:rsidR="00C23FB5" w:rsidRPr="006D37E7" w:rsidRDefault="00AB7C31" w:rsidP="00047C12">
      <w:pPr>
        <w:ind w:firstLine="720"/>
        <w:jc w:val="both"/>
      </w:pPr>
      <w:bookmarkStart w:id="1" w:name="OLE_LINK4"/>
      <w:r w:rsidRPr="006D37E7">
        <w:t>Проверкой состава и содержания бюджетной отчетности установлен</w:t>
      </w:r>
      <w:r w:rsidR="00C23FB5" w:rsidRPr="006D37E7">
        <w:t>ы</w:t>
      </w:r>
      <w:r w:rsidRPr="006D37E7">
        <w:t xml:space="preserve"> нарушения при составлении </w:t>
      </w:r>
      <w:r w:rsidR="00C23FB5" w:rsidRPr="006D37E7">
        <w:t>20-ти форм бюджетной отчетности, составленной в соответствии с Инструкцией №191</w:t>
      </w:r>
      <w:r w:rsidR="00D052D1" w:rsidRPr="006D37E7">
        <w:t>н</w:t>
      </w:r>
      <w:r w:rsidR="00C23FB5" w:rsidRPr="006D37E7">
        <w:t>, в том числе 10 форм Комитета (из них 4 формы искажены более</w:t>
      </w:r>
      <w:r w:rsidR="000F0E2F" w:rsidRPr="006D37E7">
        <w:t>,</w:t>
      </w:r>
      <w:r w:rsidR="00C23FB5" w:rsidRPr="006D37E7">
        <w:t xml:space="preserve"> чем на 10%), 10 сводных форм Комитета и казенных учреждений (из них 4 формы искажены более</w:t>
      </w:r>
      <w:r w:rsidR="000F0E2F" w:rsidRPr="006D37E7">
        <w:t>,</w:t>
      </w:r>
      <w:r w:rsidR="00C23FB5" w:rsidRPr="006D37E7">
        <w:t xml:space="preserve"> чем на 10%). </w:t>
      </w:r>
    </w:p>
    <w:p w14:paraId="1916395C" w14:textId="77777777" w:rsidR="00C23FB5" w:rsidRPr="006D37E7" w:rsidRDefault="00C23FB5" w:rsidP="00C23FB5">
      <w:pPr>
        <w:ind w:firstLine="720"/>
        <w:jc w:val="both"/>
      </w:pPr>
      <w:r w:rsidRPr="006D37E7">
        <w:t>Кроме того, допущено искажение 13-ти форм бюджетной отчетности, составленной в соответствии с Приказом №33</w:t>
      </w:r>
      <w:r w:rsidR="00D052D1" w:rsidRPr="006D37E7">
        <w:t>н</w:t>
      </w:r>
      <w:r w:rsidRPr="006D37E7">
        <w:t>, в том числе 8 сводных форм (из них 3 формы искажены более</w:t>
      </w:r>
      <w:r w:rsidR="000F0E2F" w:rsidRPr="006D37E7">
        <w:t>,</w:t>
      </w:r>
      <w:r w:rsidRPr="006D37E7">
        <w:t xml:space="preserve"> чем на 10%), 5 форм учреждений (5 искажены более</w:t>
      </w:r>
      <w:r w:rsidR="000F0E2F" w:rsidRPr="006D37E7">
        <w:t xml:space="preserve">, </w:t>
      </w:r>
      <w:r w:rsidRPr="006D37E7">
        <w:t>чем на 10%).</w:t>
      </w:r>
    </w:p>
    <w:p w14:paraId="04A33712" w14:textId="77777777" w:rsidR="00D052D1" w:rsidRPr="006D37E7" w:rsidRDefault="00C23FB5" w:rsidP="00C23FB5">
      <w:pPr>
        <w:ind w:firstLine="720"/>
        <w:jc w:val="both"/>
      </w:pPr>
      <w:r w:rsidRPr="006D37E7">
        <w:t>В</w:t>
      </w:r>
      <w:r w:rsidR="00AB7C31" w:rsidRPr="006D37E7">
        <w:t xml:space="preserve"> ходе проверки </w:t>
      </w:r>
      <w:bookmarkEnd w:id="1"/>
      <w:r w:rsidRPr="006D37E7">
        <w:t>п</w:t>
      </w:r>
      <w:r w:rsidR="00390CD8" w:rsidRPr="006D37E7">
        <w:t xml:space="preserve">редставлены уточненные формы отчетности, которые сданы и приняты </w:t>
      </w:r>
      <w:proofErr w:type="spellStart"/>
      <w:r w:rsidR="004542C3" w:rsidRPr="006D37E7">
        <w:t>Облфин</w:t>
      </w:r>
      <w:r w:rsidR="00D052D1" w:rsidRPr="006D37E7">
        <w:t>ом</w:t>
      </w:r>
      <w:proofErr w:type="spellEnd"/>
      <w:r w:rsidR="00390CD8" w:rsidRPr="006D37E7">
        <w:t xml:space="preserve"> (письм</w:t>
      </w:r>
      <w:r w:rsidRPr="006D37E7">
        <w:t>а</w:t>
      </w:r>
      <w:r w:rsidR="00390CD8" w:rsidRPr="006D37E7">
        <w:t xml:space="preserve"> Комитета от </w:t>
      </w:r>
      <w:r w:rsidR="006A31F9" w:rsidRPr="006D37E7">
        <w:t>26</w:t>
      </w:r>
      <w:r w:rsidR="00390CD8" w:rsidRPr="006D37E7">
        <w:t>.0</w:t>
      </w:r>
      <w:r w:rsidR="006A31F9" w:rsidRPr="006D37E7">
        <w:t>3</w:t>
      </w:r>
      <w:r w:rsidR="00390CD8" w:rsidRPr="006D37E7">
        <w:t>.201</w:t>
      </w:r>
      <w:r w:rsidR="006A31F9" w:rsidRPr="006D37E7">
        <w:t>9</w:t>
      </w:r>
      <w:r w:rsidR="00390CD8" w:rsidRPr="006D37E7">
        <w:t xml:space="preserve"> №</w:t>
      </w:r>
      <w:r w:rsidR="006A31F9" w:rsidRPr="006D37E7">
        <w:t>15</w:t>
      </w:r>
      <w:r w:rsidR="00390CD8" w:rsidRPr="006D37E7">
        <w:t>-01-07/</w:t>
      </w:r>
      <w:r w:rsidRPr="006D37E7">
        <w:t>2/</w:t>
      </w:r>
      <w:r w:rsidR="006A31F9" w:rsidRPr="006D37E7">
        <w:t>1471</w:t>
      </w:r>
      <w:r w:rsidR="00D052D1" w:rsidRPr="006D37E7">
        <w:t xml:space="preserve"> и</w:t>
      </w:r>
      <w:r w:rsidRPr="006D37E7">
        <w:t xml:space="preserve"> №15-01-07/2/1470, </w:t>
      </w:r>
      <w:r w:rsidR="00047C12" w:rsidRPr="006D37E7">
        <w:t>от 05.0</w:t>
      </w:r>
      <w:r w:rsidRPr="006D37E7">
        <w:t>4.</w:t>
      </w:r>
      <w:r w:rsidR="00047C12" w:rsidRPr="006D37E7">
        <w:t>2019 №15-01-07</w:t>
      </w:r>
      <w:r w:rsidR="00D052D1" w:rsidRPr="006D37E7">
        <w:t>/</w:t>
      </w:r>
      <w:r w:rsidR="00047C12" w:rsidRPr="006D37E7">
        <w:t>2/17</w:t>
      </w:r>
      <w:r w:rsidR="00D052D1" w:rsidRPr="006D37E7">
        <w:t>47 и №15-01-07/2/17</w:t>
      </w:r>
      <w:r w:rsidR="00B4205A" w:rsidRPr="006D37E7">
        <w:t>77</w:t>
      </w:r>
      <w:r w:rsidR="00D052D1" w:rsidRPr="006D37E7">
        <w:t>).</w:t>
      </w:r>
    </w:p>
    <w:p w14:paraId="04846D4F" w14:textId="77777777" w:rsidR="000F0E2F" w:rsidRPr="006D37E7" w:rsidRDefault="00025EC8" w:rsidP="000F0E2F">
      <w:pPr>
        <w:autoSpaceDE w:val="0"/>
        <w:autoSpaceDN w:val="0"/>
        <w:adjustRightInd w:val="0"/>
        <w:ind w:firstLine="709"/>
        <w:jc w:val="both"/>
      </w:pPr>
      <w:r w:rsidRPr="006D37E7">
        <w:t xml:space="preserve">По фактам искажения </w:t>
      </w:r>
      <w:r w:rsidR="0056413D" w:rsidRPr="006D37E7">
        <w:t>1</w:t>
      </w:r>
      <w:r w:rsidR="00AC0D42" w:rsidRPr="006D37E7">
        <w:t>5</w:t>
      </w:r>
      <w:r w:rsidRPr="006D37E7">
        <w:t xml:space="preserve"> форм бюджетной отчетности более чем на 10% протокол</w:t>
      </w:r>
      <w:r w:rsidR="00D052D1" w:rsidRPr="006D37E7">
        <w:t>ы</w:t>
      </w:r>
      <w:r w:rsidRPr="006D37E7">
        <w:t xml:space="preserve"> об административной ответственности не составлял</w:t>
      </w:r>
      <w:r w:rsidR="00D052D1" w:rsidRPr="006D37E7">
        <w:t xml:space="preserve">ись </w:t>
      </w:r>
      <w:r w:rsidRPr="006D37E7">
        <w:t>в связи с устранением нарушений в соответствии с действующим законодательством</w:t>
      </w:r>
      <w:r w:rsidR="00ED5F40" w:rsidRPr="006D37E7">
        <w:rPr>
          <w:color w:val="000099"/>
        </w:rPr>
        <w:t>.</w:t>
      </w:r>
      <w:r w:rsidR="000F0E2F" w:rsidRPr="006D37E7">
        <w:rPr>
          <w:color w:val="000099"/>
        </w:rPr>
        <w:t xml:space="preserve"> </w:t>
      </w:r>
      <w:r w:rsidR="000F0E2F" w:rsidRPr="006D37E7">
        <w:t>По факт</w:t>
      </w:r>
      <w:r w:rsidR="00AC0D42" w:rsidRPr="006D37E7">
        <w:t>у</w:t>
      </w:r>
      <w:r w:rsidR="000F0E2F" w:rsidRPr="006D37E7">
        <w:t xml:space="preserve"> искажения </w:t>
      </w:r>
      <w:r w:rsidR="00AC0D42" w:rsidRPr="006D37E7">
        <w:t>1</w:t>
      </w:r>
      <w:r w:rsidR="000F0E2F" w:rsidRPr="006D37E7">
        <w:t xml:space="preserve"> форм</w:t>
      </w:r>
      <w:r w:rsidR="00AC0D42" w:rsidRPr="006D37E7">
        <w:t>ы</w:t>
      </w:r>
      <w:r w:rsidR="000F0E2F" w:rsidRPr="006D37E7">
        <w:t xml:space="preserve"> бюджетной отчетности более чем на 10% составлен</w:t>
      </w:r>
      <w:r w:rsidR="00AC0D42" w:rsidRPr="006D37E7">
        <w:t xml:space="preserve"> </w:t>
      </w:r>
      <w:r w:rsidR="000F0E2F" w:rsidRPr="006D37E7">
        <w:t xml:space="preserve">протокол об административной ответственности на </w:t>
      </w:r>
      <w:r w:rsidR="007422E8" w:rsidRPr="006D37E7">
        <w:t>главного бухга</w:t>
      </w:r>
      <w:r w:rsidR="00AC0D42" w:rsidRPr="006D37E7">
        <w:t>л</w:t>
      </w:r>
      <w:r w:rsidR="007422E8" w:rsidRPr="006D37E7">
        <w:t>тера</w:t>
      </w:r>
      <w:r w:rsidR="000F0E2F" w:rsidRPr="006D37E7">
        <w:t xml:space="preserve"> Агентства по развитию</w:t>
      </w:r>
      <w:r w:rsidR="00AC0D42" w:rsidRPr="006D37E7">
        <w:t xml:space="preserve"> туризма</w:t>
      </w:r>
      <w:r w:rsidR="000F0E2F" w:rsidRPr="006D37E7">
        <w:t>.</w:t>
      </w:r>
    </w:p>
    <w:p w14:paraId="676212EA" w14:textId="77777777" w:rsidR="000F0E2F" w:rsidRPr="006D37E7" w:rsidRDefault="000F0E2F" w:rsidP="000F0E2F">
      <w:pPr>
        <w:pStyle w:val="ab"/>
        <w:spacing w:after="0"/>
        <w:ind w:left="0" w:firstLine="709"/>
        <w:jc w:val="both"/>
        <w:rPr>
          <w:color w:val="000099"/>
        </w:rPr>
      </w:pPr>
      <w:r w:rsidRPr="006D37E7">
        <w:t xml:space="preserve">Информация о комплектности и соответствии установленным формам бюджетной отчетности представлена </w:t>
      </w:r>
      <w:r w:rsidRPr="006D37E7">
        <w:rPr>
          <w:color w:val="0000CC"/>
        </w:rPr>
        <w:t>в приложении №</w:t>
      </w:r>
      <w:r w:rsidR="00C652AC" w:rsidRPr="006D37E7">
        <w:rPr>
          <w:color w:val="0000CC"/>
        </w:rPr>
        <w:t>5</w:t>
      </w:r>
      <w:r w:rsidRPr="006D37E7">
        <w:rPr>
          <w:color w:val="0000CC"/>
        </w:rPr>
        <w:t>.</w:t>
      </w:r>
    </w:p>
    <w:p w14:paraId="387C8316" w14:textId="77777777" w:rsidR="00AB7C31" w:rsidRPr="006D37E7" w:rsidRDefault="00AB7C31" w:rsidP="00AB7C31">
      <w:pPr>
        <w:autoSpaceDE w:val="0"/>
        <w:autoSpaceDN w:val="0"/>
        <w:adjustRightInd w:val="0"/>
        <w:spacing w:before="120" w:after="120"/>
        <w:jc w:val="center"/>
        <w:outlineLvl w:val="0"/>
        <w:rPr>
          <w:b/>
          <w:bCs/>
        </w:rPr>
      </w:pPr>
      <w:r w:rsidRPr="006D37E7">
        <w:rPr>
          <w:b/>
        </w:rPr>
        <w:t xml:space="preserve">3. Исполнение </w:t>
      </w:r>
      <w:r w:rsidR="00124D7A" w:rsidRPr="006D37E7">
        <w:rPr>
          <w:b/>
        </w:rPr>
        <w:t>доходов</w:t>
      </w:r>
    </w:p>
    <w:p w14:paraId="1BBDA1EF" w14:textId="77777777" w:rsidR="007912BA" w:rsidRPr="006D37E7" w:rsidRDefault="00AB7C31" w:rsidP="007912BA">
      <w:pPr>
        <w:pStyle w:val="ConsPlusNormal"/>
        <w:ind w:firstLine="708"/>
        <w:jc w:val="both"/>
        <w:outlineLvl w:val="0"/>
        <w:rPr>
          <w:rFonts w:ascii="Times New Roman" w:eastAsia="Calibri" w:hAnsi="Times New Roman"/>
          <w:color w:val="0000CC"/>
          <w:sz w:val="24"/>
          <w:szCs w:val="24"/>
        </w:rPr>
      </w:pPr>
      <w:bookmarkStart w:id="2" w:name="OLE_LINK2"/>
      <w:r w:rsidRPr="006D37E7">
        <w:rPr>
          <w:rFonts w:ascii="Times New Roman" w:eastAsia="Calibri" w:hAnsi="Times New Roman"/>
          <w:sz w:val="24"/>
          <w:szCs w:val="24"/>
        </w:rPr>
        <w:t xml:space="preserve">Данные об администрируемых Комитетом доходах и фактическом поступлении за 2018 год </w:t>
      </w:r>
      <w:r w:rsidR="00375258" w:rsidRPr="006D37E7">
        <w:rPr>
          <w:rFonts w:ascii="Times New Roman" w:eastAsia="Calibri" w:hAnsi="Times New Roman"/>
          <w:sz w:val="24"/>
          <w:szCs w:val="24"/>
        </w:rPr>
        <w:t>с учетом уточненной формы бюджетной отчетности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Отчет (ф. 0503127)  о</w:t>
      </w:r>
      <w:r w:rsidRPr="006D37E7">
        <w:rPr>
          <w:rFonts w:ascii="Times New Roman" w:eastAsia="Calibri" w:hAnsi="Times New Roman"/>
          <w:sz w:val="24"/>
          <w:szCs w:val="24"/>
        </w:rPr>
        <w:t xml:space="preserve">тражены </w:t>
      </w:r>
      <w:r w:rsidRPr="006D37E7">
        <w:rPr>
          <w:rFonts w:ascii="Times New Roman" w:eastAsia="Calibri" w:hAnsi="Times New Roman"/>
          <w:color w:val="0000CC"/>
          <w:sz w:val="24"/>
          <w:szCs w:val="24"/>
        </w:rPr>
        <w:t xml:space="preserve">в </w:t>
      </w:r>
      <w:r w:rsidR="007912BA" w:rsidRPr="006D37E7">
        <w:rPr>
          <w:rFonts w:ascii="Times New Roman" w:eastAsia="Calibri" w:hAnsi="Times New Roman"/>
          <w:color w:val="0000CC"/>
          <w:sz w:val="24"/>
          <w:szCs w:val="24"/>
        </w:rPr>
        <w:t xml:space="preserve">приложении </w:t>
      </w:r>
      <w:r w:rsidRPr="006D37E7">
        <w:rPr>
          <w:rFonts w:ascii="Times New Roman" w:eastAsia="Calibri" w:hAnsi="Times New Roman"/>
          <w:color w:val="0000CC"/>
          <w:sz w:val="24"/>
          <w:szCs w:val="24"/>
        </w:rPr>
        <w:t>№</w:t>
      </w:r>
      <w:r w:rsidR="00C652AC" w:rsidRPr="006D37E7">
        <w:rPr>
          <w:rFonts w:ascii="Times New Roman" w:eastAsia="Calibri" w:hAnsi="Times New Roman"/>
          <w:color w:val="0000CC"/>
          <w:sz w:val="24"/>
          <w:szCs w:val="24"/>
        </w:rPr>
        <w:t>6</w:t>
      </w:r>
      <w:r w:rsidRPr="006D37E7">
        <w:rPr>
          <w:rFonts w:ascii="Times New Roman" w:eastAsia="Calibri" w:hAnsi="Times New Roman"/>
          <w:color w:val="0000CC"/>
          <w:sz w:val="24"/>
          <w:szCs w:val="24"/>
        </w:rPr>
        <w:t>.</w:t>
      </w:r>
      <w:r w:rsidR="007912BA" w:rsidRPr="006D37E7">
        <w:rPr>
          <w:rFonts w:ascii="Times New Roman" w:eastAsia="Calibri" w:hAnsi="Times New Roman"/>
          <w:color w:val="0000CC"/>
          <w:sz w:val="24"/>
          <w:szCs w:val="24"/>
        </w:rPr>
        <w:t xml:space="preserve"> </w:t>
      </w:r>
    </w:p>
    <w:p w14:paraId="54FA177A" w14:textId="77777777" w:rsidR="00AB7C31" w:rsidRPr="006D37E7" w:rsidRDefault="007912BA" w:rsidP="007912BA">
      <w:pPr>
        <w:pStyle w:val="ConsPlusNormal"/>
        <w:ind w:firstLine="708"/>
        <w:jc w:val="both"/>
        <w:outlineLvl w:val="0"/>
        <w:rPr>
          <w:rFonts w:ascii="Times New Roman" w:eastAsia="Calibri" w:hAnsi="Times New Roman"/>
          <w:sz w:val="24"/>
          <w:szCs w:val="24"/>
        </w:rPr>
      </w:pPr>
      <w:r w:rsidRPr="006D37E7">
        <w:rPr>
          <w:rFonts w:ascii="Times New Roman" w:eastAsia="Calibri" w:hAnsi="Times New Roman"/>
          <w:sz w:val="24"/>
          <w:szCs w:val="24"/>
        </w:rPr>
        <w:t>В 2018 году</w:t>
      </w:r>
      <w:r w:rsidR="00AB7C31" w:rsidRPr="006D37E7">
        <w:rPr>
          <w:rFonts w:ascii="Times New Roman" w:eastAsia="Calibri" w:hAnsi="Times New Roman"/>
          <w:sz w:val="24"/>
          <w:szCs w:val="24"/>
        </w:rPr>
        <w:t xml:space="preserve"> доходы поступили в сумме 59591,2 тыс. руб., что превышает плановые назначения на </w:t>
      </w:r>
      <w:r w:rsidR="00375258" w:rsidRPr="006D37E7">
        <w:rPr>
          <w:rFonts w:ascii="Times New Roman" w:eastAsia="Calibri" w:hAnsi="Times New Roman"/>
          <w:sz w:val="24"/>
          <w:szCs w:val="24"/>
        </w:rPr>
        <w:t>79,2</w:t>
      </w:r>
      <w:r w:rsidR="00AB7C31" w:rsidRPr="006D37E7">
        <w:rPr>
          <w:rFonts w:ascii="Times New Roman" w:eastAsia="Calibri" w:hAnsi="Times New Roman"/>
          <w:sz w:val="24"/>
          <w:szCs w:val="24"/>
        </w:rPr>
        <w:t xml:space="preserve"> тыс. руб.</w:t>
      </w:r>
      <w:r w:rsidR="00AC0D42" w:rsidRPr="006D37E7">
        <w:rPr>
          <w:rFonts w:ascii="Times New Roman" w:eastAsia="Calibri" w:hAnsi="Times New Roman"/>
          <w:sz w:val="24"/>
          <w:szCs w:val="24"/>
        </w:rPr>
        <w:t>,</w:t>
      </w:r>
      <w:r w:rsidR="00AB7C31" w:rsidRPr="006D37E7">
        <w:rPr>
          <w:rFonts w:ascii="Times New Roman" w:eastAsia="Calibri" w:hAnsi="Times New Roman"/>
          <w:sz w:val="24"/>
          <w:szCs w:val="24"/>
        </w:rPr>
        <w:t xml:space="preserve"> или</w:t>
      </w:r>
      <w:r w:rsidR="00AC0D42" w:rsidRPr="006D37E7">
        <w:rPr>
          <w:rFonts w:ascii="Times New Roman" w:eastAsia="Calibri" w:hAnsi="Times New Roman"/>
          <w:sz w:val="24"/>
          <w:szCs w:val="24"/>
        </w:rPr>
        <w:t xml:space="preserve"> на </w:t>
      </w:r>
      <w:r w:rsidR="00375258" w:rsidRPr="006D37E7">
        <w:rPr>
          <w:rFonts w:ascii="Times New Roman" w:eastAsia="Calibri" w:hAnsi="Times New Roman"/>
          <w:sz w:val="24"/>
          <w:szCs w:val="24"/>
        </w:rPr>
        <w:t>0,1 %</w:t>
      </w:r>
      <w:r w:rsidR="00AB7C31" w:rsidRPr="006D37E7">
        <w:rPr>
          <w:rFonts w:ascii="Times New Roman" w:eastAsia="Calibri" w:hAnsi="Times New Roman"/>
          <w:sz w:val="24"/>
          <w:szCs w:val="24"/>
        </w:rPr>
        <w:t xml:space="preserve">, в разрезе источников доходов исполнение по отношению к прогнозным показателям составило от 66,7 до 100 процентов.  </w:t>
      </w:r>
    </w:p>
    <w:bookmarkEnd w:id="2"/>
    <w:p w14:paraId="1963925E" w14:textId="77777777" w:rsidR="00F440B8" w:rsidRPr="006D37E7" w:rsidRDefault="00F440B8" w:rsidP="007912BA">
      <w:pPr>
        <w:pStyle w:val="ConsPlusNormal"/>
        <w:ind w:firstLine="708"/>
        <w:jc w:val="both"/>
        <w:outlineLvl w:val="0"/>
        <w:rPr>
          <w:rFonts w:ascii="Times New Roman" w:eastAsia="Calibri" w:hAnsi="Times New Roman"/>
          <w:sz w:val="24"/>
          <w:szCs w:val="24"/>
        </w:rPr>
      </w:pPr>
      <w:r w:rsidRPr="006D37E7">
        <w:rPr>
          <w:rFonts w:ascii="Times New Roman" w:eastAsia="Calibri" w:hAnsi="Times New Roman"/>
          <w:sz w:val="24"/>
          <w:szCs w:val="24"/>
        </w:rPr>
        <w:t xml:space="preserve">В соответствии со Стандартом финансового контроля КСП отклонение прогнозных и фактических поступлений, превосходящее 10 % как в </w:t>
      </w:r>
      <w:proofErr w:type="gramStart"/>
      <w:r w:rsidRPr="006D37E7">
        <w:rPr>
          <w:rFonts w:ascii="Times New Roman" w:eastAsia="Calibri" w:hAnsi="Times New Roman"/>
          <w:sz w:val="24"/>
          <w:szCs w:val="24"/>
        </w:rPr>
        <w:t>положительную</w:t>
      </w:r>
      <w:proofErr w:type="gramEnd"/>
      <w:r w:rsidRPr="006D37E7">
        <w:rPr>
          <w:rFonts w:ascii="Times New Roman" w:eastAsia="Calibri" w:hAnsi="Times New Roman"/>
          <w:sz w:val="24"/>
          <w:szCs w:val="24"/>
        </w:rPr>
        <w:t xml:space="preserve"> так и в отрицательную сторону, полученное при анализе результата, следует расценивать как некачественное планирование. </w:t>
      </w:r>
      <w:r w:rsidR="00BB1191" w:rsidRPr="006D37E7">
        <w:rPr>
          <w:rFonts w:ascii="Times New Roman" w:eastAsia="Calibri" w:hAnsi="Times New Roman"/>
          <w:sz w:val="24"/>
          <w:szCs w:val="24"/>
        </w:rPr>
        <w:t>О</w:t>
      </w:r>
      <w:r w:rsidRPr="006D37E7">
        <w:rPr>
          <w:rFonts w:ascii="Times New Roman" w:eastAsia="Calibri" w:hAnsi="Times New Roman"/>
          <w:sz w:val="24"/>
          <w:szCs w:val="24"/>
        </w:rPr>
        <w:t xml:space="preserve">тклонение исполнения доходов по отношению к прогнозным показателям превысило 10 % </w:t>
      </w:r>
      <w:r w:rsidR="00BB1191" w:rsidRPr="006D37E7">
        <w:rPr>
          <w:rFonts w:ascii="Times New Roman" w:eastAsia="Calibri" w:hAnsi="Times New Roman"/>
          <w:sz w:val="24"/>
          <w:szCs w:val="24"/>
        </w:rPr>
        <w:t xml:space="preserve">только </w:t>
      </w:r>
      <w:r w:rsidRPr="006D37E7">
        <w:rPr>
          <w:rFonts w:ascii="Times New Roman" w:eastAsia="Calibri" w:hAnsi="Times New Roman"/>
          <w:sz w:val="24"/>
          <w:szCs w:val="24"/>
        </w:rPr>
        <w:t>по коду 812 1 08 07300 01 0000 110 «Прочие государственные пошлины за совершение прочих юридически значимых действий, подлежащие зачислению в бюджет субъекта Российской Федерации»</w:t>
      </w:r>
      <w:r w:rsidR="00AC0D42" w:rsidRPr="006D37E7">
        <w:rPr>
          <w:rFonts w:ascii="Times New Roman" w:eastAsia="Calibri" w:hAnsi="Times New Roman"/>
          <w:sz w:val="24"/>
          <w:szCs w:val="24"/>
        </w:rPr>
        <w:t xml:space="preserve">. </w:t>
      </w:r>
    </w:p>
    <w:p w14:paraId="1BF2DAF8" w14:textId="77777777" w:rsidR="00F440B8" w:rsidRPr="006D37E7" w:rsidRDefault="00F440B8" w:rsidP="00F440B8">
      <w:pPr>
        <w:autoSpaceDE w:val="0"/>
        <w:autoSpaceDN w:val="0"/>
        <w:adjustRightInd w:val="0"/>
        <w:ind w:firstLine="540"/>
        <w:jc w:val="both"/>
        <w:outlineLvl w:val="2"/>
      </w:pPr>
      <w:r w:rsidRPr="006D37E7">
        <w:t xml:space="preserve">В адрес </w:t>
      </w:r>
      <w:proofErr w:type="spellStart"/>
      <w:r w:rsidRPr="006D37E7">
        <w:t>Облфина</w:t>
      </w:r>
      <w:proofErr w:type="spellEnd"/>
      <w:r w:rsidRPr="006D37E7">
        <w:t xml:space="preserve"> Комитетом направлялись письма с предложением уточнения бюджетных назначений по доходам на 2018 год, из которых при внесении изменений в Закон об областном </w:t>
      </w:r>
      <w:r w:rsidRPr="006D37E7">
        <w:lastRenderedPageBreak/>
        <w:t>бюджете было учтено письмо от 18.10.2018 №15-01-07/2/5301, более поздни</w:t>
      </w:r>
      <w:r w:rsidR="00C652AC" w:rsidRPr="006D37E7">
        <w:t>е</w:t>
      </w:r>
      <w:r w:rsidRPr="006D37E7">
        <w:t xml:space="preserve"> обращени</w:t>
      </w:r>
      <w:r w:rsidR="00C652AC" w:rsidRPr="006D37E7">
        <w:t>я</w:t>
      </w:r>
      <w:r w:rsidRPr="006D37E7">
        <w:t xml:space="preserve"> в </w:t>
      </w:r>
      <w:proofErr w:type="spellStart"/>
      <w:r w:rsidRPr="006D37E7">
        <w:t>Облфин</w:t>
      </w:r>
      <w:proofErr w:type="spellEnd"/>
      <w:r w:rsidRPr="006D37E7">
        <w:t xml:space="preserve"> учтены не были.</w:t>
      </w:r>
    </w:p>
    <w:p w14:paraId="4EC7261F" w14:textId="77777777" w:rsidR="00AC0D42" w:rsidRPr="006D37E7" w:rsidRDefault="00AC0D42" w:rsidP="00AB7C31">
      <w:pPr>
        <w:autoSpaceDE w:val="0"/>
        <w:autoSpaceDN w:val="0"/>
        <w:adjustRightInd w:val="0"/>
        <w:spacing w:before="120" w:after="120"/>
        <w:jc w:val="center"/>
        <w:rPr>
          <w:b/>
        </w:rPr>
      </w:pPr>
    </w:p>
    <w:p w14:paraId="490E5EC9" w14:textId="77777777" w:rsidR="00AC0D42" w:rsidRPr="006D37E7" w:rsidRDefault="00AC0D42" w:rsidP="00AB7C31">
      <w:pPr>
        <w:autoSpaceDE w:val="0"/>
        <w:autoSpaceDN w:val="0"/>
        <w:adjustRightInd w:val="0"/>
        <w:spacing w:before="120" w:after="120"/>
        <w:jc w:val="center"/>
        <w:rPr>
          <w:b/>
        </w:rPr>
      </w:pPr>
    </w:p>
    <w:p w14:paraId="47571199" w14:textId="77777777" w:rsidR="00EA7F70" w:rsidRPr="006D37E7" w:rsidRDefault="00EA7F70" w:rsidP="00AB7C31">
      <w:pPr>
        <w:autoSpaceDE w:val="0"/>
        <w:autoSpaceDN w:val="0"/>
        <w:adjustRightInd w:val="0"/>
        <w:spacing w:before="120" w:after="120"/>
        <w:jc w:val="center"/>
        <w:rPr>
          <w:b/>
        </w:rPr>
      </w:pPr>
    </w:p>
    <w:p w14:paraId="724AE67B" w14:textId="77777777" w:rsidR="00AB7C31" w:rsidRPr="006D37E7" w:rsidRDefault="00AB7C31" w:rsidP="00AB7C31">
      <w:pPr>
        <w:autoSpaceDE w:val="0"/>
        <w:autoSpaceDN w:val="0"/>
        <w:adjustRightInd w:val="0"/>
        <w:spacing w:before="120" w:after="120"/>
        <w:jc w:val="center"/>
        <w:rPr>
          <w:b/>
        </w:rPr>
      </w:pPr>
      <w:r w:rsidRPr="006D37E7">
        <w:rPr>
          <w:b/>
        </w:rPr>
        <w:t>4. Исполнение расходов</w:t>
      </w:r>
    </w:p>
    <w:p w14:paraId="3E78FCF6" w14:textId="77777777" w:rsidR="00AB7C31" w:rsidRPr="006D37E7" w:rsidRDefault="00AB7C31" w:rsidP="00AB7C31">
      <w:pPr>
        <w:ind w:firstLine="567"/>
        <w:jc w:val="both"/>
        <w:rPr>
          <w:b/>
          <w:bCs/>
          <w:color w:val="000099"/>
        </w:rPr>
      </w:pPr>
      <w:r w:rsidRPr="006D37E7">
        <w:t xml:space="preserve">Законом об областном бюджете Комитету на 2018 год предусмотрены расходы в сумме </w:t>
      </w:r>
      <w:r w:rsidRPr="006D37E7">
        <w:rPr>
          <w:bCs/>
        </w:rPr>
        <w:t>1 638 549,9</w:t>
      </w:r>
      <w:r w:rsidRPr="006D37E7">
        <w:t xml:space="preserve"> тыс. руб., в окончательной редакции Комитету утверждены ассигнования в сумме 1 749 274,0 тыс. руб</w:t>
      </w:r>
      <w:r w:rsidR="00D139CC" w:rsidRPr="006D37E7">
        <w:t xml:space="preserve">. </w:t>
      </w:r>
      <w:r w:rsidR="00D139CC" w:rsidRPr="006D37E7">
        <w:rPr>
          <w:color w:val="0000CC"/>
        </w:rPr>
        <w:t>(приложение №</w:t>
      </w:r>
      <w:r w:rsidR="00051770" w:rsidRPr="006D37E7">
        <w:rPr>
          <w:color w:val="0000CC"/>
        </w:rPr>
        <w:t>7</w:t>
      </w:r>
      <w:r w:rsidR="00D139CC" w:rsidRPr="006D37E7">
        <w:rPr>
          <w:color w:val="0000CC"/>
        </w:rPr>
        <w:t>).</w:t>
      </w:r>
      <w:r w:rsidRPr="006D37E7">
        <w:rPr>
          <w:color w:val="000099"/>
        </w:rPr>
        <w:t xml:space="preserve"> </w:t>
      </w:r>
    </w:p>
    <w:p w14:paraId="428D4202" w14:textId="77777777" w:rsidR="00AB7C31" w:rsidRPr="006D37E7" w:rsidRDefault="00AB7C31" w:rsidP="00AB7C31">
      <w:pPr>
        <w:autoSpaceDE w:val="0"/>
        <w:autoSpaceDN w:val="0"/>
        <w:adjustRightInd w:val="0"/>
        <w:ind w:firstLine="567"/>
        <w:jc w:val="both"/>
      </w:pPr>
      <w:r w:rsidRPr="006D37E7">
        <w:t xml:space="preserve">Согласно бюджетной росписи и отчету об исполнении бюджета (ф. 0305127) бюджетные назначения составили </w:t>
      </w:r>
      <w:r w:rsidRPr="006D37E7">
        <w:rPr>
          <w:bCs/>
        </w:rPr>
        <w:t>1</w:t>
      </w:r>
      <w:r w:rsidR="00C6267B" w:rsidRPr="006D37E7">
        <w:rPr>
          <w:bCs/>
        </w:rPr>
        <w:t xml:space="preserve"> </w:t>
      </w:r>
      <w:r w:rsidRPr="006D37E7">
        <w:rPr>
          <w:bCs/>
        </w:rPr>
        <w:t>782 338,4</w:t>
      </w:r>
      <w:r w:rsidRPr="006D37E7">
        <w:t xml:space="preserve"> тыс. руб., или на 143788,5 тыс. руб. больше утвержденных первоначально Законом об областном бюджете, и на 33064,4 тыс. руб.</w:t>
      </w:r>
      <w:r w:rsidR="00AC0D42" w:rsidRPr="006D37E7">
        <w:t>,</w:t>
      </w:r>
      <w:r w:rsidRPr="006D37E7">
        <w:t xml:space="preserve"> или </w:t>
      </w:r>
      <w:r w:rsidR="00AC0D42" w:rsidRPr="006D37E7">
        <w:t xml:space="preserve">на </w:t>
      </w:r>
      <w:r w:rsidRPr="006D37E7">
        <w:t xml:space="preserve">1,9% больше утвержденных в окончательной редакции Закона об областном бюджете. </w:t>
      </w:r>
    </w:p>
    <w:p w14:paraId="402A1BFF" w14:textId="77777777" w:rsidR="00616DBC" w:rsidRPr="006D37E7" w:rsidRDefault="00616DBC" w:rsidP="00616DBC">
      <w:pPr>
        <w:autoSpaceDE w:val="0"/>
        <w:autoSpaceDN w:val="0"/>
        <w:adjustRightInd w:val="0"/>
        <w:ind w:firstLine="567"/>
        <w:jc w:val="both"/>
        <w:rPr>
          <w:rFonts w:eastAsia="Calibri"/>
          <w:lang w:eastAsia="en-US"/>
        </w:rPr>
      </w:pPr>
      <w:r w:rsidRPr="006D37E7">
        <w:t xml:space="preserve">Согласно данным формы 0503163 «Сведения об изменениях бюджетной росписи главного распорядителя бюджетных средств» расхождение сложилось в связи с внесением изменений в бюджетную роспись в соответствии с п.3 ст.217 БК РФ, ст.46 Закона об </w:t>
      </w:r>
      <w:r w:rsidRPr="006D37E7">
        <w:rPr>
          <w:rFonts w:eastAsia="Calibri"/>
          <w:lang w:eastAsia="en-US"/>
        </w:rPr>
        <w:t>областном бюджете, законами Волгоградской области от 30.05.2018 №66-ОД, от 19.09.2018 №99-ОД о внесении изменений в Закон об областном бюджете.</w:t>
      </w:r>
    </w:p>
    <w:p w14:paraId="2A80D43D" w14:textId="77777777" w:rsidR="00616DBC" w:rsidRPr="006D37E7" w:rsidRDefault="005730D1" w:rsidP="00AB7C31">
      <w:pPr>
        <w:autoSpaceDE w:val="0"/>
        <w:autoSpaceDN w:val="0"/>
        <w:adjustRightInd w:val="0"/>
        <w:ind w:firstLine="567"/>
        <w:jc w:val="both"/>
      </w:pPr>
      <w:r w:rsidRPr="006D37E7">
        <w:t xml:space="preserve">Согласно уведомлениям об изменении бюджетных ассигнований и лимитов </w:t>
      </w:r>
      <w:r w:rsidR="00C6267B" w:rsidRPr="006D37E7">
        <w:t>бюджетных</w:t>
      </w:r>
      <w:r w:rsidRPr="006D37E7">
        <w:t xml:space="preserve"> обязательств дополнительно увеличены средства</w:t>
      </w:r>
      <w:r w:rsidR="00C6267B" w:rsidRPr="006D37E7">
        <w:t xml:space="preserve"> за счет</w:t>
      </w:r>
      <w:r w:rsidRPr="006D37E7">
        <w:t>:</w:t>
      </w:r>
    </w:p>
    <w:p w14:paraId="2B5AF065" w14:textId="77777777" w:rsidR="00124D7A" w:rsidRPr="006D37E7" w:rsidRDefault="00124D7A" w:rsidP="00124D7A">
      <w:pPr>
        <w:autoSpaceDE w:val="0"/>
        <w:autoSpaceDN w:val="0"/>
        <w:adjustRightInd w:val="0"/>
        <w:ind w:firstLine="567"/>
        <w:jc w:val="both"/>
        <w:rPr>
          <w:rFonts w:eastAsia="Calibri"/>
          <w:lang w:eastAsia="en-US"/>
        </w:rPr>
      </w:pPr>
      <w:r w:rsidRPr="006D37E7">
        <w:rPr>
          <w:rFonts w:eastAsia="Calibri"/>
          <w:lang w:eastAsia="en-US"/>
        </w:rPr>
        <w:t>-перераспределения бюджетных ассигнований между главными распорядителями бюджетных средств на 32864,4 тыс. рублей. На основании абз.6 ст. 46 Закона об областном бюджете увеличены ассигнования на 298,0 тыс. руб. по подразделу 0804 на премирование руководителя Комитета по распоряжению Губернатора Волгоградской области от 20.12.2018 №230-р</w:t>
      </w:r>
      <w:r w:rsidR="00AC0D42" w:rsidRPr="006D37E7">
        <w:rPr>
          <w:rFonts w:eastAsia="Calibri"/>
          <w:lang w:eastAsia="en-US"/>
        </w:rPr>
        <w:t xml:space="preserve">; </w:t>
      </w:r>
      <w:r w:rsidRPr="006D37E7">
        <w:rPr>
          <w:rFonts w:eastAsia="Calibri"/>
          <w:lang w:eastAsia="en-US"/>
        </w:rPr>
        <w:t xml:space="preserve">на 18963,0 тыс. руб. по подразделам 0113, 0704, 0706, 0801, 0804 на предоставление мер социальной поддержки, на выплату стипендии, на оплату труда с начислениями. На основании абз.11 ст. </w:t>
      </w:r>
      <w:r w:rsidRPr="006D37E7">
        <w:t xml:space="preserve">46 Закона об </w:t>
      </w:r>
      <w:r w:rsidRPr="006D37E7">
        <w:rPr>
          <w:rFonts w:eastAsia="Calibri"/>
          <w:lang w:eastAsia="en-US"/>
        </w:rPr>
        <w:t>областном бюджете по подразделам 0113, 0412, 0706, 0801, 0804 увеличены ассигнования на 13603,4 тыс. руб. на оплату кредиторской задолженности 2017 года</w:t>
      </w:r>
      <w:r w:rsidR="001A10C3" w:rsidRPr="006D37E7">
        <w:rPr>
          <w:rFonts w:eastAsia="Calibri"/>
          <w:lang w:eastAsia="en-US"/>
        </w:rPr>
        <w:t xml:space="preserve"> </w:t>
      </w:r>
      <w:r w:rsidRPr="006D37E7">
        <w:rPr>
          <w:rFonts w:eastAsia="Calibri"/>
          <w:lang w:eastAsia="en-US"/>
        </w:rPr>
        <w:t xml:space="preserve"> и исполнительных листов;</w:t>
      </w:r>
    </w:p>
    <w:p w14:paraId="5AC50A10" w14:textId="77777777" w:rsidR="00C6267B" w:rsidRPr="006D37E7" w:rsidRDefault="00051770" w:rsidP="00051770">
      <w:pPr>
        <w:autoSpaceDE w:val="0"/>
        <w:autoSpaceDN w:val="0"/>
        <w:adjustRightInd w:val="0"/>
        <w:ind w:firstLine="567"/>
        <w:jc w:val="both"/>
        <w:rPr>
          <w:rFonts w:eastAsia="Calibri"/>
          <w:lang w:eastAsia="en-US"/>
        </w:rPr>
      </w:pPr>
      <w:r w:rsidRPr="006D37E7">
        <w:t>-</w:t>
      </w:r>
      <w:r w:rsidR="00C6267B" w:rsidRPr="006D37E7">
        <w:rPr>
          <w:rFonts w:eastAsia="Calibri"/>
          <w:lang w:eastAsia="en-US"/>
        </w:rPr>
        <w:t>безвозмездных поступлений от физических и юридических лиц сверх объемов, утвержденных законом (решением) о бюджете</w:t>
      </w:r>
      <w:r w:rsidR="00AC0D42" w:rsidRPr="006D37E7">
        <w:rPr>
          <w:rFonts w:eastAsia="Calibri"/>
          <w:lang w:eastAsia="en-US"/>
        </w:rPr>
        <w:t>,</w:t>
      </w:r>
      <w:r w:rsidR="00C6267B" w:rsidRPr="006D37E7">
        <w:rPr>
          <w:rFonts w:eastAsia="Calibri"/>
          <w:lang w:eastAsia="en-US"/>
        </w:rPr>
        <w:t xml:space="preserve"> на основании абз.8 п.3 ст. 217 БК РФ на </w:t>
      </w:r>
      <w:r w:rsidR="00E912C6" w:rsidRPr="006D37E7">
        <w:rPr>
          <w:rFonts w:eastAsia="Calibri"/>
          <w:lang w:eastAsia="en-US"/>
        </w:rPr>
        <w:t xml:space="preserve">200,0 тыс. руб. </w:t>
      </w:r>
      <w:r w:rsidR="00C6267B" w:rsidRPr="006D37E7">
        <w:rPr>
          <w:rFonts w:eastAsia="Calibri"/>
          <w:lang w:eastAsia="en-US"/>
        </w:rPr>
        <w:t>по</w:t>
      </w:r>
      <w:r w:rsidR="009B4FAB" w:rsidRPr="006D37E7">
        <w:rPr>
          <w:rFonts w:eastAsia="Calibri"/>
          <w:lang w:eastAsia="en-US"/>
        </w:rPr>
        <w:t xml:space="preserve"> подразделу 0113</w:t>
      </w:r>
      <w:r w:rsidR="00C6267B" w:rsidRPr="006D37E7">
        <w:rPr>
          <w:rFonts w:eastAsia="Calibri"/>
          <w:lang w:eastAsia="en-US"/>
        </w:rPr>
        <w:t xml:space="preserve"> (</w:t>
      </w:r>
      <w:r w:rsidR="00124D7A" w:rsidRPr="006D37E7">
        <w:rPr>
          <w:rFonts w:eastAsia="Calibri"/>
          <w:lang w:eastAsia="en-US"/>
        </w:rPr>
        <w:t>подведомственному казенному учреждению)</w:t>
      </w:r>
      <w:r w:rsidR="00AC0D42" w:rsidRPr="006D37E7">
        <w:rPr>
          <w:rFonts w:eastAsia="Calibri"/>
          <w:lang w:eastAsia="en-US"/>
        </w:rPr>
        <w:t>.</w:t>
      </w:r>
    </w:p>
    <w:p w14:paraId="541FEA91" w14:textId="77777777" w:rsidR="00810600" w:rsidRPr="006D37E7" w:rsidRDefault="00AB7C31" w:rsidP="00810600">
      <w:pPr>
        <w:ind w:firstLine="567"/>
        <w:jc w:val="both"/>
      </w:pPr>
      <w:r w:rsidRPr="006D37E7">
        <w:t xml:space="preserve">Исполнение кассовых расходов составило </w:t>
      </w:r>
      <w:r w:rsidRPr="006D37E7">
        <w:rPr>
          <w:bCs/>
        </w:rPr>
        <w:t>1 766 592,1</w:t>
      </w:r>
      <w:r w:rsidRPr="006D37E7">
        <w:t xml:space="preserve"> тыс. руб., или 99,1% от </w:t>
      </w:r>
      <w:r w:rsidR="00CF6D9F" w:rsidRPr="006D37E7">
        <w:t xml:space="preserve">утвержденных </w:t>
      </w:r>
      <w:r w:rsidRPr="006D37E7">
        <w:t xml:space="preserve">ассигнований и 99,2% от доведенных лимитов. </w:t>
      </w:r>
      <w:r w:rsidR="00810600" w:rsidRPr="006D37E7">
        <w:t>Расходы на реализацию государственных программ составили 1722463,8 тыс.</w:t>
      </w:r>
      <w:r w:rsidR="00BB1191" w:rsidRPr="006D37E7">
        <w:t xml:space="preserve"> </w:t>
      </w:r>
      <w:r w:rsidR="00810600" w:rsidRPr="006D37E7">
        <w:t>руб., или 97,5% от всех расходов</w:t>
      </w:r>
      <w:r w:rsidR="00447758" w:rsidRPr="006D37E7">
        <w:t>, н</w:t>
      </w:r>
      <w:r w:rsidR="00810600" w:rsidRPr="006D37E7">
        <w:t xml:space="preserve">епрограммные расходы </w:t>
      </w:r>
      <w:r w:rsidR="00447758" w:rsidRPr="006D37E7">
        <w:t>-</w:t>
      </w:r>
      <w:r w:rsidR="00810600" w:rsidRPr="006D37E7">
        <w:t xml:space="preserve"> 44128,3 тыс. руб., или 2,5% от всех расходов. </w:t>
      </w:r>
    </w:p>
    <w:p w14:paraId="6776A5F3" w14:textId="77777777" w:rsidR="00AE42A5" w:rsidRPr="006D37E7" w:rsidRDefault="00AB7C31" w:rsidP="00AE42A5">
      <w:pPr>
        <w:ind w:firstLine="720"/>
        <w:jc w:val="both"/>
      </w:pPr>
      <w:r w:rsidRPr="006D37E7">
        <w:t xml:space="preserve">Общая сумма неисполненных назначений на 01.01.2019 составила 15746,3 тыс. руб., или 0,9% от утвержденных бюджетных назначений, и связана в основном с </w:t>
      </w:r>
      <w:r w:rsidR="00F52688" w:rsidRPr="006D37E7">
        <w:t xml:space="preserve">отсутствием кассового плана на </w:t>
      </w:r>
      <w:r w:rsidR="00BA2EF9" w:rsidRPr="006D37E7">
        <w:t>11982,6</w:t>
      </w:r>
      <w:r w:rsidR="00F52688" w:rsidRPr="006D37E7">
        <w:t xml:space="preserve"> тыс.</w:t>
      </w:r>
      <w:r w:rsidR="00AE42A5" w:rsidRPr="006D37E7">
        <w:t xml:space="preserve"> </w:t>
      </w:r>
      <w:r w:rsidR="00F52688" w:rsidRPr="006D37E7">
        <w:t>руб.,</w:t>
      </w:r>
      <w:r w:rsidR="00D2307A" w:rsidRPr="006D37E7">
        <w:t xml:space="preserve"> </w:t>
      </w:r>
      <w:r w:rsidR="00F52688" w:rsidRPr="006D37E7">
        <w:t xml:space="preserve">а также </w:t>
      </w:r>
      <w:r w:rsidR="00C20D92" w:rsidRPr="006D37E7">
        <w:t xml:space="preserve">с </w:t>
      </w:r>
      <w:r w:rsidR="00AE42A5" w:rsidRPr="006D37E7">
        <w:t xml:space="preserve">отсутствием потребности </w:t>
      </w:r>
      <w:r w:rsidR="00C20D92" w:rsidRPr="006D37E7">
        <w:t xml:space="preserve">у </w:t>
      </w:r>
      <w:r w:rsidR="00AE42A5" w:rsidRPr="006D37E7">
        <w:t>учреждений</w:t>
      </w:r>
      <w:r w:rsidR="00C20D92" w:rsidRPr="006D37E7">
        <w:t xml:space="preserve"> и Комитета</w:t>
      </w:r>
      <w:r w:rsidR="00AE42A5" w:rsidRPr="006D37E7">
        <w:t xml:space="preserve"> на </w:t>
      </w:r>
      <w:r w:rsidR="00C20D92" w:rsidRPr="006D37E7">
        <w:t>3763,7</w:t>
      </w:r>
      <w:r w:rsidR="00AE42A5" w:rsidRPr="006D37E7">
        <w:t xml:space="preserve"> (</w:t>
      </w:r>
      <w:r w:rsidR="00C20D92" w:rsidRPr="006D37E7">
        <w:t xml:space="preserve">по причине уменьшения численности получателей выплат, </w:t>
      </w:r>
      <w:r w:rsidR="00AE42A5" w:rsidRPr="006D37E7">
        <w:t>регресс</w:t>
      </w:r>
      <w:r w:rsidR="00AC0D42" w:rsidRPr="006D37E7">
        <w:t>а</w:t>
      </w:r>
      <w:r w:rsidR="00AE42A5" w:rsidRPr="006D37E7">
        <w:t xml:space="preserve"> по начислениям на оплату труда, экономи</w:t>
      </w:r>
      <w:r w:rsidR="00AC0D42" w:rsidRPr="006D37E7">
        <w:t>и</w:t>
      </w:r>
      <w:r w:rsidR="00AE42A5" w:rsidRPr="006D37E7">
        <w:t xml:space="preserve"> по итогам конкурсных процедур</w:t>
      </w:r>
      <w:r w:rsidR="00051770" w:rsidRPr="006D37E7">
        <w:t xml:space="preserve"> и </w:t>
      </w:r>
      <w:r w:rsidR="00AE42A5" w:rsidRPr="006D37E7">
        <w:t>реорганизаци</w:t>
      </w:r>
      <w:r w:rsidR="00AC0D42" w:rsidRPr="006D37E7">
        <w:t>и</w:t>
      </w:r>
      <w:r w:rsidR="00AE42A5" w:rsidRPr="006D37E7">
        <w:t xml:space="preserve"> подведомственного учреждения).</w:t>
      </w:r>
    </w:p>
    <w:p w14:paraId="4DC93CFC" w14:textId="77777777" w:rsidR="000C65B4" w:rsidRPr="006D37E7" w:rsidRDefault="00447758" w:rsidP="00B9676C">
      <w:pPr>
        <w:ind w:firstLine="709"/>
        <w:jc w:val="both"/>
      </w:pPr>
      <w:r w:rsidRPr="006D37E7">
        <w:rPr>
          <w:bCs/>
        </w:rPr>
        <w:t>В</w:t>
      </w:r>
      <w:r w:rsidR="000C65B4" w:rsidRPr="006D37E7">
        <w:rPr>
          <w:bCs/>
        </w:rPr>
        <w:t xml:space="preserve"> 2018 году </w:t>
      </w:r>
      <w:r w:rsidR="00FC09D9" w:rsidRPr="006D37E7">
        <w:rPr>
          <w:bCs/>
        </w:rPr>
        <w:t>2</w:t>
      </w:r>
      <w:r w:rsidR="00810600" w:rsidRPr="006D37E7">
        <w:rPr>
          <w:bCs/>
        </w:rPr>
        <w:t xml:space="preserve"> </w:t>
      </w:r>
      <w:r w:rsidR="000C65B4" w:rsidRPr="006D37E7">
        <w:rPr>
          <w:bCs/>
        </w:rPr>
        <w:t xml:space="preserve">подведомственными казенными учреждениями принято обязательств на </w:t>
      </w:r>
      <w:r w:rsidR="00775275" w:rsidRPr="006D37E7">
        <w:rPr>
          <w:bCs/>
        </w:rPr>
        <w:t>64,2</w:t>
      </w:r>
      <w:r w:rsidR="00FC09D9" w:rsidRPr="006D37E7">
        <w:rPr>
          <w:bCs/>
        </w:rPr>
        <w:t> тыс. руб. больше, чем утверждены</w:t>
      </w:r>
      <w:r w:rsidR="000C65B4" w:rsidRPr="006D37E7">
        <w:rPr>
          <w:bCs/>
        </w:rPr>
        <w:t xml:space="preserve"> лимит</w:t>
      </w:r>
      <w:r w:rsidR="00FC09D9" w:rsidRPr="006D37E7">
        <w:rPr>
          <w:bCs/>
        </w:rPr>
        <w:t>ы</w:t>
      </w:r>
      <w:r w:rsidR="000C65B4" w:rsidRPr="006D37E7">
        <w:rPr>
          <w:bCs/>
        </w:rPr>
        <w:t xml:space="preserve"> бюджетных обязательств, что привело к нарушению п. 3 ст. 219 БК РФ</w:t>
      </w:r>
      <w:r w:rsidR="000C65B4" w:rsidRPr="006D37E7">
        <w:t>.</w:t>
      </w:r>
      <w:r w:rsidR="00B9676C" w:rsidRPr="006D37E7">
        <w:t xml:space="preserve"> </w:t>
      </w:r>
      <w:r w:rsidR="000C65B4" w:rsidRPr="006D37E7">
        <w:t>Основной причиной превышения лимитов бюджетных обязательств является начисление налогов и расходов по исполнительным документам, что исключает вину учреждений в превышении лимитов.</w:t>
      </w:r>
      <w:r w:rsidR="00775275" w:rsidRPr="006D37E7">
        <w:t xml:space="preserve"> </w:t>
      </w:r>
      <w:r w:rsidR="00124D7A" w:rsidRPr="006D37E7">
        <w:t>Учреждениями в адрес Комитета направлялись письма с просьбой об изменении лимитов бюджетных обязательств</w:t>
      </w:r>
      <w:r w:rsidR="001A10C3" w:rsidRPr="006D37E7">
        <w:t xml:space="preserve">, Комитетом направлялись письма в </w:t>
      </w:r>
      <w:proofErr w:type="spellStart"/>
      <w:r w:rsidR="001A10C3" w:rsidRPr="006D37E7">
        <w:t>Облфин</w:t>
      </w:r>
      <w:proofErr w:type="spellEnd"/>
      <w:r w:rsidR="00124D7A" w:rsidRPr="006D37E7">
        <w:t>.</w:t>
      </w:r>
      <w:r w:rsidR="00775275" w:rsidRPr="006D37E7">
        <w:t xml:space="preserve"> </w:t>
      </w:r>
    </w:p>
    <w:p w14:paraId="3C3563FE" w14:textId="77777777" w:rsidR="009C1EAC" w:rsidRPr="006D37E7" w:rsidRDefault="009C1EAC" w:rsidP="009C1EAC">
      <w:pPr>
        <w:autoSpaceDE w:val="0"/>
        <w:autoSpaceDN w:val="0"/>
        <w:adjustRightInd w:val="0"/>
        <w:spacing w:before="120" w:after="120"/>
        <w:jc w:val="center"/>
        <w:rPr>
          <w:b/>
        </w:rPr>
      </w:pPr>
      <w:r w:rsidRPr="006D37E7">
        <w:rPr>
          <w:b/>
        </w:rPr>
        <w:t>5. Состояние дебиторской и кредиторской задолженности</w:t>
      </w:r>
    </w:p>
    <w:p w14:paraId="6749D5F2" w14:textId="77777777" w:rsidR="00051770" w:rsidRPr="006D37E7" w:rsidRDefault="00051770" w:rsidP="00051770">
      <w:pPr>
        <w:spacing w:before="120" w:after="120"/>
        <w:ind w:firstLine="720"/>
        <w:jc w:val="center"/>
        <w:rPr>
          <w:i/>
          <w:u w:val="single"/>
        </w:rPr>
      </w:pPr>
      <w:r w:rsidRPr="006D37E7">
        <w:rPr>
          <w:i/>
          <w:u w:val="single"/>
        </w:rPr>
        <w:lastRenderedPageBreak/>
        <w:t>Состояние дебиторской задолженности:</w:t>
      </w:r>
    </w:p>
    <w:p w14:paraId="16A19A7B" w14:textId="77777777" w:rsidR="00051770" w:rsidRPr="006D37E7" w:rsidRDefault="00051770" w:rsidP="00051770">
      <w:pPr>
        <w:ind w:firstLine="720"/>
        <w:jc w:val="both"/>
      </w:pPr>
      <w:r w:rsidRPr="006D37E7">
        <w:t xml:space="preserve">Основная сумма задолженности приходится на расчеты по выданным авансам – 3917,7 тыс. руб., из которых дебиторская задолженность ГБУК «Волгоградский областной краеведческий музей» по субсидии на иные цели в сумме 3026,9 тыс. руб. </w:t>
      </w:r>
      <w:r w:rsidR="0099207B" w:rsidRPr="006D37E7">
        <w:t xml:space="preserve">образовалась </w:t>
      </w:r>
      <w:r w:rsidR="001A10C3" w:rsidRPr="006D37E7">
        <w:t>в соответствии с условиями договора</w:t>
      </w:r>
      <w:r w:rsidR="0099207B" w:rsidRPr="006D37E7">
        <w:t xml:space="preserve">, по которому </w:t>
      </w:r>
      <w:r w:rsidR="001A10C3" w:rsidRPr="006D37E7">
        <w:t>работы по подключению здания ЦУМа к системе централизованного теплоснабжения будут продолжаться</w:t>
      </w:r>
      <w:r w:rsidRPr="006D37E7">
        <w:t xml:space="preserve"> </w:t>
      </w:r>
      <w:r w:rsidR="001A10C3" w:rsidRPr="006D37E7">
        <w:t>в 2019 году</w:t>
      </w:r>
      <w:r w:rsidRPr="006D37E7">
        <w:t xml:space="preserve">. </w:t>
      </w:r>
    </w:p>
    <w:p w14:paraId="50B013EF" w14:textId="77777777" w:rsidR="00051770" w:rsidRPr="006D37E7" w:rsidRDefault="00051770" w:rsidP="00051770">
      <w:pPr>
        <w:ind w:firstLine="720"/>
        <w:jc w:val="both"/>
      </w:pPr>
      <w:r w:rsidRPr="006D37E7">
        <w:t xml:space="preserve">Кроме того, наиболее крупные суммы дебиторской задолженности сложились по следующим направлениям расходов: </w:t>
      </w:r>
    </w:p>
    <w:p w14:paraId="0DF99AF5" w14:textId="77777777" w:rsidR="00051770" w:rsidRPr="006D37E7" w:rsidRDefault="00051770" w:rsidP="00051770">
      <w:pPr>
        <w:ind w:firstLine="720"/>
        <w:jc w:val="both"/>
        <w:rPr>
          <w:rFonts w:eastAsiaTheme="minorHAnsi"/>
          <w:lang w:eastAsia="en-US"/>
        </w:rPr>
      </w:pPr>
      <w:r w:rsidRPr="006D37E7">
        <w:t>-</w:t>
      </w:r>
      <w:r w:rsidRPr="006D37E7">
        <w:rPr>
          <w:rFonts w:eastAsiaTheme="minorHAnsi"/>
          <w:lang w:eastAsia="en-US"/>
        </w:rPr>
        <w:t>расчеты по перечислениям другим бюджетам бюджетной системы Российской Федерации - 722,3 тыс. рублей. Задолженность сложилась по неиспользованным остаткам субвенций муниципальными образованиями Волгоградской области</w:t>
      </w:r>
      <w:r w:rsidR="00124D7A" w:rsidRPr="006D37E7">
        <w:t xml:space="preserve"> </w:t>
      </w:r>
      <w:r w:rsidR="00762BCE" w:rsidRPr="006D37E7">
        <w:t>на</w:t>
      </w:r>
      <w:r w:rsidR="00124D7A" w:rsidRPr="006D37E7">
        <w:t xml:space="preserve"> хранени</w:t>
      </w:r>
      <w:r w:rsidR="00762BCE" w:rsidRPr="006D37E7">
        <w:t>е</w:t>
      </w:r>
      <w:r w:rsidR="00124D7A" w:rsidRPr="006D37E7">
        <w:t>, комплектовани</w:t>
      </w:r>
      <w:r w:rsidR="00762BCE" w:rsidRPr="006D37E7">
        <w:t>е, учет</w:t>
      </w:r>
      <w:r w:rsidR="00124D7A" w:rsidRPr="006D37E7">
        <w:t xml:space="preserve"> и использовани</w:t>
      </w:r>
      <w:r w:rsidR="00762BCE" w:rsidRPr="006D37E7">
        <w:t>е</w:t>
      </w:r>
      <w:r w:rsidR="00124D7A" w:rsidRPr="006D37E7">
        <w:t xml:space="preserve"> архивных документов и архивных фондов, отнесенных к составу архивного фонда Волгоградской области</w:t>
      </w:r>
      <w:r w:rsidR="00762BCE" w:rsidRPr="006D37E7">
        <w:t>, а также</w:t>
      </w:r>
      <w:r w:rsidR="00124D7A" w:rsidRPr="006D37E7">
        <w:t xml:space="preserve"> </w:t>
      </w:r>
      <w:r w:rsidR="00762BCE" w:rsidRPr="006D37E7">
        <w:t>на 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 (поселках городского типа)</w:t>
      </w:r>
      <w:r w:rsidRPr="006D37E7">
        <w:rPr>
          <w:rFonts w:eastAsiaTheme="minorHAnsi"/>
          <w:lang w:eastAsia="en-US"/>
        </w:rPr>
        <w:t>, которые подлежат возврату в областной бюджет в 2019 году;</w:t>
      </w:r>
    </w:p>
    <w:p w14:paraId="3BBA6865" w14:textId="77777777" w:rsidR="00051770" w:rsidRPr="006D37E7" w:rsidRDefault="00051770" w:rsidP="00051770">
      <w:pPr>
        <w:pStyle w:val="ConsPlusNormal"/>
        <w:ind w:firstLine="708"/>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 xml:space="preserve">-расчеты с подотчетными лицами по оплате услуг связи – 242,9 тыс. рублей. Данная сумма задолженности сложилась по казенным учреждениям </w:t>
      </w:r>
      <w:r w:rsidR="00762BCE" w:rsidRPr="006D37E7">
        <w:rPr>
          <w:rFonts w:ascii="Times New Roman" w:eastAsiaTheme="minorHAnsi" w:hAnsi="Times New Roman" w:cs="Times New Roman"/>
          <w:sz w:val="24"/>
          <w:szCs w:val="24"/>
          <w:lang w:eastAsia="en-US"/>
        </w:rPr>
        <w:t xml:space="preserve">по работе с архивами (ГКУ ВО «Государственный архив Волгоградской области», ГКУ «Центр документации новейшей истории Волгоградской области») </w:t>
      </w:r>
      <w:r w:rsidRPr="006D37E7">
        <w:rPr>
          <w:rFonts w:ascii="Times New Roman" w:eastAsiaTheme="minorHAnsi" w:hAnsi="Times New Roman" w:cs="Times New Roman"/>
          <w:sz w:val="24"/>
          <w:szCs w:val="24"/>
          <w:lang w:eastAsia="en-US"/>
        </w:rPr>
        <w:t>в связи с выданными авансами на приобретение марок, конвертов;</w:t>
      </w:r>
    </w:p>
    <w:p w14:paraId="7943B7CA" w14:textId="77777777" w:rsidR="00051770" w:rsidRPr="006D37E7" w:rsidRDefault="00051770" w:rsidP="00051770">
      <w:pPr>
        <w:pStyle w:val="ConsPlusNormal"/>
        <w:ind w:firstLine="708"/>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-расчеты  по обязательным платежам – 589,8 тыс. руб. (по НДФЛ – 187,7 тыс. руб., по страховым взносам на обязательное социальное страхование на случай временной нетрудоспособности и в связи с материнством – 177,6 тыс. руб., страховым взносам на обязательное пенсионное страхование – 224,5 тыс. руб.).</w:t>
      </w:r>
    </w:p>
    <w:p w14:paraId="35EEBD10" w14:textId="77777777" w:rsidR="00051770" w:rsidRPr="006D37E7" w:rsidRDefault="00051770" w:rsidP="00051770">
      <w:pPr>
        <w:spacing w:before="120" w:after="120"/>
        <w:ind w:firstLine="720"/>
        <w:jc w:val="center"/>
        <w:rPr>
          <w:i/>
          <w:u w:val="single"/>
        </w:rPr>
      </w:pPr>
      <w:r w:rsidRPr="006D37E7">
        <w:rPr>
          <w:i/>
          <w:u w:val="single"/>
        </w:rPr>
        <w:t>Состояние кредиторской задолженности:</w:t>
      </w:r>
    </w:p>
    <w:p w14:paraId="22D7F23F" w14:textId="77777777" w:rsidR="00051770" w:rsidRPr="006D37E7" w:rsidRDefault="00051770" w:rsidP="00051770">
      <w:pPr>
        <w:ind w:firstLine="720"/>
        <w:jc w:val="both"/>
      </w:pPr>
      <w:r w:rsidRPr="006D37E7">
        <w:t>Кредиторская задолженность на 01.01.2019 по сравнению с началом 2018 года сократилась в 4,9 раза и  составила 7050,4 тыс. руб., в том числе долгосрочн</w:t>
      </w:r>
      <w:r w:rsidR="008960B1" w:rsidRPr="006D37E7">
        <w:t>ая задолженность 179,6 тыс. руб. – задолженность по государственной премии Волгоградской области в сфере литературы, искусства, архитектуры и культурно-просветительской деятельности (в связи  со смертью получателя -174,5 тыс. руб., в связи с не явкой получател</w:t>
      </w:r>
      <w:r w:rsidR="001A10C3" w:rsidRPr="006D37E7">
        <w:t>я</w:t>
      </w:r>
      <w:r w:rsidR="008960B1" w:rsidRPr="006D37E7">
        <w:t xml:space="preserve"> за выплат</w:t>
      </w:r>
      <w:r w:rsidR="001A10C3" w:rsidRPr="006D37E7">
        <w:t>ой</w:t>
      </w:r>
      <w:r w:rsidR="008960B1" w:rsidRPr="006D37E7">
        <w:t xml:space="preserve"> 5,1 тыс.</w:t>
      </w:r>
      <w:r w:rsidR="001A10C3" w:rsidRPr="006D37E7">
        <w:t xml:space="preserve"> </w:t>
      </w:r>
      <w:r w:rsidR="008960B1" w:rsidRPr="006D37E7">
        <w:t>руб.).</w:t>
      </w:r>
    </w:p>
    <w:p w14:paraId="51750FC9" w14:textId="77777777" w:rsidR="00051770" w:rsidRPr="006D37E7" w:rsidRDefault="00051770" w:rsidP="00051770">
      <w:pPr>
        <w:ind w:firstLine="720"/>
        <w:jc w:val="both"/>
      </w:pPr>
      <w:r w:rsidRPr="006D37E7">
        <w:t>Наиболее крупные суммы задолженности сложились по следующим направлениям расходов: субсидии на финансовое обеспечени</w:t>
      </w:r>
      <w:r w:rsidR="00AC0D42" w:rsidRPr="006D37E7">
        <w:t>е</w:t>
      </w:r>
      <w:r w:rsidRPr="006D37E7">
        <w:t xml:space="preserve"> выполнения государственного задания – 6802,6 тыс. руб., расчеты по коммунальным услугам – 196,7 тыс. руб., по государственной премии Волгоградской области в сфере литературы, искусства, архитектуры и культурно-просветительской деятельности в связи со смертью получателя – 174,5 тыс. руб., уплата налога на имущество организаций и земельного налога – 53,5 тыс. рублей.</w:t>
      </w:r>
    </w:p>
    <w:p w14:paraId="12EB7501" w14:textId="77777777" w:rsidR="009C1EAC" w:rsidRPr="006D37E7" w:rsidRDefault="009C1EAC" w:rsidP="009C1EAC">
      <w:pPr>
        <w:autoSpaceDE w:val="0"/>
        <w:autoSpaceDN w:val="0"/>
        <w:adjustRightInd w:val="0"/>
        <w:ind w:firstLine="709"/>
        <w:jc w:val="both"/>
        <w:rPr>
          <w:color w:val="000099"/>
        </w:rPr>
      </w:pPr>
      <w:r w:rsidRPr="006D37E7">
        <w:t xml:space="preserve">Информация о динамике дебиторской и кредиторской задолженности в 2018 году с учетом уточненной формы отчетности Сведения по дебиторской и кредиторской задолженности </w:t>
      </w:r>
      <w:hyperlink r:id="rId8" w:history="1">
        <w:r w:rsidRPr="006D37E7">
          <w:t>(ф. 0503169)</w:t>
        </w:r>
      </w:hyperlink>
      <w:r w:rsidRPr="006D37E7">
        <w:t xml:space="preserve"> приведена </w:t>
      </w:r>
      <w:r w:rsidRPr="006D37E7">
        <w:rPr>
          <w:color w:val="000099"/>
        </w:rPr>
        <w:t>в таблице №1.</w:t>
      </w:r>
    </w:p>
    <w:p w14:paraId="6DF458D0" w14:textId="77777777" w:rsidR="009C1EAC" w:rsidRPr="006D37E7" w:rsidRDefault="009C1EAC" w:rsidP="009C1EAC">
      <w:pPr>
        <w:ind w:firstLine="720"/>
        <w:jc w:val="right"/>
        <w:rPr>
          <w:color w:val="000099"/>
        </w:rPr>
      </w:pPr>
      <w:r w:rsidRPr="006D37E7">
        <w:rPr>
          <w:color w:val="000099"/>
        </w:rPr>
        <w:t xml:space="preserve"> Таблица №1, тыс. руб.</w:t>
      </w:r>
    </w:p>
    <w:tbl>
      <w:tblPr>
        <w:tblW w:w="1011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131"/>
        <w:gridCol w:w="1433"/>
        <w:gridCol w:w="1314"/>
        <w:gridCol w:w="1314"/>
      </w:tblGrid>
      <w:tr w:rsidR="009C1EAC" w:rsidRPr="006D37E7" w14:paraId="5F0EAC27" w14:textId="77777777" w:rsidTr="00D74654">
        <w:trPr>
          <w:trHeight w:val="347"/>
          <w:tblHeader/>
        </w:trPr>
        <w:tc>
          <w:tcPr>
            <w:tcW w:w="4923" w:type="dxa"/>
            <w:vMerge w:val="restart"/>
            <w:shd w:val="clear" w:color="auto" w:fill="auto"/>
            <w:vAlign w:val="center"/>
            <w:hideMark/>
          </w:tcPr>
          <w:p w14:paraId="52001F45" w14:textId="77777777" w:rsidR="009C1EAC" w:rsidRPr="006D37E7" w:rsidRDefault="009C1EAC" w:rsidP="00D74654">
            <w:pPr>
              <w:jc w:val="center"/>
              <w:rPr>
                <w:b/>
                <w:bCs/>
                <w:color w:val="000000"/>
                <w:sz w:val="18"/>
                <w:szCs w:val="18"/>
              </w:rPr>
            </w:pPr>
            <w:r w:rsidRPr="006D37E7">
              <w:rPr>
                <w:b/>
                <w:bCs/>
                <w:color w:val="000000"/>
                <w:sz w:val="18"/>
                <w:szCs w:val="18"/>
              </w:rPr>
              <w:t>Наименование показателя</w:t>
            </w:r>
          </w:p>
        </w:tc>
        <w:tc>
          <w:tcPr>
            <w:tcW w:w="2564" w:type="dxa"/>
            <w:gridSpan w:val="2"/>
            <w:shd w:val="clear" w:color="auto" w:fill="auto"/>
            <w:vAlign w:val="center"/>
            <w:hideMark/>
          </w:tcPr>
          <w:p w14:paraId="69BC6FB5" w14:textId="77777777" w:rsidR="009C1EAC" w:rsidRPr="006D37E7" w:rsidRDefault="009C1EAC" w:rsidP="00D74654">
            <w:pPr>
              <w:jc w:val="center"/>
              <w:rPr>
                <w:b/>
                <w:bCs/>
                <w:color w:val="000000"/>
                <w:sz w:val="18"/>
                <w:szCs w:val="18"/>
              </w:rPr>
            </w:pPr>
            <w:r w:rsidRPr="006D37E7">
              <w:rPr>
                <w:b/>
                <w:bCs/>
                <w:color w:val="000000"/>
                <w:sz w:val="18"/>
                <w:szCs w:val="18"/>
              </w:rPr>
              <w:t>Данные о задолженности</w:t>
            </w:r>
          </w:p>
        </w:tc>
        <w:tc>
          <w:tcPr>
            <w:tcW w:w="2628" w:type="dxa"/>
            <w:gridSpan w:val="2"/>
          </w:tcPr>
          <w:p w14:paraId="7D166431" w14:textId="77777777" w:rsidR="009C1EAC" w:rsidRPr="006D37E7" w:rsidRDefault="009C1EAC" w:rsidP="00D74654">
            <w:pPr>
              <w:jc w:val="center"/>
              <w:rPr>
                <w:b/>
                <w:bCs/>
                <w:color w:val="000000"/>
                <w:sz w:val="18"/>
                <w:szCs w:val="18"/>
              </w:rPr>
            </w:pPr>
            <w:r w:rsidRPr="006D37E7">
              <w:rPr>
                <w:b/>
                <w:bCs/>
                <w:color w:val="000000"/>
                <w:sz w:val="18"/>
                <w:szCs w:val="18"/>
              </w:rPr>
              <w:t>Динамика</w:t>
            </w:r>
          </w:p>
        </w:tc>
      </w:tr>
      <w:tr w:rsidR="009C1EAC" w:rsidRPr="006D37E7" w14:paraId="44798645" w14:textId="77777777" w:rsidTr="00D74654">
        <w:trPr>
          <w:trHeight w:val="405"/>
          <w:tblHeader/>
        </w:trPr>
        <w:tc>
          <w:tcPr>
            <w:tcW w:w="4923" w:type="dxa"/>
            <w:vMerge/>
            <w:vAlign w:val="center"/>
            <w:hideMark/>
          </w:tcPr>
          <w:p w14:paraId="50EF33DA" w14:textId="77777777" w:rsidR="009C1EAC" w:rsidRPr="006D37E7" w:rsidRDefault="009C1EAC" w:rsidP="00D74654">
            <w:pPr>
              <w:rPr>
                <w:b/>
                <w:bCs/>
                <w:color w:val="000000"/>
                <w:sz w:val="18"/>
                <w:szCs w:val="18"/>
              </w:rPr>
            </w:pPr>
          </w:p>
        </w:tc>
        <w:tc>
          <w:tcPr>
            <w:tcW w:w="1131" w:type="dxa"/>
            <w:shd w:val="clear" w:color="auto" w:fill="auto"/>
            <w:vAlign w:val="center"/>
            <w:hideMark/>
          </w:tcPr>
          <w:p w14:paraId="03A50A51" w14:textId="77777777" w:rsidR="009C1EAC" w:rsidRPr="006D37E7" w:rsidRDefault="009C1EAC" w:rsidP="00D74654">
            <w:pPr>
              <w:jc w:val="center"/>
              <w:rPr>
                <w:b/>
                <w:bCs/>
                <w:color w:val="000000"/>
                <w:sz w:val="16"/>
                <w:szCs w:val="16"/>
              </w:rPr>
            </w:pPr>
            <w:r w:rsidRPr="006D37E7">
              <w:rPr>
                <w:b/>
                <w:bCs/>
                <w:color w:val="000000"/>
                <w:sz w:val="16"/>
                <w:szCs w:val="16"/>
              </w:rPr>
              <w:t>на 01.01.2018</w:t>
            </w:r>
          </w:p>
        </w:tc>
        <w:tc>
          <w:tcPr>
            <w:tcW w:w="1433" w:type="dxa"/>
            <w:shd w:val="clear" w:color="auto" w:fill="auto"/>
            <w:vAlign w:val="center"/>
            <w:hideMark/>
          </w:tcPr>
          <w:p w14:paraId="6D8969EA" w14:textId="77777777" w:rsidR="009C1EAC" w:rsidRPr="006D37E7" w:rsidRDefault="009C1EAC" w:rsidP="00D74654">
            <w:pPr>
              <w:jc w:val="center"/>
              <w:rPr>
                <w:b/>
                <w:bCs/>
                <w:color w:val="000000"/>
                <w:sz w:val="16"/>
                <w:szCs w:val="16"/>
              </w:rPr>
            </w:pPr>
            <w:r w:rsidRPr="006D37E7">
              <w:rPr>
                <w:b/>
                <w:bCs/>
                <w:color w:val="000000"/>
                <w:sz w:val="16"/>
                <w:szCs w:val="16"/>
              </w:rPr>
              <w:t>на</w:t>
            </w:r>
          </w:p>
          <w:p w14:paraId="4BB12174" w14:textId="77777777" w:rsidR="009C1EAC" w:rsidRPr="006D37E7" w:rsidRDefault="009C1EAC" w:rsidP="00D74654">
            <w:pPr>
              <w:jc w:val="center"/>
              <w:rPr>
                <w:b/>
                <w:bCs/>
                <w:color w:val="000000"/>
                <w:sz w:val="16"/>
                <w:szCs w:val="16"/>
              </w:rPr>
            </w:pPr>
            <w:r w:rsidRPr="006D37E7">
              <w:rPr>
                <w:b/>
                <w:bCs/>
                <w:color w:val="000000"/>
                <w:sz w:val="16"/>
                <w:szCs w:val="16"/>
              </w:rPr>
              <w:t>01.01.2019</w:t>
            </w:r>
          </w:p>
        </w:tc>
        <w:tc>
          <w:tcPr>
            <w:tcW w:w="1314" w:type="dxa"/>
          </w:tcPr>
          <w:p w14:paraId="655D4B43" w14:textId="77777777" w:rsidR="009C1EAC" w:rsidRPr="006D37E7" w:rsidRDefault="009C1EAC" w:rsidP="00D74654">
            <w:pPr>
              <w:rPr>
                <w:b/>
                <w:bCs/>
                <w:color w:val="000000"/>
                <w:sz w:val="18"/>
                <w:szCs w:val="18"/>
              </w:rPr>
            </w:pPr>
            <w:r w:rsidRPr="006D37E7">
              <w:rPr>
                <w:b/>
                <w:bCs/>
                <w:color w:val="000000"/>
                <w:sz w:val="18"/>
                <w:szCs w:val="18"/>
              </w:rPr>
              <w:t>тыс. руб.</w:t>
            </w:r>
          </w:p>
        </w:tc>
        <w:tc>
          <w:tcPr>
            <w:tcW w:w="1314" w:type="dxa"/>
          </w:tcPr>
          <w:p w14:paraId="471D274D" w14:textId="77777777" w:rsidR="009C1EAC" w:rsidRPr="006D37E7" w:rsidRDefault="009C1EAC" w:rsidP="00D74654">
            <w:pPr>
              <w:jc w:val="center"/>
              <w:rPr>
                <w:b/>
                <w:bCs/>
                <w:color w:val="000000"/>
                <w:sz w:val="18"/>
                <w:szCs w:val="18"/>
              </w:rPr>
            </w:pPr>
            <w:r w:rsidRPr="006D37E7">
              <w:rPr>
                <w:b/>
                <w:bCs/>
                <w:color w:val="000000"/>
                <w:sz w:val="18"/>
                <w:szCs w:val="18"/>
              </w:rPr>
              <w:t>%, раз</w:t>
            </w:r>
          </w:p>
        </w:tc>
      </w:tr>
      <w:tr w:rsidR="009C1EAC" w:rsidRPr="006D37E7" w14:paraId="428D68F3" w14:textId="77777777" w:rsidTr="00D74654">
        <w:trPr>
          <w:trHeight w:val="270"/>
        </w:trPr>
        <w:tc>
          <w:tcPr>
            <w:tcW w:w="4923" w:type="dxa"/>
            <w:shd w:val="clear" w:color="auto" w:fill="auto"/>
            <w:vAlign w:val="center"/>
            <w:hideMark/>
          </w:tcPr>
          <w:p w14:paraId="0520E1FB" w14:textId="77777777" w:rsidR="009C1EAC" w:rsidRPr="006D37E7" w:rsidRDefault="009C1EAC" w:rsidP="00D74654">
            <w:pPr>
              <w:rPr>
                <w:b/>
                <w:bCs/>
                <w:i/>
                <w:iCs/>
                <w:sz w:val="20"/>
                <w:szCs w:val="20"/>
              </w:rPr>
            </w:pPr>
            <w:r w:rsidRPr="006D37E7">
              <w:rPr>
                <w:b/>
                <w:bCs/>
                <w:i/>
                <w:iCs/>
                <w:sz w:val="20"/>
                <w:szCs w:val="20"/>
              </w:rPr>
              <w:t>Дебиторская  задолженность ИТОГО:</w:t>
            </w:r>
            <w:r w:rsidRPr="006D37E7">
              <w:rPr>
                <w:b/>
                <w:bCs/>
                <w:i/>
                <w:iCs/>
                <w:sz w:val="18"/>
                <w:szCs w:val="18"/>
              </w:rPr>
              <w:t xml:space="preserve">  </w:t>
            </w:r>
            <w:r w:rsidRPr="006D37E7">
              <w:rPr>
                <w:sz w:val="18"/>
                <w:szCs w:val="18"/>
              </w:rPr>
              <w:t>в том числе:</w:t>
            </w:r>
          </w:p>
        </w:tc>
        <w:tc>
          <w:tcPr>
            <w:tcW w:w="1131" w:type="dxa"/>
            <w:shd w:val="clear" w:color="auto" w:fill="auto"/>
            <w:vAlign w:val="center"/>
            <w:hideMark/>
          </w:tcPr>
          <w:p w14:paraId="598A16A6" w14:textId="77777777" w:rsidR="009C1EAC" w:rsidRPr="006D37E7" w:rsidRDefault="009C1EAC" w:rsidP="00D74654">
            <w:pPr>
              <w:jc w:val="center"/>
              <w:rPr>
                <w:b/>
                <w:bCs/>
                <w:iCs/>
                <w:color w:val="000000"/>
                <w:sz w:val="18"/>
                <w:szCs w:val="18"/>
              </w:rPr>
            </w:pPr>
            <w:r w:rsidRPr="006D37E7">
              <w:rPr>
                <w:b/>
                <w:bCs/>
                <w:iCs/>
                <w:color w:val="000000"/>
                <w:sz w:val="18"/>
                <w:szCs w:val="18"/>
              </w:rPr>
              <w:t>7606,6</w:t>
            </w:r>
          </w:p>
        </w:tc>
        <w:tc>
          <w:tcPr>
            <w:tcW w:w="1433" w:type="dxa"/>
            <w:shd w:val="clear" w:color="auto" w:fill="auto"/>
            <w:vAlign w:val="center"/>
            <w:hideMark/>
          </w:tcPr>
          <w:p w14:paraId="2193CE8D" w14:textId="77777777" w:rsidR="009C1EAC" w:rsidRPr="006D37E7" w:rsidRDefault="009C1EAC" w:rsidP="00D74654">
            <w:pPr>
              <w:jc w:val="center"/>
              <w:rPr>
                <w:b/>
                <w:bCs/>
                <w:iCs/>
                <w:color w:val="000000"/>
                <w:sz w:val="18"/>
                <w:szCs w:val="18"/>
              </w:rPr>
            </w:pPr>
            <w:r w:rsidRPr="006D37E7">
              <w:rPr>
                <w:b/>
                <w:bCs/>
                <w:iCs/>
                <w:color w:val="000000"/>
                <w:sz w:val="18"/>
                <w:szCs w:val="18"/>
              </w:rPr>
              <w:t>5057,1</w:t>
            </w:r>
          </w:p>
        </w:tc>
        <w:tc>
          <w:tcPr>
            <w:tcW w:w="1314" w:type="dxa"/>
            <w:vAlign w:val="center"/>
          </w:tcPr>
          <w:p w14:paraId="3E67AE72" w14:textId="77777777" w:rsidR="009C1EAC" w:rsidRPr="006D37E7" w:rsidRDefault="009C1EAC" w:rsidP="00D74654">
            <w:pPr>
              <w:jc w:val="center"/>
              <w:rPr>
                <w:b/>
                <w:color w:val="000000"/>
                <w:sz w:val="18"/>
                <w:szCs w:val="18"/>
              </w:rPr>
            </w:pPr>
            <w:r w:rsidRPr="006D37E7">
              <w:rPr>
                <w:b/>
                <w:color w:val="000000"/>
                <w:sz w:val="18"/>
                <w:szCs w:val="18"/>
              </w:rPr>
              <w:t>-2549,5</w:t>
            </w:r>
          </w:p>
        </w:tc>
        <w:tc>
          <w:tcPr>
            <w:tcW w:w="1314" w:type="dxa"/>
            <w:vAlign w:val="center"/>
          </w:tcPr>
          <w:p w14:paraId="2A9C203C" w14:textId="77777777" w:rsidR="009C1EAC" w:rsidRPr="006D37E7" w:rsidRDefault="009C1EAC" w:rsidP="00D74654">
            <w:pPr>
              <w:jc w:val="center"/>
              <w:rPr>
                <w:b/>
                <w:color w:val="000000"/>
                <w:sz w:val="18"/>
                <w:szCs w:val="18"/>
              </w:rPr>
            </w:pPr>
            <w:r w:rsidRPr="006D37E7">
              <w:rPr>
                <w:b/>
                <w:color w:val="000000"/>
                <w:sz w:val="18"/>
                <w:szCs w:val="18"/>
              </w:rPr>
              <w:t>-33,5 %</w:t>
            </w:r>
          </w:p>
        </w:tc>
      </w:tr>
      <w:tr w:rsidR="009C1EAC" w:rsidRPr="006D37E7" w14:paraId="6CA408E3" w14:textId="77777777" w:rsidTr="00D74654">
        <w:trPr>
          <w:trHeight w:val="255"/>
        </w:trPr>
        <w:tc>
          <w:tcPr>
            <w:tcW w:w="4923" w:type="dxa"/>
            <w:shd w:val="clear" w:color="auto" w:fill="auto"/>
            <w:vAlign w:val="center"/>
            <w:hideMark/>
          </w:tcPr>
          <w:p w14:paraId="4600133C" w14:textId="77777777" w:rsidR="009C1EAC" w:rsidRPr="006D37E7" w:rsidRDefault="009C1EAC" w:rsidP="00D74654">
            <w:pPr>
              <w:rPr>
                <w:sz w:val="18"/>
                <w:szCs w:val="18"/>
              </w:rPr>
            </w:pPr>
            <w:r w:rsidRPr="006D37E7">
              <w:rPr>
                <w:sz w:val="18"/>
                <w:szCs w:val="18"/>
              </w:rPr>
              <w:t>расчеты по доходам</w:t>
            </w:r>
          </w:p>
        </w:tc>
        <w:tc>
          <w:tcPr>
            <w:tcW w:w="1131" w:type="dxa"/>
            <w:shd w:val="clear" w:color="auto" w:fill="auto"/>
            <w:vAlign w:val="center"/>
            <w:hideMark/>
          </w:tcPr>
          <w:p w14:paraId="0BEEC04A" w14:textId="77777777" w:rsidR="009C1EAC" w:rsidRPr="006D37E7" w:rsidRDefault="009C1EAC" w:rsidP="00D74654">
            <w:pPr>
              <w:jc w:val="center"/>
              <w:rPr>
                <w:color w:val="000000"/>
                <w:sz w:val="18"/>
                <w:szCs w:val="18"/>
              </w:rPr>
            </w:pPr>
            <w:r w:rsidRPr="006D37E7">
              <w:rPr>
                <w:color w:val="000000"/>
                <w:sz w:val="18"/>
                <w:szCs w:val="18"/>
              </w:rPr>
              <w:t>0</w:t>
            </w:r>
          </w:p>
        </w:tc>
        <w:tc>
          <w:tcPr>
            <w:tcW w:w="1433" w:type="dxa"/>
            <w:shd w:val="clear" w:color="000000" w:fill="auto"/>
            <w:vAlign w:val="center"/>
            <w:hideMark/>
          </w:tcPr>
          <w:p w14:paraId="6153820A" w14:textId="77777777" w:rsidR="009C1EAC" w:rsidRPr="006D37E7" w:rsidRDefault="009C1EAC" w:rsidP="00D74654">
            <w:pPr>
              <w:jc w:val="center"/>
              <w:rPr>
                <w:color w:val="000000"/>
                <w:sz w:val="18"/>
                <w:szCs w:val="18"/>
              </w:rPr>
            </w:pPr>
            <w:r w:rsidRPr="006D37E7">
              <w:rPr>
                <w:color w:val="000000"/>
                <w:sz w:val="18"/>
                <w:szCs w:val="18"/>
              </w:rPr>
              <w:t>66,6</w:t>
            </w:r>
          </w:p>
        </w:tc>
        <w:tc>
          <w:tcPr>
            <w:tcW w:w="1314" w:type="dxa"/>
            <w:vAlign w:val="center"/>
          </w:tcPr>
          <w:p w14:paraId="5BB0AB73" w14:textId="77777777" w:rsidR="009C1EAC" w:rsidRPr="006D37E7" w:rsidRDefault="009C1EAC" w:rsidP="00D74654">
            <w:pPr>
              <w:jc w:val="center"/>
              <w:rPr>
                <w:color w:val="000000"/>
                <w:sz w:val="18"/>
                <w:szCs w:val="18"/>
              </w:rPr>
            </w:pPr>
            <w:r w:rsidRPr="006D37E7">
              <w:rPr>
                <w:color w:val="000000"/>
                <w:sz w:val="18"/>
                <w:szCs w:val="18"/>
              </w:rPr>
              <w:t>+66,6</w:t>
            </w:r>
          </w:p>
        </w:tc>
        <w:tc>
          <w:tcPr>
            <w:tcW w:w="1314" w:type="dxa"/>
            <w:vAlign w:val="center"/>
          </w:tcPr>
          <w:p w14:paraId="23AE313F" w14:textId="77777777" w:rsidR="009C1EAC" w:rsidRPr="006D37E7" w:rsidRDefault="009C1EAC" w:rsidP="00D74654">
            <w:pPr>
              <w:jc w:val="center"/>
              <w:rPr>
                <w:color w:val="000000"/>
                <w:sz w:val="18"/>
                <w:szCs w:val="18"/>
              </w:rPr>
            </w:pPr>
            <w:r w:rsidRPr="006D37E7">
              <w:rPr>
                <w:color w:val="000000"/>
                <w:sz w:val="18"/>
                <w:szCs w:val="18"/>
              </w:rPr>
              <w:t>-</w:t>
            </w:r>
          </w:p>
        </w:tc>
      </w:tr>
      <w:tr w:rsidR="009C1EAC" w:rsidRPr="006D37E7" w14:paraId="78022B1A" w14:textId="77777777" w:rsidTr="00D74654">
        <w:trPr>
          <w:trHeight w:val="255"/>
        </w:trPr>
        <w:tc>
          <w:tcPr>
            <w:tcW w:w="4923" w:type="dxa"/>
            <w:shd w:val="clear" w:color="auto" w:fill="auto"/>
            <w:vAlign w:val="center"/>
            <w:hideMark/>
          </w:tcPr>
          <w:p w14:paraId="6BF5E5D9" w14:textId="77777777" w:rsidR="009C1EAC" w:rsidRPr="006D37E7" w:rsidRDefault="009C1EAC" w:rsidP="00D74654">
            <w:pPr>
              <w:rPr>
                <w:sz w:val="18"/>
                <w:szCs w:val="18"/>
              </w:rPr>
            </w:pPr>
            <w:r w:rsidRPr="006D37E7">
              <w:rPr>
                <w:sz w:val="18"/>
                <w:szCs w:val="18"/>
              </w:rPr>
              <w:t>расчеты по выданным авансам</w:t>
            </w:r>
          </w:p>
        </w:tc>
        <w:tc>
          <w:tcPr>
            <w:tcW w:w="1131" w:type="dxa"/>
            <w:shd w:val="clear" w:color="auto" w:fill="auto"/>
            <w:vAlign w:val="center"/>
            <w:hideMark/>
          </w:tcPr>
          <w:p w14:paraId="537F9990" w14:textId="77777777" w:rsidR="009C1EAC" w:rsidRPr="006D37E7" w:rsidRDefault="009C1EAC" w:rsidP="00D74654">
            <w:pPr>
              <w:jc w:val="center"/>
              <w:rPr>
                <w:color w:val="000000"/>
                <w:sz w:val="18"/>
                <w:szCs w:val="18"/>
              </w:rPr>
            </w:pPr>
            <w:r w:rsidRPr="006D37E7">
              <w:rPr>
                <w:color w:val="000000"/>
                <w:sz w:val="18"/>
                <w:szCs w:val="18"/>
              </w:rPr>
              <w:t>7091,1</w:t>
            </w:r>
          </w:p>
        </w:tc>
        <w:tc>
          <w:tcPr>
            <w:tcW w:w="1433" w:type="dxa"/>
            <w:shd w:val="clear" w:color="000000" w:fill="auto"/>
            <w:vAlign w:val="center"/>
            <w:hideMark/>
          </w:tcPr>
          <w:p w14:paraId="6132FA29" w14:textId="77777777" w:rsidR="009C1EAC" w:rsidRPr="006D37E7" w:rsidRDefault="009C1EAC" w:rsidP="00D74654">
            <w:pPr>
              <w:jc w:val="center"/>
              <w:rPr>
                <w:color w:val="000000"/>
                <w:sz w:val="18"/>
                <w:szCs w:val="18"/>
              </w:rPr>
            </w:pPr>
            <w:r w:rsidRPr="006D37E7">
              <w:rPr>
                <w:color w:val="000000"/>
                <w:sz w:val="18"/>
                <w:szCs w:val="18"/>
              </w:rPr>
              <w:t>3917,7</w:t>
            </w:r>
          </w:p>
        </w:tc>
        <w:tc>
          <w:tcPr>
            <w:tcW w:w="1314" w:type="dxa"/>
            <w:vAlign w:val="center"/>
          </w:tcPr>
          <w:p w14:paraId="7BB3D05B" w14:textId="77777777" w:rsidR="009C1EAC" w:rsidRPr="006D37E7" w:rsidRDefault="009C1EAC" w:rsidP="00D74654">
            <w:pPr>
              <w:jc w:val="center"/>
              <w:rPr>
                <w:color w:val="000000"/>
                <w:sz w:val="18"/>
                <w:szCs w:val="18"/>
              </w:rPr>
            </w:pPr>
            <w:r w:rsidRPr="006D37E7">
              <w:rPr>
                <w:color w:val="000000"/>
                <w:sz w:val="18"/>
                <w:szCs w:val="18"/>
              </w:rPr>
              <w:t>-3173,4</w:t>
            </w:r>
          </w:p>
        </w:tc>
        <w:tc>
          <w:tcPr>
            <w:tcW w:w="1314" w:type="dxa"/>
            <w:vAlign w:val="center"/>
          </w:tcPr>
          <w:p w14:paraId="3C4D2E9E" w14:textId="77777777" w:rsidR="009C1EAC" w:rsidRPr="006D37E7" w:rsidRDefault="009C1EAC" w:rsidP="00D74654">
            <w:pPr>
              <w:jc w:val="center"/>
              <w:rPr>
                <w:color w:val="000000"/>
                <w:sz w:val="18"/>
                <w:szCs w:val="18"/>
              </w:rPr>
            </w:pPr>
            <w:r w:rsidRPr="006D37E7">
              <w:rPr>
                <w:color w:val="000000"/>
                <w:sz w:val="18"/>
                <w:szCs w:val="18"/>
              </w:rPr>
              <w:t>-44,7%</w:t>
            </w:r>
          </w:p>
        </w:tc>
      </w:tr>
      <w:tr w:rsidR="009C1EAC" w:rsidRPr="006D37E7" w14:paraId="48DFEDD3" w14:textId="77777777" w:rsidTr="00D74654">
        <w:trPr>
          <w:trHeight w:val="374"/>
        </w:trPr>
        <w:tc>
          <w:tcPr>
            <w:tcW w:w="4923" w:type="dxa"/>
            <w:shd w:val="clear" w:color="auto" w:fill="auto"/>
            <w:vAlign w:val="center"/>
            <w:hideMark/>
          </w:tcPr>
          <w:p w14:paraId="063C7E22" w14:textId="77777777" w:rsidR="009C1EAC" w:rsidRPr="006D37E7" w:rsidRDefault="009C1EAC" w:rsidP="00D74654">
            <w:pPr>
              <w:rPr>
                <w:sz w:val="18"/>
                <w:szCs w:val="18"/>
              </w:rPr>
            </w:pPr>
            <w:r w:rsidRPr="006D37E7">
              <w:rPr>
                <w:sz w:val="18"/>
                <w:szCs w:val="18"/>
              </w:rPr>
              <w:t>расчеты с подотчетными лицами</w:t>
            </w:r>
          </w:p>
        </w:tc>
        <w:tc>
          <w:tcPr>
            <w:tcW w:w="1131" w:type="dxa"/>
            <w:shd w:val="clear" w:color="auto" w:fill="auto"/>
            <w:vAlign w:val="center"/>
            <w:hideMark/>
          </w:tcPr>
          <w:p w14:paraId="59BF913A" w14:textId="77777777" w:rsidR="009C1EAC" w:rsidRPr="006D37E7" w:rsidRDefault="009C1EAC" w:rsidP="00D74654">
            <w:pPr>
              <w:jc w:val="center"/>
              <w:rPr>
                <w:iCs/>
                <w:color w:val="000000"/>
                <w:sz w:val="18"/>
                <w:szCs w:val="18"/>
              </w:rPr>
            </w:pPr>
            <w:r w:rsidRPr="006D37E7">
              <w:rPr>
                <w:iCs/>
                <w:color w:val="000000"/>
                <w:sz w:val="18"/>
                <w:szCs w:val="18"/>
              </w:rPr>
              <w:t>246,3</w:t>
            </w:r>
          </w:p>
        </w:tc>
        <w:tc>
          <w:tcPr>
            <w:tcW w:w="1433" w:type="dxa"/>
            <w:shd w:val="clear" w:color="auto" w:fill="auto"/>
            <w:vAlign w:val="center"/>
            <w:hideMark/>
          </w:tcPr>
          <w:p w14:paraId="253344B9" w14:textId="77777777" w:rsidR="009C1EAC" w:rsidRPr="006D37E7" w:rsidRDefault="009C1EAC" w:rsidP="00D74654">
            <w:pPr>
              <w:jc w:val="center"/>
              <w:rPr>
                <w:iCs/>
                <w:color w:val="000000"/>
                <w:sz w:val="18"/>
                <w:szCs w:val="18"/>
              </w:rPr>
            </w:pPr>
            <w:r w:rsidRPr="006D37E7">
              <w:rPr>
                <w:iCs/>
                <w:color w:val="000000"/>
                <w:sz w:val="18"/>
                <w:szCs w:val="18"/>
              </w:rPr>
              <w:t>295,3</w:t>
            </w:r>
          </w:p>
        </w:tc>
        <w:tc>
          <w:tcPr>
            <w:tcW w:w="1314" w:type="dxa"/>
            <w:vAlign w:val="center"/>
          </w:tcPr>
          <w:p w14:paraId="3AE04134" w14:textId="77777777" w:rsidR="009C1EAC" w:rsidRPr="006D37E7" w:rsidRDefault="009C1EAC" w:rsidP="00D74654">
            <w:pPr>
              <w:jc w:val="center"/>
              <w:rPr>
                <w:color w:val="000000"/>
                <w:sz w:val="18"/>
                <w:szCs w:val="18"/>
              </w:rPr>
            </w:pPr>
            <w:r w:rsidRPr="006D37E7">
              <w:rPr>
                <w:color w:val="000000"/>
                <w:sz w:val="18"/>
                <w:szCs w:val="18"/>
              </w:rPr>
              <w:t>+49,0</w:t>
            </w:r>
          </w:p>
        </w:tc>
        <w:tc>
          <w:tcPr>
            <w:tcW w:w="1314" w:type="dxa"/>
            <w:vAlign w:val="center"/>
          </w:tcPr>
          <w:p w14:paraId="4832331E" w14:textId="77777777" w:rsidR="009C1EAC" w:rsidRPr="006D37E7" w:rsidRDefault="009C1EAC" w:rsidP="00D74654">
            <w:pPr>
              <w:jc w:val="center"/>
              <w:rPr>
                <w:color w:val="000000"/>
                <w:sz w:val="18"/>
                <w:szCs w:val="18"/>
              </w:rPr>
            </w:pPr>
            <w:r w:rsidRPr="006D37E7">
              <w:rPr>
                <w:color w:val="000000"/>
                <w:sz w:val="18"/>
                <w:szCs w:val="18"/>
              </w:rPr>
              <w:t>+19,9%</w:t>
            </w:r>
          </w:p>
        </w:tc>
      </w:tr>
      <w:tr w:rsidR="009C1EAC" w:rsidRPr="006D37E7" w14:paraId="6BE78EBD" w14:textId="77777777" w:rsidTr="00D74654">
        <w:trPr>
          <w:trHeight w:val="266"/>
        </w:trPr>
        <w:tc>
          <w:tcPr>
            <w:tcW w:w="4923" w:type="dxa"/>
            <w:shd w:val="clear" w:color="auto" w:fill="auto"/>
            <w:vAlign w:val="center"/>
            <w:hideMark/>
          </w:tcPr>
          <w:p w14:paraId="51B38F05" w14:textId="77777777" w:rsidR="009C1EAC" w:rsidRPr="006D37E7" w:rsidRDefault="009C1EAC" w:rsidP="00D74654">
            <w:pPr>
              <w:rPr>
                <w:sz w:val="18"/>
                <w:szCs w:val="18"/>
              </w:rPr>
            </w:pPr>
            <w:r w:rsidRPr="006D37E7">
              <w:rPr>
                <w:sz w:val="18"/>
                <w:szCs w:val="18"/>
              </w:rPr>
              <w:t>расчеты ущербу и иным доходам</w:t>
            </w:r>
          </w:p>
        </w:tc>
        <w:tc>
          <w:tcPr>
            <w:tcW w:w="1131" w:type="dxa"/>
            <w:shd w:val="clear" w:color="auto" w:fill="auto"/>
            <w:vAlign w:val="center"/>
            <w:hideMark/>
          </w:tcPr>
          <w:p w14:paraId="708284B6" w14:textId="77777777" w:rsidR="009C1EAC" w:rsidRPr="006D37E7" w:rsidRDefault="009C1EAC" w:rsidP="00D74654">
            <w:pPr>
              <w:jc w:val="center"/>
              <w:rPr>
                <w:iCs/>
                <w:color w:val="000000"/>
                <w:sz w:val="18"/>
                <w:szCs w:val="18"/>
              </w:rPr>
            </w:pPr>
            <w:r w:rsidRPr="006D37E7">
              <w:rPr>
                <w:iCs/>
                <w:color w:val="000000"/>
                <w:sz w:val="18"/>
                <w:szCs w:val="18"/>
              </w:rPr>
              <w:t>46,0</w:t>
            </w:r>
          </w:p>
        </w:tc>
        <w:tc>
          <w:tcPr>
            <w:tcW w:w="1433" w:type="dxa"/>
            <w:shd w:val="clear" w:color="auto" w:fill="auto"/>
            <w:vAlign w:val="center"/>
            <w:hideMark/>
          </w:tcPr>
          <w:p w14:paraId="5A2A2869" w14:textId="77777777" w:rsidR="009C1EAC" w:rsidRPr="006D37E7" w:rsidRDefault="009C1EAC" w:rsidP="00D74654">
            <w:pPr>
              <w:jc w:val="center"/>
              <w:rPr>
                <w:iCs/>
                <w:color w:val="000000"/>
                <w:sz w:val="18"/>
                <w:szCs w:val="18"/>
              </w:rPr>
            </w:pPr>
            <w:r w:rsidRPr="006D37E7">
              <w:rPr>
                <w:iCs/>
                <w:color w:val="000000"/>
                <w:sz w:val="18"/>
                <w:szCs w:val="18"/>
              </w:rPr>
              <w:t>46,0</w:t>
            </w:r>
          </w:p>
        </w:tc>
        <w:tc>
          <w:tcPr>
            <w:tcW w:w="1314" w:type="dxa"/>
            <w:vAlign w:val="center"/>
          </w:tcPr>
          <w:p w14:paraId="1E5D2C5F" w14:textId="77777777" w:rsidR="009C1EAC" w:rsidRPr="006D37E7" w:rsidRDefault="009C1EAC" w:rsidP="00D74654">
            <w:pPr>
              <w:jc w:val="center"/>
              <w:rPr>
                <w:color w:val="000000"/>
                <w:sz w:val="18"/>
                <w:szCs w:val="18"/>
              </w:rPr>
            </w:pPr>
            <w:r w:rsidRPr="006D37E7">
              <w:rPr>
                <w:color w:val="000000"/>
                <w:sz w:val="18"/>
                <w:szCs w:val="18"/>
              </w:rPr>
              <w:t>0</w:t>
            </w:r>
          </w:p>
        </w:tc>
        <w:tc>
          <w:tcPr>
            <w:tcW w:w="1314" w:type="dxa"/>
            <w:vAlign w:val="center"/>
          </w:tcPr>
          <w:p w14:paraId="777C0563" w14:textId="77777777" w:rsidR="009C1EAC" w:rsidRPr="006D37E7" w:rsidRDefault="009C1EAC" w:rsidP="00D74654">
            <w:pPr>
              <w:jc w:val="center"/>
              <w:rPr>
                <w:color w:val="000000"/>
                <w:sz w:val="18"/>
                <w:szCs w:val="18"/>
              </w:rPr>
            </w:pPr>
            <w:r w:rsidRPr="006D37E7">
              <w:rPr>
                <w:color w:val="000000"/>
                <w:sz w:val="18"/>
                <w:szCs w:val="18"/>
              </w:rPr>
              <w:t>-</w:t>
            </w:r>
          </w:p>
        </w:tc>
      </w:tr>
      <w:tr w:rsidR="009C1EAC" w:rsidRPr="006D37E7" w14:paraId="1D399351" w14:textId="77777777" w:rsidTr="00D74654">
        <w:trPr>
          <w:trHeight w:val="266"/>
        </w:trPr>
        <w:tc>
          <w:tcPr>
            <w:tcW w:w="4923" w:type="dxa"/>
            <w:shd w:val="clear" w:color="auto" w:fill="auto"/>
            <w:vAlign w:val="center"/>
            <w:hideMark/>
          </w:tcPr>
          <w:p w14:paraId="2D5BD888" w14:textId="77777777" w:rsidR="009C1EAC" w:rsidRPr="006D37E7" w:rsidRDefault="009C1EAC" w:rsidP="00D74654">
            <w:pPr>
              <w:rPr>
                <w:sz w:val="18"/>
                <w:szCs w:val="18"/>
              </w:rPr>
            </w:pPr>
            <w:r w:rsidRPr="006D37E7">
              <w:rPr>
                <w:sz w:val="18"/>
                <w:szCs w:val="18"/>
              </w:rPr>
              <w:t>расчеты по платежам в бюджеты</w:t>
            </w:r>
          </w:p>
        </w:tc>
        <w:tc>
          <w:tcPr>
            <w:tcW w:w="1131" w:type="dxa"/>
            <w:shd w:val="clear" w:color="auto" w:fill="auto"/>
            <w:vAlign w:val="center"/>
            <w:hideMark/>
          </w:tcPr>
          <w:p w14:paraId="378E943A" w14:textId="77777777" w:rsidR="009C1EAC" w:rsidRPr="006D37E7" w:rsidRDefault="009C1EAC" w:rsidP="00D74654">
            <w:pPr>
              <w:jc w:val="center"/>
              <w:rPr>
                <w:iCs/>
                <w:color w:val="000000"/>
                <w:sz w:val="18"/>
                <w:szCs w:val="18"/>
              </w:rPr>
            </w:pPr>
            <w:r w:rsidRPr="006D37E7">
              <w:rPr>
                <w:iCs/>
                <w:color w:val="000000"/>
                <w:sz w:val="18"/>
                <w:szCs w:val="18"/>
              </w:rPr>
              <w:t>223,2</w:t>
            </w:r>
          </w:p>
        </w:tc>
        <w:tc>
          <w:tcPr>
            <w:tcW w:w="1433" w:type="dxa"/>
            <w:shd w:val="clear" w:color="auto" w:fill="auto"/>
            <w:vAlign w:val="center"/>
            <w:hideMark/>
          </w:tcPr>
          <w:p w14:paraId="73D93F19" w14:textId="77777777" w:rsidR="009C1EAC" w:rsidRPr="006D37E7" w:rsidRDefault="009C1EAC" w:rsidP="00D74654">
            <w:pPr>
              <w:jc w:val="center"/>
              <w:rPr>
                <w:iCs/>
                <w:color w:val="000000"/>
                <w:sz w:val="18"/>
                <w:szCs w:val="18"/>
              </w:rPr>
            </w:pPr>
            <w:r w:rsidRPr="006D37E7">
              <w:rPr>
                <w:iCs/>
                <w:color w:val="000000"/>
                <w:sz w:val="18"/>
                <w:szCs w:val="18"/>
              </w:rPr>
              <w:t>731,5</w:t>
            </w:r>
          </w:p>
        </w:tc>
        <w:tc>
          <w:tcPr>
            <w:tcW w:w="1314" w:type="dxa"/>
            <w:vAlign w:val="center"/>
          </w:tcPr>
          <w:p w14:paraId="70568D9A" w14:textId="77777777" w:rsidR="009C1EAC" w:rsidRPr="006D37E7" w:rsidRDefault="009C1EAC" w:rsidP="00D74654">
            <w:pPr>
              <w:jc w:val="center"/>
              <w:rPr>
                <w:color w:val="000000"/>
                <w:sz w:val="18"/>
                <w:szCs w:val="18"/>
              </w:rPr>
            </w:pPr>
            <w:r w:rsidRPr="006D37E7">
              <w:rPr>
                <w:color w:val="000000"/>
                <w:sz w:val="18"/>
                <w:szCs w:val="18"/>
              </w:rPr>
              <w:t>+508,3</w:t>
            </w:r>
          </w:p>
        </w:tc>
        <w:tc>
          <w:tcPr>
            <w:tcW w:w="1314" w:type="dxa"/>
            <w:vAlign w:val="center"/>
          </w:tcPr>
          <w:p w14:paraId="43833FF6" w14:textId="77777777" w:rsidR="009C1EAC" w:rsidRPr="006D37E7" w:rsidRDefault="009C1EAC" w:rsidP="00D74654">
            <w:pPr>
              <w:jc w:val="center"/>
              <w:rPr>
                <w:color w:val="000000"/>
                <w:sz w:val="18"/>
                <w:szCs w:val="18"/>
              </w:rPr>
            </w:pPr>
            <w:r w:rsidRPr="006D37E7">
              <w:rPr>
                <w:color w:val="000000"/>
                <w:sz w:val="18"/>
                <w:szCs w:val="18"/>
              </w:rPr>
              <w:t>+3,3 раза</w:t>
            </w:r>
          </w:p>
        </w:tc>
      </w:tr>
      <w:tr w:rsidR="009C1EAC" w:rsidRPr="006D37E7" w14:paraId="71D21935" w14:textId="77777777" w:rsidTr="00D74654">
        <w:trPr>
          <w:trHeight w:val="210"/>
        </w:trPr>
        <w:tc>
          <w:tcPr>
            <w:tcW w:w="4923" w:type="dxa"/>
            <w:shd w:val="clear" w:color="auto" w:fill="auto"/>
            <w:vAlign w:val="center"/>
            <w:hideMark/>
          </w:tcPr>
          <w:p w14:paraId="44D540D3" w14:textId="77777777" w:rsidR="009C1EAC" w:rsidRPr="006D37E7" w:rsidRDefault="009C1EAC" w:rsidP="00D74654">
            <w:pPr>
              <w:rPr>
                <w:b/>
                <w:bCs/>
                <w:i/>
                <w:iCs/>
                <w:sz w:val="20"/>
                <w:szCs w:val="20"/>
              </w:rPr>
            </w:pPr>
            <w:r w:rsidRPr="006D37E7">
              <w:rPr>
                <w:b/>
                <w:bCs/>
                <w:i/>
                <w:iCs/>
                <w:sz w:val="20"/>
                <w:szCs w:val="20"/>
              </w:rPr>
              <w:t xml:space="preserve">Кредиторская задолженность ИТОГО: </w:t>
            </w:r>
            <w:r w:rsidRPr="006D37E7">
              <w:rPr>
                <w:sz w:val="20"/>
                <w:szCs w:val="20"/>
              </w:rPr>
              <w:t>в</w:t>
            </w:r>
            <w:r w:rsidRPr="006D37E7">
              <w:rPr>
                <w:b/>
                <w:bCs/>
                <w:sz w:val="20"/>
                <w:szCs w:val="20"/>
              </w:rPr>
              <w:t xml:space="preserve"> </w:t>
            </w:r>
            <w:r w:rsidRPr="006D37E7">
              <w:rPr>
                <w:sz w:val="18"/>
                <w:szCs w:val="18"/>
              </w:rPr>
              <w:t>том числе:</w:t>
            </w:r>
          </w:p>
        </w:tc>
        <w:tc>
          <w:tcPr>
            <w:tcW w:w="1131" w:type="dxa"/>
            <w:shd w:val="clear" w:color="auto" w:fill="auto"/>
            <w:vAlign w:val="center"/>
            <w:hideMark/>
          </w:tcPr>
          <w:p w14:paraId="4424B38C" w14:textId="77777777" w:rsidR="009C1EAC" w:rsidRPr="006D37E7" w:rsidRDefault="009C1EAC" w:rsidP="00D74654">
            <w:pPr>
              <w:jc w:val="center"/>
              <w:rPr>
                <w:b/>
                <w:iCs/>
                <w:color w:val="000000"/>
                <w:sz w:val="18"/>
                <w:szCs w:val="18"/>
              </w:rPr>
            </w:pPr>
            <w:r w:rsidRPr="006D37E7">
              <w:rPr>
                <w:b/>
                <w:iCs/>
                <w:color w:val="000000"/>
                <w:sz w:val="18"/>
                <w:szCs w:val="18"/>
              </w:rPr>
              <w:t>34819,6</w:t>
            </w:r>
          </w:p>
        </w:tc>
        <w:tc>
          <w:tcPr>
            <w:tcW w:w="1433" w:type="dxa"/>
            <w:shd w:val="clear" w:color="auto" w:fill="auto"/>
            <w:vAlign w:val="center"/>
            <w:hideMark/>
          </w:tcPr>
          <w:p w14:paraId="4F08D3FB" w14:textId="77777777" w:rsidR="009C1EAC" w:rsidRPr="006D37E7" w:rsidRDefault="009C1EAC" w:rsidP="00D74654">
            <w:pPr>
              <w:jc w:val="center"/>
              <w:rPr>
                <w:b/>
                <w:iCs/>
                <w:color w:val="000000"/>
                <w:sz w:val="18"/>
                <w:szCs w:val="18"/>
              </w:rPr>
            </w:pPr>
            <w:r w:rsidRPr="006D37E7">
              <w:rPr>
                <w:b/>
                <w:iCs/>
                <w:color w:val="000000"/>
                <w:sz w:val="18"/>
                <w:szCs w:val="18"/>
              </w:rPr>
              <w:t>7050,4</w:t>
            </w:r>
          </w:p>
        </w:tc>
        <w:tc>
          <w:tcPr>
            <w:tcW w:w="1314" w:type="dxa"/>
            <w:vAlign w:val="center"/>
          </w:tcPr>
          <w:p w14:paraId="20B92106" w14:textId="77777777" w:rsidR="009C1EAC" w:rsidRPr="006D37E7" w:rsidRDefault="009C1EAC" w:rsidP="00D74654">
            <w:pPr>
              <w:jc w:val="center"/>
              <w:rPr>
                <w:b/>
                <w:color w:val="000000"/>
                <w:sz w:val="18"/>
                <w:szCs w:val="18"/>
              </w:rPr>
            </w:pPr>
            <w:r w:rsidRPr="006D37E7">
              <w:rPr>
                <w:b/>
                <w:color w:val="000000"/>
                <w:sz w:val="18"/>
                <w:szCs w:val="18"/>
              </w:rPr>
              <w:t>-27769,2</w:t>
            </w:r>
          </w:p>
        </w:tc>
        <w:tc>
          <w:tcPr>
            <w:tcW w:w="1314" w:type="dxa"/>
            <w:vAlign w:val="center"/>
          </w:tcPr>
          <w:p w14:paraId="793498AD" w14:textId="77777777" w:rsidR="009C1EAC" w:rsidRPr="006D37E7" w:rsidRDefault="009C1EAC" w:rsidP="00D74654">
            <w:pPr>
              <w:jc w:val="center"/>
              <w:rPr>
                <w:b/>
                <w:color w:val="000000"/>
                <w:sz w:val="18"/>
                <w:szCs w:val="18"/>
              </w:rPr>
            </w:pPr>
            <w:r w:rsidRPr="006D37E7">
              <w:rPr>
                <w:b/>
                <w:color w:val="000000"/>
                <w:sz w:val="18"/>
                <w:szCs w:val="18"/>
              </w:rPr>
              <w:t>-4,9 раз</w:t>
            </w:r>
          </w:p>
        </w:tc>
      </w:tr>
      <w:tr w:rsidR="009C1EAC" w:rsidRPr="006D37E7" w14:paraId="7B6CB862" w14:textId="77777777" w:rsidTr="00D74654">
        <w:trPr>
          <w:trHeight w:val="255"/>
        </w:trPr>
        <w:tc>
          <w:tcPr>
            <w:tcW w:w="4923" w:type="dxa"/>
            <w:shd w:val="clear" w:color="auto" w:fill="auto"/>
            <w:vAlign w:val="center"/>
            <w:hideMark/>
          </w:tcPr>
          <w:p w14:paraId="241E09E8" w14:textId="77777777" w:rsidR="009C1EAC" w:rsidRPr="006D37E7" w:rsidRDefault="009C1EAC" w:rsidP="00D74654">
            <w:pPr>
              <w:rPr>
                <w:sz w:val="18"/>
                <w:szCs w:val="18"/>
              </w:rPr>
            </w:pPr>
            <w:r w:rsidRPr="006D37E7">
              <w:rPr>
                <w:sz w:val="18"/>
                <w:szCs w:val="18"/>
              </w:rPr>
              <w:lastRenderedPageBreak/>
              <w:t>расчеты по принятым обязательствам</w:t>
            </w:r>
          </w:p>
        </w:tc>
        <w:tc>
          <w:tcPr>
            <w:tcW w:w="1131" w:type="dxa"/>
            <w:shd w:val="clear" w:color="auto" w:fill="auto"/>
            <w:vAlign w:val="center"/>
            <w:hideMark/>
          </w:tcPr>
          <w:p w14:paraId="2F6EC24E" w14:textId="77777777" w:rsidR="009C1EAC" w:rsidRPr="006D37E7" w:rsidRDefault="009C1EAC" w:rsidP="00D74654">
            <w:pPr>
              <w:jc w:val="center"/>
              <w:rPr>
                <w:iCs/>
                <w:color w:val="000000"/>
                <w:sz w:val="18"/>
                <w:szCs w:val="18"/>
              </w:rPr>
            </w:pPr>
            <w:r w:rsidRPr="006D37E7">
              <w:rPr>
                <w:iCs/>
                <w:color w:val="000000"/>
                <w:sz w:val="18"/>
                <w:szCs w:val="18"/>
              </w:rPr>
              <w:t>33388,7</w:t>
            </w:r>
          </w:p>
        </w:tc>
        <w:tc>
          <w:tcPr>
            <w:tcW w:w="1433" w:type="dxa"/>
            <w:shd w:val="clear" w:color="auto" w:fill="auto"/>
            <w:vAlign w:val="center"/>
            <w:hideMark/>
          </w:tcPr>
          <w:p w14:paraId="4720E694" w14:textId="77777777" w:rsidR="009C1EAC" w:rsidRPr="006D37E7" w:rsidRDefault="009C1EAC" w:rsidP="00D74654">
            <w:pPr>
              <w:jc w:val="center"/>
              <w:rPr>
                <w:iCs/>
                <w:color w:val="000000"/>
                <w:sz w:val="18"/>
                <w:szCs w:val="18"/>
              </w:rPr>
            </w:pPr>
            <w:r w:rsidRPr="006D37E7">
              <w:rPr>
                <w:iCs/>
                <w:color w:val="000000"/>
                <w:sz w:val="18"/>
                <w:szCs w:val="18"/>
              </w:rPr>
              <w:t>6802,6</w:t>
            </w:r>
          </w:p>
        </w:tc>
        <w:tc>
          <w:tcPr>
            <w:tcW w:w="1314" w:type="dxa"/>
            <w:vAlign w:val="center"/>
          </w:tcPr>
          <w:p w14:paraId="543A971A" w14:textId="77777777" w:rsidR="009C1EAC" w:rsidRPr="006D37E7" w:rsidRDefault="009C1EAC" w:rsidP="00D74654">
            <w:pPr>
              <w:jc w:val="center"/>
              <w:rPr>
                <w:color w:val="000000"/>
                <w:sz w:val="18"/>
                <w:szCs w:val="18"/>
              </w:rPr>
            </w:pPr>
            <w:r w:rsidRPr="006D37E7">
              <w:rPr>
                <w:color w:val="000000"/>
                <w:sz w:val="18"/>
                <w:szCs w:val="18"/>
              </w:rPr>
              <w:t>-30439,2</w:t>
            </w:r>
          </w:p>
        </w:tc>
        <w:tc>
          <w:tcPr>
            <w:tcW w:w="1314" w:type="dxa"/>
            <w:vAlign w:val="center"/>
          </w:tcPr>
          <w:p w14:paraId="66C3AA64" w14:textId="77777777" w:rsidR="009C1EAC" w:rsidRPr="006D37E7" w:rsidRDefault="009C1EAC" w:rsidP="00D74654">
            <w:pPr>
              <w:jc w:val="center"/>
              <w:rPr>
                <w:color w:val="000000"/>
                <w:sz w:val="18"/>
                <w:szCs w:val="18"/>
              </w:rPr>
            </w:pPr>
            <w:r w:rsidRPr="006D37E7">
              <w:rPr>
                <w:color w:val="000000"/>
                <w:sz w:val="18"/>
                <w:szCs w:val="18"/>
              </w:rPr>
              <w:t>-4,9 раза</w:t>
            </w:r>
          </w:p>
        </w:tc>
      </w:tr>
      <w:tr w:rsidR="009C1EAC" w:rsidRPr="006D37E7" w14:paraId="044296DE" w14:textId="77777777" w:rsidTr="00D74654">
        <w:trPr>
          <w:trHeight w:val="255"/>
        </w:trPr>
        <w:tc>
          <w:tcPr>
            <w:tcW w:w="4923" w:type="dxa"/>
            <w:shd w:val="clear" w:color="auto" w:fill="auto"/>
            <w:vAlign w:val="center"/>
            <w:hideMark/>
          </w:tcPr>
          <w:p w14:paraId="14EA83B0" w14:textId="77777777" w:rsidR="009C1EAC" w:rsidRPr="006D37E7" w:rsidRDefault="009C1EAC" w:rsidP="00D74654">
            <w:pPr>
              <w:rPr>
                <w:sz w:val="18"/>
                <w:szCs w:val="18"/>
              </w:rPr>
            </w:pPr>
            <w:r w:rsidRPr="006D37E7">
              <w:rPr>
                <w:sz w:val="18"/>
                <w:szCs w:val="18"/>
              </w:rPr>
              <w:t>расчеты по платежам в бюджеты</w:t>
            </w:r>
          </w:p>
        </w:tc>
        <w:tc>
          <w:tcPr>
            <w:tcW w:w="1131" w:type="dxa"/>
            <w:shd w:val="clear" w:color="auto" w:fill="auto"/>
            <w:vAlign w:val="center"/>
            <w:hideMark/>
          </w:tcPr>
          <w:p w14:paraId="03CAA2A0" w14:textId="77777777" w:rsidR="009C1EAC" w:rsidRPr="006D37E7" w:rsidRDefault="009C1EAC" w:rsidP="00D74654">
            <w:pPr>
              <w:jc w:val="center"/>
              <w:rPr>
                <w:color w:val="000000"/>
                <w:sz w:val="18"/>
                <w:szCs w:val="18"/>
              </w:rPr>
            </w:pPr>
            <w:r w:rsidRPr="006D37E7">
              <w:rPr>
                <w:color w:val="000000"/>
                <w:sz w:val="18"/>
                <w:szCs w:val="18"/>
              </w:rPr>
              <w:t>1241,3</w:t>
            </w:r>
          </w:p>
        </w:tc>
        <w:tc>
          <w:tcPr>
            <w:tcW w:w="1433" w:type="dxa"/>
            <w:shd w:val="clear" w:color="auto" w:fill="auto"/>
            <w:vAlign w:val="center"/>
            <w:hideMark/>
          </w:tcPr>
          <w:p w14:paraId="0FCD83A2" w14:textId="77777777" w:rsidR="009C1EAC" w:rsidRPr="006D37E7" w:rsidRDefault="009C1EAC" w:rsidP="00D74654">
            <w:pPr>
              <w:jc w:val="center"/>
              <w:rPr>
                <w:color w:val="000000"/>
                <w:sz w:val="18"/>
                <w:szCs w:val="18"/>
              </w:rPr>
            </w:pPr>
            <w:r w:rsidRPr="006D37E7">
              <w:rPr>
                <w:color w:val="000000"/>
                <w:sz w:val="18"/>
                <w:szCs w:val="18"/>
              </w:rPr>
              <w:t>65,4</w:t>
            </w:r>
          </w:p>
        </w:tc>
        <w:tc>
          <w:tcPr>
            <w:tcW w:w="1314" w:type="dxa"/>
            <w:vAlign w:val="center"/>
          </w:tcPr>
          <w:p w14:paraId="5A3F9778" w14:textId="77777777" w:rsidR="009C1EAC" w:rsidRPr="006D37E7" w:rsidRDefault="009C1EAC" w:rsidP="00D74654">
            <w:pPr>
              <w:jc w:val="center"/>
              <w:rPr>
                <w:color w:val="000000"/>
                <w:sz w:val="18"/>
                <w:szCs w:val="18"/>
              </w:rPr>
            </w:pPr>
            <w:r w:rsidRPr="006D37E7">
              <w:rPr>
                <w:color w:val="000000"/>
                <w:sz w:val="18"/>
                <w:szCs w:val="18"/>
              </w:rPr>
              <w:t>-1175,9</w:t>
            </w:r>
          </w:p>
        </w:tc>
        <w:tc>
          <w:tcPr>
            <w:tcW w:w="1314" w:type="dxa"/>
            <w:vAlign w:val="center"/>
          </w:tcPr>
          <w:p w14:paraId="54A2CA95" w14:textId="77777777" w:rsidR="009C1EAC" w:rsidRPr="006D37E7" w:rsidRDefault="009C1EAC" w:rsidP="00D74654">
            <w:pPr>
              <w:jc w:val="center"/>
              <w:rPr>
                <w:color w:val="000000"/>
                <w:sz w:val="18"/>
                <w:szCs w:val="18"/>
              </w:rPr>
            </w:pPr>
            <w:r w:rsidRPr="006D37E7">
              <w:rPr>
                <w:color w:val="000000"/>
                <w:sz w:val="18"/>
                <w:szCs w:val="18"/>
              </w:rPr>
              <w:t>-19 раз</w:t>
            </w:r>
          </w:p>
        </w:tc>
      </w:tr>
      <w:tr w:rsidR="009C1EAC" w:rsidRPr="006D37E7" w14:paraId="5299A5D3" w14:textId="77777777" w:rsidTr="00D74654">
        <w:trPr>
          <w:trHeight w:val="255"/>
        </w:trPr>
        <w:tc>
          <w:tcPr>
            <w:tcW w:w="4923" w:type="dxa"/>
            <w:shd w:val="clear" w:color="auto" w:fill="auto"/>
            <w:vAlign w:val="center"/>
            <w:hideMark/>
          </w:tcPr>
          <w:p w14:paraId="09A262DF" w14:textId="77777777" w:rsidR="009C1EAC" w:rsidRPr="006D37E7" w:rsidRDefault="009C1EAC" w:rsidP="00D74654">
            <w:pPr>
              <w:rPr>
                <w:sz w:val="18"/>
                <w:szCs w:val="18"/>
              </w:rPr>
            </w:pPr>
            <w:r w:rsidRPr="006D37E7">
              <w:rPr>
                <w:sz w:val="18"/>
                <w:szCs w:val="18"/>
              </w:rPr>
              <w:t>прочие расчеты с кредиторами</w:t>
            </w:r>
          </w:p>
        </w:tc>
        <w:tc>
          <w:tcPr>
            <w:tcW w:w="1131" w:type="dxa"/>
            <w:shd w:val="clear" w:color="auto" w:fill="auto"/>
            <w:vAlign w:val="center"/>
            <w:hideMark/>
          </w:tcPr>
          <w:p w14:paraId="35B7BC89" w14:textId="77777777" w:rsidR="009C1EAC" w:rsidRPr="006D37E7" w:rsidRDefault="009C1EAC" w:rsidP="00D74654">
            <w:pPr>
              <w:jc w:val="center"/>
              <w:rPr>
                <w:color w:val="000000"/>
                <w:sz w:val="18"/>
                <w:szCs w:val="18"/>
              </w:rPr>
            </w:pPr>
            <w:r w:rsidRPr="006D37E7">
              <w:rPr>
                <w:color w:val="000000"/>
                <w:sz w:val="18"/>
                <w:szCs w:val="18"/>
              </w:rPr>
              <w:t>180,1</w:t>
            </w:r>
          </w:p>
        </w:tc>
        <w:tc>
          <w:tcPr>
            <w:tcW w:w="1433" w:type="dxa"/>
            <w:shd w:val="clear" w:color="auto" w:fill="auto"/>
            <w:vAlign w:val="center"/>
            <w:hideMark/>
          </w:tcPr>
          <w:p w14:paraId="64C89E19" w14:textId="77777777" w:rsidR="009C1EAC" w:rsidRPr="006D37E7" w:rsidRDefault="009C1EAC" w:rsidP="00D74654">
            <w:pPr>
              <w:jc w:val="center"/>
              <w:rPr>
                <w:color w:val="000000"/>
                <w:sz w:val="18"/>
                <w:szCs w:val="18"/>
              </w:rPr>
            </w:pPr>
            <w:r w:rsidRPr="006D37E7">
              <w:rPr>
                <w:color w:val="000000"/>
                <w:sz w:val="18"/>
                <w:szCs w:val="18"/>
              </w:rPr>
              <w:t>178,8</w:t>
            </w:r>
          </w:p>
        </w:tc>
        <w:tc>
          <w:tcPr>
            <w:tcW w:w="1314" w:type="dxa"/>
            <w:vAlign w:val="center"/>
          </w:tcPr>
          <w:p w14:paraId="7F66061C" w14:textId="77777777" w:rsidR="009C1EAC" w:rsidRPr="006D37E7" w:rsidRDefault="009C1EAC" w:rsidP="00D74654">
            <w:pPr>
              <w:jc w:val="center"/>
              <w:rPr>
                <w:color w:val="000000"/>
                <w:sz w:val="18"/>
                <w:szCs w:val="18"/>
              </w:rPr>
            </w:pPr>
            <w:r w:rsidRPr="006D37E7">
              <w:rPr>
                <w:color w:val="000000"/>
                <w:sz w:val="18"/>
                <w:szCs w:val="18"/>
              </w:rPr>
              <w:t>-1,3</w:t>
            </w:r>
          </w:p>
        </w:tc>
        <w:tc>
          <w:tcPr>
            <w:tcW w:w="1314" w:type="dxa"/>
            <w:vAlign w:val="center"/>
          </w:tcPr>
          <w:p w14:paraId="080568FF" w14:textId="77777777" w:rsidR="009C1EAC" w:rsidRPr="006D37E7" w:rsidRDefault="009C1EAC" w:rsidP="00D74654">
            <w:pPr>
              <w:jc w:val="center"/>
              <w:rPr>
                <w:color w:val="000000"/>
                <w:sz w:val="18"/>
                <w:szCs w:val="18"/>
              </w:rPr>
            </w:pPr>
            <w:r w:rsidRPr="006D37E7">
              <w:rPr>
                <w:color w:val="000000"/>
                <w:sz w:val="18"/>
                <w:szCs w:val="18"/>
              </w:rPr>
              <w:t>-0,7%</w:t>
            </w:r>
          </w:p>
        </w:tc>
      </w:tr>
      <w:tr w:rsidR="009C1EAC" w:rsidRPr="006D37E7" w14:paraId="5AE59DD7" w14:textId="77777777" w:rsidTr="00D74654">
        <w:trPr>
          <w:trHeight w:val="255"/>
        </w:trPr>
        <w:tc>
          <w:tcPr>
            <w:tcW w:w="4923" w:type="dxa"/>
            <w:shd w:val="clear" w:color="auto" w:fill="auto"/>
            <w:vAlign w:val="center"/>
            <w:hideMark/>
          </w:tcPr>
          <w:p w14:paraId="6B7B696A" w14:textId="77777777" w:rsidR="009C1EAC" w:rsidRPr="006D37E7" w:rsidRDefault="009C1EAC" w:rsidP="00D74654">
            <w:pPr>
              <w:rPr>
                <w:sz w:val="18"/>
                <w:szCs w:val="18"/>
              </w:rPr>
            </w:pPr>
            <w:r w:rsidRPr="006D37E7">
              <w:rPr>
                <w:sz w:val="18"/>
                <w:szCs w:val="18"/>
              </w:rPr>
              <w:t>расчеты по доходам</w:t>
            </w:r>
          </w:p>
        </w:tc>
        <w:tc>
          <w:tcPr>
            <w:tcW w:w="1131" w:type="dxa"/>
            <w:shd w:val="clear" w:color="auto" w:fill="auto"/>
            <w:vAlign w:val="center"/>
            <w:hideMark/>
          </w:tcPr>
          <w:p w14:paraId="7887F892" w14:textId="77777777" w:rsidR="009C1EAC" w:rsidRPr="006D37E7" w:rsidRDefault="009C1EAC" w:rsidP="00D74654">
            <w:pPr>
              <w:jc w:val="center"/>
              <w:rPr>
                <w:color w:val="000000"/>
                <w:sz w:val="18"/>
                <w:szCs w:val="18"/>
              </w:rPr>
            </w:pPr>
            <w:r w:rsidRPr="006D37E7">
              <w:rPr>
                <w:color w:val="000000"/>
                <w:sz w:val="18"/>
                <w:szCs w:val="18"/>
              </w:rPr>
              <w:t>7,7</w:t>
            </w:r>
          </w:p>
        </w:tc>
        <w:tc>
          <w:tcPr>
            <w:tcW w:w="1433" w:type="dxa"/>
            <w:shd w:val="clear" w:color="auto" w:fill="auto"/>
            <w:vAlign w:val="center"/>
            <w:hideMark/>
          </w:tcPr>
          <w:p w14:paraId="1357FCFE" w14:textId="77777777" w:rsidR="009C1EAC" w:rsidRPr="006D37E7" w:rsidRDefault="009C1EAC" w:rsidP="00D74654">
            <w:pPr>
              <w:jc w:val="center"/>
              <w:rPr>
                <w:color w:val="000000"/>
                <w:sz w:val="18"/>
                <w:szCs w:val="18"/>
              </w:rPr>
            </w:pPr>
            <w:r w:rsidRPr="006D37E7">
              <w:rPr>
                <w:color w:val="000000"/>
                <w:sz w:val="18"/>
                <w:szCs w:val="18"/>
              </w:rPr>
              <w:t>3,5</w:t>
            </w:r>
          </w:p>
        </w:tc>
        <w:tc>
          <w:tcPr>
            <w:tcW w:w="1314" w:type="dxa"/>
            <w:vAlign w:val="center"/>
          </w:tcPr>
          <w:p w14:paraId="31914ACE" w14:textId="77777777" w:rsidR="009C1EAC" w:rsidRPr="006D37E7" w:rsidRDefault="009C1EAC" w:rsidP="00D74654">
            <w:pPr>
              <w:jc w:val="center"/>
              <w:rPr>
                <w:color w:val="000000"/>
                <w:sz w:val="18"/>
                <w:szCs w:val="18"/>
              </w:rPr>
            </w:pPr>
            <w:r w:rsidRPr="006D37E7">
              <w:rPr>
                <w:color w:val="000000"/>
                <w:sz w:val="18"/>
                <w:szCs w:val="18"/>
              </w:rPr>
              <w:t>-4,2</w:t>
            </w:r>
          </w:p>
        </w:tc>
        <w:tc>
          <w:tcPr>
            <w:tcW w:w="1314" w:type="dxa"/>
            <w:vAlign w:val="center"/>
          </w:tcPr>
          <w:p w14:paraId="2DEF92F5" w14:textId="77777777" w:rsidR="009C1EAC" w:rsidRPr="006D37E7" w:rsidRDefault="009C1EAC" w:rsidP="00D74654">
            <w:pPr>
              <w:jc w:val="center"/>
              <w:rPr>
                <w:color w:val="000000"/>
                <w:sz w:val="18"/>
                <w:szCs w:val="18"/>
              </w:rPr>
            </w:pPr>
            <w:r w:rsidRPr="006D37E7">
              <w:rPr>
                <w:color w:val="000000"/>
                <w:sz w:val="18"/>
                <w:szCs w:val="18"/>
              </w:rPr>
              <w:t>-2,2 раза</w:t>
            </w:r>
          </w:p>
        </w:tc>
      </w:tr>
      <w:tr w:rsidR="009C1EAC" w:rsidRPr="006D37E7" w14:paraId="6784AD84" w14:textId="77777777" w:rsidTr="00D74654">
        <w:trPr>
          <w:trHeight w:val="255"/>
        </w:trPr>
        <w:tc>
          <w:tcPr>
            <w:tcW w:w="4923" w:type="dxa"/>
            <w:shd w:val="clear" w:color="auto" w:fill="auto"/>
            <w:vAlign w:val="center"/>
            <w:hideMark/>
          </w:tcPr>
          <w:p w14:paraId="35E51CF8" w14:textId="77777777" w:rsidR="009C1EAC" w:rsidRPr="006D37E7" w:rsidRDefault="009C1EAC" w:rsidP="00D74654">
            <w:pPr>
              <w:rPr>
                <w:sz w:val="18"/>
                <w:szCs w:val="18"/>
              </w:rPr>
            </w:pPr>
            <w:r w:rsidRPr="006D37E7">
              <w:rPr>
                <w:sz w:val="18"/>
                <w:szCs w:val="18"/>
              </w:rPr>
              <w:t>расчеты с подотчетными лицами</w:t>
            </w:r>
          </w:p>
        </w:tc>
        <w:tc>
          <w:tcPr>
            <w:tcW w:w="1131" w:type="dxa"/>
            <w:shd w:val="clear" w:color="auto" w:fill="auto"/>
            <w:vAlign w:val="center"/>
            <w:hideMark/>
          </w:tcPr>
          <w:p w14:paraId="31952418" w14:textId="77777777" w:rsidR="009C1EAC" w:rsidRPr="006D37E7" w:rsidRDefault="009C1EAC" w:rsidP="00D74654">
            <w:pPr>
              <w:jc w:val="center"/>
              <w:rPr>
                <w:color w:val="000000"/>
                <w:sz w:val="18"/>
                <w:szCs w:val="18"/>
              </w:rPr>
            </w:pPr>
            <w:r w:rsidRPr="006D37E7">
              <w:rPr>
                <w:color w:val="000000"/>
                <w:sz w:val="18"/>
                <w:szCs w:val="18"/>
              </w:rPr>
              <w:t>1,8</w:t>
            </w:r>
          </w:p>
        </w:tc>
        <w:tc>
          <w:tcPr>
            <w:tcW w:w="1433" w:type="dxa"/>
            <w:shd w:val="clear" w:color="auto" w:fill="auto"/>
            <w:vAlign w:val="center"/>
            <w:hideMark/>
          </w:tcPr>
          <w:p w14:paraId="419689EE" w14:textId="77777777" w:rsidR="009C1EAC" w:rsidRPr="006D37E7" w:rsidRDefault="009C1EAC" w:rsidP="00D74654">
            <w:pPr>
              <w:jc w:val="center"/>
              <w:rPr>
                <w:color w:val="000000"/>
                <w:sz w:val="18"/>
                <w:szCs w:val="18"/>
              </w:rPr>
            </w:pPr>
            <w:r w:rsidRPr="006D37E7">
              <w:rPr>
                <w:color w:val="000000"/>
                <w:sz w:val="18"/>
                <w:szCs w:val="18"/>
              </w:rPr>
              <w:t>0</w:t>
            </w:r>
          </w:p>
        </w:tc>
        <w:tc>
          <w:tcPr>
            <w:tcW w:w="1314" w:type="dxa"/>
            <w:vAlign w:val="center"/>
          </w:tcPr>
          <w:p w14:paraId="473647CD" w14:textId="77777777" w:rsidR="009C1EAC" w:rsidRPr="006D37E7" w:rsidRDefault="009C1EAC" w:rsidP="00D74654">
            <w:pPr>
              <w:jc w:val="center"/>
              <w:rPr>
                <w:color w:val="000000"/>
                <w:sz w:val="18"/>
                <w:szCs w:val="18"/>
              </w:rPr>
            </w:pPr>
            <w:r w:rsidRPr="006D37E7">
              <w:rPr>
                <w:color w:val="000000"/>
                <w:sz w:val="18"/>
                <w:szCs w:val="18"/>
              </w:rPr>
              <w:t>-1,8</w:t>
            </w:r>
          </w:p>
        </w:tc>
        <w:tc>
          <w:tcPr>
            <w:tcW w:w="1314" w:type="dxa"/>
            <w:vAlign w:val="center"/>
          </w:tcPr>
          <w:p w14:paraId="086D633C" w14:textId="77777777" w:rsidR="009C1EAC" w:rsidRPr="006D37E7" w:rsidRDefault="009C1EAC" w:rsidP="00D74654">
            <w:pPr>
              <w:jc w:val="center"/>
              <w:rPr>
                <w:color w:val="000000"/>
                <w:sz w:val="18"/>
                <w:szCs w:val="18"/>
              </w:rPr>
            </w:pPr>
            <w:r w:rsidRPr="006D37E7">
              <w:rPr>
                <w:color w:val="000000"/>
                <w:sz w:val="18"/>
                <w:szCs w:val="18"/>
              </w:rPr>
              <w:t>-</w:t>
            </w:r>
          </w:p>
        </w:tc>
      </w:tr>
    </w:tbl>
    <w:p w14:paraId="68018E0C" w14:textId="77777777" w:rsidR="006D37E7" w:rsidRPr="006D37E7" w:rsidRDefault="006D37E7" w:rsidP="00E42F90">
      <w:pPr>
        <w:tabs>
          <w:tab w:val="left" w:pos="993"/>
        </w:tabs>
        <w:autoSpaceDE w:val="0"/>
        <w:autoSpaceDN w:val="0"/>
        <w:adjustRightInd w:val="0"/>
        <w:spacing w:before="120" w:after="120"/>
        <w:ind w:left="709" w:firstLine="709"/>
        <w:jc w:val="center"/>
        <w:rPr>
          <w:b/>
        </w:rPr>
      </w:pPr>
    </w:p>
    <w:p w14:paraId="1EB34E2F" w14:textId="77777777" w:rsidR="004D0397" w:rsidRPr="006D37E7" w:rsidRDefault="009C1EAC" w:rsidP="00E42F90">
      <w:pPr>
        <w:tabs>
          <w:tab w:val="left" w:pos="993"/>
        </w:tabs>
        <w:autoSpaceDE w:val="0"/>
        <w:autoSpaceDN w:val="0"/>
        <w:adjustRightInd w:val="0"/>
        <w:spacing w:before="120" w:after="120"/>
        <w:ind w:left="709" w:firstLine="709"/>
        <w:jc w:val="center"/>
        <w:rPr>
          <w:b/>
        </w:rPr>
      </w:pPr>
      <w:r w:rsidRPr="006D37E7">
        <w:rPr>
          <w:b/>
        </w:rPr>
        <w:t>6</w:t>
      </w:r>
      <w:r w:rsidR="00970812" w:rsidRPr="006D37E7">
        <w:rPr>
          <w:b/>
        </w:rPr>
        <w:t xml:space="preserve">. </w:t>
      </w:r>
      <w:r w:rsidR="004D0397" w:rsidRPr="006D37E7">
        <w:rPr>
          <w:b/>
        </w:rPr>
        <w:t>Анализ исполнения мероприятий в рамках целевых программ</w:t>
      </w:r>
    </w:p>
    <w:p w14:paraId="5FCB2329" w14:textId="77777777" w:rsidR="00B4205A" w:rsidRPr="006D37E7" w:rsidRDefault="00F9794C" w:rsidP="006B0D85">
      <w:pPr>
        <w:ind w:firstLine="709"/>
        <w:jc w:val="both"/>
      </w:pPr>
      <w:r w:rsidRPr="006D37E7">
        <w:t xml:space="preserve">В 2018 году Комитетом осуществлялась реализация </w:t>
      </w:r>
      <w:r w:rsidR="00F82CA6" w:rsidRPr="006D37E7">
        <w:t>мероприятий</w:t>
      </w:r>
      <w:r w:rsidR="00B4205A" w:rsidRPr="006D37E7">
        <w:t>:</w:t>
      </w:r>
    </w:p>
    <w:p w14:paraId="0F10BDAE" w14:textId="77777777" w:rsidR="00B4205A" w:rsidRPr="006D37E7" w:rsidRDefault="00B4205A" w:rsidP="006B0D85">
      <w:pPr>
        <w:ind w:firstLine="709"/>
        <w:jc w:val="both"/>
      </w:pPr>
      <w:r w:rsidRPr="006D37E7">
        <w:t>-</w:t>
      </w:r>
      <w:r w:rsidR="00F82CA6" w:rsidRPr="006D37E7">
        <w:t xml:space="preserve">государственной </w:t>
      </w:r>
      <w:hyperlink r:id="rId9" w:history="1">
        <w:r w:rsidR="00F82CA6" w:rsidRPr="006D37E7">
          <w:t>программы</w:t>
        </w:r>
      </w:hyperlink>
      <w:r w:rsidR="00F82CA6" w:rsidRPr="006D37E7">
        <w:t xml:space="preserve"> Волгоградской области «Развитие культуры и туризма в Волгоградской области», утвержденной постановлением Администрации Волгоградской области  от 08.05.2015 № 217-п (далее </w:t>
      </w:r>
      <w:r w:rsidRPr="006D37E7">
        <w:t xml:space="preserve">- </w:t>
      </w:r>
      <w:r w:rsidR="00F82CA6" w:rsidRPr="006D37E7">
        <w:t>ГП Развитие культуры и туризма</w:t>
      </w:r>
      <w:r w:rsidR="009C1EAC" w:rsidRPr="006D37E7">
        <w:t>, Постановление №217-п</w:t>
      </w:r>
      <w:r w:rsidR="00F82CA6" w:rsidRPr="006D37E7">
        <w:t xml:space="preserve">), </w:t>
      </w:r>
      <w:r w:rsidR="00F9794C" w:rsidRPr="006D37E7">
        <w:t>по которой Комитет является ответственным исполнителем</w:t>
      </w:r>
      <w:r w:rsidRPr="006D37E7">
        <w:t>;</w:t>
      </w:r>
    </w:p>
    <w:p w14:paraId="10497143" w14:textId="77777777" w:rsidR="00B4205A" w:rsidRPr="006D37E7" w:rsidRDefault="00B4205A" w:rsidP="006B0D85">
      <w:pPr>
        <w:ind w:firstLine="709"/>
        <w:jc w:val="both"/>
      </w:pPr>
      <w:r w:rsidRPr="006D37E7">
        <w:t>-</w:t>
      </w:r>
      <w:r w:rsidR="00F9794C" w:rsidRPr="006D37E7">
        <w:t>подпрограммы «Формирование доступной среды жизнедеятельности для инвалидов и маломобильных групп населения и позитивного отношения общества к проблемам инвалидов г</w:t>
      </w:r>
      <w:r w:rsidR="00F9794C" w:rsidRPr="006D37E7">
        <w:rPr>
          <w:rFonts w:eastAsia="Calibri"/>
        </w:rPr>
        <w:t>осударственн</w:t>
      </w:r>
      <w:r w:rsidR="00F9794C" w:rsidRPr="006D37E7">
        <w:t>ой</w:t>
      </w:r>
      <w:r w:rsidR="00F9794C" w:rsidRPr="006D37E7">
        <w:rPr>
          <w:rFonts w:eastAsia="Calibri"/>
        </w:rPr>
        <w:t xml:space="preserve"> программ</w:t>
      </w:r>
      <w:r w:rsidR="00F9794C" w:rsidRPr="006D37E7">
        <w:t>ы</w:t>
      </w:r>
      <w:r w:rsidR="00F9794C" w:rsidRPr="006D37E7">
        <w:rPr>
          <w:rFonts w:eastAsia="Calibri"/>
        </w:rPr>
        <w:t xml:space="preserve"> Волгоградской области</w:t>
      </w:r>
      <w:r w:rsidR="00F9794C" w:rsidRPr="006D37E7">
        <w:t xml:space="preserve"> «</w:t>
      </w:r>
      <w:r w:rsidR="00F9794C" w:rsidRPr="006D37E7">
        <w:rPr>
          <w:rFonts w:eastAsia="Calibri"/>
        </w:rPr>
        <w:t xml:space="preserve">Социальная поддержка и защита </w:t>
      </w:r>
      <w:r w:rsidR="00F9794C" w:rsidRPr="006D37E7">
        <w:t xml:space="preserve">населения Волгоградской области» (далее </w:t>
      </w:r>
      <w:r w:rsidRPr="006D37E7">
        <w:t xml:space="preserve">- </w:t>
      </w:r>
      <w:r w:rsidR="00F9794C" w:rsidRPr="006D37E7">
        <w:t>ПП Формирование доступной среды), утвержденной постановлением Администрации Волгоградской обл. от 25.09.2017 №504-п, в качестве соисполнителя.</w:t>
      </w:r>
      <w:r w:rsidR="00B9676C" w:rsidRPr="006D37E7">
        <w:t xml:space="preserve"> </w:t>
      </w:r>
    </w:p>
    <w:p w14:paraId="6C8AE1E4" w14:textId="77777777" w:rsidR="006B0D85" w:rsidRPr="006D37E7" w:rsidRDefault="006B0D85" w:rsidP="006B0D85">
      <w:pPr>
        <w:ind w:firstLine="709"/>
        <w:jc w:val="both"/>
        <w:rPr>
          <w:color w:val="0000CC"/>
        </w:rPr>
      </w:pPr>
      <w:r w:rsidRPr="006D37E7">
        <w:t xml:space="preserve">Обобщённые данные по исполнению указанных программ представлены </w:t>
      </w:r>
      <w:r w:rsidRPr="006D37E7">
        <w:rPr>
          <w:color w:val="0000CC"/>
        </w:rPr>
        <w:t>в таблице №</w:t>
      </w:r>
      <w:r w:rsidR="009C1EAC" w:rsidRPr="006D37E7">
        <w:rPr>
          <w:color w:val="0000CC"/>
        </w:rPr>
        <w:t>2</w:t>
      </w:r>
      <w:r w:rsidR="00120B41" w:rsidRPr="006D37E7">
        <w:rPr>
          <w:color w:val="0000CC"/>
        </w:rPr>
        <w:t>.</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2"/>
        <w:gridCol w:w="1559"/>
        <w:gridCol w:w="2126"/>
        <w:gridCol w:w="1134"/>
        <w:gridCol w:w="992"/>
        <w:gridCol w:w="1464"/>
      </w:tblGrid>
      <w:tr w:rsidR="00A5618E" w:rsidRPr="006D37E7" w14:paraId="537A5415" w14:textId="77777777" w:rsidTr="002F0F3C">
        <w:trPr>
          <w:trHeight w:val="20"/>
          <w:jc w:val="center"/>
        </w:trPr>
        <w:tc>
          <w:tcPr>
            <w:tcW w:w="2742" w:type="dxa"/>
            <w:vMerge w:val="restart"/>
          </w:tcPr>
          <w:p w14:paraId="2708DDC4" w14:textId="77777777" w:rsidR="00A5618E" w:rsidRPr="006D37E7" w:rsidRDefault="00A5618E" w:rsidP="006B0D85">
            <w:pPr>
              <w:jc w:val="center"/>
              <w:rPr>
                <w:color w:val="000000"/>
                <w:sz w:val="16"/>
                <w:szCs w:val="16"/>
              </w:rPr>
            </w:pPr>
            <w:r w:rsidRPr="006D37E7">
              <w:rPr>
                <w:color w:val="000000"/>
                <w:sz w:val="16"/>
                <w:szCs w:val="16"/>
              </w:rPr>
              <w:t>Наименование ГП, ПП</w:t>
            </w:r>
          </w:p>
        </w:tc>
        <w:tc>
          <w:tcPr>
            <w:tcW w:w="4819" w:type="dxa"/>
            <w:gridSpan w:val="3"/>
          </w:tcPr>
          <w:p w14:paraId="1A307E73" w14:textId="77777777" w:rsidR="00A5618E" w:rsidRPr="006D37E7" w:rsidRDefault="00A5618E" w:rsidP="00A5618E">
            <w:pPr>
              <w:jc w:val="center"/>
              <w:rPr>
                <w:color w:val="000000"/>
                <w:sz w:val="16"/>
                <w:szCs w:val="16"/>
              </w:rPr>
            </w:pPr>
            <w:r w:rsidRPr="006D37E7">
              <w:rPr>
                <w:color w:val="000000"/>
                <w:sz w:val="16"/>
                <w:szCs w:val="16"/>
              </w:rPr>
              <w:t xml:space="preserve">Утверждено </w:t>
            </w:r>
          </w:p>
        </w:tc>
        <w:tc>
          <w:tcPr>
            <w:tcW w:w="992" w:type="dxa"/>
            <w:vMerge w:val="restart"/>
          </w:tcPr>
          <w:p w14:paraId="516FB7E0" w14:textId="77777777" w:rsidR="00A5618E" w:rsidRPr="006D37E7" w:rsidRDefault="00A5618E" w:rsidP="006B0D85">
            <w:pPr>
              <w:jc w:val="center"/>
              <w:rPr>
                <w:color w:val="000000"/>
                <w:sz w:val="16"/>
                <w:szCs w:val="16"/>
              </w:rPr>
            </w:pPr>
            <w:r w:rsidRPr="006D37E7">
              <w:rPr>
                <w:color w:val="000000"/>
                <w:sz w:val="16"/>
                <w:szCs w:val="16"/>
              </w:rPr>
              <w:t>Исполнено</w:t>
            </w:r>
          </w:p>
        </w:tc>
        <w:tc>
          <w:tcPr>
            <w:tcW w:w="1464" w:type="dxa"/>
            <w:vMerge w:val="restart"/>
          </w:tcPr>
          <w:p w14:paraId="45EDEBC2" w14:textId="77777777" w:rsidR="00A5618E" w:rsidRPr="006D37E7" w:rsidRDefault="00A5618E" w:rsidP="006B0D85">
            <w:pPr>
              <w:jc w:val="center"/>
              <w:rPr>
                <w:color w:val="000000"/>
                <w:sz w:val="16"/>
                <w:szCs w:val="16"/>
              </w:rPr>
            </w:pPr>
            <w:r w:rsidRPr="006D37E7">
              <w:rPr>
                <w:color w:val="000000"/>
                <w:sz w:val="16"/>
                <w:szCs w:val="16"/>
              </w:rPr>
              <w:t xml:space="preserve">Исполнено от бюджетной </w:t>
            </w:r>
            <w:proofErr w:type="gramStart"/>
            <w:r w:rsidRPr="006D37E7">
              <w:rPr>
                <w:color w:val="000000"/>
                <w:sz w:val="16"/>
                <w:szCs w:val="16"/>
              </w:rPr>
              <w:t>росписи  (</w:t>
            </w:r>
            <w:proofErr w:type="gramEnd"/>
            <w:r w:rsidRPr="006D37E7">
              <w:rPr>
                <w:color w:val="000000"/>
                <w:sz w:val="16"/>
                <w:szCs w:val="16"/>
              </w:rPr>
              <w:t>%)</w:t>
            </w:r>
          </w:p>
        </w:tc>
      </w:tr>
      <w:tr w:rsidR="00A5618E" w:rsidRPr="006D37E7" w14:paraId="5FE0620D" w14:textId="77777777" w:rsidTr="00A5618E">
        <w:trPr>
          <w:trHeight w:val="20"/>
          <w:jc w:val="center"/>
        </w:trPr>
        <w:tc>
          <w:tcPr>
            <w:tcW w:w="2742" w:type="dxa"/>
            <w:vMerge/>
          </w:tcPr>
          <w:p w14:paraId="16F884F8" w14:textId="77777777" w:rsidR="00A5618E" w:rsidRPr="006D37E7" w:rsidRDefault="00A5618E" w:rsidP="006B0D85">
            <w:pPr>
              <w:jc w:val="center"/>
              <w:rPr>
                <w:color w:val="000000"/>
                <w:sz w:val="16"/>
                <w:szCs w:val="16"/>
              </w:rPr>
            </w:pPr>
          </w:p>
        </w:tc>
        <w:tc>
          <w:tcPr>
            <w:tcW w:w="1559" w:type="dxa"/>
          </w:tcPr>
          <w:p w14:paraId="5711E1AE" w14:textId="77777777" w:rsidR="00A5618E" w:rsidRPr="006D37E7" w:rsidRDefault="00A5618E" w:rsidP="00A5618E">
            <w:pPr>
              <w:jc w:val="center"/>
              <w:rPr>
                <w:color w:val="000000"/>
                <w:sz w:val="16"/>
                <w:szCs w:val="16"/>
              </w:rPr>
            </w:pPr>
            <w:r w:rsidRPr="006D37E7">
              <w:rPr>
                <w:color w:val="000000"/>
                <w:sz w:val="16"/>
                <w:szCs w:val="16"/>
              </w:rPr>
              <w:t>программой</w:t>
            </w:r>
          </w:p>
        </w:tc>
        <w:tc>
          <w:tcPr>
            <w:tcW w:w="2126" w:type="dxa"/>
          </w:tcPr>
          <w:p w14:paraId="640BA3E7" w14:textId="77777777" w:rsidR="00A5618E" w:rsidRPr="006D37E7" w:rsidRDefault="00A5618E" w:rsidP="006B0D85">
            <w:pPr>
              <w:jc w:val="center"/>
              <w:rPr>
                <w:color w:val="000000"/>
                <w:sz w:val="16"/>
                <w:szCs w:val="16"/>
              </w:rPr>
            </w:pPr>
            <w:r w:rsidRPr="006D37E7">
              <w:rPr>
                <w:color w:val="000000"/>
                <w:sz w:val="16"/>
                <w:szCs w:val="16"/>
              </w:rPr>
              <w:t>Законом об областном бюджете</w:t>
            </w:r>
          </w:p>
        </w:tc>
        <w:tc>
          <w:tcPr>
            <w:tcW w:w="1134" w:type="dxa"/>
          </w:tcPr>
          <w:p w14:paraId="2D9BD100" w14:textId="77777777" w:rsidR="00A5618E" w:rsidRPr="006D37E7" w:rsidRDefault="00A5618E" w:rsidP="006B0D85">
            <w:pPr>
              <w:jc w:val="center"/>
              <w:rPr>
                <w:color w:val="000000"/>
                <w:sz w:val="16"/>
                <w:szCs w:val="16"/>
              </w:rPr>
            </w:pPr>
            <w:r w:rsidRPr="006D37E7">
              <w:rPr>
                <w:color w:val="000000"/>
                <w:sz w:val="16"/>
                <w:szCs w:val="16"/>
              </w:rPr>
              <w:t>бюджетной росписью</w:t>
            </w:r>
          </w:p>
        </w:tc>
        <w:tc>
          <w:tcPr>
            <w:tcW w:w="992" w:type="dxa"/>
            <w:vMerge/>
          </w:tcPr>
          <w:p w14:paraId="4DADBF0C" w14:textId="77777777" w:rsidR="00A5618E" w:rsidRPr="006D37E7" w:rsidRDefault="00A5618E" w:rsidP="006B0D85">
            <w:pPr>
              <w:jc w:val="center"/>
              <w:rPr>
                <w:color w:val="000000"/>
                <w:sz w:val="16"/>
                <w:szCs w:val="16"/>
              </w:rPr>
            </w:pPr>
          </w:p>
        </w:tc>
        <w:tc>
          <w:tcPr>
            <w:tcW w:w="1464" w:type="dxa"/>
            <w:vMerge/>
          </w:tcPr>
          <w:p w14:paraId="1D87053B" w14:textId="77777777" w:rsidR="00A5618E" w:rsidRPr="006D37E7" w:rsidRDefault="00A5618E" w:rsidP="006B0D85">
            <w:pPr>
              <w:jc w:val="center"/>
              <w:rPr>
                <w:color w:val="000000"/>
                <w:sz w:val="16"/>
                <w:szCs w:val="16"/>
              </w:rPr>
            </w:pPr>
          </w:p>
        </w:tc>
      </w:tr>
      <w:tr w:rsidR="009C1EAC" w:rsidRPr="006D37E7" w14:paraId="443A0237" w14:textId="77777777" w:rsidTr="00D74654">
        <w:trPr>
          <w:trHeight w:val="20"/>
          <w:jc w:val="center"/>
        </w:trPr>
        <w:tc>
          <w:tcPr>
            <w:tcW w:w="2742" w:type="dxa"/>
            <w:vAlign w:val="center"/>
          </w:tcPr>
          <w:p w14:paraId="3E1E80B6" w14:textId="77777777" w:rsidR="009C1EAC" w:rsidRPr="006D37E7" w:rsidRDefault="009C1EAC" w:rsidP="00D74654">
            <w:pPr>
              <w:rPr>
                <w:color w:val="000000"/>
                <w:sz w:val="16"/>
                <w:szCs w:val="16"/>
              </w:rPr>
            </w:pPr>
            <w:r w:rsidRPr="006D37E7">
              <w:rPr>
                <w:color w:val="000000"/>
                <w:sz w:val="16"/>
                <w:szCs w:val="16"/>
              </w:rPr>
              <w:t>ПП Формирование доступной среды</w:t>
            </w:r>
          </w:p>
        </w:tc>
        <w:tc>
          <w:tcPr>
            <w:tcW w:w="1559" w:type="dxa"/>
            <w:vAlign w:val="center"/>
          </w:tcPr>
          <w:p w14:paraId="333CA6DA" w14:textId="77777777" w:rsidR="009C1EAC" w:rsidRPr="006D37E7" w:rsidRDefault="009C1EAC" w:rsidP="00D74654">
            <w:pPr>
              <w:jc w:val="center"/>
              <w:rPr>
                <w:color w:val="000000"/>
                <w:sz w:val="16"/>
                <w:szCs w:val="16"/>
              </w:rPr>
            </w:pPr>
            <w:r w:rsidRPr="006D37E7">
              <w:rPr>
                <w:color w:val="000000"/>
                <w:sz w:val="16"/>
                <w:szCs w:val="16"/>
              </w:rPr>
              <w:t>924,9</w:t>
            </w:r>
          </w:p>
        </w:tc>
        <w:tc>
          <w:tcPr>
            <w:tcW w:w="2126" w:type="dxa"/>
            <w:vAlign w:val="center"/>
          </w:tcPr>
          <w:p w14:paraId="38D9BFC7" w14:textId="77777777" w:rsidR="009C1EAC" w:rsidRPr="006D37E7" w:rsidRDefault="009C1EAC" w:rsidP="00D74654">
            <w:pPr>
              <w:jc w:val="center"/>
              <w:rPr>
                <w:color w:val="000000"/>
                <w:sz w:val="16"/>
                <w:szCs w:val="16"/>
              </w:rPr>
            </w:pPr>
            <w:r w:rsidRPr="006D37E7">
              <w:rPr>
                <w:color w:val="000000"/>
                <w:sz w:val="16"/>
                <w:szCs w:val="16"/>
              </w:rPr>
              <w:t>924,9</w:t>
            </w:r>
          </w:p>
        </w:tc>
        <w:tc>
          <w:tcPr>
            <w:tcW w:w="1134" w:type="dxa"/>
            <w:vAlign w:val="center"/>
          </w:tcPr>
          <w:p w14:paraId="149F132E" w14:textId="77777777" w:rsidR="009C1EAC" w:rsidRPr="006D37E7" w:rsidRDefault="009C1EAC" w:rsidP="00D74654">
            <w:pPr>
              <w:jc w:val="center"/>
              <w:rPr>
                <w:color w:val="000000"/>
                <w:sz w:val="16"/>
                <w:szCs w:val="16"/>
              </w:rPr>
            </w:pPr>
            <w:r w:rsidRPr="006D37E7">
              <w:rPr>
                <w:color w:val="000000"/>
                <w:sz w:val="16"/>
                <w:szCs w:val="16"/>
              </w:rPr>
              <w:t>924,9</w:t>
            </w:r>
          </w:p>
        </w:tc>
        <w:tc>
          <w:tcPr>
            <w:tcW w:w="992" w:type="dxa"/>
            <w:vAlign w:val="center"/>
          </w:tcPr>
          <w:p w14:paraId="35AF960A" w14:textId="77777777" w:rsidR="009C1EAC" w:rsidRPr="006D37E7" w:rsidRDefault="009C1EAC" w:rsidP="00D74654">
            <w:pPr>
              <w:jc w:val="center"/>
              <w:rPr>
                <w:color w:val="000000"/>
                <w:sz w:val="16"/>
                <w:szCs w:val="16"/>
              </w:rPr>
            </w:pPr>
            <w:r w:rsidRPr="006D37E7">
              <w:rPr>
                <w:color w:val="000000"/>
                <w:sz w:val="16"/>
                <w:szCs w:val="16"/>
              </w:rPr>
              <w:t>924,9</w:t>
            </w:r>
          </w:p>
        </w:tc>
        <w:tc>
          <w:tcPr>
            <w:tcW w:w="1464" w:type="dxa"/>
            <w:vAlign w:val="center"/>
          </w:tcPr>
          <w:p w14:paraId="2C1BDEAB" w14:textId="77777777" w:rsidR="009C1EAC" w:rsidRPr="006D37E7" w:rsidRDefault="009C1EAC" w:rsidP="00D74654">
            <w:pPr>
              <w:jc w:val="center"/>
              <w:rPr>
                <w:color w:val="000000"/>
                <w:sz w:val="16"/>
                <w:szCs w:val="16"/>
              </w:rPr>
            </w:pPr>
            <w:r w:rsidRPr="006D37E7">
              <w:rPr>
                <w:color w:val="000000"/>
                <w:sz w:val="16"/>
                <w:szCs w:val="16"/>
              </w:rPr>
              <w:t>100,0</w:t>
            </w:r>
          </w:p>
        </w:tc>
      </w:tr>
      <w:tr w:rsidR="009C1EAC" w:rsidRPr="006D37E7" w14:paraId="5B771B8A" w14:textId="77777777" w:rsidTr="00A5618E">
        <w:trPr>
          <w:trHeight w:val="173"/>
          <w:jc w:val="center"/>
        </w:trPr>
        <w:tc>
          <w:tcPr>
            <w:tcW w:w="2742" w:type="dxa"/>
            <w:vAlign w:val="center"/>
          </w:tcPr>
          <w:p w14:paraId="0073C563" w14:textId="77777777" w:rsidR="009C1EAC" w:rsidRPr="006D37E7" w:rsidRDefault="009C1EAC" w:rsidP="00022662">
            <w:pPr>
              <w:rPr>
                <w:color w:val="000000"/>
                <w:sz w:val="16"/>
                <w:szCs w:val="16"/>
              </w:rPr>
            </w:pPr>
            <w:r w:rsidRPr="006D37E7">
              <w:rPr>
                <w:color w:val="000000"/>
                <w:sz w:val="16"/>
                <w:szCs w:val="16"/>
              </w:rPr>
              <w:t>ГП Развитие культуры и туризма</w:t>
            </w:r>
          </w:p>
        </w:tc>
        <w:tc>
          <w:tcPr>
            <w:tcW w:w="1559" w:type="dxa"/>
            <w:vAlign w:val="center"/>
          </w:tcPr>
          <w:p w14:paraId="74680C6D" w14:textId="77777777" w:rsidR="009C1EAC" w:rsidRPr="006D37E7" w:rsidRDefault="009C1EAC" w:rsidP="00022662">
            <w:pPr>
              <w:jc w:val="center"/>
              <w:rPr>
                <w:color w:val="000000"/>
                <w:sz w:val="16"/>
                <w:szCs w:val="16"/>
              </w:rPr>
            </w:pPr>
            <w:r w:rsidRPr="006D37E7">
              <w:rPr>
                <w:color w:val="000000"/>
                <w:sz w:val="16"/>
                <w:szCs w:val="16"/>
              </w:rPr>
              <w:t>1655789,9</w:t>
            </w:r>
          </w:p>
        </w:tc>
        <w:tc>
          <w:tcPr>
            <w:tcW w:w="2126" w:type="dxa"/>
            <w:vAlign w:val="center"/>
          </w:tcPr>
          <w:p w14:paraId="56B1AAE8" w14:textId="77777777" w:rsidR="009C1EAC" w:rsidRPr="006D37E7" w:rsidRDefault="009C1EAC" w:rsidP="00022662">
            <w:pPr>
              <w:jc w:val="center"/>
              <w:rPr>
                <w:color w:val="000000"/>
                <w:sz w:val="16"/>
                <w:szCs w:val="16"/>
              </w:rPr>
            </w:pPr>
            <w:r w:rsidRPr="006D37E7">
              <w:rPr>
                <w:color w:val="000000"/>
                <w:sz w:val="16"/>
                <w:szCs w:val="16"/>
              </w:rPr>
              <w:t>1705426,9</w:t>
            </w:r>
          </w:p>
        </w:tc>
        <w:tc>
          <w:tcPr>
            <w:tcW w:w="1134" w:type="dxa"/>
            <w:vAlign w:val="center"/>
          </w:tcPr>
          <w:p w14:paraId="78F66EA7" w14:textId="77777777" w:rsidR="009C1EAC" w:rsidRPr="006D37E7" w:rsidRDefault="009C1EAC" w:rsidP="00022662">
            <w:pPr>
              <w:jc w:val="center"/>
              <w:rPr>
                <w:color w:val="000000"/>
                <w:sz w:val="16"/>
                <w:szCs w:val="16"/>
              </w:rPr>
            </w:pPr>
            <w:r w:rsidRPr="006D37E7">
              <w:rPr>
                <w:color w:val="000000"/>
                <w:sz w:val="16"/>
                <w:szCs w:val="16"/>
              </w:rPr>
              <w:t>1736360,2</w:t>
            </w:r>
          </w:p>
        </w:tc>
        <w:tc>
          <w:tcPr>
            <w:tcW w:w="992" w:type="dxa"/>
            <w:vAlign w:val="center"/>
          </w:tcPr>
          <w:p w14:paraId="20FFFDD9" w14:textId="77777777" w:rsidR="009C1EAC" w:rsidRPr="006D37E7" w:rsidRDefault="009C1EAC" w:rsidP="00022662">
            <w:pPr>
              <w:jc w:val="center"/>
              <w:rPr>
                <w:color w:val="000000"/>
                <w:sz w:val="16"/>
                <w:szCs w:val="16"/>
              </w:rPr>
            </w:pPr>
            <w:r w:rsidRPr="006D37E7">
              <w:rPr>
                <w:color w:val="000000"/>
                <w:sz w:val="16"/>
                <w:szCs w:val="16"/>
              </w:rPr>
              <w:t>1721538,9</w:t>
            </w:r>
          </w:p>
        </w:tc>
        <w:tc>
          <w:tcPr>
            <w:tcW w:w="1464" w:type="dxa"/>
            <w:vAlign w:val="center"/>
          </w:tcPr>
          <w:p w14:paraId="17BA2701" w14:textId="77777777" w:rsidR="009C1EAC" w:rsidRPr="006D37E7" w:rsidRDefault="009C1EAC" w:rsidP="00022662">
            <w:pPr>
              <w:jc w:val="center"/>
              <w:rPr>
                <w:color w:val="000000"/>
                <w:sz w:val="16"/>
                <w:szCs w:val="16"/>
              </w:rPr>
            </w:pPr>
            <w:r w:rsidRPr="006D37E7">
              <w:rPr>
                <w:color w:val="000000"/>
                <w:sz w:val="16"/>
                <w:szCs w:val="16"/>
              </w:rPr>
              <w:t>99,1</w:t>
            </w:r>
          </w:p>
        </w:tc>
      </w:tr>
      <w:tr w:rsidR="009C1EAC" w:rsidRPr="006D37E7" w14:paraId="473F97BE" w14:textId="77777777" w:rsidTr="00A5618E">
        <w:trPr>
          <w:trHeight w:val="48"/>
          <w:jc w:val="center"/>
        </w:trPr>
        <w:tc>
          <w:tcPr>
            <w:tcW w:w="2742" w:type="dxa"/>
            <w:vAlign w:val="center"/>
          </w:tcPr>
          <w:p w14:paraId="03687698" w14:textId="77777777" w:rsidR="009C1EAC" w:rsidRPr="006D37E7" w:rsidRDefault="009C1EAC" w:rsidP="00022662">
            <w:pPr>
              <w:rPr>
                <w:color w:val="000000"/>
                <w:sz w:val="16"/>
                <w:szCs w:val="16"/>
              </w:rPr>
            </w:pPr>
            <w:r w:rsidRPr="006D37E7">
              <w:rPr>
                <w:color w:val="000000"/>
                <w:sz w:val="16"/>
                <w:szCs w:val="16"/>
              </w:rPr>
              <w:t>Итого по ГП и ПП:</w:t>
            </w:r>
          </w:p>
        </w:tc>
        <w:tc>
          <w:tcPr>
            <w:tcW w:w="1559" w:type="dxa"/>
            <w:vAlign w:val="center"/>
          </w:tcPr>
          <w:p w14:paraId="599A698D" w14:textId="77777777" w:rsidR="009C1EAC" w:rsidRPr="006D37E7" w:rsidRDefault="009C1EAC" w:rsidP="00022662">
            <w:pPr>
              <w:jc w:val="center"/>
              <w:rPr>
                <w:color w:val="000000"/>
                <w:sz w:val="16"/>
                <w:szCs w:val="16"/>
              </w:rPr>
            </w:pPr>
            <w:r w:rsidRPr="006D37E7">
              <w:rPr>
                <w:color w:val="000000"/>
                <w:sz w:val="16"/>
                <w:szCs w:val="16"/>
              </w:rPr>
              <w:t>1656714,8</w:t>
            </w:r>
          </w:p>
        </w:tc>
        <w:tc>
          <w:tcPr>
            <w:tcW w:w="2126" w:type="dxa"/>
            <w:vAlign w:val="center"/>
          </w:tcPr>
          <w:p w14:paraId="13D0393E" w14:textId="77777777" w:rsidR="009C1EAC" w:rsidRPr="006D37E7" w:rsidRDefault="009C1EAC" w:rsidP="00022662">
            <w:pPr>
              <w:jc w:val="center"/>
              <w:rPr>
                <w:color w:val="000000"/>
                <w:sz w:val="16"/>
                <w:szCs w:val="16"/>
              </w:rPr>
            </w:pPr>
            <w:r w:rsidRPr="006D37E7">
              <w:rPr>
                <w:color w:val="000000"/>
                <w:sz w:val="16"/>
                <w:szCs w:val="16"/>
              </w:rPr>
              <w:t>1706351,8</w:t>
            </w:r>
          </w:p>
        </w:tc>
        <w:tc>
          <w:tcPr>
            <w:tcW w:w="1134" w:type="dxa"/>
            <w:vAlign w:val="center"/>
          </w:tcPr>
          <w:p w14:paraId="3630AC08" w14:textId="77777777" w:rsidR="009C1EAC" w:rsidRPr="006D37E7" w:rsidRDefault="009C1EAC" w:rsidP="00022662">
            <w:pPr>
              <w:jc w:val="center"/>
              <w:rPr>
                <w:color w:val="000000"/>
                <w:sz w:val="16"/>
                <w:szCs w:val="16"/>
              </w:rPr>
            </w:pPr>
            <w:r w:rsidRPr="006D37E7">
              <w:rPr>
                <w:color w:val="000000"/>
                <w:sz w:val="16"/>
                <w:szCs w:val="16"/>
              </w:rPr>
              <w:t>1737285,1</w:t>
            </w:r>
          </w:p>
        </w:tc>
        <w:tc>
          <w:tcPr>
            <w:tcW w:w="992" w:type="dxa"/>
            <w:vAlign w:val="center"/>
          </w:tcPr>
          <w:p w14:paraId="044484B4" w14:textId="77777777" w:rsidR="009C1EAC" w:rsidRPr="006D37E7" w:rsidRDefault="009C1EAC" w:rsidP="00022662">
            <w:pPr>
              <w:jc w:val="center"/>
              <w:rPr>
                <w:color w:val="000000"/>
                <w:sz w:val="16"/>
                <w:szCs w:val="16"/>
              </w:rPr>
            </w:pPr>
            <w:r w:rsidRPr="006D37E7">
              <w:rPr>
                <w:color w:val="000000"/>
                <w:sz w:val="16"/>
                <w:szCs w:val="16"/>
              </w:rPr>
              <w:t>1722463,8</w:t>
            </w:r>
          </w:p>
        </w:tc>
        <w:tc>
          <w:tcPr>
            <w:tcW w:w="1464" w:type="dxa"/>
            <w:vAlign w:val="center"/>
          </w:tcPr>
          <w:p w14:paraId="53A3A00B" w14:textId="77777777" w:rsidR="009C1EAC" w:rsidRPr="006D37E7" w:rsidRDefault="009C1EAC" w:rsidP="00022662">
            <w:pPr>
              <w:jc w:val="center"/>
              <w:rPr>
                <w:color w:val="000000"/>
                <w:sz w:val="16"/>
                <w:szCs w:val="16"/>
              </w:rPr>
            </w:pPr>
            <w:r w:rsidRPr="006D37E7">
              <w:rPr>
                <w:color w:val="000000"/>
                <w:sz w:val="16"/>
                <w:szCs w:val="16"/>
              </w:rPr>
              <w:t>99,1</w:t>
            </w:r>
          </w:p>
        </w:tc>
      </w:tr>
      <w:tr w:rsidR="009C1EAC" w:rsidRPr="006D37E7" w14:paraId="617F37A2" w14:textId="77777777" w:rsidTr="00A5618E">
        <w:trPr>
          <w:trHeight w:val="20"/>
          <w:jc w:val="center"/>
        </w:trPr>
        <w:tc>
          <w:tcPr>
            <w:tcW w:w="2742" w:type="dxa"/>
            <w:vAlign w:val="center"/>
          </w:tcPr>
          <w:p w14:paraId="6DAD3461" w14:textId="77777777" w:rsidR="009C1EAC" w:rsidRPr="006D37E7" w:rsidRDefault="009C1EAC" w:rsidP="00022662">
            <w:pPr>
              <w:rPr>
                <w:color w:val="000000"/>
                <w:sz w:val="16"/>
                <w:szCs w:val="16"/>
              </w:rPr>
            </w:pPr>
            <w:r w:rsidRPr="006D37E7">
              <w:rPr>
                <w:color w:val="000000"/>
                <w:sz w:val="16"/>
                <w:szCs w:val="16"/>
              </w:rPr>
              <w:t>ВСЕГО расходы  Комитета</w:t>
            </w:r>
          </w:p>
        </w:tc>
        <w:tc>
          <w:tcPr>
            <w:tcW w:w="1559" w:type="dxa"/>
            <w:vAlign w:val="center"/>
          </w:tcPr>
          <w:p w14:paraId="28BF5DB5" w14:textId="77777777" w:rsidR="009C1EAC" w:rsidRPr="006D37E7" w:rsidRDefault="009C1EAC" w:rsidP="00022662">
            <w:pPr>
              <w:jc w:val="center"/>
              <w:rPr>
                <w:color w:val="000000"/>
                <w:sz w:val="16"/>
                <w:szCs w:val="16"/>
              </w:rPr>
            </w:pPr>
            <w:r w:rsidRPr="006D37E7">
              <w:rPr>
                <w:color w:val="000000"/>
                <w:sz w:val="16"/>
                <w:szCs w:val="16"/>
              </w:rPr>
              <w:t>Х</w:t>
            </w:r>
          </w:p>
        </w:tc>
        <w:tc>
          <w:tcPr>
            <w:tcW w:w="2126" w:type="dxa"/>
            <w:vAlign w:val="center"/>
          </w:tcPr>
          <w:p w14:paraId="507AB4F5" w14:textId="77777777" w:rsidR="009C1EAC" w:rsidRPr="006D37E7" w:rsidRDefault="009C1EAC" w:rsidP="00022662">
            <w:pPr>
              <w:jc w:val="center"/>
              <w:rPr>
                <w:color w:val="000000"/>
                <w:sz w:val="16"/>
                <w:szCs w:val="16"/>
              </w:rPr>
            </w:pPr>
            <w:r w:rsidRPr="006D37E7">
              <w:rPr>
                <w:color w:val="000000"/>
                <w:sz w:val="16"/>
                <w:szCs w:val="16"/>
              </w:rPr>
              <w:t>1749274,0</w:t>
            </w:r>
          </w:p>
        </w:tc>
        <w:tc>
          <w:tcPr>
            <w:tcW w:w="1134" w:type="dxa"/>
            <w:vAlign w:val="center"/>
          </w:tcPr>
          <w:p w14:paraId="0E7CEA6E" w14:textId="77777777" w:rsidR="009C1EAC" w:rsidRPr="006D37E7" w:rsidRDefault="009C1EAC" w:rsidP="00022662">
            <w:pPr>
              <w:jc w:val="center"/>
              <w:rPr>
                <w:color w:val="000000"/>
                <w:sz w:val="16"/>
                <w:szCs w:val="16"/>
              </w:rPr>
            </w:pPr>
            <w:r w:rsidRPr="006D37E7">
              <w:rPr>
                <w:color w:val="000000"/>
                <w:sz w:val="16"/>
                <w:szCs w:val="16"/>
              </w:rPr>
              <w:t>1782338,4</w:t>
            </w:r>
          </w:p>
        </w:tc>
        <w:tc>
          <w:tcPr>
            <w:tcW w:w="992" w:type="dxa"/>
            <w:vAlign w:val="center"/>
          </w:tcPr>
          <w:p w14:paraId="693A461D" w14:textId="77777777" w:rsidR="009C1EAC" w:rsidRPr="006D37E7" w:rsidRDefault="009C1EAC" w:rsidP="00022662">
            <w:pPr>
              <w:jc w:val="center"/>
              <w:rPr>
                <w:color w:val="000000"/>
                <w:sz w:val="16"/>
                <w:szCs w:val="16"/>
              </w:rPr>
            </w:pPr>
            <w:r w:rsidRPr="006D37E7">
              <w:rPr>
                <w:color w:val="000000"/>
                <w:sz w:val="16"/>
                <w:szCs w:val="16"/>
              </w:rPr>
              <w:t>1766592,1</w:t>
            </w:r>
          </w:p>
        </w:tc>
        <w:tc>
          <w:tcPr>
            <w:tcW w:w="1464" w:type="dxa"/>
            <w:vAlign w:val="center"/>
          </w:tcPr>
          <w:p w14:paraId="7BA0C3A9" w14:textId="77777777" w:rsidR="009C1EAC" w:rsidRPr="006D37E7" w:rsidRDefault="009C1EAC" w:rsidP="00022662">
            <w:pPr>
              <w:jc w:val="center"/>
              <w:rPr>
                <w:color w:val="000000"/>
                <w:sz w:val="16"/>
                <w:szCs w:val="16"/>
              </w:rPr>
            </w:pPr>
            <w:r w:rsidRPr="006D37E7">
              <w:rPr>
                <w:color w:val="000000"/>
                <w:sz w:val="16"/>
                <w:szCs w:val="16"/>
              </w:rPr>
              <w:t>99,1</w:t>
            </w:r>
          </w:p>
        </w:tc>
      </w:tr>
      <w:tr w:rsidR="009C1EAC" w:rsidRPr="006D37E7" w14:paraId="680C7BEF" w14:textId="77777777" w:rsidTr="00A5618E">
        <w:trPr>
          <w:trHeight w:val="20"/>
          <w:jc w:val="center"/>
        </w:trPr>
        <w:tc>
          <w:tcPr>
            <w:tcW w:w="2742" w:type="dxa"/>
            <w:shd w:val="clear" w:color="auto" w:fill="auto"/>
            <w:vAlign w:val="center"/>
          </w:tcPr>
          <w:p w14:paraId="68862AD3" w14:textId="77777777" w:rsidR="009C1EAC" w:rsidRPr="006D37E7" w:rsidRDefault="009C1EAC" w:rsidP="00022662">
            <w:pPr>
              <w:rPr>
                <w:color w:val="000000"/>
                <w:sz w:val="16"/>
                <w:szCs w:val="16"/>
              </w:rPr>
            </w:pPr>
            <w:r w:rsidRPr="006D37E7">
              <w:rPr>
                <w:color w:val="000000"/>
                <w:sz w:val="16"/>
                <w:szCs w:val="16"/>
              </w:rPr>
              <w:t xml:space="preserve">Доля программных расходов в общих расходах Комитета </w:t>
            </w:r>
          </w:p>
        </w:tc>
        <w:tc>
          <w:tcPr>
            <w:tcW w:w="1559" w:type="dxa"/>
            <w:shd w:val="clear" w:color="auto" w:fill="auto"/>
            <w:vAlign w:val="center"/>
          </w:tcPr>
          <w:p w14:paraId="7E25CCD8" w14:textId="77777777" w:rsidR="009C1EAC" w:rsidRPr="006D37E7" w:rsidRDefault="009C1EAC" w:rsidP="00022662">
            <w:pPr>
              <w:jc w:val="center"/>
              <w:rPr>
                <w:color w:val="000000"/>
                <w:sz w:val="16"/>
                <w:szCs w:val="16"/>
              </w:rPr>
            </w:pPr>
            <w:r w:rsidRPr="006D37E7">
              <w:rPr>
                <w:color w:val="000000"/>
                <w:sz w:val="16"/>
                <w:szCs w:val="16"/>
              </w:rPr>
              <w:t>Х</w:t>
            </w:r>
          </w:p>
        </w:tc>
        <w:tc>
          <w:tcPr>
            <w:tcW w:w="2126" w:type="dxa"/>
            <w:shd w:val="clear" w:color="auto" w:fill="auto"/>
            <w:vAlign w:val="center"/>
          </w:tcPr>
          <w:p w14:paraId="0B3085C4" w14:textId="77777777" w:rsidR="009C1EAC" w:rsidRPr="006D37E7" w:rsidRDefault="009C1EAC" w:rsidP="00022662">
            <w:pPr>
              <w:jc w:val="center"/>
              <w:rPr>
                <w:color w:val="000000"/>
                <w:sz w:val="16"/>
                <w:szCs w:val="16"/>
              </w:rPr>
            </w:pPr>
            <w:r w:rsidRPr="006D37E7">
              <w:rPr>
                <w:color w:val="000000"/>
                <w:sz w:val="16"/>
                <w:szCs w:val="16"/>
              </w:rPr>
              <w:t>Х</w:t>
            </w:r>
          </w:p>
        </w:tc>
        <w:tc>
          <w:tcPr>
            <w:tcW w:w="1134" w:type="dxa"/>
            <w:shd w:val="clear" w:color="auto" w:fill="auto"/>
            <w:vAlign w:val="center"/>
          </w:tcPr>
          <w:p w14:paraId="5F885717" w14:textId="77777777" w:rsidR="009C1EAC" w:rsidRPr="006D37E7" w:rsidRDefault="009C1EAC" w:rsidP="00022662">
            <w:pPr>
              <w:jc w:val="center"/>
              <w:rPr>
                <w:color w:val="000000"/>
                <w:sz w:val="16"/>
                <w:szCs w:val="16"/>
              </w:rPr>
            </w:pPr>
            <w:r w:rsidRPr="006D37E7">
              <w:rPr>
                <w:color w:val="000000"/>
                <w:sz w:val="16"/>
                <w:szCs w:val="16"/>
              </w:rPr>
              <w:t>97,5</w:t>
            </w:r>
          </w:p>
        </w:tc>
        <w:tc>
          <w:tcPr>
            <w:tcW w:w="992" w:type="dxa"/>
            <w:shd w:val="clear" w:color="auto" w:fill="auto"/>
            <w:vAlign w:val="center"/>
          </w:tcPr>
          <w:p w14:paraId="0C81F19D" w14:textId="77777777" w:rsidR="009C1EAC" w:rsidRPr="006D37E7" w:rsidRDefault="009C1EAC" w:rsidP="00022662">
            <w:pPr>
              <w:jc w:val="center"/>
              <w:rPr>
                <w:color w:val="000000"/>
                <w:sz w:val="16"/>
                <w:szCs w:val="16"/>
              </w:rPr>
            </w:pPr>
            <w:r w:rsidRPr="006D37E7">
              <w:rPr>
                <w:color w:val="000000"/>
                <w:sz w:val="16"/>
                <w:szCs w:val="16"/>
              </w:rPr>
              <w:t>97,5</w:t>
            </w:r>
          </w:p>
        </w:tc>
        <w:tc>
          <w:tcPr>
            <w:tcW w:w="1464" w:type="dxa"/>
            <w:shd w:val="clear" w:color="auto" w:fill="auto"/>
            <w:vAlign w:val="center"/>
          </w:tcPr>
          <w:p w14:paraId="701EC8DB" w14:textId="77777777" w:rsidR="009C1EAC" w:rsidRPr="006D37E7" w:rsidRDefault="009C1EAC" w:rsidP="00022662">
            <w:pPr>
              <w:jc w:val="center"/>
              <w:rPr>
                <w:color w:val="000000"/>
                <w:sz w:val="16"/>
                <w:szCs w:val="16"/>
              </w:rPr>
            </w:pPr>
            <w:r w:rsidRPr="006D37E7">
              <w:rPr>
                <w:color w:val="000000"/>
                <w:sz w:val="16"/>
                <w:szCs w:val="16"/>
              </w:rPr>
              <w:t>Х</w:t>
            </w:r>
          </w:p>
        </w:tc>
      </w:tr>
    </w:tbl>
    <w:p w14:paraId="41FB5BC3" w14:textId="77777777" w:rsidR="009C1EAC" w:rsidRPr="006D37E7" w:rsidRDefault="009C1EAC" w:rsidP="009C1EAC">
      <w:pPr>
        <w:autoSpaceDE w:val="0"/>
        <w:autoSpaceDN w:val="0"/>
        <w:adjustRightInd w:val="0"/>
        <w:spacing w:before="120" w:after="120"/>
        <w:ind w:firstLine="709"/>
        <w:jc w:val="center"/>
        <w:rPr>
          <w:b/>
        </w:rPr>
      </w:pPr>
      <w:r w:rsidRPr="006D37E7">
        <w:rPr>
          <w:b/>
        </w:rPr>
        <w:t xml:space="preserve">6.1 Государственная программа Формирование доступной среды </w:t>
      </w:r>
    </w:p>
    <w:p w14:paraId="62FC1CCF" w14:textId="77777777" w:rsidR="009C1EAC" w:rsidRPr="006D37E7" w:rsidRDefault="00BB1191" w:rsidP="009C1EAC">
      <w:pPr>
        <w:autoSpaceDE w:val="0"/>
        <w:autoSpaceDN w:val="0"/>
        <w:adjustRightInd w:val="0"/>
        <w:ind w:firstLine="709"/>
        <w:jc w:val="both"/>
      </w:pPr>
      <w:r w:rsidRPr="006D37E7">
        <w:t>Н</w:t>
      </w:r>
      <w:r w:rsidR="00447758" w:rsidRPr="006D37E7">
        <w:t xml:space="preserve">а мероприятие «Адаптация и дооборудование приоритетных объектов в приоритетных сферах жизнедеятельности инвалидов и других маломобильных групп населения» </w:t>
      </w:r>
      <w:r w:rsidR="009C1EAC" w:rsidRPr="006D37E7">
        <w:t xml:space="preserve">Комитету </w:t>
      </w:r>
      <w:r w:rsidR="00447758" w:rsidRPr="006D37E7">
        <w:t xml:space="preserve">по ПП Формирование доступной среды </w:t>
      </w:r>
      <w:r w:rsidR="009C1EAC" w:rsidRPr="006D37E7">
        <w:t>утверждены ассигнования в сумме 924,9 тыс. руб., в том числе 353,3 тыс. руб. за счет средств федерального бюджета, 571,6 тыс. руб. за счет средств областного бюджета.</w:t>
      </w:r>
    </w:p>
    <w:p w14:paraId="7CEA0A49" w14:textId="77777777" w:rsidR="00AC0D42" w:rsidRPr="006D37E7" w:rsidRDefault="00AE37D4" w:rsidP="00AC0D42">
      <w:pPr>
        <w:autoSpaceDE w:val="0"/>
        <w:autoSpaceDN w:val="0"/>
        <w:adjustRightInd w:val="0"/>
        <w:ind w:firstLine="709"/>
        <w:jc w:val="both"/>
      </w:pPr>
      <w:r w:rsidRPr="006D37E7">
        <w:t xml:space="preserve">Комитетом с </w:t>
      </w:r>
      <w:r w:rsidR="00AC0D42" w:rsidRPr="006D37E7">
        <w:t>ГБУК «Волгоградский институт культуры и искусств» (далее - ГБУК ВО «ВГИИК», Институт)</w:t>
      </w:r>
      <w:r w:rsidRPr="006D37E7">
        <w:t xml:space="preserve"> заключено соглашение о предоставлении субсидии на иные цели на адаптацию здания общежития, расположенного по адресу г.Камышин, ул.</w:t>
      </w:r>
      <w:r w:rsidR="00AC0D42" w:rsidRPr="006D37E7">
        <w:t> Пролетарская, 111.</w:t>
      </w:r>
    </w:p>
    <w:p w14:paraId="39999199" w14:textId="77777777" w:rsidR="009C1EAC" w:rsidRPr="006D37E7" w:rsidRDefault="00AE37D4" w:rsidP="00AE37D4">
      <w:pPr>
        <w:autoSpaceDE w:val="0"/>
        <w:autoSpaceDN w:val="0"/>
        <w:adjustRightInd w:val="0"/>
        <w:ind w:firstLine="708"/>
        <w:jc w:val="both"/>
        <w:rPr>
          <w:i/>
        </w:rPr>
      </w:pPr>
      <w:r w:rsidRPr="006D37E7">
        <w:t>Соглашение заключено в соответствии с п.2.7 Порядка определения объема и условия предоставления субсидий на иные цели…», утвержденного приказом Комитета от 18.10.2016 № 01-20/365 (далее – Приказ № 01-20/365)</w:t>
      </w:r>
      <w:r w:rsidR="001D4AF1" w:rsidRPr="006D37E7">
        <w:t>,</w:t>
      </w:r>
      <w:r w:rsidR="00AC0D42" w:rsidRPr="006D37E7">
        <w:t xml:space="preserve"> о предоставлении </w:t>
      </w:r>
      <w:r w:rsidR="001D4AF1" w:rsidRPr="006D37E7">
        <w:t>субсиди</w:t>
      </w:r>
      <w:r w:rsidR="00AC0D42" w:rsidRPr="006D37E7">
        <w:t>и</w:t>
      </w:r>
      <w:r w:rsidR="001D4AF1" w:rsidRPr="006D37E7">
        <w:t xml:space="preserve">  на иные мероприятия, установленные правовыми актами Волгоградской области, не относящиеся к оказанию государственных услуг (выполнению работ).</w:t>
      </w:r>
    </w:p>
    <w:p w14:paraId="537376D1" w14:textId="77777777" w:rsidR="00AE37D4" w:rsidRPr="006D37E7" w:rsidRDefault="00AE37D4" w:rsidP="00AE37D4">
      <w:pPr>
        <w:pStyle w:val="ConsPlusNormal"/>
        <w:ind w:firstLine="709"/>
        <w:jc w:val="both"/>
        <w:rPr>
          <w:rFonts w:ascii="Times New Roman" w:hAnsi="Times New Roman" w:cs="Times New Roman"/>
          <w:sz w:val="24"/>
          <w:szCs w:val="24"/>
        </w:rPr>
      </w:pPr>
      <w:r w:rsidRPr="006D37E7">
        <w:rPr>
          <w:rFonts w:ascii="Times New Roman" w:hAnsi="Times New Roman" w:cs="Times New Roman"/>
          <w:sz w:val="24"/>
          <w:szCs w:val="24"/>
        </w:rPr>
        <w:t xml:space="preserve">Институтом заключено 5 договоров </w:t>
      </w:r>
      <w:r w:rsidR="001D4AF1" w:rsidRPr="006D37E7">
        <w:rPr>
          <w:rFonts w:ascii="Times New Roman" w:hAnsi="Times New Roman" w:cs="Times New Roman"/>
          <w:sz w:val="24"/>
          <w:szCs w:val="24"/>
        </w:rPr>
        <w:t xml:space="preserve">по выполнению капитального ремонта </w:t>
      </w:r>
      <w:r w:rsidRPr="006D37E7">
        <w:rPr>
          <w:rFonts w:ascii="Times New Roman" w:hAnsi="Times New Roman" w:cs="Times New Roman"/>
          <w:sz w:val="24"/>
          <w:szCs w:val="24"/>
        </w:rPr>
        <w:t>на общую сумму 924,9 тыс. руб., в т.ч.:</w:t>
      </w:r>
    </w:p>
    <w:p w14:paraId="0FA220C5" w14:textId="77777777" w:rsidR="00AE37D4" w:rsidRPr="006D37E7" w:rsidRDefault="00AE37D4" w:rsidP="00AE37D4">
      <w:pPr>
        <w:pStyle w:val="ConsPlusNormal"/>
        <w:ind w:firstLine="709"/>
        <w:jc w:val="both"/>
        <w:rPr>
          <w:rFonts w:ascii="Times New Roman" w:hAnsi="Times New Roman" w:cs="Times New Roman"/>
          <w:i/>
          <w:sz w:val="24"/>
          <w:szCs w:val="24"/>
        </w:rPr>
      </w:pPr>
      <w:r w:rsidRPr="006D37E7">
        <w:rPr>
          <w:rFonts w:ascii="Times New Roman" w:hAnsi="Times New Roman" w:cs="Times New Roman"/>
          <w:sz w:val="24"/>
          <w:szCs w:val="24"/>
        </w:rPr>
        <w:t xml:space="preserve">-на выполнение строительных, ремонтных работ в сумме 825,9 тыс. руб. по зданию общежития площадью 923,1 кв. м., расположенному по адресу г. Камышин, </w:t>
      </w:r>
      <w:r w:rsidRPr="006D37E7">
        <w:rPr>
          <w:rFonts w:ascii="Times New Roman" w:hAnsi="Times New Roman" w:cs="Times New Roman"/>
          <w:i/>
          <w:sz w:val="24"/>
          <w:szCs w:val="24"/>
        </w:rPr>
        <w:t>ул. Пролетарская, 111;</w:t>
      </w:r>
    </w:p>
    <w:p w14:paraId="59CFEE2C" w14:textId="77777777" w:rsidR="00AE37D4" w:rsidRPr="006D37E7" w:rsidRDefault="00AE37D4" w:rsidP="00AE37D4">
      <w:pPr>
        <w:pStyle w:val="ConsPlusNormal"/>
        <w:ind w:firstLine="709"/>
        <w:jc w:val="both"/>
        <w:rPr>
          <w:rFonts w:ascii="Times New Roman" w:hAnsi="Times New Roman" w:cs="Times New Roman"/>
          <w:i/>
          <w:sz w:val="24"/>
          <w:szCs w:val="24"/>
        </w:rPr>
      </w:pPr>
      <w:r w:rsidRPr="006D37E7">
        <w:rPr>
          <w:rFonts w:ascii="Times New Roman" w:hAnsi="Times New Roman" w:cs="Times New Roman"/>
          <w:sz w:val="24"/>
          <w:szCs w:val="24"/>
        </w:rPr>
        <w:t xml:space="preserve">-на выполнение монтажных, строительных, а также работ по авторскому надзору в сумме 99,0 тыс. руб. по зданию Института, расположенному по адресу </w:t>
      </w:r>
      <w:r w:rsidRPr="006D37E7">
        <w:rPr>
          <w:rFonts w:ascii="Times New Roman" w:hAnsi="Times New Roman" w:cs="Times New Roman"/>
          <w:i/>
          <w:sz w:val="24"/>
          <w:szCs w:val="24"/>
        </w:rPr>
        <w:t>г. Камышин, ул. Октябрьская, д. 42.</w:t>
      </w:r>
    </w:p>
    <w:p w14:paraId="18F0E833" w14:textId="77777777" w:rsidR="009C1EAC" w:rsidRPr="006D37E7" w:rsidRDefault="009C1EAC" w:rsidP="001D4AF1">
      <w:pPr>
        <w:autoSpaceDE w:val="0"/>
        <w:autoSpaceDN w:val="0"/>
        <w:adjustRightInd w:val="0"/>
        <w:ind w:firstLine="708"/>
        <w:jc w:val="both"/>
      </w:pPr>
      <w:r w:rsidRPr="006D37E7">
        <w:rPr>
          <w:rFonts w:eastAsiaTheme="minorHAnsi"/>
        </w:rPr>
        <w:lastRenderedPageBreak/>
        <w:t>Фактически целью предоставления субсидии являлось проведение капитального ремонта зданий, что и следовало указать при заключении соглашения с Институтом в соответствии с</w:t>
      </w:r>
      <w:r w:rsidR="001D4AF1" w:rsidRPr="006D37E7">
        <w:rPr>
          <w:rFonts w:eastAsiaTheme="minorHAnsi"/>
        </w:rPr>
        <w:t xml:space="preserve"> п.2.2 </w:t>
      </w:r>
      <w:r w:rsidR="001D4AF1" w:rsidRPr="006D37E7">
        <w:t xml:space="preserve">Приказа № 01-20/365, которым предусмотрено предоставление субсидии на иные цели «на </w:t>
      </w:r>
      <w:r w:rsidR="001D4AF1" w:rsidRPr="006D37E7">
        <w:rPr>
          <w:rFonts w:eastAsiaTheme="minorHAnsi"/>
          <w:lang w:eastAsia="en-US"/>
        </w:rPr>
        <w:t>проведение капитального ремонта зданий, иных объектов недвижимого имущества…».</w:t>
      </w:r>
    </w:p>
    <w:p w14:paraId="6D08BAAD" w14:textId="77777777" w:rsidR="009C1EAC" w:rsidRPr="006D37E7" w:rsidRDefault="00B4205A" w:rsidP="009C1EAC">
      <w:pPr>
        <w:ind w:firstLine="709"/>
        <w:jc w:val="both"/>
        <w:rPr>
          <w:i/>
        </w:rPr>
      </w:pPr>
      <w:r w:rsidRPr="006D37E7">
        <w:t>В нарушени</w:t>
      </w:r>
      <w:r w:rsidR="00051770" w:rsidRPr="006D37E7">
        <w:t>е</w:t>
      </w:r>
      <w:r w:rsidRPr="006D37E7">
        <w:t xml:space="preserve"> условий соглашения </w:t>
      </w:r>
      <w:r w:rsidR="009C1EAC" w:rsidRPr="006D37E7">
        <w:t>Институтом за счет средств субсидии на иные цели были оплачены монтажные, строительные работы</w:t>
      </w:r>
      <w:r w:rsidR="00C4346B" w:rsidRPr="006D37E7">
        <w:t>, а также</w:t>
      </w:r>
      <w:r w:rsidR="009C1EAC" w:rsidRPr="006D37E7">
        <w:t xml:space="preserve"> работы по авторскому надзору в сумме 99 тыс. руб. по зданию учреждения, расположенному по </w:t>
      </w:r>
      <w:r w:rsidRPr="006D37E7">
        <w:t xml:space="preserve">адресу </w:t>
      </w:r>
      <w:r w:rsidR="00E556A2" w:rsidRPr="006D37E7">
        <w:t xml:space="preserve">- </w:t>
      </w:r>
      <w:r w:rsidR="009C1EAC" w:rsidRPr="006D37E7">
        <w:t xml:space="preserve">г. Камышин, ул. Октябрьская, 42, </w:t>
      </w:r>
      <w:r w:rsidR="00C4346B" w:rsidRPr="006D37E7">
        <w:t>что</w:t>
      </w:r>
      <w:r w:rsidR="00E556A2" w:rsidRPr="006D37E7">
        <w:t xml:space="preserve"> не был</w:t>
      </w:r>
      <w:r w:rsidR="00C4346B" w:rsidRPr="006D37E7">
        <w:t>о</w:t>
      </w:r>
      <w:r w:rsidR="00E556A2" w:rsidRPr="006D37E7">
        <w:t xml:space="preserve"> предусмотрен</w:t>
      </w:r>
      <w:r w:rsidR="00C4346B" w:rsidRPr="006D37E7">
        <w:t>о</w:t>
      </w:r>
      <w:r w:rsidR="00E556A2" w:rsidRPr="006D37E7">
        <w:t xml:space="preserve"> </w:t>
      </w:r>
      <w:r w:rsidR="00C4346B" w:rsidRPr="006D37E7">
        <w:t>п</w:t>
      </w:r>
      <w:r w:rsidR="00E556A2" w:rsidRPr="006D37E7">
        <w:t xml:space="preserve">риказом Комитета и соглашением о выделении субсидии, </w:t>
      </w:r>
      <w:r w:rsidR="00C4346B" w:rsidRPr="006D37E7">
        <w:t xml:space="preserve">и </w:t>
      </w:r>
      <w:r w:rsidR="009C1EAC" w:rsidRPr="006D37E7">
        <w:t xml:space="preserve"> в соответствии со ст. 306.4 БК РФ является нецелевым использованием бюджетных средств.</w:t>
      </w:r>
      <w:r w:rsidR="00E556A2" w:rsidRPr="006D37E7">
        <w:t xml:space="preserve"> </w:t>
      </w:r>
      <w:r w:rsidR="003A0A6A" w:rsidRPr="006D37E7">
        <w:rPr>
          <w:i/>
        </w:rPr>
        <w:t>С</w:t>
      </w:r>
      <w:r w:rsidR="00E556A2" w:rsidRPr="006D37E7">
        <w:rPr>
          <w:i/>
        </w:rPr>
        <w:t>оставлен протокол об административной ответственности на руководителя Института в части нецелевого использования бюджетных средств.</w:t>
      </w:r>
    </w:p>
    <w:p w14:paraId="02EE6A00" w14:textId="77777777" w:rsidR="00F9794C" w:rsidRPr="006D37E7" w:rsidRDefault="009C1EAC" w:rsidP="0019333C">
      <w:pPr>
        <w:spacing w:before="120" w:after="120"/>
        <w:ind w:firstLine="709"/>
        <w:jc w:val="center"/>
        <w:rPr>
          <w:b/>
        </w:rPr>
      </w:pPr>
      <w:r w:rsidRPr="006D37E7">
        <w:rPr>
          <w:b/>
        </w:rPr>
        <w:t>6</w:t>
      </w:r>
      <w:r w:rsidR="00970812" w:rsidRPr="006D37E7">
        <w:rPr>
          <w:b/>
        </w:rPr>
        <w:t>.</w:t>
      </w:r>
      <w:r w:rsidRPr="006D37E7">
        <w:rPr>
          <w:b/>
        </w:rPr>
        <w:t>2</w:t>
      </w:r>
      <w:r w:rsidR="00970812" w:rsidRPr="006D37E7">
        <w:rPr>
          <w:b/>
        </w:rPr>
        <w:t xml:space="preserve"> </w:t>
      </w:r>
      <w:r w:rsidR="00F9794C" w:rsidRPr="006D37E7">
        <w:rPr>
          <w:b/>
        </w:rPr>
        <w:t>ГП Развитие культуры и туризма</w:t>
      </w:r>
    </w:p>
    <w:p w14:paraId="0F652BE3" w14:textId="77777777" w:rsidR="001D4ECD" w:rsidRPr="006D37E7" w:rsidRDefault="001D4ECD" w:rsidP="001D4ECD">
      <w:pPr>
        <w:ind w:firstLine="567"/>
        <w:jc w:val="both"/>
        <w:rPr>
          <w:b/>
        </w:rPr>
      </w:pPr>
      <w:r w:rsidRPr="006D37E7">
        <w:t xml:space="preserve">Основная доля программных расходов 1721538,9 тыс. руб., или </w:t>
      </w:r>
      <w:r w:rsidR="0099207B" w:rsidRPr="006D37E7">
        <w:t>99,5</w:t>
      </w:r>
      <w:r w:rsidRPr="006D37E7">
        <w:t>% от всех программных расходов Комитета направлена на реализацию мероприятий ГП Развитие культуры и туризма.</w:t>
      </w:r>
    </w:p>
    <w:p w14:paraId="37516B8D" w14:textId="77777777" w:rsidR="00051770" w:rsidRPr="006D37E7" w:rsidRDefault="009C1EAC" w:rsidP="00051770">
      <w:pPr>
        <w:ind w:firstLine="709"/>
        <w:jc w:val="both"/>
      </w:pPr>
      <w:r w:rsidRPr="006D37E7">
        <w:t>С</w:t>
      </w:r>
      <w:r w:rsidR="00F9794C" w:rsidRPr="006D37E7">
        <w:t xml:space="preserve">оисполнителями по </w:t>
      </w:r>
      <w:r w:rsidR="00E556A2" w:rsidRPr="006D37E7">
        <w:t xml:space="preserve">ГП Развитие культуры и туризма </w:t>
      </w:r>
      <w:r w:rsidR="00F9794C" w:rsidRPr="006D37E7">
        <w:t xml:space="preserve">являлись комитет государственной охраны объектов культурного наследия Волгоградской области (далее </w:t>
      </w:r>
      <w:proofErr w:type="spellStart"/>
      <w:r w:rsidR="005D6A93" w:rsidRPr="006D37E7">
        <w:t>Облкультнаследие</w:t>
      </w:r>
      <w:proofErr w:type="spellEnd"/>
      <w:r w:rsidR="00F9794C" w:rsidRPr="006D37E7">
        <w:t>), комитет строительства Волгоградской области (далее Комитет строительства).</w:t>
      </w:r>
      <w:r w:rsidR="00051770" w:rsidRPr="006D37E7">
        <w:t xml:space="preserve"> </w:t>
      </w:r>
    </w:p>
    <w:p w14:paraId="4997C0A9" w14:textId="77777777" w:rsidR="00F9794C" w:rsidRPr="006D37E7" w:rsidRDefault="00051770" w:rsidP="005D6A93">
      <w:pPr>
        <w:ind w:firstLine="709"/>
        <w:jc w:val="both"/>
        <w:rPr>
          <w:color w:val="0000CC"/>
        </w:rPr>
      </w:pPr>
      <w:r w:rsidRPr="006D37E7">
        <w:t xml:space="preserve">В нарушение ст.4.3 постановления Правительства Волгоградской области от 27.08.2013 №423-п «Об утверждении Порядка разработки, реализации и оценки эффективности реализации государственных программ Волгоградской области»  (далее - Постановление №423-п) объемы финансового обеспечения ГП Развитие культуры и туризма Комитетом не приведены в соответствие с законом об областном бюджете. </w:t>
      </w:r>
      <w:r w:rsidR="00F9794C" w:rsidRPr="006D37E7">
        <w:t xml:space="preserve">Информация о бюджетных ассигнованиях на 2018 год, утвержденных Законом об областном бюджете </w:t>
      </w:r>
      <w:r w:rsidR="0012625E" w:rsidRPr="006D37E7">
        <w:t xml:space="preserve">на реализацию мероприятий </w:t>
      </w:r>
      <w:r w:rsidR="00F9794C" w:rsidRPr="006D37E7">
        <w:t xml:space="preserve"> ГП Развитие культуры и туризма, приведена в</w:t>
      </w:r>
      <w:r w:rsidR="00F9794C" w:rsidRPr="006D37E7">
        <w:rPr>
          <w:color w:val="0000CC"/>
        </w:rPr>
        <w:t xml:space="preserve"> таблице №</w:t>
      </w:r>
      <w:r w:rsidR="009C1EAC" w:rsidRPr="006D37E7">
        <w:rPr>
          <w:color w:val="0000CC"/>
        </w:rPr>
        <w:t>3</w:t>
      </w:r>
    </w:p>
    <w:p w14:paraId="5DC6F553" w14:textId="77777777" w:rsidR="00F9794C" w:rsidRPr="006D37E7" w:rsidRDefault="00F9794C" w:rsidP="007B007D">
      <w:pPr>
        <w:ind w:firstLine="709"/>
        <w:jc w:val="right"/>
        <w:rPr>
          <w:color w:val="0000CC"/>
          <w:sz w:val="16"/>
          <w:szCs w:val="16"/>
        </w:rPr>
      </w:pPr>
      <w:r w:rsidRPr="006D37E7">
        <w:rPr>
          <w:color w:val="0000CC"/>
        </w:rPr>
        <w:t>Таблица №</w:t>
      </w:r>
      <w:r w:rsidR="009C1EAC" w:rsidRPr="006D37E7">
        <w:rPr>
          <w:color w:val="0000CC"/>
        </w:rPr>
        <w:t>3</w:t>
      </w:r>
      <w:r w:rsidR="007B007D" w:rsidRPr="006D37E7">
        <w:rPr>
          <w:color w:val="0000CC"/>
        </w:rPr>
        <w:t xml:space="preserve">, </w:t>
      </w:r>
      <w:r w:rsidRPr="006D37E7">
        <w:rPr>
          <w:color w:val="0000CC"/>
          <w:sz w:val="16"/>
          <w:szCs w:val="16"/>
        </w:rPr>
        <w:t>(тыс. руб.)</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1820"/>
        <w:gridCol w:w="1131"/>
        <w:gridCol w:w="1443"/>
        <w:gridCol w:w="1559"/>
      </w:tblGrid>
      <w:tr w:rsidR="00F9794C" w:rsidRPr="006D37E7" w14:paraId="71EE03C9" w14:textId="77777777" w:rsidTr="005D6A93">
        <w:trPr>
          <w:trHeight w:val="20"/>
        </w:trPr>
        <w:tc>
          <w:tcPr>
            <w:tcW w:w="4263" w:type="dxa"/>
            <w:shd w:val="clear" w:color="auto" w:fill="auto"/>
            <w:vAlign w:val="center"/>
            <w:hideMark/>
          </w:tcPr>
          <w:p w14:paraId="34BE5A81" w14:textId="77777777" w:rsidR="00F9794C" w:rsidRPr="006D37E7" w:rsidRDefault="00F9794C" w:rsidP="00AE42A5">
            <w:pPr>
              <w:jc w:val="center"/>
              <w:rPr>
                <w:color w:val="000000"/>
                <w:sz w:val="16"/>
                <w:szCs w:val="16"/>
              </w:rPr>
            </w:pPr>
            <w:r w:rsidRPr="006D37E7">
              <w:rPr>
                <w:color w:val="000000"/>
                <w:sz w:val="16"/>
                <w:szCs w:val="16"/>
              </w:rPr>
              <w:t>Наименование государственной программы, подпрограммы</w:t>
            </w:r>
          </w:p>
        </w:tc>
        <w:tc>
          <w:tcPr>
            <w:tcW w:w="1820" w:type="dxa"/>
            <w:shd w:val="clear" w:color="auto" w:fill="auto"/>
            <w:vAlign w:val="center"/>
            <w:hideMark/>
          </w:tcPr>
          <w:p w14:paraId="05A2C92E" w14:textId="77777777" w:rsidR="00F9794C" w:rsidRPr="006D37E7" w:rsidRDefault="00F9794C" w:rsidP="00AE42A5">
            <w:pPr>
              <w:jc w:val="center"/>
              <w:rPr>
                <w:color w:val="000000"/>
                <w:sz w:val="16"/>
                <w:szCs w:val="16"/>
              </w:rPr>
            </w:pPr>
            <w:r w:rsidRPr="006D37E7">
              <w:rPr>
                <w:color w:val="000000"/>
                <w:sz w:val="16"/>
                <w:szCs w:val="16"/>
              </w:rPr>
              <w:t>Наименование ответственного исполнителя, соисполнителя</w:t>
            </w:r>
          </w:p>
        </w:tc>
        <w:tc>
          <w:tcPr>
            <w:tcW w:w="1131" w:type="dxa"/>
            <w:shd w:val="clear" w:color="auto" w:fill="auto"/>
            <w:vAlign w:val="center"/>
            <w:hideMark/>
          </w:tcPr>
          <w:p w14:paraId="510C93AC" w14:textId="77777777" w:rsidR="00F9794C" w:rsidRPr="006D37E7" w:rsidRDefault="00F9794C" w:rsidP="00AE42A5">
            <w:pPr>
              <w:jc w:val="center"/>
              <w:rPr>
                <w:color w:val="000000"/>
                <w:sz w:val="16"/>
                <w:szCs w:val="16"/>
              </w:rPr>
            </w:pPr>
            <w:r w:rsidRPr="006D37E7">
              <w:rPr>
                <w:color w:val="000000"/>
                <w:sz w:val="16"/>
                <w:szCs w:val="16"/>
              </w:rPr>
              <w:t>Утверждено Законом об областном бюджете на 2018 год</w:t>
            </w:r>
          </w:p>
        </w:tc>
        <w:tc>
          <w:tcPr>
            <w:tcW w:w="1443" w:type="dxa"/>
            <w:shd w:val="clear" w:color="auto" w:fill="auto"/>
            <w:vAlign w:val="center"/>
            <w:hideMark/>
          </w:tcPr>
          <w:p w14:paraId="6A89FC88" w14:textId="77777777" w:rsidR="00F9794C" w:rsidRPr="006D37E7" w:rsidRDefault="00F9794C" w:rsidP="00AE42A5">
            <w:pPr>
              <w:jc w:val="center"/>
              <w:rPr>
                <w:color w:val="000000"/>
                <w:sz w:val="16"/>
                <w:szCs w:val="16"/>
              </w:rPr>
            </w:pPr>
            <w:r w:rsidRPr="006D37E7">
              <w:rPr>
                <w:color w:val="000000"/>
                <w:sz w:val="16"/>
                <w:szCs w:val="16"/>
              </w:rPr>
              <w:t>Утверждено ГП Развитие культуры и туризма</w:t>
            </w:r>
          </w:p>
        </w:tc>
        <w:tc>
          <w:tcPr>
            <w:tcW w:w="1559" w:type="dxa"/>
            <w:shd w:val="clear" w:color="auto" w:fill="auto"/>
            <w:noWrap/>
            <w:vAlign w:val="center"/>
            <w:hideMark/>
          </w:tcPr>
          <w:p w14:paraId="4AA9DF72" w14:textId="77777777" w:rsidR="00F9794C" w:rsidRPr="006D37E7" w:rsidRDefault="00F9794C" w:rsidP="00CF6D9F">
            <w:pPr>
              <w:jc w:val="center"/>
              <w:rPr>
                <w:color w:val="000000"/>
                <w:sz w:val="16"/>
                <w:szCs w:val="16"/>
              </w:rPr>
            </w:pPr>
            <w:r w:rsidRPr="006D37E7">
              <w:rPr>
                <w:color w:val="000000"/>
                <w:sz w:val="16"/>
                <w:szCs w:val="16"/>
              </w:rPr>
              <w:t>Отклонение  гр.</w:t>
            </w:r>
            <w:r w:rsidR="00CF6D9F" w:rsidRPr="006D37E7">
              <w:rPr>
                <w:color w:val="000000"/>
                <w:sz w:val="16"/>
                <w:szCs w:val="16"/>
              </w:rPr>
              <w:t>3</w:t>
            </w:r>
            <w:r w:rsidRPr="006D37E7">
              <w:rPr>
                <w:color w:val="000000"/>
                <w:sz w:val="16"/>
                <w:szCs w:val="16"/>
              </w:rPr>
              <w:t xml:space="preserve"> - гр.</w:t>
            </w:r>
            <w:r w:rsidR="00CF6D9F" w:rsidRPr="006D37E7">
              <w:rPr>
                <w:color w:val="000000"/>
                <w:sz w:val="16"/>
                <w:szCs w:val="16"/>
              </w:rPr>
              <w:t>4</w:t>
            </w:r>
          </w:p>
        </w:tc>
      </w:tr>
      <w:tr w:rsidR="00F9794C" w:rsidRPr="006D37E7" w14:paraId="49A124BC" w14:textId="77777777" w:rsidTr="005D6A93">
        <w:trPr>
          <w:trHeight w:val="20"/>
        </w:trPr>
        <w:tc>
          <w:tcPr>
            <w:tcW w:w="4263" w:type="dxa"/>
            <w:shd w:val="clear" w:color="auto" w:fill="auto"/>
            <w:vAlign w:val="bottom"/>
            <w:hideMark/>
          </w:tcPr>
          <w:p w14:paraId="53141B06" w14:textId="77777777" w:rsidR="00F9794C" w:rsidRPr="006D37E7" w:rsidRDefault="00F9794C" w:rsidP="00AE42A5">
            <w:pPr>
              <w:jc w:val="center"/>
              <w:rPr>
                <w:color w:val="000000"/>
                <w:sz w:val="16"/>
                <w:szCs w:val="16"/>
              </w:rPr>
            </w:pPr>
            <w:r w:rsidRPr="006D37E7">
              <w:rPr>
                <w:color w:val="000000"/>
                <w:sz w:val="16"/>
                <w:szCs w:val="16"/>
              </w:rPr>
              <w:t>1</w:t>
            </w:r>
          </w:p>
        </w:tc>
        <w:tc>
          <w:tcPr>
            <w:tcW w:w="1820" w:type="dxa"/>
            <w:shd w:val="clear" w:color="auto" w:fill="auto"/>
            <w:hideMark/>
          </w:tcPr>
          <w:p w14:paraId="455D8953" w14:textId="77777777" w:rsidR="00F9794C" w:rsidRPr="006D37E7" w:rsidRDefault="00F9794C" w:rsidP="00AE42A5">
            <w:pPr>
              <w:jc w:val="center"/>
              <w:rPr>
                <w:color w:val="000000"/>
                <w:sz w:val="16"/>
                <w:szCs w:val="16"/>
              </w:rPr>
            </w:pPr>
            <w:r w:rsidRPr="006D37E7">
              <w:rPr>
                <w:color w:val="000000"/>
                <w:sz w:val="16"/>
                <w:szCs w:val="16"/>
              </w:rPr>
              <w:t>2</w:t>
            </w:r>
          </w:p>
        </w:tc>
        <w:tc>
          <w:tcPr>
            <w:tcW w:w="1131" w:type="dxa"/>
            <w:shd w:val="clear" w:color="auto" w:fill="auto"/>
            <w:vAlign w:val="bottom"/>
            <w:hideMark/>
          </w:tcPr>
          <w:p w14:paraId="306A0E51" w14:textId="77777777" w:rsidR="00F9794C" w:rsidRPr="006D37E7" w:rsidRDefault="00CF6D9F" w:rsidP="00CF6D9F">
            <w:pPr>
              <w:jc w:val="center"/>
              <w:rPr>
                <w:color w:val="000000"/>
                <w:sz w:val="16"/>
                <w:szCs w:val="16"/>
              </w:rPr>
            </w:pPr>
            <w:r w:rsidRPr="006D37E7">
              <w:rPr>
                <w:color w:val="000000"/>
                <w:sz w:val="16"/>
                <w:szCs w:val="16"/>
              </w:rPr>
              <w:t>3</w:t>
            </w:r>
          </w:p>
        </w:tc>
        <w:tc>
          <w:tcPr>
            <w:tcW w:w="1443" w:type="dxa"/>
            <w:shd w:val="clear" w:color="auto" w:fill="auto"/>
            <w:hideMark/>
          </w:tcPr>
          <w:p w14:paraId="6FB4191B" w14:textId="77777777" w:rsidR="00F9794C" w:rsidRPr="006D37E7" w:rsidRDefault="00CF6D9F" w:rsidP="00AE42A5">
            <w:pPr>
              <w:jc w:val="center"/>
              <w:rPr>
                <w:color w:val="000000"/>
                <w:sz w:val="16"/>
                <w:szCs w:val="16"/>
              </w:rPr>
            </w:pPr>
            <w:r w:rsidRPr="006D37E7">
              <w:rPr>
                <w:color w:val="000000"/>
                <w:sz w:val="16"/>
                <w:szCs w:val="16"/>
              </w:rPr>
              <w:t>4</w:t>
            </w:r>
          </w:p>
        </w:tc>
        <w:tc>
          <w:tcPr>
            <w:tcW w:w="1559" w:type="dxa"/>
            <w:shd w:val="clear" w:color="auto" w:fill="auto"/>
            <w:noWrap/>
            <w:vAlign w:val="bottom"/>
            <w:hideMark/>
          </w:tcPr>
          <w:p w14:paraId="6B341F49" w14:textId="77777777" w:rsidR="00F9794C" w:rsidRPr="006D37E7" w:rsidRDefault="00F9794C" w:rsidP="00AE42A5">
            <w:pPr>
              <w:jc w:val="center"/>
              <w:rPr>
                <w:color w:val="000000"/>
                <w:sz w:val="16"/>
                <w:szCs w:val="16"/>
              </w:rPr>
            </w:pPr>
            <w:r w:rsidRPr="006D37E7">
              <w:rPr>
                <w:color w:val="000000"/>
                <w:sz w:val="16"/>
                <w:szCs w:val="16"/>
              </w:rPr>
              <w:t>5</w:t>
            </w:r>
          </w:p>
        </w:tc>
      </w:tr>
      <w:tr w:rsidR="00F9794C" w:rsidRPr="006D37E7" w14:paraId="41E48954" w14:textId="77777777" w:rsidTr="005D6A93">
        <w:trPr>
          <w:trHeight w:val="20"/>
        </w:trPr>
        <w:tc>
          <w:tcPr>
            <w:tcW w:w="4263" w:type="dxa"/>
            <w:vMerge w:val="restart"/>
            <w:shd w:val="clear" w:color="auto" w:fill="auto"/>
            <w:vAlign w:val="center"/>
            <w:hideMark/>
          </w:tcPr>
          <w:p w14:paraId="460B2BD2" w14:textId="77777777" w:rsidR="00F9794C" w:rsidRPr="006D37E7" w:rsidRDefault="00F9794C" w:rsidP="00AE42A5">
            <w:pPr>
              <w:rPr>
                <w:color w:val="000000"/>
                <w:sz w:val="16"/>
                <w:szCs w:val="16"/>
              </w:rPr>
            </w:pPr>
            <w:r w:rsidRPr="006D37E7">
              <w:rPr>
                <w:color w:val="000000"/>
                <w:sz w:val="16"/>
                <w:szCs w:val="16"/>
              </w:rPr>
              <w:t>ГП Развитие культуры и туризма</w:t>
            </w:r>
          </w:p>
        </w:tc>
        <w:tc>
          <w:tcPr>
            <w:tcW w:w="1820" w:type="dxa"/>
            <w:shd w:val="clear" w:color="auto" w:fill="auto"/>
            <w:hideMark/>
          </w:tcPr>
          <w:p w14:paraId="359CE3DE" w14:textId="77777777" w:rsidR="00F9794C" w:rsidRPr="006D37E7" w:rsidRDefault="00F9794C" w:rsidP="00AE42A5">
            <w:pPr>
              <w:rPr>
                <w:b/>
                <w:bCs/>
                <w:color w:val="000000"/>
                <w:sz w:val="16"/>
                <w:szCs w:val="16"/>
              </w:rPr>
            </w:pPr>
            <w:r w:rsidRPr="006D37E7">
              <w:rPr>
                <w:b/>
                <w:bCs/>
                <w:color w:val="000000"/>
                <w:sz w:val="16"/>
                <w:szCs w:val="16"/>
              </w:rPr>
              <w:t>Всего, в том числе:</w:t>
            </w:r>
          </w:p>
        </w:tc>
        <w:tc>
          <w:tcPr>
            <w:tcW w:w="1131" w:type="dxa"/>
            <w:shd w:val="clear" w:color="auto" w:fill="auto"/>
            <w:vAlign w:val="bottom"/>
            <w:hideMark/>
          </w:tcPr>
          <w:p w14:paraId="5EDE878D" w14:textId="77777777" w:rsidR="00F9794C" w:rsidRPr="006D37E7" w:rsidRDefault="00F9794C" w:rsidP="00AE42A5">
            <w:pPr>
              <w:jc w:val="center"/>
              <w:rPr>
                <w:b/>
                <w:color w:val="000000"/>
                <w:sz w:val="16"/>
                <w:szCs w:val="16"/>
              </w:rPr>
            </w:pPr>
            <w:r w:rsidRPr="006D37E7">
              <w:rPr>
                <w:b/>
                <w:color w:val="000000"/>
                <w:sz w:val="16"/>
                <w:szCs w:val="16"/>
              </w:rPr>
              <w:t>2190997,0</w:t>
            </w:r>
          </w:p>
        </w:tc>
        <w:tc>
          <w:tcPr>
            <w:tcW w:w="1443" w:type="dxa"/>
            <w:shd w:val="clear" w:color="auto" w:fill="auto"/>
            <w:vAlign w:val="bottom"/>
            <w:hideMark/>
          </w:tcPr>
          <w:p w14:paraId="1A030624" w14:textId="77777777" w:rsidR="00F9794C" w:rsidRPr="006D37E7" w:rsidRDefault="00F9794C" w:rsidP="00AE42A5">
            <w:pPr>
              <w:jc w:val="center"/>
              <w:rPr>
                <w:b/>
                <w:color w:val="000000"/>
                <w:sz w:val="16"/>
                <w:szCs w:val="16"/>
              </w:rPr>
            </w:pPr>
            <w:r w:rsidRPr="006D37E7">
              <w:rPr>
                <w:b/>
                <w:color w:val="000000"/>
                <w:sz w:val="16"/>
                <w:szCs w:val="16"/>
              </w:rPr>
              <w:t>2151780,8</w:t>
            </w:r>
          </w:p>
        </w:tc>
        <w:tc>
          <w:tcPr>
            <w:tcW w:w="1559" w:type="dxa"/>
            <w:shd w:val="clear" w:color="auto" w:fill="auto"/>
            <w:noWrap/>
            <w:vAlign w:val="bottom"/>
            <w:hideMark/>
          </w:tcPr>
          <w:p w14:paraId="010F455C" w14:textId="77777777" w:rsidR="00F9794C" w:rsidRPr="006D37E7" w:rsidRDefault="00F9794C" w:rsidP="00AE42A5">
            <w:pPr>
              <w:jc w:val="center"/>
              <w:rPr>
                <w:b/>
                <w:color w:val="000000"/>
                <w:sz w:val="16"/>
                <w:szCs w:val="16"/>
              </w:rPr>
            </w:pPr>
            <w:r w:rsidRPr="006D37E7">
              <w:rPr>
                <w:b/>
                <w:color w:val="000000"/>
                <w:sz w:val="16"/>
                <w:szCs w:val="16"/>
              </w:rPr>
              <w:t>39216,2</w:t>
            </w:r>
          </w:p>
        </w:tc>
      </w:tr>
      <w:tr w:rsidR="00F9794C" w:rsidRPr="006D37E7" w14:paraId="74690204" w14:textId="77777777" w:rsidTr="005D6A93">
        <w:trPr>
          <w:trHeight w:val="20"/>
        </w:trPr>
        <w:tc>
          <w:tcPr>
            <w:tcW w:w="4263" w:type="dxa"/>
            <w:vMerge/>
            <w:vAlign w:val="center"/>
            <w:hideMark/>
          </w:tcPr>
          <w:p w14:paraId="77752A1D" w14:textId="77777777" w:rsidR="00F9794C" w:rsidRPr="006D37E7" w:rsidRDefault="00F9794C" w:rsidP="00AE42A5">
            <w:pPr>
              <w:rPr>
                <w:color w:val="000000"/>
                <w:sz w:val="16"/>
                <w:szCs w:val="16"/>
              </w:rPr>
            </w:pPr>
          </w:p>
        </w:tc>
        <w:tc>
          <w:tcPr>
            <w:tcW w:w="1820" w:type="dxa"/>
            <w:shd w:val="clear" w:color="auto" w:fill="auto"/>
            <w:hideMark/>
          </w:tcPr>
          <w:p w14:paraId="64DD9497" w14:textId="77777777" w:rsidR="00F9794C" w:rsidRPr="006D37E7" w:rsidRDefault="005D6A93" w:rsidP="00AE42A5">
            <w:pPr>
              <w:rPr>
                <w:color w:val="000000"/>
                <w:sz w:val="16"/>
                <w:szCs w:val="16"/>
              </w:rPr>
            </w:pPr>
            <w:r w:rsidRPr="006D37E7">
              <w:rPr>
                <w:color w:val="000000"/>
                <w:sz w:val="16"/>
                <w:szCs w:val="16"/>
              </w:rPr>
              <w:t>Комитет</w:t>
            </w:r>
          </w:p>
        </w:tc>
        <w:tc>
          <w:tcPr>
            <w:tcW w:w="1131" w:type="dxa"/>
            <w:shd w:val="clear" w:color="auto" w:fill="auto"/>
            <w:vAlign w:val="bottom"/>
            <w:hideMark/>
          </w:tcPr>
          <w:p w14:paraId="239A6104" w14:textId="77777777" w:rsidR="00F9794C" w:rsidRPr="006D37E7" w:rsidRDefault="00F9794C" w:rsidP="00AE42A5">
            <w:pPr>
              <w:jc w:val="center"/>
              <w:rPr>
                <w:color w:val="000000"/>
                <w:sz w:val="16"/>
                <w:szCs w:val="16"/>
              </w:rPr>
            </w:pPr>
            <w:r w:rsidRPr="006D37E7">
              <w:rPr>
                <w:color w:val="000000"/>
                <w:sz w:val="16"/>
                <w:szCs w:val="16"/>
              </w:rPr>
              <w:t>1705426,9</w:t>
            </w:r>
          </w:p>
        </w:tc>
        <w:tc>
          <w:tcPr>
            <w:tcW w:w="1443" w:type="dxa"/>
            <w:shd w:val="clear" w:color="auto" w:fill="auto"/>
            <w:vAlign w:val="bottom"/>
            <w:hideMark/>
          </w:tcPr>
          <w:p w14:paraId="7488891A" w14:textId="77777777" w:rsidR="00F9794C" w:rsidRPr="006D37E7" w:rsidRDefault="00F9794C" w:rsidP="00AE42A5">
            <w:pPr>
              <w:jc w:val="center"/>
              <w:rPr>
                <w:color w:val="000000"/>
                <w:sz w:val="16"/>
                <w:szCs w:val="16"/>
              </w:rPr>
            </w:pPr>
            <w:r w:rsidRPr="006D37E7">
              <w:rPr>
                <w:color w:val="000000"/>
                <w:sz w:val="16"/>
                <w:szCs w:val="16"/>
              </w:rPr>
              <w:t>1655789,9</w:t>
            </w:r>
          </w:p>
        </w:tc>
        <w:tc>
          <w:tcPr>
            <w:tcW w:w="1559" w:type="dxa"/>
            <w:shd w:val="clear" w:color="auto" w:fill="auto"/>
            <w:noWrap/>
            <w:vAlign w:val="bottom"/>
            <w:hideMark/>
          </w:tcPr>
          <w:p w14:paraId="3500A28E" w14:textId="77777777" w:rsidR="00F9794C" w:rsidRPr="006D37E7" w:rsidRDefault="00F9794C" w:rsidP="00AE42A5">
            <w:pPr>
              <w:jc w:val="center"/>
              <w:rPr>
                <w:color w:val="000000"/>
                <w:sz w:val="16"/>
                <w:szCs w:val="16"/>
              </w:rPr>
            </w:pPr>
            <w:r w:rsidRPr="006D37E7">
              <w:rPr>
                <w:color w:val="000000"/>
                <w:sz w:val="16"/>
                <w:szCs w:val="16"/>
              </w:rPr>
              <w:t>49637,0</w:t>
            </w:r>
          </w:p>
        </w:tc>
      </w:tr>
      <w:tr w:rsidR="00F9794C" w:rsidRPr="006D37E7" w14:paraId="31AD326D" w14:textId="77777777" w:rsidTr="005D6A93">
        <w:trPr>
          <w:trHeight w:val="20"/>
        </w:trPr>
        <w:tc>
          <w:tcPr>
            <w:tcW w:w="4263" w:type="dxa"/>
            <w:vMerge/>
            <w:vAlign w:val="center"/>
            <w:hideMark/>
          </w:tcPr>
          <w:p w14:paraId="7B7F4AE3" w14:textId="77777777" w:rsidR="00F9794C" w:rsidRPr="006D37E7" w:rsidRDefault="00F9794C" w:rsidP="00AE42A5">
            <w:pPr>
              <w:rPr>
                <w:color w:val="000000"/>
                <w:sz w:val="16"/>
                <w:szCs w:val="16"/>
              </w:rPr>
            </w:pPr>
          </w:p>
        </w:tc>
        <w:tc>
          <w:tcPr>
            <w:tcW w:w="1820" w:type="dxa"/>
            <w:shd w:val="clear" w:color="auto" w:fill="auto"/>
            <w:hideMark/>
          </w:tcPr>
          <w:p w14:paraId="5D68D4FC" w14:textId="77777777" w:rsidR="00F9794C" w:rsidRPr="006D37E7" w:rsidRDefault="00F9794C" w:rsidP="00AE42A5">
            <w:pPr>
              <w:rPr>
                <w:color w:val="000000"/>
                <w:sz w:val="16"/>
                <w:szCs w:val="16"/>
              </w:rPr>
            </w:pPr>
            <w:r w:rsidRPr="006D37E7">
              <w:rPr>
                <w:color w:val="000000"/>
                <w:sz w:val="16"/>
                <w:szCs w:val="16"/>
              </w:rPr>
              <w:t xml:space="preserve">Комитет строительства </w:t>
            </w:r>
          </w:p>
        </w:tc>
        <w:tc>
          <w:tcPr>
            <w:tcW w:w="1131" w:type="dxa"/>
            <w:shd w:val="clear" w:color="auto" w:fill="auto"/>
            <w:vAlign w:val="bottom"/>
            <w:hideMark/>
          </w:tcPr>
          <w:p w14:paraId="19BF9E64" w14:textId="77777777" w:rsidR="00F9794C" w:rsidRPr="006D37E7" w:rsidRDefault="00F9794C" w:rsidP="00AE42A5">
            <w:pPr>
              <w:jc w:val="center"/>
              <w:rPr>
                <w:color w:val="000000"/>
                <w:sz w:val="16"/>
                <w:szCs w:val="16"/>
              </w:rPr>
            </w:pPr>
            <w:r w:rsidRPr="006D37E7">
              <w:rPr>
                <w:color w:val="000000"/>
                <w:sz w:val="16"/>
                <w:szCs w:val="16"/>
              </w:rPr>
              <w:t>471893,2</w:t>
            </w:r>
          </w:p>
        </w:tc>
        <w:tc>
          <w:tcPr>
            <w:tcW w:w="1443" w:type="dxa"/>
            <w:shd w:val="clear" w:color="auto" w:fill="auto"/>
            <w:vAlign w:val="bottom"/>
            <w:hideMark/>
          </w:tcPr>
          <w:p w14:paraId="672C29CF" w14:textId="77777777" w:rsidR="00F9794C" w:rsidRPr="006D37E7" w:rsidRDefault="00F9794C" w:rsidP="00AE42A5">
            <w:pPr>
              <w:jc w:val="center"/>
              <w:rPr>
                <w:color w:val="000000"/>
                <w:sz w:val="16"/>
                <w:szCs w:val="16"/>
              </w:rPr>
            </w:pPr>
            <w:r w:rsidRPr="006D37E7">
              <w:rPr>
                <w:color w:val="000000"/>
                <w:sz w:val="16"/>
                <w:szCs w:val="16"/>
              </w:rPr>
              <w:t>483664,0</w:t>
            </w:r>
          </w:p>
        </w:tc>
        <w:tc>
          <w:tcPr>
            <w:tcW w:w="1559" w:type="dxa"/>
            <w:shd w:val="clear" w:color="auto" w:fill="auto"/>
            <w:noWrap/>
            <w:vAlign w:val="bottom"/>
            <w:hideMark/>
          </w:tcPr>
          <w:p w14:paraId="244CCEFB" w14:textId="77777777" w:rsidR="00F9794C" w:rsidRPr="006D37E7" w:rsidRDefault="00F9794C" w:rsidP="00AE42A5">
            <w:pPr>
              <w:jc w:val="center"/>
              <w:rPr>
                <w:color w:val="000000"/>
                <w:sz w:val="16"/>
                <w:szCs w:val="16"/>
              </w:rPr>
            </w:pPr>
            <w:r w:rsidRPr="006D37E7">
              <w:rPr>
                <w:color w:val="000000"/>
                <w:sz w:val="16"/>
                <w:szCs w:val="16"/>
              </w:rPr>
              <w:t>-11770,8</w:t>
            </w:r>
          </w:p>
        </w:tc>
      </w:tr>
      <w:tr w:rsidR="00F9794C" w:rsidRPr="006D37E7" w14:paraId="60F260E3" w14:textId="77777777" w:rsidTr="005D6A93">
        <w:trPr>
          <w:trHeight w:val="20"/>
        </w:trPr>
        <w:tc>
          <w:tcPr>
            <w:tcW w:w="4263" w:type="dxa"/>
            <w:vMerge/>
            <w:vAlign w:val="center"/>
            <w:hideMark/>
          </w:tcPr>
          <w:p w14:paraId="5C743EC3" w14:textId="77777777" w:rsidR="00F9794C" w:rsidRPr="006D37E7" w:rsidRDefault="00F9794C" w:rsidP="00AE42A5">
            <w:pPr>
              <w:rPr>
                <w:color w:val="000000"/>
                <w:sz w:val="16"/>
                <w:szCs w:val="16"/>
              </w:rPr>
            </w:pPr>
          </w:p>
        </w:tc>
        <w:tc>
          <w:tcPr>
            <w:tcW w:w="1820" w:type="dxa"/>
            <w:shd w:val="clear" w:color="auto" w:fill="auto"/>
            <w:hideMark/>
          </w:tcPr>
          <w:p w14:paraId="72989D66" w14:textId="77777777" w:rsidR="00F9794C" w:rsidRPr="006D37E7" w:rsidRDefault="005D6A93" w:rsidP="00AE42A5">
            <w:pPr>
              <w:rPr>
                <w:color w:val="000000"/>
                <w:sz w:val="16"/>
                <w:szCs w:val="16"/>
              </w:rPr>
            </w:pPr>
            <w:proofErr w:type="spellStart"/>
            <w:r w:rsidRPr="006D37E7">
              <w:rPr>
                <w:color w:val="000000"/>
                <w:sz w:val="16"/>
                <w:szCs w:val="16"/>
              </w:rPr>
              <w:t>Облкультнаследие</w:t>
            </w:r>
            <w:proofErr w:type="spellEnd"/>
          </w:p>
        </w:tc>
        <w:tc>
          <w:tcPr>
            <w:tcW w:w="1131" w:type="dxa"/>
            <w:shd w:val="clear" w:color="auto" w:fill="auto"/>
            <w:vAlign w:val="bottom"/>
            <w:hideMark/>
          </w:tcPr>
          <w:p w14:paraId="63DB34BC" w14:textId="77777777" w:rsidR="00F9794C" w:rsidRPr="006D37E7" w:rsidRDefault="00F9794C" w:rsidP="00AE42A5">
            <w:pPr>
              <w:jc w:val="center"/>
              <w:rPr>
                <w:color w:val="000000"/>
                <w:sz w:val="16"/>
                <w:szCs w:val="16"/>
              </w:rPr>
            </w:pPr>
            <w:r w:rsidRPr="006D37E7">
              <w:rPr>
                <w:color w:val="000000"/>
                <w:sz w:val="16"/>
                <w:szCs w:val="16"/>
              </w:rPr>
              <w:t>13676,9</w:t>
            </w:r>
          </w:p>
        </w:tc>
        <w:tc>
          <w:tcPr>
            <w:tcW w:w="1443" w:type="dxa"/>
            <w:shd w:val="clear" w:color="auto" w:fill="auto"/>
            <w:vAlign w:val="bottom"/>
            <w:hideMark/>
          </w:tcPr>
          <w:p w14:paraId="6B82F2AD" w14:textId="77777777" w:rsidR="00F9794C" w:rsidRPr="006D37E7" w:rsidRDefault="00F9794C" w:rsidP="00AE42A5">
            <w:pPr>
              <w:jc w:val="center"/>
              <w:rPr>
                <w:color w:val="000000"/>
                <w:sz w:val="16"/>
                <w:szCs w:val="16"/>
              </w:rPr>
            </w:pPr>
            <w:r w:rsidRPr="006D37E7">
              <w:rPr>
                <w:color w:val="000000"/>
                <w:sz w:val="16"/>
                <w:szCs w:val="16"/>
              </w:rPr>
              <w:t>12326,9</w:t>
            </w:r>
          </w:p>
        </w:tc>
        <w:tc>
          <w:tcPr>
            <w:tcW w:w="1559" w:type="dxa"/>
            <w:shd w:val="clear" w:color="auto" w:fill="auto"/>
            <w:noWrap/>
            <w:vAlign w:val="bottom"/>
            <w:hideMark/>
          </w:tcPr>
          <w:p w14:paraId="19A4C3A5" w14:textId="77777777" w:rsidR="00F9794C" w:rsidRPr="006D37E7" w:rsidRDefault="00F9794C" w:rsidP="00AE42A5">
            <w:pPr>
              <w:jc w:val="center"/>
              <w:rPr>
                <w:color w:val="000000"/>
                <w:sz w:val="16"/>
                <w:szCs w:val="16"/>
              </w:rPr>
            </w:pPr>
            <w:r w:rsidRPr="006D37E7">
              <w:rPr>
                <w:color w:val="000000"/>
                <w:sz w:val="16"/>
                <w:szCs w:val="16"/>
              </w:rPr>
              <w:t>1350,0</w:t>
            </w:r>
          </w:p>
        </w:tc>
      </w:tr>
      <w:tr w:rsidR="00F9794C" w:rsidRPr="006D37E7" w14:paraId="7D76E163" w14:textId="77777777" w:rsidTr="005D6A93">
        <w:trPr>
          <w:trHeight w:val="20"/>
        </w:trPr>
        <w:tc>
          <w:tcPr>
            <w:tcW w:w="4263" w:type="dxa"/>
            <w:vMerge w:val="restart"/>
            <w:shd w:val="clear" w:color="auto" w:fill="auto"/>
            <w:vAlign w:val="center"/>
            <w:hideMark/>
          </w:tcPr>
          <w:p w14:paraId="4D7BDD66" w14:textId="77777777" w:rsidR="00F9794C" w:rsidRPr="006D37E7" w:rsidRDefault="00F9794C" w:rsidP="00AE42A5">
            <w:pPr>
              <w:rPr>
                <w:color w:val="000000"/>
                <w:sz w:val="16"/>
                <w:szCs w:val="16"/>
              </w:rPr>
            </w:pPr>
            <w:r w:rsidRPr="006D37E7">
              <w:rPr>
                <w:color w:val="000000"/>
                <w:sz w:val="16"/>
                <w:szCs w:val="16"/>
              </w:rPr>
              <w:t>Подпрограмма «Сохранение объектов культурного и исторического наследия, обеспечение доступа населения к культурным ценностям и информации»</w:t>
            </w:r>
          </w:p>
        </w:tc>
        <w:tc>
          <w:tcPr>
            <w:tcW w:w="1820" w:type="dxa"/>
            <w:shd w:val="clear" w:color="auto" w:fill="auto"/>
            <w:hideMark/>
          </w:tcPr>
          <w:p w14:paraId="23E97257" w14:textId="77777777" w:rsidR="00F9794C" w:rsidRPr="006D37E7" w:rsidRDefault="00F9794C" w:rsidP="00AE42A5">
            <w:pPr>
              <w:rPr>
                <w:b/>
                <w:bCs/>
                <w:color w:val="000000"/>
                <w:sz w:val="16"/>
                <w:szCs w:val="16"/>
              </w:rPr>
            </w:pPr>
            <w:r w:rsidRPr="006D37E7">
              <w:rPr>
                <w:b/>
                <w:bCs/>
                <w:color w:val="000000"/>
                <w:sz w:val="16"/>
                <w:szCs w:val="16"/>
              </w:rPr>
              <w:t>Всего, в том числе:</w:t>
            </w:r>
          </w:p>
        </w:tc>
        <w:tc>
          <w:tcPr>
            <w:tcW w:w="1131" w:type="dxa"/>
            <w:shd w:val="clear" w:color="auto" w:fill="auto"/>
            <w:vAlign w:val="bottom"/>
            <w:hideMark/>
          </w:tcPr>
          <w:p w14:paraId="4DD436BE" w14:textId="77777777" w:rsidR="00F9794C" w:rsidRPr="006D37E7" w:rsidRDefault="00F9794C" w:rsidP="00AE42A5">
            <w:pPr>
              <w:jc w:val="center"/>
              <w:rPr>
                <w:color w:val="000000"/>
                <w:sz w:val="16"/>
                <w:szCs w:val="16"/>
              </w:rPr>
            </w:pPr>
            <w:r w:rsidRPr="006D37E7">
              <w:rPr>
                <w:color w:val="000000"/>
                <w:sz w:val="16"/>
                <w:szCs w:val="16"/>
              </w:rPr>
              <w:t>637172,2</w:t>
            </w:r>
          </w:p>
        </w:tc>
        <w:tc>
          <w:tcPr>
            <w:tcW w:w="1443" w:type="dxa"/>
            <w:shd w:val="clear" w:color="auto" w:fill="auto"/>
            <w:vAlign w:val="bottom"/>
            <w:hideMark/>
          </w:tcPr>
          <w:p w14:paraId="6144E745" w14:textId="77777777" w:rsidR="00F9794C" w:rsidRPr="006D37E7" w:rsidRDefault="00F9794C" w:rsidP="00AE42A5">
            <w:pPr>
              <w:jc w:val="center"/>
              <w:rPr>
                <w:color w:val="000000"/>
                <w:sz w:val="16"/>
                <w:szCs w:val="16"/>
              </w:rPr>
            </w:pPr>
            <w:r w:rsidRPr="006D37E7">
              <w:rPr>
                <w:color w:val="000000"/>
                <w:sz w:val="16"/>
                <w:szCs w:val="16"/>
              </w:rPr>
              <w:t>620473,5</w:t>
            </w:r>
          </w:p>
        </w:tc>
        <w:tc>
          <w:tcPr>
            <w:tcW w:w="1559" w:type="dxa"/>
            <w:shd w:val="clear" w:color="auto" w:fill="auto"/>
            <w:noWrap/>
            <w:vAlign w:val="bottom"/>
            <w:hideMark/>
          </w:tcPr>
          <w:p w14:paraId="2B693083" w14:textId="77777777" w:rsidR="00F9794C" w:rsidRPr="006D37E7" w:rsidRDefault="00F9794C" w:rsidP="00AE42A5">
            <w:pPr>
              <w:jc w:val="center"/>
              <w:rPr>
                <w:color w:val="000000"/>
                <w:sz w:val="16"/>
                <w:szCs w:val="16"/>
              </w:rPr>
            </w:pPr>
            <w:r w:rsidRPr="006D37E7">
              <w:rPr>
                <w:color w:val="000000"/>
                <w:sz w:val="16"/>
                <w:szCs w:val="16"/>
              </w:rPr>
              <w:t>16698,7</w:t>
            </w:r>
          </w:p>
        </w:tc>
      </w:tr>
      <w:tr w:rsidR="00F9794C" w:rsidRPr="006D37E7" w14:paraId="1702D14B" w14:textId="77777777" w:rsidTr="005D6A93">
        <w:trPr>
          <w:trHeight w:val="20"/>
        </w:trPr>
        <w:tc>
          <w:tcPr>
            <w:tcW w:w="4263" w:type="dxa"/>
            <w:vMerge/>
            <w:vAlign w:val="center"/>
            <w:hideMark/>
          </w:tcPr>
          <w:p w14:paraId="54B17DF6" w14:textId="77777777" w:rsidR="00F9794C" w:rsidRPr="006D37E7" w:rsidRDefault="00F9794C" w:rsidP="00AE42A5">
            <w:pPr>
              <w:rPr>
                <w:color w:val="000000"/>
                <w:sz w:val="16"/>
                <w:szCs w:val="16"/>
              </w:rPr>
            </w:pPr>
          </w:p>
        </w:tc>
        <w:tc>
          <w:tcPr>
            <w:tcW w:w="1820" w:type="dxa"/>
            <w:shd w:val="clear" w:color="auto" w:fill="auto"/>
            <w:hideMark/>
          </w:tcPr>
          <w:p w14:paraId="383A2EE5" w14:textId="77777777" w:rsidR="00F9794C" w:rsidRPr="006D37E7" w:rsidRDefault="00F9794C" w:rsidP="00AE42A5">
            <w:pPr>
              <w:rPr>
                <w:color w:val="000000"/>
                <w:sz w:val="16"/>
                <w:szCs w:val="16"/>
              </w:rPr>
            </w:pPr>
            <w:r w:rsidRPr="006D37E7">
              <w:rPr>
                <w:color w:val="000000"/>
                <w:sz w:val="16"/>
                <w:szCs w:val="16"/>
              </w:rPr>
              <w:t>Комитет</w:t>
            </w:r>
          </w:p>
        </w:tc>
        <w:tc>
          <w:tcPr>
            <w:tcW w:w="1131" w:type="dxa"/>
            <w:shd w:val="clear" w:color="auto" w:fill="auto"/>
            <w:vAlign w:val="bottom"/>
            <w:hideMark/>
          </w:tcPr>
          <w:p w14:paraId="2B25C994" w14:textId="77777777" w:rsidR="00F9794C" w:rsidRPr="006D37E7" w:rsidRDefault="00F9794C" w:rsidP="00AE42A5">
            <w:pPr>
              <w:jc w:val="center"/>
              <w:rPr>
                <w:color w:val="000000"/>
                <w:sz w:val="16"/>
                <w:szCs w:val="16"/>
              </w:rPr>
            </w:pPr>
            <w:r w:rsidRPr="006D37E7">
              <w:rPr>
                <w:color w:val="000000"/>
                <w:sz w:val="16"/>
                <w:szCs w:val="16"/>
              </w:rPr>
              <w:t>392137,3</w:t>
            </w:r>
          </w:p>
        </w:tc>
        <w:tc>
          <w:tcPr>
            <w:tcW w:w="1443" w:type="dxa"/>
            <w:shd w:val="clear" w:color="auto" w:fill="auto"/>
            <w:vAlign w:val="bottom"/>
            <w:hideMark/>
          </w:tcPr>
          <w:p w14:paraId="63B30A0E" w14:textId="77777777" w:rsidR="00F9794C" w:rsidRPr="006D37E7" w:rsidRDefault="00F9794C" w:rsidP="00AE42A5">
            <w:pPr>
              <w:jc w:val="center"/>
              <w:rPr>
                <w:color w:val="000000"/>
                <w:sz w:val="16"/>
                <w:szCs w:val="16"/>
              </w:rPr>
            </w:pPr>
            <w:r w:rsidRPr="006D37E7">
              <w:rPr>
                <w:color w:val="000000"/>
                <w:sz w:val="16"/>
                <w:szCs w:val="16"/>
              </w:rPr>
              <w:t>378302,5</w:t>
            </w:r>
          </w:p>
        </w:tc>
        <w:tc>
          <w:tcPr>
            <w:tcW w:w="1559" w:type="dxa"/>
            <w:shd w:val="clear" w:color="auto" w:fill="auto"/>
            <w:noWrap/>
            <w:vAlign w:val="bottom"/>
            <w:hideMark/>
          </w:tcPr>
          <w:p w14:paraId="6695AC60" w14:textId="77777777" w:rsidR="00F9794C" w:rsidRPr="006D37E7" w:rsidRDefault="00F9794C" w:rsidP="00AE42A5">
            <w:pPr>
              <w:jc w:val="center"/>
              <w:rPr>
                <w:color w:val="000000"/>
                <w:sz w:val="16"/>
                <w:szCs w:val="16"/>
              </w:rPr>
            </w:pPr>
            <w:r w:rsidRPr="006D37E7">
              <w:rPr>
                <w:color w:val="000000"/>
                <w:sz w:val="16"/>
                <w:szCs w:val="16"/>
              </w:rPr>
              <w:t>13834,8</w:t>
            </w:r>
          </w:p>
        </w:tc>
      </w:tr>
      <w:tr w:rsidR="00F9794C" w:rsidRPr="006D37E7" w14:paraId="1ED7D4A7" w14:textId="77777777" w:rsidTr="005D6A93">
        <w:trPr>
          <w:trHeight w:val="20"/>
        </w:trPr>
        <w:tc>
          <w:tcPr>
            <w:tcW w:w="4263" w:type="dxa"/>
            <w:vMerge/>
            <w:vAlign w:val="center"/>
            <w:hideMark/>
          </w:tcPr>
          <w:p w14:paraId="6223EBBB" w14:textId="77777777" w:rsidR="00F9794C" w:rsidRPr="006D37E7" w:rsidRDefault="00F9794C" w:rsidP="00AE42A5">
            <w:pPr>
              <w:rPr>
                <w:color w:val="000000"/>
                <w:sz w:val="16"/>
                <w:szCs w:val="16"/>
              </w:rPr>
            </w:pPr>
          </w:p>
        </w:tc>
        <w:tc>
          <w:tcPr>
            <w:tcW w:w="1820" w:type="dxa"/>
            <w:shd w:val="clear" w:color="auto" w:fill="auto"/>
            <w:hideMark/>
          </w:tcPr>
          <w:p w14:paraId="17175BB3" w14:textId="77777777" w:rsidR="00F9794C" w:rsidRPr="006D37E7" w:rsidRDefault="00F9794C" w:rsidP="00AE42A5">
            <w:pPr>
              <w:rPr>
                <w:color w:val="000000"/>
                <w:sz w:val="16"/>
                <w:szCs w:val="16"/>
              </w:rPr>
            </w:pPr>
            <w:r w:rsidRPr="006D37E7">
              <w:rPr>
                <w:color w:val="000000"/>
                <w:sz w:val="16"/>
                <w:szCs w:val="16"/>
              </w:rPr>
              <w:t xml:space="preserve">Комитет строительства </w:t>
            </w:r>
          </w:p>
        </w:tc>
        <w:tc>
          <w:tcPr>
            <w:tcW w:w="1131" w:type="dxa"/>
            <w:shd w:val="clear" w:color="auto" w:fill="auto"/>
            <w:vAlign w:val="bottom"/>
            <w:hideMark/>
          </w:tcPr>
          <w:p w14:paraId="762591AE" w14:textId="77777777" w:rsidR="00F9794C" w:rsidRPr="006D37E7" w:rsidRDefault="00F9794C" w:rsidP="00AE42A5">
            <w:pPr>
              <w:jc w:val="center"/>
              <w:rPr>
                <w:color w:val="000000"/>
                <w:sz w:val="16"/>
                <w:szCs w:val="16"/>
              </w:rPr>
            </w:pPr>
            <w:r w:rsidRPr="006D37E7">
              <w:rPr>
                <w:color w:val="000000"/>
                <w:sz w:val="16"/>
                <w:szCs w:val="16"/>
              </w:rPr>
              <w:t>231358,0</w:t>
            </w:r>
          </w:p>
        </w:tc>
        <w:tc>
          <w:tcPr>
            <w:tcW w:w="1443" w:type="dxa"/>
            <w:shd w:val="clear" w:color="auto" w:fill="auto"/>
            <w:vAlign w:val="bottom"/>
            <w:hideMark/>
          </w:tcPr>
          <w:p w14:paraId="1A52AE22" w14:textId="77777777" w:rsidR="00F9794C" w:rsidRPr="006D37E7" w:rsidRDefault="00F9794C" w:rsidP="00AE42A5">
            <w:pPr>
              <w:jc w:val="center"/>
              <w:rPr>
                <w:color w:val="000000"/>
                <w:sz w:val="16"/>
                <w:szCs w:val="16"/>
              </w:rPr>
            </w:pPr>
            <w:r w:rsidRPr="006D37E7">
              <w:rPr>
                <w:color w:val="000000"/>
                <w:sz w:val="16"/>
                <w:szCs w:val="16"/>
              </w:rPr>
              <w:t>229844,0</w:t>
            </w:r>
          </w:p>
        </w:tc>
        <w:tc>
          <w:tcPr>
            <w:tcW w:w="1559" w:type="dxa"/>
            <w:shd w:val="clear" w:color="auto" w:fill="auto"/>
            <w:noWrap/>
            <w:vAlign w:val="bottom"/>
            <w:hideMark/>
          </w:tcPr>
          <w:p w14:paraId="70EF13CF" w14:textId="77777777" w:rsidR="00F9794C" w:rsidRPr="006D37E7" w:rsidRDefault="00F9794C" w:rsidP="00AE42A5">
            <w:pPr>
              <w:jc w:val="center"/>
              <w:rPr>
                <w:color w:val="000000"/>
                <w:sz w:val="16"/>
                <w:szCs w:val="16"/>
              </w:rPr>
            </w:pPr>
            <w:r w:rsidRPr="006D37E7">
              <w:rPr>
                <w:color w:val="000000"/>
                <w:sz w:val="16"/>
                <w:szCs w:val="16"/>
              </w:rPr>
              <w:t>1514,0</w:t>
            </w:r>
          </w:p>
        </w:tc>
      </w:tr>
      <w:tr w:rsidR="00F9794C" w:rsidRPr="006D37E7" w14:paraId="2C9A6328" w14:textId="77777777" w:rsidTr="005D6A93">
        <w:trPr>
          <w:trHeight w:val="20"/>
        </w:trPr>
        <w:tc>
          <w:tcPr>
            <w:tcW w:w="4263" w:type="dxa"/>
            <w:vMerge/>
            <w:vAlign w:val="center"/>
            <w:hideMark/>
          </w:tcPr>
          <w:p w14:paraId="5905C63C" w14:textId="77777777" w:rsidR="00F9794C" w:rsidRPr="006D37E7" w:rsidRDefault="00F9794C" w:rsidP="00AE42A5">
            <w:pPr>
              <w:rPr>
                <w:color w:val="000000"/>
                <w:sz w:val="16"/>
                <w:szCs w:val="16"/>
              </w:rPr>
            </w:pPr>
          </w:p>
        </w:tc>
        <w:tc>
          <w:tcPr>
            <w:tcW w:w="1820" w:type="dxa"/>
            <w:shd w:val="clear" w:color="auto" w:fill="auto"/>
            <w:hideMark/>
          </w:tcPr>
          <w:p w14:paraId="4D92D525" w14:textId="77777777" w:rsidR="00F9794C" w:rsidRPr="006D37E7" w:rsidRDefault="005D6A93" w:rsidP="00AE42A5">
            <w:pPr>
              <w:rPr>
                <w:color w:val="000000"/>
                <w:sz w:val="16"/>
                <w:szCs w:val="16"/>
              </w:rPr>
            </w:pPr>
            <w:proofErr w:type="spellStart"/>
            <w:r w:rsidRPr="006D37E7">
              <w:rPr>
                <w:color w:val="000000"/>
                <w:sz w:val="16"/>
                <w:szCs w:val="16"/>
              </w:rPr>
              <w:t>Облкультнаследие</w:t>
            </w:r>
            <w:proofErr w:type="spellEnd"/>
          </w:p>
        </w:tc>
        <w:tc>
          <w:tcPr>
            <w:tcW w:w="1131" w:type="dxa"/>
            <w:shd w:val="clear" w:color="auto" w:fill="auto"/>
            <w:vAlign w:val="bottom"/>
            <w:hideMark/>
          </w:tcPr>
          <w:p w14:paraId="1507D51F" w14:textId="77777777" w:rsidR="00F9794C" w:rsidRPr="006D37E7" w:rsidRDefault="00F9794C" w:rsidP="00AE42A5">
            <w:pPr>
              <w:jc w:val="center"/>
              <w:rPr>
                <w:color w:val="000000"/>
                <w:sz w:val="16"/>
                <w:szCs w:val="16"/>
              </w:rPr>
            </w:pPr>
            <w:r w:rsidRPr="006D37E7">
              <w:rPr>
                <w:color w:val="000000"/>
                <w:sz w:val="16"/>
                <w:szCs w:val="16"/>
              </w:rPr>
              <w:t>13676,9</w:t>
            </w:r>
          </w:p>
        </w:tc>
        <w:tc>
          <w:tcPr>
            <w:tcW w:w="1443" w:type="dxa"/>
            <w:shd w:val="clear" w:color="auto" w:fill="auto"/>
            <w:vAlign w:val="bottom"/>
            <w:hideMark/>
          </w:tcPr>
          <w:p w14:paraId="6887B038" w14:textId="77777777" w:rsidR="00F9794C" w:rsidRPr="006D37E7" w:rsidRDefault="00F9794C" w:rsidP="00AE42A5">
            <w:pPr>
              <w:jc w:val="center"/>
              <w:rPr>
                <w:color w:val="000000"/>
                <w:sz w:val="16"/>
                <w:szCs w:val="16"/>
              </w:rPr>
            </w:pPr>
            <w:r w:rsidRPr="006D37E7">
              <w:rPr>
                <w:color w:val="000000"/>
                <w:sz w:val="16"/>
                <w:szCs w:val="16"/>
              </w:rPr>
              <w:t>12326,9</w:t>
            </w:r>
          </w:p>
        </w:tc>
        <w:tc>
          <w:tcPr>
            <w:tcW w:w="1559" w:type="dxa"/>
            <w:shd w:val="clear" w:color="auto" w:fill="auto"/>
            <w:noWrap/>
            <w:vAlign w:val="bottom"/>
            <w:hideMark/>
          </w:tcPr>
          <w:p w14:paraId="388049C2" w14:textId="77777777" w:rsidR="00F9794C" w:rsidRPr="006D37E7" w:rsidRDefault="00F9794C" w:rsidP="00AE42A5">
            <w:pPr>
              <w:jc w:val="center"/>
              <w:rPr>
                <w:color w:val="000000"/>
                <w:sz w:val="16"/>
                <w:szCs w:val="16"/>
              </w:rPr>
            </w:pPr>
            <w:r w:rsidRPr="006D37E7">
              <w:rPr>
                <w:color w:val="000000"/>
                <w:sz w:val="16"/>
                <w:szCs w:val="16"/>
              </w:rPr>
              <w:t>1350,0</w:t>
            </w:r>
          </w:p>
        </w:tc>
      </w:tr>
      <w:tr w:rsidR="00F9794C" w:rsidRPr="006D37E7" w14:paraId="0FBD0BF7" w14:textId="77777777" w:rsidTr="005D6A93">
        <w:trPr>
          <w:trHeight w:val="20"/>
        </w:trPr>
        <w:tc>
          <w:tcPr>
            <w:tcW w:w="4263" w:type="dxa"/>
            <w:vMerge w:val="restart"/>
            <w:shd w:val="clear" w:color="auto" w:fill="auto"/>
            <w:vAlign w:val="center"/>
            <w:hideMark/>
          </w:tcPr>
          <w:p w14:paraId="39DABA8A" w14:textId="77777777" w:rsidR="00F9794C" w:rsidRPr="006D37E7" w:rsidRDefault="00F9794C" w:rsidP="00AE42A5">
            <w:pPr>
              <w:rPr>
                <w:color w:val="000000"/>
                <w:sz w:val="16"/>
                <w:szCs w:val="16"/>
              </w:rPr>
            </w:pPr>
            <w:r w:rsidRPr="006D37E7">
              <w:rPr>
                <w:color w:val="000000"/>
                <w:sz w:val="16"/>
                <w:szCs w:val="16"/>
              </w:rPr>
              <w:t>Подпрограмма «Сохранение и развитие профессионального искусства, народного творчества, культурных инициатив и творческого потенциала населения в Волгоградской области»</w:t>
            </w:r>
          </w:p>
        </w:tc>
        <w:tc>
          <w:tcPr>
            <w:tcW w:w="1820" w:type="dxa"/>
            <w:shd w:val="clear" w:color="auto" w:fill="auto"/>
            <w:hideMark/>
          </w:tcPr>
          <w:p w14:paraId="17332524" w14:textId="77777777" w:rsidR="00F9794C" w:rsidRPr="006D37E7" w:rsidRDefault="00F9794C" w:rsidP="00AE42A5">
            <w:pPr>
              <w:rPr>
                <w:b/>
                <w:bCs/>
                <w:color w:val="000000"/>
                <w:sz w:val="16"/>
                <w:szCs w:val="16"/>
              </w:rPr>
            </w:pPr>
            <w:r w:rsidRPr="006D37E7">
              <w:rPr>
                <w:b/>
                <w:bCs/>
                <w:color w:val="000000"/>
                <w:sz w:val="16"/>
                <w:szCs w:val="16"/>
              </w:rPr>
              <w:t>Всего, в том числе:</w:t>
            </w:r>
          </w:p>
        </w:tc>
        <w:tc>
          <w:tcPr>
            <w:tcW w:w="1131" w:type="dxa"/>
            <w:shd w:val="clear" w:color="auto" w:fill="auto"/>
            <w:vAlign w:val="bottom"/>
            <w:hideMark/>
          </w:tcPr>
          <w:p w14:paraId="202483DD" w14:textId="77777777" w:rsidR="00F9794C" w:rsidRPr="006D37E7" w:rsidRDefault="00F9794C" w:rsidP="00AE42A5">
            <w:pPr>
              <w:jc w:val="center"/>
              <w:rPr>
                <w:color w:val="000000"/>
                <w:sz w:val="16"/>
                <w:szCs w:val="16"/>
              </w:rPr>
            </w:pPr>
            <w:r w:rsidRPr="006D37E7">
              <w:rPr>
                <w:color w:val="000000"/>
                <w:sz w:val="16"/>
                <w:szCs w:val="16"/>
              </w:rPr>
              <w:t>1230165,5</w:t>
            </w:r>
          </w:p>
        </w:tc>
        <w:tc>
          <w:tcPr>
            <w:tcW w:w="1443" w:type="dxa"/>
            <w:shd w:val="clear" w:color="auto" w:fill="auto"/>
            <w:vAlign w:val="bottom"/>
            <w:hideMark/>
          </w:tcPr>
          <w:p w14:paraId="33E36816" w14:textId="77777777" w:rsidR="00F9794C" w:rsidRPr="006D37E7" w:rsidRDefault="00F9794C" w:rsidP="00AE42A5">
            <w:pPr>
              <w:jc w:val="center"/>
              <w:rPr>
                <w:color w:val="000000"/>
                <w:sz w:val="16"/>
                <w:szCs w:val="16"/>
              </w:rPr>
            </w:pPr>
            <w:r w:rsidRPr="006D37E7">
              <w:rPr>
                <w:color w:val="000000"/>
                <w:sz w:val="16"/>
                <w:szCs w:val="16"/>
              </w:rPr>
              <w:t>1209833,4</w:t>
            </w:r>
          </w:p>
        </w:tc>
        <w:tc>
          <w:tcPr>
            <w:tcW w:w="1559" w:type="dxa"/>
            <w:shd w:val="clear" w:color="auto" w:fill="auto"/>
            <w:noWrap/>
            <w:vAlign w:val="bottom"/>
            <w:hideMark/>
          </w:tcPr>
          <w:p w14:paraId="361CF3AD" w14:textId="77777777" w:rsidR="00F9794C" w:rsidRPr="006D37E7" w:rsidRDefault="00F9794C" w:rsidP="00AE42A5">
            <w:pPr>
              <w:jc w:val="center"/>
              <w:rPr>
                <w:color w:val="000000"/>
                <w:sz w:val="16"/>
                <w:szCs w:val="16"/>
              </w:rPr>
            </w:pPr>
            <w:r w:rsidRPr="006D37E7">
              <w:rPr>
                <w:color w:val="000000"/>
                <w:sz w:val="16"/>
                <w:szCs w:val="16"/>
              </w:rPr>
              <w:t>20332,1</w:t>
            </w:r>
          </w:p>
        </w:tc>
      </w:tr>
      <w:tr w:rsidR="00F9794C" w:rsidRPr="006D37E7" w14:paraId="216D9354" w14:textId="77777777" w:rsidTr="005D6A93">
        <w:trPr>
          <w:trHeight w:val="20"/>
        </w:trPr>
        <w:tc>
          <w:tcPr>
            <w:tcW w:w="4263" w:type="dxa"/>
            <w:vMerge/>
            <w:vAlign w:val="center"/>
            <w:hideMark/>
          </w:tcPr>
          <w:p w14:paraId="6280CD95" w14:textId="77777777" w:rsidR="00F9794C" w:rsidRPr="006D37E7" w:rsidRDefault="00F9794C" w:rsidP="00AE42A5">
            <w:pPr>
              <w:rPr>
                <w:color w:val="000000"/>
                <w:sz w:val="16"/>
                <w:szCs w:val="16"/>
              </w:rPr>
            </w:pPr>
          </w:p>
        </w:tc>
        <w:tc>
          <w:tcPr>
            <w:tcW w:w="1820" w:type="dxa"/>
            <w:shd w:val="clear" w:color="auto" w:fill="auto"/>
            <w:hideMark/>
          </w:tcPr>
          <w:p w14:paraId="025BB895" w14:textId="77777777" w:rsidR="00F9794C" w:rsidRPr="006D37E7" w:rsidRDefault="00F9794C" w:rsidP="00AE42A5">
            <w:pPr>
              <w:rPr>
                <w:color w:val="000000"/>
                <w:sz w:val="16"/>
                <w:szCs w:val="16"/>
              </w:rPr>
            </w:pPr>
            <w:r w:rsidRPr="006D37E7">
              <w:rPr>
                <w:color w:val="000000"/>
                <w:sz w:val="16"/>
                <w:szCs w:val="16"/>
              </w:rPr>
              <w:t>Комитет</w:t>
            </w:r>
          </w:p>
        </w:tc>
        <w:tc>
          <w:tcPr>
            <w:tcW w:w="1131" w:type="dxa"/>
            <w:shd w:val="clear" w:color="auto" w:fill="auto"/>
            <w:vAlign w:val="bottom"/>
            <w:hideMark/>
          </w:tcPr>
          <w:p w14:paraId="13C4CB61" w14:textId="77777777" w:rsidR="00F9794C" w:rsidRPr="006D37E7" w:rsidRDefault="00F9794C" w:rsidP="00AE42A5">
            <w:pPr>
              <w:jc w:val="center"/>
              <w:rPr>
                <w:color w:val="000000"/>
                <w:sz w:val="16"/>
                <w:szCs w:val="16"/>
              </w:rPr>
            </w:pPr>
            <w:r w:rsidRPr="006D37E7">
              <w:rPr>
                <w:color w:val="000000"/>
                <w:sz w:val="16"/>
                <w:szCs w:val="16"/>
              </w:rPr>
              <w:t>989630,3</w:t>
            </w:r>
          </w:p>
        </w:tc>
        <w:tc>
          <w:tcPr>
            <w:tcW w:w="1443" w:type="dxa"/>
            <w:shd w:val="clear" w:color="auto" w:fill="auto"/>
            <w:vAlign w:val="bottom"/>
            <w:hideMark/>
          </w:tcPr>
          <w:p w14:paraId="7FBAF1E6" w14:textId="77777777" w:rsidR="00F9794C" w:rsidRPr="006D37E7" w:rsidRDefault="00F9794C" w:rsidP="00AE42A5">
            <w:pPr>
              <w:jc w:val="center"/>
              <w:rPr>
                <w:color w:val="000000"/>
                <w:sz w:val="16"/>
                <w:szCs w:val="16"/>
              </w:rPr>
            </w:pPr>
            <w:r w:rsidRPr="006D37E7">
              <w:rPr>
                <w:color w:val="000000"/>
                <w:sz w:val="16"/>
                <w:szCs w:val="16"/>
              </w:rPr>
              <w:t>956013,5</w:t>
            </w:r>
          </w:p>
        </w:tc>
        <w:tc>
          <w:tcPr>
            <w:tcW w:w="1559" w:type="dxa"/>
            <w:shd w:val="clear" w:color="auto" w:fill="auto"/>
            <w:noWrap/>
            <w:vAlign w:val="bottom"/>
            <w:hideMark/>
          </w:tcPr>
          <w:p w14:paraId="41DEF519" w14:textId="77777777" w:rsidR="00F9794C" w:rsidRPr="006D37E7" w:rsidRDefault="00F9794C" w:rsidP="00AE42A5">
            <w:pPr>
              <w:jc w:val="center"/>
              <w:rPr>
                <w:color w:val="000000"/>
                <w:sz w:val="16"/>
                <w:szCs w:val="16"/>
              </w:rPr>
            </w:pPr>
            <w:r w:rsidRPr="006D37E7">
              <w:rPr>
                <w:color w:val="000000"/>
                <w:sz w:val="16"/>
                <w:szCs w:val="16"/>
              </w:rPr>
              <w:t>33616,8</w:t>
            </w:r>
          </w:p>
        </w:tc>
      </w:tr>
      <w:tr w:rsidR="00F9794C" w:rsidRPr="006D37E7" w14:paraId="3510C2B4" w14:textId="77777777" w:rsidTr="005D6A93">
        <w:trPr>
          <w:trHeight w:val="20"/>
        </w:trPr>
        <w:tc>
          <w:tcPr>
            <w:tcW w:w="4263" w:type="dxa"/>
            <w:vMerge/>
            <w:vAlign w:val="center"/>
            <w:hideMark/>
          </w:tcPr>
          <w:p w14:paraId="03B9CFCA" w14:textId="77777777" w:rsidR="00F9794C" w:rsidRPr="006D37E7" w:rsidRDefault="00F9794C" w:rsidP="00AE42A5">
            <w:pPr>
              <w:rPr>
                <w:color w:val="000000"/>
                <w:sz w:val="16"/>
                <w:szCs w:val="16"/>
              </w:rPr>
            </w:pPr>
          </w:p>
        </w:tc>
        <w:tc>
          <w:tcPr>
            <w:tcW w:w="1820" w:type="dxa"/>
            <w:shd w:val="clear" w:color="auto" w:fill="auto"/>
            <w:vAlign w:val="center"/>
            <w:hideMark/>
          </w:tcPr>
          <w:p w14:paraId="0A653CCC" w14:textId="77777777" w:rsidR="00F9794C" w:rsidRPr="006D37E7" w:rsidRDefault="00F9794C" w:rsidP="00AE42A5">
            <w:pPr>
              <w:rPr>
                <w:color w:val="000000"/>
                <w:sz w:val="16"/>
                <w:szCs w:val="16"/>
              </w:rPr>
            </w:pPr>
            <w:r w:rsidRPr="006D37E7">
              <w:rPr>
                <w:color w:val="000000"/>
                <w:sz w:val="16"/>
                <w:szCs w:val="16"/>
              </w:rPr>
              <w:t>Комитет строительства</w:t>
            </w:r>
          </w:p>
        </w:tc>
        <w:tc>
          <w:tcPr>
            <w:tcW w:w="1131" w:type="dxa"/>
            <w:shd w:val="clear" w:color="auto" w:fill="auto"/>
            <w:vAlign w:val="center"/>
            <w:hideMark/>
          </w:tcPr>
          <w:p w14:paraId="68DA0B5D" w14:textId="77777777" w:rsidR="00F9794C" w:rsidRPr="006D37E7" w:rsidRDefault="00F9794C" w:rsidP="00AE42A5">
            <w:pPr>
              <w:jc w:val="center"/>
              <w:rPr>
                <w:color w:val="000000"/>
                <w:sz w:val="16"/>
                <w:szCs w:val="16"/>
              </w:rPr>
            </w:pPr>
            <w:r w:rsidRPr="006D37E7">
              <w:rPr>
                <w:color w:val="000000"/>
                <w:sz w:val="16"/>
                <w:szCs w:val="16"/>
              </w:rPr>
              <w:t>240535,2</w:t>
            </w:r>
          </w:p>
        </w:tc>
        <w:tc>
          <w:tcPr>
            <w:tcW w:w="1443" w:type="dxa"/>
            <w:shd w:val="clear" w:color="auto" w:fill="auto"/>
            <w:vAlign w:val="center"/>
            <w:hideMark/>
          </w:tcPr>
          <w:p w14:paraId="0FF2E3E7" w14:textId="77777777" w:rsidR="00F9794C" w:rsidRPr="006D37E7" w:rsidRDefault="00F9794C" w:rsidP="00AE42A5">
            <w:pPr>
              <w:jc w:val="center"/>
              <w:rPr>
                <w:color w:val="000000"/>
                <w:sz w:val="16"/>
                <w:szCs w:val="16"/>
              </w:rPr>
            </w:pPr>
            <w:r w:rsidRPr="006D37E7">
              <w:rPr>
                <w:color w:val="000000"/>
                <w:sz w:val="16"/>
                <w:szCs w:val="16"/>
              </w:rPr>
              <w:t>253820,0</w:t>
            </w:r>
          </w:p>
        </w:tc>
        <w:tc>
          <w:tcPr>
            <w:tcW w:w="1559" w:type="dxa"/>
            <w:shd w:val="clear" w:color="auto" w:fill="auto"/>
            <w:noWrap/>
            <w:vAlign w:val="center"/>
            <w:hideMark/>
          </w:tcPr>
          <w:p w14:paraId="741DC4B8" w14:textId="77777777" w:rsidR="00F9794C" w:rsidRPr="006D37E7" w:rsidRDefault="00F9794C" w:rsidP="00AE42A5">
            <w:pPr>
              <w:jc w:val="center"/>
              <w:rPr>
                <w:color w:val="000000"/>
                <w:sz w:val="16"/>
                <w:szCs w:val="16"/>
              </w:rPr>
            </w:pPr>
            <w:r w:rsidRPr="006D37E7">
              <w:rPr>
                <w:color w:val="000000"/>
                <w:sz w:val="16"/>
                <w:szCs w:val="16"/>
              </w:rPr>
              <w:t>-13284,8</w:t>
            </w:r>
          </w:p>
        </w:tc>
      </w:tr>
      <w:tr w:rsidR="00F9794C" w:rsidRPr="006D37E7" w14:paraId="5B1EF25D" w14:textId="77777777" w:rsidTr="005D6A93">
        <w:trPr>
          <w:trHeight w:val="20"/>
        </w:trPr>
        <w:tc>
          <w:tcPr>
            <w:tcW w:w="4263" w:type="dxa"/>
            <w:shd w:val="clear" w:color="auto" w:fill="auto"/>
            <w:vAlign w:val="center"/>
            <w:hideMark/>
          </w:tcPr>
          <w:p w14:paraId="5F0A309B" w14:textId="77777777" w:rsidR="00F9794C" w:rsidRPr="006D37E7" w:rsidRDefault="00F9794C" w:rsidP="00AE42A5">
            <w:pPr>
              <w:rPr>
                <w:color w:val="000000"/>
                <w:sz w:val="16"/>
                <w:szCs w:val="16"/>
              </w:rPr>
            </w:pPr>
            <w:r w:rsidRPr="006D37E7">
              <w:rPr>
                <w:color w:val="000000"/>
                <w:sz w:val="16"/>
                <w:szCs w:val="16"/>
              </w:rPr>
              <w:t>Подпрограмма «Развитие внутреннего и въездного туризма Волгоградской области»</w:t>
            </w:r>
          </w:p>
        </w:tc>
        <w:tc>
          <w:tcPr>
            <w:tcW w:w="1820" w:type="dxa"/>
            <w:shd w:val="clear" w:color="auto" w:fill="auto"/>
            <w:vAlign w:val="center"/>
            <w:hideMark/>
          </w:tcPr>
          <w:p w14:paraId="24F79383" w14:textId="77777777" w:rsidR="00F9794C" w:rsidRPr="006D37E7" w:rsidRDefault="00F9794C" w:rsidP="00AE42A5">
            <w:pPr>
              <w:rPr>
                <w:color w:val="000000"/>
                <w:sz w:val="16"/>
                <w:szCs w:val="16"/>
              </w:rPr>
            </w:pPr>
            <w:r w:rsidRPr="006D37E7">
              <w:rPr>
                <w:color w:val="000000"/>
                <w:sz w:val="16"/>
                <w:szCs w:val="16"/>
              </w:rPr>
              <w:t>Комитет</w:t>
            </w:r>
          </w:p>
        </w:tc>
        <w:tc>
          <w:tcPr>
            <w:tcW w:w="1131" w:type="dxa"/>
            <w:shd w:val="clear" w:color="auto" w:fill="auto"/>
            <w:vAlign w:val="center"/>
            <w:hideMark/>
          </w:tcPr>
          <w:p w14:paraId="48E2BCF7" w14:textId="77777777" w:rsidR="00F9794C" w:rsidRPr="006D37E7" w:rsidRDefault="00F9794C" w:rsidP="00AE42A5">
            <w:pPr>
              <w:jc w:val="center"/>
              <w:rPr>
                <w:color w:val="000000"/>
                <w:sz w:val="16"/>
                <w:szCs w:val="16"/>
              </w:rPr>
            </w:pPr>
            <w:r w:rsidRPr="006D37E7">
              <w:rPr>
                <w:color w:val="000000"/>
                <w:sz w:val="16"/>
                <w:szCs w:val="16"/>
              </w:rPr>
              <w:t>323659,3</w:t>
            </w:r>
          </w:p>
        </w:tc>
        <w:tc>
          <w:tcPr>
            <w:tcW w:w="1443" w:type="dxa"/>
            <w:shd w:val="clear" w:color="auto" w:fill="auto"/>
            <w:vAlign w:val="center"/>
            <w:hideMark/>
          </w:tcPr>
          <w:p w14:paraId="3D78284C" w14:textId="77777777" w:rsidR="00F9794C" w:rsidRPr="006D37E7" w:rsidRDefault="00F9794C" w:rsidP="00AE42A5">
            <w:pPr>
              <w:jc w:val="center"/>
              <w:rPr>
                <w:color w:val="000000"/>
                <w:sz w:val="16"/>
                <w:szCs w:val="16"/>
              </w:rPr>
            </w:pPr>
            <w:r w:rsidRPr="006D37E7">
              <w:rPr>
                <w:color w:val="000000"/>
                <w:sz w:val="16"/>
                <w:szCs w:val="16"/>
              </w:rPr>
              <w:t>321473,9</w:t>
            </w:r>
          </w:p>
        </w:tc>
        <w:tc>
          <w:tcPr>
            <w:tcW w:w="1559" w:type="dxa"/>
            <w:shd w:val="clear" w:color="auto" w:fill="auto"/>
            <w:noWrap/>
            <w:vAlign w:val="center"/>
            <w:hideMark/>
          </w:tcPr>
          <w:p w14:paraId="45AEB9E9" w14:textId="77777777" w:rsidR="00F9794C" w:rsidRPr="006D37E7" w:rsidRDefault="00F9794C" w:rsidP="00AE42A5">
            <w:pPr>
              <w:jc w:val="center"/>
              <w:rPr>
                <w:color w:val="000000"/>
                <w:sz w:val="16"/>
                <w:szCs w:val="16"/>
              </w:rPr>
            </w:pPr>
            <w:r w:rsidRPr="006D37E7">
              <w:rPr>
                <w:color w:val="000000"/>
                <w:sz w:val="16"/>
                <w:szCs w:val="16"/>
              </w:rPr>
              <w:t>2185,4</w:t>
            </w:r>
          </w:p>
        </w:tc>
      </w:tr>
    </w:tbl>
    <w:p w14:paraId="4D44C801" w14:textId="77777777" w:rsidR="00051770" w:rsidRPr="006D37E7" w:rsidRDefault="00051770" w:rsidP="00472F1C">
      <w:pPr>
        <w:autoSpaceDE w:val="0"/>
        <w:autoSpaceDN w:val="0"/>
        <w:adjustRightInd w:val="0"/>
        <w:ind w:firstLine="709"/>
        <w:jc w:val="both"/>
      </w:pPr>
    </w:p>
    <w:p w14:paraId="62B9AF9E" w14:textId="77777777" w:rsidR="00472F1C" w:rsidRPr="006D37E7" w:rsidRDefault="009C1EAC" w:rsidP="00472F1C">
      <w:pPr>
        <w:autoSpaceDE w:val="0"/>
        <w:autoSpaceDN w:val="0"/>
        <w:adjustRightInd w:val="0"/>
        <w:ind w:firstLine="709"/>
        <w:jc w:val="both"/>
        <w:rPr>
          <w:color w:val="000099"/>
        </w:rPr>
      </w:pPr>
      <w:r w:rsidRPr="006D37E7">
        <w:t>Б</w:t>
      </w:r>
      <w:r w:rsidR="00B40AF3" w:rsidRPr="006D37E7">
        <w:t>юджетной росписью Комитета финансирование государственной программы на 2018 год предусмотрено в сумме 1736360,2 тыс. руб., что на 30933,3 тыс. руб. больше предусмотренного Законом об областном бюджете на 2018 год (1</w:t>
      </w:r>
      <w:r w:rsidR="001D4AF1" w:rsidRPr="006D37E7">
        <w:t> </w:t>
      </w:r>
      <w:r w:rsidR="00B40AF3" w:rsidRPr="006D37E7">
        <w:t>705</w:t>
      </w:r>
      <w:r w:rsidR="001D4AF1" w:rsidRPr="006D37E7">
        <w:t xml:space="preserve"> </w:t>
      </w:r>
      <w:r w:rsidR="00B40AF3" w:rsidRPr="006D37E7">
        <w:t>426,9 тыс. руб.)</w:t>
      </w:r>
      <w:r w:rsidR="00472F1C" w:rsidRPr="006D37E7">
        <w:t xml:space="preserve"> и на 80570,3 тыс.</w:t>
      </w:r>
      <w:r w:rsidR="00E556A2" w:rsidRPr="006D37E7">
        <w:t xml:space="preserve"> </w:t>
      </w:r>
      <w:r w:rsidR="00472F1C" w:rsidRPr="006D37E7">
        <w:t>руб., или</w:t>
      </w:r>
      <w:r w:rsidR="00EA0AE8" w:rsidRPr="006D37E7">
        <w:t xml:space="preserve"> на</w:t>
      </w:r>
      <w:r w:rsidR="00472F1C" w:rsidRPr="006D37E7">
        <w:t xml:space="preserve"> 4,9%  больше</w:t>
      </w:r>
      <w:r w:rsidR="00120B41" w:rsidRPr="006D37E7">
        <w:t>,</w:t>
      </w:r>
      <w:r w:rsidR="00472F1C" w:rsidRPr="006D37E7">
        <w:t xml:space="preserve"> чем утверждено ГП Развитие культуры и туризма. К</w:t>
      </w:r>
      <w:r w:rsidR="00B40AF3" w:rsidRPr="006D37E7">
        <w:t>ассовый расход произведен в размере 1721538,9 тыс. руб., или 99,1% от утвержденных бюджетной росписью назначений</w:t>
      </w:r>
      <w:r w:rsidRPr="006D37E7">
        <w:t>.</w:t>
      </w:r>
      <w:r w:rsidR="00472F1C" w:rsidRPr="006D37E7">
        <w:t xml:space="preserve"> </w:t>
      </w:r>
    </w:p>
    <w:p w14:paraId="089337C3" w14:textId="77777777" w:rsidR="00051770" w:rsidRPr="006D37E7" w:rsidRDefault="00864E65" w:rsidP="00051770">
      <w:pPr>
        <w:autoSpaceDE w:val="0"/>
        <w:autoSpaceDN w:val="0"/>
        <w:adjustRightInd w:val="0"/>
        <w:ind w:firstLine="709"/>
        <w:jc w:val="both"/>
        <w:rPr>
          <w:rFonts w:eastAsiaTheme="minorHAnsi"/>
          <w:color w:val="0000CC"/>
          <w:lang w:eastAsia="en-US"/>
        </w:rPr>
      </w:pPr>
      <w:r w:rsidRPr="006D37E7">
        <w:rPr>
          <w:rFonts w:eastAsiaTheme="minorHAnsi"/>
          <w:lang w:eastAsia="en-US"/>
        </w:rPr>
        <w:t>ГП Развитие культуры запланировано достижение значений 42 целевых показателей программы, из которых перевыполнен</w:t>
      </w:r>
      <w:r w:rsidR="00643F82" w:rsidRPr="006D37E7">
        <w:rPr>
          <w:rFonts w:eastAsiaTheme="minorHAnsi"/>
          <w:lang w:eastAsia="en-US"/>
        </w:rPr>
        <w:t>ы</w:t>
      </w:r>
      <w:r w:rsidRPr="006D37E7">
        <w:rPr>
          <w:rFonts w:eastAsiaTheme="minorHAnsi"/>
          <w:lang w:eastAsia="en-US"/>
        </w:rPr>
        <w:t xml:space="preserve"> 30</w:t>
      </w:r>
      <w:r w:rsidR="00643F82" w:rsidRPr="006D37E7">
        <w:rPr>
          <w:rFonts w:eastAsiaTheme="minorHAnsi"/>
          <w:lang w:eastAsia="en-US"/>
        </w:rPr>
        <w:t xml:space="preserve"> показателей.</w:t>
      </w:r>
      <w:r w:rsidR="00E556A2" w:rsidRPr="006D37E7">
        <w:rPr>
          <w:rFonts w:eastAsiaTheme="minorHAnsi"/>
          <w:lang w:eastAsia="en-US"/>
        </w:rPr>
        <w:t xml:space="preserve"> </w:t>
      </w:r>
      <w:r w:rsidR="00051770" w:rsidRPr="006D37E7">
        <w:rPr>
          <w:rFonts w:eastAsiaTheme="minorHAnsi"/>
          <w:lang w:eastAsia="en-US"/>
        </w:rPr>
        <w:t xml:space="preserve">Не выполнено 8 целевых показателей программы, причины не выполнения отражены в </w:t>
      </w:r>
      <w:r w:rsidR="00051770" w:rsidRPr="006D37E7">
        <w:rPr>
          <w:rFonts w:eastAsiaTheme="minorHAnsi"/>
          <w:color w:val="0000CC"/>
          <w:lang w:eastAsia="en-US"/>
        </w:rPr>
        <w:t>приложении № 8.</w:t>
      </w:r>
    </w:p>
    <w:p w14:paraId="12CEF4E1" w14:textId="77777777" w:rsidR="00051770" w:rsidRPr="006D37E7" w:rsidRDefault="00051770" w:rsidP="009C1EAC">
      <w:pPr>
        <w:autoSpaceDE w:val="0"/>
        <w:autoSpaceDN w:val="0"/>
        <w:adjustRightInd w:val="0"/>
        <w:ind w:firstLine="709"/>
        <w:jc w:val="both"/>
      </w:pPr>
      <w:r w:rsidRPr="006D37E7">
        <w:rPr>
          <w:rFonts w:eastAsiaTheme="minorHAnsi"/>
          <w:lang w:eastAsia="en-US"/>
        </w:rPr>
        <w:lastRenderedPageBreak/>
        <w:t>Ф</w:t>
      </w:r>
      <w:r w:rsidR="009C1EAC" w:rsidRPr="006D37E7">
        <w:t>актически финансовое обеспечение государственной программы по Комитету не соответствует ни Закону об областном бюджете, ни бюджетной росписи</w:t>
      </w:r>
      <w:r w:rsidR="000E00CD" w:rsidRPr="006D37E7">
        <w:t>. Соответственно</w:t>
      </w:r>
      <w:r w:rsidRPr="006D37E7">
        <w:t xml:space="preserve"> Комитетом</w:t>
      </w:r>
      <w:r w:rsidR="009C1EAC" w:rsidRPr="006D37E7">
        <w:t xml:space="preserve"> не были внесены изменения в целевые показатели государственной программы. </w:t>
      </w:r>
    </w:p>
    <w:p w14:paraId="289528B1" w14:textId="77777777" w:rsidR="005A75A0" w:rsidRPr="006D37E7" w:rsidRDefault="009C1EAC" w:rsidP="009C1EAC">
      <w:pPr>
        <w:autoSpaceDE w:val="0"/>
        <w:autoSpaceDN w:val="0"/>
        <w:adjustRightInd w:val="0"/>
        <w:ind w:firstLine="709"/>
        <w:jc w:val="both"/>
        <w:rPr>
          <w:rFonts w:eastAsiaTheme="minorHAnsi"/>
          <w:lang w:eastAsia="en-US"/>
        </w:rPr>
      </w:pPr>
      <w:r w:rsidRPr="006D37E7">
        <w:rPr>
          <w:rFonts w:eastAsiaTheme="minorHAnsi"/>
          <w:lang w:eastAsia="en-US"/>
        </w:rPr>
        <w:t xml:space="preserve">Так, </w:t>
      </w:r>
      <w:r w:rsidR="00363D99" w:rsidRPr="006D37E7">
        <w:rPr>
          <w:rFonts w:eastAsiaTheme="minorHAnsi"/>
          <w:lang w:eastAsia="en-US"/>
        </w:rPr>
        <w:t xml:space="preserve">в ходе проверки установлено несоответствие </w:t>
      </w:r>
      <w:r w:rsidR="00F82CA6" w:rsidRPr="006D37E7">
        <w:rPr>
          <w:rFonts w:eastAsiaTheme="minorHAnsi"/>
          <w:lang w:eastAsia="en-US"/>
        </w:rPr>
        <w:t>сводных показателей государственных заданий, утвержденных в Приложении №</w:t>
      </w:r>
      <w:r w:rsidR="00C64434" w:rsidRPr="006D37E7">
        <w:rPr>
          <w:rFonts w:eastAsiaTheme="minorHAnsi"/>
          <w:lang w:eastAsia="en-US"/>
        </w:rPr>
        <w:t>1 к</w:t>
      </w:r>
      <w:r w:rsidR="00F82CA6" w:rsidRPr="006D37E7">
        <w:rPr>
          <w:rFonts w:eastAsiaTheme="minorHAnsi"/>
          <w:lang w:eastAsia="en-US"/>
        </w:rPr>
        <w:t xml:space="preserve"> ГП Развитие культуры и </w:t>
      </w:r>
      <w:r w:rsidR="00C64434" w:rsidRPr="006D37E7">
        <w:rPr>
          <w:rFonts w:eastAsiaTheme="minorHAnsi"/>
          <w:lang w:eastAsia="en-US"/>
        </w:rPr>
        <w:t>туризма</w:t>
      </w:r>
      <w:r w:rsidR="00120B41" w:rsidRPr="006D37E7">
        <w:rPr>
          <w:rFonts w:eastAsiaTheme="minorHAnsi"/>
          <w:lang w:eastAsia="en-US"/>
        </w:rPr>
        <w:t>,</w:t>
      </w:r>
      <w:r w:rsidR="00C64434" w:rsidRPr="006D37E7">
        <w:rPr>
          <w:rFonts w:eastAsiaTheme="minorHAnsi"/>
          <w:lang w:eastAsia="en-US"/>
        </w:rPr>
        <w:t xml:space="preserve"> и количественных </w:t>
      </w:r>
      <w:r w:rsidR="00F82CA6" w:rsidRPr="006D37E7">
        <w:rPr>
          <w:rFonts w:eastAsiaTheme="minorHAnsi"/>
          <w:lang w:eastAsia="en-US"/>
        </w:rPr>
        <w:t>показателей</w:t>
      </w:r>
      <w:r w:rsidR="00363D99" w:rsidRPr="006D37E7">
        <w:rPr>
          <w:rFonts w:eastAsiaTheme="minorHAnsi"/>
          <w:lang w:eastAsia="en-US"/>
        </w:rPr>
        <w:t xml:space="preserve">, утвержденных </w:t>
      </w:r>
      <w:r w:rsidR="00C4346B" w:rsidRPr="006D37E7">
        <w:rPr>
          <w:rFonts w:eastAsiaTheme="minorHAnsi"/>
          <w:lang w:eastAsia="en-US"/>
        </w:rPr>
        <w:t xml:space="preserve">Комитетом </w:t>
      </w:r>
      <w:r w:rsidR="00363D99" w:rsidRPr="006D37E7">
        <w:rPr>
          <w:rFonts w:eastAsiaTheme="minorHAnsi"/>
          <w:lang w:eastAsia="en-US"/>
        </w:rPr>
        <w:t>в</w:t>
      </w:r>
      <w:r w:rsidR="00F82CA6" w:rsidRPr="006D37E7">
        <w:rPr>
          <w:rFonts w:eastAsiaTheme="minorHAnsi"/>
          <w:lang w:eastAsia="en-US"/>
        </w:rPr>
        <w:t xml:space="preserve"> государственных задани</w:t>
      </w:r>
      <w:r w:rsidR="00363D99" w:rsidRPr="006D37E7">
        <w:rPr>
          <w:rFonts w:eastAsiaTheme="minorHAnsi"/>
          <w:lang w:eastAsia="en-US"/>
        </w:rPr>
        <w:t>ях</w:t>
      </w:r>
      <w:r w:rsidR="00120B41" w:rsidRPr="006D37E7">
        <w:rPr>
          <w:rFonts w:eastAsiaTheme="minorHAnsi"/>
          <w:lang w:eastAsia="en-US"/>
        </w:rPr>
        <w:t xml:space="preserve"> </w:t>
      </w:r>
      <w:r w:rsidR="00F82CA6" w:rsidRPr="006D37E7">
        <w:rPr>
          <w:rFonts w:eastAsiaTheme="minorHAnsi"/>
          <w:lang w:eastAsia="en-US"/>
        </w:rPr>
        <w:t>подведомственных учреждений</w:t>
      </w:r>
      <w:r w:rsidR="00363D99" w:rsidRPr="006D37E7">
        <w:rPr>
          <w:rFonts w:eastAsiaTheme="minorHAnsi"/>
          <w:lang w:eastAsia="en-US"/>
        </w:rPr>
        <w:t xml:space="preserve">. </w:t>
      </w:r>
      <w:r w:rsidRPr="006D37E7">
        <w:rPr>
          <w:rFonts w:eastAsiaTheme="minorHAnsi"/>
          <w:lang w:eastAsia="en-US"/>
        </w:rPr>
        <w:t>Н</w:t>
      </w:r>
      <w:r w:rsidR="00363D99" w:rsidRPr="006D37E7">
        <w:rPr>
          <w:rFonts w:eastAsiaTheme="minorHAnsi"/>
          <w:lang w:eastAsia="en-US"/>
        </w:rPr>
        <w:t xml:space="preserve">апример, </w:t>
      </w:r>
      <w:r w:rsidR="008B3231" w:rsidRPr="006D37E7">
        <w:rPr>
          <w:rFonts w:eastAsiaTheme="minorHAnsi"/>
          <w:lang w:eastAsia="en-US"/>
        </w:rPr>
        <w:t xml:space="preserve">превышение </w:t>
      </w:r>
      <w:r w:rsidR="004802FA" w:rsidRPr="006D37E7">
        <w:rPr>
          <w:rFonts w:eastAsiaTheme="minorHAnsi"/>
          <w:lang w:eastAsia="en-US"/>
        </w:rPr>
        <w:t xml:space="preserve">по всем 3 количественным показателям </w:t>
      </w:r>
      <w:r w:rsidR="008B3231" w:rsidRPr="006D37E7">
        <w:rPr>
          <w:rFonts w:eastAsiaTheme="minorHAnsi"/>
          <w:lang w:eastAsia="en-US"/>
        </w:rPr>
        <w:t>государственно</w:t>
      </w:r>
      <w:r w:rsidR="004802FA" w:rsidRPr="006D37E7">
        <w:rPr>
          <w:rFonts w:eastAsiaTheme="minorHAnsi"/>
          <w:lang w:eastAsia="en-US"/>
        </w:rPr>
        <w:t>го</w:t>
      </w:r>
      <w:r w:rsidR="008B3231" w:rsidRPr="006D37E7">
        <w:rPr>
          <w:rFonts w:eastAsiaTheme="minorHAnsi"/>
          <w:lang w:eastAsia="en-US"/>
        </w:rPr>
        <w:t xml:space="preserve"> задани</w:t>
      </w:r>
      <w:r w:rsidR="004802FA" w:rsidRPr="006D37E7">
        <w:rPr>
          <w:rFonts w:eastAsiaTheme="minorHAnsi"/>
          <w:lang w:eastAsia="en-US"/>
        </w:rPr>
        <w:t>я</w:t>
      </w:r>
      <w:r w:rsidR="008B3231" w:rsidRPr="006D37E7">
        <w:rPr>
          <w:rFonts w:eastAsiaTheme="minorHAnsi"/>
          <w:lang w:eastAsia="en-US"/>
        </w:rPr>
        <w:t xml:space="preserve"> ГБУК «Волгоградская областная универсальная научная библиотека им. М.Горького» </w:t>
      </w:r>
      <w:r w:rsidR="004802FA" w:rsidRPr="006D37E7">
        <w:rPr>
          <w:rFonts w:eastAsiaTheme="minorHAnsi"/>
          <w:lang w:eastAsia="en-US"/>
        </w:rPr>
        <w:t>варьирует</w:t>
      </w:r>
      <w:r w:rsidR="00120B41" w:rsidRPr="006D37E7">
        <w:rPr>
          <w:rFonts w:eastAsiaTheme="minorHAnsi"/>
          <w:lang w:eastAsia="en-US"/>
        </w:rPr>
        <w:t>ся</w:t>
      </w:r>
      <w:r w:rsidR="004802FA" w:rsidRPr="006D37E7">
        <w:rPr>
          <w:rFonts w:eastAsiaTheme="minorHAnsi"/>
          <w:lang w:eastAsia="en-US"/>
        </w:rPr>
        <w:t xml:space="preserve"> от 26,1% до 92,2%, что соответственно не </w:t>
      </w:r>
      <w:r w:rsidRPr="006D37E7">
        <w:rPr>
          <w:rFonts w:eastAsiaTheme="minorHAnsi"/>
          <w:lang w:eastAsia="en-US"/>
        </w:rPr>
        <w:t>могло</w:t>
      </w:r>
      <w:r w:rsidR="004802FA" w:rsidRPr="006D37E7">
        <w:rPr>
          <w:rFonts w:eastAsiaTheme="minorHAnsi"/>
          <w:lang w:eastAsia="en-US"/>
        </w:rPr>
        <w:t xml:space="preserve"> не влиять на перевыполнение целевого показателя </w:t>
      </w:r>
      <w:r w:rsidR="00E3493F" w:rsidRPr="006D37E7">
        <w:rPr>
          <w:rFonts w:eastAsiaTheme="minorHAnsi"/>
          <w:lang w:eastAsia="en-US"/>
        </w:rPr>
        <w:t xml:space="preserve">программы </w:t>
      </w:r>
      <w:r w:rsidR="004802FA" w:rsidRPr="006D37E7">
        <w:rPr>
          <w:rFonts w:eastAsiaTheme="minorHAnsi"/>
          <w:lang w:eastAsia="en-US"/>
        </w:rPr>
        <w:t>«</w:t>
      </w:r>
      <w:r w:rsidR="008B3231" w:rsidRPr="006D37E7">
        <w:rPr>
          <w:rFonts w:eastAsiaTheme="minorHAnsi"/>
          <w:lang w:eastAsia="en-US"/>
        </w:rPr>
        <w:t>Количество посещений библиотек (на 1 жителя в год)</w:t>
      </w:r>
      <w:r w:rsidR="004802FA" w:rsidRPr="006D37E7">
        <w:rPr>
          <w:rFonts w:eastAsiaTheme="minorHAnsi"/>
          <w:lang w:eastAsia="en-US"/>
        </w:rPr>
        <w:t>»</w:t>
      </w:r>
      <w:r w:rsidRPr="006D37E7">
        <w:rPr>
          <w:rFonts w:eastAsiaTheme="minorHAnsi"/>
          <w:lang w:eastAsia="en-US"/>
        </w:rPr>
        <w:t>.</w:t>
      </w:r>
      <w:r w:rsidR="004802FA" w:rsidRPr="006D37E7">
        <w:rPr>
          <w:rFonts w:eastAsiaTheme="minorHAnsi"/>
          <w:lang w:eastAsia="en-US"/>
        </w:rPr>
        <w:t xml:space="preserve"> </w:t>
      </w:r>
      <w:r w:rsidR="005A75A0" w:rsidRPr="006D37E7">
        <w:rPr>
          <w:rFonts w:eastAsiaTheme="minorHAnsi"/>
          <w:lang w:eastAsia="en-US"/>
        </w:rPr>
        <w:t xml:space="preserve">Аналогичная ситуация и по другим показателям, перевыполнение которых </w:t>
      </w:r>
      <w:r w:rsidRPr="006D37E7">
        <w:rPr>
          <w:rFonts w:eastAsiaTheme="minorHAnsi"/>
          <w:lang w:eastAsia="en-US"/>
        </w:rPr>
        <w:t>подтверждается</w:t>
      </w:r>
      <w:r w:rsidR="005A75A0" w:rsidRPr="006D37E7">
        <w:rPr>
          <w:rFonts w:eastAsiaTheme="minorHAnsi"/>
          <w:lang w:eastAsia="en-US"/>
        </w:rPr>
        <w:t xml:space="preserve"> данными сводной формы отчетности «Сведения о результатах деятельности учреждения по исполнению государственного задания» ф.0503762.</w:t>
      </w:r>
    </w:p>
    <w:p w14:paraId="7D46D6AE" w14:textId="77777777" w:rsidR="001D161E" w:rsidRPr="006D37E7" w:rsidRDefault="001D161E" w:rsidP="001D161E">
      <w:pPr>
        <w:autoSpaceDE w:val="0"/>
        <w:autoSpaceDN w:val="0"/>
        <w:adjustRightInd w:val="0"/>
        <w:ind w:firstLine="709"/>
        <w:jc w:val="both"/>
      </w:pPr>
      <w:r w:rsidRPr="006D37E7">
        <w:t xml:space="preserve">В соответствии с </w:t>
      </w:r>
      <w:r w:rsidR="00120B41" w:rsidRPr="006D37E7">
        <w:t>Постановлением</w:t>
      </w:r>
      <w:r w:rsidRPr="006D37E7">
        <w:t xml:space="preserve"> № 423-п Комитетом проведена оценка реализации ГП Развитие культуры</w:t>
      </w:r>
      <w:r w:rsidR="005A75A0" w:rsidRPr="006D37E7">
        <w:t xml:space="preserve"> и туризма</w:t>
      </w:r>
      <w:r w:rsidRPr="006D37E7">
        <w:t>, согласно которой эффективность реализации государственной программы признана высокой и составила 91,4 процента.</w:t>
      </w:r>
      <w:r w:rsidR="00051770" w:rsidRPr="006D37E7">
        <w:t xml:space="preserve"> При этом с</w:t>
      </w:r>
      <w:r w:rsidRPr="006D37E7">
        <w:t>огласно расчет</w:t>
      </w:r>
      <w:r w:rsidR="005A75A0" w:rsidRPr="006D37E7">
        <w:t>у</w:t>
      </w:r>
      <w:r w:rsidRPr="006D37E7">
        <w:t xml:space="preserve"> эффективности реализации ГП Развитие культуры</w:t>
      </w:r>
      <w:r w:rsidR="005A75A0" w:rsidRPr="006D37E7">
        <w:t xml:space="preserve"> и туризмы</w:t>
      </w:r>
      <w:r w:rsidRPr="006D37E7">
        <w:t xml:space="preserve">, проведенного КСП, эффективность ее реализации составила </w:t>
      </w:r>
      <w:r w:rsidR="00E556A2" w:rsidRPr="006D37E7">
        <w:t>88</w:t>
      </w:r>
      <w:r w:rsidRPr="006D37E7">
        <w:t> % и должна быть признана средней</w:t>
      </w:r>
      <w:r w:rsidRPr="006D37E7">
        <w:rPr>
          <w:color w:val="0000CC"/>
        </w:rPr>
        <w:t>.</w:t>
      </w:r>
      <w:r w:rsidR="009C1EAC" w:rsidRPr="006D37E7">
        <w:t xml:space="preserve"> </w:t>
      </w:r>
      <w:r w:rsidRPr="006D37E7">
        <w:t xml:space="preserve">В ходе проверки </w:t>
      </w:r>
      <w:r w:rsidR="009C1EAC" w:rsidRPr="006D37E7">
        <w:t xml:space="preserve">Комитетом </w:t>
      </w:r>
      <w:r w:rsidRPr="006D37E7">
        <w:t xml:space="preserve"> в комитет экономики и комитет финансов Волгоградской области </w:t>
      </w:r>
      <w:r w:rsidR="004645B7" w:rsidRPr="006D37E7">
        <w:t>направлен исправленный годовой доклад о реализации ГП Развитие культуры и туризма с указанием оценки эффективности ее реализации как средней (88 %) (</w:t>
      </w:r>
      <w:r w:rsidRPr="006D37E7">
        <w:t>письмом от 18.03.2019 № 15-01-07/2/1286</w:t>
      </w:r>
      <w:r w:rsidR="004645B7" w:rsidRPr="006D37E7">
        <w:t>)</w:t>
      </w:r>
      <w:r w:rsidR="009C1EAC" w:rsidRPr="006D37E7">
        <w:t>.</w:t>
      </w:r>
    </w:p>
    <w:p w14:paraId="21A6BCE3" w14:textId="77777777" w:rsidR="009C1EAC" w:rsidRPr="006D37E7" w:rsidRDefault="009C1EAC" w:rsidP="009C1EAC">
      <w:pPr>
        <w:autoSpaceDE w:val="0"/>
        <w:autoSpaceDN w:val="0"/>
        <w:adjustRightInd w:val="0"/>
        <w:ind w:firstLine="709"/>
        <w:jc w:val="both"/>
      </w:pPr>
      <w:r w:rsidRPr="006D37E7">
        <w:t>Основную долю расходов в ГП Развитие культуры и туризма составили расходы на предоставление субсидии на выполнение государственного задания 1</w:t>
      </w:r>
      <w:r w:rsidR="004645B7" w:rsidRPr="006D37E7">
        <w:t> </w:t>
      </w:r>
      <w:r w:rsidRPr="006D37E7">
        <w:t>085</w:t>
      </w:r>
      <w:r w:rsidR="004645B7" w:rsidRPr="006D37E7">
        <w:t xml:space="preserve"> </w:t>
      </w:r>
      <w:r w:rsidRPr="006D37E7">
        <w:t>235,2 тыс. руб., или 63,0% от всех расходов, и субсидии на иные цели подведомственным учреждениям 412</w:t>
      </w:r>
      <w:r w:rsidR="004645B7" w:rsidRPr="006D37E7">
        <w:t xml:space="preserve"> </w:t>
      </w:r>
      <w:r w:rsidRPr="006D37E7">
        <w:t>530,0 тыс.</w:t>
      </w:r>
      <w:r w:rsidR="00E556A2" w:rsidRPr="006D37E7">
        <w:t xml:space="preserve"> </w:t>
      </w:r>
      <w:r w:rsidRPr="006D37E7">
        <w:t>руб., или 24,0  процента.</w:t>
      </w:r>
    </w:p>
    <w:p w14:paraId="14A904B1" w14:textId="77777777" w:rsidR="00790BC2" w:rsidRPr="006D37E7" w:rsidRDefault="007B007D" w:rsidP="008C3E46">
      <w:pPr>
        <w:spacing w:before="120" w:after="120"/>
        <w:ind w:firstLine="709"/>
        <w:jc w:val="center"/>
        <w:rPr>
          <w:b/>
        </w:rPr>
      </w:pPr>
      <w:r w:rsidRPr="006D37E7">
        <w:rPr>
          <w:b/>
        </w:rPr>
        <w:t>6.</w:t>
      </w:r>
      <w:r w:rsidR="009C1EAC" w:rsidRPr="006D37E7">
        <w:rPr>
          <w:b/>
        </w:rPr>
        <w:t>2.1</w:t>
      </w:r>
      <w:r w:rsidR="00970812" w:rsidRPr="006D37E7">
        <w:rPr>
          <w:b/>
        </w:rPr>
        <w:t xml:space="preserve">  </w:t>
      </w:r>
      <w:r w:rsidR="00C4346B" w:rsidRPr="006D37E7">
        <w:rPr>
          <w:b/>
        </w:rPr>
        <w:t>В</w:t>
      </w:r>
      <w:r w:rsidR="00790BC2" w:rsidRPr="006D37E7">
        <w:rPr>
          <w:b/>
        </w:rPr>
        <w:t>ыполнени</w:t>
      </w:r>
      <w:r w:rsidR="00C4346B" w:rsidRPr="006D37E7">
        <w:rPr>
          <w:b/>
        </w:rPr>
        <w:t>е</w:t>
      </w:r>
      <w:r w:rsidR="00790BC2" w:rsidRPr="006D37E7">
        <w:rPr>
          <w:b/>
        </w:rPr>
        <w:t xml:space="preserve"> государственных заданий </w:t>
      </w:r>
    </w:p>
    <w:p w14:paraId="3325C4EE" w14:textId="77777777" w:rsidR="00C4346B" w:rsidRPr="006D37E7" w:rsidRDefault="00790BC2" w:rsidP="00C4346B">
      <w:pPr>
        <w:ind w:firstLine="851"/>
        <w:jc w:val="both"/>
      </w:pPr>
      <w:r w:rsidRPr="006D37E7">
        <w:t>Государственные задания сформированы Комитетом по форме</w:t>
      </w:r>
      <w:r w:rsidR="00E76CF3" w:rsidRPr="006D37E7">
        <w:t>,</w:t>
      </w:r>
      <w:r w:rsidRPr="006D37E7">
        <w:t xml:space="preserve"> утвержденной </w:t>
      </w:r>
      <w:r w:rsidR="004645B7" w:rsidRPr="006D37E7">
        <w:t>постановлением Администрации Волгоградской области от 30.12.2015 № 818-п «Об утверждении положения</w:t>
      </w:r>
      <w:r w:rsidR="00C4346B" w:rsidRPr="006D37E7">
        <w:t xml:space="preserve"> формирования государственного задания в отношении государственных учреждений Волгоградской области и финансового обеспечения выполне</w:t>
      </w:r>
      <w:r w:rsidR="004645B7" w:rsidRPr="006D37E7">
        <w:t xml:space="preserve">ния этого задания» </w:t>
      </w:r>
      <w:r w:rsidR="00C4346B" w:rsidRPr="006D37E7">
        <w:t>(далее – Постановление  № 818-п).</w:t>
      </w:r>
    </w:p>
    <w:p w14:paraId="4B00B501" w14:textId="77777777" w:rsidR="00962ADD" w:rsidRPr="006D37E7" w:rsidRDefault="009C1EAC" w:rsidP="00962ADD">
      <w:pPr>
        <w:ind w:firstLine="851"/>
        <w:jc w:val="both"/>
      </w:pPr>
      <w:r w:rsidRPr="006D37E7">
        <w:t>С учетом внесенных изменений в Соглашения по предоставлению субсидии на финансовое обеспечени</w:t>
      </w:r>
      <w:r w:rsidR="004312EA" w:rsidRPr="006D37E7">
        <w:t>е</w:t>
      </w:r>
      <w:r w:rsidRPr="006D37E7">
        <w:t xml:space="preserve"> выполнения государственного задания на 2018 год объем субсидии составил 1</w:t>
      </w:r>
      <w:r w:rsidR="004645B7" w:rsidRPr="006D37E7">
        <w:t> </w:t>
      </w:r>
      <w:r w:rsidRPr="006D37E7">
        <w:t>091</w:t>
      </w:r>
      <w:r w:rsidR="004645B7" w:rsidRPr="006D37E7">
        <w:t xml:space="preserve"> </w:t>
      </w:r>
      <w:r w:rsidRPr="006D37E7">
        <w:t xml:space="preserve">833,4 тыс. руб., перечислена </w:t>
      </w:r>
      <w:r w:rsidR="00C4346B" w:rsidRPr="006D37E7">
        <w:t xml:space="preserve">субсидия </w:t>
      </w:r>
      <w:r w:rsidRPr="006D37E7">
        <w:t>в сумме 1</w:t>
      </w:r>
      <w:r w:rsidR="004645B7" w:rsidRPr="006D37E7">
        <w:t> </w:t>
      </w:r>
      <w:r w:rsidRPr="006D37E7">
        <w:t>085</w:t>
      </w:r>
      <w:r w:rsidR="004645B7" w:rsidRPr="006D37E7">
        <w:t xml:space="preserve"> </w:t>
      </w:r>
      <w:r w:rsidRPr="006D37E7">
        <w:t>235,2 тыс. руб.</w:t>
      </w:r>
      <w:r w:rsidR="00CF6D9F" w:rsidRPr="006D37E7">
        <w:t xml:space="preserve">, </w:t>
      </w:r>
      <w:r w:rsidRPr="006D37E7">
        <w:t xml:space="preserve"> или 99,4% от суммы заключенных соглашений. По состоянию на 01.01.2019 числится кредиторская задолженность </w:t>
      </w:r>
      <w:r w:rsidR="00C4346B" w:rsidRPr="006D37E7">
        <w:t xml:space="preserve">перед подведомственными учреждениями </w:t>
      </w:r>
      <w:r w:rsidRPr="006D37E7">
        <w:t>в сумме 6598,2 тыс. рублей.</w:t>
      </w:r>
      <w:r w:rsidR="00962ADD" w:rsidRPr="006D37E7">
        <w:t xml:space="preserve"> </w:t>
      </w:r>
    </w:p>
    <w:p w14:paraId="752CB955" w14:textId="77777777" w:rsidR="009C1EAC" w:rsidRPr="006D37E7" w:rsidRDefault="009C1EAC" w:rsidP="00962ADD">
      <w:pPr>
        <w:ind w:firstLine="851"/>
        <w:jc w:val="both"/>
      </w:pPr>
      <w:r w:rsidRPr="006D37E7">
        <w:t>Проверкой формирования и выполнения государственных заданий установлены следующие недостатки и нарушения.</w:t>
      </w:r>
    </w:p>
    <w:p w14:paraId="4FCEE724" w14:textId="77777777" w:rsidR="004645B7" w:rsidRPr="006D37E7" w:rsidRDefault="009C1EAC" w:rsidP="004645B7">
      <w:pPr>
        <w:ind w:firstLine="851"/>
        <w:jc w:val="both"/>
      </w:pPr>
      <w:r w:rsidRPr="006D37E7">
        <w:rPr>
          <w:b/>
        </w:rPr>
        <w:t xml:space="preserve">1. </w:t>
      </w:r>
      <w:r w:rsidR="004645B7" w:rsidRPr="006D37E7">
        <w:t>Комитетом 29.12.2017 были заключены первоначально соглашения о предоставлении субсидии в 2018 году на финансовое обеспечение выполнения государственного задания (далее – Соглашения) с 19 учреждениями на сумму 974034 тыс. руб., в том числе с:</w:t>
      </w:r>
    </w:p>
    <w:p w14:paraId="4F863442" w14:textId="77777777" w:rsidR="004645B7" w:rsidRPr="006D37E7" w:rsidRDefault="004645B7" w:rsidP="004645B7">
      <w:pPr>
        <w:ind w:firstLine="851"/>
        <w:jc w:val="both"/>
      </w:pPr>
      <w:r w:rsidRPr="006D37E7">
        <w:t>-18 бюджетными учреждениями - на сумму 963505,8 тыс. руб.;</w:t>
      </w:r>
    </w:p>
    <w:p w14:paraId="6A8F9C32" w14:textId="77777777" w:rsidR="004645B7" w:rsidRPr="006D37E7" w:rsidRDefault="004645B7" w:rsidP="004645B7">
      <w:pPr>
        <w:ind w:firstLine="851"/>
        <w:jc w:val="both"/>
      </w:pPr>
      <w:r w:rsidRPr="006D37E7">
        <w:t xml:space="preserve">-1 автономным учреждением - на сумму 10528,2 тыс. рублей. </w:t>
      </w:r>
    </w:p>
    <w:p w14:paraId="22680A4D" w14:textId="77777777" w:rsidR="004645B7" w:rsidRPr="006D37E7" w:rsidRDefault="000E00CD" w:rsidP="000E00CD">
      <w:pPr>
        <w:ind w:firstLine="851"/>
        <w:jc w:val="both"/>
        <w:rPr>
          <w:i/>
        </w:rPr>
      </w:pPr>
      <w:r w:rsidRPr="006D37E7">
        <w:rPr>
          <w:rFonts w:eastAsiaTheme="minorHAnsi"/>
          <w:lang w:eastAsia="en-US"/>
        </w:rPr>
        <w:t>Н</w:t>
      </w:r>
      <w:r w:rsidR="004645B7" w:rsidRPr="006D37E7">
        <w:rPr>
          <w:rFonts w:eastAsiaTheme="minorHAnsi"/>
          <w:lang w:eastAsia="en-US"/>
        </w:rPr>
        <w:t xml:space="preserve">а момент заключения соглашений Комитету </w:t>
      </w:r>
      <w:proofErr w:type="spellStart"/>
      <w:r w:rsidR="004645B7" w:rsidRPr="006D37E7">
        <w:rPr>
          <w:rFonts w:eastAsiaTheme="minorHAnsi"/>
          <w:lang w:eastAsia="en-US"/>
        </w:rPr>
        <w:t>Облфином</w:t>
      </w:r>
      <w:proofErr w:type="spellEnd"/>
      <w:r w:rsidR="004645B7" w:rsidRPr="006D37E7">
        <w:rPr>
          <w:rFonts w:eastAsiaTheme="minorHAnsi"/>
          <w:lang w:eastAsia="en-US"/>
        </w:rPr>
        <w:t xml:space="preserve"> были доведены лимиты бюджетных обязательств на финансовое обеспечение выполнения государственного задания (уведомление от 19.12.2017 №4069) </w:t>
      </w:r>
      <w:r w:rsidR="006354A2" w:rsidRPr="006D37E7">
        <w:rPr>
          <w:rFonts w:eastAsiaTheme="minorHAnsi"/>
          <w:lang w:eastAsia="en-US"/>
        </w:rPr>
        <w:t xml:space="preserve">только </w:t>
      </w:r>
      <w:r w:rsidR="004645B7" w:rsidRPr="006D37E7">
        <w:rPr>
          <w:rFonts w:eastAsiaTheme="minorHAnsi"/>
          <w:lang w:eastAsia="en-US"/>
        </w:rPr>
        <w:t>по коду вида расходов 611 «Субсидии бюджетным учреждениям</w:t>
      </w:r>
      <w:r w:rsidR="006354A2" w:rsidRPr="006D37E7">
        <w:rPr>
          <w:rFonts w:eastAsiaTheme="minorHAnsi"/>
          <w:lang w:eastAsia="en-US"/>
        </w:rPr>
        <w:t>…</w:t>
      </w:r>
      <w:r w:rsidR="004645B7" w:rsidRPr="006D37E7">
        <w:rPr>
          <w:rFonts w:eastAsiaTheme="minorHAnsi"/>
          <w:lang w:eastAsia="en-US"/>
        </w:rPr>
        <w:t>» в сумме 974034 тыс. рублей.</w:t>
      </w:r>
      <w:r w:rsidR="006354A2" w:rsidRPr="006D37E7">
        <w:rPr>
          <w:rFonts w:eastAsiaTheme="minorHAnsi"/>
          <w:lang w:eastAsia="en-US"/>
        </w:rPr>
        <w:t xml:space="preserve">  </w:t>
      </w:r>
      <w:r w:rsidR="003A0A6A" w:rsidRPr="006D37E7">
        <w:rPr>
          <w:rFonts w:eastAsiaTheme="minorHAnsi"/>
          <w:lang w:eastAsia="en-US"/>
        </w:rPr>
        <w:t xml:space="preserve">Лимиты бюджетных обязательств </w:t>
      </w:r>
      <w:r w:rsidR="003A0A6A" w:rsidRPr="006D37E7">
        <w:t>на сумму 10528,2 тыс. руб.</w:t>
      </w:r>
      <w:r w:rsidR="003A0A6A" w:rsidRPr="006D37E7">
        <w:rPr>
          <w:rFonts w:eastAsiaTheme="minorHAnsi"/>
          <w:lang w:eastAsia="en-US"/>
        </w:rPr>
        <w:t xml:space="preserve"> по коду вида расходов 621 «Субсидии автономным учреждениям...» предусмотрены 11.01.2019 (у</w:t>
      </w:r>
      <w:r w:rsidRPr="006D37E7">
        <w:rPr>
          <w:rFonts w:eastAsiaTheme="minorHAnsi"/>
          <w:lang w:eastAsia="en-US"/>
        </w:rPr>
        <w:t>ведомление об изменении лимитов бюджетных обязательств 11.01.2018 № 1537</w:t>
      </w:r>
      <w:r w:rsidR="003A0A6A" w:rsidRPr="006D37E7">
        <w:rPr>
          <w:rFonts w:eastAsiaTheme="minorHAnsi"/>
          <w:lang w:eastAsia="en-US"/>
        </w:rPr>
        <w:t>)</w:t>
      </w:r>
      <w:r w:rsidR="0099207B" w:rsidRPr="006D37E7">
        <w:rPr>
          <w:rFonts w:eastAsiaTheme="minorHAnsi"/>
          <w:lang w:eastAsia="en-US"/>
        </w:rPr>
        <w:t xml:space="preserve"> после устранение технической ошибки</w:t>
      </w:r>
      <w:r w:rsidR="003A0A6A" w:rsidRPr="006D37E7">
        <w:rPr>
          <w:rFonts w:eastAsiaTheme="minorHAnsi"/>
          <w:lang w:eastAsia="en-US"/>
        </w:rPr>
        <w:t xml:space="preserve">. </w:t>
      </w:r>
    </w:p>
    <w:p w14:paraId="0C5FE12D" w14:textId="77777777" w:rsidR="004645B7" w:rsidRPr="006D37E7" w:rsidRDefault="009C1EAC" w:rsidP="004645B7">
      <w:pPr>
        <w:ind w:firstLine="851"/>
        <w:jc w:val="both"/>
        <w:rPr>
          <w:rFonts w:eastAsiaTheme="minorHAnsi"/>
          <w:i/>
          <w:lang w:eastAsia="en-US"/>
        </w:rPr>
      </w:pPr>
      <w:r w:rsidRPr="006D37E7">
        <w:rPr>
          <w:rFonts w:eastAsiaTheme="minorHAnsi"/>
          <w:b/>
          <w:lang w:eastAsia="en-US"/>
        </w:rPr>
        <w:t xml:space="preserve">2. </w:t>
      </w:r>
      <w:r w:rsidR="004645B7" w:rsidRPr="006D37E7">
        <w:rPr>
          <w:rFonts w:eastAsiaTheme="minorHAnsi"/>
          <w:lang w:eastAsia="en-US"/>
        </w:rPr>
        <w:t xml:space="preserve">В нарушение п.9 Постановления №818-п расчет объема финансового обеспечения выполнения государственного задания на 2018 год произведен Комитетом без учета не </w:t>
      </w:r>
      <w:r w:rsidR="004645B7" w:rsidRPr="006D37E7">
        <w:rPr>
          <w:rFonts w:eastAsiaTheme="minorHAnsi"/>
          <w:lang w:eastAsia="en-US"/>
        </w:rPr>
        <w:lastRenderedPageBreak/>
        <w:t>использованных по состоянию на 01 января финансового года, на который рассчитывается государственное задание</w:t>
      </w:r>
      <w:r w:rsidR="004645B7" w:rsidRPr="006D37E7">
        <w:t xml:space="preserve">, остатков субсидий на финансовое обеспечение выполнения государственного задания в сумме 2744,4 тыс. рублей.  В 2018 году в </w:t>
      </w:r>
      <w:r w:rsidR="00962ADD" w:rsidRPr="006D37E7">
        <w:t xml:space="preserve">приказ Комитета от 29.12.2017 №01-20/326 «Об утверждении значений базовых нормативных затрат на оказание государственных услуг (выполнение работ) государственными учреждениями, подведомственными комитету культуры Волгоградской области, на 2018 год и плановый период 2019 и 2020 годов» (далее – Приказ №01-20/326) </w:t>
      </w:r>
      <w:r w:rsidR="004645B7" w:rsidRPr="006D37E7">
        <w:t xml:space="preserve"> изменения вносились 10 раз (последнее от 10.01.2019 №01-20/3). </w:t>
      </w:r>
      <w:r w:rsidR="00314B39" w:rsidRPr="006D37E7">
        <w:t xml:space="preserve">Приказом №01-20/326 утверждены значения базовых нормативных затрат на оказание государственных услуг, значения отраслевых корректирующих коэффициентов к базовым нормативным затратам, значения затрат, связанных с выполнением работ, значения коэффициента платной деятельности, порядок определения коэффициента выравнивания, который учитывает объем бюджетных ассигнований и доведенных лимитов бюджетных обязательств и объем финансового обеспечения выполнения государственного задания на 2018 год и плановый период 2019 и 2020 годов. </w:t>
      </w:r>
      <w:r w:rsidR="00962ADD" w:rsidRPr="006D37E7">
        <w:t>Вместе с тем</w:t>
      </w:r>
      <w:r w:rsidR="004645B7" w:rsidRPr="006D37E7">
        <w:t xml:space="preserve"> корректировка объема финансового </w:t>
      </w:r>
      <w:r w:rsidR="004645B7" w:rsidRPr="006D37E7">
        <w:rPr>
          <w:rFonts w:eastAsiaTheme="minorHAnsi"/>
          <w:lang w:eastAsia="en-US"/>
        </w:rPr>
        <w:t xml:space="preserve">обеспечения выполнения государственного задания на сумму остатка </w:t>
      </w:r>
      <w:r w:rsidR="004645B7" w:rsidRPr="006D37E7">
        <w:t xml:space="preserve">2744,4 тыс. руб. не была осуществлена, что привело к нарушению порядка </w:t>
      </w:r>
      <w:r w:rsidR="004645B7" w:rsidRPr="006D37E7">
        <w:rPr>
          <w:rFonts w:eastAsiaTheme="minorHAnsi"/>
          <w:lang w:eastAsia="en-US"/>
        </w:rPr>
        <w:t xml:space="preserve">финансового обеспечения выполнения государственного задания, за которое предусмотрена административная ответственность ст.15.15.15 КоАП РФ. </w:t>
      </w:r>
      <w:r w:rsidR="004645B7" w:rsidRPr="006D37E7">
        <w:rPr>
          <w:rFonts w:eastAsiaTheme="minorHAnsi"/>
          <w:i/>
          <w:lang w:eastAsia="en-US"/>
        </w:rPr>
        <w:t>Ведется работа по составлению протокола об административной ответственности.</w:t>
      </w:r>
    </w:p>
    <w:p w14:paraId="554E2D79" w14:textId="77777777" w:rsidR="008C3E46" w:rsidRPr="006D37E7" w:rsidRDefault="009C1EAC" w:rsidP="009C1EAC">
      <w:pPr>
        <w:ind w:firstLine="851"/>
        <w:jc w:val="both"/>
        <w:rPr>
          <w:rFonts w:eastAsiaTheme="minorHAnsi"/>
          <w:lang w:eastAsia="en-US"/>
        </w:rPr>
      </w:pPr>
      <w:r w:rsidRPr="006D37E7">
        <w:rPr>
          <w:rFonts w:eastAsiaTheme="minorHAnsi"/>
          <w:b/>
          <w:lang w:eastAsia="en-US"/>
        </w:rPr>
        <w:t>3.</w:t>
      </w:r>
      <w:r w:rsidRPr="006D37E7">
        <w:rPr>
          <w:rFonts w:eastAsiaTheme="minorHAnsi"/>
          <w:lang w:eastAsia="en-US"/>
        </w:rPr>
        <w:t xml:space="preserve"> </w:t>
      </w:r>
      <w:r w:rsidR="00790BC2" w:rsidRPr="006D37E7">
        <w:rPr>
          <w:rFonts w:eastAsiaTheme="minorHAnsi"/>
          <w:lang w:eastAsia="en-US"/>
        </w:rPr>
        <w:t xml:space="preserve">В региональный перечень в 2018 году </w:t>
      </w:r>
      <w:r w:rsidR="004645B7" w:rsidRPr="006D37E7">
        <w:rPr>
          <w:rFonts w:eastAsiaTheme="minorHAnsi"/>
          <w:lang w:eastAsia="en-US"/>
        </w:rPr>
        <w:t xml:space="preserve">Комитетом </w:t>
      </w:r>
      <w:r w:rsidR="00790BC2" w:rsidRPr="006D37E7">
        <w:rPr>
          <w:rFonts w:eastAsiaTheme="minorHAnsi"/>
          <w:lang w:eastAsia="en-US"/>
        </w:rPr>
        <w:t xml:space="preserve">была включена государственная работа </w:t>
      </w:r>
      <w:r w:rsidR="00790BC2" w:rsidRPr="006D37E7">
        <w:rPr>
          <w:rFonts w:eastAsiaTheme="minorHAnsi"/>
          <w:u w:val="single"/>
          <w:lang w:eastAsia="en-US"/>
        </w:rPr>
        <w:t>«Создание спектаклей»</w:t>
      </w:r>
      <w:r w:rsidR="004645B7" w:rsidRPr="006D37E7">
        <w:rPr>
          <w:rFonts w:eastAsiaTheme="minorHAnsi"/>
          <w:lang w:eastAsia="en-US"/>
        </w:rPr>
        <w:t xml:space="preserve"> с указанием</w:t>
      </w:r>
      <w:r w:rsidR="00790BC2" w:rsidRPr="006D37E7">
        <w:rPr>
          <w:rFonts w:eastAsiaTheme="minorHAnsi"/>
          <w:lang w:eastAsia="en-US"/>
        </w:rPr>
        <w:t xml:space="preserve"> код</w:t>
      </w:r>
      <w:r w:rsidR="004645B7" w:rsidRPr="006D37E7">
        <w:rPr>
          <w:rFonts w:eastAsiaTheme="minorHAnsi"/>
          <w:lang w:eastAsia="en-US"/>
        </w:rPr>
        <w:t>а из</w:t>
      </w:r>
      <w:r w:rsidR="00790BC2" w:rsidRPr="006D37E7">
        <w:rPr>
          <w:rFonts w:eastAsiaTheme="minorHAnsi"/>
          <w:lang w:eastAsia="en-US"/>
        </w:rPr>
        <w:t xml:space="preserve"> Общероссийского классификатора продукции по виду экономической деятельности 90.03 </w:t>
      </w:r>
      <w:r w:rsidR="00790BC2" w:rsidRPr="006D37E7">
        <w:rPr>
          <w:rFonts w:eastAsiaTheme="minorHAnsi"/>
          <w:u w:val="single"/>
          <w:lang w:eastAsia="en-US"/>
        </w:rPr>
        <w:t>«Творчество художественное»</w:t>
      </w:r>
      <w:r w:rsidR="004645B7" w:rsidRPr="006D37E7">
        <w:rPr>
          <w:rFonts w:eastAsiaTheme="minorHAnsi"/>
          <w:u w:val="single"/>
          <w:lang w:eastAsia="en-US"/>
        </w:rPr>
        <w:t>.</w:t>
      </w:r>
      <w:r w:rsidR="004645B7" w:rsidRPr="006D37E7">
        <w:rPr>
          <w:rFonts w:eastAsiaTheme="minorHAnsi"/>
          <w:lang w:eastAsia="en-US"/>
        </w:rPr>
        <w:t xml:space="preserve"> В</w:t>
      </w:r>
      <w:r w:rsidR="008C3E46" w:rsidRPr="006D37E7">
        <w:rPr>
          <w:rFonts w:eastAsiaTheme="minorHAnsi"/>
          <w:lang w:eastAsia="en-US"/>
        </w:rPr>
        <w:t xml:space="preserve"> соответствии с Общероссийски</w:t>
      </w:r>
      <w:r w:rsidR="004645B7" w:rsidRPr="006D37E7">
        <w:rPr>
          <w:rFonts w:eastAsiaTheme="minorHAnsi"/>
          <w:lang w:eastAsia="en-US"/>
        </w:rPr>
        <w:t>м</w:t>
      </w:r>
      <w:r w:rsidR="008C3E46" w:rsidRPr="006D37E7">
        <w:rPr>
          <w:rFonts w:eastAsiaTheme="minorHAnsi"/>
          <w:lang w:eastAsia="en-US"/>
        </w:rPr>
        <w:t xml:space="preserve"> классификатор</w:t>
      </w:r>
      <w:r w:rsidR="004645B7" w:rsidRPr="006D37E7">
        <w:rPr>
          <w:rFonts w:eastAsiaTheme="minorHAnsi"/>
          <w:lang w:eastAsia="en-US"/>
        </w:rPr>
        <w:t>ом</w:t>
      </w:r>
      <w:r w:rsidR="008C3E46" w:rsidRPr="006D37E7">
        <w:rPr>
          <w:rFonts w:eastAsiaTheme="minorHAnsi"/>
          <w:lang w:eastAsia="en-US"/>
        </w:rPr>
        <w:t xml:space="preserve"> видов экономической деятельности, утвержденны</w:t>
      </w:r>
      <w:r w:rsidR="004645B7" w:rsidRPr="006D37E7">
        <w:rPr>
          <w:rFonts w:eastAsiaTheme="minorHAnsi"/>
          <w:lang w:eastAsia="en-US"/>
        </w:rPr>
        <w:t>м</w:t>
      </w:r>
      <w:r w:rsidR="008C3E46" w:rsidRPr="006D37E7">
        <w:rPr>
          <w:rFonts w:eastAsiaTheme="minorHAnsi"/>
          <w:lang w:eastAsia="en-US"/>
        </w:rPr>
        <w:t xml:space="preserve"> приказом Росстандарта от 31.01.2014 № 14-ст </w:t>
      </w:r>
      <w:r w:rsidR="004645B7" w:rsidRPr="006D37E7">
        <w:rPr>
          <w:rFonts w:eastAsiaTheme="minorHAnsi"/>
          <w:lang w:eastAsia="en-US"/>
        </w:rPr>
        <w:t>(ОК 029-2014 (КДЕС Ред. 2)</w:t>
      </w:r>
      <w:r w:rsidR="00EA0AE8" w:rsidRPr="006D37E7">
        <w:rPr>
          <w:rFonts w:eastAsiaTheme="minorHAnsi"/>
          <w:lang w:eastAsia="en-US"/>
        </w:rPr>
        <w:t>,</w:t>
      </w:r>
      <w:r w:rsidR="004645B7" w:rsidRPr="006D37E7">
        <w:rPr>
          <w:rFonts w:eastAsiaTheme="minorHAnsi"/>
          <w:lang w:eastAsia="en-US"/>
        </w:rPr>
        <w:t xml:space="preserve"> указанный код </w:t>
      </w:r>
      <w:r w:rsidR="008C3E46" w:rsidRPr="006D37E7">
        <w:rPr>
          <w:rFonts w:eastAsiaTheme="minorHAnsi"/>
          <w:lang w:eastAsia="en-US"/>
        </w:rPr>
        <w:t>включает: деятельность скульпторов, художников, художников-мультипликаторов, граверов, офортистов и т.д., работающих индивидуально; деятельность писателей в жанре беллетристики, технической литературы и всех остальных жанров, работающих индивидуально; деятельность независимых журналистов; деятельность по реставрации произведений искусства (картин, скульптур и т.п.).</w:t>
      </w:r>
    </w:p>
    <w:p w14:paraId="333368A7" w14:textId="77777777" w:rsidR="00790BC2" w:rsidRPr="006D37E7" w:rsidRDefault="004645B7" w:rsidP="009C1EAC">
      <w:pPr>
        <w:ind w:firstLine="851"/>
        <w:jc w:val="both"/>
        <w:rPr>
          <w:rFonts w:eastAsiaTheme="minorHAnsi"/>
          <w:lang w:eastAsia="en-US"/>
        </w:rPr>
      </w:pPr>
      <w:r w:rsidRPr="006D37E7">
        <w:rPr>
          <w:rFonts w:eastAsiaTheme="minorHAnsi"/>
          <w:lang w:eastAsia="en-US"/>
        </w:rPr>
        <w:t>Г</w:t>
      </w:r>
      <w:r w:rsidR="00790BC2" w:rsidRPr="006D37E7">
        <w:rPr>
          <w:rFonts w:eastAsiaTheme="minorHAnsi"/>
          <w:lang w:eastAsia="en-US"/>
        </w:rPr>
        <w:t>осударственное задание на выполнение государственной работы «Создание спектаклей» было доведено до 6 государственных учреждений в сумме 71305,5 тыс. руб. (</w:t>
      </w:r>
      <w:r w:rsidR="00847CE3" w:rsidRPr="006D37E7">
        <w:rPr>
          <w:rFonts w:eastAsiaTheme="minorHAnsi"/>
          <w:lang w:eastAsia="en-US"/>
        </w:rPr>
        <w:t>Д</w:t>
      </w:r>
      <w:r w:rsidR="00790BC2" w:rsidRPr="006D37E7">
        <w:rPr>
          <w:rFonts w:eastAsiaTheme="minorHAnsi"/>
          <w:lang w:eastAsia="en-US"/>
        </w:rPr>
        <w:t xml:space="preserve">етская филармония, ГБУ «Волгоградский государственный театр «Царицынская опера»», ГБУК «Волгоградский областной театр кукол», ГБУК «Волгоградский театр юного зрителя», ГБУК «Волгоградский музыкально-драматический казачий театр», ГБУК «Волгоградский государственный Новый экспериментальный театр»), которые осуществляют деятельность по коду Общероссийского классификатора продукции по виду экономической деятельности </w:t>
      </w:r>
      <w:r w:rsidR="008C3E46" w:rsidRPr="006D37E7">
        <w:rPr>
          <w:rFonts w:eastAsiaTheme="minorHAnsi"/>
          <w:lang w:eastAsia="en-US"/>
        </w:rPr>
        <w:t xml:space="preserve">90.01 </w:t>
      </w:r>
      <w:r w:rsidR="008C3E46" w:rsidRPr="006D37E7">
        <w:rPr>
          <w:rFonts w:eastAsiaTheme="minorHAnsi"/>
          <w:u w:val="single"/>
          <w:lang w:eastAsia="en-US"/>
        </w:rPr>
        <w:t>«Деятельность в области исполнительских искусств»</w:t>
      </w:r>
      <w:r w:rsidR="009C36CD" w:rsidRPr="006D37E7">
        <w:rPr>
          <w:rFonts w:eastAsiaTheme="minorHAnsi"/>
          <w:u w:val="single"/>
          <w:lang w:eastAsia="en-US"/>
        </w:rPr>
        <w:t>.</w:t>
      </w:r>
      <w:r w:rsidR="009C36CD" w:rsidRPr="006D37E7">
        <w:rPr>
          <w:rFonts w:eastAsiaTheme="minorHAnsi"/>
          <w:lang w:eastAsia="en-US"/>
        </w:rPr>
        <w:t xml:space="preserve"> Указанный код </w:t>
      </w:r>
      <w:r w:rsidR="008C3E46" w:rsidRPr="006D37E7">
        <w:rPr>
          <w:rFonts w:eastAsiaTheme="minorHAnsi"/>
          <w:lang w:eastAsia="en-US"/>
        </w:rPr>
        <w:t>включает д</w:t>
      </w:r>
      <w:r w:rsidR="00790BC2" w:rsidRPr="006D37E7">
        <w:rPr>
          <w:rFonts w:eastAsiaTheme="minorHAnsi"/>
          <w:lang w:eastAsia="en-US"/>
        </w:rPr>
        <w:t>еятельность по организации и постановке театральных, оперных и балетных представлений, концертов и прочих сценических выступлений</w:t>
      </w:r>
      <w:r w:rsidR="008C3E46" w:rsidRPr="006D37E7">
        <w:rPr>
          <w:rFonts w:eastAsiaTheme="minorHAnsi"/>
          <w:lang w:eastAsia="en-US"/>
        </w:rPr>
        <w:t>.</w:t>
      </w:r>
    </w:p>
    <w:p w14:paraId="5642A582" w14:textId="77777777" w:rsidR="009C1EAC" w:rsidRPr="006D37E7" w:rsidRDefault="009C36CD" w:rsidP="009C36CD">
      <w:pPr>
        <w:ind w:firstLine="851"/>
        <w:jc w:val="both"/>
        <w:rPr>
          <w:rFonts w:eastAsiaTheme="minorHAnsi"/>
          <w:lang w:eastAsia="en-US"/>
        </w:rPr>
      </w:pPr>
      <w:r w:rsidRPr="006D37E7">
        <w:rPr>
          <w:rFonts w:eastAsiaTheme="minorHAnsi"/>
          <w:lang w:eastAsia="en-US"/>
        </w:rPr>
        <w:t xml:space="preserve">В нарушение п.3 Порядка формирования, ведения и утверждения регионального перечня (классификатора) государственных (муниципальных) услуг и работ, оказание и выполнение которых предусмотрено нормативными правовыми актами Волгоградской области утвержденного постановлением Администрации Волгоградской области от 07.12.2017 №633-п (далее </w:t>
      </w:r>
      <w:r w:rsidR="00C4346B" w:rsidRPr="006D37E7">
        <w:rPr>
          <w:rFonts w:eastAsiaTheme="minorHAnsi"/>
          <w:lang w:eastAsia="en-US"/>
        </w:rPr>
        <w:t xml:space="preserve">- </w:t>
      </w:r>
      <w:r w:rsidRPr="006D37E7">
        <w:rPr>
          <w:rFonts w:eastAsiaTheme="minorHAnsi"/>
          <w:lang w:eastAsia="en-US"/>
        </w:rPr>
        <w:t>Порядок №633-п)</w:t>
      </w:r>
      <w:r w:rsidR="00EA0AE8" w:rsidRPr="006D37E7">
        <w:rPr>
          <w:rFonts w:eastAsiaTheme="minorHAnsi"/>
          <w:lang w:eastAsia="en-US"/>
        </w:rPr>
        <w:t>,</w:t>
      </w:r>
      <w:r w:rsidRPr="006D37E7">
        <w:rPr>
          <w:rFonts w:eastAsiaTheme="minorHAnsi"/>
          <w:lang w:eastAsia="en-US"/>
        </w:rPr>
        <w:t xml:space="preserve"> </w:t>
      </w:r>
      <w:r w:rsidR="00790BC2" w:rsidRPr="006D37E7">
        <w:rPr>
          <w:rFonts w:eastAsiaTheme="minorHAnsi"/>
          <w:lang w:eastAsia="en-US"/>
        </w:rPr>
        <w:t>Комитетом в региональный перечень внесена информация о коде Общероссийского классификатора продукции по видам экономической деятельности, который не соответствует государственной работе</w:t>
      </w:r>
      <w:r w:rsidRPr="006D37E7">
        <w:rPr>
          <w:rFonts w:eastAsiaTheme="minorHAnsi"/>
          <w:lang w:eastAsia="en-US"/>
        </w:rPr>
        <w:t>.</w:t>
      </w:r>
    </w:p>
    <w:p w14:paraId="55D45A12" w14:textId="77777777" w:rsidR="008924C6" w:rsidRPr="006D37E7" w:rsidRDefault="009C36CD" w:rsidP="00314B39">
      <w:pPr>
        <w:spacing w:before="120"/>
        <w:ind w:firstLine="851"/>
        <w:jc w:val="both"/>
        <w:rPr>
          <w:rFonts w:eastAsiaTheme="minorHAnsi"/>
          <w:lang w:eastAsia="en-US"/>
        </w:rPr>
      </w:pPr>
      <w:r w:rsidRPr="006D37E7">
        <w:rPr>
          <w:rFonts w:eastAsiaTheme="minorHAnsi"/>
          <w:b/>
          <w:lang w:eastAsia="en-US"/>
        </w:rPr>
        <w:t>4.</w:t>
      </w:r>
      <w:r w:rsidRPr="006D37E7">
        <w:rPr>
          <w:rFonts w:eastAsiaTheme="minorHAnsi"/>
          <w:lang w:eastAsia="en-US"/>
        </w:rPr>
        <w:t xml:space="preserve"> </w:t>
      </w:r>
      <w:r w:rsidR="00CA2E71" w:rsidRPr="006D37E7">
        <w:rPr>
          <w:rFonts w:eastAsiaTheme="minorHAnsi"/>
          <w:lang w:eastAsia="en-US"/>
        </w:rPr>
        <w:t xml:space="preserve">Согласно данным формы </w:t>
      </w:r>
      <w:r w:rsidR="00892619" w:rsidRPr="006D37E7">
        <w:rPr>
          <w:rFonts w:eastAsiaTheme="minorHAnsi"/>
          <w:lang w:eastAsia="en-US"/>
        </w:rPr>
        <w:t>статистической</w:t>
      </w:r>
      <w:r w:rsidR="00CA2E71" w:rsidRPr="006D37E7">
        <w:rPr>
          <w:rFonts w:eastAsiaTheme="minorHAnsi"/>
          <w:lang w:eastAsia="en-US"/>
        </w:rPr>
        <w:t xml:space="preserve"> отчетности «Сведения о деятельности музея» №</w:t>
      </w:r>
      <w:r w:rsidR="00892619" w:rsidRPr="006D37E7">
        <w:rPr>
          <w:rFonts w:eastAsiaTheme="minorHAnsi"/>
          <w:lang w:eastAsia="en-US"/>
        </w:rPr>
        <w:t xml:space="preserve"> 8-нк (далее – форма № 8-нк) </w:t>
      </w:r>
      <w:r w:rsidR="00CA2E71" w:rsidRPr="006D37E7">
        <w:rPr>
          <w:rFonts w:eastAsiaTheme="minorHAnsi"/>
          <w:lang w:eastAsia="en-US"/>
        </w:rPr>
        <w:t xml:space="preserve">Интерактивного музея </w:t>
      </w:r>
      <w:r w:rsidR="00892619" w:rsidRPr="006D37E7">
        <w:rPr>
          <w:rFonts w:eastAsiaTheme="minorHAnsi"/>
          <w:lang w:eastAsia="en-US"/>
        </w:rPr>
        <w:t xml:space="preserve">за 2018 год учреждением </w:t>
      </w:r>
      <w:r w:rsidR="00314B39" w:rsidRPr="006D37E7">
        <w:rPr>
          <w:rFonts w:eastAsiaTheme="minorHAnsi"/>
          <w:lang w:eastAsia="en-US"/>
        </w:rPr>
        <w:t xml:space="preserve">в рамках выполнения государственной услуги «Создание экспозиций (выставок) музеев, организация выездных выставок» </w:t>
      </w:r>
      <w:r w:rsidR="00EA0AE8" w:rsidRPr="006D37E7">
        <w:rPr>
          <w:rFonts w:eastAsiaTheme="minorHAnsi"/>
          <w:lang w:eastAsia="en-US"/>
        </w:rPr>
        <w:t>создано</w:t>
      </w:r>
      <w:r w:rsidR="00892619" w:rsidRPr="006D37E7">
        <w:rPr>
          <w:rFonts w:eastAsiaTheme="minorHAnsi"/>
          <w:lang w:eastAsia="en-US"/>
        </w:rPr>
        <w:t xml:space="preserve"> 4 экспозиции, из которых ни одной не открыто в 2018 году. Вместе с тем согласно отчет</w:t>
      </w:r>
      <w:r w:rsidR="00847CE3" w:rsidRPr="006D37E7">
        <w:rPr>
          <w:rFonts w:eastAsiaTheme="minorHAnsi"/>
          <w:lang w:eastAsia="en-US"/>
        </w:rPr>
        <w:t>у</w:t>
      </w:r>
      <w:r w:rsidR="00892619" w:rsidRPr="006D37E7">
        <w:rPr>
          <w:rFonts w:eastAsiaTheme="minorHAnsi"/>
          <w:lang w:eastAsia="en-US"/>
        </w:rPr>
        <w:t xml:space="preserve"> о выполнении государственного задания </w:t>
      </w:r>
      <w:r w:rsidR="00847CE3" w:rsidRPr="006D37E7">
        <w:rPr>
          <w:rFonts w:eastAsiaTheme="minorHAnsi"/>
          <w:lang w:eastAsia="en-US"/>
        </w:rPr>
        <w:t>Интерактивного м</w:t>
      </w:r>
      <w:r w:rsidR="00892619" w:rsidRPr="006D37E7">
        <w:rPr>
          <w:rFonts w:eastAsiaTheme="minorHAnsi"/>
          <w:lang w:eastAsia="en-US"/>
        </w:rPr>
        <w:t xml:space="preserve">узея за 2018 год </w:t>
      </w:r>
      <w:r w:rsidR="00847CE3" w:rsidRPr="006D37E7">
        <w:rPr>
          <w:rFonts w:eastAsiaTheme="minorHAnsi"/>
          <w:lang w:eastAsia="en-US"/>
        </w:rPr>
        <w:t>Интерактивным м</w:t>
      </w:r>
      <w:r w:rsidR="00892619" w:rsidRPr="006D37E7">
        <w:rPr>
          <w:rFonts w:eastAsiaTheme="minorHAnsi"/>
          <w:lang w:eastAsia="en-US"/>
        </w:rPr>
        <w:t xml:space="preserve">узеем </w:t>
      </w:r>
      <w:r w:rsidR="00CA2E71" w:rsidRPr="006D37E7">
        <w:rPr>
          <w:rFonts w:eastAsiaTheme="minorHAnsi"/>
          <w:lang w:eastAsia="en-US"/>
        </w:rPr>
        <w:t xml:space="preserve">в 2018 году </w:t>
      </w:r>
      <w:r w:rsidR="00892619" w:rsidRPr="006D37E7">
        <w:rPr>
          <w:rFonts w:eastAsiaTheme="minorHAnsi"/>
          <w:lang w:eastAsia="en-US"/>
        </w:rPr>
        <w:t xml:space="preserve">создано 4 экспозиции. В ходе проверки </w:t>
      </w:r>
      <w:r w:rsidR="00847CE3" w:rsidRPr="006D37E7">
        <w:rPr>
          <w:rFonts w:eastAsiaTheme="minorHAnsi"/>
          <w:lang w:eastAsia="en-US"/>
        </w:rPr>
        <w:t>Интерактивным м</w:t>
      </w:r>
      <w:r w:rsidR="00892619" w:rsidRPr="006D37E7">
        <w:rPr>
          <w:rFonts w:eastAsiaTheme="minorHAnsi"/>
          <w:lang w:eastAsia="en-US"/>
        </w:rPr>
        <w:t xml:space="preserve">узеем в адрес Комитета направлена уточненная статистическая форма № 8-нк за 2018 год, </w:t>
      </w:r>
      <w:r w:rsidR="00892619" w:rsidRPr="006D37E7">
        <w:rPr>
          <w:rFonts w:eastAsiaTheme="minorHAnsi"/>
          <w:lang w:eastAsia="en-US"/>
        </w:rPr>
        <w:lastRenderedPageBreak/>
        <w:t xml:space="preserve">согласно которой в 2018 году учреждением </w:t>
      </w:r>
      <w:r w:rsidR="00EA0AE8" w:rsidRPr="006D37E7">
        <w:rPr>
          <w:rFonts w:eastAsiaTheme="minorHAnsi"/>
          <w:lang w:eastAsia="en-US"/>
        </w:rPr>
        <w:t xml:space="preserve">создано </w:t>
      </w:r>
      <w:r w:rsidR="00892619" w:rsidRPr="006D37E7">
        <w:rPr>
          <w:rFonts w:eastAsiaTheme="minorHAnsi"/>
          <w:lang w:eastAsia="en-US"/>
        </w:rPr>
        <w:t>4 экспозиции.</w:t>
      </w:r>
      <w:r w:rsidR="008924C6" w:rsidRPr="006D37E7">
        <w:rPr>
          <w:rFonts w:eastAsiaTheme="minorHAnsi"/>
          <w:lang w:eastAsia="en-US"/>
        </w:rPr>
        <w:t xml:space="preserve"> </w:t>
      </w:r>
      <w:r w:rsidR="00CA2E71" w:rsidRPr="006D37E7">
        <w:rPr>
          <w:rFonts w:eastAsiaTheme="minorHAnsi"/>
          <w:lang w:eastAsia="en-US"/>
        </w:rPr>
        <w:t>При этом д</w:t>
      </w:r>
      <w:r w:rsidR="008924C6" w:rsidRPr="006D37E7">
        <w:rPr>
          <w:rFonts w:eastAsiaTheme="minorHAnsi"/>
          <w:lang w:eastAsia="en-US"/>
        </w:rPr>
        <w:t xml:space="preserve">окументального подтверждения принятия уполномоченным органом </w:t>
      </w:r>
      <w:r w:rsidR="00CA2E71" w:rsidRPr="006D37E7">
        <w:rPr>
          <w:rFonts w:eastAsiaTheme="minorHAnsi"/>
          <w:lang w:eastAsia="en-US"/>
        </w:rPr>
        <w:t>(Министерство культуры РФ) уточненной</w:t>
      </w:r>
      <w:r w:rsidR="008924C6" w:rsidRPr="006D37E7">
        <w:rPr>
          <w:rFonts w:eastAsiaTheme="minorHAnsi"/>
          <w:lang w:eastAsia="en-US"/>
        </w:rPr>
        <w:t xml:space="preserve"> формы № 8-нк не представлено.</w:t>
      </w:r>
    </w:p>
    <w:p w14:paraId="4E904951" w14:textId="77777777" w:rsidR="007B060F" w:rsidRPr="006D37E7" w:rsidRDefault="007B060F" w:rsidP="00CA2E71">
      <w:pPr>
        <w:ind w:firstLine="851"/>
        <w:jc w:val="both"/>
        <w:rPr>
          <w:rFonts w:eastAsiaTheme="minorHAnsi"/>
          <w:lang w:eastAsia="en-US"/>
        </w:rPr>
      </w:pPr>
      <w:r w:rsidRPr="006D37E7">
        <w:rPr>
          <w:rFonts w:eastAsiaTheme="minorHAnsi"/>
          <w:lang w:eastAsia="en-US"/>
        </w:rPr>
        <w:t>Таким образом, Интерактивный музей</w:t>
      </w:r>
      <w:r w:rsidR="00AD17CC" w:rsidRPr="006D37E7">
        <w:rPr>
          <w:rFonts w:eastAsiaTheme="minorHAnsi"/>
          <w:lang w:eastAsia="en-US"/>
        </w:rPr>
        <w:t xml:space="preserve"> при использовании</w:t>
      </w:r>
      <w:r w:rsidRPr="006D37E7">
        <w:rPr>
          <w:rFonts w:eastAsiaTheme="minorHAnsi"/>
          <w:lang w:eastAsia="en-US"/>
        </w:rPr>
        <w:t xml:space="preserve"> субсидии на выполнение государственного задания предоставил статистическую отчетность с недостоверными данными.</w:t>
      </w:r>
    </w:p>
    <w:p w14:paraId="10598E08" w14:textId="77777777" w:rsidR="00142D38" w:rsidRPr="006D37E7" w:rsidRDefault="00CA2E71" w:rsidP="00CA2E71">
      <w:pPr>
        <w:pStyle w:val="ConsPlusNormal"/>
        <w:ind w:firstLine="708"/>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 xml:space="preserve">Фактически в </w:t>
      </w:r>
      <w:r w:rsidR="00892619" w:rsidRPr="006D37E7">
        <w:rPr>
          <w:rFonts w:ascii="Times New Roman" w:eastAsiaTheme="minorHAnsi" w:hAnsi="Times New Roman" w:cs="Times New Roman"/>
          <w:sz w:val="24"/>
          <w:szCs w:val="24"/>
          <w:lang w:eastAsia="en-US"/>
        </w:rPr>
        <w:t xml:space="preserve">отчете о выполнении государственного задания за 2018 год по </w:t>
      </w:r>
      <w:r w:rsidR="00892619" w:rsidRPr="006D37E7">
        <w:rPr>
          <w:rFonts w:ascii="Times New Roman" w:eastAsiaTheme="minorHAnsi" w:hAnsi="Times New Roman" w:cs="Times New Roman"/>
          <w:sz w:val="24"/>
          <w:szCs w:val="24"/>
        </w:rPr>
        <w:t xml:space="preserve">государственной услуге «Создание экспозиций (выставок) музеев, организация выездных выставок» учреждением отражена информация о созданных в 2018 году </w:t>
      </w:r>
      <w:r w:rsidR="00892619" w:rsidRPr="006D37E7">
        <w:rPr>
          <w:rFonts w:ascii="Times New Roman" w:eastAsiaTheme="minorHAnsi" w:hAnsi="Times New Roman" w:cs="Times New Roman"/>
          <w:sz w:val="24"/>
          <w:szCs w:val="24"/>
          <w:lang w:eastAsia="en-US"/>
        </w:rPr>
        <w:t xml:space="preserve">4 </w:t>
      </w:r>
      <w:r w:rsidR="00892619" w:rsidRPr="006D37E7">
        <w:rPr>
          <w:rFonts w:ascii="Times New Roman" w:eastAsiaTheme="minorHAnsi" w:hAnsi="Times New Roman" w:cs="Times New Roman"/>
          <w:i/>
          <w:sz w:val="24"/>
          <w:szCs w:val="24"/>
          <w:lang w:eastAsia="en-US"/>
        </w:rPr>
        <w:t xml:space="preserve">временных </w:t>
      </w:r>
      <w:r w:rsidR="00892619" w:rsidRPr="006D37E7">
        <w:rPr>
          <w:rFonts w:ascii="Times New Roman" w:eastAsiaTheme="minorHAnsi" w:hAnsi="Times New Roman" w:cs="Times New Roman"/>
          <w:sz w:val="24"/>
          <w:szCs w:val="24"/>
          <w:lang w:eastAsia="en-US"/>
        </w:rPr>
        <w:t xml:space="preserve">экспозициях (выставках), действовавших </w:t>
      </w:r>
      <w:r w:rsidRPr="006D37E7">
        <w:rPr>
          <w:rFonts w:ascii="Times New Roman" w:eastAsiaTheme="minorHAnsi" w:hAnsi="Times New Roman" w:cs="Times New Roman"/>
          <w:sz w:val="24"/>
          <w:szCs w:val="24"/>
          <w:lang w:eastAsia="en-US"/>
        </w:rPr>
        <w:t xml:space="preserve">в течение 2-х </w:t>
      </w:r>
      <w:r w:rsidR="00892619" w:rsidRPr="006D37E7">
        <w:rPr>
          <w:rFonts w:ascii="Times New Roman" w:eastAsiaTheme="minorHAnsi" w:hAnsi="Times New Roman" w:cs="Times New Roman"/>
          <w:sz w:val="24"/>
          <w:szCs w:val="24"/>
          <w:lang w:eastAsia="en-US"/>
        </w:rPr>
        <w:t>месяцев в году</w:t>
      </w:r>
      <w:r w:rsidRPr="006D37E7">
        <w:rPr>
          <w:rFonts w:ascii="Times New Roman" w:eastAsiaTheme="minorHAnsi" w:hAnsi="Times New Roman" w:cs="Times New Roman"/>
          <w:sz w:val="24"/>
          <w:szCs w:val="24"/>
          <w:lang w:eastAsia="en-US"/>
        </w:rPr>
        <w:t xml:space="preserve"> (</w:t>
      </w:r>
      <w:r w:rsidR="00892619" w:rsidRPr="006D37E7">
        <w:rPr>
          <w:rFonts w:ascii="Times New Roman" w:eastAsiaTheme="minorHAnsi" w:hAnsi="Times New Roman" w:cs="Times New Roman"/>
          <w:sz w:val="24"/>
          <w:szCs w:val="24"/>
          <w:lang w:eastAsia="en-US"/>
        </w:rPr>
        <w:t>«Имена из солдатских медальо</w:t>
      </w:r>
      <w:r w:rsidRPr="006D37E7">
        <w:rPr>
          <w:rFonts w:ascii="Times New Roman" w:eastAsiaTheme="minorHAnsi" w:hAnsi="Times New Roman" w:cs="Times New Roman"/>
          <w:sz w:val="24"/>
          <w:szCs w:val="24"/>
          <w:lang w:eastAsia="en-US"/>
        </w:rPr>
        <w:t>нов»,</w:t>
      </w:r>
      <w:r w:rsidR="00892619" w:rsidRPr="006D37E7">
        <w:rPr>
          <w:rFonts w:ascii="Times New Roman" w:eastAsiaTheme="minorHAnsi" w:hAnsi="Times New Roman" w:cs="Times New Roman"/>
          <w:sz w:val="24"/>
          <w:szCs w:val="24"/>
          <w:lang w:eastAsia="en-US"/>
        </w:rPr>
        <w:t xml:space="preserve"> «Лысая гора. Высота </w:t>
      </w:r>
      <w:r w:rsidRPr="006D37E7">
        <w:rPr>
          <w:rFonts w:ascii="Times New Roman" w:eastAsiaTheme="minorHAnsi" w:hAnsi="Times New Roman" w:cs="Times New Roman"/>
          <w:sz w:val="24"/>
          <w:szCs w:val="24"/>
          <w:lang w:eastAsia="en-US"/>
        </w:rPr>
        <w:t>146» - январь-февраль 2018 года,</w:t>
      </w:r>
      <w:r w:rsidR="00892619" w:rsidRPr="006D37E7">
        <w:rPr>
          <w:rFonts w:ascii="Times New Roman" w:eastAsiaTheme="minorHAnsi" w:hAnsi="Times New Roman" w:cs="Times New Roman"/>
          <w:sz w:val="24"/>
          <w:szCs w:val="24"/>
          <w:lang w:eastAsia="en-US"/>
        </w:rPr>
        <w:t> «Презентационная зона Волгоградской области», посвященная достижениям региона в промышленности, культуре</w:t>
      </w:r>
      <w:r w:rsidRPr="006D37E7">
        <w:rPr>
          <w:rFonts w:ascii="Times New Roman" w:eastAsiaTheme="minorHAnsi" w:hAnsi="Times New Roman" w:cs="Times New Roman"/>
          <w:sz w:val="24"/>
          <w:szCs w:val="24"/>
          <w:lang w:eastAsia="en-US"/>
        </w:rPr>
        <w:t xml:space="preserve"> и спорте - июнь-июль 2018 года,</w:t>
      </w:r>
      <w:r w:rsidR="00892619" w:rsidRPr="006D37E7">
        <w:rPr>
          <w:rFonts w:ascii="Times New Roman" w:eastAsiaTheme="minorHAnsi" w:hAnsi="Times New Roman" w:cs="Times New Roman"/>
          <w:sz w:val="24"/>
          <w:szCs w:val="24"/>
          <w:lang w:eastAsia="en-US"/>
        </w:rPr>
        <w:t> «Советские военнопленные в Норвегии. 1941-</w:t>
      </w:r>
      <w:proofErr w:type="gramStart"/>
      <w:r w:rsidR="00892619" w:rsidRPr="006D37E7">
        <w:rPr>
          <w:rFonts w:ascii="Times New Roman" w:eastAsiaTheme="minorHAnsi" w:hAnsi="Times New Roman" w:cs="Times New Roman"/>
          <w:sz w:val="24"/>
          <w:szCs w:val="24"/>
          <w:lang w:eastAsia="en-US"/>
        </w:rPr>
        <w:t>1</w:t>
      </w:r>
      <w:r w:rsidRPr="006D37E7">
        <w:rPr>
          <w:rFonts w:ascii="Times New Roman" w:eastAsiaTheme="minorHAnsi" w:hAnsi="Times New Roman" w:cs="Times New Roman"/>
          <w:sz w:val="24"/>
          <w:szCs w:val="24"/>
          <w:lang w:eastAsia="en-US"/>
        </w:rPr>
        <w:t>945»  -</w:t>
      </w:r>
      <w:proofErr w:type="gramEnd"/>
      <w:r w:rsidRPr="006D37E7">
        <w:rPr>
          <w:rFonts w:ascii="Times New Roman" w:eastAsiaTheme="minorHAnsi" w:hAnsi="Times New Roman" w:cs="Times New Roman"/>
          <w:sz w:val="24"/>
          <w:szCs w:val="24"/>
          <w:lang w:eastAsia="en-US"/>
        </w:rPr>
        <w:t xml:space="preserve"> октябрь-ноябрь 2018 года). </w:t>
      </w:r>
    </w:p>
    <w:p w14:paraId="56AA8812" w14:textId="77777777" w:rsidR="00142D38" w:rsidRPr="006D37E7" w:rsidRDefault="00314B39" w:rsidP="003A0A6A">
      <w:pPr>
        <w:autoSpaceDE w:val="0"/>
        <w:autoSpaceDN w:val="0"/>
        <w:adjustRightInd w:val="0"/>
        <w:ind w:firstLine="708"/>
        <w:jc w:val="both"/>
        <w:rPr>
          <w:rFonts w:eastAsiaTheme="minorHAnsi"/>
          <w:lang w:eastAsia="en-US"/>
        </w:rPr>
      </w:pPr>
      <w:r w:rsidRPr="006D37E7">
        <w:t xml:space="preserve">Кроме того, </w:t>
      </w:r>
      <w:r w:rsidR="008643E5" w:rsidRPr="006D37E7">
        <w:t xml:space="preserve">необходимо отметить, </w:t>
      </w:r>
      <w:r w:rsidRPr="006D37E7">
        <w:t>что ф</w:t>
      </w:r>
      <w:r w:rsidR="00142D38" w:rsidRPr="006D37E7">
        <w:rPr>
          <w:rFonts w:eastAsiaTheme="minorHAnsi"/>
        </w:rPr>
        <w:t xml:space="preserve">инансовое обеспечение оказания вышеуказанной государственной услуги в 2018 году составило 42472,7 тыс. руб. и является основной частью доходов Интерактивного музея (84 %). В нормативе затрат на оказание государственной услуги затраты на оплату труда с начислениями составляют 83 %, в кассовых расходах – 70 процентов. </w:t>
      </w:r>
      <w:r w:rsidR="00CA2E71" w:rsidRPr="006D37E7">
        <w:rPr>
          <w:rFonts w:eastAsiaTheme="minorHAnsi"/>
          <w:lang w:eastAsia="en-US"/>
        </w:rPr>
        <w:t xml:space="preserve">При этом </w:t>
      </w:r>
      <w:r w:rsidRPr="006D37E7">
        <w:rPr>
          <w:rFonts w:eastAsiaTheme="minorHAnsi"/>
          <w:lang w:eastAsia="en-US"/>
        </w:rPr>
        <w:t xml:space="preserve">в соответствии с Уставом учреждения </w:t>
      </w:r>
      <w:r w:rsidR="00CA2E71" w:rsidRPr="006D37E7">
        <w:rPr>
          <w:rFonts w:eastAsiaTheme="minorHAnsi"/>
          <w:lang w:eastAsia="en-US"/>
        </w:rPr>
        <w:t>основным видом деятельности учреждения</w:t>
      </w:r>
      <w:r w:rsidRPr="006D37E7">
        <w:rPr>
          <w:rFonts w:eastAsiaTheme="minorHAnsi"/>
          <w:lang w:eastAsia="en-US"/>
        </w:rPr>
        <w:t xml:space="preserve"> и соответственно расходов учреждения</w:t>
      </w:r>
      <w:r w:rsidR="00CA2E71" w:rsidRPr="006D37E7">
        <w:rPr>
          <w:rFonts w:eastAsiaTheme="minorHAnsi"/>
          <w:lang w:eastAsia="en-US"/>
        </w:rPr>
        <w:t xml:space="preserve"> является </w:t>
      </w:r>
      <w:r w:rsidR="00142D38" w:rsidRPr="006D37E7">
        <w:rPr>
          <w:rFonts w:eastAsiaTheme="minorHAnsi"/>
          <w:lang w:eastAsia="en-US"/>
        </w:rPr>
        <w:t>организация</w:t>
      </w:r>
      <w:r w:rsidR="00CA2E71" w:rsidRPr="006D37E7">
        <w:rPr>
          <w:rFonts w:eastAsiaTheme="minorHAnsi"/>
          <w:lang w:eastAsia="en-US"/>
        </w:rPr>
        <w:t xml:space="preserve"> </w:t>
      </w:r>
      <w:r w:rsidR="0035626F" w:rsidRPr="006D37E7">
        <w:rPr>
          <w:rFonts w:eastAsiaTheme="minorHAnsi"/>
          <w:lang w:eastAsia="en-US"/>
        </w:rPr>
        <w:t xml:space="preserve">и показ </w:t>
      </w:r>
      <w:r w:rsidR="00CA2E71" w:rsidRPr="006D37E7">
        <w:rPr>
          <w:rFonts w:eastAsiaTheme="minorHAnsi"/>
          <w:i/>
          <w:lang w:eastAsia="en-US"/>
        </w:rPr>
        <w:t>постоянных</w:t>
      </w:r>
      <w:r w:rsidR="00CA2E71" w:rsidRPr="006D37E7">
        <w:rPr>
          <w:rFonts w:eastAsiaTheme="minorHAnsi"/>
          <w:lang w:eastAsia="en-US"/>
        </w:rPr>
        <w:t xml:space="preserve"> мультимедийных экспозиций</w:t>
      </w:r>
      <w:r w:rsidRPr="006D37E7">
        <w:rPr>
          <w:rFonts w:eastAsiaTheme="minorHAnsi"/>
          <w:lang w:eastAsia="en-US"/>
        </w:rPr>
        <w:t>. Ф</w:t>
      </w:r>
      <w:r w:rsidR="00142D38" w:rsidRPr="006D37E7">
        <w:t>ормальн</w:t>
      </w:r>
      <w:r w:rsidRPr="006D37E7">
        <w:t>ый подход</w:t>
      </w:r>
      <w:r w:rsidR="00142D38" w:rsidRPr="006D37E7">
        <w:t xml:space="preserve"> Комитета к формированию нормативных затрат </w:t>
      </w:r>
      <w:r w:rsidRPr="006D37E7">
        <w:t>противоречит требованиям п.2 Постановления №818-п, которым установлено, что г</w:t>
      </w:r>
      <w:r w:rsidRPr="006D37E7">
        <w:rPr>
          <w:rFonts w:eastAsiaTheme="minorHAnsi"/>
          <w:lang w:eastAsia="en-US"/>
        </w:rPr>
        <w:t>осударственное задание формируется в соответствии с основными видами деятельности, предусмотренными учредительными документами государственного учреждения.</w:t>
      </w:r>
      <w:r w:rsidR="00142D38" w:rsidRPr="006D37E7">
        <w:rPr>
          <w:rFonts w:eastAsiaTheme="minorHAnsi"/>
        </w:rPr>
        <w:t xml:space="preserve"> По мнению КСП, </w:t>
      </w:r>
      <w:r w:rsidR="008643E5" w:rsidRPr="006D37E7">
        <w:rPr>
          <w:rFonts w:eastAsiaTheme="minorHAnsi"/>
        </w:rPr>
        <w:t xml:space="preserve">Комитету </w:t>
      </w:r>
      <w:r w:rsidR="00142D38" w:rsidRPr="006D37E7">
        <w:rPr>
          <w:rFonts w:eastAsiaTheme="minorHAnsi"/>
        </w:rPr>
        <w:t xml:space="preserve">целесообразно обеспечить </w:t>
      </w:r>
      <w:r w:rsidR="00892619" w:rsidRPr="006D37E7">
        <w:rPr>
          <w:rFonts w:eastAsiaTheme="minorHAnsi"/>
        </w:rPr>
        <w:t>формирование содержания государственной услуги и объема финансового обеспечения</w:t>
      </w:r>
      <w:r w:rsidR="00142D38" w:rsidRPr="006D37E7">
        <w:rPr>
          <w:rFonts w:eastAsiaTheme="minorHAnsi"/>
        </w:rPr>
        <w:t xml:space="preserve"> с учетом основного вида деятельности (</w:t>
      </w:r>
      <w:r w:rsidR="00142D38" w:rsidRPr="006D37E7">
        <w:rPr>
          <w:rFonts w:eastAsiaTheme="minorHAnsi"/>
          <w:lang w:eastAsia="en-US"/>
        </w:rPr>
        <w:t xml:space="preserve">организация 4 </w:t>
      </w:r>
      <w:r w:rsidR="00142D38" w:rsidRPr="006D37E7">
        <w:rPr>
          <w:rFonts w:eastAsiaTheme="minorHAnsi"/>
          <w:i/>
          <w:lang w:eastAsia="en-US"/>
        </w:rPr>
        <w:t>постоянных</w:t>
      </w:r>
      <w:r w:rsidR="00142D38" w:rsidRPr="006D37E7">
        <w:rPr>
          <w:rFonts w:eastAsiaTheme="minorHAnsi"/>
          <w:lang w:eastAsia="en-US"/>
        </w:rPr>
        <w:t xml:space="preserve"> мультимедийных экспозиций).</w:t>
      </w:r>
    </w:p>
    <w:p w14:paraId="6732F919" w14:textId="77777777" w:rsidR="00C7387C" w:rsidRPr="006D37E7" w:rsidRDefault="00142D38" w:rsidP="00142D38">
      <w:pPr>
        <w:pStyle w:val="ab"/>
        <w:spacing w:after="0"/>
        <w:ind w:left="0" w:firstLine="720"/>
        <w:jc w:val="both"/>
        <w:rPr>
          <w:rFonts w:eastAsia="Calibri"/>
        </w:rPr>
      </w:pPr>
      <w:r w:rsidRPr="006D37E7">
        <w:rPr>
          <w:rFonts w:eastAsiaTheme="minorHAnsi"/>
          <w:b/>
        </w:rPr>
        <w:t>5.</w:t>
      </w:r>
      <w:r w:rsidRPr="006D37E7">
        <w:rPr>
          <w:rFonts w:eastAsiaTheme="minorHAnsi"/>
        </w:rPr>
        <w:t xml:space="preserve"> В</w:t>
      </w:r>
      <w:r w:rsidR="00C7387C" w:rsidRPr="006D37E7">
        <w:t xml:space="preserve"> нарушение постановления </w:t>
      </w:r>
      <w:r w:rsidR="00EA0AE8" w:rsidRPr="006D37E7">
        <w:t>г</w:t>
      </w:r>
      <w:r w:rsidR="00C7387C" w:rsidRPr="006D37E7">
        <w:t>лавы Администрации Волгоградской области от 13.05.2011 № 473 «Об утверждении порядка установления государственными учреждениями культуры, подведомственными Комитету культуры Волгоградской области, льгот на посещение проводимых ими платных мероприятий отдельным категориям граждан»</w:t>
      </w:r>
      <w:r w:rsidR="00C7387C" w:rsidRPr="006D37E7">
        <w:rPr>
          <w:i/>
        </w:rPr>
        <w:t xml:space="preserve"> </w:t>
      </w:r>
      <w:r w:rsidR="00C7387C" w:rsidRPr="006D37E7">
        <w:t xml:space="preserve">директором </w:t>
      </w:r>
      <w:r w:rsidR="00847CE3" w:rsidRPr="006D37E7">
        <w:t>Интерактивного м</w:t>
      </w:r>
      <w:r w:rsidR="00C7387C" w:rsidRPr="006D37E7">
        <w:t>узея утвержден приказ от 28.09.2017 № 34, которым предусмотрены иные льготные категории граждан при посещении музея, в т.ч. пенсионеры, сотрудники музеев, находящихся в ведении Министерства культуры РФ и соответствующих органов исполнительной власти субъектов РФ, а также члены Международного совета музеев.</w:t>
      </w:r>
      <w:r w:rsidRPr="006D37E7">
        <w:t xml:space="preserve"> </w:t>
      </w:r>
      <w:r w:rsidR="00C7387C" w:rsidRPr="006D37E7">
        <w:rPr>
          <w:rFonts w:eastAsia="Calibri"/>
        </w:rPr>
        <w:t>Объем расходов на предоставление услуг вышеуказанным категориям за 2018 год составил 629,75 тыс. руб., в т. ч.:</w:t>
      </w:r>
      <w:r w:rsidR="008924C6" w:rsidRPr="006D37E7">
        <w:rPr>
          <w:rFonts w:eastAsia="Calibri"/>
        </w:rPr>
        <w:t xml:space="preserve"> </w:t>
      </w:r>
      <w:r w:rsidR="00C7387C" w:rsidRPr="006D37E7">
        <w:rPr>
          <w:rFonts w:eastAsia="Calibri"/>
        </w:rPr>
        <w:t xml:space="preserve"> пенсионеры в количест</w:t>
      </w:r>
      <w:r w:rsidR="008924C6" w:rsidRPr="006D37E7">
        <w:rPr>
          <w:rFonts w:eastAsia="Calibri"/>
        </w:rPr>
        <w:t xml:space="preserve">ве 6100 чел. – 629,75 тыс. руб.; </w:t>
      </w:r>
      <w:r w:rsidR="00C7387C" w:rsidRPr="006D37E7">
        <w:rPr>
          <w:rFonts w:eastAsia="Calibri"/>
        </w:rPr>
        <w:t xml:space="preserve"> для музейных работников в количестве 468 чел. посещение бесплатное.</w:t>
      </w:r>
    </w:p>
    <w:p w14:paraId="298B16C4" w14:textId="77777777" w:rsidR="003C073C" w:rsidRPr="006D37E7" w:rsidRDefault="00142D38" w:rsidP="003C073C">
      <w:pPr>
        <w:pStyle w:val="ab"/>
        <w:spacing w:after="0"/>
        <w:ind w:left="0" w:firstLine="720"/>
        <w:jc w:val="both"/>
        <w:rPr>
          <w:rFonts w:eastAsiaTheme="minorHAnsi"/>
        </w:rPr>
      </w:pPr>
      <w:r w:rsidRPr="006D37E7">
        <w:rPr>
          <w:rFonts w:eastAsia="Calibri"/>
          <w:b/>
        </w:rPr>
        <w:t>6.</w:t>
      </w:r>
      <w:r w:rsidRPr="006D37E7">
        <w:rPr>
          <w:rFonts w:eastAsia="Calibri"/>
        </w:rPr>
        <w:t xml:space="preserve"> </w:t>
      </w:r>
      <w:r w:rsidR="008D3C93" w:rsidRPr="006D37E7">
        <w:rPr>
          <w:rFonts w:eastAsiaTheme="minorHAnsi"/>
        </w:rPr>
        <w:t xml:space="preserve">В соответствии с соглашением о предоставлении субсидии на финансовое обеспечение выполнения государственного задания </w:t>
      </w:r>
      <w:r w:rsidRPr="006D37E7">
        <w:rPr>
          <w:rFonts w:eastAsiaTheme="minorHAnsi"/>
        </w:rPr>
        <w:t>объем</w:t>
      </w:r>
      <w:r w:rsidR="008D3C93" w:rsidRPr="006D37E7">
        <w:rPr>
          <w:rFonts w:eastAsiaTheme="minorHAnsi"/>
        </w:rPr>
        <w:t xml:space="preserve"> субсидии </w:t>
      </w:r>
      <w:r w:rsidRPr="006D37E7">
        <w:rPr>
          <w:rFonts w:eastAsiaTheme="minorHAnsi"/>
        </w:rPr>
        <w:t xml:space="preserve">Детской филармонии </w:t>
      </w:r>
      <w:r w:rsidR="008D3C93" w:rsidRPr="006D37E7">
        <w:rPr>
          <w:rFonts w:eastAsiaTheme="minorHAnsi"/>
        </w:rPr>
        <w:t>на 2018 год составил 43677,2 тыс. руб</w:t>
      </w:r>
      <w:r w:rsidR="00C94B98" w:rsidRPr="006D37E7">
        <w:rPr>
          <w:rFonts w:eastAsiaTheme="minorHAnsi"/>
        </w:rPr>
        <w:t>., пере</w:t>
      </w:r>
      <w:r w:rsidR="008D3C93" w:rsidRPr="006D37E7">
        <w:rPr>
          <w:rFonts w:eastAsiaTheme="minorHAnsi"/>
        </w:rPr>
        <w:t>числено 43677,2 тыс. руб., или 100</w:t>
      </w:r>
      <w:r w:rsidR="00F1536C" w:rsidRPr="006D37E7">
        <w:rPr>
          <w:rFonts w:eastAsiaTheme="minorHAnsi"/>
        </w:rPr>
        <w:t xml:space="preserve"> процентов.</w:t>
      </w:r>
      <w:r w:rsidR="003C073C" w:rsidRPr="006D37E7">
        <w:rPr>
          <w:rFonts w:eastAsiaTheme="minorHAnsi"/>
        </w:rPr>
        <w:t xml:space="preserve"> </w:t>
      </w:r>
    </w:p>
    <w:p w14:paraId="57F51925" w14:textId="77777777" w:rsidR="003C073C" w:rsidRPr="006D37E7" w:rsidRDefault="003C073C" w:rsidP="003C073C">
      <w:pPr>
        <w:pStyle w:val="ab"/>
        <w:spacing w:after="0"/>
        <w:ind w:left="0" w:firstLine="720"/>
        <w:jc w:val="both"/>
      </w:pPr>
      <w:r w:rsidRPr="006D37E7">
        <w:t xml:space="preserve">В отчете о выполнении государственного задания Детская филармония отчиталась услугами, </w:t>
      </w:r>
      <w:r w:rsidRPr="006D37E7">
        <w:rPr>
          <w:u w:val="single"/>
        </w:rPr>
        <w:t xml:space="preserve">условия </w:t>
      </w:r>
      <w:r w:rsidRPr="006D37E7">
        <w:t>оказания которых не были предусмотрены государственным заданием учреждения, а именно:</w:t>
      </w:r>
    </w:p>
    <w:p w14:paraId="70D28644" w14:textId="77777777" w:rsidR="003C073C" w:rsidRPr="006D37E7" w:rsidRDefault="003C073C" w:rsidP="003C073C">
      <w:pPr>
        <w:ind w:firstLine="851"/>
        <w:jc w:val="both"/>
      </w:pPr>
      <w:r w:rsidRPr="006D37E7">
        <w:t xml:space="preserve">-за предоставление государственной услуги </w:t>
      </w:r>
      <w:r w:rsidR="00EA0AE8" w:rsidRPr="006D37E7">
        <w:t xml:space="preserve">по показу кукольных спектаклей </w:t>
      </w:r>
      <w:r w:rsidRPr="006D37E7">
        <w:rPr>
          <w:b/>
        </w:rPr>
        <w:t>на выезде</w:t>
      </w:r>
      <w:r w:rsidR="008643E5" w:rsidRPr="006D37E7">
        <w:t xml:space="preserve"> (предусмотрено в государственном задании </w:t>
      </w:r>
      <w:r w:rsidRPr="006D37E7">
        <w:rPr>
          <w:b/>
        </w:rPr>
        <w:t>на платной основе</w:t>
      </w:r>
      <w:r w:rsidR="008643E5" w:rsidRPr="006D37E7">
        <w:t>)</w:t>
      </w:r>
      <w:r w:rsidRPr="006D37E7">
        <w:t xml:space="preserve"> отчиталась </w:t>
      </w:r>
      <w:r w:rsidR="00EA0AE8" w:rsidRPr="006D37E7">
        <w:t xml:space="preserve">кукольными </w:t>
      </w:r>
      <w:r w:rsidRPr="006D37E7">
        <w:t>спектаклями, которые были показаны на выезде бесплатно (10 ед.), на стационаре платно (10 ед.), на гастролях платно (3 ед.);</w:t>
      </w:r>
    </w:p>
    <w:p w14:paraId="5775D923" w14:textId="77777777" w:rsidR="003C073C" w:rsidRPr="006D37E7" w:rsidRDefault="003C073C" w:rsidP="003C073C">
      <w:pPr>
        <w:ind w:firstLine="851"/>
        <w:jc w:val="both"/>
      </w:pPr>
      <w:r w:rsidRPr="006D37E7">
        <w:t xml:space="preserve">-за предоставление государственной услуги </w:t>
      </w:r>
      <w:r w:rsidR="00EA0AE8" w:rsidRPr="006D37E7">
        <w:t xml:space="preserve">по показу спектаклей </w:t>
      </w:r>
      <w:r w:rsidRPr="006D37E7">
        <w:rPr>
          <w:b/>
        </w:rPr>
        <w:t>на стационаре</w:t>
      </w:r>
      <w:r w:rsidR="008643E5" w:rsidRPr="006D37E7">
        <w:t xml:space="preserve"> (предусмотрено в государственном задании </w:t>
      </w:r>
      <w:r w:rsidRPr="006D37E7">
        <w:rPr>
          <w:b/>
        </w:rPr>
        <w:t>бесплатно</w:t>
      </w:r>
      <w:r w:rsidR="008643E5" w:rsidRPr="006D37E7">
        <w:t>)</w:t>
      </w:r>
      <w:r w:rsidRPr="006D37E7">
        <w:t>, отчитал</w:t>
      </w:r>
      <w:r w:rsidR="00EA0AE8" w:rsidRPr="006D37E7">
        <w:t>а</w:t>
      </w:r>
      <w:r w:rsidRPr="006D37E7">
        <w:t>сь спектаклями, которые были показаны на выезде</w:t>
      </w:r>
      <w:r w:rsidR="00314B39" w:rsidRPr="006D37E7">
        <w:t xml:space="preserve"> как бесплатно, так и за плату</w:t>
      </w:r>
      <w:r w:rsidRPr="006D37E7">
        <w:t>.</w:t>
      </w:r>
    </w:p>
    <w:p w14:paraId="5F17E60F" w14:textId="77777777" w:rsidR="00D47FA0" w:rsidRPr="006D37E7" w:rsidRDefault="00D47FA0" w:rsidP="00D47FA0">
      <w:pPr>
        <w:ind w:firstLine="851"/>
        <w:jc w:val="both"/>
      </w:pPr>
      <w:r w:rsidRPr="006D37E7">
        <w:t xml:space="preserve">В соответствии с п.4.3.5.2. </w:t>
      </w:r>
      <w:r w:rsidR="006354A2" w:rsidRPr="006D37E7">
        <w:t>с</w:t>
      </w:r>
      <w:r w:rsidRPr="006D37E7">
        <w:t xml:space="preserve">оглашения, одним из условий предоставления субсидии является своевременное информирование Комитета об изменениях </w:t>
      </w:r>
      <w:r w:rsidRPr="006D37E7">
        <w:rPr>
          <w:b/>
          <w:i/>
        </w:rPr>
        <w:t>условий</w:t>
      </w:r>
      <w:r w:rsidRPr="006D37E7">
        <w:t xml:space="preserve"> оказания государственных услуг (выполнения работ), которые могут повлиять на изменение размера </w:t>
      </w:r>
      <w:r w:rsidRPr="006D37E7">
        <w:lastRenderedPageBreak/>
        <w:t>субсидии</w:t>
      </w:r>
      <w:r w:rsidR="008643E5" w:rsidRPr="006D37E7">
        <w:t>, так как утверждены различные нормативные затраты на их оказание (выезд, стационар, гастроли, платно, бесплатно)</w:t>
      </w:r>
      <w:r w:rsidRPr="006D37E7">
        <w:t xml:space="preserve">. По информации Комитета в 2018 году </w:t>
      </w:r>
      <w:r w:rsidR="00EA0AE8" w:rsidRPr="006D37E7">
        <w:t>Детской филармонией</w:t>
      </w:r>
      <w:r w:rsidRPr="006D37E7">
        <w:t xml:space="preserve"> было направлено 3 письма о включении в государственное задание </w:t>
      </w:r>
      <w:r w:rsidRPr="006D37E7">
        <w:rPr>
          <w:u w:val="single"/>
        </w:rPr>
        <w:t>2-х бесплатных спектаклей</w:t>
      </w:r>
      <w:r w:rsidRPr="006D37E7">
        <w:t xml:space="preserve"> малой формы на стационаре и 34 бесплатных концертов танцевально-хореографического коллектива на выезде, которые были учтены Комитетом при внесении изменений в государственное задание. Информация о показе ГБУК «ВОДФ» 10 кукольных спектаклей платно на стационаре, 10 кукольных спектаклей </w:t>
      </w:r>
      <w:r w:rsidRPr="006D37E7">
        <w:rPr>
          <w:i/>
        </w:rPr>
        <w:t>бесплатно на выезде</w:t>
      </w:r>
      <w:r w:rsidRPr="006D37E7">
        <w:t xml:space="preserve">, 3 кукольных спектаклей платно на гастролях, 3 спектаклей малой формы на выезде за счет средств субсидии на финансовое обеспечение государственного задания своевременно в Комитет не направлялась, что является нарушением п.4.3.5.2. </w:t>
      </w:r>
      <w:r w:rsidR="006354A2" w:rsidRPr="006D37E7">
        <w:t>с</w:t>
      </w:r>
      <w:r w:rsidRPr="006D37E7">
        <w:t>оглашения.</w:t>
      </w:r>
    </w:p>
    <w:p w14:paraId="32E1BF31" w14:textId="77777777" w:rsidR="00D47FA0" w:rsidRPr="006D37E7" w:rsidRDefault="006354A2" w:rsidP="00D47FA0">
      <w:pPr>
        <w:ind w:firstLine="851"/>
        <w:jc w:val="both"/>
      </w:pPr>
      <w:r w:rsidRPr="006D37E7">
        <w:t>Ф</w:t>
      </w:r>
      <w:r w:rsidR="00D47FA0" w:rsidRPr="006D37E7">
        <w:t xml:space="preserve">актически государственное задание по показу 10 </w:t>
      </w:r>
      <w:r w:rsidR="00855196" w:rsidRPr="006D37E7">
        <w:t>к</w:t>
      </w:r>
      <w:r w:rsidR="00D47FA0" w:rsidRPr="006D37E7">
        <w:t>укольных спектаклей (малая форма) на выезде на платной основе и 1 спектакля (малая форма) на стационаре</w:t>
      </w:r>
      <w:r w:rsidR="008643E5" w:rsidRPr="006D37E7">
        <w:t xml:space="preserve"> (</w:t>
      </w:r>
      <w:r w:rsidR="00D47FA0" w:rsidRPr="006D37E7">
        <w:t>бесплатно</w:t>
      </w:r>
      <w:r w:rsidR="008643E5" w:rsidRPr="006D37E7">
        <w:t>)</w:t>
      </w:r>
      <w:r w:rsidR="00D47FA0" w:rsidRPr="006D37E7">
        <w:t xml:space="preserve"> учреждением не выполнено. </w:t>
      </w:r>
      <w:r w:rsidRPr="006D37E7">
        <w:t xml:space="preserve">Объем субсидии на их выполнение составляет 373,8 </w:t>
      </w:r>
      <w:proofErr w:type="gramStart"/>
      <w:r w:rsidRPr="006D37E7">
        <w:t>тыс.рублей</w:t>
      </w:r>
      <w:proofErr w:type="gramEnd"/>
      <w:r w:rsidRPr="006D37E7">
        <w:t xml:space="preserve">. </w:t>
      </w:r>
      <w:r w:rsidR="00D47FA0" w:rsidRPr="006D37E7">
        <w:t xml:space="preserve"> Невыполнение государственного задания является административным правонарушением, за которое предусмотрена ответственность статьей 15.15.5-1 Кодекса об административных правонарушениях Российской Федерации.</w:t>
      </w:r>
      <w:r w:rsidR="00EA0AE8" w:rsidRPr="006D37E7">
        <w:t xml:space="preserve"> </w:t>
      </w:r>
    </w:p>
    <w:p w14:paraId="19708A4D" w14:textId="77777777" w:rsidR="00372B45" w:rsidRPr="006D37E7" w:rsidRDefault="003C073C" w:rsidP="003C073C">
      <w:pPr>
        <w:ind w:firstLine="851"/>
        <w:jc w:val="both"/>
      </w:pPr>
      <w:r w:rsidRPr="006D37E7">
        <w:t xml:space="preserve">Кроме того, </w:t>
      </w:r>
      <w:r w:rsidR="00855196" w:rsidRPr="006D37E7">
        <w:t>Детской филармонией</w:t>
      </w:r>
      <w:r w:rsidRPr="006D37E7">
        <w:t xml:space="preserve">  была представлена статистическая форма №12-НК за 2018 год с недостоверными данными, тем самым не обеспечено соблюдение условий предоставления субсидии, установленных п.4.3.5.3. </w:t>
      </w:r>
      <w:r w:rsidR="006354A2" w:rsidRPr="006D37E7">
        <w:t>с</w:t>
      </w:r>
      <w:r w:rsidRPr="006D37E7">
        <w:t>оглашения.</w:t>
      </w:r>
      <w:r w:rsidR="006354A2" w:rsidRPr="006D37E7">
        <w:t xml:space="preserve"> </w:t>
      </w:r>
    </w:p>
    <w:p w14:paraId="0D767B1A" w14:textId="77777777" w:rsidR="003C073C" w:rsidRPr="006D37E7" w:rsidRDefault="003C073C" w:rsidP="003C073C">
      <w:pPr>
        <w:ind w:firstLine="851"/>
        <w:jc w:val="both"/>
      </w:pPr>
      <w:r w:rsidRPr="006D37E7">
        <w:t xml:space="preserve">Нарушение </w:t>
      </w:r>
      <w:r w:rsidR="00855196" w:rsidRPr="006D37E7">
        <w:t xml:space="preserve">Детской филармонией  </w:t>
      </w:r>
      <w:r w:rsidRPr="006D37E7">
        <w:t xml:space="preserve">условий предоставления субсидии (не соблюдение условий выполнения государственной услуги </w:t>
      </w:r>
      <w:r w:rsidRPr="006D37E7">
        <w:rPr>
          <w:i/>
        </w:rPr>
        <w:t>(на платной основе, на выезде, на стационаре, на гастролях)</w:t>
      </w:r>
      <w:r w:rsidRPr="006D37E7">
        <w:t xml:space="preserve"> и предоставление недостоверных данных в статистической отчетности) содержит признаки административного правонарушения, предусмотренного п.2 ст.15.15.5 Кодекса об административных правонарушениях РФ.</w:t>
      </w:r>
    </w:p>
    <w:p w14:paraId="155D40BB" w14:textId="77777777" w:rsidR="00372B45" w:rsidRPr="006D37E7" w:rsidRDefault="00372B45" w:rsidP="00372B45">
      <w:pPr>
        <w:ind w:firstLine="851"/>
        <w:jc w:val="both"/>
      </w:pPr>
      <w:r w:rsidRPr="006D37E7">
        <w:t>По вышеуказанным нарушениям составлено 2 протокола об административном правонарушении.</w:t>
      </w:r>
    </w:p>
    <w:p w14:paraId="358906D3" w14:textId="77777777" w:rsidR="003C073C" w:rsidRPr="006D37E7" w:rsidRDefault="003C073C" w:rsidP="00577F0B">
      <w:pPr>
        <w:ind w:firstLine="851"/>
        <w:jc w:val="both"/>
      </w:pPr>
      <w:r w:rsidRPr="006D37E7">
        <w:t xml:space="preserve">Отсутствие надлежащего контроля </w:t>
      </w:r>
      <w:r w:rsidR="003A0A6A" w:rsidRPr="006D37E7">
        <w:t xml:space="preserve">Комитета </w:t>
      </w:r>
      <w:r w:rsidRPr="006D37E7">
        <w:t xml:space="preserve">за соблюдением </w:t>
      </w:r>
      <w:r w:rsidR="00D47FA0" w:rsidRPr="006D37E7">
        <w:t>у</w:t>
      </w:r>
      <w:r w:rsidRPr="006D37E7">
        <w:t>словий оказания государственных услуг (место проведения спектаклей, платно или бесплатно</w:t>
      </w:r>
      <w:r w:rsidR="008643E5" w:rsidRPr="006D37E7">
        <w:t>, что отражается в статистической отчетности, представляемой в Комитет</w:t>
      </w:r>
      <w:r w:rsidRPr="006D37E7">
        <w:t xml:space="preserve">) при выполнении государственного задания фактически свидетельствует о формальном подходе к формированию нормативных затрат.  </w:t>
      </w:r>
    </w:p>
    <w:p w14:paraId="64D78BAA" w14:textId="77777777" w:rsidR="00FF3C23" w:rsidRPr="006D37E7" w:rsidRDefault="00BB5FBF" w:rsidP="00577F0B">
      <w:pPr>
        <w:autoSpaceDE w:val="0"/>
        <w:autoSpaceDN w:val="0"/>
        <w:adjustRightInd w:val="0"/>
        <w:ind w:firstLine="539"/>
        <w:jc w:val="both"/>
        <w:rPr>
          <w:rFonts w:eastAsiaTheme="minorHAnsi"/>
          <w:lang w:eastAsia="en-US"/>
        </w:rPr>
      </w:pPr>
      <w:r w:rsidRPr="006D37E7">
        <w:rPr>
          <w:b/>
        </w:rPr>
        <w:t>7.</w:t>
      </w:r>
      <w:r w:rsidRPr="006D37E7">
        <w:t xml:space="preserve"> </w:t>
      </w:r>
      <w:r w:rsidR="008D3C93" w:rsidRPr="006D37E7">
        <w:t xml:space="preserve">В соответствии с представленными копиями приказов художественного руководителя </w:t>
      </w:r>
      <w:r w:rsidR="00207EEA" w:rsidRPr="006D37E7">
        <w:t>Детской филармонии</w:t>
      </w:r>
      <w:r w:rsidR="008D3C93" w:rsidRPr="006D37E7">
        <w:t xml:space="preserve"> в 2018 году 2 государственные работы по созданию 4 спектаклей и 4 концертн</w:t>
      </w:r>
      <w:r w:rsidR="00207EEA" w:rsidRPr="006D37E7">
        <w:t xml:space="preserve">ых программ выполнены. </w:t>
      </w:r>
      <w:r w:rsidR="00FF3C23" w:rsidRPr="006D37E7">
        <w:t>Показател</w:t>
      </w:r>
      <w:r w:rsidR="0035626F" w:rsidRPr="006D37E7">
        <w:t>ем</w:t>
      </w:r>
      <w:r w:rsidR="00FF3C23" w:rsidRPr="006D37E7">
        <w:t xml:space="preserve"> качества по выполнению государственной работы является «доля новых и (или) капитально возобновленных постановок в текущем репертуаре</w:t>
      </w:r>
      <w:r w:rsidR="0035626F" w:rsidRPr="006D37E7">
        <w:t>»</w:t>
      </w:r>
      <w:r w:rsidR="00FF3C23" w:rsidRPr="006D37E7">
        <w:t>. Согласно отчету показатель качества выполнен, п</w:t>
      </w:r>
      <w:r w:rsidR="00207EEA" w:rsidRPr="006D37E7">
        <w:t>ри этом</w:t>
      </w:r>
      <w:r w:rsidR="008D3C93" w:rsidRPr="006D37E7">
        <w:t xml:space="preserve"> премьера кукольного спектакля «Девушки, это война» планировалась на 24.02.2019, но не состоялась </w:t>
      </w:r>
      <w:r w:rsidR="00372B45" w:rsidRPr="006D37E7">
        <w:t xml:space="preserve">в связи с отсутствием спроса </w:t>
      </w:r>
      <w:r w:rsidR="00372B45" w:rsidRPr="006D37E7">
        <w:rPr>
          <w:i/>
        </w:rPr>
        <w:t>(не было продано ни одного билета)</w:t>
      </w:r>
      <w:r w:rsidR="008D3C93" w:rsidRPr="006D37E7">
        <w:t>.</w:t>
      </w:r>
      <w:r w:rsidRPr="006D37E7">
        <w:t xml:space="preserve"> Таким образом, средства областного бюджета в сумме 1511,9 тыс.</w:t>
      </w:r>
      <w:r w:rsidR="00994BE4" w:rsidRPr="006D37E7">
        <w:t xml:space="preserve"> </w:t>
      </w:r>
      <w:r w:rsidRPr="006D37E7">
        <w:t>руб.</w:t>
      </w:r>
      <w:r w:rsidR="00FF3C23" w:rsidRPr="006D37E7">
        <w:t xml:space="preserve"> </w:t>
      </w:r>
      <w:r w:rsidR="00577F0B" w:rsidRPr="006D37E7">
        <w:t xml:space="preserve">(нормативные затраты на данный спектакль) </w:t>
      </w:r>
      <w:r w:rsidRPr="006D37E7">
        <w:t xml:space="preserve">использованы </w:t>
      </w:r>
      <w:r w:rsidR="00FF3C23" w:rsidRPr="006D37E7">
        <w:t>без соблюдения принципа эффективности использования бюджетных средств (ст.34 Бюджетного кодекса РФ), а именно достижения</w:t>
      </w:r>
      <w:r w:rsidR="00FF3C23" w:rsidRPr="006D37E7">
        <w:rPr>
          <w:rFonts w:eastAsiaTheme="minorHAnsi"/>
          <w:lang w:eastAsia="en-US"/>
        </w:rPr>
        <w:t xml:space="preserve"> наилучшего результата с использованием определенного бюджетом объема средств. </w:t>
      </w:r>
      <w:r w:rsidR="00577F0B" w:rsidRPr="006D37E7">
        <w:rPr>
          <w:rFonts w:eastAsiaTheme="minorHAnsi"/>
          <w:lang w:eastAsia="en-US"/>
        </w:rPr>
        <w:t>По пояснения</w:t>
      </w:r>
      <w:r w:rsidR="00372B45" w:rsidRPr="006D37E7">
        <w:rPr>
          <w:rFonts w:eastAsiaTheme="minorHAnsi"/>
          <w:lang w:eastAsia="en-US"/>
        </w:rPr>
        <w:t>м</w:t>
      </w:r>
      <w:r w:rsidR="00577F0B" w:rsidRPr="006D37E7">
        <w:rPr>
          <w:rFonts w:eastAsiaTheme="minorHAnsi"/>
          <w:lang w:eastAsia="en-US"/>
        </w:rPr>
        <w:t xml:space="preserve"> учреждения «повторная» премьера запланирована к 9 мая 2019 года.</w:t>
      </w:r>
    </w:p>
    <w:p w14:paraId="3C15EFBF" w14:textId="77777777" w:rsidR="001E7D7D" w:rsidRPr="006D37E7" w:rsidRDefault="00FF3C23" w:rsidP="00D932C0">
      <w:pPr>
        <w:autoSpaceDE w:val="0"/>
        <w:autoSpaceDN w:val="0"/>
        <w:adjustRightInd w:val="0"/>
        <w:ind w:firstLine="539"/>
        <w:jc w:val="both"/>
      </w:pPr>
      <w:r w:rsidRPr="006D37E7">
        <w:rPr>
          <w:b/>
        </w:rPr>
        <w:t xml:space="preserve">8. </w:t>
      </w:r>
      <w:r w:rsidR="00D932C0" w:rsidRPr="006D37E7">
        <w:t>Положением о секторе внутреннего финансового контроля и внутреннего финансового аудита, действовавшем до 01.11.2018, за сектором были закреплены функции по проведению проверок соответствия деятельности подведомственных бюджетных и казенных учреждений</w:t>
      </w:r>
      <w:r w:rsidR="0035626F" w:rsidRPr="006D37E7">
        <w:t>, в том числе за выполнением государственного задания</w:t>
      </w:r>
      <w:r w:rsidR="00D932C0" w:rsidRPr="006D37E7">
        <w:t xml:space="preserve">. </w:t>
      </w:r>
      <w:r w:rsidR="003A0A6A" w:rsidRPr="006D37E7">
        <w:t>С</w:t>
      </w:r>
      <w:r w:rsidR="002C73DC" w:rsidRPr="006D37E7">
        <w:t xml:space="preserve"> 01.11.2018 сектор внутреннего финансового контроля и внутреннего финансового аудита переименован в сектор </w:t>
      </w:r>
      <w:r w:rsidR="00D932C0" w:rsidRPr="006D37E7">
        <w:t>внутреннего финансового аудита, н</w:t>
      </w:r>
      <w:r w:rsidR="002C73DC" w:rsidRPr="006D37E7">
        <w:t>овым положением о секторе внутреннего финансового аудита, утвержденного председателем Комитета 01.11.2018, исполнение вышеперечисленных функций не предусмотрено.</w:t>
      </w:r>
      <w:r w:rsidR="00993D53" w:rsidRPr="006D37E7">
        <w:t xml:space="preserve"> </w:t>
      </w:r>
      <w:r w:rsidR="00D932C0" w:rsidRPr="006D37E7">
        <w:t>Л</w:t>
      </w:r>
      <w:r w:rsidR="001E7D7D" w:rsidRPr="006D37E7">
        <w:t>окальный акт о закреплении функци</w:t>
      </w:r>
      <w:r w:rsidR="00D932C0" w:rsidRPr="006D37E7">
        <w:t>й</w:t>
      </w:r>
      <w:r w:rsidR="001E7D7D" w:rsidRPr="006D37E7">
        <w:t xml:space="preserve"> контроля выполнени</w:t>
      </w:r>
      <w:r w:rsidR="00372B45" w:rsidRPr="006D37E7">
        <w:t>я</w:t>
      </w:r>
      <w:r w:rsidR="001E7D7D" w:rsidRPr="006D37E7">
        <w:t xml:space="preserve"> государственного задания </w:t>
      </w:r>
      <w:r w:rsidR="00D932C0" w:rsidRPr="006D37E7">
        <w:t xml:space="preserve">с 01.11.2018 </w:t>
      </w:r>
      <w:r w:rsidR="001E7D7D" w:rsidRPr="006D37E7">
        <w:t>за структурным</w:t>
      </w:r>
      <w:r w:rsidR="0035626F" w:rsidRPr="006D37E7">
        <w:t>и</w:t>
      </w:r>
      <w:r w:rsidR="001E7D7D" w:rsidRPr="006D37E7">
        <w:t xml:space="preserve"> подразделени</w:t>
      </w:r>
      <w:r w:rsidR="0035626F" w:rsidRPr="006D37E7">
        <w:t>ями</w:t>
      </w:r>
      <w:r w:rsidR="001E7D7D" w:rsidRPr="006D37E7">
        <w:t xml:space="preserve"> Комитета </w:t>
      </w:r>
      <w:r w:rsidR="00D932C0" w:rsidRPr="006D37E7">
        <w:t xml:space="preserve">в ходе проверки </w:t>
      </w:r>
      <w:r w:rsidR="001E7D7D" w:rsidRPr="006D37E7">
        <w:t>не представлен</w:t>
      </w:r>
      <w:r w:rsidR="008643E5" w:rsidRPr="006D37E7">
        <w:t xml:space="preserve"> (</w:t>
      </w:r>
      <w:r w:rsidR="00F95EA2" w:rsidRPr="006D37E7">
        <w:t>в связи с его отсутствием</w:t>
      </w:r>
      <w:r w:rsidR="008643E5" w:rsidRPr="006D37E7">
        <w:t>)</w:t>
      </w:r>
      <w:r w:rsidR="001E7D7D" w:rsidRPr="006D37E7">
        <w:t>.</w:t>
      </w:r>
    </w:p>
    <w:p w14:paraId="309B36F3" w14:textId="77777777" w:rsidR="00970812" w:rsidRPr="006D37E7" w:rsidRDefault="00084D19" w:rsidP="001E7D7D">
      <w:pPr>
        <w:autoSpaceDE w:val="0"/>
        <w:autoSpaceDN w:val="0"/>
        <w:adjustRightInd w:val="0"/>
        <w:spacing w:before="120" w:after="120"/>
        <w:ind w:firstLine="567"/>
        <w:jc w:val="center"/>
        <w:rPr>
          <w:b/>
        </w:rPr>
      </w:pPr>
      <w:r w:rsidRPr="006D37E7">
        <w:rPr>
          <w:b/>
        </w:rPr>
        <w:lastRenderedPageBreak/>
        <w:t>6.2.2</w:t>
      </w:r>
      <w:r w:rsidR="00A705B9" w:rsidRPr="006D37E7">
        <w:rPr>
          <w:b/>
        </w:rPr>
        <w:t xml:space="preserve">. </w:t>
      </w:r>
      <w:r w:rsidR="00970812" w:rsidRPr="006D37E7">
        <w:rPr>
          <w:b/>
        </w:rPr>
        <w:t xml:space="preserve"> Обеспечение деятельности казенных учреждений</w:t>
      </w:r>
    </w:p>
    <w:p w14:paraId="4D97C378" w14:textId="77777777" w:rsidR="00D26487" w:rsidRPr="006D37E7" w:rsidRDefault="00C81BC3" w:rsidP="00D26487">
      <w:pPr>
        <w:ind w:firstLine="708"/>
        <w:jc w:val="both"/>
      </w:pPr>
      <w:r w:rsidRPr="006D37E7">
        <w:t xml:space="preserve">В ведомственном подчинении Комитета находятся 6 казенных учреждений. </w:t>
      </w:r>
      <w:r w:rsidR="00D26487" w:rsidRPr="006D37E7">
        <w:t>Комитетом лимиты бюджетных обязательств на 2018 год для обеспечения деятельности казенных учреждений, в том числе на оплату кредиторской задолж</w:t>
      </w:r>
      <w:r w:rsidR="00CD7313" w:rsidRPr="006D37E7">
        <w:t>е</w:t>
      </w:r>
      <w:r w:rsidR="00D26487" w:rsidRPr="006D37E7">
        <w:t>нности и на исполнение судебных актов  утверждены в общей сумме 136500,7 тыс.руб., кассовые расходы составили 135504,0 тыс.руб., или 99,3% процента. Основную долю расходов составили расходы на оплату труда с начислениями 110644,3 тыс.</w:t>
      </w:r>
      <w:r w:rsidR="001E2D39" w:rsidRPr="006D37E7">
        <w:t xml:space="preserve"> </w:t>
      </w:r>
      <w:r w:rsidR="00D26487" w:rsidRPr="006D37E7">
        <w:t>руб., или 81,7 процентов.</w:t>
      </w:r>
    </w:p>
    <w:p w14:paraId="5232BF77" w14:textId="77777777" w:rsidR="00FD0040" w:rsidRPr="006D37E7" w:rsidRDefault="00C81BC3" w:rsidP="00F95EA2">
      <w:pPr>
        <w:ind w:firstLine="708"/>
        <w:jc w:val="both"/>
      </w:pPr>
      <w:r w:rsidRPr="006D37E7">
        <w:t>В соответствии с приказом Комитета от 30.12.2016 №01-20/508, начиная с 2017 года</w:t>
      </w:r>
      <w:r w:rsidR="00F95EA2" w:rsidRPr="006D37E7">
        <w:t>,</w:t>
      </w:r>
      <w:r w:rsidRPr="006D37E7">
        <w:t xml:space="preserve"> </w:t>
      </w:r>
      <w:r w:rsidR="006C7850" w:rsidRPr="006D37E7">
        <w:t>казенным учреждениям не формируется государственное задание.</w:t>
      </w:r>
      <w:r w:rsidR="00D26487" w:rsidRPr="006D37E7">
        <w:t xml:space="preserve"> </w:t>
      </w:r>
      <w:r w:rsidR="006C7850" w:rsidRPr="006D37E7">
        <w:t>В целях достижениях целевых показателей государственной программы для казенных учреждений формируются планы-задания.</w:t>
      </w:r>
      <w:r w:rsidR="00047C12" w:rsidRPr="006D37E7">
        <w:t xml:space="preserve"> </w:t>
      </w:r>
      <w:r w:rsidR="006C7850" w:rsidRPr="006D37E7">
        <w:t>Согласно отчет</w:t>
      </w:r>
      <w:r w:rsidR="00D26487" w:rsidRPr="006D37E7">
        <w:t>ам</w:t>
      </w:r>
      <w:r w:rsidR="006C7850" w:rsidRPr="006D37E7">
        <w:t xml:space="preserve"> об исполнении планов-заданий все доведенные целевые показатели выполнены.</w:t>
      </w:r>
      <w:r w:rsidR="006354A2" w:rsidRPr="006D37E7">
        <w:t xml:space="preserve"> </w:t>
      </w:r>
      <w:r w:rsidR="00CE7791" w:rsidRPr="006D37E7">
        <w:t xml:space="preserve">Выборочной проверкой расходов </w:t>
      </w:r>
      <w:r w:rsidR="00CD7313" w:rsidRPr="006D37E7">
        <w:rPr>
          <w:rFonts w:eastAsiaTheme="minorHAnsi"/>
          <w:lang w:eastAsia="en-US"/>
        </w:rPr>
        <w:t>ГКУ ВО «Государственный архив Волгоградской области</w:t>
      </w:r>
      <w:r w:rsidR="00CD7313" w:rsidRPr="006D37E7">
        <w:t>» (далее ГКУ ГАВО)</w:t>
      </w:r>
      <w:r w:rsidR="00F95EA2" w:rsidRPr="006D37E7">
        <w:t xml:space="preserve"> установлено, что в</w:t>
      </w:r>
      <w:r w:rsidR="009E7AA7" w:rsidRPr="006D37E7">
        <w:t xml:space="preserve"> соответствии с планом-заданием </w:t>
      </w:r>
      <w:r w:rsidR="00CD7313" w:rsidRPr="006D37E7">
        <w:t>ГКУ ГАВО</w:t>
      </w:r>
      <w:r w:rsidR="009E7AA7" w:rsidRPr="006D37E7">
        <w:t xml:space="preserve"> предусмотрено</w:t>
      </w:r>
      <w:r w:rsidR="00FD0040" w:rsidRPr="006D37E7">
        <w:t xml:space="preserve"> изготовление:</w:t>
      </w:r>
    </w:p>
    <w:p w14:paraId="7FE80F25" w14:textId="77777777" w:rsidR="00FD0040" w:rsidRPr="006D37E7" w:rsidRDefault="00FD0040" w:rsidP="00F95EA2">
      <w:pPr>
        <w:ind w:firstLine="708"/>
        <w:jc w:val="both"/>
      </w:pPr>
      <w:r w:rsidRPr="006D37E7">
        <w:t>-</w:t>
      </w:r>
      <w:r w:rsidR="009E7AA7" w:rsidRPr="006D37E7">
        <w:t>«Альбома, посвященного юбилею финансовых органов Волгоградской области» (разработка, издание, реконструкция, переработка)</w:t>
      </w:r>
      <w:r w:rsidRPr="006D37E7">
        <w:t>;</w:t>
      </w:r>
    </w:p>
    <w:p w14:paraId="0499F342" w14:textId="77777777" w:rsidR="009E7AA7" w:rsidRPr="006D37E7" w:rsidRDefault="00FD0040" w:rsidP="00F95EA2">
      <w:pPr>
        <w:ind w:firstLine="708"/>
        <w:jc w:val="both"/>
      </w:pPr>
      <w:r w:rsidRPr="006D37E7">
        <w:t>-</w:t>
      </w:r>
      <w:r w:rsidR="009E7AA7" w:rsidRPr="006D37E7">
        <w:t>монографии «Дорога дли</w:t>
      </w:r>
      <w:r w:rsidR="005725A5" w:rsidRPr="006D37E7">
        <w:t>н</w:t>
      </w:r>
      <w:r w:rsidR="009E7AA7" w:rsidRPr="006D37E7">
        <w:t>ною в век», посвященной юбилею финансовых органов Волгоградской области (редактирование, изготовление оригинал-макета, издание).</w:t>
      </w:r>
    </w:p>
    <w:p w14:paraId="2115E559" w14:textId="77777777" w:rsidR="00976733" w:rsidRPr="006D37E7" w:rsidRDefault="009E7AA7" w:rsidP="00F95EA2">
      <w:pPr>
        <w:ind w:firstLine="708"/>
        <w:jc w:val="both"/>
      </w:pPr>
      <w:r w:rsidRPr="006D37E7">
        <w:t>В целях изготовления «Альбома, посвященного юбилею финансовых органов Волгоградской области» заключен договор с ООО «</w:t>
      </w:r>
      <w:proofErr w:type="spellStart"/>
      <w:r w:rsidRPr="006D37E7">
        <w:t>Ориана</w:t>
      </w:r>
      <w:proofErr w:type="spellEnd"/>
      <w:r w:rsidRPr="006D37E7">
        <w:t xml:space="preserve">» на оказание услуг по изготовлению альбома </w:t>
      </w:r>
      <w:r w:rsidR="00F95EA2" w:rsidRPr="006D37E7">
        <w:t>(</w:t>
      </w:r>
      <w:r w:rsidRPr="006D37E7">
        <w:t>500 экз.</w:t>
      </w:r>
      <w:r w:rsidR="00F95EA2" w:rsidRPr="006D37E7">
        <w:t>)</w:t>
      </w:r>
      <w:r w:rsidRPr="006D37E7">
        <w:t xml:space="preserve"> на сумму 280,0 тыс. руб., альбомы </w:t>
      </w:r>
      <w:r w:rsidR="00F95EA2" w:rsidRPr="006D37E7">
        <w:t xml:space="preserve">(490 экз.) </w:t>
      </w:r>
      <w:r w:rsidR="00976733" w:rsidRPr="006D37E7">
        <w:t>в соответствии с распоряжением комитета имущества Волгоградской области (далее</w:t>
      </w:r>
      <w:r w:rsidR="00F95EA2" w:rsidRPr="006D37E7">
        <w:t xml:space="preserve"> -</w:t>
      </w:r>
      <w:r w:rsidR="00976733" w:rsidRPr="006D37E7">
        <w:t xml:space="preserve"> КУГИ) </w:t>
      </w:r>
      <w:r w:rsidR="00031807" w:rsidRPr="006D37E7">
        <w:t xml:space="preserve">переданы в оперативное управление </w:t>
      </w:r>
      <w:proofErr w:type="spellStart"/>
      <w:r w:rsidR="00031807" w:rsidRPr="006D37E7">
        <w:t>Облфину</w:t>
      </w:r>
      <w:proofErr w:type="spellEnd"/>
      <w:r w:rsidR="00031807" w:rsidRPr="006D37E7">
        <w:t xml:space="preserve"> на сумму 274,4 тыс.</w:t>
      </w:r>
      <w:r w:rsidR="00F95EA2" w:rsidRPr="006D37E7">
        <w:t xml:space="preserve"> </w:t>
      </w:r>
      <w:r w:rsidR="00031807" w:rsidRPr="006D37E7">
        <w:t>руб</w:t>
      </w:r>
      <w:r w:rsidR="00976733" w:rsidRPr="006D37E7">
        <w:t>лей.</w:t>
      </w:r>
    </w:p>
    <w:p w14:paraId="600C4DEA" w14:textId="77777777" w:rsidR="009E7AA7" w:rsidRPr="006D37E7" w:rsidRDefault="00976733" w:rsidP="00F95EA2">
      <w:pPr>
        <w:ind w:firstLine="708"/>
        <w:jc w:val="both"/>
        <w:rPr>
          <w:rFonts w:eastAsiaTheme="minorHAnsi"/>
          <w:lang w:eastAsia="en-US"/>
        </w:rPr>
      </w:pPr>
      <w:r w:rsidRPr="006D37E7">
        <w:t>В ноябре 2018 года с</w:t>
      </w:r>
      <w:r w:rsidR="009E7AA7" w:rsidRPr="006D37E7">
        <w:t xml:space="preserve">огласно пояснениям ГКУ ГАВО альбомы были возвращены </w:t>
      </w:r>
      <w:proofErr w:type="spellStart"/>
      <w:r w:rsidR="009E7AA7" w:rsidRPr="006D37E7">
        <w:t>Облфином</w:t>
      </w:r>
      <w:proofErr w:type="spellEnd"/>
      <w:r w:rsidR="009E7AA7" w:rsidRPr="006D37E7">
        <w:t xml:space="preserve"> для доработки макета обложки, модернизации внутреннего блока, печати обложки и дополнительного блока.</w:t>
      </w:r>
      <w:r w:rsidR="00031807" w:rsidRPr="006D37E7">
        <w:t xml:space="preserve"> </w:t>
      </w:r>
      <w:r w:rsidR="009E7AA7" w:rsidRPr="006D37E7">
        <w:t xml:space="preserve">В целях доработки альбома ГКУ ГАВО заключен и оплачен договор </w:t>
      </w:r>
      <w:r w:rsidR="00031807" w:rsidRPr="006D37E7">
        <w:t>на сумму 229,</w:t>
      </w:r>
      <w:r w:rsidR="00031807" w:rsidRPr="006D37E7">
        <w:rPr>
          <w:rFonts w:eastAsiaTheme="minorHAnsi"/>
          <w:lang w:eastAsia="en-US"/>
        </w:rPr>
        <w:t xml:space="preserve">0 тыс.руб. </w:t>
      </w:r>
      <w:r w:rsidR="009E7AA7" w:rsidRPr="006D37E7">
        <w:rPr>
          <w:rFonts w:eastAsiaTheme="minorHAnsi"/>
          <w:lang w:eastAsia="en-US"/>
        </w:rPr>
        <w:t>с ООО «Издательство «Волга-пресс»</w:t>
      </w:r>
      <w:r w:rsidRPr="006D37E7">
        <w:rPr>
          <w:rFonts w:eastAsiaTheme="minorHAnsi"/>
          <w:lang w:eastAsia="en-US"/>
        </w:rPr>
        <w:t>.</w:t>
      </w:r>
      <w:r w:rsidR="00F95EA2" w:rsidRPr="006D37E7">
        <w:rPr>
          <w:rFonts w:eastAsiaTheme="minorHAnsi"/>
          <w:lang w:eastAsia="en-US"/>
        </w:rPr>
        <w:t xml:space="preserve"> </w:t>
      </w:r>
      <w:r w:rsidR="00031807" w:rsidRPr="006D37E7">
        <w:rPr>
          <w:rFonts w:eastAsiaTheme="minorHAnsi"/>
          <w:lang w:eastAsia="en-US"/>
        </w:rPr>
        <w:t xml:space="preserve">В </w:t>
      </w:r>
      <w:r w:rsidR="00F95EA2" w:rsidRPr="006D37E7">
        <w:rPr>
          <w:rFonts w:eastAsiaTheme="minorHAnsi"/>
          <w:lang w:eastAsia="en-US"/>
        </w:rPr>
        <w:t>марте 2019 года альбомы (</w:t>
      </w:r>
      <w:r w:rsidR="00031807" w:rsidRPr="006D37E7">
        <w:rPr>
          <w:rFonts w:eastAsiaTheme="minorHAnsi"/>
          <w:lang w:eastAsia="en-US"/>
        </w:rPr>
        <w:t>490 экз.</w:t>
      </w:r>
      <w:r w:rsidR="00F95EA2" w:rsidRPr="006D37E7">
        <w:rPr>
          <w:rFonts w:eastAsiaTheme="minorHAnsi"/>
          <w:lang w:eastAsia="en-US"/>
        </w:rPr>
        <w:t>)</w:t>
      </w:r>
      <w:r w:rsidR="00031807" w:rsidRPr="006D37E7">
        <w:rPr>
          <w:rFonts w:eastAsiaTheme="minorHAnsi"/>
          <w:lang w:eastAsia="en-US"/>
        </w:rPr>
        <w:t xml:space="preserve"> возвращены в </w:t>
      </w:r>
      <w:proofErr w:type="spellStart"/>
      <w:r w:rsidR="00031807" w:rsidRPr="006D37E7">
        <w:rPr>
          <w:rFonts w:eastAsiaTheme="minorHAnsi"/>
          <w:lang w:eastAsia="en-US"/>
        </w:rPr>
        <w:t>Облфин</w:t>
      </w:r>
      <w:proofErr w:type="spellEnd"/>
      <w:r w:rsidR="00031807" w:rsidRPr="006D37E7">
        <w:rPr>
          <w:rFonts w:eastAsiaTheme="minorHAnsi"/>
          <w:lang w:eastAsia="en-US"/>
        </w:rPr>
        <w:t xml:space="preserve"> </w:t>
      </w:r>
      <w:r w:rsidR="00F95EA2" w:rsidRPr="006D37E7">
        <w:rPr>
          <w:rFonts w:eastAsiaTheme="minorHAnsi"/>
          <w:lang w:eastAsia="en-US"/>
        </w:rPr>
        <w:t>на сумму 274,4 тыс.</w:t>
      </w:r>
      <w:r w:rsidR="001E2D39" w:rsidRPr="006D37E7">
        <w:rPr>
          <w:rFonts w:eastAsiaTheme="minorHAnsi"/>
          <w:lang w:eastAsia="en-US"/>
        </w:rPr>
        <w:t xml:space="preserve"> </w:t>
      </w:r>
      <w:r w:rsidR="00F95EA2" w:rsidRPr="006D37E7">
        <w:rPr>
          <w:rFonts w:eastAsiaTheme="minorHAnsi"/>
          <w:lang w:eastAsia="en-US"/>
        </w:rPr>
        <w:t xml:space="preserve">руб., т.е. </w:t>
      </w:r>
      <w:r w:rsidR="00031807" w:rsidRPr="006D37E7">
        <w:rPr>
          <w:rFonts w:eastAsiaTheme="minorHAnsi"/>
          <w:lang w:eastAsia="en-US"/>
        </w:rPr>
        <w:t>без увеличения стоимости материальных запасов</w:t>
      </w:r>
      <w:r w:rsidRPr="006D37E7">
        <w:rPr>
          <w:rFonts w:eastAsiaTheme="minorHAnsi"/>
          <w:lang w:eastAsia="en-US"/>
        </w:rPr>
        <w:t xml:space="preserve"> на сумму 229,0 тыс.</w:t>
      </w:r>
      <w:r w:rsidR="001E2D39" w:rsidRPr="006D37E7">
        <w:rPr>
          <w:rFonts w:eastAsiaTheme="minorHAnsi"/>
          <w:lang w:eastAsia="en-US"/>
        </w:rPr>
        <w:t xml:space="preserve"> </w:t>
      </w:r>
      <w:r w:rsidRPr="006D37E7">
        <w:rPr>
          <w:rFonts w:eastAsiaTheme="minorHAnsi"/>
          <w:lang w:eastAsia="en-US"/>
        </w:rPr>
        <w:t>рублей.</w:t>
      </w:r>
      <w:r w:rsidR="00031807" w:rsidRPr="006D37E7">
        <w:rPr>
          <w:rFonts w:eastAsiaTheme="minorHAnsi"/>
          <w:lang w:eastAsia="en-US"/>
        </w:rPr>
        <w:t xml:space="preserve"> </w:t>
      </w:r>
      <w:r w:rsidR="00F95EA2" w:rsidRPr="006D37E7">
        <w:rPr>
          <w:rFonts w:eastAsiaTheme="minorHAnsi"/>
          <w:lang w:eastAsia="en-US"/>
        </w:rPr>
        <w:t>В</w:t>
      </w:r>
      <w:r w:rsidR="00031807" w:rsidRPr="006D37E7">
        <w:rPr>
          <w:rFonts w:eastAsiaTheme="minorHAnsi"/>
          <w:lang w:eastAsia="en-US"/>
        </w:rPr>
        <w:t xml:space="preserve"> нарушение п.</w:t>
      </w:r>
      <w:r w:rsidR="00C9177E" w:rsidRPr="006D37E7">
        <w:rPr>
          <w:rFonts w:eastAsiaTheme="minorHAnsi"/>
          <w:lang w:eastAsia="en-US"/>
        </w:rPr>
        <w:t>п.</w:t>
      </w:r>
      <w:r w:rsidR="00031807" w:rsidRPr="006D37E7">
        <w:rPr>
          <w:rFonts w:eastAsiaTheme="minorHAnsi"/>
          <w:lang w:eastAsia="en-US"/>
        </w:rPr>
        <w:t xml:space="preserve"> </w:t>
      </w:r>
      <w:r w:rsidR="00C9177E" w:rsidRPr="006D37E7">
        <w:rPr>
          <w:rFonts w:eastAsiaTheme="minorHAnsi"/>
          <w:lang w:eastAsia="en-US"/>
        </w:rPr>
        <w:t xml:space="preserve">102, 107 </w:t>
      </w:r>
      <w:r w:rsidR="00064DB2" w:rsidRPr="006D37E7">
        <w:t xml:space="preserve">Инструкции по применению единого плана счетов бухгалтерского учета..., утвержденной приказом Министерства финансов РФ от 01.12.2010 №157н (далее Приказ №157н) </w:t>
      </w:r>
      <w:r w:rsidR="00031807" w:rsidRPr="006D37E7">
        <w:rPr>
          <w:rFonts w:eastAsiaTheme="minorHAnsi"/>
          <w:lang w:eastAsia="en-US"/>
        </w:rPr>
        <w:t>расходы на выполнение переплетных работ в сумме 229,0 тыс.руб. не отнесены на увеличение стоимости материальных запасов, а списаны на расходы ГКУ ГАВО</w:t>
      </w:r>
      <w:r w:rsidR="00C9177E" w:rsidRPr="006D37E7">
        <w:rPr>
          <w:rFonts w:eastAsiaTheme="minorHAnsi"/>
          <w:lang w:eastAsia="en-US"/>
        </w:rPr>
        <w:t xml:space="preserve">. Фактически </w:t>
      </w:r>
      <w:r w:rsidR="00B90A3A" w:rsidRPr="006D37E7">
        <w:rPr>
          <w:rFonts w:eastAsiaTheme="minorHAnsi"/>
          <w:lang w:eastAsia="en-US"/>
        </w:rPr>
        <w:t>учреждением осуществлены расходы на имущество, находящ</w:t>
      </w:r>
      <w:r w:rsidR="00707E17" w:rsidRPr="006D37E7">
        <w:rPr>
          <w:rFonts w:eastAsiaTheme="minorHAnsi"/>
          <w:lang w:eastAsia="en-US"/>
        </w:rPr>
        <w:t>е</w:t>
      </w:r>
      <w:r w:rsidR="00B90A3A" w:rsidRPr="006D37E7">
        <w:rPr>
          <w:rFonts w:eastAsiaTheme="minorHAnsi"/>
          <w:lang w:eastAsia="en-US"/>
        </w:rPr>
        <w:t xml:space="preserve">еся в оперативном управлении </w:t>
      </w:r>
      <w:proofErr w:type="spellStart"/>
      <w:r w:rsidR="00B90A3A" w:rsidRPr="006D37E7">
        <w:rPr>
          <w:rFonts w:eastAsiaTheme="minorHAnsi"/>
          <w:lang w:eastAsia="en-US"/>
        </w:rPr>
        <w:t>Облфина</w:t>
      </w:r>
      <w:proofErr w:type="spellEnd"/>
      <w:r w:rsidR="00C9177E" w:rsidRPr="006D37E7">
        <w:rPr>
          <w:rFonts w:eastAsiaTheme="minorHAnsi"/>
          <w:lang w:eastAsia="en-US"/>
        </w:rPr>
        <w:t xml:space="preserve">. </w:t>
      </w:r>
      <w:r w:rsidR="009E7AA7" w:rsidRPr="006D37E7">
        <w:rPr>
          <w:rFonts w:eastAsiaTheme="minorHAnsi"/>
          <w:lang w:eastAsia="en-US"/>
        </w:rPr>
        <w:t xml:space="preserve"> </w:t>
      </w:r>
    </w:p>
    <w:p w14:paraId="5315E7E4" w14:textId="77777777" w:rsidR="00707E17" w:rsidRPr="006D37E7" w:rsidRDefault="009E7AA7" w:rsidP="00F95EA2">
      <w:pPr>
        <w:pStyle w:val="ConsPlusNormal"/>
        <w:ind w:firstLine="708"/>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В целях изготовления монографии «Дорога дли</w:t>
      </w:r>
      <w:r w:rsidR="005725A5" w:rsidRPr="006D37E7">
        <w:rPr>
          <w:rFonts w:ascii="Times New Roman" w:eastAsiaTheme="minorHAnsi" w:hAnsi="Times New Roman" w:cs="Times New Roman"/>
          <w:sz w:val="24"/>
          <w:szCs w:val="24"/>
          <w:lang w:eastAsia="en-US"/>
        </w:rPr>
        <w:t>н</w:t>
      </w:r>
      <w:r w:rsidRPr="006D37E7">
        <w:rPr>
          <w:rFonts w:ascii="Times New Roman" w:eastAsiaTheme="minorHAnsi" w:hAnsi="Times New Roman" w:cs="Times New Roman"/>
          <w:sz w:val="24"/>
          <w:szCs w:val="24"/>
          <w:lang w:eastAsia="en-US"/>
        </w:rPr>
        <w:t xml:space="preserve">ною в век» заключены и оплачены </w:t>
      </w:r>
      <w:r w:rsidR="00976733" w:rsidRPr="006D37E7">
        <w:rPr>
          <w:rFonts w:ascii="Times New Roman" w:eastAsiaTheme="minorHAnsi" w:hAnsi="Times New Roman" w:cs="Times New Roman"/>
          <w:sz w:val="24"/>
          <w:szCs w:val="24"/>
          <w:lang w:eastAsia="en-US"/>
        </w:rPr>
        <w:t>2</w:t>
      </w:r>
      <w:r w:rsidRPr="006D37E7">
        <w:rPr>
          <w:rFonts w:ascii="Times New Roman" w:eastAsiaTheme="minorHAnsi" w:hAnsi="Times New Roman" w:cs="Times New Roman"/>
          <w:sz w:val="24"/>
          <w:szCs w:val="24"/>
          <w:lang w:eastAsia="en-US"/>
        </w:rPr>
        <w:t xml:space="preserve"> договор</w:t>
      </w:r>
      <w:r w:rsidR="00976733" w:rsidRPr="006D37E7">
        <w:rPr>
          <w:rFonts w:ascii="Times New Roman" w:eastAsiaTheme="minorHAnsi" w:hAnsi="Times New Roman" w:cs="Times New Roman"/>
          <w:sz w:val="24"/>
          <w:szCs w:val="24"/>
          <w:lang w:eastAsia="en-US"/>
        </w:rPr>
        <w:t>а на общую сумму 330,0 тыс.</w:t>
      </w:r>
      <w:r w:rsidR="00F95EA2" w:rsidRPr="006D37E7">
        <w:rPr>
          <w:rFonts w:ascii="Times New Roman" w:eastAsiaTheme="minorHAnsi" w:hAnsi="Times New Roman" w:cs="Times New Roman"/>
          <w:sz w:val="24"/>
          <w:szCs w:val="24"/>
          <w:lang w:eastAsia="en-US"/>
        </w:rPr>
        <w:t xml:space="preserve"> </w:t>
      </w:r>
      <w:r w:rsidR="00976733" w:rsidRPr="006D37E7">
        <w:rPr>
          <w:rFonts w:ascii="Times New Roman" w:eastAsiaTheme="minorHAnsi" w:hAnsi="Times New Roman" w:cs="Times New Roman"/>
          <w:sz w:val="24"/>
          <w:szCs w:val="24"/>
          <w:lang w:eastAsia="en-US"/>
        </w:rPr>
        <w:t xml:space="preserve">рублей. </w:t>
      </w:r>
      <w:r w:rsidRPr="006D37E7">
        <w:rPr>
          <w:rFonts w:ascii="Times New Roman" w:eastAsiaTheme="minorHAnsi" w:hAnsi="Times New Roman" w:cs="Times New Roman"/>
          <w:sz w:val="24"/>
          <w:szCs w:val="24"/>
          <w:lang w:eastAsia="en-US"/>
        </w:rPr>
        <w:t xml:space="preserve">По состоянию на 05.04.2019 книги </w:t>
      </w:r>
      <w:r w:rsidR="00314B39" w:rsidRPr="006D37E7">
        <w:rPr>
          <w:rFonts w:ascii="Times New Roman" w:eastAsiaTheme="minorHAnsi" w:hAnsi="Times New Roman" w:cs="Times New Roman"/>
          <w:sz w:val="24"/>
          <w:szCs w:val="24"/>
          <w:lang w:eastAsia="en-US"/>
        </w:rPr>
        <w:t xml:space="preserve">500 экз. </w:t>
      </w:r>
      <w:r w:rsidR="00976733" w:rsidRPr="006D37E7">
        <w:rPr>
          <w:rFonts w:ascii="Times New Roman" w:eastAsiaTheme="minorHAnsi" w:hAnsi="Times New Roman" w:cs="Times New Roman"/>
          <w:sz w:val="24"/>
          <w:szCs w:val="24"/>
          <w:lang w:eastAsia="en-US"/>
        </w:rPr>
        <w:t>числятся по данным бюджетного учета ГКУ ГАВО. О</w:t>
      </w:r>
      <w:r w:rsidRPr="006D37E7">
        <w:rPr>
          <w:rFonts w:ascii="Times New Roman" w:eastAsiaTheme="minorHAnsi" w:hAnsi="Times New Roman" w:cs="Times New Roman"/>
          <w:sz w:val="24"/>
          <w:szCs w:val="24"/>
          <w:lang w:eastAsia="en-US"/>
        </w:rPr>
        <w:t xml:space="preserve">бращение ГКУ ГАВО в КУГИ </w:t>
      </w:r>
      <w:r w:rsidR="00976733" w:rsidRPr="006D37E7">
        <w:rPr>
          <w:rFonts w:ascii="Times New Roman" w:eastAsiaTheme="minorHAnsi" w:hAnsi="Times New Roman" w:cs="Times New Roman"/>
          <w:sz w:val="24"/>
          <w:szCs w:val="24"/>
          <w:lang w:eastAsia="en-US"/>
        </w:rPr>
        <w:t>«</w:t>
      </w:r>
      <w:r w:rsidRPr="006D37E7">
        <w:rPr>
          <w:rFonts w:ascii="Times New Roman" w:eastAsiaTheme="minorHAnsi" w:hAnsi="Times New Roman" w:cs="Times New Roman"/>
          <w:i/>
          <w:sz w:val="24"/>
          <w:szCs w:val="24"/>
          <w:lang w:eastAsia="en-US"/>
        </w:rPr>
        <w:t>об изъятии излишнего имущества</w:t>
      </w:r>
      <w:r w:rsidR="00976733" w:rsidRPr="006D37E7">
        <w:rPr>
          <w:rFonts w:ascii="Times New Roman" w:eastAsiaTheme="minorHAnsi" w:hAnsi="Times New Roman" w:cs="Times New Roman"/>
          <w:i/>
          <w:sz w:val="24"/>
          <w:szCs w:val="24"/>
          <w:lang w:eastAsia="en-US"/>
        </w:rPr>
        <w:t>»</w:t>
      </w:r>
      <w:r w:rsidRPr="006D37E7">
        <w:rPr>
          <w:rFonts w:ascii="Times New Roman" w:eastAsiaTheme="minorHAnsi" w:hAnsi="Times New Roman" w:cs="Times New Roman"/>
          <w:sz w:val="24"/>
          <w:szCs w:val="24"/>
          <w:lang w:eastAsia="en-US"/>
        </w:rPr>
        <w:t xml:space="preserve"> направлено</w:t>
      </w:r>
      <w:r w:rsidR="00976733" w:rsidRPr="006D37E7">
        <w:rPr>
          <w:rFonts w:ascii="Times New Roman" w:eastAsiaTheme="minorHAnsi" w:hAnsi="Times New Roman" w:cs="Times New Roman"/>
          <w:sz w:val="24"/>
          <w:szCs w:val="24"/>
          <w:lang w:eastAsia="en-US"/>
        </w:rPr>
        <w:t xml:space="preserve"> в ходе проверки (</w:t>
      </w:r>
      <w:r w:rsidRPr="006D37E7">
        <w:rPr>
          <w:rFonts w:ascii="Times New Roman" w:eastAsiaTheme="minorHAnsi" w:hAnsi="Times New Roman" w:cs="Times New Roman"/>
          <w:sz w:val="24"/>
          <w:szCs w:val="24"/>
          <w:lang w:eastAsia="en-US"/>
        </w:rPr>
        <w:t>письмо от 18.03.2019 301-07/164</w:t>
      </w:r>
      <w:r w:rsidR="00976733" w:rsidRPr="006D37E7">
        <w:rPr>
          <w:rFonts w:ascii="Times New Roman" w:eastAsiaTheme="minorHAnsi" w:hAnsi="Times New Roman" w:cs="Times New Roman"/>
          <w:sz w:val="24"/>
          <w:szCs w:val="24"/>
          <w:lang w:eastAsia="en-US"/>
        </w:rPr>
        <w:t>)</w:t>
      </w:r>
      <w:r w:rsidRPr="006D37E7">
        <w:rPr>
          <w:rFonts w:ascii="Times New Roman" w:eastAsiaTheme="minorHAnsi" w:hAnsi="Times New Roman" w:cs="Times New Roman"/>
          <w:sz w:val="24"/>
          <w:szCs w:val="24"/>
          <w:lang w:eastAsia="en-US"/>
        </w:rPr>
        <w:t>.</w:t>
      </w:r>
      <w:r w:rsidR="00976733" w:rsidRPr="006D37E7">
        <w:rPr>
          <w:rFonts w:ascii="Times New Roman" w:eastAsiaTheme="minorHAnsi" w:hAnsi="Times New Roman" w:cs="Times New Roman"/>
          <w:sz w:val="24"/>
          <w:szCs w:val="24"/>
          <w:lang w:eastAsia="en-US"/>
        </w:rPr>
        <w:t xml:space="preserve"> </w:t>
      </w:r>
    </w:p>
    <w:p w14:paraId="0A6E0686" w14:textId="77777777" w:rsidR="00C9177E" w:rsidRPr="006D37E7" w:rsidRDefault="00C9177E" w:rsidP="00F95EA2">
      <w:pPr>
        <w:pStyle w:val="ConsPlusNormal"/>
        <w:ind w:firstLine="708"/>
        <w:jc w:val="both"/>
        <w:rPr>
          <w:rFonts w:ascii="Times New Roman" w:eastAsiaTheme="minorHAnsi" w:hAnsi="Times New Roman" w:cs="Times New Roman"/>
          <w:sz w:val="24"/>
          <w:szCs w:val="24"/>
          <w:lang w:eastAsia="en-US"/>
        </w:rPr>
      </w:pPr>
      <w:r w:rsidRPr="006D37E7">
        <w:rPr>
          <w:rFonts w:ascii="Times New Roman" w:eastAsiaTheme="minorHAnsi" w:hAnsi="Times New Roman" w:cs="Times New Roman"/>
          <w:sz w:val="24"/>
          <w:szCs w:val="24"/>
          <w:lang w:eastAsia="en-US"/>
        </w:rPr>
        <w:t xml:space="preserve">Фактически учреждением не обеспечены </w:t>
      </w:r>
      <w:r w:rsidR="00207EEA" w:rsidRPr="006D37E7">
        <w:rPr>
          <w:rFonts w:ascii="Times New Roman" w:eastAsiaTheme="minorHAnsi" w:hAnsi="Times New Roman" w:cs="Times New Roman"/>
          <w:sz w:val="24"/>
          <w:szCs w:val="24"/>
          <w:lang w:eastAsia="en-US"/>
        </w:rPr>
        <w:t xml:space="preserve">установленные ст.162 Бюджетного кодекса РФ </w:t>
      </w:r>
      <w:r w:rsidRPr="006D37E7">
        <w:rPr>
          <w:rFonts w:ascii="Times New Roman" w:eastAsiaTheme="minorHAnsi" w:hAnsi="Times New Roman" w:cs="Times New Roman"/>
          <w:sz w:val="24"/>
          <w:szCs w:val="24"/>
          <w:lang w:eastAsia="en-US"/>
        </w:rPr>
        <w:t>бюджетные полномочия получателя бюджетных средств в части обеспечения результативности использования предусмотренных ему бюджетных ассигнований</w:t>
      </w:r>
      <w:r w:rsidR="007F23A6" w:rsidRPr="006D37E7">
        <w:rPr>
          <w:rFonts w:ascii="Times New Roman" w:eastAsiaTheme="minorHAnsi" w:hAnsi="Times New Roman" w:cs="Times New Roman"/>
          <w:sz w:val="24"/>
          <w:szCs w:val="24"/>
          <w:lang w:eastAsia="en-US"/>
        </w:rPr>
        <w:t xml:space="preserve"> в сумме </w:t>
      </w:r>
      <w:r w:rsidR="00707E17" w:rsidRPr="006D37E7">
        <w:rPr>
          <w:rFonts w:ascii="Times New Roman" w:eastAsiaTheme="minorHAnsi" w:hAnsi="Times New Roman" w:cs="Times New Roman"/>
          <w:sz w:val="24"/>
          <w:szCs w:val="24"/>
          <w:lang w:eastAsia="en-US"/>
        </w:rPr>
        <w:t>559,0</w:t>
      </w:r>
      <w:r w:rsidR="007F23A6" w:rsidRPr="006D37E7">
        <w:rPr>
          <w:rFonts w:ascii="Times New Roman" w:eastAsiaTheme="minorHAnsi" w:hAnsi="Times New Roman" w:cs="Times New Roman"/>
          <w:sz w:val="24"/>
          <w:szCs w:val="24"/>
          <w:lang w:eastAsia="en-US"/>
        </w:rPr>
        <w:t xml:space="preserve"> тыс.</w:t>
      </w:r>
      <w:r w:rsidR="00F95EA2" w:rsidRPr="006D37E7">
        <w:rPr>
          <w:rFonts w:ascii="Times New Roman" w:eastAsiaTheme="minorHAnsi" w:hAnsi="Times New Roman" w:cs="Times New Roman"/>
          <w:sz w:val="24"/>
          <w:szCs w:val="24"/>
          <w:lang w:eastAsia="en-US"/>
        </w:rPr>
        <w:t xml:space="preserve"> </w:t>
      </w:r>
      <w:r w:rsidR="007F23A6" w:rsidRPr="006D37E7">
        <w:rPr>
          <w:rFonts w:ascii="Times New Roman" w:eastAsiaTheme="minorHAnsi" w:hAnsi="Times New Roman" w:cs="Times New Roman"/>
          <w:sz w:val="24"/>
          <w:szCs w:val="24"/>
          <w:lang w:eastAsia="en-US"/>
        </w:rPr>
        <w:t>руб</w:t>
      </w:r>
      <w:r w:rsidR="00707E17" w:rsidRPr="006D37E7">
        <w:rPr>
          <w:rFonts w:ascii="Times New Roman" w:eastAsiaTheme="minorHAnsi" w:hAnsi="Times New Roman" w:cs="Times New Roman"/>
          <w:sz w:val="24"/>
          <w:szCs w:val="24"/>
          <w:lang w:eastAsia="en-US"/>
        </w:rPr>
        <w:t xml:space="preserve">., что </w:t>
      </w:r>
      <w:r w:rsidR="00F44750" w:rsidRPr="006D37E7">
        <w:rPr>
          <w:rFonts w:ascii="Times New Roman" w:eastAsiaTheme="minorHAnsi" w:hAnsi="Times New Roman" w:cs="Times New Roman"/>
          <w:sz w:val="24"/>
          <w:szCs w:val="24"/>
          <w:lang w:eastAsia="en-US"/>
        </w:rPr>
        <w:t>привело к</w:t>
      </w:r>
      <w:r w:rsidR="00707E17" w:rsidRPr="006D37E7">
        <w:rPr>
          <w:rFonts w:ascii="Times New Roman" w:eastAsiaTheme="minorHAnsi" w:hAnsi="Times New Roman" w:cs="Times New Roman"/>
          <w:sz w:val="24"/>
          <w:szCs w:val="24"/>
          <w:lang w:eastAsia="en-US"/>
        </w:rPr>
        <w:t xml:space="preserve"> неэффективн</w:t>
      </w:r>
      <w:r w:rsidR="00F44750" w:rsidRPr="006D37E7">
        <w:rPr>
          <w:rFonts w:ascii="Times New Roman" w:eastAsiaTheme="minorHAnsi" w:hAnsi="Times New Roman" w:cs="Times New Roman"/>
          <w:sz w:val="24"/>
          <w:szCs w:val="24"/>
          <w:lang w:eastAsia="en-US"/>
        </w:rPr>
        <w:t>ому</w:t>
      </w:r>
      <w:r w:rsidR="00707E17" w:rsidRPr="006D37E7">
        <w:rPr>
          <w:rFonts w:ascii="Times New Roman" w:eastAsiaTheme="minorHAnsi" w:hAnsi="Times New Roman" w:cs="Times New Roman"/>
          <w:sz w:val="24"/>
          <w:szCs w:val="24"/>
          <w:lang w:eastAsia="en-US"/>
        </w:rPr>
        <w:t xml:space="preserve"> использовани</w:t>
      </w:r>
      <w:r w:rsidR="00F44750" w:rsidRPr="006D37E7">
        <w:rPr>
          <w:rFonts w:ascii="Times New Roman" w:eastAsiaTheme="minorHAnsi" w:hAnsi="Times New Roman" w:cs="Times New Roman"/>
          <w:sz w:val="24"/>
          <w:szCs w:val="24"/>
          <w:lang w:eastAsia="en-US"/>
        </w:rPr>
        <w:t>ю</w:t>
      </w:r>
      <w:r w:rsidR="00707E17" w:rsidRPr="006D37E7">
        <w:rPr>
          <w:rFonts w:ascii="Times New Roman" w:eastAsiaTheme="minorHAnsi" w:hAnsi="Times New Roman" w:cs="Times New Roman"/>
          <w:sz w:val="24"/>
          <w:szCs w:val="24"/>
          <w:lang w:eastAsia="en-US"/>
        </w:rPr>
        <w:t xml:space="preserve"> средств областного бюджета.</w:t>
      </w:r>
    </w:p>
    <w:p w14:paraId="39FCFD59" w14:textId="77777777" w:rsidR="00970812" w:rsidRPr="006D37E7" w:rsidRDefault="00976733" w:rsidP="005978EF">
      <w:pPr>
        <w:spacing w:before="120" w:after="120"/>
        <w:ind w:firstLine="709"/>
        <w:jc w:val="center"/>
        <w:rPr>
          <w:b/>
        </w:rPr>
      </w:pPr>
      <w:r w:rsidRPr="006D37E7">
        <w:rPr>
          <w:b/>
        </w:rPr>
        <w:t>6.2.3</w:t>
      </w:r>
      <w:r w:rsidR="00A705B9" w:rsidRPr="006D37E7">
        <w:rPr>
          <w:b/>
        </w:rPr>
        <w:t xml:space="preserve">. </w:t>
      </w:r>
      <w:r w:rsidR="00970812" w:rsidRPr="006D37E7">
        <w:rPr>
          <w:b/>
        </w:rPr>
        <w:t xml:space="preserve"> Предоставление субсидий на иные цели </w:t>
      </w:r>
    </w:p>
    <w:p w14:paraId="399021CA" w14:textId="77777777" w:rsidR="00A72F30" w:rsidRPr="006D37E7" w:rsidRDefault="00D26487" w:rsidP="008924C6">
      <w:pPr>
        <w:ind w:firstLine="851"/>
        <w:jc w:val="both"/>
      </w:pPr>
      <w:r w:rsidRPr="006D37E7">
        <w:t>Комитетом в 2018 году были заключены соглашения о предоставлении субсидии</w:t>
      </w:r>
      <w:r w:rsidR="008643E5" w:rsidRPr="006D37E7">
        <w:t xml:space="preserve"> подведомственным бюджетным и автономным учреждениям </w:t>
      </w:r>
      <w:r w:rsidRPr="006D37E7">
        <w:t xml:space="preserve"> на иные цели </w:t>
      </w:r>
      <w:r w:rsidR="00180F43" w:rsidRPr="006D37E7">
        <w:t xml:space="preserve">в рамках реализации мероприятий ГП Развитие культуры и туризма </w:t>
      </w:r>
      <w:r w:rsidRPr="006D37E7">
        <w:t xml:space="preserve">с 19 учреждениями на </w:t>
      </w:r>
      <w:r w:rsidR="00D174BF" w:rsidRPr="006D37E7">
        <w:t xml:space="preserve">общую </w:t>
      </w:r>
      <w:r w:rsidRPr="006D37E7">
        <w:t xml:space="preserve">сумму </w:t>
      </w:r>
      <w:r w:rsidR="009C75D3" w:rsidRPr="006D37E7">
        <w:t>411913,9</w:t>
      </w:r>
      <w:r w:rsidR="00D174BF" w:rsidRPr="006D37E7">
        <w:t xml:space="preserve"> тыс. руб</w:t>
      </w:r>
      <w:r w:rsidR="00976733" w:rsidRPr="006D37E7">
        <w:t xml:space="preserve">., </w:t>
      </w:r>
      <w:r w:rsidR="00180F43" w:rsidRPr="006D37E7">
        <w:t xml:space="preserve"> или 99,9% от утвержденных бюджетных ассигнований на эти цели (411968,0 тыс. руб.), </w:t>
      </w:r>
      <w:r w:rsidR="00976733" w:rsidRPr="006D37E7">
        <w:t>в том числе</w:t>
      </w:r>
      <w:r w:rsidR="00A72F30" w:rsidRPr="006D37E7">
        <w:t xml:space="preserve"> на:</w:t>
      </w:r>
    </w:p>
    <w:p w14:paraId="696D0FC8" w14:textId="77777777" w:rsidR="001E375F" w:rsidRPr="006D37E7" w:rsidRDefault="00A72F30" w:rsidP="008924C6">
      <w:pPr>
        <w:ind w:firstLine="851"/>
        <w:jc w:val="both"/>
      </w:pPr>
      <w:r w:rsidRPr="006D37E7">
        <w:t>-</w:t>
      </w:r>
      <w:r w:rsidR="005C7A2C" w:rsidRPr="006D37E7">
        <w:t>36285</w:t>
      </w:r>
      <w:r w:rsidR="001E375F" w:rsidRPr="006D37E7">
        <w:t>7</w:t>
      </w:r>
      <w:r w:rsidR="005C7A2C" w:rsidRPr="006D37E7">
        <w:t>,</w:t>
      </w:r>
      <w:r w:rsidR="001E375F" w:rsidRPr="006D37E7">
        <w:t>4</w:t>
      </w:r>
      <w:r w:rsidR="005C7A2C" w:rsidRPr="006D37E7">
        <w:t xml:space="preserve"> </w:t>
      </w:r>
      <w:r w:rsidRPr="006D37E7">
        <w:t>тыс.</w:t>
      </w:r>
      <w:r w:rsidR="00F95EA2" w:rsidRPr="006D37E7">
        <w:t xml:space="preserve"> </w:t>
      </w:r>
      <w:r w:rsidRPr="006D37E7">
        <w:t xml:space="preserve">руб. – на реализацию мероприятий в сфере культуры, кинематографии, средств массовой информации, не предусмотренных утвержденным государственным заданием, в том числе приобретение товаров, выполнение работ (оказание услуг) и на иные мероприятия, установленные правовыми актами Волгоградской области, не относящиеся к оказанию </w:t>
      </w:r>
      <w:r w:rsidRPr="006D37E7">
        <w:lastRenderedPageBreak/>
        <w:t>государственных услуг (выполнению работ)</w:t>
      </w:r>
      <w:r w:rsidR="005C7A2C" w:rsidRPr="006D37E7">
        <w:t xml:space="preserve"> (на реализацию Плана основных мероприятий по подготовке к празднованию 75 годовщины разгрома советскими войсками немецко-фашист</w:t>
      </w:r>
      <w:r w:rsidR="00064DB2" w:rsidRPr="006D37E7">
        <w:t>с</w:t>
      </w:r>
      <w:r w:rsidR="005C7A2C" w:rsidRPr="006D37E7">
        <w:t>ких войск в Сталинградской битве, мероприятий государственной программы РФ «Развитие культуры и туризма» на 2013 - 2020 годы, утвержденной постановлением Правительства РФ от 15.04.2014 №317</w:t>
      </w:r>
      <w:r w:rsidR="00064DB2" w:rsidRPr="006D37E7">
        <w:t xml:space="preserve"> (далее ГП РФ Развитие культуры и туризма, Постановление Правительства РФ №317)</w:t>
      </w:r>
      <w:r w:rsidR="005C7A2C" w:rsidRPr="006D37E7">
        <w:t xml:space="preserve">, </w:t>
      </w:r>
      <w:r w:rsidR="001E375F" w:rsidRPr="006D37E7">
        <w:t>мероприятий «Программы подготовки к проведению в 2018 году чемпионата мира по футболу», утвержденной постановлением Правительства Волгоградской области от 28.11.2013 № 679-п);</w:t>
      </w:r>
    </w:p>
    <w:p w14:paraId="18035DDA" w14:textId="77777777" w:rsidR="00A72F30" w:rsidRPr="006D37E7" w:rsidRDefault="00A72F30" w:rsidP="00A72F30">
      <w:pPr>
        <w:ind w:firstLine="708"/>
        <w:jc w:val="both"/>
      </w:pPr>
      <w:r w:rsidRPr="006D37E7">
        <w:t>-7959,9 – на приобретение особо ценного имущества, за исключением основных средств, приобретаемых ежегодно и непосредственно используемых при оказании государственных услуг (выполнении работ)</w:t>
      </w:r>
      <w:r w:rsidR="00180F43" w:rsidRPr="006D37E7">
        <w:t>;</w:t>
      </w:r>
      <w:r w:rsidR="00E22A44" w:rsidRPr="006D37E7">
        <w:t xml:space="preserve"> </w:t>
      </w:r>
    </w:p>
    <w:p w14:paraId="543420C7" w14:textId="77777777" w:rsidR="00A72F30" w:rsidRPr="006D37E7" w:rsidRDefault="00A72F30" w:rsidP="005C7A2C">
      <w:pPr>
        <w:ind w:firstLine="708"/>
        <w:jc w:val="both"/>
      </w:pPr>
      <w:r w:rsidRPr="006D37E7">
        <w:t>-3561,0 тыс.</w:t>
      </w:r>
      <w:r w:rsidR="00F95EA2" w:rsidRPr="006D37E7">
        <w:t xml:space="preserve"> </w:t>
      </w:r>
      <w:r w:rsidRPr="006D37E7">
        <w:t>руб. – на проведение капитального ремонта зданий, иных объектов недвижимого имущества (в том числе входящих в их состав сетей и систем инженерно-технического обеспечения), закрепленных за учреждением на праве оперативного управления (</w:t>
      </w:r>
      <w:r w:rsidR="005C7A2C" w:rsidRPr="006D37E7">
        <w:t>на подключение здания Центрального универмага к системе централизованного теплоснабжения);</w:t>
      </w:r>
    </w:p>
    <w:p w14:paraId="6EDA4F0D" w14:textId="77777777" w:rsidR="005C7A2C" w:rsidRPr="006D37E7" w:rsidRDefault="00A72F30" w:rsidP="00064DB2">
      <w:pPr>
        <w:ind w:firstLine="708"/>
        <w:jc w:val="both"/>
      </w:pPr>
      <w:r w:rsidRPr="006D37E7">
        <w:t xml:space="preserve">-37535,6 – </w:t>
      </w:r>
      <w:r w:rsidR="005C7A2C" w:rsidRPr="006D37E7">
        <w:t xml:space="preserve"> на погашение кредиторской задолженности за предыдущие отчетные периоды, возникшей в результате недофинансирования расходов учреждения за счет субсидии на иные цели и (или) расходов учреждения за счет субсидии на финансовое обеспечение выполнения государственного задания на оказание услуг (выполнение работ), на  исполнение судебных актов по обязательствам Волгоградской области, а также по обязательствам учреждения в рамках осуществления им основных видов деятельности, не связанных с оказанием платных услуг.</w:t>
      </w:r>
      <w:r w:rsidR="002C73DC" w:rsidRPr="006D37E7">
        <w:t xml:space="preserve"> </w:t>
      </w:r>
      <w:r w:rsidR="00064DB2" w:rsidRPr="006D37E7">
        <w:t xml:space="preserve"> </w:t>
      </w:r>
    </w:p>
    <w:p w14:paraId="4817A0FB" w14:textId="77777777" w:rsidR="006354A2" w:rsidRPr="006D37E7" w:rsidRDefault="001E375F" w:rsidP="006354A2">
      <w:pPr>
        <w:ind w:firstLine="851"/>
        <w:jc w:val="both"/>
      </w:pPr>
      <w:r w:rsidRPr="006D37E7">
        <w:t>Согласно данным отчета 0503127 Комитета перечислено субсидии учреждения</w:t>
      </w:r>
      <w:r w:rsidR="007D5713" w:rsidRPr="006D37E7">
        <w:t>м</w:t>
      </w:r>
      <w:r w:rsidRPr="006D37E7">
        <w:t xml:space="preserve"> </w:t>
      </w:r>
      <w:r w:rsidR="007D5713" w:rsidRPr="006D37E7">
        <w:t>на сумму</w:t>
      </w:r>
      <w:r w:rsidRPr="006D37E7">
        <w:t xml:space="preserve"> 411605,1 тыс.</w:t>
      </w:r>
      <w:r w:rsidR="00F95EA2" w:rsidRPr="006D37E7">
        <w:t xml:space="preserve"> </w:t>
      </w:r>
      <w:r w:rsidRPr="006D37E7">
        <w:t>руб., или 99,9 процент</w:t>
      </w:r>
      <w:r w:rsidR="00AA07BC" w:rsidRPr="006D37E7">
        <w:t>а</w:t>
      </w:r>
      <w:r w:rsidRPr="006D37E7">
        <w:t>.</w:t>
      </w:r>
      <w:r w:rsidR="006070C5" w:rsidRPr="006D37E7">
        <w:t xml:space="preserve"> </w:t>
      </w:r>
      <w:r w:rsidR="00D174BF" w:rsidRPr="006D37E7">
        <w:t xml:space="preserve">По состоянию на 01.01.2019 в соответствии с </w:t>
      </w:r>
      <w:r w:rsidR="00A705B9" w:rsidRPr="006D37E7">
        <w:t xml:space="preserve">п.15 </w:t>
      </w:r>
      <w:r w:rsidR="00D174BF" w:rsidRPr="006D37E7">
        <w:t xml:space="preserve">Приказа </w:t>
      </w:r>
      <w:r w:rsidR="00CE7791" w:rsidRPr="006D37E7">
        <w:t xml:space="preserve">№ 01-20/365 </w:t>
      </w:r>
      <w:r w:rsidR="00A72F30" w:rsidRPr="006D37E7">
        <w:t xml:space="preserve"> у</w:t>
      </w:r>
      <w:r w:rsidR="00D174BF" w:rsidRPr="006D37E7">
        <w:t>чреждениями представлены отчеты об использовании субсидии на иные цели</w:t>
      </w:r>
      <w:r w:rsidR="00976733" w:rsidRPr="006D37E7">
        <w:t>.</w:t>
      </w:r>
      <w:r w:rsidR="008924C6" w:rsidRPr="006D37E7">
        <w:t xml:space="preserve"> </w:t>
      </w:r>
    </w:p>
    <w:p w14:paraId="4D878F61" w14:textId="77777777" w:rsidR="006070C5" w:rsidRPr="006D37E7" w:rsidRDefault="006070C5" w:rsidP="006354A2">
      <w:pPr>
        <w:ind w:firstLine="851"/>
        <w:jc w:val="both"/>
        <w:rPr>
          <w:rFonts w:eastAsiaTheme="minorHAnsi"/>
          <w:i/>
          <w:lang w:eastAsia="en-US"/>
        </w:rPr>
      </w:pPr>
      <w:r w:rsidRPr="006D37E7">
        <w:rPr>
          <w:rFonts w:eastAsiaTheme="minorHAnsi"/>
          <w:lang w:eastAsia="en-US"/>
        </w:rPr>
        <w:t>В ходе встречных проверок в Филармонии, Интерактивном музее, Аген</w:t>
      </w:r>
      <w:r w:rsidR="00A705B9" w:rsidRPr="006D37E7">
        <w:rPr>
          <w:rFonts w:eastAsiaTheme="minorHAnsi"/>
          <w:lang w:eastAsia="en-US"/>
        </w:rPr>
        <w:t>т</w:t>
      </w:r>
      <w:r w:rsidRPr="006D37E7">
        <w:rPr>
          <w:rFonts w:eastAsiaTheme="minorHAnsi"/>
          <w:lang w:eastAsia="en-US"/>
        </w:rPr>
        <w:t xml:space="preserve">стве </w:t>
      </w:r>
      <w:r w:rsidR="00855196" w:rsidRPr="006D37E7">
        <w:rPr>
          <w:rFonts w:eastAsiaTheme="minorHAnsi"/>
          <w:lang w:eastAsia="en-US"/>
        </w:rPr>
        <w:t xml:space="preserve">развития туризма </w:t>
      </w:r>
      <w:r w:rsidRPr="006D37E7">
        <w:rPr>
          <w:rFonts w:eastAsiaTheme="minorHAnsi"/>
          <w:lang w:eastAsia="en-US"/>
        </w:rPr>
        <w:t>установлен</w:t>
      </w:r>
      <w:r w:rsidR="006757A6" w:rsidRPr="006D37E7">
        <w:rPr>
          <w:rFonts w:eastAsiaTheme="minorHAnsi"/>
          <w:lang w:eastAsia="en-US"/>
        </w:rPr>
        <w:t xml:space="preserve">ы нарушения </w:t>
      </w:r>
      <w:r w:rsidR="00180F43" w:rsidRPr="006D37E7">
        <w:rPr>
          <w:rFonts w:eastAsiaTheme="minorHAnsi"/>
          <w:lang w:eastAsia="en-US"/>
        </w:rPr>
        <w:t>в части учета особо ценного имуще</w:t>
      </w:r>
      <w:r w:rsidR="00855196" w:rsidRPr="006D37E7">
        <w:rPr>
          <w:rFonts w:eastAsiaTheme="minorHAnsi"/>
          <w:lang w:eastAsia="en-US"/>
        </w:rPr>
        <w:t>ства, неиспользования имущества,</w:t>
      </w:r>
      <w:r w:rsidR="00180F43" w:rsidRPr="006D37E7">
        <w:rPr>
          <w:rFonts w:eastAsiaTheme="minorHAnsi"/>
          <w:lang w:eastAsia="en-US"/>
        </w:rPr>
        <w:t xml:space="preserve"> </w:t>
      </w:r>
      <w:r w:rsidR="00180F43" w:rsidRPr="006D37E7">
        <w:t>факты неэффективного использования бюджетных средств при приобретении особо ценного имущества, несоблюдения порядка распоряжением движимым имуществом</w:t>
      </w:r>
      <w:r w:rsidR="006354A2" w:rsidRPr="006D37E7">
        <w:t xml:space="preserve"> </w:t>
      </w:r>
      <w:r w:rsidR="006354A2" w:rsidRPr="006D37E7">
        <w:rPr>
          <w:rFonts w:eastAsiaTheme="minorHAnsi"/>
          <w:i/>
          <w:lang w:eastAsia="en-US"/>
        </w:rPr>
        <w:t>(более подробно отражено в разделе по использованию имущества)</w:t>
      </w:r>
      <w:r w:rsidR="00180F43" w:rsidRPr="006D37E7">
        <w:t xml:space="preserve">. </w:t>
      </w:r>
      <w:r w:rsidR="00392C58" w:rsidRPr="006D37E7">
        <w:t>Необходимо отметить, что а</w:t>
      </w:r>
      <w:r w:rsidR="006757A6" w:rsidRPr="006D37E7">
        <w:rPr>
          <w:rFonts w:eastAsiaTheme="minorHAnsi"/>
          <w:lang w:eastAsia="en-US"/>
        </w:rPr>
        <w:t>налогичные нарушения</w:t>
      </w:r>
      <w:r w:rsidR="00180F43" w:rsidRPr="006D37E7">
        <w:rPr>
          <w:rFonts w:eastAsiaTheme="minorHAnsi"/>
          <w:lang w:eastAsia="en-US"/>
        </w:rPr>
        <w:t xml:space="preserve"> </w:t>
      </w:r>
      <w:r w:rsidR="006757A6" w:rsidRPr="006D37E7">
        <w:rPr>
          <w:rFonts w:eastAsiaTheme="minorHAnsi"/>
          <w:lang w:eastAsia="en-US"/>
        </w:rPr>
        <w:t>были установлены КСП</w:t>
      </w:r>
      <w:r w:rsidR="006354A2" w:rsidRPr="006D37E7">
        <w:rPr>
          <w:rFonts w:eastAsiaTheme="minorHAnsi"/>
          <w:lang w:eastAsia="en-US"/>
        </w:rPr>
        <w:t xml:space="preserve"> в 2016 году</w:t>
      </w:r>
      <w:r w:rsidR="006757A6" w:rsidRPr="006D37E7">
        <w:rPr>
          <w:rFonts w:eastAsiaTheme="minorHAnsi"/>
          <w:lang w:eastAsia="en-US"/>
        </w:rPr>
        <w:t xml:space="preserve"> при </w:t>
      </w:r>
      <w:r w:rsidR="006354A2" w:rsidRPr="006D37E7">
        <w:rPr>
          <w:rFonts w:eastAsiaTheme="minorHAnsi"/>
          <w:lang w:eastAsia="en-US"/>
        </w:rPr>
        <w:t xml:space="preserve">проведении </w:t>
      </w:r>
      <w:r w:rsidR="006757A6" w:rsidRPr="006D37E7">
        <w:rPr>
          <w:rFonts w:eastAsiaTheme="minorHAnsi"/>
          <w:lang w:eastAsia="en-US"/>
        </w:rPr>
        <w:t>провер</w:t>
      </w:r>
      <w:r w:rsidR="006354A2" w:rsidRPr="006D37E7">
        <w:rPr>
          <w:rFonts w:eastAsiaTheme="minorHAnsi"/>
          <w:lang w:eastAsia="en-US"/>
        </w:rPr>
        <w:t>ок</w:t>
      </w:r>
      <w:r w:rsidR="006757A6" w:rsidRPr="006D37E7">
        <w:rPr>
          <w:rFonts w:eastAsiaTheme="minorHAnsi"/>
          <w:lang w:eastAsia="en-US"/>
        </w:rPr>
        <w:t xml:space="preserve"> финансово-хозяйственной деятельности</w:t>
      </w:r>
      <w:r w:rsidR="00090C6C" w:rsidRPr="006D37E7">
        <w:rPr>
          <w:rFonts w:eastAsiaTheme="minorHAnsi"/>
          <w:lang w:eastAsia="en-US"/>
        </w:rPr>
        <w:t xml:space="preserve"> отдельных </w:t>
      </w:r>
      <w:r w:rsidR="006757A6" w:rsidRPr="006D37E7">
        <w:rPr>
          <w:rFonts w:eastAsiaTheme="minorHAnsi"/>
          <w:lang w:eastAsia="en-US"/>
        </w:rPr>
        <w:t xml:space="preserve"> подведомственных учреждений Комитета</w:t>
      </w:r>
      <w:r w:rsidR="00090C6C" w:rsidRPr="006D37E7">
        <w:rPr>
          <w:rFonts w:eastAsiaTheme="minorHAnsi"/>
          <w:lang w:eastAsia="en-US"/>
        </w:rPr>
        <w:t>.</w:t>
      </w:r>
      <w:r w:rsidR="00180F43" w:rsidRPr="006D37E7">
        <w:rPr>
          <w:rFonts w:eastAsiaTheme="minorHAnsi"/>
          <w:lang w:eastAsia="en-US"/>
        </w:rPr>
        <w:t xml:space="preserve"> </w:t>
      </w:r>
    </w:p>
    <w:p w14:paraId="6494600A" w14:textId="77777777" w:rsidR="0050631A" w:rsidRPr="006D37E7" w:rsidRDefault="00EA01AF" w:rsidP="0050631A">
      <w:pPr>
        <w:ind w:firstLine="708"/>
        <w:jc w:val="both"/>
        <w:rPr>
          <w:rFonts w:eastAsiaTheme="minorHAnsi"/>
          <w:lang w:eastAsia="en-US"/>
        </w:rPr>
      </w:pPr>
      <w:r w:rsidRPr="006D37E7">
        <w:rPr>
          <w:rFonts w:eastAsiaTheme="minorHAnsi"/>
          <w:lang w:eastAsia="en-US"/>
        </w:rPr>
        <w:t xml:space="preserve">Кроме того, в ходе встречной проверки в Агентстве </w:t>
      </w:r>
      <w:r w:rsidR="00B73CE7" w:rsidRPr="006D37E7">
        <w:rPr>
          <w:rFonts w:eastAsiaTheme="minorHAnsi"/>
          <w:lang w:eastAsia="en-US"/>
        </w:rPr>
        <w:t xml:space="preserve">развития туризма </w:t>
      </w:r>
      <w:r w:rsidRPr="006D37E7">
        <w:rPr>
          <w:rFonts w:eastAsiaTheme="minorHAnsi"/>
          <w:lang w:eastAsia="en-US"/>
        </w:rPr>
        <w:t xml:space="preserve">установлено неэффективное расходование средств субсидии на иные цели </w:t>
      </w:r>
      <w:r w:rsidR="0050631A" w:rsidRPr="006D37E7">
        <w:rPr>
          <w:rFonts w:eastAsiaTheme="minorHAnsi"/>
          <w:lang w:eastAsia="en-US"/>
        </w:rPr>
        <w:t xml:space="preserve">при приобретении компьютеров и телевизоров у единственного поставщика без конкурентных процедур в сумме </w:t>
      </w:r>
      <w:r w:rsidR="00AD17CC" w:rsidRPr="006D37E7">
        <w:rPr>
          <w:rFonts w:eastAsiaTheme="minorHAnsi"/>
          <w:lang w:eastAsia="en-US"/>
        </w:rPr>
        <w:t>699</w:t>
      </w:r>
      <w:r w:rsidR="0050631A" w:rsidRPr="006D37E7">
        <w:rPr>
          <w:rFonts w:eastAsiaTheme="minorHAnsi"/>
          <w:lang w:eastAsia="en-US"/>
        </w:rPr>
        <w:t>,8 тыс. руб</w:t>
      </w:r>
      <w:r w:rsidR="00E64B39" w:rsidRPr="006D37E7">
        <w:rPr>
          <w:rFonts w:eastAsiaTheme="minorHAnsi"/>
          <w:lang w:eastAsia="en-US"/>
        </w:rPr>
        <w:t>., выразившееся в следующем</w:t>
      </w:r>
      <w:r w:rsidR="0050631A" w:rsidRPr="006D37E7">
        <w:rPr>
          <w:rFonts w:eastAsiaTheme="minorHAnsi"/>
          <w:lang w:eastAsia="en-US"/>
        </w:rPr>
        <w:t>.</w:t>
      </w:r>
    </w:p>
    <w:p w14:paraId="2B355DBD" w14:textId="77777777" w:rsidR="00E64B39" w:rsidRPr="006D37E7" w:rsidRDefault="00392C58" w:rsidP="00E64B39">
      <w:pPr>
        <w:ind w:firstLine="567"/>
        <w:jc w:val="both"/>
        <w:rPr>
          <w:rFonts w:eastAsiaTheme="minorHAnsi"/>
          <w:lang w:eastAsia="en-US"/>
        </w:rPr>
      </w:pPr>
      <w:r w:rsidRPr="006D37E7">
        <w:rPr>
          <w:rFonts w:eastAsiaTheme="minorHAnsi"/>
          <w:lang w:eastAsia="en-US"/>
        </w:rPr>
        <w:t xml:space="preserve">Агентством развития туризма </w:t>
      </w:r>
      <w:r w:rsidR="00C27D6E" w:rsidRPr="006D37E7">
        <w:rPr>
          <w:rFonts w:eastAsiaTheme="minorHAnsi"/>
          <w:lang w:eastAsia="en-US"/>
        </w:rPr>
        <w:t>в рамках соглашени</w:t>
      </w:r>
      <w:r w:rsidRPr="006D37E7">
        <w:rPr>
          <w:rFonts w:eastAsiaTheme="minorHAnsi"/>
          <w:lang w:eastAsia="en-US"/>
        </w:rPr>
        <w:t>я</w:t>
      </w:r>
      <w:r w:rsidR="00C27D6E" w:rsidRPr="006D37E7">
        <w:rPr>
          <w:rFonts w:eastAsiaTheme="minorHAnsi"/>
          <w:lang w:eastAsia="en-US"/>
        </w:rPr>
        <w:t xml:space="preserve"> на проведение мероприятия по подготовке и организации фестиваля болельщиков в 2018 году</w:t>
      </w:r>
      <w:r w:rsidRPr="006D37E7">
        <w:rPr>
          <w:rFonts w:eastAsiaTheme="minorHAnsi"/>
          <w:lang w:eastAsia="en-US"/>
        </w:rPr>
        <w:t xml:space="preserve"> и соглашения  на приобретение особо ценного имущества </w:t>
      </w:r>
      <w:r w:rsidR="00C27D6E" w:rsidRPr="006D37E7">
        <w:rPr>
          <w:rFonts w:eastAsiaTheme="minorHAnsi"/>
          <w:lang w:eastAsia="en-US"/>
        </w:rPr>
        <w:t>были заключены</w:t>
      </w:r>
      <w:r w:rsidRPr="006D37E7">
        <w:rPr>
          <w:rFonts w:eastAsiaTheme="minorHAnsi"/>
          <w:lang w:eastAsia="en-US"/>
        </w:rPr>
        <w:t xml:space="preserve"> </w:t>
      </w:r>
      <w:r w:rsidRPr="006D37E7">
        <w:rPr>
          <w:rFonts w:eastAsiaTheme="minorHAnsi"/>
          <w:b/>
          <w:lang w:eastAsia="en-US"/>
        </w:rPr>
        <w:t xml:space="preserve">23 </w:t>
      </w:r>
      <w:r w:rsidR="00C27D6E" w:rsidRPr="006D37E7">
        <w:rPr>
          <w:rFonts w:eastAsiaTheme="minorHAnsi"/>
          <w:b/>
          <w:lang w:eastAsia="en-US"/>
        </w:rPr>
        <w:t>договора</w:t>
      </w:r>
      <w:r w:rsidR="00C27D6E" w:rsidRPr="006D37E7">
        <w:rPr>
          <w:rFonts w:eastAsiaTheme="minorHAnsi"/>
          <w:lang w:eastAsia="en-US"/>
        </w:rPr>
        <w:t xml:space="preserve"> </w:t>
      </w:r>
      <w:r w:rsidR="00707E17" w:rsidRPr="006D37E7">
        <w:rPr>
          <w:rFonts w:eastAsiaTheme="minorHAnsi"/>
          <w:lang w:eastAsia="en-US"/>
        </w:rPr>
        <w:t xml:space="preserve">на </w:t>
      </w:r>
      <w:r w:rsidR="00E64B39" w:rsidRPr="006D37E7">
        <w:rPr>
          <w:rFonts w:eastAsiaTheme="minorHAnsi"/>
          <w:lang w:eastAsia="en-US"/>
        </w:rPr>
        <w:t xml:space="preserve">поставку товаров на общую сумму </w:t>
      </w:r>
      <w:r w:rsidRPr="006D37E7">
        <w:rPr>
          <w:rFonts w:eastAsiaTheme="minorHAnsi"/>
          <w:lang w:eastAsia="en-US"/>
        </w:rPr>
        <w:t>7216,9</w:t>
      </w:r>
      <w:r w:rsidR="00E64B39" w:rsidRPr="006D37E7">
        <w:rPr>
          <w:rFonts w:eastAsiaTheme="minorHAnsi"/>
          <w:lang w:eastAsia="en-US"/>
        </w:rPr>
        <w:t xml:space="preserve"> тыс. рублей. </w:t>
      </w:r>
    </w:p>
    <w:p w14:paraId="3959EA09" w14:textId="77777777" w:rsidR="00C27D6E" w:rsidRPr="006D37E7" w:rsidRDefault="00C27D6E" w:rsidP="00C27D6E">
      <w:pPr>
        <w:ind w:firstLine="567"/>
        <w:jc w:val="both"/>
        <w:rPr>
          <w:rFonts w:eastAsiaTheme="minorHAnsi"/>
          <w:lang w:eastAsia="en-US"/>
        </w:rPr>
      </w:pPr>
      <w:r w:rsidRPr="006D37E7">
        <w:rPr>
          <w:rFonts w:eastAsiaTheme="minorHAnsi"/>
          <w:lang w:eastAsia="en-US"/>
        </w:rPr>
        <w:t>Согласно смете на закупку особо ценного имущества, направленной Агентством развития туризма в Комитет, планировалось приобретение различной техники и мебели для оснащения городского пресс-центра чемпионата мира по футболу - 2018, в том числе 40 единиц компьютеров на сумму 3881,1 тыс. рублей.</w:t>
      </w:r>
    </w:p>
    <w:p w14:paraId="497434F5" w14:textId="77777777" w:rsidR="00E64B39" w:rsidRPr="006D37E7" w:rsidRDefault="00E64B39" w:rsidP="00090C6C">
      <w:pPr>
        <w:ind w:firstLine="567"/>
        <w:jc w:val="both"/>
        <w:rPr>
          <w:rFonts w:eastAsiaTheme="minorHAnsi"/>
          <w:lang w:eastAsia="en-US"/>
        </w:rPr>
      </w:pPr>
      <w:r w:rsidRPr="006D37E7">
        <w:rPr>
          <w:rFonts w:eastAsiaTheme="minorHAnsi"/>
          <w:lang w:eastAsia="en-US"/>
        </w:rPr>
        <w:t xml:space="preserve">Учреждением приобретены 40 персональных компьютеров на сумму 3881,1 тыс. руб. путем заключения 12-ти договоров с единственным поставщиком (ИП Литвиненко П.В.), цена каждого из договоров не превышает 500,0 тыс. рублей.  Согласно проведенному в ходе проверки анализу цен на товары, размещенные в открытых источниках, стоимость персонального компьютера в указанной комплектации составляет </w:t>
      </w:r>
      <w:proofErr w:type="gramStart"/>
      <w:r w:rsidRPr="006D37E7">
        <w:rPr>
          <w:rFonts w:eastAsiaTheme="minorHAnsi"/>
          <w:lang w:eastAsia="en-US"/>
        </w:rPr>
        <w:t>от  74</w:t>
      </w:r>
      <w:proofErr w:type="gramEnd"/>
      <w:r w:rsidRPr="006D37E7">
        <w:rPr>
          <w:rFonts w:eastAsiaTheme="minorHAnsi"/>
          <w:lang w:eastAsia="en-US"/>
        </w:rPr>
        <w:t>,5 тыс. руб. до 83,6 тыс.руб., что на 12,7</w:t>
      </w:r>
      <w:r w:rsidR="00392C58" w:rsidRPr="006D37E7">
        <w:rPr>
          <w:rFonts w:eastAsiaTheme="minorHAnsi"/>
          <w:lang w:eastAsia="en-US"/>
        </w:rPr>
        <w:t>-21,8</w:t>
      </w:r>
      <w:r w:rsidRPr="006D37E7">
        <w:rPr>
          <w:rFonts w:eastAsiaTheme="minorHAnsi"/>
          <w:lang w:eastAsia="en-US"/>
        </w:rPr>
        <w:t xml:space="preserve"> тыс. руб. меньше фактической стоимости персональных компьютеров (96,3 тыс.руб.). Таким образом, стоимость всей партии компьютеров завышена как минимум на 508,0 тыс. </w:t>
      </w:r>
      <w:r w:rsidRPr="006D37E7">
        <w:rPr>
          <w:rFonts w:eastAsiaTheme="minorHAnsi"/>
          <w:lang w:eastAsia="en-US"/>
        </w:rPr>
        <w:lastRenderedPageBreak/>
        <w:t>рублей. Аналогичная ситуация при приобретении 7 телевизоров Sony KDL-43WE755</w:t>
      </w:r>
      <w:r w:rsidR="00C57C21" w:rsidRPr="006D37E7">
        <w:rPr>
          <w:rFonts w:eastAsiaTheme="minorHAnsi"/>
          <w:lang w:eastAsia="en-US"/>
        </w:rPr>
        <w:t xml:space="preserve"> со стойкой, HDMI кабелем и удлинителем</w:t>
      </w:r>
      <w:r w:rsidRPr="006D37E7">
        <w:rPr>
          <w:rFonts w:eastAsiaTheme="minorHAnsi"/>
          <w:lang w:eastAsia="en-US"/>
        </w:rPr>
        <w:t>, которые были приобретены по 83,0 тыс. руб</w:t>
      </w:r>
      <w:r w:rsidR="00314B39" w:rsidRPr="006D37E7">
        <w:rPr>
          <w:rFonts w:eastAsiaTheme="minorHAnsi"/>
          <w:lang w:eastAsia="en-US"/>
        </w:rPr>
        <w:t>., т</w:t>
      </w:r>
      <w:r w:rsidRPr="006D37E7">
        <w:rPr>
          <w:rFonts w:eastAsiaTheme="minorHAnsi"/>
          <w:lang w:eastAsia="en-US"/>
        </w:rPr>
        <w:t xml:space="preserve">огда как стоимость в открытых источниках </w:t>
      </w:r>
      <w:proofErr w:type="gramStart"/>
      <w:r w:rsidR="00C57C21" w:rsidRPr="006D37E7">
        <w:rPr>
          <w:rFonts w:eastAsiaTheme="minorHAnsi"/>
          <w:lang w:eastAsia="en-US"/>
        </w:rPr>
        <w:t xml:space="preserve">составляет </w:t>
      </w:r>
      <w:r w:rsidRPr="006D37E7">
        <w:rPr>
          <w:rFonts w:eastAsiaTheme="minorHAnsi"/>
          <w:lang w:eastAsia="en-US"/>
        </w:rPr>
        <w:t xml:space="preserve"> </w:t>
      </w:r>
      <w:r w:rsidR="00AD17CC" w:rsidRPr="006D37E7">
        <w:rPr>
          <w:rFonts w:eastAsiaTheme="minorHAnsi"/>
          <w:lang w:eastAsia="en-US"/>
        </w:rPr>
        <w:t>55</w:t>
      </w:r>
      <w:proofErr w:type="gramEnd"/>
      <w:r w:rsidR="00AD17CC" w:rsidRPr="006D37E7">
        <w:rPr>
          <w:rFonts w:eastAsiaTheme="minorHAnsi"/>
          <w:lang w:eastAsia="en-US"/>
        </w:rPr>
        <w:t>,6</w:t>
      </w:r>
      <w:r w:rsidRPr="006D37E7">
        <w:rPr>
          <w:rFonts w:eastAsiaTheme="minorHAnsi"/>
          <w:lang w:eastAsia="en-US"/>
        </w:rPr>
        <w:t xml:space="preserve"> тыс.</w:t>
      </w:r>
      <w:r w:rsidR="00AD17CC" w:rsidRPr="006D37E7">
        <w:rPr>
          <w:rFonts w:eastAsiaTheme="minorHAnsi"/>
          <w:lang w:eastAsia="en-US"/>
        </w:rPr>
        <w:t xml:space="preserve"> </w:t>
      </w:r>
      <w:r w:rsidRPr="006D37E7">
        <w:rPr>
          <w:rFonts w:eastAsiaTheme="minorHAnsi"/>
          <w:lang w:eastAsia="en-US"/>
        </w:rPr>
        <w:t xml:space="preserve">руб., что </w:t>
      </w:r>
      <w:r w:rsidR="00314B39" w:rsidRPr="006D37E7">
        <w:rPr>
          <w:rFonts w:eastAsiaTheme="minorHAnsi"/>
          <w:lang w:eastAsia="en-US"/>
        </w:rPr>
        <w:t xml:space="preserve">на </w:t>
      </w:r>
      <w:r w:rsidR="00AD17CC" w:rsidRPr="006D37E7">
        <w:rPr>
          <w:rFonts w:eastAsiaTheme="minorHAnsi"/>
          <w:lang w:eastAsia="en-US"/>
        </w:rPr>
        <w:t>33</w:t>
      </w:r>
      <w:r w:rsidR="00314B39" w:rsidRPr="006D37E7">
        <w:rPr>
          <w:rFonts w:eastAsiaTheme="minorHAnsi"/>
          <w:lang w:eastAsia="en-US"/>
        </w:rPr>
        <w:t>%</w:t>
      </w:r>
      <w:r w:rsidR="00C57C21" w:rsidRPr="006D37E7">
        <w:rPr>
          <w:rFonts w:eastAsiaTheme="minorHAnsi"/>
          <w:lang w:eastAsia="en-US"/>
        </w:rPr>
        <w:t xml:space="preserve"> меньше чем стоимость в заключенных договорах Агентством развития туризма, т.е. стоимость 7 телевизоров завышена на </w:t>
      </w:r>
      <w:r w:rsidR="00AD17CC" w:rsidRPr="006D37E7">
        <w:rPr>
          <w:rFonts w:eastAsiaTheme="minorHAnsi"/>
          <w:lang w:eastAsia="en-US"/>
        </w:rPr>
        <w:t>191,8</w:t>
      </w:r>
      <w:r w:rsidR="00C57C21" w:rsidRPr="006D37E7">
        <w:rPr>
          <w:rFonts w:eastAsiaTheme="minorHAnsi"/>
          <w:lang w:eastAsia="en-US"/>
        </w:rPr>
        <w:t xml:space="preserve"> тыс.рублей. </w:t>
      </w:r>
    </w:p>
    <w:p w14:paraId="0A20851B" w14:textId="77777777" w:rsidR="0050631A" w:rsidRPr="006D37E7" w:rsidRDefault="0050631A" w:rsidP="00090C6C">
      <w:pPr>
        <w:ind w:firstLine="567"/>
        <w:jc w:val="both"/>
        <w:rPr>
          <w:rFonts w:eastAsiaTheme="minorHAnsi"/>
          <w:lang w:eastAsia="en-US"/>
        </w:rPr>
      </w:pPr>
      <w:r w:rsidRPr="006D37E7">
        <w:rPr>
          <w:rFonts w:eastAsiaTheme="minorHAnsi"/>
          <w:lang w:eastAsia="en-US"/>
        </w:rPr>
        <w:t xml:space="preserve">Проведенный КСП анализ цен на иные приобретенные учреждением </w:t>
      </w:r>
      <w:r w:rsidR="00855196" w:rsidRPr="006D37E7">
        <w:rPr>
          <w:rFonts w:eastAsiaTheme="minorHAnsi"/>
          <w:lang w:eastAsia="en-US"/>
        </w:rPr>
        <w:t>то</w:t>
      </w:r>
      <w:r w:rsidR="00C57C21" w:rsidRPr="006D37E7">
        <w:rPr>
          <w:rFonts w:eastAsiaTheme="minorHAnsi"/>
          <w:lang w:eastAsia="en-US"/>
        </w:rPr>
        <w:t>вар</w:t>
      </w:r>
      <w:r w:rsidR="00855196" w:rsidRPr="006D37E7">
        <w:rPr>
          <w:rFonts w:eastAsiaTheme="minorHAnsi"/>
          <w:lang w:eastAsia="en-US"/>
        </w:rPr>
        <w:t>ы</w:t>
      </w:r>
      <w:r w:rsidRPr="006D37E7">
        <w:rPr>
          <w:rFonts w:eastAsiaTheme="minorHAnsi"/>
          <w:lang w:eastAsia="en-US"/>
        </w:rPr>
        <w:t xml:space="preserve"> показал их завышение по отношению к ценам, размещенным в открытых источниках, от  15% до 3 раз. Соответственно учреждение могло приобрести указанные товары на меньшую сумму - экономия могла составить около 536,6 тыс. рублей. По пояснениям Агентства развития туризма отличие стоимости иных товаров от цен, размещенных в открытых источниках, варьируется от 2 до 105% (экономия около 376,8 тыс.</w:t>
      </w:r>
      <w:r w:rsidR="00090C6C" w:rsidRPr="006D37E7">
        <w:rPr>
          <w:rFonts w:eastAsiaTheme="minorHAnsi"/>
          <w:lang w:eastAsia="en-US"/>
        </w:rPr>
        <w:t xml:space="preserve"> </w:t>
      </w:r>
      <w:r w:rsidRPr="006D37E7">
        <w:rPr>
          <w:rFonts w:eastAsiaTheme="minorHAnsi"/>
          <w:lang w:eastAsia="en-US"/>
        </w:rPr>
        <w:t xml:space="preserve">руб.). </w:t>
      </w:r>
    </w:p>
    <w:p w14:paraId="1C9F1814" w14:textId="77777777" w:rsidR="00795F3A" w:rsidRPr="006D37E7" w:rsidRDefault="00090C6C" w:rsidP="00090C6C">
      <w:pPr>
        <w:ind w:firstLine="567"/>
        <w:jc w:val="both"/>
        <w:rPr>
          <w:rFonts w:eastAsiaTheme="minorHAnsi"/>
          <w:lang w:eastAsia="en-US"/>
        </w:rPr>
      </w:pPr>
      <w:r w:rsidRPr="006D37E7">
        <w:rPr>
          <w:rFonts w:eastAsiaTheme="minorHAnsi"/>
          <w:lang w:eastAsia="en-US"/>
        </w:rPr>
        <w:t>З</w:t>
      </w:r>
      <w:r w:rsidR="00D335AF" w:rsidRPr="006D37E7">
        <w:rPr>
          <w:rFonts w:eastAsiaTheme="minorHAnsi"/>
          <w:lang w:eastAsia="en-US"/>
        </w:rPr>
        <w:t>аключени</w:t>
      </w:r>
      <w:r w:rsidR="00B139CB" w:rsidRPr="006D37E7">
        <w:rPr>
          <w:rFonts w:eastAsiaTheme="minorHAnsi"/>
          <w:lang w:eastAsia="en-US"/>
        </w:rPr>
        <w:t>е</w:t>
      </w:r>
      <w:r w:rsidR="00D335AF" w:rsidRPr="006D37E7">
        <w:rPr>
          <w:rFonts w:eastAsiaTheme="minorHAnsi"/>
          <w:lang w:eastAsia="en-US"/>
        </w:rPr>
        <w:t xml:space="preserve"> договоров с</w:t>
      </w:r>
      <w:r w:rsidR="00795F3A" w:rsidRPr="006D37E7">
        <w:rPr>
          <w:rFonts w:eastAsiaTheme="minorHAnsi"/>
          <w:lang w:eastAsia="en-US"/>
        </w:rPr>
        <w:t xml:space="preserve"> единственн</w:t>
      </w:r>
      <w:r w:rsidR="00D335AF" w:rsidRPr="006D37E7">
        <w:rPr>
          <w:rFonts w:eastAsiaTheme="minorHAnsi"/>
          <w:lang w:eastAsia="en-US"/>
        </w:rPr>
        <w:t xml:space="preserve">ым </w:t>
      </w:r>
      <w:r w:rsidR="00795F3A" w:rsidRPr="006D37E7">
        <w:rPr>
          <w:rFonts w:eastAsiaTheme="minorHAnsi"/>
          <w:lang w:eastAsia="en-US"/>
        </w:rPr>
        <w:t>поставщик</w:t>
      </w:r>
      <w:r w:rsidR="00B139CB" w:rsidRPr="006D37E7">
        <w:rPr>
          <w:rFonts w:eastAsiaTheme="minorHAnsi"/>
          <w:lang w:eastAsia="en-US"/>
        </w:rPr>
        <w:t>ом</w:t>
      </w:r>
      <w:r w:rsidR="00795F3A" w:rsidRPr="006D37E7">
        <w:rPr>
          <w:rFonts w:eastAsiaTheme="minorHAnsi"/>
          <w:lang w:eastAsia="en-US"/>
        </w:rPr>
        <w:t xml:space="preserve"> </w:t>
      </w:r>
      <w:r w:rsidR="00855196" w:rsidRPr="006D37E7">
        <w:rPr>
          <w:rFonts w:eastAsiaTheme="minorHAnsi"/>
          <w:lang w:eastAsia="en-US"/>
        </w:rPr>
        <w:t>без конкурентных процедур</w:t>
      </w:r>
      <w:r w:rsidR="00795F3A" w:rsidRPr="006D37E7">
        <w:rPr>
          <w:rFonts w:eastAsiaTheme="minorHAnsi"/>
          <w:lang w:eastAsia="en-US"/>
        </w:rPr>
        <w:t xml:space="preserve"> привело к заключению договоров по завышенным ценам и неэффективному расходованию средств в сумме </w:t>
      </w:r>
      <w:r w:rsidR="00AD17CC" w:rsidRPr="006D37E7">
        <w:rPr>
          <w:rFonts w:eastAsiaTheme="minorHAnsi"/>
          <w:lang w:eastAsia="en-US"/>
        </w:rPr>
        <w:t>699,8</w:t>
      </w:r>
      <w:r w:rsidR="00795F3A" w:rsidRPr="006D37E7">
        <w:rPr>
          <w:rFonts w:eastAsiaTheme="minorHAnsi"/>
          <w:lang w:eastAsia="en-US"/>
        </w:rPr>
        <w:t xml:space="preserve"> тыс. руб., </w:t>
      </w:r>
      <w:r w:rsidR="00855196" w:rsidRPr="006D37E7">
        <w:rPr>
          <w:rFonts w:eastAsiaTheme="minorHAnsi"/>
          <w:lang w:eastAsia="en-US"/>
        </w:rPr>
        <w:t>в результате чего не соблюден</w:t>
      </w:r>
      <w:r w:rsidR="00795F3A" w:rsidRPr="006D37E7">
        <w:rPr>
          <w:rFonts w:eastAsiaTheme="minorHAnsi"/>
          <w:lang w:eastAsia="en-US"/>
        </w:rPr>
        <w:t xml:space="preserve"> принцип эффективности использования бюджетных средств, установленн</w:t>
      </w:r>
      <w:r w:rsidR="00855196" w:rsidRPr="006D37E7">
        <w:rPr>
          <w:rFonts w:eastAsiaTheme="minorHAnsi"/>
          <w:lang w:eastAsia="en-US"/>
        </w:rPr>
        <w:t xml:space="preserve">ый </w:t>
      </w:r>
      <w:r w:rsidR="00795F3A" w:rsidRPr="006D37E7">
        <w:rPr>
          <w:rFonts w:eastAsiaTheme="minorHAnsi"/>
          <w:lang w:eastAsia="en-US"/>
        </w:rPr>
        <w:t xml:space="preserve">ст. 34 БК РФ. </w:t>
      </w:r>
    </w:p>
    <w:p w14:paraId="1E6B84BE" w14:textId="77777777" w:rsidR="00587500" w:rsidRPr="006D37E7" w:rsidRDefault="00EA01AF" w:rsidP="00B47229">
      <w:pPr>
        <w:spacing w:before="120" w:after="120"/>
        <w:ind w:firstLine="720"/>
        <w:jc w:val="center"/>
        <w:rPr>
          <w:b/>
        </w:rPr>
      </w:pPr>
      <w:r w:rsidRPr="006D37E7">
        <w:rPr>
          <w:b/>
        </w:rPr>
        <w:t>7</w:t>
      </w:r>
      <w:r w:rsidR="00C65D68" w:rsidRPr="006D37E7">
        <w:rPr>
          <w:b/>
        </w:rPr>
        <w:t xml:space="preserve">. </w:t>
      </w:r>
      <w:r w:rsidR="006A1D26" w:rsidRPr="006D37E7">
        <w:rPr>
          <w:b/>
        </w:rPr>
        <w:t>Использование имущества Комитетом и подведомственными учреждениями</w:t>
      </w:r>
    </w:p>
    <w:p w14:paraId="1DD03FD2" w14:textId="77777777" w:rsidR="001D54EB" w:rsidRPr="006D37E7" w:rsidRDefault="000D079E" w:rsidP="009B6DE0">
      <w:pPr>
        <w:autoSpaceDE w:val="0"/>
        <w:autoSpaceDN w:val="0"/>
        <w:adjustRightInd w:val="0"/>
        <w:spacing w:before="120" w:after="120"/>
        <w:ind w:firstLine="539"/>
      </w:pPr>
      <w:r w:rsidRPr="006D37E7">
        <w:rPr>
          <w:b/>
        </w:rPr>
        <w:t>7.1</w:t>
      </w:r>
      <w:r w:rsidRPr="006D37E7">
        <w:t xml:space="preserve"> </w:t>
      </w:r>
      <w:r w:rsidR="001D54EB" w:rsidRPr="006D37E7">
        <w:t xml:space="preserve">В ходе проверки </w:t>
      </w:r>
      <w:r w:rsidR="001D54EB" w:rsidRPr="006D37E7">
        <w:rPr>
          <w:i/>
        </w:rPr>
        <w:t xml:space="preserve">в </w:t>
      </w:r>
      <w:r w:rsidR="001D54EB" w:rsidRPr="006D37E7">
        <w:rPr>
          <w:b/>
          <w:i/>
        </w:rPr>
        <w:t>Комитете</w:t>
      </w:r>
      <w:r w:rsidR="001D54EB" w:rsidRPr="006D37E7">
        <w:rPr>
          <w:b/>
        </w:rPr>
        <w:t xml:space="preserve"> </w:t>
      </w:r>
      <w:r w:rsidR="001D54EB" w:rsidRPr="006D37E7">
        <w:t>установлено следующее.</w:t>
      </w:r>
    </w:p>
    <w:p w14:paraId="592D2A1D" w14:textId="77777777" w:rsidR="00DD3571" w:rsidRPr="006D37E7" w:rsidRDefault="00314B39" w:rsidP="00DD3571">
      <w:pPr>
        <w:autoSpaceDE w:val="0"/>
        <w:autoSpaceDN w:val="0"/>
        <w:adjustRightInd w:val="0"/>
        <w:ind w:firstLine="539"/>
        <w:jc w:val="both"/>
        <w:rPr>
          <w:spacing w:val="2"/>
        </w:rPr>
      </w:pPr>
      <w:r w:rsidRPr="006D37E7">
        <w:rPr>
          <w:b/>
          <w:spacing w:val="2"/>
        </w:rPr>
        <w:t>7.</w:t>
      </w:r>
      <w:r w:rsidR="00B47229" w:rsidRPr="006D37E7">
        <w:rPr>
          <w:b/>
          <w:spacing w:val="2"/>
        </w:rPr>
        <w:t>1.</w:t>
      </w:r>
      <w:r w:rsidR="000D079E" w:rsidRPr="006D37E7">
        <w:rPr>
          <w:b/>
          <w:spacing w:val="2"/>
        </w:rPr>
        <w:t>1</w:t>
      </w:r>
      <w:r w:rsidR="00B47229" w:rsidRPr="006D37E7">
        <w:rPr>
          <w:spacing w:val="2"/>
        </w:rPr>
        <w:t xml:space="preserve"> </w:t>
      </w:r>
      <w:r w:rsidR="00DD3571" w:rsidRPr="006D37E7">
        <w:rPr>
          <w:spacing w:val="2"/>
        </w:rPr>
        <w:t xml:space="preserve">С 2009 года по предложению Минкультуры России и Минэкономразвития России осуществляется передача части тиражей Большой </w:t>
      </w:r>
      <w:r w:rsidR="00DB2783" w:rsidRPr="006D37E7">
        <w:rPr>
          <w:spacing w:val="2"/>
        </w:rPr>
        <w:t>Р</w:t>
      </w:r>
      <w:r w:rsidR="00DD3571" w:rsidRPr="006D37E7">
        <w:rPr>
          <w:spacing w:val="2"/>
        </w:rPr>
        <w:t xml:space="preserve">оссийской </w:t>
      </w:r>
      <w:r w:rsidR="00DB2783" w:rsidRPr="006D37E7">
        <w:rPr>
          <w:spacing w:val="2"/>
        </w:rPr>
        <w:t>э</w:t>
      </w:r>
      <w:r w:rsidR="00DD3571" w:rsidRPr="006D37E7">
        <w:rPr>
          <w:spacing w:val="2"/>
        </w:rPr>
        <w:t xml:space="preserve">нциклопедии </w:t>
      </w:r>
      <w:r w:rsidR="00DB2783" w:rsidRPr="006D37E7">
        <w:rPr>
          <w:spacing w:val="2"/>
        </w:rPr>
        <w:t xml:space="preserve">(далее - БРЭ) </w:t>
      </w:r>
      <w:r w:rsidR="00DD3571" w:rsidRPr="006D37E7">
        <w:rPr>
          <w:spacing w:val="2"/>
        </w:rPr>
        <w:t xml:space="preserve">и Православной энциклопедии </w:t>
      </w:r>
      <w:r w:rsidR="00DB2783" w:rsidRPr="006D37E7">
        <w:rPr>
          <w:spacing w:val="2"/>
        </w:rPr>
        <w:t xml:space="preserve">(далее - ПЭ) </w:t>
      </w:r>
      <w:r w:rsidR="00DD3571" w:rsidRPr="006D37E7">
        <w:rPr>
          <w:spacing w:val="2"/>
        </w:rPr>
        <w:t>в библиотеки субъектов Российской Федерации и библиотеки муниципальных образований.</w:t>
      </w:r>
    </w:p>
    <w:p w14:paraId="34B577AC" w14:textId="77777777" w:rsidR="003211B1" w:rsidRPr="006D37E7" w:rsidRDefault="003211B1" w:rsidP="003211B1">
      <w:pPr>
        <w:autoSpaceDE w:val="0"/>
        <w:autoSpaceDN w:val="0"/>
        <w:adjustRightInd w:val="0"/>
        <w:ind w:firstLine="539"/>
        <w:jc w:val="both"/>
        <w:rPr>
          <w:i/>
        </w:rPr>
      </w:pPr>
      <w:r w:rsidRPr="006D37E7">
        <w:t xml:space="preserve">Распоряжениями Правительства Российской Федерации от 01.12.2012 №882-р, от 18.12.2014 №2611-р, от 25.05.2015 №948-р, от 13.10.2017 №2228-р уполномоченным органам государственной власти субъектов РФ было рекомендовано принимать энциклопедии в собственность с возможностью передачи их в </w:t>
      </w:r>
      <w:r w:rsidRPr="006D37E7">
        <w:rPr>
          <w:i/>
        </w:rPr>
        <w:t xml:space="preserve">собственность муниципальных образований или в оперативное управление общедоступным библиотекам </w:t>
      </w:r>
      <w:r w:rsidR="00DF0AD4" w:rsidRPr="006D37E7">
        <w:rPr>
          <w:i/>
        </w:rPr>
        <w:t>Волгоградской области</w:t>
      </w:r>
      <w:r w:rsidRPr="006D37E7">
        <w:rPr>
          <w:i/>
        </w:rPr>
        <w:t>.</w:t>
      </w:r>
    </w:p>
    <w:p w14:paraId="30BCD2DC" w14:textId="77777777" w:rsidR="00DB2783" w:rsidRPr="006D37E7" w:rsidRDefault="00DB2783" w:rsidP="003211B1">
      <w:pPr>
        <w:autoSpaceDE w:val="0"/>
        <w:autoSpaceDN w:val="0"/>
        <w:adjustRightInd w:val="0"/>
        <w:ind w:firstLine="539"/>
        <w:jc w:val="both"/>
        <w:rPr>
          <w:spacing w:val="2"/>
        </w:rPr>
      </w:pPr>
      <w:r w:rsidRPr="006D37E7">
        <w:rPr>
          <w:spacing w:val="2"/>
        </w:rPr>
        <w:t>С 2009 по 2012 год прием и передачу энциклопедий муниципальным образованиям Волгоградской области осуществлял КУГИ. Информация о количестве томов, их тираже по видам энциклопедий в Комитете отсутствует.</w:t>
      </w:r>
    </w:p>
    <w:p w14:paraId="56F1FF70" w14:textId="77777777" w:rsidR="00314B39" w:rsidRPr="006D37E7" w:rsidRDefault="00DB2783" w:rsidP="003211B1">
      <w:pPr>
        <w:autoSpaceDE w:val="0"/>
        <w:autoSpaceDN w:val="0"/>
        <w:adjustRightInd w:val="0"/>
        <w:ind w:firstLine="539"/>
        <w:jc w:val="both"/>
        <w:rPr>
          <w:spacing w:val="2"/>
        </w:rPr>
      </w:pPr>
      <w:r w:rsidRPr="006D37E7">
        <w:rPr>
          <w:spacing w:val="2"/>
        </w:rPr>
        <w:t xml:space="preserve">С 2012 года энциклопедии, полученные </w:t>
      </w:r>
      <w:r w:rsidR="00314B39" w:rsidRPr="006D37E7">
        <w:rPr>
          <w:spacing w:val="2"/>
        </w:rPr>
        <w:t>Волгоградской областью</w:t>
      </w:r>
      <w:r w:rsidRPr="006D37E7">
        <w:rPr>
          <w:spacing w:val="2"/>
        </w:rPr>
        <w:t xml:space="preserve">, из казны Волгоградской области КУГИ закреплялись за Комитетом для последующей передачи в собственность муниципальных образований или в оперативное управление общедоступным государственным библиотекам. Всего Комитетом </w:t>
      </w:r>
      <w:r w:rsidR="00314B39" w:rsidRPr="006D37E7">
        <w:rPr>
          <w:spacing w:val="2"/>
        </w:rPr>
        <w:t xml:space="preserve">получены </w:t>
      </w:r>
      <w:r w:rsidR="00C27D6E" w:rsidRPr="006D37E7">
        <w:rPr>
          <w:spacing w:val="2"/>
        </w:rPr>
        <w:t xml:space="preserve">энциклопедии в количестве </w:t>
      </w:r>
      <w:r w:rsidR="00314B39" w:rsidRPr="006D37E7">
        <w:rPr>
          <w:spacing w:val="2"/>
        </w:rPr>
        <w:t>17917 экз.</w:t>
      </w:r>
      <w:r w:rsidR="00C27D6E" w:rsidRPr="006D37E7">
        <w:rPr>
          <w:spacing w:val="2"/>
        </w:rPr>
        <w:t xml:space="preserve"> </w:t>
      </w:r>
      <w:r w:rsidR="00314B39" w:rsidRPr="006D37E7">
        <w:rPr>
          <w:spacing w:val="2"/>
        </w:rPr>
        <w:t>на общую сумму 22894,3 тыс.</w:t>
      </w:r>
      <w:r w:rsidR="00C27D6E" w:rsidRPr="006D37E7">
        <w:rPr>
          <w:spacing w:val="2"/>
        </w:rPr>
        <w:t xml:space="preserve"> </w:t>
      </w:r>
      <w:r w:rsidR="00314B39" w:rsidRPr="006D37E7">
        <w:rPr>
          <w:spacing w:val="2"/>
        </w:rPr>
        <w:t>руб</w:t>
      </w:r>
      <w:r w:rsidRPr="006D37E7">
        <w:rPr>
          <w:spacing w:val="2"/>
        </w:rPr>
        <w:t>., в том числе: БРЭ  тома с №15 по №35, ПЭ тома с №21 по №51</w:t>
      </w:r>
      <w:r w:rsidR="00314B39" w:rsidRPr="006D37E7">
        <w:rPr>
          <w:spacing w:val="2"/>
        </w:rPr>
        <w:t>.</w:t>
      </w:r>
    </w:p>
    <w:p w14:paraId="1CE14A66" w14:textId="77777777" w:rsidR="00D62954" w:rsidRPr="006D37E7" w:rsidRDefault="00D62954" w:rsidP="00D62954">
      <w:pPr>
        <w:autoSpaceDE w:val="0"/>
        <w:autoSpaceDN w:val="0"/>
        <w:adjustRightInd w:val="0"/>
        <w:ind w:firstLine="539"/>
        <w:jc w:val="both"/>
      </w:pPr>
      <w:r w:rsidRPr="006D37E7">
        <w:rPr>
          <w:spacing w:val="2"/>
        </w:rPr>
        <w:t>При этом</w:t>
      </w:r>
      <w:r w:rsidRPr="006D37E7">
        <w:t xml:space="preserve"> энциклопедии в количестве 1500 экз. на общую сумму 2850,1 тыс. руб., полученные Комитетом в 2015 году не были отражены по данным бухгалтерского учета Комитета</w:t>
      </w:r>
      <w:r w:rsidR="00CF6D9F" w:rsidRPr="006D37E7">
        <w:t xml:space="preserve"> (</w:t>
      </w:r>
      <w:r w:rsidRPr="006D37E7">
        <w:t>на учете отражены только в ходе проверки 05.04.2019 года</w:t>
      </w:r>
      <w:r w:rsidR="00CF6D9F" w:rsidRPr="006D37E7">
        <w:t>)</w:t>
      </w:r>
      <w:r w:rsidRPr="006D37E7">
        <w:t xml:space="preserve">. </w:t>
      </w:r>
    </w:p>
    <w:p w14:paraId="09EFF550" w14:textId="77777777" w:rsidR="00591438" w:rsidRPr="006D37E7" w:rsidRDefault="00591438" w:rsidP="00591438">
      <w:pPr>
        <w:autoSpaceDE w:val="0"/>
        <w:autoSpaceDN w:val="0"/>
        <w:adjustRightInd w:val="0"/>
        <w:ind w:firstLine="539"/>
        <w:jc w:val="both"/>
      </w:pPr>
      <w:r w:rsidRPr="006D37E7">
        <w:t xml:space="preserve">При обследовании мест хранения энциклопедий сотрудниками КСП и Комитета  (ГБУК «Волгоградская областная универсальная научная библиотека им. М. Горького») в ходе проверки установлено наличие только 2067 экз. энциклопедий на сумму 2324,5 тыс. рублей.  </w:t>
      </w:r>
    </w:p>
    <w:p w14:paraId="55A2B1C3" w14:textId="77777777" w:rsidR="00591438" w:rsidRPr="006D37E7" w:rsidRDefault="00591438" w:rsidP="00591438">
      <w:pPr>
        <w:autoSpaceDE w:val="0"/>
        <w:autoSpaceDN w:val="0"/>
        <w:adjustRightInd w:val="0"/>
        <w:ind w:firstLine="539"/>
        <w:jc w:val="both"/>
      </w:pPr>
      <w:r w:rsidRPr="006D37E7">
        <w:t xml:space="preserve">Согласно акту о результатах инвентаризации в период с 5 по 30 ноября 2018 года комиссией Комитета была проведена инвентаризация основных средств, по результатам которой излишки и недостача не выявлены. При этом указанное в инвентаризационной описи количество энциклопедий не соответствует фактическому наличию энциклопедий в Комитете. По данному факту членами инвентаризационной комиссии даны пояснения, согласно которым при проведении инвентаризации коробки с энциклопедиями вскрывались выборочно, что свидетельствует о формальном проведении инвентаризации.  </w:t>
      </w:r>
    </w:p>
    <w:p w14:paraId="5D8A6C6A" w14:textId="77777777" w:rsidR="00591438" w:rsidRPr="006D37E7" w:rsidRDefault="00591438" w:rsidP="00ED4DD8">
      <w:pPr>
        <w:autoSpaceDE w:val="0"/>
        <w:autoSpaceDN w:val="0"/>
        <w:adjustRightInd w:val="0"/>
        <w:ind w:firstLine="539"/>
        <w:jc w:val="both"/>
      </w:pPr>
      <w:r w:rsidRPr="006D37E7">
        <w:t>С</w:t>
      </w:r>
      <w:r w:rsidR="003211B1" w:rsidRPr="006D37E7">
        <w:t xml:space="preserve"> соблюдением </w:t>
      </w:r>
      <w:r w:rsidRPr="006D37E7">
        <w:t xml:space="preserve">требований порядка передачи имущества субъекта РФ в муниципальную собственность, установленного </w:t>
      </w:r>
      <w:r w:rsidRPr="006D37E7">
        <w:rPr>
          <w:rFonts w:eastAsiaTheme="minorHAnsi"/>
          <w:lang w:eastAsia="en-US"/>
        </w:rPr>
        <w:t xml:space="preserve">Законами Волгоградской области от 06.12.1999 №335-ОД и от 31.10.2017 №97-ОД «О порядке управления и распоряжения собственностью Волгоградской области» (далее Законы №№335-ОД и 97-ОД) </w:t>
      </w:r>
      <w:r w:rsidR="00ED4DD8" w:rsidRPr="006D37E7">
        <w:t>на основании распоряжений КУГИ</w:t>
      </w:r>
      <w:r w:rsidRPr="006D37E7">
        <w:t xml:space="preserve">, Комитетом </w:t>
      </w:r>
      <w:r w:rsidRPr="006D37E7">
        <w:lastRenderedPageBreak/>
        <w:t>передано</w:t>
      </w:r>
      <w:r w:rsidR="00ED4DD8" w:rsidRPr="006D37E7">
        <w:t xml:space="preserve"> </w:t>
      </w:r>
      <w:r w:rsidR="003211B1" w:rsidRPr="006D37E7">
        <w:t>45 экз. энциклопедий на сумму 41,3 тыс. руб</w:t>
      </w:r>
      <w:r w:rsidR="00ED4DD8" w:rsidRPr="006D37E7">
        <w:t>.</w:t>
      </w:r>
      <w:r w:rsidR="00D62954" w:rsidRPr="006D37E7">
        <w:t xml:space="preserve"> в 2018 году, </w:t>
      </w:r>
      <w:r w:rsidR="00ED4DD8" w:rsidRPr="006D37E7">
        <w:t>225 экз. энциклопедий на сумму 224,2 тыс. руб</w:t>
      </w:r>
      <w:r w:rsidR="00D62954" w:rsidRPr="006D37E7">
        <w:t>. в 1 квартале 2019 года</w:t>
      </w:r>
      <w:r w:rsidRPr="006D37E7">
        <w:t>.</w:t>
      </w:r>
    </w:p>
    <w:p w14:paraId="226E11E6" w14:textId="77777777" w:rsidR="00591438" w:rsidRPr="006D37E7" w:rsidRDefault="00591438" w:rsidP="00B139CB">
      <w:pPr>
        <w:autoSpaceDE w:val="0"/>
        <w:autoSpaceDN w:val="0"/>
        <w:adjustRightInd w:val="0"/>
        <w:ind w:firstLine="539"/>
        <w:jc w:val="both"/>
      </w:pPr>
      <w:r w:rsidRPr="006D37E7">
        <w:t>В ходе проверки Комитетом 05.04.2019 оформлены документы, подтверждающие передачу в муниципальные образования Волгоградской области энциклопедий (договора хранения с правом пользования, акты приема-передачи) 17647 экз. на общую сумму 22628,8 тыс. рублей.</w:t>
      </w:r>
    </w:p>
    <w:p w14:paraId="73B173E7" w14:textId="77777777" w:rsidR="00393A88" w:rsidRPr="006D37E7" w:rsidRDefault="00591438" w:rsidP="00393A88">
      <w:pPr>
        <w:autoSpaceDE w:val="0"/>
        <w:autoSpaceDN w:val="0"/>
        <w:adjustRightInd w:val="0"/>
        <w:ind w:firstLine="539"/>
        <w:jc w:val="both"/>
      </w:pPr>
      <w:r w:rsidRPr="006D37E7">
        <w:t xml:space="preserve">Таким образом, </w:t>
      </w:r>
      <w:r w:rsidR="00816DCF" w:rsidRPr="006D37E7">
        <w:t xml:space="preserve">муниципальным образованиям энциклопедии </w:t>
      </w:r>
      <w:r w:rsidR="004C0D57" w:rsidRPr="006D37E7">
        <w:t xml:space="preserve">в количестве </w:t>
      </w:r>
      <w:r w:rsidR="00393A88" w:rsidRPr="006D37E7">
        <w:t>17647</w:t>
      </w:r>
      <w:r w:rsidR="004C0D57" w:rsidRPr="006D37E7">
        <w:t xml:space="preserve"> экз. на общую сумму </w:t>
      </w:r>
      <w:r w:rsidR="00393A88" w:rsidRPr="006D37E7">
        <w:t>22628,8 тыс. руб.</w:t>
      </w:r>
      <w:r w:rsidR="0042492C" w:rsidRPr="006D37E7">
        <w:t xml:space="preserve"> </w:t>
      </w:r>
      <w:r w:rsidR="00CF6D9F" w:rsidRPr="006D37E7">
        <w:t>переданы с нарушением</w:t>
      </w:r>
      <w:r w:rsidR="0042492C" w:rsidRPr="006D37E7">
        <w:t xml:space="preserve"> требований </w:t>
      </w:r>
      <w:r w:rsidRPr="006D37E7">
        <w:t xml:space="preserve">порядка передачи имущества субъекта РФ в муниципальную собственность, установленного </w:t>
      </w:r>
      <w:r w:rsidRPr="006D37E7">
        <w:rPr>
          <w:rFonts w:eastAsiaTheme="minorHAnsi"/>
          <w:lang w:eastAsia="en-US"/>
        </w:rPr>
        <w:t>Законами №335-ОД и №97-ОД</w:t>
      </w:r>
      <w:r w:rsidR="0042492C" w:rsidRPr="006D37E7">
        <w:t>. Соответственно</w:t>
      </w:r>
      <w:r w:rsidR="00393A88" w:rsidRPr="006D37E7">
        <w:t xml:space="preserve"> Комитетом не обеспечено исполнение Распоряжений Правительства Российской Федерации от 01.12.2012 №882-р, от 18.12.2014 №2611-р, от 25.05.2015 №948-р, от 13.10.2017 №2228-р, которыми было рекомендовано обеспечить </w:t>
      </w:r>
      <w:r w:rsidR="004C0D57" w:rsidRPr="006D37E7">
        <w:t>переда</w:t>
      </w:r>
      <w:r w:rsidR="00393A88" w:rsidRPr="006D37E7">
        <w:t xml:space="preserve">чу энциклопедий </w:t>
      </w:r>
      <w:r w:rsidR="004C0D57" w:rsidRPr="006D37E7">
        <w:t xml:space="preserve"> в собственность </w:t>
      </w:r>
      <w:r w:rsidR="001734DF" w:rsidRPr="006D37E7">
        <w:t xml:space="preserve">муниципальных образований или в оперативное управление общедоступным библиотекам </w:t>
      </w:r>
      <w:r w:rsidR="00393A88" w:rsidRPr="006D37E7">
        <w:t>Волгоградской области</w:t>
      </w:r>
      <w:r w:rsidRPr="006D37E7">
        <w:t xml:space="preserve">, что привело к невозможности предоставления </w:t>
      </w:r>
      <w:r w:rsidR="00393A88" w:rsidRPr="006D37E7">
        <w:t>их посетителям.</w:t>
      </w:r>
    </w:p>
    <w:p w14:paraId="79B84C77" w14:textId="77777777" w:rsidR="00A63FC4" w:rsidRPr="006D37E7" w:rsidRDefault="00314B39" w:rsidP="00A63FC4">
      <w:pPr>
        <w:autoSpaceDE w:val="0"/>
        <w:autoSpaceDN w:val="0"/>
        <w:adjustRightInd w:val="0"/>
        <w:spacing w:before="120"/>
        <w:ind w:firstLine="539"/>
        <w:jc w:val="both"/>
      </w:pPr>
      <w:r w:rsidRPr="006D37E7">
        <w:rPr>
          <w:b/>
        </w:rPr>
        <w:t>7.</w:t>
      </w:r>
      <w:r w:rsidR="000D079E" w:rsidRPr="006D37E7">
        <w:rPr>
          <w:b/>
        </w:rPr>
        <w:t>1.</w:t>
      </w:r>
      <w:r w:rsidR="00FF0DFE" w:rsidRPr="006D37E7">
        <w:rPr>
          <w:b/>
        </w:rPr>
        <w:t>2.</w:t>
      </w:r>
      <w:r w:rsidR="00FF0DFE" w:rsidRPr="006D37E7">
        <w:t xml:space="preserve"> В связи с вступлением в силу постановления Администрация Волгоградской области от 12.11.2018 № 510-п «О порядке определения видов и перечней особо ценного движимого имущества…» </w:t>
      </w:r>
      <w:r w:rsidR="00A63FC4" w:rsidRPr="006D37E7">
        <w:t xml:space="preserve">(далее Порядок №510-п) </w:t>
      </w:r>
      <w:r w:rsidR="00180F43" w:rsidRPr="006D37E7">
        <w:t>изменения в приказ Комитета от 20.09.2011 «Об утверждении видов особо ценного движимого имущества автономных и бюджетных учреждений, подведомственных Комитету»</w:t>
      </w:r>
      <w:r w:rsidR="00A63FC4" w:rsidRPr="006D37E7">
        <w:t xml:space="preserve"> (далее Приказ №01-20/264) </w:t>
      </w:r>
      <w:r w:rsidR="00180F43" w:rsidRPr="006D37E7">
        <w:t xml:space="preserve"> не вн</w:t>
      </w:r>
      <w:r w:rsidR="00FF0DFE" w:rsidRPr="006D37E7">
        <w:t>е</w:t>
      </w:r>
      <w:r w:rsidR="00180F43" w:rsidRPr="006D37E7">
        <w:t>с</w:t>
      </w:r>
      <w:r w:rsidR="00FF0DFE" w:rsidRPr="006D37E7">
        <w:t>ены</w:t>
      </w:r>
      <w:r w:rsidR="00A63FC4" w:rsidRPr="006D37E7">
        <w:t xml:space="preserve">. </w:t>
      </w:r>
      <w:r w:rsidRPr="006D37E7">
        <w:t xml:space="preserve">В приказе имеются ссылки на постановление Администрация Волгоградской области </w:t>
      </w:r>
      <w:r w:rsidRPr="006D37E7">
        <w:rPr>
          <w:rFonts w:eastAsiaTheme="minorHAnsi"/>
          <w:lang w:eastAsia="en-US"/>
        </w:rPr>
        <w:t>от 20.12.2010 №692-</w:t>
      </w:r>
      <w:proofErr w:type="gramStart"/>
      <w:r w:rsidRPr="006D37E7">
        <w:rPr>
          <w:rFonts w:eastAsiaTheme="minorHAnsi"/>
          <w:lang w:eastAsia="en-US"/>
        </w:rPr>
        <w:t>п  «</w:t>
      </w:r>
      <w:proofErr w:type="gramEnd"/>
      <w:r w:rsidRPr="006D37E7">
        <w:rPr>
          <w:rFonts w:eastAsiaTheme="minorHAnsi"/>
          <w:lang w:eastAsia="en-US"/>
        </w:rPr>
        <w:t xml:space="preserve">О порядке определения видов и перечней особо ценного движимого …», который утратил силу в связи с изданием </w:t>
      </w:r>
      <w:r w:rsidRPr="006D37E7">
        <w:t>Порядка №510-п.</w:t>
      </w:r>
    </w:p>
    <w:p w14:paraId="2E5A72A2" w14:textId="77777777" w:rsidR="00090C6C" w:rsidRPr="006D37E7" w:rsidRDefault="00A63FC4" w:rsidP="00090C6C">
      <w:pPr>
        <w:autoSpaceDE w:val="0"/>
        <w:autoSpaceDN w:val="0"/>
        <w:adjustRightInd w:val="0"/>
        <w:ind w:firstLine="539"/>
        <w:jc w:val="both"/>
      </w:pPr>
      <w:r w:rsidRPr="006D37E7">
        <w:t xml:space="preserve">Кроме того, в нарушение п.3 Порядка № 510-п по состоянию на 27.03.2019 Комитетом виды особо ценного </w:t>
      </w:r>
      <w:r w:rsidR="00393A88" w:rsidRPr="006D37E7">
        <w:t xml:space="preserve">движимого </w:t>
      </w:r>
      <w:r w:rsidRPr="006D37E7">
        <w:t>имущества Планетария, подлежащего включению в перечень особо ценного движимого имущества, не определены. Виды особо ценного движимого имущества Планетария утверждены в ходе проверки приказом Комитета от 29.03.2019 №01-20/70.</w:t>
      </w:r>
    </w:p>
    <w:p w14:paraId="5EEC7F00" w14:textId="77777777" w:rsidR="00A63FC4" w:rsidRPr="006D37E7" w:rsidRDefault="000D079E" w:rsidP="00637AFA">
      <w:pPr>
        <w:autoSpaceDE w:val="0"/>
        <w:autoSpaceDN w:val="0"/>
        <w:adjustRightInd w:val="0"/>
        <w:spacing w:before="120"/>
        <w:ind w:firstLine="539"/>
        <w:jc w:val="both"/>
      </w:pPr>
      <w:r w:rsidRPr="006D37E7">
        <w:rPr>
          <w:b/>
        </w:rPr>
        <w:t>7.2</w:t>
      </w:r>
      <w:r w:rsidRPr="006D37E7">
        <w:t xml:space="preserve"> </w:t>
      </w:r>
      <w:r w:rsidR="00A63FC4" w:rsidRPr="006D37E7">
        <w:t xml:space="preserve">Отсутствие надлежащего контроля со стороны Комитета привело к многочисленным нарушениям </w:t>
      </w:r>
      <w:r w:rsidR="00A63FC4" w:rsidRPr="006D37E7">
        <w:rPr>
          <w:b/>
        </w:rPr>
        <w:t>в подведомственных учреждениях</w:t>
      </w:r>
      <w:r w:rsidR="00A63FC4" w:rsidRPr="006D37E7">
        <w:t xml:space="preserve"> в части использования</w:t>
      </w:r>
      <w:r w:rsidR="007D4463" w:rsidRPr="006D37E7">
        <w:t>,</w:t>
      </w:r>
      <w:r w:rsidR="00A63FC4" w:rsidRPr="006D37E7">
        <w:t xml:space="preserve"> распоряжения </w:t>
      </w:r>
      <w:r w:rsidR="007D4463" w:rsidRPr="006D37E7">
        <w:t xml:space="preserve">и сохранности </w:t>
      </w:r>
      <w:r w:rsidR="00A63FC4" w:rsidRPr="006D37E7">
        <w:t>имущества, в том числе особо ценного имущества.</w:t>
      </w:r>
    </w:p>
    <w:p w14:paraId="31D10E26" w14:textId="77777777" w:rsidR="00180F43" w:rsidRPr="006D37E7" w:rsidRDefault="00314B39" w:rsidP="00A63FC4">
      <w:pPr>
        <w:autoSpaceDE w:val="0"/>
        <w:autoSpaceDN w:val="0"/>
        <w:adjustRightInd w:val="0"/>
        <w:ind w:firstLine="539"/>
        <w:jc w:val="both"/>
      </w:pPr>
      <w:r w:rsidRPr="006D37E7">
        <w:rPr>
          <w:b/>
        </w:rPr>
        <w:t>7.</w:t>
      </w:r>
      <w:r w:rsidR="000D079E" w:rsidRPr="006D37E7">
        <w:rPr>
          <w:b/>
        </w:rPr>
        <w:t>2.1</w:t>
      </w:r>
      <w:r w:rsidR="00A63FC4" w:rsidRPr="006D37E7">
        <w:t xml:space="preserve"> В нарушение п.4 Порядка №510-п и Приказа №01-20/264 подведомственными учреждениями объекты движимого имущества общей балансовой стоимостью </w:t>
      </w:r>
      <w:r w:rsidR="002A61E6" w:rsidRPr="006D37E7">
        <w:t>6991,5</w:t>
      </w:r>
      <w:r w:rsidR="00A63FC4" w:rsidRPr="006D37E7">
        <w:t xml:space="preserve"> тыс. руб. не включены в состав особо ценного имущества, в том числе:</w:t>
      </w:r>
    </w:p>
    <w:p w14:paraId="3C1897E7" w14:textId="77777777" w:rsidR="00F11040" w:rsidRPr="006D37E7" w:rsidRDefault="00A63FC4" w:rsidP="00F11040">
      <w:pPr>
        <w:autoSpaceDE w:val="0"/>
        <w:autoSpaceDN w:val="0"/>
        <w:adjustRightInd w:val="0"/>
        <w:ind w:firstLine="708"/>
        <w:jc w:val="both"/>
      </w:pPr>
      <w:r w:rsidRPr="006D37E7">
        <w:t>-13 объектов движимого имущества общей балансовой стоимостью 1306,2 тыс. руб., числящ</w:t>
      </w:r>
      <w:r w:rsidR="00F11040" w:rsidRPr="006D37E7">
        <w:t>егося</w:t>
      </w:r>
      <w:r w:rsidRPr="006D37E7">
        <w:t xml:space="preserve"> по данным бюджетного учета в Планетарии;</w:t>
      </w:r>
    </w:p>
    <w:p w14:paraId="1688596E" w14:textId="77777777" w:rsidR="00F11040" w:rsidRPr="006D37E7" w:rsidRDefault="00F11040" w:rsidP="00A63FC4">
      <w:pPr>
        <w:autoSpaceDE w:val="0"/>
        <w:autoSpaceDN w:val="0"/>
        <w:adjustRightInd w:val="0"/>
        <w:ind w:firstLine="708"/>
        <w:jc w:val="both"/>
      </w:pPr>
      <w:r w:rsidRPr="006D37E7">
        <w:t>-</w:t>
      </w:r>
      <w:r w:rsidR="00862051" w:rsidRPr="006D37E7">
        <w:t>86</w:t>
      </w:r>
      <w:r w:rsidRPr="006D37E7">
        <w:t xml:space="preserve"> единиц </w:t>
      </w:r>
      <w:r w:rsidR="0042492C" w:rsidRPr="006D37E7">
        <w:t xml:space="preserve">движимого имущества </w:t>
      </w:r>
      <w:r w:rsidRPr="006D37E7">
        <w:t xml:space="preserve">на общую сумму </w:t>
      </w:r>
      <w:r w:rsidR="00862051" w:rsidRPr="006D37E7">
        <w:t>3297,5</w:t>
      </w:r>
      <w:r w:rsidRPr="006D37E7">
        <w:t xml:space="preserve"> тыс. руб. (компьютеры, одежда сцены, пожарная сигнализация, климатическое оборудование и др.), числящегося по данным бюджетного учета ВОЦНТ;</w:t>
      </w:r>
    </w:p>
    <w:p w14:paraId="07DB82A4" w14:textId="77777777" w:rsidR="003F491B" w:rsidRPr="006D37E7" w:rsidRDefault="00F11040" w:rsidP="00A63FC4">
      <w:pPr>
        <w:autoSpaceDE w:val="0"/>
        <w:autoSpaceDN w:val="0"/>
        <w:adjustRightInd w:val="0"/>
        <w:ind w:firstLine="708"/>
        <w:jc w:val="both"/>
      </w:pPr>
      <w:r w:rsidRPr="006D37E7">
        <w:t>-движимое имущество на общую сумму 2387,8 тыс.</w:t>
      </w:r>
      <w:r w:rsidR="00656699" w:rsidRPr="006D37E7">
        <w:t xml:space="preserve"> </w:t>
      </w:r>
      <w:r w:rsidRPr="006D37E7">
        <w:t>руб. (</w:t>
      </w:r>
      <w:r w:rsidR="00656699" w:rsidRPr="006D37E7">
        <w:t>компьютеры, мебель, ноутбуки, кондиционеры, телевизоры, МФУ и др.) числящееся по данным бюджетного учета Агентства по туризму.</w:t>
      </w:r>
      <w:r w:rsidR="007C2564" w:rsidRPr="006D37E7">
        <w:t xml:space="preserve"> </w:t>
      </w:r>
    </w:p>
    <w:p w14:paraId="0B2F9177" w14:textId="77777777" w:rsidR="003F491B" w:rsidRPr="006D37E7" w:rsidRDefault="003F491B" w:rsidP="003F491B">
      <w:pPr>
        <w:autoSpaceDE w:val="0"/>
        <w:autoSpaceDN w:val="0"/>
        <w:adjustRightInd w:val="0"/>
        <w:ind w:firstLine="708"/>
        <w:jc w:val="both"/>
        <w:rPr>
          <w:i/>
        </w:rPr>
      </w:pPr>
      <w:r w:rsidRPr="006D37E7">
        <w:rPr>
          <w:i/>
        </w:rPr>
        <w:t>В ходе проверки учреждениями (за исключением Агентства туризма в связи с изменением подведомственности) в Комитет направлены письма  с предложениями о включени</w:t>
      </w:r>
      <w:r w:rsidR="00384551" w:rsidRPr="006D37E7">
        <w:rPr>
          <w:i/>
        </w:rPr>
        <w:t>и</w:t>
      </w:r>
      <w:r w:rsidRPr="006D37E7">
        <w:rPr>
          <w:i/>
        </w:rPr>
        <w:t xml:space="preserve"> указанного имущества в перечень особо ценного движимого имущества. </w:t>
      </w:r>
    </w:p>
    <w:p w14:paraId="3AEC4B70" w14:textId="77777777" w:rsidR="003F491B" w:rsidRPr="006D37E7" w:rsidRDefault="00314B39" w:rsidP="00A63FC4">
      <w:pPr>
        <w:autoSpaceDE w:val="0"/>
        <w:autoSpaceDN w:val="0"/>
        <w:adjustRightInd w:val="0"/>
        <w:ind w:firstLine="708"/>
        <w:jc w:val="both"/>
      </w:pPr>
      <w:r w:rsidRPr="006D37E7">
        <w:rPr>
          <w:b/>
        </w:rPr>
        <w:t>7.</w:t>
      </w:r>
      <w:r w:rsidR="000D079E" w:rsidRPr="006D37E7">
        <w:rPr>
          <w:b/>
        </w:rPr>
        <w:t>2.2</w:t>
      </w:r>
      <w:r w:rsidR="003F491B" w:rsidRPr="006D37E7">
        <w:t xml:space="preserve"> </w:t>
      </w:r>
      <w:proofErr w:type="spellStart"/>
      <w:r w:rsidR="007C2564" w:rsidRPr="006D37E7">
        <w:t>Неотражение</w:t>
      </w:r>
      <w:proofErr w:type="spellEnd"/>
      <w:r w:rsidR="007C2564" w:rsidRPr="006D37E7">
        <w:t xml:space="preserve"> в составе особо ценного имущества позволило</w:t>
      </w:r>
      <w:r w:rsidR="003F491B" w:rsidRPr="006D37E7">
        <w:t xml:space="preserve"> Агентству развития туризма:</w:t>
      </w:r>
    </w:p>
    <w:p w14:paraId="1616CCED" w14:textId="77777777" w:rsidR="003F491B" w:rsidRPr="006D37E7" w:rsidRDefault="003F491B" w:rsidP="00A63FC4">
      <w:pPr>
        <w:autoSpaceDE w:val="0"/>
        <w:autoSpaceDN w:val="0"/>
        <w:adjustRightInd w:val="0"/>
        <w:ind w:firstLine="708"/>
        <w:jc w:val="both"/>
      </w:pPr>
      <w:r w:rsidRPr="006D37E7">
        <w:t>-</w:t>
      </w:r>
      <w:r w:rsidR="007C2564" w:rsidRPr="006D37E7">
        <w:t>без согласования с КУГИ произвести передачу и списание имущества на сумму 382,7 тыс. руб</w:t>
      </w:r>
      <w:r w:rsidRPr="006D37E7">
        <w:t>., и</w:t>
      </w:r>
      <w:r w:rsidR="00D979CE" w:rsidRPr="006D37E7">
        <w:t xml:space="preserve">мущество передано в Комитет и </w:t>
      </w:r>
      <w:r w:rsidR="007C2564" w:rsidRPr="006D37E7">
        <w:t>ГБУК Волгоградский кукольный театр</w:t>
      </w:r>
      <w:r w:rsidRPr="006D37E7">
        <w:t>;</w:t>
      </w:r>
    </w:p>
    <w:p w14:paraId="03C04D49" w14:textId="77777777" w:rsidR="003F491B" w:rsidRPr="006D37E7" w:rsidRDefault="003F491B" w:rsidP="005B5B4D">
      <w:pPr>
        <w:autoSpaceDE w:val="0"/>
        <w:autoSpaceDN w:val="0"/>
        <w:adjustRightInd w:val="0"/>
        <w:ind w:firstLine="708"/>
        <w:jc w:val="both"/>
        <w:rPr>
          <w:i/>
        </w:rPr>
      </w:pPr>
      <w:r w:rsidRPr="006D37E7">
        <w:t>-</w:t>
      </w:r>
      <w:r w:rsidR="005B5B4D" w:rsidRPr="006D37E7">
        <w:t xml:space="preserve">в нарушение п. 3 ст. 9 Федерального закона от 06.12.2011 №402-ФЗ «О бухгалтерском учете» без надлежаще оформленных документов </w:t>
      </w:r>
      <w:r w:rsidRPr="006D37E7">
        <w:t>движимое имущество на общую сумму 2137,2 тыс.</w:t>
      </w:r>
      <w:r w:rsidR="005B5B4D" w:rsidRPr="006D37E7">
        <w:t xml:space="preserve"> </w:t>
      </w:r>
      <w:r w:rsidRPr="006D37E7">
        <w:t xml:space="preserve">руб. передано органам государственной власти и государственным учреждениям Волгоградской области. </w:t>
      </w:r>
      <w:r w:rsidR="00A16F01" w:rsidRPr="006D37E7">
        <w:t>В</w:t>
      </w:r>
      <w:r w:rsidR="005B5B4D" w:rsidRPr="006D37E7">
        <w:t xml:space="preserve"> нарушение п. 2 ст. 3 Федерального закона РФ от 03.11.2016 № 174-ФЗ «Об автономных учреждениях» (далее Закон №174-ФЗ), п. 3 Положения о порядке передачи </w:t>
      </w:r>
      <w:r w:rsidR="005B5B4D" w:rsidRPr="006D37E7">
        <w:lastRenderedPageBreak/>
        <w:t>движимого и недвижимого имущества</w:t>
      </w:r>
      <w:r w:rsidR="00090C6C" w:rsidRPr="006D37E7">
        <w:t>…</w:t>
      </w:r>
      <w:r w:rsidR="005B5B4D" w:rsidRPr="006D37E7">
        <w:t>, утвержденного распоряжением КУГИ от 15.03.2012 №513-р</w:t>
      </w:r>
      <w:r w:rsidR="00384551" w:rsidRPr="006D37E7">
        <w:t>,</w:t>
      </w:r>
      <w:r w:rsidR="00090C6C" w:rsidRPr="006D37E7">
        <w:t xml:space="preserve"> </w:t>
      </w:r>
      <w:r w:rsidR="005B5B4D" w:rsidRPr="006D37E7">
        <w:t>движимое особо ценное имущество на общую сумму 481,5 тыс. руб. (компьютеры)</w:t>
      </w:r>
      <w:r w:rsidR="00090C6C" w:rsidRPr="006D37E7">
        <w:t xml:space="preserve"> </w:t>
      </w:r>
      <w:r w:rsidR="005B5B4D" w:rsidRPr="006D37E7">
        <w:t xml:space="preserve">было списано по данным бюджетного учета учреждения. Списание осуществлено без согласования с учредителем, КУГИ и без оформления актов на списание. </w:t>
      </w:r>
      <w:r w:rsidRPr="006D37E7">
        <w:t xml:space="preserve">Встречными проверками, проведенными в </w:t>
      </w:r>
      <w:proofErr w:type="spellStart"/>
      <w:r w:rsidRPr="006D37E7">
        <w:t>Облтуризме</w:t>
      </w:r>
      <w:proofErr w:type="spellEnd"/>
      <w:r w:rsidRPr="006D37E7">
        <w:t xml:space="preserve">, ГАУ «Дирекция по эксплуатации стадиона «Волгоград Арена» (далее Дирекция стадиона), ГКУ «Дирекция по материально-техническому и хозяйственному обеспечению Администрации Волгоградской области» (далее ГКУ Дирекция по МТО и ХО) установлено, что имущество передано на основании договоров ответственного хранения с правом хранителя пользоваться имуществом в марте 2019 года. </w:t>
      </w:r>
      <w:r w:rsidR="005B5B4D" w:rsidRPr="006D37E7">
        <w:rPr>
          <w:i/>
        </w:rPr>
        <w:t xml:space="preserve">В ходе проверки учреждением проведены бухгалтерские операции по передаче на ответственное хранение с правом пользования, </w:t>
      </w:r>
      <w:r w:rsidRPr="006D37E7">
        <w:rPr>
          <w:i/>
        </w:rPr>
        <w:t xml:space="preserve">бухгалтерскими справками от 05.04.2019 </w:t>
      </w:r>
      <w:r w:rsidR="00384551" w:rsidRPr="006D37E7">
        <w:rPr>
          <w:i/>
        </w:rPr>
        <w:t xml:space="preserve"> персональные компьютеры на сумму 481,5 тыс. руб.  восстановлены в учете</w:t>
      </w:r>
      <w:r w:rsidR="00440186" w:rsidRPr="006D37E7">
        <w:rPr>
          <w:i/>
        </w:rPr>
        <w:t>.</w:t>
      </w:r>
    </w:p>
    <w:p w14:paraId="03618AF1" w14:textId="77777777" w:rsidR="00A63FC4" w:rsidRPr="006D37E7" w:rsidRDefault="00314B39" w:rsidP="00656699">
      <w:pPr>
        <w:autoSpaceDE w:val="0"/>
        <w:autoSpaceDN w:val="0"/>
        <w:adjustRightInd w:val="0"/>
        <w:ind w:firstLine="708"/>
        <w:jc w:val="both"/>
      </w:pPr>
      <w:r w:rsidRPr="006D37E7">
        <w:rPr>
          <w:b/>
        </w:rPr>
        <w:t>7.</w:t>
      </w:r>
      <w:r w:rsidR="000D079E" w:rsidRPr="006D37E7">
        <w:rPr>
          <w:b/>
        </w:rPr>
        <w:t>2.3</w:t>
      </w:r>
      <w:r w:rsidR="00656699" w:rsidRPr="006D37E7">
        <w:rPr>
          <w:b/>
        </w:rPr>
        <w:t xml:space="preserve"> </w:t>
      </w:r>
      <w:r w:rsidR="00656699" w:rsidRPr="006D37E7">
        <w:t xml:space="preserve">На момент проверки </w:t>
      </w:r>
      <w:r w:rsidR="00440186" w:rsidRPr="006D37E7">
        <w:t xml:space="preserve">в уставной деятельности учреждений </w:t>
      </w:r>
      <w:r w:rsidR="00656699" w:rsidRPr="006D37E7">
        <w:t>не используется недвижимое и движимое имущество</w:t>
      </w:r>
      <w:r w:rsidR="00FA77A9" w:rsidRPr="006D37E7">
        <w:t xml:space="preserve"> </w:t>
      </w:r>
      <w:r w:rsidR="00656699" w:rsidRPr="006D37E7">
        <w:t xml:space="preserve">на общую балансовую стоимость </w:t>
      </w:r>
      <w:r w:rsidR="00FA77A9" w:rsidRPr="006D37E7">
        <w:t xml:space="preserve">18220,4 </w:t>
      </w:r>
      <w:r w:rsidR="00656699" w:rsidRPr="006D37E7">
        <w:t>тыс.</w:t>
      </w:r>
      <w:r w:rsidR="00FA77A9" w:rsidRPr="006D37E7">
        <w:t xml:space="preserve"> </w:t>
      </w:r>
      <w:r w:rsidR="00656699" w:rsidRPr="006D37E7">
        <w:t>руб., в том числе:</w:t>
      </w:r>
    </w:p>
    <w:p w14:paraId="501BF37A" w14:textId="77777777" w:rsidR="00656699" w:rsidRPr="006D37E7" w:rsidRDefault="00656699" w:rsidP="00656699">
      <w:pPr>
        <w:autoSpaceDE w:val="0"/>
        <w:autoSpaceDN w:val="0"/>
        <w:adjustRightInd w:val="0"/>
        <w:ind w:firstLine="708"/>
        <w:jc w:val="both"/>
      </w:pPr>
      <w:r w:rsidRPr="006D37E7">
        <w:t>-</w:t>
      </w:r>
      <w:r w:rsidR="00FA77A9" w:rsidRPr="006D37E7">
        <w:t xml:space="preserve">движимое </w:t>
      </w:r>
      <w:r w:rsidRPr="006D37E7">
        <w:t xml:space="preserve">имущество балансовой стоимостью 651,7 тыс. руб., приобретенное в 2018 году </w:t>
      </w:r>
      <w:r w:rsidR="00180F43" w:rsidRPr="006D37E7">
        <w:t>Интерактивным музеем за счет субсидии на иные цели</w:t>
      </w:r>
      <w:r w:rsidR="00384551" w:rsidRPr="006D37E7">
        <w:t xml:space="preserve"> (</w:t>
      </w:r>
      <w:r w:rsidR="00B27BA8" w:rsidRPr="006D37E7">
        <w:t xml:space="preserve">мебель, ковровое покрытие, </w:t>
      </w:r>
      <w:proofErr w:type="spellStart"/>
      <w:r w:rsidR="00B27BA8" w:rsidRPr="006D37E7">
        <w:t>куллеры</w:t>
      </w:r>
      <w:proofErr w:type="spellEnd"/>
      <w:r w:rsidR="00B27BA8" w:rsidRPr="006D37E7">
        <w:t xml:space="preserve"> и др.)</w:t>
      </w:r>
      <w:r w:rsidRPr="006D37E7">
        <w:t>;</w:t>
      </w:r>
    </w:p>
    <w:p w14:paraId="5B586470" w14:textId="77777777" w:rsidR="00180F43" w:rsidRPr="006D37E7" w:rsidRDefault="00656699" w:rsidP="00656699">
      <w:pPr>
        <w:autoSpaceDE w:val="0"/>
        <w:autoSpaceDN w:val="0"/>
        <w:adjustRightInd w:val="0"/>
        <w:ind w:firstLine="708"/>
        <w:jc w:val="both"/>
      </w:pPr>
      <w:r w:rsidRPr="006D37E7">
        <w:t>-</w:t>
      </w:r>
      <w:r w:rsidR="00FA77A9" w:rsidRPr="006D37E7">
        <w:t xml:space="preserve">движимое </w:t>
      </w:r>
      <w:r w:rsidRPr="006D37E7">
        <w:t>имущество балансовой стоимостью 13781,0 тыс. руб.</w:t>
      </w:r>
      <w:r w:rsidR="00B27BA8" w:rsidRPr="006D37E7">
        <w:t xml:space="preserve"> (оргтехника, мебель, кондиционеры, телевизоры, сплит - системы, оборудование для обнаружения взрывчатых веществ и др.)</w:t>
      </w:r>
      <w:r w:rsidRPr="006D37E7">
        <w:t>, приобретенное Агентством развития туризма  в 2018 году за счет субсидии на иные цели более 6 месяцев хранится на складе и в помещениях ЦУМа;</w:t>
      </w:r>
    </w:p>
    <w:p w14:paraId="691203B6" w14:textId="77777777" w:rsidR="008A162D" w:rsidRPr="006D37E7" w:rsidRDefault="00656699" w:rsidP="008A162D">
      <w:pPr>
        <w:autoSpaceDE w:val="0"/>
        <w:autoSpaceDN w:val="0"/>
        <w:adjustRightInd w:val="0"/>
        <w:ind w:firstLine="708"/>
        <w:jc w:val="both"/>
      </w:pPr>
      <w:r w:rsidRPr="006D37E7">
        <w:t>-недвижимое имущество, закрепленное на праве оперативного управления за ВОЦНТ (4 здания и гараж), находящ</w:t>
      </w:r>
      <w:r w:rsidR="00B27BA8" w:rsidRPr="006D37E7">
        <w:t>е</w:t>
      </w:r>
      <w:r w:rsidRPr="006D37E7">
        <w:t>еся в г.Михайловка и в г.Волжском</w:t>
      </w:r>
      <w:r w:rsidR="00EA01AF" w:rsidRPr="006D37E7">
        <w:t xml:space="preserve"> балансовой стоимостью 3787,7 тыс. рублей</w:t>
      </w:r>
      <w:r w:rsidRPr="006D37E7">
        <w:t xml:space="preserve">. В 2018 году затраты на </w:t>
      </w:r>
      <w:r w:rsidR="00B27BA8" w:rsidRPr="006D37E7">
        <w:t>его</w:t>
      </w:r>
      <w:r w:rsidRPr="006D37E7">
        <w:t xml:space="preserve"> содержание в виде уплаты налогов за землю и имущество, составили 467,8 тыс. руб.;</w:t>
      </w:r>
    </w:p>
    <w:p w14:paraId="732553F3" w14:textId="77777777" w:rsidR="008A162D" w:rsidRPr="006D37E7" w:rsidRDefault="008A162D" w:rsidP="008A162D">
      <w:pPr>
        <w:autoSpaceDE w:val="0"/>
        <w:autoSpaceDN w:val="0"/>
        <w:adjustRightInd w:val="0"/>
        <w:ind w:firstLine="708"/>
        <w:jc w:val="both"/>
      </w:pPr>
      <w:r w:rsidRPr="006D37E7">
        <w:t xml:space="preserve">- нежилые помещения общей площадью 61,7 кв.м., расположенные в здании Планетария, стоимость коммунальных услуг и сумма уплаченного </w:t>
      </w:r>
      <w:r w:rsidR="00B27BA8" w:rsidRPr="006D37E7">
        <w:t xml:space="preserve">налога на имущество </w:t>
      </w:r>
      <w:r w:rsidRPr="006D37E7">
        <w:t xml:space="preserve">за неиспользуемые помещения в период с 03.08.2018 по 31.12.2018  составила 9,6 тыс. рублей. </w:t>
      </w:r>
    </w:p>
    <w:p w14:paraId="7A1294A0" w14:textId="77777777" w:rsidR="00656699" w:rsidRPr="006D37E7" w:rsidRDefault="00314B39" w:rsidP="00656699">
      <w:pPr>
        <w:autoSpaceDE w:val="0"/>
        <w:autoSpaceDN w:val="0"/>
        <w:adjustRightInd w:val="0"/>
        <w:ind w:firstLine="708"/>
        <w:jc w:val="both"/>
      </w:pPr>
      <w:r w:rsidRPr="006D37E7">
        <w:rPr>
          <w:b/>
        </w:rPr>
        <w:t>7.</w:t>
      </w:r>
      <w:r w:rsidR="000D079E" w:rsidRPr="006D37E7">
        <w:rPr>
          <w:b/>
        </w:rPr>
        <w:t>2.4</w:t>
      </w:r>
      <w:r w:rsidR="00EA01AF" w:rsidRPr="006D37E7">
        <w:rPr>
          <w:b/>
        </w:rPr>
        <w:t xml:space="preserve"> </w:t>
      </w:r>
      <w:r w:rsidR="00EA01AF" w:rsidRPr="006D37E7">
        <w:t xml:space="preserve">Установлены </w:t>
      </w:r>
      <w:r w:rsidR="00440186" w:rsidRPr="006D37E7">
        <w:t>следующие</w:t>
      </w:r>
      <w:r w:rsidR="00EA01AF" w:rsidRPr="006D37E7">
        <w:t xml:space="preserve"> нарушения </w:t>
      </w:r>
      <w:r w:rsidRPr="006D37E7">
        <w:t xml:space="preserve">и недостатки </w:t>
      </w:r>
      <w:r w:rsidR="00EA01AF" w:rsidRPr="006D37E7">
        <w:t>при распоряжении недвижимым имуществом, а именно:</w:t>
      </w:r>
    </w:p>
    <w:p w14:paraId="35DCA800" w14:textId="77777777" w:rsidR="0029504D" w:rsidRPr="006D37E7" w:rsidRDefault="0029504D" w:rsidP="0029504D">
      <w:pPr>
        <w:autoSpaceDE w:val="0"/>
        <w:autoSpaceDN w:val="0"/>
        <w:adjustRightInd w:val="0"/>
        <w:ind w:firstLine="708"/>
        <w:jc w:val="both"/>
      </w:pPr>
      <w:r w:rsidRPr="006D37E7">
        <w:t>-</w:t>
      </w:r>
      <w:r w:rsidR="00B27BA8" w:rsidRPr="006D37E7">
        <w:t xml:space="preserve"> на балансе  Планетария имеются земельный участок площадью 10651,5 кв.м., здание планетария, здание обсерватории, 2 гаража, 2 склада, теплица,  метеоплощадка и другие.  При этом государственная регистрация права хозяйственного ведения </w:t>
      </w:r>
      <w:r w:rsidR="00B52AC3" w:rsidRPr="006D37E7">
        <w:t xml:space="preserve">у государственного унитарного культурного просветительского предприятия Волгоградский планетарий </w:t>
      </w:r>
      <w:r w:rsidR="00B27BA8" w:rsidRPr="006D37E7">
        <w:t>было оформлено только на здание планетария (свидетельство от 03.05.2011 34-АА №329949). С</w:t>
      </w:r>
      <w:r w:rsidRPr="006D37E7">
        <w:t xml:space="preserve"> момента преобразования </w:t>
      </w:r>
      <w:r w:rsidR="00B27BA8" w:rsidRPr="006D37E7">
        <w:t xml:space="preserve">Планетария </w:t>
      </w:r>
      <w:r w:rsidRPr="006D37E7">
        <w:t xml:space="preserve">в </w:t>
      </w:r>
      <w:r w:rsidR="00392C58" w:rsidRPr="006D37E7">
        <w:t>ГБУК</w:t>
      </w:r>
      <w:r w:rsidRPr="006D37E7">
        <w:t xml:space="preserve"> (октябрь 2018) </w:t>
      </w:r>
      <w:r w:rsidR="00FA384B" w:rsidRPr="006D37E7">
        <w:t>до</w:t>
      </w:r>
      <w:r w:rsidRPr="006D37E7">
        <w:t xml:space="preserve"> настояще</w:t>
      </w:r>
      <w:r w:rsidR="00FA384B" w:rsidRPr="006D37E7">
        <w:t>го времени</w:t>
      </w:r>
      <w:r w:rsidRPr="006D37E7">
        <w:t xml:space="preserve"> недвижимое имуществом на праве оперативного управления не закреплено</w:t>
      </w:r>
      <w:r w:rsidR="00FA384B" w:rsidRPr="006D37E7">
        <w:t>, земельный участок не передан в постоянное бессрочное пользование</w:t>
      </w:r>
      <w:r w:rsidR="00392C58" w:rsidRPr="006D37E7">
        <w:t>, что не дает правовых оснований распоряжаться имуществом и земельным участком, в том числе заключать договора аренды</w:t>
      </w:r>
      <w:r w:rsidRPr="006D37E7">
        <w:t xml:space="preserve">; </w:t>
      </w:r>
    </w:p>
    <w:p w14:paraId="6D25D4CD" w14:textId="77777777" w:rsidR="008A162D" w:rsidRPr="006D37E7" w:rsidRDefault="008A162D" w:rsidP="008A162D">
      <w:pPr>
        <w:autoSpaceDE w:val="0"/>
        <w:autoSpaceDN w:val="0"/>
        <w:adjustRightInd w:val="0"/>
        <w:ind w:firstLine="708"/>
        <w:jc w:val="both"/>
      </w:pPr>
      <w:r w:rsidRPr="006D37E7">
        <w:rPr>
          <w:b/>
        </w:rPr>
        <w:t>-</w:t>
      </w:r>
      <w:r w:rsidRPr="006D37E7">
        <w:t xml:space="preserve">в нарушение </w:t>
      </w:r>
      <w:r w:rsidR="00B52AC3" w:rsidRPr="006D37E7">
        <w:t>п</w:t>
      </w:r>
      <w:r w:rsidRPr="006D37E7">
        <w:t>риказа КУГИ от 04.07.2016 29-</w:t>
      </w:r>
      <w:r w:rsidR="0029504D" w:rsidRPr="006D37E7">
        <w:t>н  «Об утверждении Положения о согласовании КУГИ передачи в аренду или безвозмездное пользование…» (далее Приказ №29-н)</w:t>
      </w:r>
      <w:r w:rsidRPr="006D37E7">
        <w:t xml:space="preserve"> </w:t>
      </w:r>
      <w:r w:rsidR="0029504D" w:rsidRPr="006D37E7">
        <w:t xml:space="preserve">Планетарием заключены </w:t>
      </w:r>
      <w:r w:rsidRPr="006D37E7">
        <w:t>3 договора аре</w:t>
      </w:r>
      <w:r w:rsidR="00A16F01" w:rsidRPr="006D37E7">
        <w:t>нды на общую сумму 9,5 тыс. руб</w:t>
      </w:r>
      <w:r w:rsidR="00314B39" w:rsidRPr="006D37E7">
        <w:t>. до согласования с КУГИ</w:t>
      </w:r>
      <w:r w:rsidRPr="006D37E7">
        <w:t>. За данное правонарушение установлена административная ответственность, предусмотренная ч. 1 ст. 5.3 Кодекса Волгоградской области об админ</w:t>
      </w:r>
      <w:r w:rsidR="0029504D" w:rsidRPr="006D37E7">
        <w:t>истративной ответственности;</w:t>
      </w:r>
    </w:p>
    <w:p w14:paraId="5F619D47" w14:textId="77777777" w:rsidR="008A162D" w:rsidRPr="006D37E7" w:rsidRDefault="008A162D" w:rsidP="008A162D">
      <w:pPr>
        <w:autoSpaceDE w:val="0"/>
        <w:autoSpaceDN w:val="0"/>
        <w:adjustRightInd w:val="0"/>
        <w:ind w:firstLine="708"/>
        <w:jc w:val="both"/>
      </w:pPr>
      <w:r w:rsidRPr="006D37E7">
        <w:t>-на метеоплощадке Планетария находится имущество Волгоградского центра по гидрометеорологии и мониторингу окружающей среды – филиала ФГБУ «Северо-Кавказское УГМС» (далее ФГБУ)</w:t>
      </w:r>
      <w:r w:rsidR="00B52AC3" w:rsidRPr="006D37E7">
        <w:t>,</w:t>
      </w:r>
      <w:r w:rsidRPr="006D37E7">
        <w:t xml:space="preserve"> стационарный пост наблюдения за загрязнением атмосферы ПНЗ №35.  Письмом ФГБУ от 29.08.2018 №53/337 Планетарию поступило предложение оформить соглашение на установление частичного сервитута на ограниченное пользование земельным участком для обслуживания стационарного поста наблюдения за загрязнением атмосферы. Также письмом ФГБУ от 12.09.2018 №53/360 поступило предложение заключить договор </w:t>
      </w:r>
      <w:r w:rsidRPr="006D37E7">
        <w:lastRenderedPageBreak/>
        <w:t>аренды земельного участка с целью установки стационарного поста наблюдения за загрязнением атмосферы. Договорные отношения о предоставлении земельного участка с ФГБУ не оформлены в связи с отсутствием правовых оснований у Планетария. В настоящее время Планетарием проводится работа по заключению с КУГИ договора о передаче земельного участка в постоянное бессрочное пользование;</w:t>
      </w:r>
    </w:p>
    <w:p w14:paraId="3EDBA0B5" w14:textId="77777777" w:rsidR="00C85648" w:rsidRPr="006D37E7" w:rsidRDefault="008A162D" w:rsidP="0004293C">
      <w:pPr>
        <w:autoSpaceDE w:val="0"/>
        <w:autoSpaceDN w:val="0"/>
        <w:adjustRightInd w:val="0"/>
        <w:ind w:firstLine="708"/>
        <w:jc w:val="both"/>
      </w:pPr>
      <w:r w:rsidRPr="006D37E7">
        <w:t>-</w:t>
      </w:r>
      <w:r w:rsidR="001C2BD5" w:rsidRPr="006D37E7">
        <w:t>в</w:t>
      </w:r>
      <w:r w:rsidR="00C85648" w:rsidRPr="006D37E7">
        <w:t xml:space="preserve"> одноэтажном кирпичном здании, в котором согласно техническому паспорту на комплекс зданий и сооружений Планетария находится гараж</w:t>
      </w:r>
      <w:r w:rsidR="00307465" w:rsidRPr="006D37E7">
        <w:t xml:space="preserve"> и отдельные</w:t>
      </w:r>
      <w:r w:rsidR="00C85648" w:rsidRPr="006D37E7">
        <w:t xml:space="preserve"> помещения, доступ в </w:t>
      </w:r>
      <w:r w:rsidR="00314B39" w:rsidRPr="006D37E7">
        <w:t>часть помещений</w:t>
      </w:r>
      <w:r w:rsidR="00C85648" w:rsidRPr="006D37E7">
        <w:t xml:space="preserve"> закрыт. Согласно пояснениям директора Планетария, в данном помещении располагается имущество ПАО «Волгоградские межрайонные электрические сети» (далее ВМЭС),</w:t>
      </w:r>
      <w:r w:rsidR="003B62C7" w:rsidRPr="006D37E7">
        <w:t xml:space="preserve"> с которым договорные отношения</w:t>
      </w:r>
      <w:r w:rsidR="00C85648" w:rsidRPr="006D37E7">
        <w:t xml:space="preserve"> в части передачи помещений в аренду не оформлялись, оплата за использование данных помещений от ВМЭС </w:t>
      </w:r>
      <w:r w:rsidR="003B62C7" w:rsidRPr="006D37E7">
        <w:t>на счета Планетария не поступала</w:t>
      </w:r>
      <w:r w:rsidR="00C85648" w:rsidRPr="006D37E7">
        <w:t>. В соответствии с требованиями ст. 609 ГК РФ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 При этом договор аренды недвижимого имущества подлежит государственной регистрации, если иное не установлено законом.</w:t>
      </w:r>
      <w:r w:rsidR="001C2BD5" w:rsidRPr="006D37E7">
        <w:t xml:space="preserve"> </w:t>
      </w:r>
      <w:r w:rsidR="00C85648" w:rsidRPr="006D37E7">
        <w:t>Таким образом, использование помещений гаражей и складов Планетария осуществляется в настоящее время ВМЭС без договора аренды, заключенного с соблюдением требований законодательства РФ.</w:t>
      </w:r>
      <w:r w:rsidR="001C2BD5" w:rsidRPr="006D37E7">
        <w:t xml:space="preserve"> </w:t>
      </w:r>
    </w:p>
    <w:p w14:paraId="0AB11986" w14:textId="77777777" w:rsidR="008A162D" w:rsidRPr="006D37E7" w:rsidRDefault="00C85648" w:rsidP="00625661">
      <w:pPr>
        <w:autoSpaceDE w:val="0"/>
        <w:autoSpaceDN w:val="0"/>
        <w:adjustRightInd w:val="0"/>
        <w:ind w:firstLine="709"/>
        <w:jc w:val="both"/>
      </w:pPr>
      <w:r w:rsidRPr="006D37E7">
        <w:t xml:space="preserve">Частью 3 ст.69 </w:t>
      </w:r>
      <w:r w:rsidR="001C2BD5" w:rsidRPr="006D37E7">
        <w:t xml:space="preserve">Федерального закона от 13.07.2015 №218-ФЗ «О государственной регистрации недвижимости» </w:t>
      </w:r>
      <w:r w:rsidRPr="006D37E7">
        <w:t>установлено, что государственная регистрация прав на объекты недвижимости в ЕГРН обязательна при сделке с указанным объектом недвижимости.</w:t>
      </w:r>
      <w:r w:rsidR="001C2BD5" w:rsidRPr="006D37E7">
        <w:t xml:space="preserve"> </w:t>
      </w:r>
      <w:r w:rsidRPr="006D37E7">
        <w:t>В настоящее время Планетарием государственная регистрация прав на одноэтажное кирпичное здание не оформлен</w:t>
      </w:r>
      <w:r w:rsidR="00B52AC3" w:rsidRPr="006D37E7">
        <w:t>а</w:t>
      </w:r>
      <w:r w:rsidRPr="006D37E7">
        <w:t>, в этой связи передача помещений ВМЭС в аренду не представляется возможн</w:t>
      </w:r>
      <w:r w:rsidR="00B52AC3" w:rsidRPr="006D37E7">
        <w:t>ой</w:t>
      </w:r>
      <w:r w:rsidR="008A162D" w:rsidRPr="006D37E7">
        <w:t>;</w:t>
      </w:r>
    </w:p>
    <w:p w14:paraId="472CCE05" w14:textId="77777777" w:rsidR="00C20D92" w:rsidRPr="006D37E7" w:rsidRDefault="00C20D92" w:rsidP="00C20D92">
      <w:pPr>
        <w:autoSpaceDE w:val="0"/>
        <w:autoSpaceDN w:val="0"/>
        <w:adjustRightInd w:val="0"/>
        <w:ind w:firstLine="708"/>
        <w:jc w:val="both"/>
      </w:pPr>
      <w:r w:rsidRPr="006D37E7">
        <w:rPr>
          <w:color w:val="000000"/>
        </w:rPr>
        <w:t xml:space="preserve">-в нарушение </w:t>
      </w:r>
      <w:proofErr w:type="spellStart"/>
      <w:r w:rsidRPr="006D37E7">
        <w:t>пп</w:t>
      </w:r>
      <w:proofErr w:type="spellEnd"/>
      <w:r w:rsidRPr="006D37E7">
        <w:t xml:space="preserve">. 5 п. 1 ст. 5 Закона №97-ОД, Приказ №29-н </w:t>
      </w:r>
      <w:r w:rsidRPr="006D37E7">
        <w:rPr>
          <w:color w:val="000000"/>
        </w:rPr>
        <w:t>и</w:t>
      </w:r>
      <w:r w:rsidRPr="006D37E7">
        <w:t>сполняющим обязанности ректора Института заключен договор аренды от 29.12.2018 с публичным акционерным обществом «Уральский банк реконструкции и развития» без согласования с учредителем и КУГИ. За данное правонарушение установлена административная ответственность, предусмотренная ч. 1 ст. 5.1 Кодекса Волгоградской области об административной ответственности.</w:t>
      </w:r>
      <w:r w:rsidR="00440186" w:rsidRPr="006D37E7">
        <w:t xml:space="preserve"> В ходе проверки Институтом  с КУГИ согласован</w:t>
      </w:r>
      <w:r w:rsidR="004E5C9F" w:rsidRPr="006D37E7">
        <w:t xml:space="preserve"> размер арендной платы за занимаемую банкоматом</w:t>
      </w:r>
      <w:r w:rsidR="00440186" w:rsidRPr="006D37E7">
        <w:t xml:space="preserve"> </w:t>
      </w:r>
      <w:r w:rsidR="00AF6C5D" w:rsidRPr="006D37E7">
        <w:t>площадь</w:t>
      </w:r>
      <w:r w:rsidR="00440186" w:rsidRPr="006D37E7">
        <w:t xml:space="preserve"> (письмо от 12.04.2019 №21-03/8577)</w:t>
      </w:r>
      <w:r w:rsidR="00A16F01" w:rsidRPr="006D37E7">
        <w:t>;</w:t>
      </w:r>
    </w:p>
    <w:p w14:paraId="1CE87354" w14:textId="77777777" w:rsidR="00086FCA" w:rsidRPr="006D37E7" w:rsidRDefault="0004293C" w:rsidP="0004293C">
      <w:pPr>
        <w:autoSpaceDE w:val="0"/>
        <w:autoSpaceDN w:val="0"/>
        <w:adjustRightInd w:val="0"/>
        <w:ind w:firstLine="709"/>
        <w:jc w:val="both"/>
      </w:pPr>
      <w:r w:rsidRPr="006D37E7">
        <w:t>-</w:t>
      </w:r>
      <w:r w:rsidR="007F20C5" w:rsidRPr="006D37E7">
        <w:t xml:space="preserve">ВОЦНТ в 2018 году заключены </w:t>
      </w:r>
      <w:r w:rsidRPr="006D37E7">
        <w:t xml:space="preserve">договора оказания услуг со сторонними организациями, которые согласно </w:t>
      </w:r>
      <w:hyperlink r:id="rId10" w:history="1">
        <w:r w:rsidRPr="006D37E7">
          <w:t>п. 7</w:t>
        </w:r>
      </w:hyperlink>
      <w:r w:rsidRPr="006D37E7">
        <w:t xml:space="preserve"> постановления Пленума Высшего Арбитражного Суда Российской Федерации от 23.07.2009 №64 «О некоторых вопросах практики рассмотрения споров о правах собственников помещений на общее имущество здания» фактически являются «скрытыми» договорами аренды</w:t>
      </w:r>
      <w:r w:rsidR="00086FCA" w:rsidRPr="006D37E7">
        <w:t>. В</w:t>
      </w:r>
      <w:r w:rsidRPr="006D37E7">
        <w:t xml:space="preserve"> соответствии с требованиями  </w:t>
      </w:r>
      <w:hyperlink r:id="rId11" w:history="1">
        <w:r w:rsidRPr="006D37E7">
          <w:t>п. 3 ст. 298</w:t>
        </w:r>
      </w:hyperlink>
      <w:r w:rsidRPr="006D37E7">
        <w:t xml:space="preserve"> Гражданского кодекса РФ, </w:t>
      </w:r>
      <w:hyperlink r:id="rId12" w:history="1">
        <w:r w:rsidRPr="006D37E7">
          <w:t>п. 10 ст. 9.2</w:t>
        </w:r>
      </w:hyperlink>
      <w:r w:rsidRPr="006D37E7">
        <w:t xml:space="preserve"> Федерального закона от 12.01.1996 №7-ФЗ «О некоммерческих организациях» </w:t>
      </w:r>
      <w:r w:rsidR="00086FCA" w:rsidRPr="006D37E7">
        <w:t xml:space="preserve">договора аренды </w:t>
      </w:r>
      <w:r w:rsidRPr="006D37E7">
        <w:t xml:space="preserve">должны заключаться с согласованием учредителя и КУГИ. </w:t>
      </w:r>
      <w:r w:rsidR="00086FCA" w:rsidRPr="006D37E7">
        <w:t xml:space="preserve">Стоимость арендной платы </w:t>
      </w:r>
      <w:r w:rsidRPr="006D37E7">
        <w:t xml:space="preserve">в соответствии с Законом </w:t>
      </w:r>
      <w:r w:rsidR="003F44E2" w:rsidRPr="006D37E7">
        <w:t xml:space="preserve">№97-ОД  </w:t>
      </w:r>
      <w:r w:rsidRPr="006D37E7">
        <w:t>и  Порядком установления арендной платы за использование государственного имущества Волгоградской области</w:t>
      </w:r>
      <w:r w:rsidR="00AF6C5D" w:rsidRPr="006D37E7">
        <w:t>,</w:t>
      </w:r>
      <w:r w:rsidRPr="006D37E7">
        <w:t xml:space="preserve"> утвержденным распоряжением комитета по управлению государственным имуществом Администрации Волгоградской области от 19.05.2011 865-р (далее </w:t>
      </w:r>
      <w:r w:rsidR="00304E06" w:rsidRPr="006D37E7">
        <w:t>Порядок</w:t>
      </w:r>
      <w:r w:rsidRPr="006D37E7">
        <w:t xml:space="preserve"> №865-р)</w:t>
      </w:r>
      <w:r w:rsidR="00AF6C5D" w:rsidRPr="006D37E7">
        <w:t>,</w:t>
      </w:r>
      <w:r w:rsidRPr="006D37E7">
        <w:t xml:space="preserve"> должна определяться на основании независимой оценки рыночной стоимости за пользование объектом</w:t>
      </w:r>
      <w:r w:rsidR="00086FCA" w:rsidRPr="006D37E7">
        <w:t>. Все договоры заключены без согласования с учредителем и КУГИ, без проведения независимой оценки рыночной стоимости за пользование объектом, тем самым директором учреждения не было обеспечено исполнение п. 4.1. Устава в части эффективного использования имущества учреждения. В 2018 году ВОЦНТ были заключены следующие договоры:</w:t>
      </w:r>
    </w:p>
    <w:p w14:paraId="1C9D2B5E" w14:textId="77777777" w:rsidR="00086FCA" w:rsidRPr="006D37E7" w:rsidRDefault="007F20C5" w:rsidP="00FA384B">
      <w:pPr>
        <w:pStyle w:val="ad"/>
        <w:numPr>
          <w:ilvl w:val="0"/>
          <w:numId w:val="27"/>
        </w:numPr>
        <w:autoSpaceDE w:val="0"/>
        <w:autoSpaceDN w:val="0"/>
        <w:adjustRightInd w:val="0"/>
        <w:spacing w:after="0" w:line="240" w:lineRule="auto"/>
        <w:ind w:left="0" w:firstLine="357"/>
        <w:jc w:val="both"/>
        <w:rPr>
          <w:rFonts w:ascii="Times New Roman" w:hAnsi="Times New Roman" w:cs="Times New Roman"/>
          <w:sz w:val="24"/>
          <w:szCs w:val="24"/>
        </w:rPr>
      </w:pPr>
      <w:r w:rsidRPr="006D37E7">
        <w:rPr>
          <w:rFonts w:ascii="Times New Roman" w:hAnsi="Times New Roman" w:cs="Times New Roman"/>
          <w:b/>
          <w:i/>
          <w:sz w:val="24"/>
          <w:szCs w:val="24"/>
        </w:rPr>
        <w:t>15 договоров</w:t>
      </w:r>
      <w:r w:rsidRPr="006D37E7">
        <w:rPr>
          <w:rFonts w:ascii="Times New Roman" w:hAnsi="Times New Roman" w:cs="Times New Roman"/>
          <w:sz w:val="24"/>
          <w:szCs w:val="24"/>
        </w:rPr>
        <w:t xml:space="preserve"> возмездного оказания услуг </w:t>
      </w:r>
      <w:r w:rsidRPr="006D37E7">
        <w:rPr>
          <w:rFonts w:ascii="Times New Roman" w:hAnsi="Times New Roman" w:cs="Times New Roman"/>
          <w:b/>
          <w:i/>
          <w:sz w:val="24"/>
          <w:szCs w:val="24"/>
        </w:rPr>
        <w:t xml:space="preserve">со сторонними организациями </w:t>
      </w:r>
      <w:r w:rsidRPr="006D37E7">
        <w:rPr>
          <w:rFonts w:ascii="Times New Roman" w:hAnsi="Times New Roman" w:cs="Times New Roman"/>
          <w:sz w:val="24"/>
          <w:szCs w:val="24"/>
        </w:rPr>
        <w:t>для предоставления услуг по организации и проведению мероприятий сторонних организаций</w:t>
      </w:r>
      <w:r w:rsidR="00086FCA" w:rsidRPr="006D37E7">
        <w:rPr>
          <w:rFonts w:ascii="Times New Roman" w:hAnsi="Times New Roman" w:cs="Times New Roman"/>
          <w:sz w:val="24"/>
          <w:szCs w:val="24"/>
        </w:rPr>
        <w:t xml:space="preserve">, при проведении которых использовались помещения </w:t>
      </w:r>
      <w:r w:rsidRPr="006D37E7">
        <w:rPr>
          <w:rFonts w:ascii="Times New Roman" w:hAnsi="Times New Roman" w:cs="Times New Roman"/>
          <w:sz w:val="24"/>
          <w:szCs w:val="24"/>
        </w:rPr>
        <w:t>ВОЦНТ общей площадью от 844 кв.м. до 900 кв.м.</w:t>
      </w:r>
      <w:r w:rsidR="00086FCA" w:rsidRPr="006D37E7">
        <w:rPr>
          <w:rFonts w:ascii="Times New Roman" w:hAnsi="Times New Roman" w:cs="Times New Roman"/>
          <w:sz w:val="24"/>
          <w:szCs w:val="24"/>
        </w:rPr>
        <w:t>;</w:t>
      </w:r>
    </w:p>
    <w:p w14:paraId="5495846C" w14:textId="77777777" w:rsidR="00086FCA" w:rsidRPr="006D37E7" w:rsidRDefault="00086FCA" w:rsidP="00FA384B">
      <w:pPr>
        <w:pStyle w:val="ad"/>
        <w:numPr>
          <w:ilvl w:val="0"/>
          <w:numId w:val="27"/>
        </w:numPr>
        <w:autoSpaceDE w:val="0"/>
        <w:autoSpaceDN w:val="0"/>
        <w:adjustRightInd w:val="0"/>
        <w:spacing w:after="0" w:line="240" w:lineRule="auto"/>
        <w:ind w:left="0" w:firstLine="357"/>
        <w:jc w:val="both"/>
        <w:rPr>
          <w:rFonts w:ascii="Times New Roman" w:hAnsi="Times New Roman" w:cs="Times New Roman"/>
          <w:sz w:val="24"/>
          <w:szCs w:val="24"/>
        </w:rPr>
      </w:pPr>
      <w:r w:rsidRPr="006D37E7">
        <w:rPr>
          <w:rFonts w:ascii="Times New Roman" w:hAnsi="Times New Roman" w:cs="Times New Roman"/>
          <w:b/>
          <w:i/>
          <w:sz w:val="24"/>
          <w:szCs w:val="24"/>
        </w:rPr>
        <w:t>с ООО «Комбинат питания»</w:t>
      </w:r>
      <w:r w:rsidRPr="006D37E7">
        <w:rPr>
          <w:rFonts w:ascii="Times New Roman" w:hAnsi="Times New Roman" w:cs="Times New Roman"/>
          <w:sz w:val="24"/>
          <w:szCs w:val="24"/>
        </w:rPr>
        <w:t xml:space="preserve"> договор безвозмездного оказания услуг </w:t>
      </w:r>
      <w:r w:rsidR="009C4356" w:rsidRPr="006D37E7">
        <w:rPr>
          <w:rFonts w:ascii="Times New Roman" w:hAnsi="Times New Roman" w:cs="Times New Roman"/>
          <w:sz w:val="24"/>
          <w:szCs w:val="24"/>
        </w:rPr>
        <w:t xml:space="preserve">в помещениях </w:t>
      </w:r>
      <w:r w:rsidRPr="006D37E7">
        <w:rPr>
          <w:rFonts w:ascii="Times New Roman" w:hAnsi="Times New Roman" w:cs="Times New Roman"/>
          <w:sz w:val="24"/>
          <w:szCs w:val="24"/>
        </w:rPr>
        <w:t xml:space="preserve"> ВОНЦТ </w:t>
      </w:r>
      <w:r w:rsidR="007F20C5" w:rsidRPr="006D37E7">
        <w:rPr>
          <w:rFonts w:ascii="Times New Roman" w:hAnsi="Times New Roman" w:cs="Times New Roman"/>
          <w:sz w:val="24"/>
          <w:szCs w:val="24"/>
        </w:rPr>
        <w:t>площадью 251,4 кв.м.</w:t>
      </w:r>
      <w:r w:rsidR="003B62C7" w:rsidRPr="006D37E7">
        <w:rPr>
          <w:rFonts w:ascii="Times New Roman" w:hAnsi="Times New Roman" w:cs="Times New Roman"/>
          <w:sz w:val="24"/>
          <w:szCs w:val="24"/>
        </w:rPr>
        <w:t>,</w:t>
      </w:r>
      <w:r w:rsidR="007F20C5" w:rsidRPr="006D37E7">
        <w:rPr>
          <w:rFonts w:ascii="Times New Roman" w:hAnsi="Times New Roman" w:cs="Times New Roman"/>
          <w:sz w:val="24"/>
          <w:szCs w:val="24"/>
        </w:rPr>
        <w:t xml:space="preserve"> оборудованн</w:t>
      </w:r>
      <w:r w:rsidR="009C4356" w:rsidRPr="006D37E7">
        <w:rPr>
          <w:rFonts w:ascii="Times New Roman" w:hAnsi="Times New Roman" w:cs="Times New Roman"/>
          <w:sz w:val="24"/>
          <w:szCs w:val="24"/>
        </w:rPr>
        <w:t>ых</w:t>
      </w:r>
      <w:r w:rsidR="007F20C5" w:rsidRPr="006D37E7">
        <w:rPr>
          <w:rFonts w:ascii="Times New Roman" w:hAnsi="Times New Roman" w:cs="Times New Roman"/>
          <w:sz w:val="24"/>
          <w:szCs w:val="24"/>
        </w:rPr>
        <w:t xml:space="preserve"> под кафе</w:t>
      </w:r>
      <w:r w:rsidRPr="006D37E7">
        <w:rPr>
          <w:rFonts w:ascii="Times New Roman" w:hAnsi="Times New Roman" w:cs="Times New Roman"/>
          <w:sz w:val="24"/>
          <w:szCs w:val="24"/>
        </w:rPr>
        <w:t>. П</w:t>
      </w:r>
      <w:r w:rsidR="00333886" w:rsidRPr="006D37E7">
        <w:rPr>
          <w:rFonts w:ascii="Times New Roman" w:hAnsi="Times New Roman" w:cs="Times New Roman"/>
          <w:sz w:val="24"/>
          <w:szCs w:val="24"/>
        </w:rPr>
        <w:t xml:space="preserve">редметом </w:t>
      </w:r>
      <w:r w:rsidRPr="006D37E7">
        <w:rPr>
          <w:rFonts w:ascii="Times New Roman" w:hAnsi="Times New Roman" w:cs="Times New Roman"/>
          <w:sz w:val="24"/>
          <w:szCs w:val="24"/>
        </w:rPr>
        <w:t>договора</w:t>
      </w:r>
      <w:r w:rsidR="00333886" w:rsidRPr="006D37E7">
        <w:rPr>
          <w:rFonts w:ascii="Times New Roman" w:hAnsi="Times New Roman" w:cs="Times New Roman"/>
          <w:sz w:val="24"/>
          <w:szCs w:val="24"/>
        </w:rPr>
        <w:t xml:space="preserve"> являются </w:t>
      </w:r>
      <w:r w:rsidR="007F20C5" w:rsidRPr="006D37E7">
        <w:rPr>
          <w:rFonts w:ascii="Times New Roman" w:hAnsi="Times New Roman" w:cs="Times New Roman"/>
          <w:sz w:val="24"/>
          <w:szCs w:val="24"/>
        </w:rPr>
        <w:t xml:space="preserve">взаимоотношения сторон по безвозмездному оказанию услуг по организации и проведению </w:t>
      </w:r>
      <w:r w:rsidR="007F20C5" w:rsidRPr="006D37E7">
        <w:rPr>
          <w:rFonts w:ascii="Times New Roman" w:hAnsi="Times New Roman" w:cs="Times New Roman"/>
          <w:sz w:val="24"/>
          <w:szCs w:val="24"/>
        </w:rPr>
        <w:lastRenderedPageBreak/>
        <w:t>кофе-брейк</w:t>
      </w:r>
      <w:r w:rsidR="003B62C7" w:rsidRPr="006D37E7">
        <w:rPr>
          <w:rFonts w:ascii="Times New Roman" w:hAnsi="Times New Roman" w:cs="Times New Roman"/>
          <w:sz w:val="24"/>
          <w:szCs w:val="24"/>
        </w:rPr>
        <w:t>а</w:t>
      </w:r>
      <w:r w:rsidR="007F20C5" w:rsidRPr="006D37E7">
        <w:rPr>
          <w:rFonts w:ascii="Times New Roman" w:hAnsi="Times New Roman" w:cs="Times New Roman"/>
          <w:sz w:val="24"/>
          <w:szCs w:val="24"/>
        </w:rPr>
        <w:t xml:space="preserve"> на основании предварительной письменной заявки для участников мероприятий, проводимых в рамках утвержденного государственного задания. </w:t>
      </w:r>
      <w:r w:rsidRPr="006D37E7">
        <w:rPr>
          <w:rFonts w:ascii="Times New Roman" w:hAnsi="Times New Roman" w:cs="Times New Roman"/>
          <w:sz w:val="24"/>
          <w:szCs w:val="24"/>
        </w:rPr>
        <w:t xml:space="preserve">Фактически </w:t>
      </w:r>
      <w:r w:rsidR="007F20C5" w:rsidRPr="006D37E7">
        <w:rPr>
          <w:rFonts w:ascii="Times New Roman" w:hAnsi="Times New Roman" w:cs="Times New Roman"/>
          <w:sz w:val="24"/>
          <w:szCs w:val="24"/>
        </w:rPr>
        <w:t xml:space="preserve">ООО «Комбинат питания» </w:t>
      </w:r>
      <w:r w:rsidRPr="006D37E7">
        <w:rPr>
          <w:rFonts w:ascii="Times New Roman" w:hAnsi="Times New Roman" w:cs="Times New Roman"/>
          <w:sz w:val="24"/>
          <w:szCs w:val="24"/>
        </w:rPr>
        <w:t>осуществляло торговлю в помещениях ВОЦНТ в течение</w:t>
      </w:r>
      <w:r w:rsidR="007F20C5" w:rsidRPr="006D37E7">
        <w:rPr>
          <w:rFonts w:ascii="Times New Roman" w:hAnsi="Times New Roman" w:cs="Times New Roman"/>
          <w:sz w:val="24"/>
          <w:szCs w:val="24"/>
        </w:rPr>
        <w:t xml:space="preserve"> 22 </w:t>
      </w:r>
      <w:proofErr w:type="spellStart"/>
      <w:r w:rsidR="007F20C5" w:rsidRPr="006D37E7">
        <w:rPr>
          <w:rFonts w:ascii="Times New Roman" w:hAnsi="Times New Roman" w:cs="Times New Roman"/>
          <w:sz w:val="24"/>
          <w:szCs w:val="24"/>
        </w:rPr>
        <w:t>дн</w:t>
      </w:r>
      <w:proofErr w:type="spellEnd"/>
      <w:r w:rsidR="009C4356" w:rsidRPr="006D37E7">
        <w:rPr>
          <w:rFonts w:ascii="Times New Roman" w:hAnsi="Times New Roman" w:cs="Times New Roman"/>
          <w:sz w:val="24"/>
          <w:szCs w:val="24"/>
        </w:rPr>
        <w:t>.</w:t>
      </w:r>
      <w:r w:rsidR="007F20C5" w:rsidRPr="006D37E7">
        <w:rPr>
          <w:rFonts w:ascii="Times New Roman" w:hAnsi="Times New Roman" w:cs="Times New Roman"/>
          <w:sz w:val="24"/>
          <w:szCs w:val="24"/>
        </w:rPr>
        <w:t xml:space="preserve"> (39 часов)</w:t>
      </w:r>
      <w:r w:rsidRPr="006D37E7">
        <w:rPr>
          <w:rFonts w:ascii="Times New Roman" w:hAnsi="Times New Roman" w:cs="Times New Roman"/>
          <w:sz w:val="24"/>
          <w:szCs w:val="24"/>
        </w:rPr>
        <w:t>, из них только</w:t>
      </w:r>
      <w:r w:rsidR="007F20C5" w:rsidRPr="006D37E7">
        <w:rPr>
          <w:rFonts w:ascii="Times New Roman" w:hAnsi="Times New Roman" w:cs="Times New Roman"/>
          <w:sz w:val="24"/>
          <w:szCs w:val="24"/>
        </w:rPr>
        <w:t xml:space="preserve"> </w:t>
      </w:r>
      <w:r w:rsidRPr="006D37E7">
        <w:rPr>
          <w:rFonts w:ascii="Times New Roman" w:hAnsi="Times New Roman" w:cs="Times New Roman"/>
          <w:sz w:val="24"/>
          <w:szCs w:val="24"/>
        </w:rPr>
        <w:t xml:space="preserve">9 </w:t>
      </w:r>
      <w:proofErr w:type="spellStart"/>
      <w:r w:rsidRPr="006D37E7">
        <w:rPr>
          <w:rFonts w:ascii="Times New Roman" w:hAnsi="Times New Roman" w:cs="Times New Roman"/>
          <w:sz w:val="24"/>
          <w:szCs w:val="24"/>
        </w:rPr>
        <w:t>дн</w:t>
      </w:r>
      <w:proofErr w:type="spellEnd"/>
      <w:r w:rsidR="009C4356" w:rsidRPr="006D37E7">
        <w:rPr>
          <w:rFonts w:ascii="Times New Roman" w:hAnsi="Times New Roman" w:cs="Times New Roman"/>
          <w:sz w:val="24"/>
          <w:szCs w:val="24"/>
        </w:rPr>
        <w:t>.</w:t>
      </w:r>
      <w:r w:rsidRPr="006D37E7">
        <w:rPr>
          <w:rFonts w:ascii="Times New Roman" w:hAnsi="Times New Roman" w:cs="Times New Roman"/>
          <w:sz w:val="24"/>
          <w:szCs w:val="24"/>
        </w:rPr>
        <w:t xml:space="preserve"> (14 часов) при проведении </w:t>
      </w:r>
      <w:r w:rsidR="007F20C5" w:rsidRPr="006D37E7">
        <w:rPr>
          <w:rFonts w:ascii="Times New Roman" w:hAnsi="Times New Roman" w:cs="Times New Roman"/>
          <w:sz w:val="24"/>
          <w:szCs w:val="24"/>
        </w:rPr>
        <w:t>мероприяти</w:t>
      </w:r>
      <w:r w:rsidRPr="006D37E7">
        <w:rPr>
          <w:rFonts w:ascii="Times New Roman" w:hAnsi="Times New Roman" w:cs="Times New Roman"/>
          <w:sz w:val="24"/>
          <w:szCs w:val="24"/>
        </w:rPr>
        <w:t xml:space="preserve">й в рамках выполнения государственного задания, остальные </w:t>
      </w:r>
      <w:r w:rsidR="009C4356" w:rsidRPr="006D37E7">
        <w:rPr>
          <w:rFonts w:ascii="Times New Roman" w:hAnsi="Times New Roman" w:cs="Times New Roman"/>
          <w:sz w:val="24"/>
          <w:szCs w:val="24"/>
        </w:rPr>
        <w:t xml:space="preserve">при проведении мероприятий сторонними организациями, т.е. </w:t>
      </w:r>
      <w:r w:rsidRPr="006D37E7">
        <w:rPr>
          <w:rFonts w:ascii="Times New Roman" w:hAnsi="Times New Roman" w:cs="Times New Roman"/>
          <w:sz w:val="24"/>
          <w:szCs w:val="24"/>
        </w:rPr>
        <w:t xml:space="preserve">в отсутствии правовых оснований. </w:t>
      </w:r>
      <w:r w:rsidR="009E5C99" w:rsidRPr="006D37E7">
        <w:rPr>
          <w:rFonts w:ascii="Times New Roman" w:hAnsi="Times New Roman" w:cs="Times New Roman"/>
          <w:sz w:val="24"/>
          <w:szCs w:val="24"/>
        </w:rPr>
        <w:t xml:space="preserve">Кроме того, в ходе визуального осмотра используемых ООО «Комбинат питания» помещений установлено, что находящееся в помещениях оборудование (столы, стулья, холодильник и др.) </w:t>
      </w:r>
      <w:r w:rsidRPr="006D37E7">
        <w:rPr>
          <w:rFonts w:ascii="Times New Roman" w:hAnsi="Times New Roman" w:cs="Times New Roman"/>
          <w:sz w:val="24"/>
          <w:szCs w:val="24"/>
        </w:rPr>
        <w:t xml:space="preserve">также </w:t>
      </w:r>
      <w:r w:rsidR="009E5C99" w:rsidRPr="006D37E7">
        <w:rPr>
          <w:rFonts w:ascii="Times New Roman" w:hAnsi="Times New Roman" w:cs="Times New Roman"/>
          <w:sz w:val="24"/>
          <w:szCs w:val="24"/>
        </w:rPr>
        <w:t xml:space="preserve">принадлежит ВОЦНТ. </w:t>
      </w:r>
    </w:p>
    <w:p w14:paraId="070603D2" w14:textId="77777777" w:rsidR="00CD61B1" w:rsidRPr="006D37E7" w:rsidRDefault="00086FCA" w:rsidP="00FA384B">
      <w:pPr>
        <w:pStyle w:val="ad"/>
        <w:numPr>
          <w:ilvl w:val="0"/>
          <w:numId w:val="27"/>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D37E7">
        <w:rPr>
          <w:rFonts w:ascii="Times New Roman" w:hAnsi="Times New Roman" w:cs="Times New Roman"/>
          <w:b/>
          <w:i/>
          <w:sz w:val="24"/>
          <w:szCs w:val="24"/>
        </w:rPr>
        <w:t>договор</w:t>
      </w:r>
      <w:r w:rsidR="008D755C" w:rsidRPr="006D37E7">
        <w:rPr>
          <w:rFonts w:ascii="Times New Roman" w:hAnsi="Times New Roman" w:cs="Times New Roman"/>
          <w:b/>
          <w:i/>
          <w:sz w:val="24"/>
          <w:szCs w:val="24"/>
        </w:rPr>
        <w:t>ы</w:t>
      </w:r>
      <w:r w:rsidRPr="006D37E7">
        <w:rPr>
          <w:rFonts w:ascii="Times New Roman" w:hAnsi="Times New Roman" w:cs="Times New Roman"/>
          <w:b/>
          <w:i/>
          <w:sz w:val="24"/>
          <w:szCs w:val="24"/>
        </w:rPr>
        <w:t xml:space="preserve"> </w:t>
      </w:r>
      <w:r w:rsidR="008D755C" w:rsidRPr="006D37E7">
        <w:rPr>
          <w:rFonts w:ascii="Times New Roman" w:hAnsi="Times New Roman" w:cs="Times New Roman"/>
          <w:b/>
          <w:i/>
          <w:sz w:val="24"/>
          <w:szCs w:val="24"/>
        </w:rPr>
        <w:t>с ПАО «Мегафон»</w:t>
      </w:r>
      <w:r w:rsidR="008D755C" w:rsidRPr="006D37E7">
        <w:rPr>
          <w:rFonts w:ascii="Times New Roman" w:hAnsi="Times New Roman" w:cs="Times New Roman"/>
          <w:b/>
          <w:sz w:val="24"/>
          <w:szCs w:val="24"/>
        </w:rPr>
        <w:t>,</w:t>
      </w:r>
      <w:r w:rsidR="008D755C" w:rsidRPr="006D37E7">
        <w:rPr>
          <w:rFonts w:ascii="Times New Roman" w:hAnsi="Times New Roman" w:cs="Times New Roman"/>
          <w:sz w:val="24"/>
          <w:szCs w:val="24"/>
        </w:rPr>
        <w:t xml:space="preserve"> предметом </w:t>
      </w:r>
      <w:proofErr w:type="gramStart"/>
      <w:r w:rsidR="008D755C" w:rsidRPr="006D37E7">
        <w:rPr>
          <w:rFonts w:ascii="Times New Roman" w:hAnsi="Times New Roman" w:cs="Times New Roman"/>
          <w:sz w:val="24"/>
          <w:szCs w:val="24"/>
        </w:rPr>
        <w:t xml:space="preserve">которых  </w:t>
      </w:r>
      <w:r w:rsidRPr="006D37E7">
        <w:rPr>
          <w:rFonts w:ascii="Times New Roman" w:hAnsi="Times New Roman" w:cs="Times New Roman"/>
          <w:sz w:val="24"/>
          <w:szCs w:val="24"/>
        </w:rPr>
        <w:t>является</w:t>
      </w:r>
      <w:proofErr w:type="gramEnd"/>
      <w:r w:rsidRPr="006D37E7">
        <w:rPr>
          <w:rFonts w:ascii="Times New Roman" w:hAnsi="Times New Roman" w:cs="Times New Roman"/>
          <w:sz w:val="24"/>
          <w:szCs w:val="24"/>
        </w:rPr>
        <w:t xml:space="preserve"> оказание услуг ВОЦНТ по предоставлению возможности размещения оборудования (средств связи), а также предоставления части крыши для размещения антенно-фидерного оборудования. </w:t>
      </w:r>
      <w:r w:rsidR="007F20C5" w:rsidRPr="006D37E7">
        <w:rPr>
          <w:rFonts w:ascii="Times New Roman" w:hAnsi="Times New Roman" w:cs="Times New Roman"/>
          <w:sz w:val="24"/>
          <w:szCs w:val="24"/>
        </w:rPr>
        <w:t>В ходе визуального осмотра здания ВОЦНТ установлено, что на крыше размещено оборудование для передачи сотовой связи</w:t>
      </w:r>
      <w:r w:rsidR="003B62C7" w:rsidRPr="006D37E7">
        <w:rPr>
          <w:rFonts w:ascii="Times New Roman" w:hAnsi="Times New Roman" w:cs="Times New Roman"/>
          <w:sz w:val="24"/>
          <w:szCs w:val="24"/>
        </w:rPr>
        <w:t>.</w:t>
      </w:r>
      <w:r w:rsidR="00CD7074" w:rsidRPr="006D37E7">
        <w:rPr>
          <w:rFonts w:ascii="Times New Roman" w:hAnsi="Times New Roman" w:cs="Times New Roman"/>
          <w:sz w:val="24"/>
          <w:szCs w:val="24"/>
        </w:rPr>
        <w:t xml:space="preserve"> </w:t>
      </w:r>
      <w:r w:rsidR="008D755C" w:rsidRPr="006D37E7">
        <w:rPr>
          <w:rFonts w:ascii="Times New Roman" w:hAnsi="Times New Roman" w:cs="Times New Roman"/>
          <w:sz w:val="24"/>
          <w:szCs w:val="24"/>
        </w:rPr>
        <w:t>С</w:t>
      </w:r>
      <w:r w:rsidR="007F20C5" w:rsidRPr="006D37E7">
        <w:rPr>
          <w:rFonts w:ascii="Times New Roman" w:hAnsi="Times New Roman" w:cs="Times New Roman"/>
          <w:sz w:val="24"/>
          <w:szCs w:val="24"/>
        </w:rPr>
        <w:t xml:space="preserve">огласно схеме размещения оборудования, помимо антенно-фидерного оборудования </w:t>
      </w:r>
      <w:r w:rsidR="008D755C" w:rsidRPr="006D37E7">
        <w:rPr>
          <w:rFonts w:ascii="Times New Roman" w:hAnsi="Times New Roman" w:cs="Times New Roman"/>
          <w:sz w:val="24"/>
          <w:szCs w:val="24"/>
        </w:rPr>
        <w:t xml:space="preserve">на </w:t>
      </w:r>
      <w:r w:rsidR="007F20C5" w:rsidRPr="006D37E7">
        <w:rPr>
          <w:rFonts w:ascii="Times New Roman" w:hAnsi="Times New Roman" w:cs="Times New Roman"/>
          <w:sz w:val="24"/>
          <w:szCs w:val="24"/>
        </w:rPr>
        <w:t>площад</w:t>
      </w:r>
      <w:r w:rsidR="008D755C" w:rsidRPr="006D37E7">
        <w:rPr>
          <w:rFonts w:ascii="Times New Roman" w:hAnsi="Times New Roman" w:cs="Times New Roman"/>
          <w:sz w:val="24"/>
          <w:szCs w:val="24"/>
        </w:rPr>
        <w:t>и</w:t>
      </w:r>
      <w:r w:rsidR="007F20C5" w:rsidRPr="006D37E7">
        <w:rPr>
          <w:rFonts w:ascii="Times New Roman" w:hAnsi="Times New Roman" w:cs="Times New Roman"/>
          <w:sz w:val="24"/>
          <w:szCs w:val="24"/>
        </w:rPr>
        <w:t xml:space="preserve"> 5,61 кв.м., по краям крыши размещены 8 ед.</w:t>
      </w:r>
      <w:r w:rsidR="00CD7074" w:rsidRPr="006D37E7">
        <w:rPr>
          <w:rFonts w:ascii="Times New Roman" w:hAnsi="Times New Roman" w:cs="Times New Roman"/>
          <w:sz w:val="24"/>
          <w:szCs w:val="24"/>
        </w:rPr>
        <w:t xml:space="preserve"> иного </w:t>
      </w:r>
      <w:r w:rsidR="007F20C5" w:rsidRPr="006D37E7">
        <w:rPr>
          <w:rFonts w:ascii="Times New Roman" w:hAnsi="Times New Roman" w:cs="Times New Roman"/>
          <w:sz w:val="24"/>
          <w:szCs w:val="24"/>
        </w:rPr>
        <w:t xml:space="preserve"> оборудования</w:t>
      </w:r>
      <w:r w:rsidR="00CD7074" w:rsidRPr="006D37E7">
        <w:rPr>
          <w:rFonts w:ascii="Times New Roman" w:hAnsi="Times New Roman" w:cs="Times New Roman"/>
          <w:sz w:val="24"/>
          <w:szCs w:val="24"/>
        </w:rPr>
        <w:t xml:space="preserve"> </w:t>
      </w:r>
      <w:r w:rsidR="007F20C5" w:rsidRPr="006D37E7">
        <w:rPr>
          <w:rFonts w:ascii="Times New Roman" w:hAnsi="Times New Roman" w:cs="Times New Roman"/>
          <w:sz w:val="24"/>
          <w:szCs w:val="24"/>
        </w:rPr>
        <w:t>ПАО «Мегафон»</w:t>
      </w:r>
      <w:r w:rsidR="009C4356" w:rsidRPr="006D37E7">
        <w:rPr>
          <w:rFonts w:ascii="Times New Roman" w:hAnsi="Times New Roman" w:cs="Times New Roman"/>
          <w:sz w:val="24"/>
          <w:szCs w:val="24"/>
        </w:rPr>
        <w:t>, с учетом которого</w:t>
      </w:r>
      <w:r w:rsidR="007F20C5" w:rsidRPr="006D37E7">
        <w:rPr>
          <w:rFonts w:ascii="Times New Roman" w:hAnsi="Times New Roman" w:cs="Times New Roman"/>
          <w:sz w:val="24"/>
          <w:szCs w:val="24"/>
        </w:rPr>
        <w:t xml:space="preserve"> </w:t>
      </w:r>
      <w:r w:rsidR="00CD7074" w:rsidRPr="006D37E7">
        <w:rPr>
          <w:rFonts w:ascii="Times New Roman" w:hAnsi="Times New Roman" w:cs="Times New Roman"/>
          <w:sz w:val="24"/>
          <w:szCs w:val="24"/>
        </w:rPr>
        <w:t xml:space="preserve">фактически </w:t>
      </w:r>
      <w:r w:rsidR="007F20C5" w:rsidRPr="006D37E7">
        <w:rPr>
          <w:rFonts w:ascii="Times New Roman" w:hAnsi="Times New Roman" w:cs="Times New Roman"/>
          <w:sz w:val="24"/>
          <w:szCs w:val="24"/>
        </w:rPr>
        <w:t>используемая ПАО «Мегафон» площадь части крыши составляет 91,51 кв.м.</w:t>
      </w:r>
      <w:r w:rsidR="009C4356" w:rsidRPr="006D37E7">
        <w:rPr>
          <w:rFonts w:ascii="Times New Roman" w:hAnsi="Times New Roman" w:cs="Times New Roman"/>
          <w:sz w:val="24"/>
          <w:szCs w:val="24"/>
        </w:rPr>
        <w:t xml:space="preserve"> </w:t>
      </w:r>
    </w:p>
    <w:p w14:paraId="0CCD47F0" w14:textId="77777777" w:rsidR="00304E06" w:rsidRPr="006D37E7" w:rsidRDefault="00CD61B1" w:rsidP="00CD61B1">
      <w:pPr>
        <w:tabs>
          <w:tab w:val="left" w:pos="709"/>
          <w:tab w:val="left" w:pos="993"/>
          <w:tab w:val="left" w:pos="1134"/>
        </w:tabs>
        <w:autoSpaceDE w:val="0"/>
        <w:autoSpaceDN w:val="0"/>
        <w:adjustRightInd w:val="0"/>
        <w:jc w:val="both"/>
      </w:pPr>
      <w:r w:rsidRPr="006D37E7">
        <w:tab/>
      </w:r>
      <w:r w:rsidR="00A16F01" w:rsidRPr="006D37E7">
        <w:t>В</w:t>
      </w:r>
      <w:r w:rsidRPr="006D37E7">
        <w:t xml:space="preserve"> нарушение п.2 Приказа №29-н ВОЦНТ предоставил ПАО «Мегафон» часть крыши -  конструктивный элемент объекта недвижимого имущества для размещения антенно-фидерного оборудования без согласования с КУГИ. За данное правонарушение установлена административная ответственность, предусмотренная ч. 1 ст. 5.3 Кодекса Волгоградской области об административной ответственности. </w:t>
      </w:r>
      <w:r w:rsidR="004E5C9F" w:rsidRPr="006D37E7">
        <w:t>Протокол не составлялся в связи с истечением срока (3 месяца)</w:t>
      </w:r>
    </w:p>
    <w:p w14:paraId="3A4D81F4" w14:textId="77777777" w:rsidR="00F1499E" w:rsidRPr="006D37E7" w:rsidRDefault="00304E06" w:rsidP="00FA384B">
      <w:pPr>
        <w:tabs>
          <w:tab w:val="left" w:pos="709"/>
          <w:tab w:val="left" w:pos="1134"/>
        </w:tabs>
        <w:autoSpaceDE w:val="0"/>
        <w:autoSpaceDN w:val="0"/>
        <w:adjustRightInd w:val="0"/>
        <w:jc w:val="both"/>
      </w:pPr>
      <w:r w:rsidRPr="006D37E7">
        <w:tab/>
      </w:r>
      <w:r w:rsidR="009C4356" w:rsidRPr="006D37E7">
        <w:t xml:space="preserve">В соответствии с </w:t>
      </w:r>
      <w:r w:rsidR="00AF6C5D" w:rsidRPr="006D37E7">
        <w:t>р</w:t>
      </w:r>
      <w:r w:rsidR="009C4356" w:rsidRPr="006D37E7">
        <w:t xml:space="preserve">аспоряжением </w:t>
      </w:r>
      <w:r w:rsidR="00855196" w:rsidRPr="006D37E7">
        <w:t>КУГИ</w:t>
      </w:r>
      <w:r w:rsidR="009C4356" w:rsidRPr="006D37E7">
        <w:t xml:space="preserve"> от 19.05.2011 № 866-р «О минимальном размере арендной платы при сдаче в аренду государственного имущества Волгоградской области» (далее Распоряжение №866-р) при сдаче в аренду помещений (конструктивных элементов здания) для размещения оборудования и офисов операторов сотовой связи минимальная величина арендной платы составляет 1200 рублей за 1 кв. м в месяц без НДС (утратило силу с 05.05.2017 года). </w:t>
      </w:r>
      <w:r w:rsidR="00AF6C5D" w:rsidRPr="006D37E7">
        <w:t xml:space="preserve">С 05.05.2017 минимальный размер не установлен, размер арендной платы должен осуществляться с учетом рыночной оценки. </w:t>
      </w:r>
    </w:p>
    <w:p w14:paraId="4A7F3738" w14:textId="77777777" w:rsidR="004E5C9F" w:rsidRPr="006D37E7" w:rsidRDefault="00F1499E" w:rsidP="00FA384B">
      <w:pPr>
        <w:tabs>
          <w:tab w:val="left" w:pos="709"/>
          <w:tab w:val="left" w:pos="1134"/>
        </w:tabs>
        <w:autoSpaceDE w:val="0"/>
        <w:autoSpaceDN w:val="0"/>
        <w:adjustRightInd w:val="0"/>
        <w:jc w:val="both"/>
        <w:rPr>
          <w:color w:val="000000"/>
        </w:rPr>
      </w:pPr>
      <w:r w:rsidRPr="006D37E7">
        <w:tab/>
      </w:r>
      <w:r w:rsidR="005B2692" w:rsidRPr="006D37E7">
        <w:t xml:space="preserve">На </w:t>
      </w:r>
      <w:r w:rsidR="004E5C9F" w:rsidRPr="006D37E7">
        <w:t>дату</w:t>
      </w:r>
      <w:r w:rsidR="005B2692" w:rsidRPr="006D37E7">
        <w:t xml:space="preserve"> заключения договора </w:t>
      </w:r>
      <w:r w:rsidR="004E5C9F" w:rsidRPr="006D37E7">
        <w:t>(</w:t>
      </w:r>
      <w:r w:rsidR="005B2692" w:rsidRPr="006D37E7">
        <w:t>01.12.2016</w:t>
      </w:r>
      <w:r w:rsidR="004E5C9F" w:rsidRPr="006D37E7">
        <w:t>)</w:t>
      </w:r>
      <w:r w:rsidR="009C4356" w:rsidRPr="006D37E7">
        <w:t xml:space="preserve"> стоимость арендной платы </w:t>
      </w:r>
      <w:r w:rsidR="004E5C9F" w:rsidRPr="006D37E7">
        <w:t xml:space="preserve">установлена в размере 40,0 тыс. руб. в месяц при установленной Распоряжением №866-р </w:t>
      </w:r>
      <w:r w:rsidR="009C4356" w:rsidRPr="006D37E7">
        <w:t>не менее 109,8 тыс. руб</w:t>
      </w:r>
      <w:r w:rsidR="00AF6C5D" w:rsidRPr="006D37E7">
        <w:t>. в месяц</w:t>
      </w:r>
      <w:r w:rsidR="00A16F01" w:rsidRPr="006D37E7">
        <w:t xml:space="preserve">, </w:t>
      </w:r>
      <w:r w:rsidR="009C4356" w:rsidRPr="006D37E7">
        <w:t>или</w:t>
      </w:r>
      <w:r w:rsidR="00AF6C5D" w:rsidRPr="006D37E7">
        <w:t xml:space="preserve"> в </w:t>
      </w:r>
      <w:r w:rsidR="009C4356" w:rsidRPr="006D37E7">
        <w:t>2,7 раза меньше.</w:t>
      </w:r>
      <w:r w:rsidR="004E5C9F" w:rsidRPr="006D37E7">
        <w:t xml:space="preserve"> Соответственно </w:t>
      </w:r>
      <w:r w:rsidR="004E5C9F" w:rsidRPr="006D37E7">
        <w:rPr>
          <w:color w:val="000000"/>
        </w:rPr>
        <w:t xml:space="preserve">ВОЦНТ недополучено доходов с 01.12.2016 по 01.05.2017года </w:t>
      </w:r>
      <w:r w:rsidR="006D37E7" w:rsidRPr="006D37E7">
        <w:rPr>
          <w:color w:val="000000"/>
        </w:rPr>
        <w:t>(</w:t>
      </w:r>
      <w:r w:rsidR="004E5C9F" w:rsidRPr="006D37E7">
        <w:rPr>
          <w:color w:val="000000"/>
        </w:rPr>
        <w:t xml:space="preserve">5 месяцев) не менее </w:t>
      </w:r>
      <w:r w:rsidRPr="006D37E7">
        <w:rPr>
          <w:color w:val="000000"/>
        </w:rPr>
        <w:t>349,1 тыс.руб. (1200*91,51*5 - 40,0*5).</w:t>
      </w:r>
    </w:p>
    <w:p w14:paraId="0D76476C" w14:textId="77777777" w:rsidR="00F1499E" w:rsidRPr="006D37E7" w:rsidRDefault="00F1499E" w:rsidP="00FA384B">
      <w:pPr>
        <w:tabs>
          <w:tab w:val="left" w:pos="709"/>
          <w:tab w:val="left" w:pos="1134"/>
        </w:tabs>
        <w:autoSpaceDE w:val="0"/>
        <w:autoSpaceDN w:val="0"/>
        <w:adjustRightInd w:val="0"/>
        <w:jc w:val="both"/>
        <w:rPr>
          <w:color w:val="000000"/>
        </w:rPr>
      </w:pPr>
      <w:r w:rsidRPr="006D37E7">
        <w:rPr>
          <w:color w:val="000000"/>
        </w:rPr>
        <w:tab/>
      </w:r>
      <w:r w:rsidR="005B2692" w:rsidRPr="006D37E7">
        <w:rPr>
          <w:color w:val="000000"/>
        </w:rPr>
        <w:t>В</w:t>
      </w:r>
      <w:r w:rsidR="00165D30" w:rsidRPr="006D37E7">
        <w:rPr>
          <w:color w:val="000000"/>
        </w:rPr>
        <w:t xml:space="preserve"> результате сравнения стоимости </w:t>
      </w:r>
      <w:r w:rsidR="00AA3F7B" w:rsidRPr="006D37E7">
        <w:rPr>
          <w:color w:val="000000"/>
        </w:rPr>
        <w:t>аре</w:t>
      </w:r>
      <w:r w:rsidR="008D755C" w:rsidRPr="006D37E7">
        <w:rPr>
          <w:color w:val="000000"/>
        </w:rPr>
        <w:t>н</w:t>
      </w:r>
      <w:r w:rsidR="00AA3F7B" w:rsidRPr="006D37E7">
        <w:rPr>
          <w:color w:val="000000"/>
        </w:rPr>
        <w:t xml:space="preserve">дной платы </w:t>
      </w:r>
      <w:r w:rsidRPr="006D37E7">
        <w:rPr>
          <w:color w:val="000000"/>
        </w:rPr>
        <w:t>по</w:t>
      </w:r>
      <w:r w:rsidR="0083120F" w:rsidRPr="006D37E7">
        <w:rPr>
          <w:color w:val="000000"/>
        </w:rPr>
        <w:t xml:space="preserve"> </w:t>
      </w:r>
      <w:r w:rsidR="00AA3F7B" w:rsidRPr="006D37E7">
        <w:rPr>
          <w:color w:val="000000"/>
        </w:rPr>
        <w:t>договор</w:t>
      </w:r>
      <w:r w:rsidRPr="006D37E7">
        <w:rPr>
          <w:color w:val="000000"/>
        </w:rPr>
        <w:t>у</w:t>
      </w:r>
      <w:r w:rsidR="00DA43E5" w:rsidRPr="006D37E7">
        <w:rPr>
          <w:color w:val="000000"/>
        </w:rPr>
        <w:t xml:space="preserve"> аренды</w:t>
      </w:r>
      <w:r w:rsidRPr="006D37E7">
        <w:rPr>
          <w:color w:val="000000"/>
        </w:rPr>
        <w:t xml:space="preserve"> по размещению аналогичного оборудования</w:t>
      </w:r>
      <w:r w:rsidR="00AA3F7B" w:rsidRPr="006D37E7">
        <w:rPr>
          <w:color w:val="000000"/>
        </w:rPr>
        <w:t>, заключенн</w:t>
      </w:r>
      <w:r w:rsidRPr="006D37E7">
        <w:rPr>
          <w:color w:val="000000"/>
        </w:rPr>
        <w:t>ому</w:t>
      </w:r>
      <w:r w:rsidR="00AA3F7B" w:rsidRPr="006D37E7">
        <w:rPr>
          <w:color w:val="000000"/>
        </w:rPr>
        <w:t xml:space="preserve"> </w:t>
      </w:r>
      <w:r w:rsidRPr="006D37E7">
        <w:rPr>
          <w:color w:val="000000"/>
        </w:rPr>
        <w:t xml:space="preserve">с соблюдением действующего законодательства </w:t>
      </w:r>
      <w:r w:rsidR="00AA3F7B" w:rsidRPr="006D37E7">
        <w:rPr>
          <w:color w:val="000000"/>
        </w:rPr>
        <w:t xml:space="preserve">ГБУК Волгоградский государственный театр «Царицынская опера» </w:t>
      </w:r>
      <w:r w:rsidRPr="006D37E7">
        <w:rPr>
          <w:color w:val="000000"/>
        </w:rPr>
        <w:t>(2300 руб. за 1 кв.м. без НДС)</w:t>
      </w:r>
      <w:r w:rsidR="00165D30" w:rsidRPr="006D37E7">
        <w:rPr>
          <w:color w:val="000000"/>
        </w:rPr>
        <w:t xml:space="preserve"> установлено</w:t>
      </w:r>
      <w:r w:rsidR="00DA43E5" w:rsidRPr="006D37E7">
        <w:rPr>
          <w:color w:val="000000"/>
        </w:rPr>
        <w:t xml:space="preserve">, что </w:t>
      </w:r>
      <w:r w:rsidRPr="006D37E7">
        <w:rPr>
          <w:color w:val="000000"/>
        </w:rPr>
        <w:t xml:space="preserve">ВОЦНТ недополучено доходов с 01.05.2017 по 01.04.2019 </w:t>
      </w:r>
      <w:r w:rsidR="006D37E7" w:rsidRPr="006D37E7">
        <w:rPr>
          <w:color w:val="000000"/>
        </w:rPr>
        <w:t>(</w:t>
      </w:r>
      <w:r w:rsidRPr="006D37E7">
        <w:rPr>
          <w:color w:val="000000"/>
        </w:rPr>
        <w:t xml:space="preserve">23 месяца) </w:t>
      </w:r>
      <w:r w:rsidR="00165D30" w:rsidRPr="006D37E7">
        <w:rPr>
          <w:color w:val="000000"/>
        </w:rPr>
        <w:t xml:space="preserve">не менее </w:t>
      </w:r>
      <w:r w:rsidRPr="006D37E7">
        <w:rPr>
          <w:color w:val="000000"/>
        </w:rPr>
        <w:t>3920,9</w:t>
      </w:r>
      <w:r w:rsidR="00165D30" w:rsidRPr="006D37E7">
        <w:rPr>
          <w:color w:val="000000"/>
        </w:rPr>
        <w:t xml:space="preserve"> тыс. руб</w:t>
      </w:r>
      <w:r w:rsidRPr="006D37E7">
        <w:rPr>
          <w:color w:val="000000"/>
        </w:rPr>
        <w:t>.</w:t>
      </w:r>
      <w:r w:rsidR="00AA3F7B" w:rsidRPr="006D37E7">
        <w:rPr>
          <w:color w:val="000000"/>
        </w:rPr>
        <w:t xml:space="preserve"> </w:t>
      </w:r>
      <w:r w:rsidRPr="006D37E7">
        <w:rPr>
          <w:color w:val="000000"/>
        </w:rPr>
        <w:t>(</w:t>
      </w:r>
      <w:r w:rsidR="0083120F" w:rsidRPr="006D37E7">
        <w:rPr>
          <w:color w:val="000000"/>
        </w:rPr>
        <w:t>2300 руб.</w:t>
      </w:r>
      <w:r w:rsidR="00AA3F7B" w:rsidRPr="006D37E7">
        <w:rPr>
          <w:color w:val="000000"/>
        </w:rPr>
        <w:t>*91,51*</w:t>
      </w:r>
      <w:r w:rsidR="0083120F" w:rsidRPr="006D37E7">
        <w:rPr>
          <w:color w:val="000000"/>
        </w:rPr>
        <w:t>23</w:t>
      </w:r>
      <w:r w:rsidRPr="006D37E7">
        <w:rPr>
          <w:color w:val="000000"/>
        </w:rPr>
        <w:t>-40,0*23</w:t>
      </w:r>
      <w:r w:rsidR="00AA3F7B" w:rsidRPr="006D37E7">
        <w:rPr>
          <w:color w:val="000000"/>
        </w:rPr>
        <w:t>)</w:t>
      </w:r>
      <w:r w:rsidRPr="006D37E7">
        <w:rPr>
          <w:color w:val="000000"/>
        </w:rPr>
        <w:t>.</w:t>
      </w:r>
    </w:p>
    <w:p w14:paraId="0D9EB92D" w14:textId="77777777" w:rsidR="00DA43E5" w:rsidRPr="006D37E7" w:rsidRDefault="00746013" w:rsidP="002C31A9">
      <w:pPr>
        <w:autoSpaceDE w:val="0"/>
        <w:autoSpaceDN w:val="0"/>
        <w:adjustRightInd w:val="0"/>
        <w:ind w:firstLine="540"/>
        <w:jc w:val="both"/>
        <w:rPr>
          <w:color w:val="000000"/>
        </w:rPr>
      </w:pPr>
      <w:r w:rsidRPr="006D37E7">
        <w:rPr>
          <w:rFonts w:eastAsiaTheme="minorHAnsi"/>
          <w:lang w:eastAsia="en-US"/>
        </w:rPr>
        <w:t xml:space="preserve">В соответствии с п. 2.1.2. </w:t>
      </w:r>
      <w:r w:rsidR="00304E06" w:rsidRPr="006D37E7">
        <w:rPr>
          <w:rFonts w:eastAsiaTheme="minorHAnsi"/>
          <w:lang w:eastAsia="en-US"/>
        </w:rPr>
        <w:t>Порядка №865-р р</w:t>
      </w:r>
      <w:r w:rsidRPr="006D37E7">
        <w:rPr>
          <w:rFonts w:eastAsiaTheme="minorHAnsi"/>
          <w:lang w:eastAsia="en-US"/>
        </w:rPr>
        <w:t>ыночная стоимость за пользование объектом государственного недвижимого имущества рассчитывается за единицу арендуемой площади или в целом за общую арендуемую площадь без учета затрат на эксплуатацию и содержание здания, строения, помещения, коммунальных услуг, налогов, имеющих отношение к объекту недвижимости.</w:t>
      </w:r>
      <w:r w:rsidR="00696F86" w:rsidRPr="006D37E7">
        <w:rPr>
          <w:rFonts w:eastAsiaTheme="minorHAnsi"/>
          <w:lang w:eastAsia="en-US"/>
        </w:rPr>
        <w:t xml:space="preserve"> </w:t>
      </w:r>
      <w:r w:rsidR="002C31A9" w:rsidRPr="006D37E7">
        <w:rPr>
          <w:color w:val="000000"/>
        </w:rPr>
        <w:t xml:space="preserve">Пунктами 2.3.6 договоров определена обязанность ПАО «Мегафон» заключить отдельный договор на электроснабжение оборудования с энергоснабжающей организацией, однако в нарушение условий договора счетчик для учета электроэнергии не установлен, ПАО «Мегафон» отдельный договор с </w:t>
      </w:r>
      <w:proofErr w:type="spellStart"/>
      <w:r w:rsidR="002C31A9" w:rsidRPr="006D37E7">
        <w:rPr>
          <w:color w:val="000000"/>
        </w:rPr>
        <w:t>электроснабжающей</w:t>
      </w:r>
      <w:proofErr w:type="spellEnd"/>
      <w:r w:rsidR="002C31A9" w:rsidRPr="006D37E7">
        <w:rPr>
          <w:color w:val="000000"/>
        </w:rPr>
        <w:t xml:space="preserve"> организацией не заключен. </w:t>
      </w:r>
    </w:p>
    <w:p w14:paraId="1D32BD01" w14:textId="77777777" w:rsidR="00696F86" w:rsidRPr="006D37E7" w:rsidRDefault="00696F86" w:rsidP="002C31A9">
      <w:pPr>
        <w:autoSpaceDE w:val="0"/>
        <w:autoSpaceDN w:val="0"/>
        <w:adjustRightInd w:val="0"/>
        <w:ind w:firstLine="540"/>
        <w:jc w:val="both"/>
        <w:rPr>
          <w:color w:val="000000"/>
        </w:rPr>
      </w:pPr>
      <w:r w:rsidRPr="006D37E7">
        <w:t xml:space="preserve">Согласно пояснениям </w:t>
      </w:r>
      <w:proofErr w:type="gramStart"/>
      <w:r w:rsidRPr="006D37E7">
        <w:t>директора Учреждения</w:t>
      </w:r>
      <w:proofErr w:type="gramEnd"/>
      <w:r w:rsidRPr="006D37E7">
        <w:t xml:space="preserve"> расчет стоимости </w:t>
      </w:r>
      <w:r w:rsidR="00304E06" w:rsidRPr="006D37E7">
        <w:t xml:space="preserve">договора в сумме 40,0 тыс.руб. </w:t>
      </w:r>
      <w:r w:rsidRPr="006D37E7">
        <w:t xml:space="preserve">произведен исходя из непредвиденных </w:t>
      </w:r>
      <w:r w:rsidR="00625E1B" w:rsidRPr="006D37E7">
        <w:t>расходов в сумме 19,1 тыс. руб.</w:t>
      </w:r>
      <w:r w:rsidRPr="006D37E7">
        <w:t xml:space="preserve"> и затрат на электроэнергию </w:t>
      </w:r>
      <w:r w:rsidR="00625E1B" w:rsidRPr="006D37E7">
        <w:t xml:space="preserve">в сумме </w:t>
      </w:r>
      <w:r w:rsidRPr="006D37E7">
        <w:t>20,9 тыс. руб. (потребление базовой станции 2700</w:t>
      </w:r>
      <w:r w:rsidR="00625E1B" w:rsidRPr="006D37E7">
        <w:t xml:space="preserve"> </w:t>
      </w:r>
      <w:proofErr w:type="spellStart"/>
      <w:r w:rsidRPr="006D37E7">
        <w:t>кВТч</w:t>
      </w:r>
      <w:proofErr w:type="spellEnd"/>
      <w:r w:rsidRPr="006D37E7">
        <w:t>/месяц * 7 руб. 75 коп.).</w:t>
      </w:r>
      <w:r w:rsidR="002C31A9" w:rsidRPr="006D37E7">
        <w:t xml:space="preserve"> </w:t>
      </w:r>
      <w:r w:rsidR="002C31A9" w:rsidRPr="006D37E7">
        <w:rPr>
          <w:color w:val="000000"/>
        </w:rPr>
        <w:t xml:space="preserve">При этом в </w:t>
      </w:r>
      <w:r w:rsidR="0083120F" w:rsidRPr="006D37E7">
        <w:rPr>
          <w:color w:val="000000"/>
        </w:rPr>
        <w:t>2018 году оплата электроэнерги</w:t>
      </w:r>
      <w:r w:rsidR="00855196" w:rsidRPr="006D37E7">
        <w:rPr>
          <w:color w:val="000000"/>
        </w:rPr>
        <w:t>и</w:t>
      </w:r>
      <w:r w:rsidR="0083120F" w:rsidRPr="006D37E7">
        <w:rPr>
          <w:color w:val="000000"/>
        </w:rPr>
        <w:t xml:space="preserve"> производилась ВОЦНТ только за счет средств субсидии на выполнение государственного задания.</w:t>
      </w:r>
      <w:r w:rsidR="002C31A9" w:rsidRPr="006D37E7">
        <w:rPr>
          <w:color w:val="000000"/>
        </w:rPr>
        <w:t xml:space="preserve"> Таким образом, о</w:t>
      </w:r>
      <w:r w:rsidRPr="006D37E7">
        <w:rPr>
          <w:color w:val="000000"/>
        </w:rPr>
        <w:t xml:space="preserve">тсутствие надлежаще оформленного договора аренды привело к дополнительным расходам областного бюджета по оплате расходов за электроэнергию, которые должны были оплачиваться ПАО </w:t>
      </w:r>
      <w:r w:rsidRPr="006D37E7">
        <w:rPr>
          <w:color w:val="000000"/>
        </w:rPr>
        <w:lastRenderedPageBreak/>
        <w:t xml:space="preserve">«Мегафон» по отдельному договору с </w:t>
      </w:r>
      <w:proofErr w:type="spellStart"/>
      <w:r w:rsidRPr="006D37E7">
        <w:rPr>
          <w:color w:val="000000"/>
        </w:rPr>
        <w:t>электроснабжающей</w:t>
      </w:r>
      <w:proofErr w:type="spellEnd"/>
      <w:r w:rsidRPr="006D37E7">
        <w:rPr>
          <w:color w:val="000000"/>
        </w:rPr>
        <w:t xml:space="preserve"> организацией. С учетом расчетов к договору расходы</w:t>
      </w:r>
      <w:r w:rsidR="0083120F" w:rsidRPr="006D37E7">
        <w:rPr>
          <w:color w:val="000000"/>
        </w:rPr>
        <w:t xml:space="preserve"> </w:t>
      </w:r>
      <w:r w:rsidR="004020B5" w:rsidRPr="006D37E7">
        <w:rPr>
          <w:color w:val="000000"/>
        </w:rPr>
        <w:t xml:space="preserve">за потребляемую базовой станцией </w:t>
      </w:r>
      <w:r w:rsidR="0083120F" w:rsidRPr="006D37E7">
        <w:rPr>
          <w:color w:val="000000"/>
        </w:rPr>
        <w:t xml:space="preserve">электроэнергию </w:t>
      </w:r>
      <w:r w:rsidRPr="006D37E7">
        <w:rPr>
          <w:color w:val="000000"/>
        </w:rPr>
        <w:t>за 2018 год составили</w:t>
      </w:r>
      <w:r w:rsidR="004020B5" w:rsidRPr="006D37E7">
        <w:rPr>
          <w:color w:val="000000"/>
        </w:rPr>
        <w:t xml:space="preserve"> 250,8 тыс.</w:t>
      </w:r>
      <w:r w:rsidR="00304E06" w:rsidRPr="006D37E7">
        <w:rPr>
          <w:color w:val="000000"/>
        </w:rPr>
        <w:t xml:space="preserve"> </w:t>
      </w:r>
      <w:r w:rsidR="004020B5" w:rsidRPr="006D37E7">
        <w:rPr>
          <w:color w:val="000000"/>
        </w:rPr>
        <w:t>руб. (</w:t>
      </w:r>
      <w:r w:rsidR="0083120F" w:rsidRPr="006D37E7">
        <w:rPr>
          <w:color w:val="000000"/>
        </w:rPr>
        <w:t>20,9 тыс. руб.</w:t>
      </w:r>
      <w:r w:rsidR="004020B5" w:rsidRPr="006D37E7">
        <w:rPr>
          <w:color w:val="000000"/>
        </w:rPr>
        <w:t>*12 месяцев)</w:t>
      </w:r>
      <w:r w:rsidR="00304E06" w:rsidRPr="006D37E7">
        <w:rPr>
          <w:color w:val="000000"/>
        </w:rPr>
        <w:t>;</w:t>
      </w:r>
    </w:p>
    <w:p w14:paraId="3E89980B" w14:textId="77777777" w:rsidR="00C7387C" w:rsidRPr="006D37E7" w:rsidRDefault="00C7387C" w:rsidP="00321865">
      <w:pPr>
        <w:ind w:firstLine="708"/>
        <w:jc w:val="both"/>
      </w:pPr>
      <w:r w:rsidRPr="006D37E7">
        <w:rPr>
          <w:rFonts w:eastAsia="Calibri"/>
        </w:rPr>
        <w:t>Административное</w:t>
      </w:r>
      <w:r w:rsidRPr="006D37E7">
        <w:t xml:space="preserve"> производство по вышеуказанн</w:t>
      </w:r>
      <w:r w:rsidR="002C31A9" w:rsidRPr="006D37E7">
        <w:t>ым</w:t>
      </w:r>
      <w:r w:rsidRPr="006D37E7">
        <w:t xml:space="preserve"> факт</w:t>
      </w:r>
      <w:r w:rsidR="002C31A9" w:rsidRPr="006D37E7">
        <w:t>ам</w:t>
      </w:r>
      <w:r w:rsidRPr="006D37E7">
        <w:t xml:space="preserve"> не возбуждалось в связи с истечением на момент проверки трехмесячного срока давности привлечения к административной ответственности руководител</w:t>
      </w:r>
      <w:r w:rsidR="002C31A9" w:rsidRPr="006D37E7">
        <w:t>ей Института, ВОЦНТ, Планетария.</w:t>
      </w:r>
    </w:p>
    <w:p w14:paraId="3F9ABF2E" w14:textId="77777777" w:rsidR="00EA01AF" w:rsidRPr="006D37E7" w:rsidRDefault="00895408" w:rsidP="00EA01AF">
      <w:pPr>
        <w:spacing w:before="120" w:after="120"/>
        <w:ind w:firstLine="709"/>
        <w:jc w:val="center"/>
        <w:rPr>
          <w:b/>
        </w:rPr>
      </w:pPr>
      <w:r w:rsidRPr="006D37E7">
        <w:rPr>
          <w:b/>
        </w:rPr>
        <w:t>8</w:t>
      </w:r>
      <w:r w:rsidR="00EA01AF" w:rsidRPr="006D37E7">
        <w:rPr>
          <w:b/>
        </w:rPr>
        <w:t>. Предоставление и расходование межбюджетных трансфертов</w:t>
      </w:r>
    </w:p>
    <w:p w14:paraId="2EA511BE" w14:textId="77777777" w:rsidR="00EA01AF" w:rsidRPr="006D37E7" w:rsidRDefault="00EA01AF" w:rsidP="00EA01AF">
      <w:pPr>
        <w:ind w:firstLine="709"/>
        <w:jc w:val="both"/>
      </w:pPr>
      <w:r w:rsidRPr="006D37E7">
        <w:t xml:space="preserve">В рамках реализации государственной программы РФ «Развитие культуры и туризма» на 2013 - 2020 годы, утвержденной постановлением Правительства РФ от 15.04.2014 №317 (далее ГП РФ Развитие культуры и туризма, Постановление Правительства РФ №317), </w:t>
      </w:r>
      <w:bookmarkStart w:id="3" w:name="OLE_LINK5"/>
      <w:r w:rsidRPr="006D37E7">
        <w:t xml:space="preserve">Министерством культуры РФ </w:t>
      </w:r>
      <w:bookmarkEnd w:id="3"/>
      <w:r w:rsidRPr="006D37E7">
        <w:t>с Комитетом заключены 4 соглашения о предоставлении субсидии бюджету субъекта РФ из федерального бюджета на общую сумму 54701,3 тыс. руб., в том числе:</w:t>
      </w:r>
    </w:p>
    <w:p w14:paraId="0DA66B30" w14:textId="77777777" w:rsidR="00EA01AF" w:rsidRPr="006D37E7" w:rsidRDefault="00EA01AF" w:rsidP="00EA01AF">
      <w:pPr>
        <w:ind w:firstLine="709"/>
        <w:jc w:val="both"/>
      </w:pPr>
      <w:r w:rsidRPr="006D37E7">
        <w:t xml:space="preserve">-от 08.02.2018 №054-08-2018-027 </w:t>
      </w:r>
      <w:r w:rsidR="00314B39" w:rsidRPr="006D37E7">
        <w:t xml:space="preserve">на сумму 17771,5 тыс.руб. </w:t>
      </w:r>
      <w:r w:rsidRPr="006D37E7">
        <w:t xml:space="preserve">- на обеспечение развития </w:t>
      </w:r>
      <w:proofErr w:type="gramStart"/>
      <w:r w:rsidRPr="006D37E7">
        <w:t>и  укрепления</w:t>
      </w:r>
      <w:proofErr w:type="gramEnd"/>
      <w:r w:rsidRPr="006D37E7">
        <w:t>  материально-технической  базы  домов  культуры  в  населенных  пунктах  с числом  жителей  до  50  тысяч  человек;</w:t>
      </w:r>
    </w:p>
    <w:p w14:paraId="446AB6A7" w14:textId="77777777" w:rsidR="00EA01AF" w:rsidRPr="006D37E7" w:rsidRDefault="00EA01AF" w:rsidP="00EA01AF">
      <w:pPr>
        <w:ind w:firstLine="709"/>
        <w:jc w:val="both"/>
      </w:pPr>
      <w:r w:rsidRPr="006D37E7">
        <w:t xml:space="preserve">-от 06.02.2018 № 054-08-2018-223 </w:t>
      </w:r>
      <w:r w:rsidR="00314B39" w:rsidRPr="006D37E7">
        <w:t xml:space="preserve">на сумму 18581,2 тыс.руб. </w:t>
      </w:r>
      <w:r w:rsidRPr="006D37E7">
        <w:t>- на поддержку творческой деятельности и техническое оснащение детских и кукольных театров;</w:t>
      </w:r>
    </w:p>
    <w:p w14:paraId="4CEDF092" w14:textId="77777777" w:rsidR="00EA01AF" w:rsidRPr="006D37E7" w:rsidRDefault="00EA01AF" w:rsidP="00EA01AF">
      <w:pPr>
        <w:ind w:firstLine="709"/>
        <w:jc w:val="both"/>
      </w:pPr>
      <w:r w:rsidRPr="006D37E7">
        <w:t xml:space="preserve">-от 07.02.2018 № 054-08-2018-293 </w:t>
      </w:r>
      <w:r w:rsidR="00314B39" w:rsidRPr="006D37E7">
        <w:t>на сумму 9634,0 тыс.руб.</w:t>
      </w:r>
      <w:r w:rsidRPr="006D37E7">
        <w:t>- на поддержку творческой деятельности муниципальных театров;</w:t>
      </w:r>
    </w:p>
    <w:p w14:paraId="5F32EAF4" w14:textId="77777777" w:rsidR="00EA01AF" w:rsidRPr="006D37E7" w:rsidRDefault="00EA01AF" w:rsidP="00EA01AF">
      <w:pPr>
        <w:ind w:firstLine="709"/>
        <w:jc w:val="both"/>
      </w:pPr>
      <w:r w:rsidRPr="006D37E7">
        <w:t xml:space="preserve">-от 07.02.2018 № 054-09-2018-036 </w:t>
      </w:r>
      <w:r w:rsidR="00314B39" w:rsidRPr="006D37E7">
        <w:t>на сумму 8714,6 тыс.руб.</w:t>
      </w:r>
      <w:r w:rsidRPr="006D37E7">
        <w:t>- на поддержку отрасли культуры.</w:t>
      </w:r>
    </w:p>
    <w:p w14:paraId="3F6C6B48" w14:textId="77777777" w:rsidR="00EA01AF" w:rsidRPr="006D37E7" w:rsidRDefault="00EA01AF" w:rsidP="00EA01AF">
      <w:pPr>
        <w:ind w:firstLine="709"/>
        <w:jc w:val="both"/>
        <w:rPr>
          <w:color w:val="0000CC"/>
        </w:rPr>
      </w:pPr>
      <w:proofErr w:type="spellStart"/>
      <w:r w:rsidRPr="006D37E7">
        <w:t>Софинансирование</w:t>
      </w:r>
      <w:proofErr w:type="spellEnd"/>
      <w:r w:rsidRPr="006D37E7">
        <w:t xml:space="preserve"> за счет областного бюджета должно составлять 8905,6 тыс. руб., за счет местных бюджетов – 2386,5 тыс. рублей. </w:t>
      </w:r>
      <w:r w:rsidR="00DA43E5" w:rsidRPr="006D37E7">
        <w:t xml:space="preserve"> </w:t>
      </w:r>
      <w:r w:rsidRPr="006D37E7">
        <w:t xml:space="preserve">В 2018 году расходы на мероприятия в рамках заключенных 4 Соглашений с Министерством культуры РФ составили 65993,4 тыс. руб., в том числе: за счет средств федерального бюджета в сумме 54701,3 тыс.руб., средств областного бюджета – 8905,6 тыс.руб., средств местных бюджетов – 2386,5 тыс.руб., или 100%  от утвержденных бюджетных ассигнований на эти цели. Информация об  использовании субсидий отражена </w:t>
      </w:r>
      <w:r w:rsidRPr="006D37E7">
        <w:rPr>
          <w:color w:val="0000CC"/>
        </w:rPr>
        <w:t>в приложении №</w:t>
      </w:r>
      <w:r w:rsidR="00DA43E5" w:rsidRPr="006D37E7">
        <w:rPr>
          <w:color w:val="0000CC"/>
        </w:rPr>
        <w:t>9</w:t>
      </w:r>
      <w:r w:rsidRPr="006D37E7">
        <w:rPr>
          <w:color w:val="0000CC"/>
        </w:rPr>
        <w:t>.</w:t>
      </w:r>
    </w:p>
    <w:p w14:paraId="3D5C7E6D" w14:textId="77777777" w:rsidR="00EA01AF" w:rsidRPr="006D37E7" w:rsidRDefault="00EA01AF" w:rsidP="00EA01AF">
      <w:pPr>
        <w:ind w:firstLine="709"/>
        <w:jc w:val="both"/>
      </w:pPr>
      <w:r w:rsidRPr="006D37E7">
        <w:t>В ходе проверки установлены отдельные нарушения и недостатки при их использовании.</w:t>
      </w:r>
    </w:p>
    <w:p w14:paraId="206AEA33" w14:textId="77777777" w:rsidR="00EA01AF" w:rsidRPr="006D37E7" w:rsidRDefault="00EA01AF" w:rsidP="00EA01AF">
      <w:pPr>
        <w:ind w:firstLine="709"/>
        <w:jc w:val="both"/>
      </w:pPr>
      <w:r w:rsidRPr="006D37E7">
        <w:rPr>
          <w:b/>
        </w:rPr>
        <w:t>1.</w:t>
      </w:r>
      <w:r w:rsidRPr="006D37E7">
        <w:t xml:space="preserve"> По Соглашению</w:t>
      </w:r>
      <w:r w:rsidR="00307465" w:rsidRPr="006D37E7">
        <w:t xml:space="preserve"> на поддержку отрасли культуры </w:t>
      </w:r>
      <w:r w:rsidRPr="006D37E7">
        <w:t>по всем</w:t>
      </w:r>
      <w:r w:rsidR="00307465" w:rsidRPr="006D37E7">
        <w:t xml:space="preserve"> 6</w:t>
      </w:r>
      <w:r w:rsidRPr="006D37E7">
        <w:t xml:space="preserve"> видам </w:t>
      </w:r>
      <w:r w:rsidR="00314B39" w:rsidRPr="006D37E7">
        <w:t>мероприятий</w:t>
      </w:r>
      <w:r w:rsidRPr="006D37E7">
        <w:t xml:space="preserve"> целевым показателем эффективности является </w:t>
      </w:r>
      <w:r w:rsidRPr="006D37E7">
        <w:rPr>
          <w:i/>
        </w:rPr>
        <w:t xml:space="preserve">«количество посещений организаций культуры по отношению к уровню 2010 года» </w:t>
      </w:r>
      <w:r w:rsidRPr="006D37E7">
        <w:t>- 119,5 процентов.</w:t>
      </w:r>
    </w:p>
    <w:p w14:paraId="40A76EC2" w14:textId="77777777" w:rsidR="00EA01AF" w:rsidRPr="006D37E7" w:rsidRDefault="00EA01AF" w:rsidP="00EA01AF">
      <w:pPr>
        <w:ind w:firstLine="709"/>
        <w:jc w:val="both"/>
      </w:pPr>
      <w:r w:rsidRPr="006D37E7">
        <w:t>В соответствии с разделом VIII «Общие требования к политике субъектов Российской Федерации в сферах культуры и туризма» ГП РФ Развитие культуры и туризма состав, а также значения целевых показателей (индикаторов) Программы, представленных по субъектам РФ, в том числе по показателю «Количество посещений организаций культуры по отношению к уровню 2010 года» определяются на основании данных, указанных в формах федерального статистического наблюдения.</w:t>
      </w:r>
      <w:r w:rsidR="00DA43E5" w:rsidRPr="006D37E7">
        <w:t xml:space="preserve"> </w:t>
      </w:r>
      <w:r w:rsidR="00314B39" w:rsidRPr="006D37E7">
        <w:t xml:space="preserve">Порядок и методика расчета показателя ГП РФ Развитие культуры и туризма и соглашениями не определены. </w:t>
      </w:r>
      <w:r w:rsidRPr="006D37E7">
        <w:t xml:space="preserve">Локальными актами Комитета порядок и методика расчета показателя «Количество посещений организаций культуры по отношению к уровню 2010 года» </w:t>
      </w:r>
      <w:r w:rsidR="00AF6C5D" w:rsidRPr="006D37E7">
        <w:t xml:space="preserve"> также </w:t>
      </w:r>
      <w:r w:rsidR="00314B39" w:rsidRPr="006D37E7">
        <w:t>не установлен</w:t>
      </w:r>
      <w:r w:rsidR="00AF6C5D" w:rsidRPr="006D37E7">
        <w:t>ы</w:t>
      </w:r>
      <w:r w:rsidR="00314B39" w:rsidRPr="006D37E7">
        <w:t>.</w:t>
      </w:r>
    </w:p>
    <w:p w14:paraId="7250E636" w14:textId="77777777" w:rsidR="00EA01AF" w:rsidRPr="006D37E7" w:rsidRDefault="00EA01AF" w:rsidP="00EA01AF">
      <w:pPr>
        <w:ind w:firstLine="709"/>
        <w:jc w:val="both"/>
        <w:rPr>
          <w:color w:val="0000CC"/>
        </w:rPr>
      </w:pPr>
      <w:r w:rsidRPr="006D37E7">
        <w:t xml:space="preserve">Информация о количественных показателях посещений учреждений культуры и сводных данных официальной статистической отчетности, которые должны использоваться для расчета показателей «Количество посещений организаций культуры по отношению к уровню 2010 года» отражены в </w:t>
      </w:r>
      <w:r w:rsidRPr="006D37E7">
        <w:rPr>
          <w:color w:val="0000CC"/>
        </w:rPr>
        <w:t>таблице №</w:t>
      </w:r>
      <w:r w:rsidR="00DA43E5" w:rsidRPr="006D37E7">
        <w:rPr>
          <w:color w:val="0000CC"/>
        </w:rPr>
        <w:t>4</w:t>
      </w:r>
      <w:r w:rsidRPr="006D37E7">
        <w:rPr>
          <w:color w:val="0000CC"/>
        </w:rPr>
        <w:t>.</w:t>
      </w:r>
    </w:p>
    <w:p w14:paraId="249C8860" w14:textId="77777777" w:rsidR="00EA01AF" w:rsidRPr="006D37E7" w:rsidRDefault="00EA01AF" w:rsidP="00EA01AF">
      <w:pPr>
        <w:ind w:firstLine="709"/>
        <w:jc w:val="right"/>
        <w:rPr>
          <w:color w:val="0000CC"/>
        </w:rPr>
      </w:pPr>
      <w:r w:rsidRPr="006D37E7">
        <w:rPr>
          <w:color w:val="0000CC"/>
        </w:rPr>
        <w:t>Таблица №</w:t>
      </w:r>
      <w:r w:rsidR="00DA43E5" w:rsidRPr="006D37E7">
        <w:rPr>
          <w:color w:val="0000CC"/>
        </w:rPr>
        <w:t>4</w:t>
      </w:r>
    </w:p>
    <w:tbl>
      <w:tblPr>
        <w:tblStyle w:val="af5"/>
        <w:tblW w:w="10308" w:type="dxa"/>
        <w:tblLayout w:type="fixed"/>
        <w:tblLook w:val="04A0" w:firstRow="1" w:lastRow="0" w:firstColumn="1" w:lastColumn="0" w:noHBand="0" w:noVBand="1"/>
      </w:tblPr>
      <w:tblGrid>
        <w:gridCol w:w="1290"/>
        <w:gridCol w:w="3213"/>
        <w:gridCol w:w="1211"/>
        <w:gridCol w:w="1198"/>
        <w:gridCol w:w="848"/>
        <w:gridCol w:w="1704"/>
        <w:gridCol w:w="844"/>
      </w:tblGrid>
      <w:tr w:rsidR="00EA01AF" w:rsidRPr="006D37E7" w14:paraId="780E9F29" w14:textId="77777777" w:rsidTr="00FA77A9">
        <w:trPr>
          <w:tblHeader/>
        </w:trPr>
        <w:tc>
          <w:tcPr>
            <w:tcW w:w="1290" w:type="dxa"/>
            <w:vMerge w:val="restart"/>
          </w:tcPr>
          <w:p w14:paraId="24288DF0" w14:textId="77777777" w:rsidR="00EA01AF" w:rsidRPr="006D37E7" w:rsidRDefault="00EA01AF" w:rsidP="00FA77A9">
            <w:pPr>
              <w:jc w:val="center"/>
              <w:rPr>
                <w:sz w:val="18"/>
                <w:szCs w:val="18"/>
              </w:rPr>
            </w:pPr>
            <w:r w:rsidRPr="006D37E7">
              <w:rPr>
                <w:sz w:val="18"/>
                <w:szCs w:val="18"/>
              </w:rPr>
              <w:t>Тип учреждения</w:t>
            </w:r>
          </w:p>
        </w:tc>
        <w:tc>
          <w:tcPr>
            <w:tcW w:w="3213" w:type="dxa"/>
            <w:vMerge w:val="restart"/>
          </w:tcPr>
          <w:p w14:paraId="42D9F978" w14:textId="77777777" w:rsidR="00EA01AF" w:rsidRPr="006D37E7" w:rsidRDefault="00EA01AF" w:rsidP="00FA77A9">
            <w:pPr>
              <w:jc w:val="center"/>
              <w:rPr>
                <w:sz w:val="18"/>
                <w:szCs w:val="18"/>
              </w:rPr>
            </w:pPr>
            <w:r w:rsidRPr="006D37E7">
              <w:rPr>
                <w:sz w:val="18"/>
                <w:szCs w:val="18"/>
              </w:rPr>
              <w:t>Форма статистического наблюдения</w:t>
            </w:r>
          </w:p>
        </w:tc>
        <w:tc>
          <w:tcPr>
            <w:tcW w:w="2409" w:type="dxa"/>
            <w:gridSpan w:val="2"/>
          </w:tcPr>
          <w:p w14:paraId="3F443CCC" w14:textId="77777777" w:rsidR="00EA01AF" w:rsidRPr="006D37E7" w:rsidRDefault="00EA01AF" w:rsidP="00FA77A9">
            <w:pPr>
              <w:jc w:val="center"/>
              <w:rPr>
                <w:sz w:val="18"/>
                <w:szCs w:val="18"/>
              </w:rPr>
            </w:pPr>
            <w:r w:rsidRPr="006D37E7">
              <w:rPr>
                <w:sz w:val="18"/>
                <w:szCs w:val="18"/>
              </w:rPr>
              <w:t>Свод годовых сведений об учреждениях культуры по формам статистической отчетности о количестве посещений</w:t>
            </w:r>
          </w:p>
        </w:tc>
        <w:tc>
          <w:tcPr>
            <w:tcW w:w="848" w:type="dxa"/>
            <w:vMerge w:val="restart"/>
          </w:tcPr>
          <w:p w14:paraId="37DD2D89" w14:textId="77777777" w:rsidR="00EA01AF" w:rsidRPr="006D37E7" w:rsidRDefault="00EA01AF" w:rsidP="00FA77A9">
            <w:pPr>
              <w:jc w:val="center"/>
              <w:rPr>
                <w:sz w:val="18"/>
                <w:szCs w:val="18"/>
              </w:rPr>
            </w:pPr>
            <w:r w:rsidRPr="006D37E7">
              <w:rPr>
                <w:sz w:val="18"/>
                <w:szCs w:val="18"/>
              </w:rPr>
              <w:t>Темп роста, %</w:t>
            </w:r>
          </w:p>
        </w:tc>
        <w:tc>
          <w:tcPr>
            <w:tcW w:w="1704" w:type="dxa"/>
          </w:tcPr>
          <w:p w14:paraId="3B28A8ED" w14:textId="77777777" w:rsidR="00EA01AF" w:rsidRPr="006D37E7" w:rsidRDefault="00EA01AF" w:rsidP="00FA77A9">
            <w:pPr>
              <w:jc w:val="center"/>
              <w:rPr>
                <w:sz w:val="18"/>
                <w:szCs w:val="18"/>
              </w:rPr>
            </w:pPr>
            <w:r w:rsidRPr="006D37E7">
              <w:rPr>
                <w:sz w:val="18"/>
                <w:szCs w:val="18"/>
              </w:rPr>
              <w:t xml:space="preserve">Свод по целевым показателя </w:t>
            </w:r>
            <w:proofErr w:type="gramStart"/>
            <w:r w:rsidRPr="006D37E7">
              <w:rPr>
                <w:sz w:val="18"/>
                <w:szCs w:val="18"/>
              </w:rPr>
              <w:t>реализации  в</w:t>
            </w:r>
            <w:proofErr w:type="gramEnd"/>
            <w:r w:rsidRPr="006D37E7">
              <w:rPr>
                <w:sz w:val="18"/>
                <w:szCs w:val="18"/>
              </w:rPr>
              <w:t xml:space="preserve"> ГП ВО Развитие культуры</w:t>
            </w:r>
          </w:p>
        </w:tc>
        <w:tc>
          <w:tcPr>
            <w:tcW w:w="844" w:type="dxa"/>
            <w:vMerge w:val="restart"/>
          </w:tcPr>
          <w:p w14:paraId="21E562DE" w14:textId="77777777" w:rsidR="00EA01AF" w:rsidRPr="006D37E7" w:rsidRDefault="00EA01AF" w:rsidP="00FA77A9">
            <w:pPr>
              <w:jc w:val="center"/>
              <w:rPr>
                <w:sz w:val="18"/>
                <w:szCs w:val="18"/>
              </w:rPr>
            </w:pPr>
            <w:r w:rsidRPr="006D37E7">
              <w:rPr>
                <w:sz w:val="18"/>
                <w:szCs w:val="18"/>
              </w:rPr>
              <w:t>Расхождение (гр.4-гр.6)</w:t>
            </w:r>
          </w:p>
        </w:tc>
      </w:tr>
      <w:tr w:rsidR="00EA01AF" w:rsidRPr="006D37E7" w14:paraId="04058A1D" w14:textId="77777777" w:rsidTr="00FA77A9">
        <w:trPr>
          <w:tblHeader/>
        </w:trPr>
        <w:tc>
          <w:tcPr>
            <w:tcW w:w="1290" w:type="dxa"/>
            <w:vMerge/>
          </w:tcPr>
          <w:p w14:paraId="63FCD0CB" w14:textId="77777777" w:rsidR="00EA01AF" w:rsidRPr="006D37E7" w:rsidRDefault="00EA01AF" w:rsidP="00FA77A9">
            <w:pPr>
              <w:jc w:val="center"/>
              <w:rPr>
                <w:sz w:val="18"/>
                <w:szCs w:val="18"/>
              </w:rPr>
            </w:pPr>
          </w:p>
        </w:tc>
        <w:tc>
          <w:tcPr>
            <w:tcW w:w="3213" w:type="dxa"/>
            <w:vMerge/>
          </w:tcPr>
          <w:p w14:paraId="74E2E0F9" w14:textId="77777777" w:rsidR="00EA01AF" w:rsidRPr="006D37E7" w:rsidRDefault="00EA01AF" w:rsidP="00FA77A9">
            <w:pPr>
              <w:jc w:val="center"/>
              <w:rPr>
                <w:sz w:val="18"/>
                <w:szCs w:val="18"/>
              </w:rPr>
            </w:pPr>
          </w:p>
        </w:tc>
        <w:tc>
          <w:tcPr>
            <w:tcW w:w="1211" w:type="dxa"/>
          </w:tcPr>
          <w:p w14:paraId="3EDD9982" w14:textId="77777777" w:rsidR="00EA01AF" w:rsidRPr="006D37E7" w:rsidRDefault="00EA01AF" w:rsidP="00FA77A9">
            <w:pPr>
              <w:jc w:val="center"/>
              <w:rPr>
                <w:b/>
                <w:sz w:val="18"/>
                <w:szCs w:val="18"/>
              </w:rPr>
            </w:pPr>
            <w:r w:rsidRPr="006D37E7">
              <w:rPr>
                <w:b/>
                <w:sz w:val="18"/>
                <w:szCs w:val="18"/>
              </w:rPr>
              <w:t>2010</w:t>
            </w:r>
          </w:p>
        </w:tc>
        <w:tc>
          <w:tcPr>
            <w:tcW w:w="1198" w:type="dxa"/>
          </w:tcPr>
          <w:p w14:paraId="5656DD2D" w14:textId="77777777" w:rsidR="00EA01AF" w:rsidRPr="006D37E7" w:rsidRDefault="00EA01AF" w:rsidP="00FA77A9">
            <w:pPr>
              <w:jc w:val="center"/>
              <w:rPr>
                <w:b/>
                <w:sz w:val="18"/>
                <w:szCs w:val="18"/>
              </w:rPr>
            </w:pPr>
            <w:r w:rsidRPr="006D37E7">
              <w:rPr>
                <w:b/>
                <w:sz w:val="18"/>
                <w:szCs w:val="18"/>
              </w:rPr>
              <w:t>2018</w:t>
            </w:r>
          </w:p>
        </w:tc>
        <w:tc>
          <w:tcPr>
            <w:tcW w:w="848" w:type="dxa"/>
            <w:vMerge/>
          </w:tcPr>
          <w:p w14:paraId="5D6FF617" w14:textId="77777777" w:rsidR="00EA01AF" w:rsidRPr="006D37E7" w:rsidRDefault="00EA01AF" w:rsidP="00FA77A9">
            <w:pPr>
              <w:jc w:val="center"/>
              <w:rPr>
                <w:sz w:val="18"/>
                <w:szCs w:val="18"/>
              </w:rPr>
            </w:pPr>
          </w:p>
        </w:tc>
        <w:tc>
          <w:tcPr>
            <w:tcW w:w="1704" w:type="dxa"/>
          </w:tcPr>
          <w:p w14:paraId="2B40BC07" w14:textId="77777777" w:rsidR="00EA01AF" w:rsidRPr="006D37E7" w:rsidRDefault="00EA01AF" w:rsidP="00FA77A9">
            <w:pPr>
              <w:jc w:val="center"/>
              <w:rPr>
                <w:b/>
                <w:sz w:val="18"/>
                <w:szCs w:val="18"/>
              </w:rPr>
            </w:pPr>
            <w:r w:rsidRPr="006D37E7">
              <w:rPr>
                <w:b/>
                <w:sz w:val="18"/>
                <w:szCs w:val="18"/>
              </w:rPr>
              <w:t>2018</w:t>
            </w:r>
          </w:p>
        </w:tc>
        <w:tc>
          <w:tcPr>
            <w:tcW w:w="844" w:type="dxa"/>
            <w:vMerge/>
          </w:tcPr>
          <w:p w14:paraId="6D7A330E" w14:textId="77777777" w:rsidR="00EA01AF" w:rsidRPr="006D37E7" w:rsidRDefault="00EA01AF" w:rsidP="00FA77A9">
            <w:pPr>
              <w:jc w:val="center"/>
              <w:rPr>
                <w:sz w:val="18"/>
                <w:szCs w:val="18"/>
              </w:rPr>
            </w:pPr>
          </w:p>
        </w:tc>
      </w:tr>
      <w:tr w:rsidR="00EA01AF" w:rsidRPr="006D37E7" w14:paraId="42A3F82A" w14:textId="77777777" w:rsidTr="00FA77A9">
        <w:trPr>
          <w:tblHeader/>
        </w:trPr>
        <w:tc>
          <w:tcPr>
            <w:tcW w:w="1290" w:type="dxa"/>
          </w:tcPr>
          <w:p w14:paraId="63902EE8" w14:textId="77777777" w:rsidR="00EA01AF" w:rsidRPr="006D37E7" w:rsidRDefault="00EA01AF" w:rsidP="00FA77A9">
            <w:pPr>
              <w:jc w:val="center"/>
              <w:rPr>
                <w:b/>
                <w:sz w:val="18"/>
                <w:szCs w:val="18"/>
              </w:rPr>
            </w:pPr>
            <w:r w:rsidRPr="006D37E7">
              <w:rPr>
                <w:b/>
                <w:sz w:val="18"/>
                <w:szCs w:val="18"/>
              </w:rPr>
              <w:t>1</w:t>
            </w:r>
          </w:p>
        </w:tc>
        <w:tc>
          <w:tcPr>
            <w:tcW w:w="3213" w:type="dxa"/>
          </w:tcPr>
          <w:p w14:paraId="2D647936" w14:textId="77777777" w:rsidR="00EA01AF" w:rsidRPr="006D37E7" w:rsidRDefault="00EA01AF" w:rsidP="00FA77A9">
            <w:pPr>
              <w:jc w:val="center"/>
              <w:rPr>
                <w:b/>
                <w:sz w:val="18"/>
                <w:szCs w:val="18"/>
              </w:rPr>
            </w:pPr>
            <w:r w:rsidRPr="006D37E7">
              <w:rPr>
                <w:b/>
                <w:sz w:val="18"/>
                <w:szCs w:val="18"/>
              </w:rPr>
              <w:t>2</w:t>
            </w:r>
          </w:p>
        </w:tc>
        <w:tc>
          <w:tcPr>
            <w:tcW w:w="1211" w:type="dxa"/>
          </w:tcPr>
          <w:p w14:paraId="028ADAEC" w14:textId="77777777" w:rsidR="00EA01AF" w:rsidRPr="006D37E7" w:rsidRDefault="00EA01AF" w:rsidP="00FA77A9">
            <w:pPr>
              <w:jc w:val="center"/>
              <w:rPr>
                <w:b/>
                <w:sz w:val="18"/>
                <w:szCs w:val="18"/>
              </w:rPr>
            </w:pPr>
            <w:r w:rsidRPr="006D37E7">
              <w:rPr>
                <w:b/>
                <w:sz w:val="18"/>
                <w:szCs w:val="18"/>
              </w:rPr>
              <w:t>3</w:t>
            </w:r>
          </w:p>
        </w:tc>
        <w:tc>
          <w:tcPr>
            <w:tcW w:w="1198" w:type="dxa"/>
          </w:tcPr>
          <w:p w14:paraId="23FD3C18" w14:textId="77777777" w:rsidR="00EA01AF" w:rsidRPr="006D37E7" w:rsidRDefault="00EA01AF" w:rsidP="00FA77A9">
            <w:pPr>
              <w:jc w:val="center"/>
              <w:rPr>
                <w:b/>
                <w:sz w:val="18"/>
                <w:szCs w:val="18"/>
              </w:rPr>
            </w:pPr>
            <w:r w:rsidRPr="006D37E7">
              <w:rPr>
                <w:b/>
                <w:sz w:val="18"/>
                <w:szCs w:val="18"/>
              </w:rPr>
              <w:t>4</w:t>
            </w:r>
          </w:p>
        </w:tc>
        <w:tc>
          <w:tcPr>
            <w:tcW w:w="848" w:type="dxa"/>
          </w:tcPr>
          <w:p w14:paraId="44F72C94" w14:textId="77777777" w:rsidR="00EA01AF" w:rsidRPr="006D37E7" w:rsidRDefault="00EA01AF" w:rsidP="00FA77A9">
            <w:pPr>
              <w:jc w:val="center"/>
              <w:rPr>
                <w:b/>
                <w:sz w:val="18"/>
                <w:szCs w:val="18"/>
              </w:rPr>
            </w:pPr>
            <w:r w:rsidRPr="006D37E7">
              <w:rPr>
                <w:b/>
                <w:sz w:val="18"/>
                <w:szCs w:val="18"/>
              </w:rPr>
              <w:t>5</w:t>
            </w:r>
          </w:p>
        </w:tc>
        <w:tc>
          <w:tcPr>
            <w:tcW w:w="1704" w:type="dxa"/>
          </w:tcPr>
          <w:p w14:paraId="5975FBA9" w14:textId="77777777" w:rsidR="00EA01AF" w:rsidRPr="006D37E7" w:rsidRDefault="00EA01AF" w:rsidP="00FA77A9">
            <w:pPr>
              <w:jc w:val="center"/>
              <w:rPr>
                <w:b/>
                <w:sz w:val="18"/>
                <w:szCs w:val="18"/>
              </w:rPr>
            </w:pPr>
            <w:r w:rsidRPr="006D37E7">
              <w:rPr>
                <w:b/>
                <w:sz w:val="18"/>
                <w:szCs w:val="18"/>
              </w:rPr>
              <w:t>6</w:t>
            </w:r>
          </w:p>
        </w:tc>
        <w:tc>
          <w:tcPr>
            <w:tcW w:w="844" w:type="dxa"/>
          </w:tcPr>
          <w:p w14:paraId="1E4470B1" w14:textId="77777777" w:rsidR="00EA01AF" w:rsidRPr="006D37E7" w:rsidRDefault="00EA01AF" w:rsidP="00FA77A9">
            <w:pPr>
              <w:jc w:val="center"/>
              <w:rPr>
                <w:b/>
                <w:sz w:val="18"/>
                <w:szCs w:val="18"/>
              </w:rPr>
            </w:pPr>
            <w:r w:rsidRPr="006D37E7">
              <w:rPr>
                <w:b/>
                <w:sz w:val="18"/>
                <w:szCs w:val="18"/>
              </w:rPr>
              <w:t>7</w:t>
            </w:r>
          </w:p>
        </w:tc>
      </w:tr>
      <w:tr w:rsidR="00EA01AF" w:rsidRPr="006D37E7" w14:paraId="493C0BC2" w14:textId="77777777" w:rsidTr="00FA77A9">
        <w:tc>
          <w:tcPr>
            <w:tcW w:w="1290" w:type="dxa"/>
          </w:tcPr>
          <w:p w14:paraId="27743023" w14:textId="77777777" w:rsidR="00EA01AF" w:rsidRPr="006D37E7" w:rsidRDefault="00EA01AF" w:rsidP="00FA77A9">
            <w:pPr>
              <w:jc w:val="center"/>
              <w:rPr>
                <w:sz w:val="18"/>
                <w:szCs w:val="18"/>
              </w:rPr>
            </w:pPr>
            <w:r w:rsidRPr="006D37E7">
              <w:rPr>
                <w:sz w:val="18"/>
                <w:szCs w:val="18"/>
              </w:rPr>
              <w:t>Театры</w:t>
            </w:r>
          </w:p>
        </w:tc>
        <w:tc>
          <w:tcPr>
            <w:tcW w:w="3213" w:type="dxa"/>
          </w:tcPr>
          <w:p w14:paraId="2F677021" w14:textId="77777777" w:rsidR="00EA01AF" w:rsidRPr="006D37E7" w:rsidRDefault="00EA01AF" w:rsidP="00FA77A9">
            <w:pPr>
              <w:rPr>
                <w:sz w:val="18"/>
                <w:szCs w:val="18"/>
              </w:rPr>
            </w:pPr>
            <w:r w:rsidRPr="006D37E7">
              <w:rPr>
                <w:sz w:val="18"/>
                <w:szCs w:val="18"/>
              </w:rPr>
              <w:t>№9-НК "Сведения о деятельности театра"</w:t>
            </w:r>
          </w:p>
        </w:tc>
        <w:tc>
          <w:tcPr>
            <w:tcW w:w="1211" w:type="dxa"/>
          </w:tcPr>
          <w:p w14:paraId="2E456B6B" w14:textId="77777777" w:rsidR="00EA01AF" w:rsidRPr="006D37E7" w:rsidRDefault="00EA01AF" w:rsidP="00FA77A9">
            <w:pPr>
              <w:jc w:val="center"/>
              <w:rPr>
                <w:sz w:val="18"/>
                <w:szCs w:val="18"/>
              </w:rPr>
            </w:pPr>
            <w:r w:rsidRPr="006D37E7">
              <w:rPr>
                <w:sz w:val="18"/>
                <w:szCs w:val="18"/>
              </w:rPr>
              <w:t>390,7</w:t>
            </w:r>
          </w:p>
        </w:tc>
        <w:tc>
          <w:tcPr>
            <w:tcW w:w="1198" w:type="dxa"/>
          </w:tcPr>
          <w:p w14:paraId="3836C203" w14:textId="77777777" w:rsidR="00EA01AF" w:rsidRPr="006D37E7" w:rsidRDefault="00EA01AF" w:rsidP="00FA77A9">
            <w:pPr>
              <w:jc w:val="center"/>
              <w:rPr>
                <w:sz w:val="18"/>
                <w:szCs w:val="18"/>
              </w:rPr>
            </w:pPr>
            <w:r w:rsidRPr="006D37E7">
              <w:rPr>
                <w:sz w:val="18"/>
                <w:szCs w:val="18"/>
              </w:rPr>
              <w:t>510,6</w:t>
            </w:r>
          </w:p>
        </w:tc>
        <w:tc>
          <w:tcPr>
            <w:tcW w:w="848" w:type="dxa"/>
          </w:tcPr>
          <w:p w14:paraId="27BDB446" w14:textId="77777777" w:rsidR="00EA01AF" w:rsidRPr="006D37E7" w:rsidRDefault="00EA01AF" w:rsidP="00FA77A9">
            <w:pPr>
              <w:jc w:val="center"/>
              <w:rPr>
                <w:sz w:val="18"/>
                <w:szCs w:val="18"/>
              </w:rPr>
            </w:pPr>
            <w:r w:rsidRPr="006D37E7">
              <w:rPr>
                <w:sz w:val="18"/>
                <w:szCs w:val="18"/>
              </w:rPr>
              <w:t>130,69</w:t>
            </w:r>
          </w:p>
        </w:tc>
        <w:tc>
          <w:tcPr>
            <w:tcW w:w="1704" w:type="dxa"/>
          </w:tcPr>
          <w:p w14:paraId="33B9AA56" w14:textId="77777777" w:rsidR="00EA01AF" w:rsidRPr="006D37E7" w:rsidRDefault="00EA01AF" w:rsidP="00FA77A9">
            <w:pPr>
              <w:jc w:val="center"/>
              <w:rPr>
                <w:sz w:val="18"/>
                <w:szCs w:val="18"/>
              </w:rPr>
            </w:pPr>
            <w:r w:rsidRPr="006D37E7">
              <w:rPr>
                <w:sz w:val="18"/>
                <w:szCs w:val="18"/>
              </w:rPr>
              <w:t>510,6</w:t>
            </w:r>
          </w:p>
        </w:tc>
        <w:tc>
          <w:tcPr>
            <w:tcW w:w="844" w:type="dxa"/>
          </w:tcPr>
          <w:p w14:paraId="74C874F7" w14:textId="77777777" w:rsidR="00EA01AF" w:rsidRPr="006D37E7" w:rsidRDefault="00EA01AF" w:rsidP="00FA77A9">
            <w:pPr>
              <w:jc w:val="center"/>
              <w:rPr>
                <w:sz w:val="18"/>
                <w:szCs w:val="18"/>
              </w:rPr>
            </w:pPr>
            <w:r w:rsidRPr="006D37E7">
              <w:rPr>
                <w:sz w:val="18"/>
                <w:szCs w:val="18"/>
              </w:rPr>
              <w:t>0</w:t>
            </w:r>
          </w:p>
        </w:tc>
      </w:tr>
      <w:tr w:rsidR="00EA01AF" w:rsidRPr="006D37E7" w14:paraId="1446B2AD" w14:textId="77777777" w:rsidTr="00FA77A9">
        <w:tc>
          <w:tcPr>
            <w:tcW w:w="1290" w:type="dxa"/>
          </w:tcPr>
          <w:p w14:paraId="1F9BFE33" w14:textId="77777777" w:rsidR="00EA01AF" w:rsidRPr="006D37E7" w:rsidRDefault="00EA01AF" w:rsidP="00FA77A9">
            <w:pPr>
              <w:jc w:val="center"/>
              <w:rPr>
                <w:sz w:val="18"/>
                <w:szCs w:val="18"/>
              </w:rPr>
            </w:pPr>
            <w:r w:rsidRPr="006D37E7">
              <w:rPr>
                <w:sz w:val="18"/>
                <w:szCs w:val="18"/>
              </w:rPr>
              <w:lastRenderedPageBreak/>
              <w:t>Концерты</w:t>
            </w:r>
          </w:p>
        </w:tc>
        <w:tc>
          <w:tcPr>
            <w:tcW w:w="3213" w:type="dxa"/>
          </w:tcPr>
          <w:p w14:paraId="3E73B382" w14:textId="77777777" w:rsidR="00EA01AF" w:rsidRPr="006D37E7" w:rsidRDefault="00EA01AF" w:rsidP="00FA77A9">
            <w:pPr>
              <w:rPr>
                <w:sz w:val="18"/>
                <w:szCs w:val="18"/>
              </w:rPr>
            </w:pPr>
            <w:r w:rsidRPr="006D37E7">
              <w:rPr>
                <w:sz w:val="18"/>
                <w:szCs w:val="18"/>
              </w:rPr>
              <w:t>№12-НК "Сведения о деятельности концертной организации, самостоятельного коллектива"</w:t>
            </w:r>
          </w:p>
        </w:tc>
        <w:tc>
          <w:tcPr>
            <w:tcW w:w="1211" w:type="dxa"/>
          </w:tcPr>
          <w:p w14:paraId="77BA58EA" w14:textId="77777777" w:rsidR="00EA01AF" w:rsidRPr="006D37E7" w:rsidRDefault="00EA01AF" w:rsidP="00FA77A9">
            <w:pPr>
              <w:jc w:val="center"/>
              <w:rPr>
                <w:sz w:val="18"/>
                <w:szCs w:val="18"/>
              </w:rPr>
            </w:pPr>
            <w:r w:rsidRPr="006D37E7">
              <w:rPr>
                <w:sz w:val="18"/>
                <w:szCs w:val="18"/>
              </w:rPr>
              <w:t>397,4</w:t>
            </w:r>
          </w:p>
        </w:tc>
        <w:tc>
          <w:tcPr>
            <w:tcW w:w="1198" w:type="dxa"/>
          </w:tcPr>
          <w:p w14:paraId="42F20F48" w14:textId="77777777" w:rsidR="00EA01AF" w:rsidRPr="006D37E7" w:rsidRDefault="00EA01AF" w:rsidP="00FA77A9">
            <w:pPr>
              <w:jc w:val="center"/>
              <w:rPr>
                <w:sz w:val="18"/>
                <w:szCs w:val="18"/>
              </w:rPr>
            </w:pPr>
            <w:r w:rsidRPr="006D37E7">
              <w:rPr>
                <w:sz w:val="18"/>
                <w:szCs w:val="18"/>
              </w:rPr>
              <w:t>256,4</w:t>
            </w:r>
          </w:p>
        </w:tc>
        <w:tc>
          <w:tcPr>
            <w:tcW w:w="848" w:type="dxa"/>
          </w:tcPr>
          <w:p w14:paraId="5B4103D0" w14:textId="77777777" w:rsidR="00EA01AF" w:rsidRPr="006D37E7" w:rsidRDefault="00EA01AF" w:rsidP="00FA77A9">
            <w:pPr>
              <w:jc w:val="center"/>
              <w:rPr>
                <w:sz w:val="18"/>
                <w:szCs w:val="18"/>
              </w:rPr>
            </w:pPr>
            <w:r w:rsidRPr="006D37E7">
              <w:rPr>
                <w:sz w:val="18"/>
                <w:szCs w:val="18"/>
              </w:rPr>
              <w:t>64,52</w:t>
            </w:r>
          </w:p>
        </w:tc>
        <w:tc>
          <w:tcPr>
            <w:tcW w:w="1704" w:type="dxa"/>
          </w:tcPr>
          <w:p w14:paraId="683C276A" w14:textId="77777777" w:rsidR="00EA01AF" w:rsidRPr="006D37E7" w:rsidRDefault="00EA01AF" w:rsidP="00FA77A9">
            <w:pPr>
              <w:jc w:val="center"/>
              <w:rPr>
                <w:sz w:val="18"/>
                <w:szCs w:val="18"/>
              </w:rPr>
            </w:pPr>
            <w:r w:rsidRPr="006D37E7">
              <w:rPr>
                <w:sz w:val="18"/>
                <w:szCs w:val="18"/>
              </w:rPr>
              <w:t>253,7</w:t>
            </w:r>
          </w:p>
        </w:tc>
        <w:tc>
          <w:tcPr>
            <w:tcW w:w="844" w:type="dxa"/>
          </w:tcPr>
          <w:p w14:paraId="66C0FA14" w14:textId="77777777" w:rsidR="00EA01AF" w:rsidRPr="006D37E7" w:rsidRDefault="00EA01AF" w:rsidP="00FA77A9">
            <w:pPr>
              <w:jc w:val="center"/>
              <w:rPr>
                <w:sz w:val="18"/>
                <w:szCs w:val="18"/>
              </w:rPr>
            </w:pPr>
            <w:r w:rsidRPr="006D37E7">
              <w:rPr>
                <w:sz w:val="18"/>
                <w:szCs w:val="18"/>
              </w:rPr>
              <w:t>2,7</w:t>
            </w:r>
          </w:p>
        </w:tc>
      </w:tr>
      <w:tr w:rsidR="00EA01AF" w:rsidRPr="006D37E7" w14:paraId="3DB157CC" w14:textId="77777777" w:rsidTr="00FA77A9">
        <w:tc>
          <w:tcPr>
            <w:tcW w:w="1290" w:type="dxa"/>
          </w:tcPr>
          <w:p w14:paraId="77414F6A" w14:textId="77777777" w:rsidR="00EA01AF" w:rsidRPr="006D37E7" w:rsidRDefault="00EA01AF" w:rsidP="00FA77A9">
            <w:pPr>
              <w:jc w:val="center"/>
              <w:rPr>
                <w:sz w:val="18"/>
                <w:szCs w:val="18"/>
              </w:rPr>
            </w:pPr>
            <w:r w:rsidRPr="006D37E7">
              <w:rPr>
                <w:sz w:val="18"/>
                <w:szCs w:val="18"/>
              </w:rPr>
              <w:t>Библиотеки</w:t>
            </w:r>
          </w:p>
        </w:tc>
        <w:tc>
          <w:tcPr>
            <w:tcW w:w="3213" w:type="dxa"/>
          </w:tcPr>
          <w:p w14:paraId="1F909B08" w14:textId="77777777" w:rsidR="00EA01AF" w:rsidRPr="006D37E7" w:rsidRDefault="00EA01AF" w:rsidP="00FA77A9">
            <w:pPr>
              <w:tabs>
                <w:tab w:val="left" w:pos="600"/>
              </w:tabs>
              <w:rPr>
                <w:sz w:val="18"/>
                <w:szCs w:val="18"/>
              </w:rPr>
            </w:pPr>
            <w:r w:rsidRPr="006D37E7">
              <w:rPr>
                <w:sz w:val="18"/>
                <w:szCs w:val="18"/>
              </w:rPr>
              <w:t>№6-НК "Сведения об общедоступной (публичной) библиотеке"</w:t>
            </w:r>
          </w:p>
        </w:tc>
        <w:tc>
          <w:tcPr>
            <w:tcW w:w="1211" w:type="dxa"/>
          </w:tcPr>
          <w:p w14:paraId="09984FC3" w14:textId="77777777" w:rsidR="00EA01AF" w:rsidRPr="006D37E7" w:rsidRDefault="00EA01AF" w:rsidP="00FA77A9">
            <w:pPr>
              <w:jc w:val="center"/>
              <w:rPr>
                <w:sz w:val="18"/>
                <w:szCs w:val="18"/>
              </w:rPr>
            </w:pPr>
            <w:r w:rsidRPr="006D37E7">
              <w:rPr>
                <w:sz w:val="18"/>
                <w:szCs w:val="18"/>
              </w:rPr>
              <w:t>8066,6</w:t>
            </w:r>
          </w:p>
        </w:tc>
        <w:tc>
          <w:tcPr>
            <w:tcW w:w="1198" w:type="dxa"/>
          </w:tcPr>
          <w:p w14:paraId="333894C0" w14:textId="77777777" w:rsidR="00EA01AF" w:rsidRPr="006D37E7" w:rsidRDefault="00EA01AF" w:rsidP="00FA77A9">
            <w:pPr>
              <w:jc w:val="center"/>
              <w:rPr>
                <w:sz w:val="18"/>
                <w:szCs w:val="18"/>
              </w:rPr>
            </w:pPr>
            <w:r w:rsidRPr="006D37E7">
              <w:rPr>
                <w:sz w:val="18"/>
                <w:szCs w:val="18"/>
              </w:rPr>
              <w:t>7107,1</w:t>
            </w:r>
          </w:p>
        </w:tc>
        <w:tc>
          <w:tcPr>
            <w:tcW w:w="848" w:type="dxa"/>
          </w:tcPr>
          <w:p w14:paraId="1CAF6A56" w14:textId="77777777" w:rsidR="00EA01AF" w:rsidRPr="006D37E7" w:rsidRDefault="00EA01AF" w:rsidP="00FA77A9">
            <w:pPr>
              <w:jc w:val="center"/>
              <w:rPr>
                <w:sz w:val="18"/>
                <w:szCs w:val="18"/>
              </w:rPr>
            </w:pPr>
            <w:r w:rsidRPr="006D37E7">
              <w:rPr>
                <w:sz w:val="18"/>
                <w:szCs w:val="18"/>
              </w:rPr>
              <w:t>88,11</w:t>
            </w:r>
          </w:p>
        </w:tc>
        <w:tc>
          <w:tcPr>
            <w:tcW w:w="1704" w:type="dxa"/>
          </w:tcPr>
          <w:p w14:paraId="108F1DE4" w14:textId="77777777" w:rsidR="00EA01AF" w:rsidRPr="006D37E7" w:rsidRDefault="00EA01AF" w:rsidP="00FA77A9">
            <w:pPr>
              <w:jc w:val="center"/>
              <w:rPr>
                <w:sz w:val="18"/>
                <w:szCs w:val="18"/>
              </w:rPr>
            </w:pPr>
            <w:r w:rsidRPr="006D37E7">
              <w:rPr>
                <w:sz w:val="18"/>
                <w:szCs w:val="18"/>
              </w:rPr>
              <w:t>7107,1</w:t>
            </w:r>
          </w:p>
        </w:tc>
        <w:tc>
          <w:tcPr>
            <w:tcW w:w="844" w:type="dxa"/>
          </w:tcPr>
          <w:p w14:paraId="5D7A7397" w14:textId="77777777" w:rsidR="00EA01AF" w:rsidRPr="006D37E7" w:rsidRDefault="00EA01AF" w:rsidP="00FA77A9">
            <w:pPr>
              <w:jc w:val="center"/>
              <w:rPr>
                <w:sz w:val="18"/>
                <w:szCs w:val="18"/>
              </w:rPr>
            </w:pPr>
            <w:r w:rsidRPr="006D37E7">
              <w:rPr>
                <w:sz w:val="18"/>
                <w:szCs w:val="18"/>
              </w:rPr>
              <w:t>0</w:t>
            </w:r>
          </w:p>
        </w:tc>
      </w:tr>
      <w:tr w:rsidR="00EA01AF" w:rsidRPr="006D37E7" w14:paraId="41E213BB" w14:textId="77777777" w:rsidTr="00FA77A9">
        <w:tc>
          <w:tcPr>
            <w:tcW w:w="1290" w:type="dxa"/>
          </w:tcPr>
          <w:p w14:paraId="5782152F" w14:textId="77777777" w:rsidR="00EA01AF" w:rsidRPr="006D37E7" w:rsidRDefault="00855196" w:rsidP="00FA77A9">
            <w:pPr>
              <w:jc w:val="center"/>
              <w:rPr>
                <w:sz w:val="18"/>
                <w:szCs w:val="18"/>
              </w:rPr>
            </w:pPr>
            <w:r w:rsidRPr="006D37E7">
              <w:rPr>
                <w:sz w:val="18"/>
                <w:szCs w:val="18"/>
              </w:rPr>
              <w:t xml:space="preserve">Культурно -досуговые учреждения (далее </w:t>
            </w:r>
            <w:r w:rsidR="00EA01AF" w:rsidRPr="006D37E7">
              <w:rPr>
                <w:sz w:val="18"/>
                <w:szCs w:val="18"/>
              </w:rPr>
              <w:t>КДУ</w:t>
            </w:r>
            <w:r w:rsidRPr="006D37E7">
              <w:rPr>
                <w:sz w:val="18"/>
                <w:szCs w:val="18"/>
              </w:rPr>
              <w:t>)</w:t>
            </w:r>
          </w:p>
        </w:tc>
        <w:tc>
          <w:tcPr>
            <w:tcW w:w="3213" w:type="dxa"/>
          </w:tcPr>
          <w:p w14:paraId="34739161" w14:textId="77777777" w:rsidR="00EA01AF" w:rsidRPr="006D37E7" w:rsidRDefault="00EA01AF" w:rsidP="00FA77A9">
            <w:pPr>
              <w:rPr>
                <w:sz w:val="18"/>
                <w:szCs w:val="18"/>
              </w:rPr>
            </w:pPr>
            <w:r w:rsidRPr="006D37E7">
              <w:rPr>
                <w:sz w:val="18"/>
                <w:szCs w:val="18"/>
              </w:rPr>
              <w:t>№ 7-НК "Сведения об организации культурно-досугового типа"</w:t>
            </w:r>
          </w:p>
        </w:tc>
        <w:tc>
          <w:tcPr>
            <w:tcW w:w="1211" w:type="dxa"/>
          </w:tcPr>
          <w:p w14:paraId="509CFFE4" w14:textId="77777777" w:rsidR="00EA01AF" w:rsidRPr="006D37E7" w:rsidRDefault="00EA01AF" w:rsidP="00FA77A9">
            <w:pPr>
              <w:jc w:val="center"/>
              <w:rPr>
                <w:sz w:val="18"/>
                <w:szCs w:val="18"/>
              </w:rPr>
            </w:pPr>
            <w:r w:rsidRPr="006D37E7">
              <w:rPr>
                <w:sz w:val="18"/>
                <w:szCs w:val="18"/>
              </w:rPr>
              <w:t>1569,9</w:t>
            </w:r>
          </w:p>
        </w:tc>
        <w:tc>
          <w:tcPr>
            <w:tcW w:w="1198" w:type="dxa"/>
          </w:tcPr>
          <w:p w14:paraId="3211BCDF" w14:textId="77777777" w:rsidR="00EA01AF" w:rsidRPr="006D37E7" w:rsidRDefault="00EA01AF" w:rsidP="00FA77A9">
            <w:pPr>
              <w:jc w:val="center"/>
              <w:rPr>
                <w:sz w:val="18"/>
                <w:szCs w:val="18"/>
              </w:rPr>
            </w:pPr>
            <w:r w:rsidRPr="006D37E7">
              <w:rPr>
                <w:sz w:val="18"/>
                <w:szCs w:val="18"/>
              </w:rPr>
              <w:t>9266,4</w:t>
            </w:r>
          </w:p>
        </w:tc>
        <w:tc>
          <w:tcPr>
            <w:tcW w:w="848" w:type="dxa"/>
          </w:tcPr>
          <w:p w14:paraId="6D879831" w14:textId="77777777" w:rsidR="00EA01AF" w:rsidRPr="006D37E7" w:rsidRDefault="00EA01AF" w:rsidP="00FA77A9">
            <w:pPr>
              <w:jc w:val="center"/>
              <w:rPr>
                <w:sz w:val="18"/>
                <w:szCs w:val="18"/>
              </w:rPr>
            </w:pPr>
            <w:r w:rsidRPr="006D37E7">
              <w:rPr>
                <w:sz w:val="18"/>
                <w:szCs w:val="18"/>
              </w:rPr>
              <w:t>590,26</w:t>
            </w:r>
          </w:p>
        </w:tc>
        <w:tc>
          <w:tcPr>
            <w:tcW w:w="1704" w:type="dxa"/>
          </w:tcPr>
          <w:p w14:paraId="05E68032" w14:textId="77777777" w:rsidR="00EA01AF" w:rsidRPr="006D37E7" w:rsidRDefault="00EA01AF" w:rsidP="00FA77A9">
            <w:pPr>
              <w:jc w:val="center"/>
              <w:rPr>
                <w:sz w:val="18"/>
                <w:szCs w:val="18"/>
              </w:rPr>
            </w:pPr>
            <w:r w:rsidRPr="006D37E7">
              <w:rPr>
                <w:sz w:val="18"/>
                <w:szCs w:val="18"/>
              </w:rPr>
              <w:t>860,5</w:t>
            </w:r>
          </w:p>
        </w:tc>
        <w:tc>
          <w:tcPr>
            <w:tcW w:w="844" w:type="dxa"/>
          </w:tcPr>
          <w:p w14:paraId="76D0C352" w14:textId="77777777" w:rsidR="00EA01AF" w:rsidRPr="006D37E7" w:rsidRDefault="00EA01AF" w:rsidP="00FA77A9">
            <w:pPr>
              <w:jc w:val="center"/>
              <w:rPr>
                <w:sz w:val="18"/>
                <w:szCs w:val="18"/>
              </w:rPr>
            </w:pPr>
            <w:r w:rsidRPr="006D37E7">
              <w:rPr>
                <w:sz w:val="18"/>
                <w:szCs w:val="18"/>
              </w:rPr>
              <w:t>8405,9</w:t>
            </w:r>
          </w:p>
        </w:tc>
      </w:tr>
      <w:tr w:rsidR="00EA01AF" w:rsidRPr="006D37E7" w14:paraId="214A4BCD" w14:textId="77777777" w:rsidTr="00FA77A9">
        <w:tc>
          <w:tcPr>
            <w:tcW w:w="1290" w:type="dxa"/>
          </w:tcPr>
          <w:p w14:paraId="191BB8FD" w14:textId="77777777" w:rsidR="00EA01AF" w:rsidRPr="006D37E7" w:rsidRDefault="00EA01AF" w:rsidP="00FA77A9">
            <w:pPr>
              <w:jc w:val="center"/>
              <w:rPr>
                <w:sz w:val="18"/>
                <w:szCs w:val="18"/>
              </w:rPr>
            </w:pPr>
            <w:r w:rsidRPr="006D37E7">
              <w:rPr>
                <w:sz w:val="18"/>
                <w:szCs w:val="18"/>
              </w:rPr>
              <w:t>Парки</w:t>
            </w:r>
          </w:p>
        </w:tc>
        <w:tc>
          <w:tcPr>
            <w:tcW w:w="3213" w:type="dxa"/>
          </w:tcPr>
          <w:p w14:paraId="57948365" w14:textId="77777777" w:rsidR="00EA01AF" w:rsidRPr="006D37E7" w:rsidRDefault="00EA01AF" w:rsidP="00FA77A9">
            <w:pPr>
              <w:rPr>
                <w:sz w:val="18"/>
                <w:szCs w:val="18"/>
              </w:rPr>
            </w:pPr>
            <w:r w:rsidRPr="006D37E7">
              <w:rPr>
                <w:sz w:val="18"/>
                <w:szCs w:val="18"/>
              </w:rPr>
              <w:t>№ 11-НК «Сведения о деятельности парков»</w:t>
            </w:r>
          </w:p>
        </w:tc>
        <w:tc>
          <w:tcPr>
            <w:tcW w:w="1211" w:type="dxa"/>
          </w:tcPr>
          <w:p w14:paraId="7781B073" w14:textId="77777777" w:rsidR="00EA01AF" w:rsidRPr="006D37E7" w:rsidRDefault="00EA01AF" w:rsidP="00FA77A9">
            <w:pPr>
              <w:jc w:val="center"/>
              <w:rPr>
                <w:sz w:val="18"/>
                <w:szCs w:val="18"/>
              </w:rPr>
            </w:pPr>
            <w:r w:rsidRPr="006D37E7">
              <w:rPr>
                <w:sz w:val="18"/>
                <w:szCs w:val="18"/>
              </w:rPr>
              <w:t>7,8</w:t>
            </w:r>
          </w:p>
        </w:tc>
        <w:tc>
          <w:tcPr>
            <w:tcW w:w="1198" w:type="dxa"/>
          </w:tcPr>
          <w:p w14:paraId="455B2829" w14:textId="77777777" w:rsidR="00EA01AF" w:rsidRPr="006D37E7" w:rsidRDefault="00EA01AF" w:rsidP="00FA77A9">
            <w:pPr>
              <w:jc w:val="center"/>
              <w:rPr>
                <w:sz w:val="18"/>
                <w:szCs w:val="18"/>
              </w:rPr>
            </w:pPr>
            <w:r w:rsidRPr="006D37E7">
              <w:rPr>
                <w:sz w:val="18"/>
                <w:szCs w:val="18"/>
              </w:rPr>
              <w:t>2,9</w:t>
            </w:r>
          </w:p>
        </w:tc>
        <w:tc>
          <w:tcPr>
            <w:tcW w:w="848" w:type="dxa"/>
          </w:tcPr>
          <w:p w14:paraId="55207473" w14:textId="77777777" w:rsidR="00EA01AF" w:rsidRPr="006D37E7" w:rsidRDefault="00EA01AF" w:rsidP="00FA77A9">
            <w:pPr>
              <w:jc w:val="center"/>
              <w:rPr>
                <w:sz w:val="18"/>
                <w:szCs w:val="18"/>
              </w:rPr>
            </w:pPr>
            <w:r w:rsidRPr="006D37E7">
              <w:rPr>
                <w:sz w:val="18"/>
                <w:szCs w:val="18"/>
              </w:rPr>
              <w:t>37,44</w:t>
            </w:r>
          </w:p>
        </w:tc>
        <w:tc>
          <w:tcPr>
            <w:tcW w:w="1704" w:type="dxa"/>
          </w:tcPr>
          <w:p w14:paraId="59204B86" w14:textId="77777777" w:rsidR="00EA01AF" w:rsidRPr="006D37E7" w:rsidRDefault="00EA01AF" w:rsidP="00FA77A9">
            <w:pPr>
              <w:jc w:val="center"/>
              <w:rPr>
                <w:sz w:val="18"/>
                <w:szCs w:val="18"/>
              </w:rPr>
            </w:pPr>
            <w:r w:rsidRPr="006D37E7">
              <w:rPr>
                <w:sz w:val="18"/>
                <w:szCs w:val="18"/>
              </w:rPr>
              <w:t>2,4</w:t>
            </w:r>
          </w:p>
        </w:tc>
        <w:tc>
          <w:tcPr>
            <w:tcW w:w="844" w:type="dxa"/>
          </w:tcPr>
          <w:p w14:paraId="46FE3529" w14:textId="77777777" w:rsidR="00EA01AF" w:rsidRPr="006D37E7" w:rsidRDefault="00EA01AF" w:rsidP="00FA77A9">
            <w:pPr>
              <w:jc w:val="center"/>
              <w:rPr>
                <w:sz w:val="18"/>
                <w:szCs w:val="18"/>
              </w:rPr>
            </w:pPr>
            <w:r w:rsidRPr="006D37E7">
              <w:rPr>
                <w:sz w:val="18"/>
                <w:szCs w:val="18"/>
              </w:rPr>
              <w:t>0,5</w:t>
            </w:r>
          </w:p>
        </w:tc>
      </w:tr>
      <w:tr w:rsidR="00EA01AF" w:rsidRPr="006D37E7" w14:paraId="424BFF1C" w14:textId="77777777" w:rsidTr="00FA77A9">
        <w:tc>
          <w:tcPr>
            <w:tcW w:w="1290" w:type="dxa"/>
          </w:tcPr>
          <w:p w14:paraId="3A4AAC26" w14:textId="77777777" w:rsidR="00EA01AF" w:rsidRPr="006D37E7" w:rsidRDefault="00EA01AF" w:rsidP="00FA77A9">
            <w:pPr>
              <w:jc w:val="center"/>
              <w:rPr>
                <w:sz w:val="18"/>
                <w:szCs w:val="18"/>
              </w:rPr>
            </w:pPr>
            <w:r w:rsidRPr="006D37E7">
              <w:rPr>
                <w:sz w:val="18"/>
                <w:szCs w:val="18"/>
              </w:rPr>
              <w:t>Музеи</w:t>
            </w:r>
          </w:p>
        </w:tc>
        <w:tc>
          <w:tcPr>
            <w:tcW w:w="3213" w:type="dxa"/>
          </w:tcPr>
          <w:p w14:paraId="5DBAFBE1" w14:textId="77777777" w:rsidR="00EA01AF" w:rsidRPr="006D37E7" w:rsidRDefault="00EA01AF" w:rsidP="00FA77A9">
            <w:pPr>
              <w:tabs>
                <w:tab w:val="left" w:pos="705"/>
              </w:tabs>
              <w:rPr>
                <w:sz w:val="18"/>
                <w:szCs w:val="18"/>
              </w:rPr>
            </w:pPr>
            <w:r w:rsidRPr="006D37E7">
              <w:rPr>
                <w:sz w:val="18"/>
                <w:szCs w:val="18"/>
              </w:rPr>
              <w:t>N 8-НК "Сведения о деятельности музея"</w:t>
            </w:r>
          </w:p>
        </w:tc>
        <w:tc>
          <w:tcPr>
            <w:tcW w:w="1211" w:type="dxa"/>
          </w:tcPr>
          <w:p w14:paraId="695DCAEA" w14:textId="77777777" w:rsidR="00EA01AF" w:rsidRPr="006D37E7" w:rsidRDefault="00EA01AF" w:rsidP="00FA77A9">
            <w:pPr>
              <w:jc w:val="center"/>
              <w:rPr>
                <w:sz w:val="18"/>
                <w:szCs w:val="18"/>
              </w:rPr>
            </w:pPr>
            <w:r w:rsidRPr="006D37E7">
              <w:rPr>
                <w:sz w:val="18"/>
                <w:szCs w:val="18"/>
              </w:rPr>
              <w:t>1202,4</w:t>
            </w:r>
          </w:p>
        </w:tc>
        <w:tc>
          <w:tcPr>
            <w:tcW w:w="1198" w:type="dxa"/>
          </w:tcPr>
          <w:p w14:paraId="4E3E6D97" w14:textId="77777777" w:rsidR="00EA01AF" w:rsidRPr="006D37E7" w:rsidRDefault="00EA01AF" w:rsidP="00FA77A9">
            <w:pPr>
              <w:jc w:val="center"/>
              <w:rPr>
                <w:sz w:val="18"/>
                <w:szCs w:val="18"/>
              </w:rPr>
            </w:pPr>
            <w:r w:rsidRPr="006D37E7">
              <w:rPr>
                <w:sz w:val="18"/>
                <w:szCs w:val="18"/>
              </w:rPr>
              <w:t>1182,6</w:t>
            </w:r>
          </w:p>
        </w:tc>
        <w:tc>
          <w:tcPr>
            <w:tcW w:w="848" w:type="dxa"/>
          </w:tcPr>
          <w:p w14:paraId="4BFF19FD" w14:textId="77777777" w:rsidR="00EA01AF" w:rsidRPr="006D37E7" w:rsidRDefault="00EA01AF" w:rsidP="00FA77A9">
            <w:pPr>
              <w:jc w:val="center"/>
              <w:rPr>
                <w:sz w:val="18"/>
                <w:szCs w:val="18"/>
              </w:rPr>
            </w:pPr>
            <w:r w:rsidRPr="006D37E7">
              <w:rPr>
                <w:sz w:val="18"/>
                <w:szCs w:val="18"/>
              </w:rPr>
              <w:t>98,36</w:t>
            </w:r>
          </w:p>
        </w:tc>
        <w:tc>
          <w:tcPr>
            <w:tcW w:w="1704" w:type="dxa"/>
          </w:tcPr>
          <w:p w14:paraId="1494DA7A" w14:textId="77777777" w:rsidR="00EA01AF" w:rsidRPr="006D37E7" w:rsidRDefault="00EA01AF" w:rsidP="00FA77A9">
            <w:pPr>
              <w:jc w:val="center"/>
              <w:rPr>
                <w:sz w:val="18"/>
                <w:szCs w:val="18"/>
              </w:rPr>
            </w:pPr>
            <w:r w:rsidRPr="006D37E7">
              <w:rPr>
                <w:sz w:val="18"/>
                <w:szCs w:val="18"/>
              </w:rPr>
              <w:t>1002,0</w:t>
            </w:r>
          </w:p>
        </w:tc>
        <w:tc>
          <w:tcPr>
            <w:tcW w:w="844" w:type="dxa"/>
          </w:tcPr>
          <w:p w14:paraId="2D8E2C73" w14:textId="77777777" w:rsidR="00EA01AF" w:rsidRPr="006D37E7" w:rsidRDefault="00EA01AF" w:rsidP="00FA77A9">
            <w:pPr>
              <w:jc w:val="center"/>
              <w:rPr>
                <w:sz w:val="18"/>
                <w:szCs w:val="18"/>
              </w:rPr>
            </w:pPr>
            <w:r w:rsidRPr="006D37E7">
              <w:rPr>
                <w:sz w:val="18"/>
                <w:szCs w:val="18"/>
              </w:rPr>
              <w:t>180,6</w:t>
            </w:r>
          </w:p>
        </w:tc>
      </w:tr>
      <w:tr w:rsidR="00EA01AF" w:rsidRPr="006D37E7" w14:paraId="1FD7F68B" w14:textId="77777777" w:rsidTr="00FA77A9">
        <w:tc>
          <w:tcPr>
            <w:tcW w:w="1290" w:type="dxa"/>
          </w:tcPr>
          <w:p w14:paraId="7886AC03" w14:textId="77777777" w:rsidR="00EA01AF" w:rsidRPr="006D37E7" w:rsidRDefault="00EA01AF" w:rsidP="00FA77A9">
            <w:pPr>
              <w:jc w:val="center"/>
              <w:rPr>
                <w:sz w:val="18"/>
                <w:szCs w:val="18"/>
              </w:rPr>
            </w:pPr>
          </w:p>
        </w:tc>
        <w:tc>
          <w:tcPr>
            <w:tcW w:w="3213" w:type="dxa"/>
          </w:tcPr>
          <w:p w14:paraId="6181DCEF" w14:textId="77777777" w:rsidR="00EA01AF" w:rsidRPr="006D37E7" w:rsidRDefault="00EA01AF" w:rsidP="00FA77A9">
            <w:pPr>
              <w:tabs>
                <w:tab w:val="left" w:pos="705"/>
              </w:tabs>
              <w:jc w:val="both"/>
              <w:rPr>
                <w:sz w:val="18"/>
                <w:szCs w:val="18"/>
              </w:rPr>
            </w:pPr>
            <w:r w:rsidRPr="006D37E7">
              <w:rPr>
                <w:sz w:val="18"/>
                <w:szCs w:val="18"/>
              </w:rPr>
              <w:t xml:space="preserve">Данные ведомственной статистики, посещения </w:t>
            </w:r>
            <w:proofErr w:type="gramStart"/>
            <w:r w:rsidRPr="006D37E7">
              <w:rPr>
                <w:sz w:val="18"/>
                <w:szCs w:val="18"/>
              </w:rPr>
              <w:t>на мероприятия</w:t>
            </w:r>
            <w:proofErr w:type="gramEnd"/>
            <w:r w:rsidRPr="006D37E7">
              <w:rPr>
                <w:sz w:val="18"/>
                <w:szCs w:val="18"/>
              </w:rPr>
              <w:t xml:space="preserve"> не включенные в формы статистической отчетности</w:t>
            </w:r>
          </w:p>
        </w:tc>
        <w:tc>
          <w:tcPr>
            <w:tcW w:w="1211" w:type="dxa"/>
          </w:tcPr>
          <w:p w14:paraId="4E05A1C1" w14:textId="77777777" w:rsidR="00EA01AF" w:rsidRPr="006D37E7" w:rsidRDefault="00EA01AF" w:rsidP="00FA77A9">
            <w:pPr>
              <w:jc w:val="center"/>
              <w:rPr>
                <w:sz w:val="18"/>
                <w:szCs w:val="18"/>
              </w:rPr>
            </w:pPr>
            <w:r w:rsidRPr="006D37E7">
              <w:rPr>
                <w:sz w:val="18"/>
                <w:szCs w:val="18"/>
              </w:rPr>
              <w:t>Х</w:t>
            </w:r>
          </w:p>
        </w:tc>
        <w:tc>
          <w:tcPr>
            <w:tcW w:w="1198" w:type="dxa"/>
          </w:tcPr>
          <w:p w14:paraId="491B364A" w14:textId="77777777" w:rsidR="00EA01AF" w:rsidRPr="006D37E7" w:rsidRDefault="00EA01AF" w:rsidP="00FA77A9">
            <w:pPr>
              <w:jc w:val="center"/>
              <w:rPr>
                <w:sz w:val="18"/>
                <w:szCs w:val="18"/>
              </w:rPr>
            </w:pPr>
            <w:r w:rsidRPr="006D37E7">
              <w:rPr>
                <w:sz w:val="18"/>
                <w:szCs w:val="18"/>
              </w:rPr>
              <w:t>Х</w:t>
            </w:r>
          </w:p>
        </w:tc>
        <w:tc>
          <w:tcPr>
            <w:tcW w:w="848" w:type="dxa"/>
          </w:tcPr>
          <w:p w14:paraId="33FE922B" w14:textId="77777777" w:rsidR="00EA01AF" w:rsidRPr="006D37E7" w:rsidRDefault="00EA01AF" w:rsidP="00FA77A9">
            <w:pPr>
              <w:jc w:val="center"/>
              <w:rPr>
                <w:sz w:val="18"/>
                <w:szCs w:val="18"/>
              </w:rPr>
            </w:pPr>
            <w:r w:rsidRPr="006D37E7">
              <w:rPr>
                <w:sz w:val="18"/>
                <w:szCs w:val="18"/>
              </w:rPr>
              <w:t>Х</w:t>
            </w:r>
          </w:p>
        </w:tc>
        <w:tc>
          <w:tcPr>
            <w:tcW w:w="1704" w:type="dxa"/>
          </w:tcPr>
          <w:p w14:paraId="483A5AEE" w14:textId="77777777" w:rsidR="00EA01AF" w:rsidRPr="006D37E7" w:rsidRDefault="00EA01AF" w:rsidP="00FA77A9">
            <w:pPr>
              <w:jc w:val="center"/>
              <w:rPr>
                <w:sz w:val="18"/>
                <w:szCs w:val="18"/>
              </w:rPr>
            </w:pPr>
            <w:r w:rsidRPr="006D37E7">
              <w:rPr>
                <w:sz w:val="18"/>
                <w:szCs w:val="18"/>
              </w:rPr>
              <w:t>950,7</w:t>
            </w:r>
          </w:p>
        </w:tc>
        <w:tc>
          <w:tcPr>
            <w:tcW w:w="844" w:type="dxa"/>
          </w:tcPr>
          <w:p w14:paraId="01BF381A" w14:textId="77777777" w:rsidR="00EA01AF" w:rsidRPr="006D37E7" w:rsidRDefault="00EA01AF" w:rsidP="00FA77A9">
            <w:pPr>
              <w:jc w:val="center"/>
              <w:rPr>
                <w:sz w:val="18"/>
                <w:szCs w:val="18"/>
              </w:rPr>
            </w:pPr>
            <w:r w:rsidRPr="006D37E7">
              <w:rPr>
                <w:sz w:val="18"/>
                <w:szCs w:val="18"/>
              </w:rPr>
              <w:t>-950,7</w:t>
            </w:r>
          </w:p>
        </w:tc>
      </w:tr>
      <w:tr w:rsidR="00EA01AF" w:rsidRPr="006D37E7" w14:paraId="4887D9D7" w14:textId="77777777" w:rsidTr="00FA77A9">
        <w:tc>
          <w:tcPr>
            <w:tcW w:w="1290" w:type="dxa"/>
          </w:tcPr>
          <w:p w14:paraId="3B19F5B6" w14:textId="77777777" w:rsidR="00EA01AF" w:rsidRPr="006D37E7" w:rsidRDefault="00EA01AF" w:rsidP="00FA77A9">
            <w:pPr>
              <w:jc w:val="center"/>
              <w:rPr>
                <w:b/>
                <w:sz w:val="18"/>
                <w:szCs w:val="18"/>
              </w:rPr>
            </w:pPr>
          </w:p>
        </w:tc>
        <w:tc>
          <w:tcPr>
            <w:tcW w:w="3213" w:type="dxa"/>
          </w:tcPr>
          <w:p w14:paraId="6DF40EF9" w14:textId="77777777" w:rsidR="00EA01AF" w:rsidRPr="006D37E7" w:rsidRDefault="00EA01AF" w:rsidP="00FA77A9">
            <w:pPr>
              <w:jc w:val="center"/>
              <w:rPr>
                <w:b/>
                <w:sz w:val="18"/>
                <w:szCs w:val="18"/>
              </w:rPr>
            </w:pPr>
            <w:r w:rsidRPr="006D37E7">
              <w:rPr>
                <w:b/>
                <w:sz w:val="18"/>
                <w:szCs w:val="18"/>
              </w:rPr>
              <w:t>ИТОГО</w:t>
            </w:r>
          </w:p>
        </w:tc>
        <w:tc>
          <w:tcPr>
            <w:tcW w:w="1211" w:type="dxa"/>
          </w:tcPr>
          <w:p w14:paraId="46EF47B7" w14:textId="77777777" w:rsidR="00EA01AF" w:rsidRPr="006D37E7" w:rsidRDefault="00EA01AF" w:rsidP="00FA77A9">
            <w:pPr>
              <w:jc w:val="center"/>
              <w:rPr>
                <w:b/>
                <w:sz w:val="18"/>
                <w:szCs w:val="18"/>
              </w:rPr>
            </w:pPr>
            <w:r w:rsidRPr="006D37E7">
              <w:rPr>
                <w:b/>
                <w:sz w:val="18"/>
                <w:szCs w:val="18"/>
              </w:rPr>
              <w:t>11634,8</w:t>
            </w:r>
          </w:p>
        </w:tc>
        <w:tc>
          <w:tcPr>
            <w:tcW w:w="1198" w:type="dxa"/>
          </w:tcPr>
          <w:p w14:paraId="649F08A0" w14:textId="77777777" w:rsidR="00EA01AF" w:rsidRPr="006D37E7" w:rsidRDefault="00EA01AF" w:rsidP="00FA77A9">
            <w:pPr>
              <w:jc w:val="center"/>
              <w:rPr>
                <w:b/>
                <w:sz w:val="18"/>
                <w:szCs w:val="18"/>
              </w:rPr>
            </w:pPr>
            <w:r w:rsidRPr="006D37E7">
              <w:rPr>
                <w:b/>
                <w:sz w:val="18"/>
                <w:szCs w:val="18"/>
              </w:rPr>
              <w:t>18326</w:t>
            </w:r>
          </w:p>
        </w:tc>
        <w:tc>
          <w:tcPr>
            <w:tcW w:w="848" w:type="dxa"/>
          </w:tcPr>
          <w:p w14:paraId="441AD776" w14:textId="77777777" w:rsidR="00EA01AF" w:rsidRPr="006D37E7" w:rsidRDefault="00EA01AF" w:rsidP="00FA77A9">
            <w:pPr>
              <w:jc w:val="center"/>
              <w:rPr>
                <w:b/>
                <w:sz w:val="18"/>
                <w:szCs w:val="18"/>
              </w:rPr>
            </w:pPr>
            <w:r w:rsidRPr="006D37E7">
              <w:rPr>
                <w:b/>
                <w:sz w:val="18"/>
                <w:szCs w:val="18"/>
              </w:rPr>
              <w:t>157,51</w:t>
            </w:r>
          </w:p>
        </w:tc>
        <w:tc>
          <w:tcPr>
            <w:tcW w:w="1704" w:type="dxa"/>
          </w:tcPr>
          <w:p w14:paraId="54C8B4F0" w14:textId="77777777" w:rsidR="00EA01AF" w:rsidRPr="006D37E7" w:rsidRDefault="00EA01AF" w:rsidP="00FA77A9">
            <w:pPr>
              <w:jc w:val="center"/>
              <w:rPr>
                <w:b/>
                <w:sz w:val="18"/>
                <w:szCs w:val="18"/>
              </w:rPr>
            </w:pPr>
            <w:r w:rsidRPr="006D37E7">
              <w:rPr>
                <w:b/>
                <w:sz w:val="18"/>
                <w:szCs w:val="18"/>
              </w:rPr>
              <w:t>10687,0</w:t>
            </w:r>
          </w:p>
        </w:tc>
        <w:tc>
          <w:tcPr>
            <w:tcW w:w="844" w:type="dxa"/>
          </w:tcPr>
          <w:p w14:paraId="32D24AAF" w14:textId="77777777" w:rsidR="00EA01AF" w:rsidRPr="006D37E7" w:rsidRDefault="00EA01AF" w:rsidP="00FA77A9">
            <w:pPr>
              <w:jc w:val="center"/>
              <w:rPr>
                <w:b/>
                <w:sz w:val="18"/>
                <w:szCs w:val="18"/>
              </w:rPr>
            </w:pPr>
            <w:r w:rsidRPr="006D37E7">
              <w:rPr>
                <w:b/>
                <w:sz w:val="18"/>
                <w:szCs w:val="18"/>
              </w:rPr>
              <w:t>7639</w:t>
            </w:r>
          </w:p>
        </w:tc>
      </w:tr>
    </w:tbl>
    <w:p w14:paraId="1EBCE4C6" w14:textId="77777777" w:rsidR="00EA01AF" w:rsidRPr="006D37E7" w:rsidRDefault="00EA01AF" w:rsidP="00AD17CC">
      <w:pPr>
        <w:spacing w:before="120"/>
        <w:ind w:firstLine="709"/>
        <w:jc w:val="both"/>
      </w:pPr>
      <w:r w:rsidRPr="006D37E7">
        <w:t>Как видно из таблицы №</w:t>
      </w:r>
      <w:r w:rsidR="00DA43E5" w:rsidRPr="006D37E7">
        <w:t>4</w:t>
      </w:r>
      <w:r w:rsidRPr="006D37E7">
        <w:t>, темп роста данного показателя составил 157,5%, тогда как в отчетах об использовании субсидий из федерального бюджета, направленных в Министерство культуры РФ</w:t>
      </w:r>
      <w:r w:rsidR="00AF6C5D" w:rsidRPr="006D37E7">
        <w:t>,</w:t>
      </w:r>
      <w:r w:rsidRPr="006D37E7">
        <w:t xml:space="preserve"> указан показатель - 119,5 </w:t>
      </w:r>
      <w:r w:rsidR="00AF6C5D" w:rsidRPr="006D37E7">
        <w:t>% (показатель указан Комитетом на уровне планового значения)</w:t>
      </w:r>
      <w:r w:rsidRPr="006D37E7">
        <w:t xml:space="preserve">. Основной рост посещений составил по учреждениям </w:t>
      </w:r>
      <w:bookmarkStart w:id="4" w:name="OLE_LINK1"/>
      <w:r w:rsidRPr="006D37E7">
        <w:t>культурного - досугового типа</w:t>
      </w:r>
      <w:bookmarkEnd w:id="4"/>
      <w:r w:rsidRPr="006D37E7">
        <w:t xml:space="preserve"> муниципальных учреждений (далее КДУ) с 1569,9 в 2010 году до 9266,4 в 2018 году.</w:t>
      </w:r>
    </w:p>
    <w:p w14:paraId="4FA14756" w14:textId="77777777" w:rsidR="00EA01AF" w:rsidRPr="006D37E7" w:rsidRDefault="00EA01AF" w:rsidP="00EA01AF">
      <w:pPr>
        <w:ind w:firstLine="709"/>
        <w:jc w:val="both"/>
      </w:pPr>
      <w:r w:rsidRPr="006D37E7">
        <w:t>Вместе с тем при расчете целевого показателя, утвержденного в ГП Развитие культуры и туризма «Увеличение количества посещений организаций культуры по отношению к уровню 2014 года» количество посещений за 2018 год составляет всего 10687 чел.</w:t>
      </w:r>
      <w:r w:rsidR="00AF6C5D" w:rsidRPr="006D37E7">
        <w:t xml:space="preserve"> (</w:t>
      </w:r>
      <w:r w:rsidRPr="006D37E7">
        <w:t xml:space="preserve"> в том числе с учетом посещений мероприятий по данным ведомственной статистики</w:t>
      </w:r>
      <w:r w:rsidR="00AF6C5D" w:rsidRPr="006D37E7">
        <w:t>)</w:t>
      </w:r>
      <w:r w:rsidRPr="006D37E7">
        <w:t>. С учетом данного количества посещений (10687 чел.</w:t>
      </w:r>
      <w:r w:rsidR="00AF6C5D" w:rsidRPr="006D37E7">
        <w:t xml:space="preserve"> – в 2018 году</w:t>
      </w:r>
      <w:r w:rsidRPr="006D37E7">
        <w:t>) показатель по сравнению с 2010 годом уменьшился на 947,8 чел., или на 8,1 процента. Количество посещений по КДУ на платной основе составляет всего 860,5 ед.</w:t>
      </w:r>
    </w:p>
    <w:p w14:paraId="793A8C0D" w14:textId="77777777" w:rsidR="00314B39" w:rsidRPr="006D37E7" w:rsidRDefault="00314B39" w:rsidP="00314B39">
      <w:pPr>
        <w:ind w:firstLine="709"/>
        <w:jc w:val="both"/>
      </w:pPr>
      <w:r w:rsidRPr="006D37E7">
        <w:t xml:space="preserve">При этом, </w:t>
      </w:r>
      <w:r w:rsidR="001D4ECD" w:rsidRPr="006D37E7">
        <w:t xml:space="preserve">например, </w:t>
      </w:r>
      <w:r w:rsidRPr="006D37E7">
        <w:t>согласно указаниям по заполнению форм мониторинга национального проекта Министерства культуры РФ «Культура» показатели по посещению КДУ для мониторинга реализации национального проекта должны заполняться только по платным посещениям КДУ и должны совпадать с количеством проданных билетов и приглашений (письмо от 04.03.2019 №87.01.1-39 -ОЯ).</w:t>
      </w:r>
      <w:r w:rsidR="001D4ECD" w:rsidRPr="006D37E7">
        <w:t xml:space="preserve"> Соответственно с 2019 года по данному показателю должны учитываться только платные посещения КДУ.</w:t>
      </w:r>
    </w:p>
    <w:p w14:paraId="561BB872" w14:textId="77777777" w:rsidR="00EA01AF" w:rsidRPr="006D37E7" w:rsidRDefault="00EA01AF" w:rsidP="00EA01AF">
      <w:pPr>
        <w:ind w:firstLine="709"/>
        <w:jc w:val="both"/>
      </w:pPr>
      <w:r w:rsidRPr="006D37E7">
        <w:t xml:space="preserve">В расчет показателя </w:t>
      </w:r>
      <w:r w:rsidRPr="006D37E7">
        <w:rPr>
          <w:i/>
        </w:rPr>
        <w:t>«количество посещений организаций культуры по отношению к уровню 2010 года»</w:t>
      </w:r>
      <w:r w:rsidRPr="006D37E7">
        <w:t xml:space="preserve"> включены все посетители КДУ, а не только посетители на платной основе. Фактически при расчете показателя использованы бесплатные посещения КДУ (8498 ед.), которые не подтверждены проданными билетами и пригласительными, т.е. проверить фактическое количество этих посещений невозможно.</w:t>
      </w:r>
    </w:p>
    <w:p w14:paraId="007FD2A5" w14:textId="77777777" w:rsidR="00EA01AF" w:rsidRPr="006D37E7" w:rsidRDefault="00AF6C5D" w:rsidP="00EA01AF">
      <w:pPr>
        <w:spacing w:before="120"/>
        <w:ind w:firstLine="709"/>
        <w:jc w:val="both"/>
      </w:pPr>
      <w:r w:rsidRPr="006D37E7">
        <w:rPr>
          <w:b/>
        </w:rPr>
        <w:t>2</w:t>
      </w:r>
      <w:r w:rsidR="00EA01AF" w:rsidRPr="006D37E7">
        <w:rPr>
          <w:b/>
        </w:rPr>
        <w:t xml:space="preserve">. </w:t>
      </w:r>
      <w:r w:rsidR="00EA01AF" w:rsidRPr="006D37E7">
        <w:t xml:space="preserve">Согласно п.3.2 соглашений, заключенных Комитетом с 13 ОМСУ, одним из условий предоставления субсидий на комплектование книжных фондов муниципальных общедоступных библиотек и государственных центральных библиотек субъектов РФ являлось достижение  муниципальным образованием планового значения целевого показателя «количество посещений организаций культуры по отношению к уровню 2010 года» 119,5 процента. </w:t>
      </w:r>
    </w:p>
    <w:p w14:paraId="42C0C6A1" w14:textId="77777777" w:rsidR="00EA01AF" w:rsidRPr="006D37E7" w:rsidRDefault="00EA01AF" w:rsidP="00EA01AF">
      <w:pPr>
        <w:ind w:firstLine="709"/>
        <w:jc w:val="both"/>
        <w:rPr>
          <w:i/>
        </w:rPr>
      </w:pPr>
      <w:r w:rsidRPr="006D37E7">
        <w:t>Исходя из данных отчетов ОМС</w:t>
      </w:r>
      <w:r w:rsidR="00855196" w:rsidRPr="006D37E7">
        <w:t>У</w:t>
      </w:r>
      <w:r w:rsidRPr="006D37E7">
        <w:t xml:space="preserve"> целевой показатель «количество посещений организаций культуры по отношению к уровню 2010 года» достигнут всеми 13 муниципальными образованиями. По пояснениям Комитета, как уже указывалось выше, </w:t>
      </w:r>
      <w:r w:rsidRPr="006D37E7">
        <w:rPr>
          <w:i/>
        </w:rPr>
        <w:t>«в расчет показателя учитывалось количество посещений всех видов учреждений культуры, а не только посещения общедоступных (публичных) библиотек».</w:t>
      </w:r>
    </w:p>
    <w:p w14:paraId="7890DB4A" w14:textId="77777777" w:rsidR="00EA01AF" w:rsidRPr="006D37E7" w:rsidRDefault="00EA01AF" w:rsidP="00EA01AF">
      <w:pPr>
        <w:ind w:firstLine="709"/>
        <w:jc w:val="both"/>
      </w:pPr>
      <w:r w:rsidRPr="006D37E7">
        <w:lastRenderedPageBreak/>
        <w:t xml:space="preserve">При этом количество посещений общедоступных (публичных) библиотек, получивших субсидию, в 2018 году по сравнению с 2010 годом снизилось на 361980 ед., или на 18 процентов. Приобретение книжной продукции в муниципальных образованиях, за исключением </w:t>
      </w:r>
      <w:proofErr w:type="spellStart"/>
      <w:r w:rsidRPr="006D37E7">
        <w:t>Котельниковского</w:t>
      </w:r>
      <w:proofErr w:type="spellEnd"/>
      <w:r w:rsidRPr="006D37E7">
        <w:t xml:space="preserve"> района, городских округов Камышин и Фролово, на общую сумму 1211,5 тыс. руб. (средства областного и федеральных бюджетов 826,2 тыс. руб.) не привели к увеличению количества посетителей муниципальных библиотек</w:t>
      </w:r>
      <w:r w:rsidR="00450C7C" w:rsidRPr="006D37E7">
        <w:t>, что свидетельствует о неэффективности государственной поддержки библиотек</w:t>
      </w:r>
      <w:r w:rsidR="00643693" w:rsidRPr="006D37E7">
        <w:t xml:space="preserve"> и противоречит </w:t>
      </w:r>
      <w:r w:rsidR="00F44750" w:rsidRPr="006D37E7">
        <w:t>принципу эффективности использования бюджетных средств (ст.34 БК РФ)</w:t>
      </w:r>
      <w:r w:rsidRPr="006D37E7">
        <w:t xml:space="preserve">. </w:t>
      </w:r>
      <w:r w:rsidR="00AF6C5D" w:rsidRPr="006D37E7">
        <w:t xml:space="preserve"> </w:t>
      </w:r>
    </w:p>
    <w:p w14:paraId="68399227" w14:textId="77777777" w:rsidR="00EA01AF" w:rsidRPr="006D37E7" w:rsidRDefault="00AF6C5D" w:rsidP="00EA01AF">
      <w:pPr>
        <w:tabs>
          <w:tab w:val="left" w:pos="567"/>
          <w:tab w:val="left" w:pos="1139"/>
        </w:tabs>
        <w:spacing w:before="120"/>
        <w:ind w:firstLine="709"/>
        <w:jc w:val="both"/>
      </w:pPr>
      <w:r w:rsidRPr="006D37E7">
        <w:rPr>
          <w:b/>
          <w:iCs/>
        </w:rPr>
        <w:t>3</w:t>
      </w:r>
      <w:r w:rsidR="00EA01AF" w:rsidRPr="006D37E7">
        <w:rPr>
          <w:b/>
          <w:iCs/>
        </w:rPr>
        <w:t xml:space="preserve">. </w:t>
      </w:r>
      <w:r w:rsidR="00EA01AF" w:rsidRPr="006D37E7">
        <w:rPr>
          <w:b/>
          <w:iCs/>
        </w:rPr>
        <w:tab/>
      </w:r>
      <w:r w:rsidR="00EA01AF" w:rsidRPr="006D37E7">
        <w:t xml:space="preserve">На реализацию мероприятия по техническому оснащению и содержанию виртуального концертного зала в 2018 году предусмотрено 5791,1 тыс. руб., в том числе 4980,3 тыс. руб. за счет федерального бюджета, 810,8 тыс. руб. за счет средств областного бюджета. </w:t>
      </w:r>
    </w:p>
    <w:p w14:paraId="03A8CE25" w14:textId="77777777" w:rsidR="00EA01AF" w:rsidRPr="006D37E7" w:rsidRDefault="00EA01AF" w:rsidP="00EA01AF">
      <w:pPr>
        <w:ind w:firstLine="709"/>
        <w:jc w:val="both"/>
      </w:pPr>
      <w:r w:rsidRPr="006D37E7">
        <w:t xml:space="preserve">Комитетом с Филармонией заключено соглашение о предоставлении субсидии на иные цели, финансирование Комитетом осуществлено 20.09.2018.  В соответствии с заключенным соглашением учреждение приняло обязательства по достижению показателей результативности:  </w:t>
      </w:r>
    </w:p>
    <w:p w14:paraId="7DF90B19" w14:textId="77777777" w:rsidR="00450C7C" w:rsidRPr="006D37E7" w:rsidRDefault="00450C7C" w:rsidP="00450C7C">
      <w:pPr>
        <w:ind w:firstLine="709"/>
        <w:jc w:val="both"/>
      </w:pPr>
      <w:r w:rsidRPr="006D37E7">
        <w:t>-«количество посещений организаций культуры по отношению к уровню 2010 года» в размере 119,5 %;</w:t>
      </w:r>
    </w:p>
    <w:p w14:paraId="562BBDFC" w14:textId="77777777" w:rsidR="00450C7C" w:rsidRPr="006D37E7" w:rsidRDefault="00450C7C" w:rsidP="00450C7C">
      <w:pPr>
        <w:ind w:firstLine="709"/>
        <w:jc w:val="both"/>
      </w:pPr>
      <w:r w:rsidRPr="006D37E7">
        <w:t>-«количество виртуальных концертных залов, которые оснащены и по которым разработана техническая концепция, проведен запуск в эксплуатацию и поддержание в рабочем состоянии в 2018 году» - 1 единица.</w:t>
      </w:r>
    </w:p>
    <w:p w14:paraId="672448C8" w14:textId="77777777" w:rsidR="00EA01AF" w:rsidRPr="006D37E7" w:rsidRDefault="00EA01AF" w:rsidP="00EA01AF">
      <w:pPr>
        <w:pStyle w:val="ConsPlusNormal"/>
        <w:ind w:firstLine="709"/>
        <w:jc w:val="both"/>
        <w:rPr>
          <w:rFonts w:ascii="Times New Roman" w:hAnsi="Times New Roman" w:cs="Times New Roman"/>
          <w:sz w:val="24"/>
          <w:szCs w:val="24"/>
        </w:rPr>
      </w:pPr>
      <w:r w:rsidRPr="006D37E7">
        <w:rPr>
          <w:rFonts w:ascii="Times New Roman" w:hAnsi="Times New Roman" w:cs="Times New Roman"/>
          <w:sz w:val="24"/>
          <w:szCs w:val="24"/>
        </w:rPr>
        <w:t>Филармонией заключено 5 контрактов (договоров) на приобретение элементов виртуального концертного зала (электрических лебедок, проекционное и звуковое оборудование, ноутбук, подвесные механизмы) на 5 791,1 тыс. руб., которые полностью оплачены в 2018 году. Данное оборудование расположено по адресу нахождения Филармонии (400131, г. Волгоград, ул. Набережная 62-й Армии, 4). Приказом учреждения от 18.12.2018 № 01-303 виртуальный концертный зал принят к учету учреждения.</w:t>
      </w:r>
    </w:p>
    <w:p w14:paraId="7609117F" w14:textId="77777777" w:rsidR="00EA01AF" w:rsidRPr="006D37E7" w:rsidRDefault="00EA01AF" w:rsidP="00EA01AF">
      <w:pPr>
        <w:ind w:firstLine="709"/>
        <w:jc w:val="both"/>
      </w:pPr>
      <w:r w:rsidRPr="006D37E7">
        <w:t>В соответствии с отчетом о целевом использовании субсидии учреждением в 2018 году запуск в эксплуатацию учреждением виртуального концертного зала не осуществлен, достижение целевого показателя планируется достичь после запуска его в эксплуатацию.</w:t>
      </w:r>
    </w:p>
    <w:p w14:paraId="54F1241B" w14:textId="77777777" w:rsidR="00643693" w:rsidRPr="006D37E7" w:rsidRDefault="00EA01AF" w:rsidP="00643693">
      <w:pPr>
        <w:autoSpaceDE w:val="0"/>
        <w:autoSpaceDN w:val="0"/>
        <w:adjustRightInd w:val="0"/>
        <w:ind w:firstLine="708"/>
        <w:jc w:val="both"/>
      </w:pPr>
      <w:r w:rsidRPr="006D37E7">
        <w:t xml:space="preserve">Вместе с тем согласно «Отчету о достижении значения целевого показателя результативности использования субсидии» по состоянию на 31.12.2018 показатель результативности - </w:t>
      </w:r>
      <w:r w:rsidRPr="006D37E7">
        <w:rPr>
          <w:i/>
        </w:rPr>
        <w:t>количество посещений организаций культуры в размере 119,5 % по отношению к уровню 2010 года</w:t>
      </w:r>
      <w:r w:rsidRPr="006D37E7">
        <w:t xml:space="preserve"> Филармонией выполнен в полном объеме, </w:t>
      </w:r>
      <w:r w:rsidR="00450C7C" w:rsidRPr="006D37E7">
        <w:t>отчет</w:t>
      </w:r>
      <w:r w:rsidRPr="006D37E7">
        <w:t xml:space="preserve"> принят Комитетом</w:t>
      </w:r>
      <w:r w:rsidR="00450C7C" w:rsidRPr="006D37E7">
        <w:t xml:space="preserve">.  При этом установленный Комитетом показатель для Филармонии напрямую не связан с реализуемым мероприятием и расходование вышеуказанных средств не могло повлиять на его достижение, т.е. показатель </w:t>
      </w:r>
      <w:r w:rsidR="00643693" w:rsidRPr="006D37E7">
        <w:t>запланирован</w:t>
      </w:r>
      <w:r w:rsidR="00450C7C" w:rsidRPr="006D37E7">
        <w:t xml:space="preserve"> и отражен в отчете формально.</w:t>
      </w:r>
      <w:r w:rsidR="00643693" w:rsidRPr="006D37E7">
        <w:t xml:space="preserve"> Таким образом,  средства в сумме 5791,1 тыс. руб. использованы без соблюдения принципа эффективности использования бюджетных средств (ст.34 БК РФ).</w:t>
      </w:r>
    </w:p>
    <w:p w14:paraId="4202FA19" w14:textId="77777777" w:rsidR="00EA01AF" w:rsidRPr="006D37E7" w:rsidRDefault="00EA01AF" w:rsidP="00EA01AF">
      <w:pPr>
        <w:pStyle w:val="ConsPlusNormal"/>
        <w:ind w:firstLine="709"/>
        <w:jc w:val="both"/>
        <w:rPr>
          <w:rFonts w:ascii="Times New Roman" w:hAnsi="Times New Roman" w:cs="Times New Roman"/>
          <w:sz w:val="24"/>
          <w:szCs w:val="24"/>
        </w:rPr>
      </w:pPr>
      <w:r w:rsidRPr="006D37E7">
        <w:rPr>
          <w:rFonts w:ascii="Times New Roman" w:hAnsi="Times New Roman" w:cs="Times New Roman"/>
          <w:sz w:val="24"/>
          <w:szCs w:val="24"/>
        </w:rPr>
        <w:t>Согласно пояснениям учреждения предварительный запуск – первый показ с использованием оборудования виртуального концертного зала Филармонией запланирован на 30 марта 2019 года. При этом в связи с реорганизацией Филармония не располагает информацией о количестве посещений учреждения в 2010 году, что не позволяет объективно рассчитать выполнение вышеуказанного показателя даже в 2019 году.</w:t>
      </w:r>
    </w:p>
    <w:p w14:paraId="07416634" w14:textId="77777777" w:rsidR="00EA01AF" w:rsidRPr="006D37E7" w:rsidRDefault="00EA01AF" w:rsidP="00EA01AF">
      <w:pPr>
        <w:pStyle w:val="ConsPlusNormal"/>
        <w:ind w:firstLine="709"/>
        <w:jc w:val="both"/>
        <w:rPr>
          <w:rFonts w:ascii="Times New Roman" w:hAnsi="Times New Roman" w:cs="Times New Roman"/>
          <w:sz w:val="24"/>
          <w:szCs w:val="24"/>
        </w:rPr>
      </w:pPr>
      <w:r w:rsidRPr="006D37E7">
        <w:rPr>
          <w:rFonts w:ascii="Times New Roman" w:hAnsi="Times New Roman" w:cs="Times New Roman"/>
          <w:sz w:val="24"/>
          <w:szCs w:val="24"/>
        </w:rPr>
        <w:t xml:space="preserve">Согласно данным, размещенным в сети Интернет, </w:t>
      </w:r>
      <w:hyperlink r:id="rId13" w:history="1">
        <w:r w:rsidRPr="006D37E7">
          <w:t>https://news.mail.ru/society/36973093/?frommail=1</w:t>
        </w:r>
      </w:hyperlink>
      <w:r w:rsidRPr="006D37E7">
        <w:rPr>
          <w:rFonts w:ascii="Times New Roman" w:hAnsi="Times New Roman" w:cs="Times New Roman"/>
          <w:sz w:val="24"/>
          <w:szCs w:val="24"/>
        </w:rPr>
        <w:t>,</w:t>
      </w:r>
      <w:r w:rsidRPr="006D37E7">
        <w:rPr>
          <w:rFonts w:ascii="Times New Roman" w:hAnsi="Times New Roman" w:cs="Times New Roman"/>
          <w:sz w:val="24"/>
          <w:szCs w:val="24"/>
          <w:lang w:val="en-US"/>
        </w:rPr>
        <w:t>h</w:t>
      </w:r>
      <w:r w:rsidRPr="006D37E7">
        <w:rPr>
          <w:rFonts w:ascii="Times New Roman" w:hAnsi="Times New Roman" w:cs="Times New Roman"/>
          <w:sz w:val="24"/>
          <w:szCs w:val="24"/>
        </w:rPr>
        <w:t>ttp://volgogradnews.net/culture/2019/03/20/177272.html первая интернет-трансляция в Филармонии состоялась 12.04.2019 года, транслировалось выступление Национального академического оркестра народных инструментов России имени Осипова.</w:t>
      </w:r>
    </w:p>
    <w:p w14:paraId="72FA998D" w14:textId="77777777" w:rsidR="000D079E" w:rsidRPr="006D37E7" w:rsidRDefault="00EA01AF" w:rsidP="00643693">
      <w:pPr>
        <w:autoSpaceDE w:val="0"/>
        <w:autoSpaceDN w:val="0"/>
        <w:adjustRightInd w:val="0"/>
        <w:ind w:firstLine="708"/>
        <w:jc w:val="both"/>
        <w:rPr>
          <w:rFonts w:eastAsiaTheme="minorHAnsi"/>
          <w:lang w:eastAsia="en-US"/>
        </w:rPr>
      </w:pPr>
      <w:r w:rsidRPr="006D37E7">
        <w:t xml:space="preserve">В соответствии с пояснением Комитета, как уже указывалось выше, показатель </w:t>
      </w:r>
      <w:r w:rsidR="00643693" w:rsidRPr="006D37E7">
        <w:t>«</w:t>
      </w:r>
      <w:r w:rsidR="00643693" w:rsidRPr="006D37E7">
        <w:rPr>
          <w:i/>
        </w:rPr>
        <w:t>количество посещений организаций культуры в размере 119,5 % по отношению к уровню 2010 года»</w:t>
      </w:r>
      <w:r w:rsidR="00643693" w:rsidRPr="006D37E7">
        <w:t xml:space="preserve"> </w:t>
      </w:r>
      <w:r w:rsidRPr="006D37E7">
        <w:t xml:space="preserve">запланирован в целом по всем учреждениям культуры Волгоградской области, а не отдельного учреждения, </w:t>
      </w:r>
      <w:r w:rsidR="00643693" w:rsidRPr="006D37E7">
        <w:t>получившего средства субсидии на поддержку отрасли культуры (как на создание виртуального зала, так и на приобретение книжной продукции для библиотек). В</w:t>
      </w:r>
      <w:r w:rsidRPr="006D37E7">
        <w:t xml:space="preserve"> результате чего планирование в соглашени</w:t>
      </w:r>
      <w:r w:rsidR="00643693" w:rsidRPr="006D37E7">
        <w:t>ях</w:t>
      </w:r>
      <w:r w:rsidRPr="006D37E7">
        <w:t xml:space="preserve"> с учреждени</w:t>
      </w:r>
      <w:r w:rsidR="00643693" w:rsidRPr="006D37E7">
        <w:t xml:space="preserve">ями и органами местного </w:t>
      </w:r>
      <w:r w:rsidR="00643693" w:rsidRPr="006D37E7">
        <w:lastRenderedPageBreak/>
        <w:t xml:space="preserve">самоуправления  единого показателя </w:t>
      </w:r>
      <w:r w:rsidRPr="006D37E7">
        <w:t xml:space="preserve">не является объективным, так как не зависит от деятельности конкретного учреждения и </w:t>
      </w:r>
      <w:r w:rsidR="00643693" w:rsidRPr="006D37E7">
        <w:t xml:space="preserve">их </w:t>
      </w:r>
      <w:r w:rsidRPr="006D37E7">
        <w:t>фактической работы.</w:t>
      </w:r>
      <w:r w:rsidR="000D079E" w:rsidRPr="006D37E7">
        <w:t xml:space="preserve"> Таким образом, средства в сумме </w:t>
      </w:r>
      <w:r w:rsidR="00643693" w:rsidRPr="006D37E7">
        <w:t>7002,6</w:t>
      </w:r>
      <w:r w:rsidR="000D079E" w:rsidRPr="006D37E7">
        <w:t xml:space="preserve"> тыс. руб. </w:t>
      </w:r>
      <w:r w:rsidR="00643693" w:rsidRPr="006D37E7">
        <w:t xml:space="preserve">были </w:t>
      </w:r>
      <w:r w:rsidR="000D079E" w:rsidRPr="006D37E7">
        <w:t xml:space="preserve">использованы без соблюдения принципа эффективности использования бюджетных средств (ст.34 БК РФ), который означает </w:t>
      </w:r>
      <w:r w:rsidR="000D079E" w:rsidRPr="006D37E7">
        <w:rPr>
          <w:rFonts w:eastAsiaTheme="minorHAnsi"/>
          <w:lang w:eastAsia="en-US"/>
        </w:rPr>
        <w:t>достижение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12E1AD10" w14:textId="77777777" w:rsidR="00970812" w:rsidRPr="006D37E7" w:rsidRDefault="00352E27" w:rsidP="000D079E">
      <w:pPr>
        <w:autoSpaceDE w:val="0"/>
        <w:autoSpaceDN w:val="0"/>
        <w:adjustRightInd w:val="0"/>
        <w:spacing w:before="120" w:after="120"/>
        <w:jc w:val="center"/>
        <w:outlineLvl w:val="0"/>
        <w:rPr>
          <w:b/>
        </w:rPr>
      </w:pPr>
      <w:r w:rsidRPr="006D37E7">
        <w:rPr>
          <w:b/>
        </w:rPr>
        <w:t>9</w:t>
      </w:r>
      <w:r w:rsidR="00C65D68" w:rsidRPr="006D37E7">
        <w:rPr>
          <w:b/>
        </w:rPr>
        <w:t xml:space="preserve">. </w:t>
      </w:r>
      <w:r w:rsidR="00307465" w:rsidRPr="006D37E7">
        <w:rPr>
          <w:b/>
        </w:rPr>
        <w:t>Р</w:t>
      </w:r>
      <w:r w:rsidR="00970812" w:rsidRPr="006D37E7">
        <w:rPr>
          <w:b/>
        </w:rPr>
        <w:t>асход</w:t>
      </w:r>
      <w:r w:rsidR="00307465" w:rsidRPr="006D37E7">
        <w:rPr>
          <w:b/>
        </w:rPr>
        <w:t>ы</w:t>
      </w:r>
      <w:r w:rsidR="00970812" w:rsidRPr="006D37E7">
        <w:rPr>
          <w:b/>
        </w:rPr>
        <w:t xml:space="preserve"> Комитета на уплату штрафов (пени)</w:t>
      </w:r>
    </w:p>
    <w:p w14:paraId="76B8F595" w14:textId="77777777" w:rsidR="00970812" w:rsidRPr="006D37E7" w:rsidRDefault="00970812" w:rsidP="00307465">
      <w:pPr>
        <w:autoSpaceDE w:val="0"/>
        <w:autoSpaceDN w:val="0"/>
        <w:adjustRightInd w:val="0"/>
        <w:ind w:firstLine="708"/>
        <w:jc w:val="both"/>
        <w:outlineLvl w:val="0"/>
      </w:pPr>
      <w:r w:rsidRPr="006D37E7">
        <w:t xml:space="preserve">Несвоевременное доведение </w:t>
      </w:r>
      <w:proofErr w:type="spellStart"/>
      <w:r w:rsidRPr="006D37E7">
        <w:t>Облфином</w:t>
      </w:r>
      <w:proofErr w:type="spellEnd"/>
      <w:r w:rsidRPr="006D37E7">
        <w:t xml:space="preserve"> Комитету лимитов бюджетных обязательств и кассового плана повлекло дополнительные расходы областного бюджета на оплату в 2018 году штрафов (пени) в сумме 2736,3 тыс. руб., в результате чего не соблюден принцип эффективного использования бюджетных средств, установленный ст. 34 БК РФ, в т.ч.:</w:t>
      </w:r>
    </w:p>
    <w:p w14:paraId="30B24CDE" w14:textId="77777777" w:rsidR="00970812" w:rsidRPr="006D37E7" w:rsidRDefault="00970812" w:rsidP="00970812">
      <w:pPr>
        <w:autoSpaceDE w:val="0"/>
        <w:autoSpaceDN w:val="0"/>
        <w:adjustRightInd w:val="0"/>
        <w:ind w:firstLine="708"/>
        <w:jc w:val="both"/>
      </w:pPr>
      <w:r w:rsidRPr="006D37E7">
        <w:t>-1423,5 тыс. руб. за нарушение законодательства о налогах и сборах (казенные учреждения - 4,6 тыс. руб., бюджетные учреждения – 1418,9 тыс.руб.);</w:t>
      </w:r>
    </w:p>
    <w:p w14:paraId="433B9E51" w14:textId="77777777" w:rsidR="00970812" w:rsidRPr="006D37E7" w:rsidRDefault="00970812" w:rsidP="00970812">
      <w:pPr>
        <w:autoSpaceDE w:val="0"/>
        <w:autoSpaceDN w:val="0"/>
        <w:adjustRightInd w:val="0"/>
        <w:ind w:firstLine="708"/>
        <w:jc w:val="both"/>
      </w:pPr>
      <w:r w:rsidRPr="006D37E7">
        <w:t>-1179,0 тыс. руб. за нарушение законодательства о закупках (казенные учреждения – 333,7 тыс. руб., бюджетные учреждения – 845,3 тыс.руб.).</w:t>
      </w:r>
    </w:p>
    <w:p w14:paraId="61354FB5" w14:textId="77777777" w:rsidR="00970812" w:rsidRPr="006D37E7" w:rsidRDefault="00970812" w:rsidP="00970812">
      <w:pPr>
        <w:autoSpaceDE w:val="0"/>
        <w:autoSpaceDN w:val="0"/>
        <w:adjustRightInd w:val="0"/>
        <w:ind w:firstLine="708"/>
        <w:jc w:val="both"/>
      </w:pPr>
      <w:r w:rsidRPr="006D37E7">
        <w:t>- 133,8 тыс. руб. расходы по судебным решениям в связи с обращением поставщиков из-за неполной оплаты их услуг по заключенным договорам, а также оплата административных штрафов.</w:t>
      </w:r>
    </w:p>
    <w:p w14:paraId="553FBB21" w14:textId="77777777" w:rsidR="007B007D" w:rsidRPr="006D37E7" w:rsidRDefault="0085444D" w:rsidP="00025EC8">
      <w:pPr>
        <w:autoSpaceDE w:val="0"/>
        <w:autoSpaceDN w:val="0"/>
        <w:adjustRightInd w:val="0"/>
        <w:spacing w:before="120" w:after="120"/>
        <w:ind w:firstLine="709"/>
        <w:jc w:val="center"/>
        <w:rPr>
          <w:b/>
        </w:rPr>
      </w:pPr>
      <w:r w:rsidRPr="006D37E7">
        <w:rPr>
          <w:b/>
        </w:rPr>
        <w:t>1</w:t>
      </w:r>
      <w:r w:rsidR="00C57C21" w:rsidRPr="006D37E7">
        <w:rPr>
          <w:b/>
        </w:rPr>
        <w:t>0</w:t>
      </w:r>
      <w:r w:rsidRPr="006D37E7">
        <w:rPr>
          <w:b/>
        </w:rPr>
        <w:t xml:space="preserve">. </w:t>
      </w:r>
      <w:r w:rsidR="007B007D" w:rsidRPr="006D37E7">
        <w:rPr>
          <w:b/>
        </w:rPr>
        <w:t>Состояние внутреннего</w:t>
      </w:r>
      <w:r w:rsidR="00F26EE7" w:rsidRPr="006D37E7">
        <w:rPr>
          <w:b/>
        </w:rPr>
        <w:t xml:space="preserve"> финансового контроля и аудита</w:t>
      </w:r>
    </w:p>
    <w:p w14:paraId="08FABBCE" w14:textId="77777777" w:rsidR="007B007D" w:rsidRPr="006D37E7" w:rsidRDefault="007B007D" w:rsidP="007B007D">
      <w:pPr>
        <w:autoSpaceDE w:val="0"/>
        <w:autoSpaceDN w:val="0"/>
        <w:adjustRightInd w:val="0"/>
        <w:ind w:firstLine="709"/>
        <w:jc w:val="both"/>
      </w:pPr>
      <w:r w:rsidRPr="006D37E7">
        <w:t>Главный распорядитель бюджетных средств согласно п.1 ст.160.2-1 БК РФ осуществляет внутренний финансовый контроль.</w:t>
      </w:r>
    </w:p>
    <w:p w14:paraId="16038702" w14:textId="77777777" w:rsidR="007B007D" w:rsidRPr="006D37E7" w:rsidRDefault="007B007D" w:rsidP="007B007D">
      <w:pPr>
        <w:autoSpaceDE w:val="0"/>
        <w:autoSpaceDN w:val="0"/>
        <w:adjustRightInd w:val="0"/>
        <w:ind w:firstLine="709"/>
        <w:jc w:val="both"/>
      </w:pPr>
      <w:r w:rsidRPr="006D37E7">
        <w:t>Порядок и правила внутреннего финансового контроля и аудита в Комитете утверждены при</w:t>
      </w:r>
      <w:r w:rsidR="00314B39" w:rsidRPr="006D37E7">
        <w:t>казами от 12.05.2015 №01-20/170, изменения внесены</w:t>
      </w:r>
      <w:r w:rsidRPr="006D37E7">
        <w:t xml:space="preserve"> </w:t>
      </w:r>
      <w:r w:rsidR="00F44750" w:rsidRPr="006D37E7">
        <w:t xml:space="preserve">приказом </w:t>
      </w:r>
      <w:r w:rsidRPr="006D37E7">
        <w:t>от 05.12.2018 №01-20/239.</w:t>
      </w:r>
    </w:p>
    <w:p w14:paraId="205F21E8" w14:textId="77777777" w:rsidR="007B007D" w:rsidRPr="006D37E7" w:rsidRDefault="007B007D" w:rsidP="007B007D">
      <w:pPr>
        <w:autoSpaceDE w:val="0"/>
        <w:autoSpaceDN w:val="0"/>
        <w:adjustRightInd w:val="0"/>
        <w:ind w:firstLine="709"/>
        <w:jc w:val="both"/>
      </w:pPr>
      <w:r w:rsidRPr="006D37E7">
        <w:t xml:space="preserve">В представленных к проверке картах внутреннего финансового контроля на 2018 год указаны сплошной и выборочный способы контроля, что соответствует </w:t>
      </w:r>
      <w:r w:rsidR="00B70587" w:rsidRPr="006D37E7">
        <w:t>п.п. 2.7. и 2.8. Порядка осуществления внутреннего финансового контроля и внутреннего финансового аудита на территории Волгоградской области, утвержденного постановлением Правительства Волгоградской области от 26.05.2014 №266-п (далее Порядок №266-п)</w:t>
      </w:r>
      <w:r w:rsidRPr="006D37E7">
        <w:t>.</w:t>
      </w:r>
    </w:p>
    <w:p w14:paraId="7CA49460" w14:textId="77777777" w:rsidR="007B007D" w:rsidRPr="006D37E7" w:rsidRDefault="007B007D" w:rsidP="007B007D">
      <w:pPr>
        <w:autoSpaceDE w:val="0"/>
        <w:autoSpaceDN w:val="0"/>
        <w:adjustRightInd w:val="0"/>
        <w:ind w:firstLine="709"/>
        <w:jc w:val="both"/>
      </w:pPr>
      <w:r w:rsidRPr="006D37E7">
        <w:t xml:space="preserve">В ходе проверки были предоставлены карты внутреннего финансового контроля отдела бухгалтерского учета, отчетности и государственных закупок, отдела бюджетного планирования и государственных программ. </w:t>
      </w:r>
    </w:p>
    <w:p w14:paraId="50DD1192" w14:textId="77777777" w:rsidR="007B007D" w:rsidRPr="006D37E7" w:rsidRDefault="007B007D" w:rsidP="007B007D">
      <w:pPr>
        <w:ind w:firstLine="709"/>
        <w:jc w:val="both"/>
      </w:pPr>
      <w:r w:rsidRPr="006D37E7">
        <w:t>В ходе контрольных действий Комитетом нарушения не выявлены.</w:t>
      </w:r>
    </w:p>
    <w:p w14:paraId="4BF8010E" w14:textId="77777777" w:rsidR="007B007D" w:rsidRPr="006D37E7" w:rsidRDefault="007B007D" w:rsidP="007B007D">
      <w:pPr>
        <w:ind w:firstLine="708"/>
        <w:jc w:val="both"/>
      </w:pPr>
      <w:r w:rsidRPr="006D37E7">
        <w:t>Согласно отчетам о результатах внутреннего финансового контроля за 2018 год контрольные мероприятия выполнены в полном объеме, нарушения и недостатки не выявлены.</w:t>
      </w:r>
    </w:p>
    <w:p w14:paraId="044D48F6" w14:textId="77777777" w:rsidR="007B007D" w:rsidRPr="006D37E7" w:rsidRDefault="007B007D" w:rsidP="007B007D">
      <w:pPr>
        <w:ind w:firstLine="708"/>
        <w:jc w:val="both"/>
      </w:pPr>
      <w:r w:rsidRPr="006D37E7">
        <w:t xml:space="preserve">Внутренний финансовый аудит в 2018 году осуществлялся сектором внутреннего финансового контроля и аудита. </w:t>
      </w:r>
    </w:p>
    <w:p w14:paraId="23F4B4CD" w14:textId="77777777" w:rsidR="00637AFA" w:rsidRPr="006D37E7" w:rsidRDefault="00637AFA" w:rsidP="007B007D">
      <w:pPr>
        <w:ind w:firstLine="708"/>
        <w:jc w:val="both"/>
      </w:pPr>
      <w:r w:rsidRPr="006D37E7">
        <w:t>В 2018 году</w:t>
      </w:r>
      <w:r w:rsidR="00F44750" w:rsidRPr="006D37E7">
        <w:t xml:space="preserve"> в рамках финансового контроля </w:t>
      </w:r>
      <w:r w:rsidRPr="006D37E7">
        <w:t xml:space="preserve"> проведены проверки </w:t>
      </w:r>
      <w:r w:rsidR="00F302D6" w:rsidRPr="006D37E7">
        <w:t>в 3 подведомственных учреждениях за 2016-2017 годы (ГКУ ВО «Издатель», Институт, ГБУК «Волгоградский музыкально-драматический казачий театр»).</w:t>
      </w:r>
    </w:p>
    <w:p w14:paraId="7DC8CF1F" w14:textId="77777777" w:rsidR="007B007D" w:rsidRPr="006D37E7" w:rsidRDefault="007B007D" w:rsidP="007B007D">
      <w:pPr>
        <w:ind w:firstLine="708"/>
        <w:jc w:val="both"/>
      </w:pPr>
      <w:r w:rsidRPr="006D37E7">
        <w:t>В соответствии с планом внутреннего финансового аудита на 2018 год, утвержденным приказом Комитета от 12.10.2018 №01-20/197</w:t>
      </w:r>
      <w:r w:rsidR="00F44750" w:rsidRPr="006D37E7">
        <w:t>,</w:t>
      </w:r>
      <w:r w:rsidRPr="006D37E7">
        <w:t xml:space="preserve"> проведена проверка осуществления внутреннего финансового контроля отделом бюджетного планирования и государственных программ, по результатам которой в целях повышения оценки организации внутреннего финансового контроля даны рекомендации.  </w:t>
      </w:r>
    </w:p>
    <w:p w14:paraId="1BBED060" w14:textId="77777777" w:rsidR="007B007D" w:rsidRPr="006D37E7" w:rsidRDefault="00DA43E5" w:rsidP="007B007D">
      <w:pPr>
        <w:ind w:firstLine="708"/>
        <w:jc w:val="both"/>
      </w:pPr>
      <w:r w:rsidRPr="006D37E7">
        <w:t xml:space="preserve">По предложению КСП </w:t>
      </w:r>
      <w:r w:rsidR="007B007D" w:rsidRPr="006D37E7">
        <w:t xml:space="preserve">по результатам </w:t>
      </w:r>
      <w:r w:rsidRPr="006D37E7">
        <w:t xml:space="preserve">ранее проведенной </w:t>
      </w:r>
      <w:r w:rsidR="007B007D" w:rsidRPr="006D37E7">
        <w:t>внешней проверк</w:t>
      </w:r>
      <w:r w:rsidR="00F1532D" w:rsidRPr="006D37E7">
        <w:t>и</w:t>
      </w:r>
      <w:r w:rsidR="007B007D" w:rsidRPr="006D37E7">
        <w:t xml:space="preserve"> бюджетной отчетности и отдельных вопросов исполнения областного бюджета </w:t>
      </w:r>
      <w:r w:rsidRPr="006D37E7">
        <w:t xml:space="preserve">Комитетом </w:t>
      </w:r>
      <w:r w:rsidR="007B007D" w:rsidRPr="006D37E7">
        <w:t xml:space="preserve">наименование сектора внутреннего финансового контроля и внутреннего финансового аудита </w:t>
      </w:r>
      <w:r w:rsidRPr="006D37E7">
        <w:t xml:space="preserve">приведено </w:t>
      </w:r>
      <w:r w:rsidR="007B007D" w:rsidRPr="006D37E7">
        <w:t>в соответствие с</w:t>
      </w:r>
      <w:r w:rsidR="007B007D" w:rsidRPr="006D37E7">
        <w:rPr>
          <w:rFonts w:eastAsia="Calibri"/>
        </w:rPr>
        <w:t xml:space="preserve"> возложенными на него полномочиями</w:t>
      </w:r>
      <w:r w:rsidR="007B007D" w:rsidRPr="006D37E7">
        <w:t>.</w:t>
      </w:r>
      <w:r w:rsidRPr="006D37E7">
        <w:t xml:space="preserve"> </w:t>
      </w:r>
      <w:r w:rsidR="007B007D" w:rsidRPr="006D37E7">
        <w:t>Постановлением Губернатора Волгоградской области от 30.11.2018 №722 утверждена структура Комитета, в состав которой входит сектор внутреннего финансового аудита.</w:t>
      </w:r>
    </w:p>
    <w:p w14:paraId="024CACF3" w14:textId="77777777" w:rsidR="009559D2" w:rsidRPr="006D37E7" w:rsidRDefault="009559D2" w:rsidP="009559D2">
      <w:pPr>
        <w:autoSpaceDE w:val="0"/>
        <w:autoSpaceDN w:val="0"/>
        <w:adjustRightInd w:val="0"/>
        <w:spacing w:before="120" w:after="120"/>
        <w:ind w:firstLine="709"/>
        <w:jc w:val="center"/>
        <w:rPr>
          <w:b/>
        </w:rPr>
      </w:pPr>
      <w:r w:rsidRPr="006D37E7">
        <w:rPr>
          <w:b/>
        </w:rPr>
        <w:lastRenderedPageBreak/>
        <w:t>Выводы:</w:t>
      </w:r>
    </w:p>
    <w:p w14:paraId="529390FC" w14:textId="77777777" w:rsidR="00AB5F0C" w:rsidRPr="006D37E7" w:rsidRDefault="00AB5F0C" w:rsidP="001C1CC4">
      <w:pPr>
        <w:ind w:firstLine="720"/>
        <w:jc w:val="both"/>
      </w:pPr>
      <w:r w:rsidRPr="006D37E7">
        <w:rPr>
          <w:b/>
        </w:rPr>
        <w:t xml:space="preserve">1. </w:t>
      </w:r>
      <w:r w:rsidR="001C1CC4" w:rsidRPr="006D37E7">
        <w:t>Проверкой состава и содержания бюджетной отчетности установлены нарушения при составлении 20-ти форм бюджетной отчетности, составленной в соответствии с Инструкцией №191н, 13-ти форм бюджетной отчетности, составленной в соответствии с Приказом №33н,</w:t>
      </w:r>
      <w:r w:rsidRPr="006D37E7">
        <w:t xml:space="preserve"> из которых в ходе проверки устранен </w:t>
      </w:r>
      <w:r w:rsidR="001C1CC4" w:rsidRPr="006D37E7">
        <w:t>31</w:t>
      </w:r>
      <w:r w:rsidRPr="006D37E7">
        <w:t xml:space="preserve"> случай</w:t>
      </w:r>
      <w:r w:rsidR="001C1CC4" w:rsidRPr="006D37E7">
        <w:t xml:space="preserve">, по </w:t>
      </w:r>
      <w:r w:rsidR="00F44750" w:rsidRPr="006D37E7">
        <w:t xml:space="preserve">1 </w:t>
      </w:r>
      <w:r w:rsidR="001C1CC4" w:rsidRPr="006D37E7">
        <w:t>случа</w:t>
      </w:r>
      <w:r w:rsidR="00F44750" w:rsidRPr="006D37E7">
        <w:t xml:space="preserve">ю составлен </w:t>
      </w:r>
      <w:r w:rsidR="001C1CC4" w:rsidRPr="006D37E7">
        <w:t>протокол об административной ответственности</w:t>
      </w:r>
      <w:r w:rsidRPr="006D37E7">
        <w:t>.</w:t>
      </w:r>
    </w:p>
    <w:p w14:paraId="022E01EC" w14:textId="77777777" w:rsidR="00AB5F0C" w:rsidRPr="006D37E7" w:rsidRDefault="00AB5F0C" w:rsidP="00AB5F0C">
      <w:pPr>
        <w:autoSpaceDE w:val="0"/>
        <w:autoSpaceDN w:val="0"/>
        <w:adjustRightInd w:val="0"/>
        <w:ind w:firstLine="709"/>
        <w:jc w:val="both"/>
        <w:rPr>
          <w:snapToGrid w:val="0"/>
        </w:rPr>
      </w:pPr>
      <w:r w:rsidRPr="006D37E7">
        <w:rPr>
          <w:b/>
        </w:rPr>
        <w:t xml:space="preserve">2. </w:t>
      </w:r>
      <w:r w:rsidRPr="006D37E7">
        <w:rPr>
          <w:snapToGrid w:val="0"/>
        </w:rPr>
        <w:t>За 201</w:t>
      </w:r>
      <w:r w:rsidR="001C1CC4" w:rsidRPr="006D37E7">
        <w:rPr>
          <w:snapToGrid w:val="0"/>
        </w:rPr>
        <w:t>8</w:t>
      </w:r>
      <w:r w:rsidRPr="006D37E7">
        <w:rPr>
          <w:snapToGrid w:val="0"/>
        </w:rPr>
        <w:t xml:space="preserve"> год расходы областного бюджета исполнены на </w:t>
      </w:r>
      <w:r w:rsidR="001C1CC4" w:rsidRPr="006D37E7">
        <w:rPr>
          <w:snapToGrid w:val="0"/>
        </w:rPr>
        <w:t>1766592,1</w:t>
      </w:r>
      <w:r w:rsidRPr="006D37E7">
        <w:rPr>
          <w:snapToGrid w:val="0"/>
        </w:rPr>
        <w:t xml:space="preserve"> тыс. руб., или на </w:t>
      </w:r>
      <w:r w:rsidR="001C1CC4" w:rsidRPr="006D37E7">
        <w:rPr>
          <w:snapToGrid w:val="0"/>
        </w:rPr>
        <w:t>99,1</w:t>
      </w:r>
      <w:r w:rsidRPr="006D37E7">
        <w:rPr>
          <w:snapToGrid w:val="0"/>
        </w:rPr>
        <w:t>% от утвержденных бюджетных назначений по бюджетной росписи.</w:t>
      </w:r>
    </w:p>
    <w:p w14:paraId="3A0C7434" w14:textId="77777777" w:rsidR="001C1CC4" w:rsidRPr="006D37E7" w:rsidRDefault="001C1CC4" w:rsidP="001C1CC4">
      <w:pPr>
        <w:ind w:firstLine="708"/>
        <w:jc w:val="both"/>
      </w:pPr>
      <w:r w:rsidRPr="006D37E7">
        <w:rPr>
          <w:b/>
        </w:rPr>
        <w:t>3.</w:t>
      </w:r>
      <w:r w:rsidRPr="006D37E7">
        <w:t xml:space="preserve"> Расходы на реализацию государственных программ составили 1722463,8 тыс. руб., или 97,5% от всех расходов, непрограммные расходы - 44128,3 тыс. руб., или 2,5% от всех расходов. </w:t>
      </w:r>
    </w:p>
    <w:p w14:paraId="0AD2D4F3" w14:textId="77777777" w:rsidR="001C1CC4" w:rsidRPr="006D37E7" w:rsidRDefault="001C1CC4" w:rsidP="001C1CC4">
      <w:pPr>
        <w:ind w:firstLine="708"/>
        <w:jc w:val="both"/>
      </w:pPr>
      <w:r w:rsidRPr="006D37E7">
        <w:t xml:space="preserve">При реализации программных мероприятий допущены </w:t>
      </w:r>
      <w:r w:rsidR="00FC33EA" w:rsidRPr="006D37E7">
        <w:t xml:space="preserve">следующие </w:t>
      </w:r>
      <w:r w:rsidRPr="006D37E7">
        <w:t>нарушения:</w:t>
      </w:r>
    </w:p>
    <w:p w14:paraId="55402187" w14:textId="77777777" w:rsidR="00FC33EA" w:rsidRPr="006D37E7" w:rsidRDefault="001C1CC4" w:rsidP="00FC33EA">
      <w:pPr>
        <w:ind w:firstLine="708"/>
        <w:jc w:val="both"/>
      </w:pPr>
      <w:r w:rsidRPr="006D37E7">
        <w:t>-нецелевое использование средств Институтом в сумме 99,0 тыс.руб. в рамках реализации мероприятия ПП Формирование доступной среды, выразившееся в направление средств на выполнение монтажных, строительных, а также работ по авторскому надзору на объекте, не</w:t>
      </w:r>
      <w:r w:rsidR="00314B39" w:rsidRPr="006D37E7">
        <w:t xml:space="preserve"> </w:t>
      </w:r>
      <w:r w:rsidRPr="006D37E7">
        <w:t>предусмотренном условиями соглашения на предоставлени</w:t>
      </w:r>
      <w:r w:rsidR="00F44750" w:rsidRPr="006D37E7">
        <w:t>е</w:t>
      </w:r>
      <w:r w:rsidRPr="006D37E7">
        <w:t xml:space="preserve"> субсидии на иные цели;</w:t>
      </w:r>
    </w:p>
    <w:p w14:paraId="18531B2D" w14:textId="77777777" w:rsidR="001C1CC4" w:rsidRPr="006D37E7" w:rsidRDefault="001C1CC4" w:rsidP="00FC33EA">
      <w:pPr>
        <w:ind w:firstLine="708"/>
        <w:jc w:val="both"/>
        <w:rPr>
          <w:rFonts w:eastAsiaTheme="minorHAnsi"/>
          <w:lang w:eastAsia="en-US"/>
        </w:rPr>
      </w:pPr>
      <w:r w:rsidRPr="006D37E7">
        <w:t>-</w:t>
      </w:r>
      <w:r w:rsidR="00FC33EA" w:rsidRPr="006D37E7">
        <w:t xml:space="preserve">объемы финансового обеспечения ГП Развитие культуры и туризма Комитетом как государственным заказчиком не приведены в соответствие с законом об областном бюджете.  Бюджетной росписью Комитета финансирование государственной программы на 30933,3 тыс. руб. больше предусмотренного Законом об областном бюджете на 2018 год  и на 80570,3 тыс. руб., или </w:t>
      </w:r>
      <w:r w:rsidR="00F44750" w:rsidRPr="006D37E7">
        <w:t xml:space="preserve">на </w:t>
      </w:r>
      <w:r w:rsidR="00FC33EA" w:rsidRPr="006D37E7">
        <w:t>4,9%  больше, чем утверждено ГП Развитие культуры и туризма. Расходы в сумме 80570,3 тыс.</w:t>
      </w:r>
      <w:r w:rsidR="00E63961" w:rsidRPr="006D37E7">
        <w:t xml:space="preserve"> </w:t>
      </w:r>
      <w:r w:rsidR="00FC33EA" w:rsidRPr="006D37E7">
        <w:t>руб. произведены без внесения изменений в финансирование мероприятий программы и целевые показатели</w:t>
      </w:r>
      <w:r w:rsidR="001A63AF" w:rsidRPr="006D37E7">
        <w:t>, что противоречит п.п.2.5, 4.1 Порядка №423-п</w:t>
      </w:r>
      <w:r w:rsidR="00314B39" w:rsidRPr="006D37E7">
        <w:t>;</w:t>
      </w:r>
    </w:p>
    <w:p w14:paraId="47464CBD" w14:textId="77777777" w:rsidR="001A63AF" w:rsidRPr="006D37E7" w:rsidRDefault="00FC33EA" w:rsidP="001A63AF">
      <w:pPr>
        <w:autoSpaceDE w:val="0"/>
        <w:autoSpaceDN w:val="0"/>
        <w:adjustRightInd w:val="0"/>
        <w:ind w:firstLine="709"/>
        <w:jc w:val="both"/>
        <w:rPr>
          <w:b/>
        </w:rPr>
      </w:pPr>
      <w:r w:rsidRPr="006D37E7">
        <w:rPr>
          <w:rFonts w:eastAsiaTheme="minorHAnsi"/>
          <w:lang w:eastAsia="en-US"/>
        </w:rPr>
        <w:t>-</w:t>
      </w:r>
      <w:r w:rsidR="000D079E" w:rsidRPr="006D37E7">
        <w:rPr>
          <w:rFonts w:eastAsiaTheme="minorHAnsi"/>
          <w:lang w:eastAsia="en-US"/>
        </w:rPr>
        <w:t xml:space="preserve">в нарушение 6.12.3 </w:t>
      </w:r>
      <w:r w:rsidR="001A63AF" w:rsidRPr="006D37E7">
        <w:rPr>
          <w:rFonts w:eastAsiaTheme="minorHAnsi"/>
          <w:lang w:eastAsia="en-US"/>
        </w:rPr>
        <w:t xml:space="preserve">Порядка №423-п </w:t>
      </w:r>
      <w:r w:rsidR="000D079E" w:rsidRPr="006D37E7">
        <w:rPr>
          <w:rFonts w:eastAsiaTheme="minorHAnsi"/>
          <w:lang w:eastAsia="en-US"/>
        </w:rPr>
        <w:t xml:space="preserve">реализация ГП Развитие культуры </w:t>
      </w:r>
      <w:r w:rsidR="001A63AF" w:rsidRPr="006D37E7">
        <w:t xml:space="preserve">при фактическом исполнении на уровне 88% </w:t>
      </w:r>
      <w:r w:rsidR="000D079E" w:rsidRPr="006D37E7">
        <w:rPr>
          <w:rFonts w:eastAsiaTheme="minorHAnsi"/>
          <w:lang w:eastAsia="en-US"/>
        </w:rPr>
        <w:t xml:space="preserve">признана </w:t>
      </w:r>
      <w:r w:rsidR="001A63AF" w:rsidRPr="006D37E7">
        <w:rPr>
          <w:rFonts w:eastAsiaTheme="minorHAnsi"/>
          <w:lang w:eastAsia="en-US"/>
        </w:rPr>
        <w:t xml:space="preserve">Комитетом </w:t>
      </w:r>
      <w:r w:rsidR="000D079E" w:rsidRPr="006D37E7">
        <w:rPr>
          <w:rFonts w:eastAsiaTheme="minorHAnsi"/>
          <w:lang w:eastAsia="en-US"/>
        </w:rPr>
        <w:t>высокой необоснованно</w:t>
      </w:r>
      <w:r w:rsidR="001A63AF" w:rsidRPr="006D37E7">
        <w:rPr>
          <w:rFonts w:eastAsiaTheme="minorHAnsi"/>
          <w:lang w:eastAsia="en-US"/>
        </w:rPr>
        <w:t>. В ходе проверки Комитетом в комитет экономики и комитет финансов Волгоградской области направлен уточненный годовой доклад о ее реализации с указанием оценки эффективности ее реализации как средней.</w:t>
      </w:r>
    </w:p>
    <w:p w14:paraId="6EFABBC2" w14:textId="77777777" w:rsidR="00D052D1" w:rsidRPr="006D37E7" w:rsidRDefault="00E63961" w:rsidP="00D052D1">
      <w:pPr>
        <w:ind w:firstLine="708"/>
        <w:jc w:val="both"/>
      </w:pPr>
      <w:r w:rsidRPr="006D37E7">
        <w:rPr>
          <w:b/>
        </w:rPr>
        <w:t>4</w:t>
      </w:r>
      <w:r w:rsidR="00D052D1" w:rsidRPr="006D37E7">
        <w:rPr>
          <w:b/>
        </w:rPr>
        <w:t>.</w:t>
      </w:r>
      <w:r w:rsidR="001C1CC4" w:rsidRPr="006D37E7">
        <w:rPr>
          <w:b/>
        </w:rPr>
        <w:t xml:space="preserve"> </w:t>
      </w:r>
      <w:r w:rsidR="001C1CC4" w:rsidRPr="006D37E7">
        <w:t>Установлены следующие н</w:t>
      </w:r>
      <w:r w:rsidR="00D052D1" w:rsidRPr="006D37E7">
        <w:t>арушения порядка формирования</w:t>
      </w:r>
      <w:r w:rsidR="001A63AF" w:rsidRPr="006D37E7">
        <w:t xml:space="preserve"> и</w:t>
      </w:r>
      <w:r w:rsidR="00D052D1" w:rsidRPr="006D37E7">
        <w:t xml:space="preserve"> доведения государственного задания:</w:t>
      </w:r>
    </w:p>
    <w:p w14:paraId="2401FE29" w14:textId="77777777" w:rsidR="00307465" w:rsidRPr="006D37E7" w:rsidRDefault="001F6026" w:rsidP="00223F9D">
      <w:pPr>
        <w:ind w:firstLine="851"/>
        <w:jc w:val="both"/>
      </w:pPr>
      <w:r w:rsidRPr="006D37E7">
        <w:t>-в</w:t>
      </w:r>
      <w:r w:rsidR="00223F9D" w:rsidRPr="006D37E7">
        <w:t xml:space="preserve"> нарушение п.9 Постановления №818-п расчет объема финансового обеспечения выполнения государственн</w:t>
      </w:r>
      <w:r w:rsidRPr="006D37E7">
        <w:t>ых</w:t>
      </w:r>
      <w:r w:rsidR="00223F9D" w:rsidRPr="006D37E7">
        <w:t xml:space="preserve"> задани</w:t>
      </w:r>
      <w:r w:rsidRPr="006D37E7">
        <w:t>й</w:t>
      </w:r>
      <w:r w:rsidR="00223F9D" w:rsidRPr="006D37E7">
        <w:t xml:space="preserve"> произведен Комитетом без учета неиспользованных</w:t>
      </w:r>
      <w:r w:rsidR="00223F9D" w:rsidRPr="006D37E7">
        <w:rPr>
          <w:rFonts w:eastAsiaTheme="minorHAnsi"/>
          <w:lang w:eastAsia="en-US"/>
        </w:rPr>
        <w:t xml:space="preserve"> остатк</w:t>
      </w:r>
      <w:r w:rsidRPr="006D37E7">
        <w:rPr>
          <w:rFonts w:eastAsiaTheme="minorHAnsi"/>
          <w:lang w:eastAsia="en-US"/>
        </w:rPr>
        <w:t>ов на 01.01.2018 года в сумме</w:t>
      </w:r>
      <w:r w:rsidR="00223F9D" w:rsidRPr="006D37E7">
        <w:rPr>
          <w:rFonts w:eastAsiaTheme="minorHAnsi"/>
          <w:lang w:eastAsia="en-US"/>
        </w:rPr>
        <w:t xml:space="preserve"> </w:t>
      </w:r>
      <w:r w:rsidRPr="006D37E7">
        <w:t>2744,4 тыс. руб</w:t>
      </w:r>
      <w:r w:rsidR="00307465" w:rsidRPr="006D37E7">
        <w:t>.;</w:t>
      </w:r>
    </w:p>
    <w:p w14:paraId="7B8027F5" w14:textId="77777777" w:rsidR="001F6026" w:rsidRPr="006D37E7" w:rsidRDefault="001F6026" w:rsidP="00223F9D">
      <w:pPr>
        <w:ind w:firstLine="851"/>
        <w:jc w:val="both"/>
        <w:rPr>
          <w:rFonts w:eastAsiaTheme="minorHAnsi"/>
          <w:lang w:eastAsia="en-US"/>
        </w:rPr>
      </w:pPr>
      <w:r w:rsidRPr="006D37E7">
        <w:rPr>
          <w:rFonts w:eastAsiaTheme="minorHAnsi"/>
          <w:lang w:eastAsia="en-US"/>
        </w:rPr>
        <w:t>-</w:t>
      </w:r>
      <w:r w:rsidR="00314B39" w:rsidRPr="006D37E7">
        <w:rPr>
          <w:rFonts w:eastAsiaTheme="minorHAnsi"/>
          <w:lang w:eastAsia="en-US"/>
        </w:rPr>
        <w:t xml:space="preserve">в </w:t>
      </w:r>
      <w:r w:rsidRPr="006D37E7">
        <w:rPr>
          <w:rFonts w:eastAsiaTheme="minorHAnsi"/>
          <w:lang w:eastAsia="en-US"/>
        </w:rPr>
        <w:t>нарушение п.3 Порядка №633-п Комитетом в</w:t>
      </w:r>
      <w:r w:rsidR="00223F9D" w:rsidRPr="006D37E7">
        <w:rPr>
          <w:rFonts w:eastAsiaTheme="minorHAnsi"/>
          <w:lang w:eastAsia="en-US"/>
        </w:rPr>
        <w:t xml:space="preserve"> региональный перечень </w:t>
      </w:r>
      <w:r w:rsidR="001A63AF" w:rsidRPr="006D37E7">
        <w:rPr>
          <w:rFonts w:eastAsiaTheme="minorHAnsi"/>
          <w:lang w:eastAsia="en-US"/>
        </w:rPr>
        <w:t xml:space="preserve">государственных услуг (работ) </w:t>
      </w:r>
      <w:r w:rsidR="00314B39" w:rsidRPr="006D37E7">
        <w:rPr>
          <w:rFonts w:eastAsiaTheme="minorHAnsi"/>
          <w:lang w:eastAsia="en-US"/>
        </w:rPr>
        <w:t xml:space="preserve">по государственной </w:t>
      </w:r>
      <w:r w:rsidR="00307465" w:rsidRPr="006D37E7">
        <w:rPr>
          <w:rFonts w:eastAsiaTheme="minorHAnsi"/>
          <w:lang w:eastAsia="en-US"/>
        </w:rPr>
        <w:t>работе</w:t>
      </w:r>
      <w:r w:rsidR="00314B39" w:rsidRPr="006D37E7">
        <w:rPr>
          <w:rFonts w:eastAsiaTheme="minorHAnsi"/>
          <w:lang w:eastAsia="en-US"/>
        </w:rPr>
        <w:t xml:space="preserve"> </w:t>
      </w:r>
      <w:r w:rsidR="00314B39" w:rsidRPr="006D37E7">
        <w:rPr>
          <w:rFonts w:eastAsiaTheme="minorHAnsi"/>
          <w:u w:val="single"/>
          <w:lang w:eastAsia="en-US"/>
        </w:rPr>
        <w:t>«Создание спектаклей»</w:t>
      </w:r>
      <w:r w:rsidR="00314B39" w:rsidRPr="006D37E7">
        <w:rPr>
          <w:rFonts w:eastAsiaTheme="minorHAnsi"/>
          <w:lang w:eastAsia="en-US"/>
        </w:rPr>
        <w:t xml:space="preserve"> </w:t>
      </w:r>
      <w:r w:rsidR="00223F9D" w:rsidRPr="006D37E7">
        <w:rPr>
          <w:rFonts w:eastAsiaTheme="minorHAnsi"/>
          <w:lang w:eastAsia="en-US"/>
        </w:rPr>
        <w:t xml:space="preserve">внесен </w:t>
      </w:r>
      <w:r w:rsidR="00307465" w:rsidRPr="006D37E7">
        <w:rPr>
          <w:rFonts w:eastAsiaTheme="minorHAnsi"/>
          <w:lang w:eastAsia="en-US"/>
        </w:rPr>
        <w:t xml:space="preserve">вид экономической деятельности </w:t>
      </w:r>
      <w:r w:rsidR="00223F9D" w:rsidRPr="006D37E7">
        <w:rPr>
          <w:rFonts w:eastAsiaTheme="minorHAnsi"/>
          <w:lang w:eastAsia="en-US"/>
        </w:rPr>
        <w:t>Общеросси</w:t>
      </w:r>
      <w:r w:rsidR="00307465" w:rsidRPr="006D37E7">
        <w:rPr>
          <w:rFonts w:eastAsiaTheme="minorHAnsi"/>
          <w:lang w:eastAsia="en-US"/>
        </w:rPr>
        <w:t>йского классификатора продукции, который не соответствует виду заказываемой Комитетом в государственных заданиях учреждений государственной работе</w:t>
      </w:r>
      <w:r w:rsidRPr="006D37E7">
        <w:rPr>
          <w:rFonts w:eastAsiaTheme="minorHAnsi"/>
          <w:lang w:eastAsia="en-US"/>
        </w:rPr>
        <w:t>;</w:t>
      </w:r>
    </w:p>
    <w:p w14:paraId="7E89E3A0" w14:textId="77777777" w:rsidR="001F6026" w:rsidRPr="006D37E7" w:rsidRDefault="001F6026" w:rsidP="001F6026">
      <w:pPr>
        <w:ind w:firstLine="851"/>
        <w:jc w:val="both"/>
        <w:rPr>
          <w:rFonts w:eastAsiaTheme="minorHAnsi"/>
        </w:rPr>
      </w:pPr>
      <w:r w:rsidRPr="006D37E7">
        <w:rPr>
          <w:rFonts w:eastAsiaTheme="minorHAnsi"/>
          <w:lang w:eastAsia="en-US"/>
        </w:rPr>
        <w:t>-основной объем субсидии на выполнение государственного задания (</w:t>
      </w:r>
      <w:r w:rsidRPr="006D37E7">
        <w:rPr>
          <w:rFonts w:eastAsiaTheme="minorHAnsi"/>
        </w:rPr>
        <w:t xml:space="preserve">42472,7 тыс. руб., или 84% от общего объема субсидии) </w:t>
      </w:r>
      <w:r w:rsidRPr="006D37E7">
        <w:rPr>
          <w:rFonts w:eastAsiaTheme="minorHAnsi"/>
          <w:lang w:eastAsia="en-US"/>
        </w:rPr>
        <w:t xml:space="preserve">Интерактивному музею рассчитан на создание временных экспозиций, тогда как основным видом деятельности учреждения является организация и показ  постоянных мультимедийных экспозиций. </w:t>
      </w:r>
      <w:r w:rsidR="00504117" w:rsidRPr="006D37E7">
        <w:rPr>
          <w:rFonts w:eastAsiaTheme="minorHAnsi"/>
          <w:lang w:eastAsia="en-US"/>
        </w:rPr>
        <w:t>Указанный подход</w:t>
      </w:r>
      <w:r w:rsidRPr="006D37E7">
        <w:rPr>
          <w:rFonts w:eastAsiaTheme="minorHAnsi"/>
          <w:lang w:eastAsia="en-US"/>
        </w:rPr>
        <w:t xml:space="preserve"> свидетельствует о </w:t>
      </w:r>
      <w:r w:rsidRPr="006D37E7">
        <w:t xml:space="preserve">формальном </w:t>
      </w:r>
      <w:r w:rsidR="00314B39" w:rsidRPr="006D37E7">
        <w:t xml:space="preserve">подходе к формированию Комитетом </w:t>
      </w:r>
      <w:r w:rsidR="00504117" w:rsidRPr="006D37E7">
        <w:t xml:space="preserve">нормативных затрат </w:t>
      </w:r>
      <w:r w:rsidRPr="006D37E7">
        <w:t xml:space="preserve">и противоречит </w:t>
      </w:r>
      <w:r w:rsidR="00314B39" w:rsidRPr="006D37E7">
        <w:rPr>
          <w:rFonts w:eastAsiaTheme="minorHAnsi"/>
        </w:rPr>
        <w:t xml:space="preserve">требованиям п.2 Порядка №818-п в части формирования государственного задания </w:t>
      </w:r>
      <w:r w:rsidR="00314B39" w:rsidRPr="006D37E7">
        <w:rPr>
          <w:rFonts w:eastAsiaTheme="minorHAnsi"/>
          <w:lang w:eastAsia="en-US"/>
        </w:rPr>
        <w:t>в соответствии с основными видами деятельности</w:t>
      </w:r>
      <w:r w:rsidR="001D01B6" w:rsidRPr="006D37E7">
        <w:rPr>
          <w:rFonts w:eastAsiaTheme="minorHAnsi"/>
          <w:lang w:eastAsia="en-US"/>
        </w:rPr>
        <w:t xml:space="preserve"> </w:t>
      </w:r>
      <w:r w:rsidR="00314B39" w:rsidRPr="006D37E7">
        <w:rPr>
          <w:rFonts w:eastAsiaTheme="minorHAnsi"/>
          <w:lang w:eastAsia="en-US"/>
        </w:rPr>
        <w:t xml:space="preserve"> учре</w:t>
      </w:r>
      <w:r w:rsidR="001D01B6" w:rsidRPr="006D37E7">
        <w:rPr>
          <w:rFonts w:eastAsiaTheme="minorHAnsi"/>
          <w:lang w:eastAsia="en-US"/>
        </w:rPr>
        <w:t>ждения</w:t>
      </w:r>
      <w:r w:rsidRPr="006D37E7">
        <w:rPr>
          <w:rFonts w:eastAsiaTheme="minorHAnsi"/>
        </w:rPr>
        <w:t>;</w:t>
      </w:r>
    </w:p>
    <w:p w14:paraId="0AEE7A9F" w14:textId="77777777" w:rsidR="00504117" w:rsidRPr="006D37E7" w:rsidRDefault="001F6026" w:rsidP="00504117">
      <w:pPr>
        <w:ind w:firstLine="851"/>
        <w:jc w:val="both"/>
      </w:pPr>
      <w:r w:rsidRPr="006D37E7">
        <w:rPr>
          <w:rFonts w:eastAsiaTheme="minorHAnsi"/>
        </w:rPr>
        <w:t xml:space="preserve"> </w:t>
      </w:r>
      <w:r w:rsidR="00504117" w:rsidRPr="006D37E7">
        <w:rPr>
          <w:rFonts w:eastAsia="Calibri"/>
        </w:rPr>
        <w:t>-</w:t>
      </w:r>
      <w:r w:rsidR="00504117" w:rsidRPr="006D37E7">
        <w:t xml:space="preserve">Детской филармонией не выполнено государственное задание по предоставлению государственных услуг по показу кукольного спектакля (10 ед.) и по показу спектакля (малая форма) (1 ед.), объем субсидии на невыполненное государственное задание составляет </w:t>
      </w:r>
      <w:r w:rsidR="007A6D66" w:rsidRPr="006D37E7">
        <w:t xml:space="preserve">373,8 </w:t>
      </w:r>
      <w:proofErr w:type="gramStart"/>
      <w:r w:rsidR="007A6D66" w:rsidRPr="006D37E7">
        <w:t>тыс.рублей</w:t>
      </w:r>
      <w:proofErr w:type="gramEnd"/>
      <w:r w:rsidR="00504117" w:rsidRPr="006D37E7">
        <w:t>. Учреждением выполнялись спектакли на условиях, не предусмотренных государственным заданием, что является нарушением п.4.3.5.2. Соглашения</w:t>
      </w:r>
      <w:r w:rsidR="00EA7F70" w:rsidRPr="006D37E7">
        <w:t>. Составлен протокол об административном правонарушении</w:t>
      </w:r>
      <w:r w:rsidR="00504117" w:rsidRPr="006D37E7">
        <w:rPr>
          <w:rFonts w:eastAsiaTheme="minorHAnsi"/>
          <w:lang w:eastAsia="en-US"/>
        </w:rPr>
        <w:t>;</w:t>
      </w:r>
    </w:p>
    <w:p w14:paraId="79E2E539" w14:textId="77777777" w:rsidR="00AD17CC" w:rsidRPr="006D37E7" w:rsidRDefault="001F6026" w:rsidP="001F6026">
      <w:pPr>
        <w:ind w:firstLine="851"/>
        <w:jc w:val="both"/>
      </w:pPr>
      <w:r w:rsidRPr="006D37E7">
        <w:rPr>
          <w:rFonts w:eastAsiaTheme="minorHAnsi"/>
          <w:lang w:eastAsia="en-US"/>
        </w:rPr>
        <w:t>-</w:t>
      </w:r>
      <w:r w:rsidRPr="006D37E7">
        <w:t xml:space="preserve">в нарушение </w:t>
      </w:r>
      <w:r w:rsidR="00EA7F70" w:rsidRPr="006D37E7">
        <w:t xml:space="preserve">п. 4.3.5.3 соглашения </w:t>
      </w:r>
      <w:r w:rsidRPr="006D37E7">
        <w:t xml:space="preserve">Детской филармонией </w:t>
      </w:r>
      <w:r w:rsidR="00EA7F70" w:rsidRPr="006D37E7">
        <w:t>не соблюдены</w:t>
      </w:r>
      <w:r w:rsidR="00AD17CC" w:rsidRPr="006D37E7">
        <w:t xml:space="preserve"> условия, характеризующие выполнения государственной услуги (на платной основе, на выезде, на стационаре, на гастролях), а также </w:t>
      </w:r>
      <w:r w:rsidRPr="006D37E7">
        <w:t xml:space="preserve">представлена статистическая отчетность с недостоверными </w:t>
      </w:r>
      <w:r w:rsidRPr="006D37E7">
        <w:lastRenderedPageBreak/>
        <w:t xml:space="preserve">данными, что является нарушением </w:t>
      </w:r>
      <w:r w:rsidR="00EA7F70" w:rsidRPr="006D37E7">
        <w:t xml:space="preserve"> условий предоставления субсидии. Составлен протокол об административном правонарушении;</w:t>
      </w:r>
    </w:p>
    <w:p w14:paraId="1080B625" w14:textId="77777777" w:rsidR="00223F9D" w:rsidRPr="006D37E7" w:rsidRDefault="001A63AF" w:rsidP="00504117">
      <w:pPr>
        <w:ind w:firstLine="851"/>
        <w:jc w:val="both"/>
        <w:rPr>
          <w:rFonts w:eastAsia="Calibri"/>
        </w:rPr>
      </w:pPr>
      <w:r w:rsidRPr="006D37E7">
        <w:rPr>
          <w:rFonts w:eastAsiaTheme="minorHAnsi"/>
          <w:lang w:eastAsia="en-US"/>
        </w:rPr>
        <w:t>-</w:t>
      </w:r>
      <w:r w:rsidR="00504117" w:rsidRPr="006D37E7">
        <w:rPr>
          <w:rFonts w:eastAsiaTheme="minorHAnsi"/>
          <w:lang w:eastAsia="en-US"/>
        </w:rPr>
        <w:t>в</w:t>
      </w:r>
      <w:r w:rsidR="00223F9D" w:rsidRPr="006D37E7">
        <w:t xml:space="preserve"> нарушение </w:t>
      </w:r>
      <w:r w:rsidR="00504117" w:rsidRPr="006D37E7">
        <w:t>П</w:t>
      </w:r>
      <w:r w:rsidR="00223F9D" w:rsidRPr="006D37E7">
        <w:t>остановления № 473</w:t>
      </w:r>
      <w:r w:rsidR="00314B39" w:rsidRPr="006D37E7">
        <w:t xml:space="preserve"> приказом</w:t>
      </w:r>
      <w:r w:rsidR="00223F9D" w:rsidRPr="006D37E7">
        <w:t xml:space="preserve"> директор</w:t>
      </w:r>
      <w:r w:rsidR="00314B39" w:rsidRPr="006D37E7">
        <w:t>а</w:t>
      </w:r>
      <w:r w:rsidR="00223F9D" w:rsidRPr="006D37E7">
        <w:t xml:space="preserve"> Интерактивного музея</w:t>
      </w:r>
      <w:r w:rsidR="00504117" w:rsidRPr="006D37E7">
        <w:t xml:space="preserve"> расширены </w:t>
      </w:r>
      <w:r w:rsidR="00223F9D" w:rsidRPr="006D37E7">
        <w:t>льготные категории граждан при посещении музея</w:t>
      </w:r>
      <w:r w:rsidR="00504117" w:rsidRPr="006D37E7">
        <w:t xml:space="preserve">, что привело к недополучению дохода учреждением в сумме  </w:t>
      </w:r>
      <w:r w:rsidR="00223F9D" w:rsidRPr="006D37E7">
        <w:rPr>
          <w:rFonts w:eastAsia="Calibri"/>
        </w:rPr>
        <w:t>629,75 тыс. руб</w:t>
      </w:r>
      <w:r w:rsidR="00504117" w:rsidRPr="006D37E7">
        <w:rPr>
          <w:rFonts w:eastAsia="Calibri"/>
        </w:rPr>
        <w:t>.;</w:t>
      </w:r>
    </w:p>
    <w:p w14:paraId="34D8556D" w14:textId="77777777" w:rsidR="00223F9D" w:rsidRPr="006D37E7" w:rsidRDefault="007A6D66" w:rsidP="007A6D66">
      <w:pPr>
        <w:ind w:firstLine="851"/>
        <w:jc w:val="both"/>
      </w:pPr>
      <w:r w:rsidRPr="006D37E7">
        <w:t>-</w:t>
      </w:r>
      <w:r w:rsidR="00314B39" w:rsidRPr="006D37E7">
        <w:t xml:space="preserve">Детской филармонией </w:t>
      </w:r>
      <w:r w:rsidRPr="006D37E7">
        <w:t>в</w:t>
      </w:r>
      <w:r w:rsidR="00223F9D" w:rsidRPr="006D37E7">
        <w:t xml:space="preserve"> рамках выполнения государственной работы создан спектакль, премьера </w:t>
      </w:r>
      <w:r w:rsidR="00314B39" w:rsidRPr="006D37E7">
        <w:t>которого</w:t>
      </w:r>
      <w:r w:rsidR="00223F9D" w:rsidRPr="006D37E7">
        <w:t xml:space="preserve"> не состоялась </w:t>
      </w:r>
      <w:r w:rsidR="00F44750" w:rsidRPr="006D37E7">
        <w:t xml:space="preserve">в связи с отсутствием спроса (не было продано ни одного билета), </w:t>
      </w:r>
      <w:r w:rsidR="00223F9D" w:rsidRPr="006D37E7">
        <w:t>что свидетельствует об использовании средств областного бюджета</w:t>
      </w:r>
      <w:r w:rsidRPr="006D37E7">
        <w:t xml:space="preserve"> в сумме </w:t>
      </w:r>
      <w:r w:rsidR="00223F9D" w:rsidRPr="006D37E7">
        <w:t xml:space="preserve"> </w:t>
      </w:r>
      <w:r w:rsidRPr="006D37E7">
        <w:t xml:space="preserve">1511,9 тыс. руб. </w:t>
      </w:r>
      <w:r w:rsidR="00223F9D" w:rsidRPr="006D37E7">
        <w:t>без соблюдения принципа эффективности бюджетных средств (ст.34 Б</w:t>
      </w:r>
      <w:r w:rsidRPr="006D37E7">
        <w:t>К РФ);</w:t>
      </w:r>
    </w:p>
    <w:p w14:paraId="6A5201F9" w14:textId="77777777" w:rsidR="00223F9D" w:rsidRPr="006D37E7" w:rsidRDefault="007A6D66" w:rsidP="007A6D66">
      <w:pPr>
        <w:ind w:firstLine="851"/>
        <w:jc w:val="both"/>
      </w:pPr>
      <w:r w:rsidRPr="006D37E7">
        <w:rPr>
          <w:rFonts w:eastAsiaTheme="minorHAnsi"/>
          <w:lang w:eastAsia="en-US"/>
        </w:rPr>
        <w:t>-</w:t>
      </w:r>
      <w:r w:rsidRPr="006D37E7">
        <w:t xml:space="preserve">функции контроля по выполнению государственного задания с 01.11.2018 за структурными подразделениями Комитета </w:t>
      </w:r>
      <w:r w:rsidR="001A63AF" w:rsidRPr="006D37E7">
        <w:t xml:space="preserve">при введении новой штатной структуры </w:t>
      </w:r>
      <w:r w:rsidRPr="006D37E7">
        <w:t xml:space="preserve">не закреплены, локальный акт не принят. </w:t>
      </w:r>
    </w:p>
    <w:p w14:paraId="6722A351" w14:textId="77777777" w:rsidR="00F44750" w:rsidRPr="006D37E7" w:rsidRDefault="00577F0B" w:rsidP="00F44750">
      <w:pPr>
        <w:pStyle w:val="ab"/>
        <w:spacing w:after="0"/>
        <w:ind w:left="0" w:firstLine="708"/>
        <w:jc w:val="both"/>
        <w:rPr>
          <w:rFonts w:eastAsiaTheme="minorHAnsi"/>
          <w:lang w:eastAsia="en-US"/>
        </w:rPr>
      </w:pPr>
      <w:r w:rsidRPr="006D37E7">
        <w:rPr>
          <w:b/>
        </w:rPr>
        <w:t>5.</w:t>
      </w:r>
      <w:r w:rsidRPr="006D37E7">
        <w:t xml:space="preserve"> </w:t>
      </w:r>
      <w:r w:rsidRPr="006D37E7">
        <w:rPr>
          <w:rFonts w:eastAsiaTheme="minorHAnsi"/>
          <w:lang w:eastAsia="en-US"/>
        </w:rPr>
        <w:t xml:space="preserve">ГКУ ГАВО </w:t>
      </w:r>
      <w:r w:rsidR="00F44750" w:rsidRPr="006D37E7">
        <w:rPr>
          <w:rFonts w:eastAsiaTheme="minorHAnsi"/>
          <w:lang w:eastAsia="en-US"/>
        </w:rPr>
        <w:t>не обеспечены установленные ст.162 Бюджетного кодекса РФ бюджетные полномочия получателя бюджетных средств в части обеспечения результативности использования предусмотренных ему бюджетных ассигнований в сумме 559,0 тыс. руб., что привело к неэффективному использованию средств областного бюджета на изготовление печатной продукции.</w:t>
      </w:r>
    </w:p>
    <w:p w14:paraId="36E04FEA" w14:textId="77777777" w:rsidR="00786A6C" w:rsidRPr="006D37E7" w:rsidRDefault="00577F0B" w:rsidP="00786A6C">
      <w:pPr>
        <w:pStyle w:val="ab"/>
        <w:spacing w:after="0"/>
        <w:ind w:left="0" w:firstLine="708"/>
        <w:jc w:val="both"/>
        <w:rPr>
          <w:rFonts w:eastAsiaTheme="minorHAnsi"/>
          <w:lang w:eastAsia="en-US"/>
        </w:rPr>
      </w:pPr>
      <w:r w:rsidRPr="006D37E7">
        <w:rPr>
          <w:rFonts w:eastAsiaTheme="minorHAnsi"/>
          <w:b/>
          <w:lang w:eastAsia="en-US"/>
        </w:rPr>
        <w:t>6.</w:t>
      </w:r>
      <w:r w:rsidRPr="006D37E7">
        <w:rPr>
          <w:rFonts w:eastAsiaTheme="minorHAnsi"/>
          <w:lang w:eastAsia="en-US"/>
        </w:rPr>
        <w:t xml:space="preserve"> </w:t>
      </w:r>
      <w:r w:rsidR="00314B39" w:rsidRPr="006D37E7">
        <w:rPr>
          <w:rFonts w:eastAsiaTheme="minorHAnsi"/>
          <w:lang w:eastAsia="en-US"/>
        </w:rPr>
        <w:t>Проведение закупок Агентством развития туризма без конкурентных процедур привело к</w:t>
      </w:r>
      <w:r w:rsidR="00786A6C" w:rsidRPr="006D37E7">
        <w:rPr>
          <w:rFonts w:eastAsiaTheme="minorHAnsi"/>
          <w:lang w:eastAsia="en-US"/>
        </w:rPr>
        <w:t xml:space="preserve"> неэффективно</w:t>
      </w:r>
      <w:r w:rsidR="00314B39" w:rsidRPr="006D37E7">
        <w:rPr>
          <w:rFonts w:eastAsiaTheme="minorHAnsi"/>
          <w:lang w:eastAsia="en-US"/>
        </w:rPr>
        <w:t>му</w:t>
      </w:r>
      <w:r w:rsidR="00786A6C" w:rsidRPr="006D37E7">
        <w:rPr>
          <w:rFonts w:eastAsiaTheme="minorHAnsi"/>
          <w:lang w:eastAsia="en-US"/>
        </w:rPr>
        <w:t xml:space="preserve"> расходовани</w:t>
      </w:r>
      <w:r w:rsidR="00314B39" w:rsidRPr="006D37E7">
        <w:rPr>
          <w:rFonts w:eastAsiaTheme="minorHAnsi"/>
          <w:lang w:eastAsia="en-US"/>
        </w:rPr>
        <w:t>ю</w:t>
      </w:r>
      <w:r w:rsidR="00786A6C" w:rsidRPr="006D37E7">
        <w:rPr>
          <w:rFonts w:eastAsiaTheme="minorHAnsi"/>
          <w:lang w:eastAsia="en-US"/>
        </w:rPr>
        <w:t xml:space="preserve"> средств субсидии на иные цели в сумме </w:t>
      </w:r>
      <w:r w:rsidR="00EA7F70" w:rsidRPr="006D37E7">
        <w:rPr>
          <w:rFonts w:eastAsiaTheme="minorHAnsi"/>
          <w:lang w:eastAsia="en-US"/>
        </w:rPr>
        <w:t>699</w:t>
      </w:r>
      <w:r w:rsidR="00786A6C" w:rsidRPr="006D37E7">
        <w:rPr>
          <w:rFonts w:eastAsiaTheme="minorHAnsi"/>
          <w:lang w:eastAsia="en-US"/>
        </w:rPr>
        <w:t xml:space="preserve">,8 тыс. руб. </w:t>
      </w:r>
      <w:r w:rsidR="00314B39" w:rsidRPr="006D37E7">
        <w:rPr>
          <w:rFonts w:eastAsiaTheme="minorHAnsi"/>
          <w:lang w:eastAsia="en-US"/>
        </w:rPr>
        <w:t>на</w:t>
      </w:r>
      <w:r w:rsidR="00786A6C" w:rsidRPr="006D37E7">
        <w:rPr>
          <w:rFonts w:eastAsiaTheme="minorHAnsi"/>
          <w:lang w:eastAsia="en-US"/>
        </w:rPr>
        <w:t xml:space="preserve"> приобретени</w:t>
      </w:r>
      <w:r w:rsidR="00314B39" w:rsidRPr="006D37E7">
        <w:rPr>
          <w:rFonts w:eastAsiaTheme="minorHAnsi"/>
          <w:lang w:eastAsia="en-US"/>
        </w:rPr>
        <w:t>е</w:t>
      </w:r>
      <w:r w:rsidR="00786A6C" w:rsidRPr="006D37E7">
        <w:rPr>
          <w:rFonts w:eastAsiaTheme="minorHAnsi"/>
          <w:lang w:eastAsia="en-US"/>
        </w:rPr>
        <w:t xml:space="preserve"> компьютеров и телевизоров у единственного поставщика, что противоречит принципу эффективности использования бюджетных средств, установленному ст.34 БК РФ.  Анализ цен на иные товары, приобретенные учреждением, показал</w:t>
      </w:r>
      <w:r w:rsidR="00F44750" w:rsidRPr="006D37E7">
        <w:rPr>
          <w:rFonts w:eastAsiaTheme="minorHAnsi"/>
          <w:lang w:eastAsia="en-US"/>
        </w:rPr>
        <w:t>,</w:t>
      </w:r>
      <w:r w:rsidR="00786A6C" w:rsidRPr="006D37E7">
        <w:rPr>
          <w:rFonts w:eastAsiaTheme="minorHAnsi"/>
          <w:lang w:eastAsia="en-US"/>
        </w:rPr>
        <w:t xml:space="preserve"> что учреждение с учетом цен, размещенных в открытых источниках</w:t>
      </w:r>
      <w:r w:rsidR="00314B39" w:rsidRPr="006D37E7">
        <w:rPr>
          <w:rFonts w:eastAsiaTheme="minorHAnsi"/>
          <w:lang w:eastAsia="en-US"/>
        </w:rPr>
        <w:t>,</w:t>
      </w:r>
      <w:r w:rsidR="00786A6C" w:rsidRPr="006D37E7">
        <w:rPr>
          <w:rFonts w:eastAsiaTheme="minorHAnsi"/>
          <w:lang w:eastAsia="en-US"/>
        </w:rPr>
        <w:t xml:space="preserve"> могло сэкономить дополнительно около 536,6 тыс. рублей.</w:t>
      </w:r>
    </w:p>
    <w:p w14:paraId="566696A7" w14:textId="77777777" w:rsidR="00DC0FB3" w:rsidRPr="006D37E7" w:rsidRDefault="00786A6C" w:rsidP="00DF0AD4">
      <w:pPr>
        <w:autoSpaceDE w:val="0"/>
        <w:autoSpaceDN w:val="0"/>
        <w:adjustRightInd w:val="0"/>
        <w:ind w:firstLine="539"/>
        <w:jc w:val="both"/>
        <w:rPr>
          <w:spacing w:val="2"/>
        </w:rPr>
      </w:pPr>
      <w:r w:rsidRPr="006D37E7">
        <w:rPr>
          <w:rFonts w:eastAsiaTheme="minorHAnsi"/>
          <w:b/>
          <w:lang w:eastAsia="en-US"/>
        </w:rPr>
        <w:t>7.</w:t>
      </w:r>
      <w:r w:rsidRPr="006D37E7">
        <w:rPr>
          <w:rFonts w:eastAsiaTheme="minorHAnsi"/>
          <w:lang w:eastAsia="en-US"/>
        </w:rPr>
        <w:t xml:space="preserve"> </w:t>
      </w:r>
      <w:r w:rsidR="00DF0AD4" w:rsidRPr="006D37E7">
        <w:rPr>
          <w:spacing w:val="2"/>
        </w:rPr>
        <w:t xml:space="preserve">С 2009 по 2012 год прием и передачу энциклопедий муниципальным образованиям Волгоградской области осуществлял КУГИ. Информация о количестве томов, их тираже по видам энциклопедий в Комитете отсутствует. </w:t>
      </w:r>
    </w:p>
    <w:p w14:paraId="38AE6BEC" w14:textId="77777777" w:rsidR="00C92012" w:rsidRPr="006D37E7" w:rsidRDefault="00DF0AD4" w:rsidP="00C92012">
      <w:pPr>
        <w:autoSpaceDE w:val="0"/>
        <w:autoSpaceDN w:val="0"/>
        <w:adjustRightInd w:val="0"/>
        <w:ind w:firstLine="539"/>
        <w:jc w:val="both"/>
      </w:pPr>
      <w:r w:rsidRPr="006D37E7">
        <w:rPr>
          <w:spacing w:val="2"/>
        </w:rPr>
        <w:t xml:space="preserve">С 2012 года энциклопедии, переданные из казны Волгоградской области Комитету, </w:t>
      </w:r>
      <w:r w:rsidRPr="006D37E7">
        <w:rPr>
          <w:rFonts w:eastAsiaTheme="minorHAnsi"/>
          <w:lang w:eastAsia="en-US"/>
        </w:rPr>
        <w:t xml:space="preserve">в количестве </w:t>
      </w:r>
      <w:r w:rsidR="00C92012" w:rsidRPr="006D37E7">
        <w:t xml:space="preserve">17647 экз. на общую сумму 22628,8 тыс. руб. переданы муниципальным образованиям по договорам хранения с правом пользования с нарушением требований порядка передачи имущества субъекта РФ в муниципальную собственность, установленного </w:t>
      </w:r>
      <w:r w:rsidR="00C92012" w:rsidRPr="006D37E7">
        <w:rPr>
          <w:rFonts w:eastAsiaTheme="minorHAnsi"/>
          <w:lang w:eastAsia="en-US"/>
        </w:rPr>
        <w:t>Законами №335-ОД и №97-ОД</w:t>
      </w:r>
      <w:r w:rsidR="00C92012" w:rsidRPr="006D37E7">
        <w:t>. Соответственно Комитетом не обеспечено исполнение Распоряжений Правительства Российской Федерации от 01.12.2012 №882-р, от 18.12.2014 №2611-р, от 25.05.2015 №948-р, от 13.10.2017 №2228-р, которыми было рекомендовано обеспечить передачу энциклопедий  в собственность муниципальных образований или в оперативное управление общедоступным библиотекам Волгоградской области, что привело к невозможности предоставления их посетителям.</w:t>
      </w:r>
    </w:p>
    <w:p w14:paraId="166EFBC0" w14:textId="77777777" w:rsidR="00786A6C" w:rsidRPr="006D37E7" w:rsidRDefault="006A3499" w:rsidP="006A3499">
      <w:pPr>
        <w:pStyle w:val="ab"/>
        <w:spacing w:after="0"/>
        <w:ind w:left="0" w:firstLine="708"/>
        <w:jc w:val="both"/>
      </w:pPr>
      <w:r w:rsidRPr="006D37E7">
        <w:rPr>
          <w:rFonts w:eastAsiaTheme="minorHAnsi"/>
          <w:b/>
          <w:lang w:eastAsia="en-US"/>
        </w:rPr>
        <w:t>8.</w:t>
      </w:r>
      <w:r w:rsidRPr="006D37E7">
        <w:rPr>
          <w:rFonts w:eastAsiaTheme="minorHAnsi"/>
          <w:lang w:eastAsia="en-US"/>
        </w:rPr>
        <w:t xml:space="preserve"> В нарушение </w:t>
      </w:r>
      <w:r w:rsidR="00786A6C" w:rsidRPr="006D37E7">
        <w:t>Поряд</w:t>
      </w:r>
      <w:r w:rsidR="00855196" w:rsidRPr="006D37E7">
        <w:t>ка</w:t>
      </w:r>
      <w:r w:rsidR="00786A6C" w:rsidRPr="006D37E7">
        <w:t xml:space="preserve"> №510-п Комитет</w:t>
      </w:r>
      <w:r w:rsidRPr="006D37E7">
        <w:t>ом</w:t>
      </w:r>
      <w:r w:rsidR="00786A6C" w:rsidRPr="006D37E7">
        <w:t xml:space="preserve"> </w:t>
      </w:r>
      <w:r w:rsidRPr="006D37E7">
        <w:t xml:space="preserve">в приказ </w:t>
      </w:r>
      <w:r w:rsidR="00786A6C" w:rsidRPr="006D37E7">
        <w:t>№01-20/264  не внесены</w:t>
      </w:r>
      <w:r w:rsidRPr="006D37E7">
        <w:t xml:space="preserve"> изменения в части уточнения видов особо движимого ценного имущества, не определены</w:t>
      </w:r>
      <w:r w:rsidR="00314B39" w:rsidRPr="006D37E7">
        <w:t xml:space="preserve"> для</w:t>
      </w:r>
      <w:r w:rsidR="00786A6C" w:rsidRPr="006D37E7">
        <w:t xml:space="preserve"> </w:t>
      </w:r>
      <w:r w:rsidR="00314B39" w:rsidRPr="006D37E7">
        <w:t xml:space="preserve">Планетария </w:t>
      </w:r>
      <w:r w:rsidR="00786A6C" w:rsidRPr="006D37E7">
        <w:t>виды имущества, подлежащего включению в перечень особо ценного движимого имущества</w:t>
      </w:r>
      <w:r w:rsidR="00314B39" w:rsidRPr="006D37E7">
        <w:t>, что может привести к списанию имущества без согласования с учредителем и КУГИ</w:t>
      </w:r>
      <w:r w:rsidRPr="006D37E7">
        <w:t>.</w:t>
      </w:r>
    </w:p>
    <w:p w14:paraId="3ABCC560" w14:textId="77777777" w:rsidR="00786A6C" w:rsidRPr="006D37E7" w:rsidRDefault="006A3499" w:rsidP="006A3499">
      <w:pPr>
        <w:pStyle w:val="ab"/>
        <w:spacing w:after="0"/>
        <w:ind w:left="0" w:firstLine="708"/>
        <w:jc w:val="both"/>
      </w:pPr>
      <w:r w:rsidRPr="006D37E7">
        <w:rPr>
          <w:b/>
        </w:rPr>
        <w:t>9.</w:t>
      </w:r>
      <w:r w:rsidRPr="006D37E7">
        <w:t xml:space="preserve"> О</w:t>
      </w:r>
      <w:r w:rsidR="00786A6C" w:rsidRPr="006D37E7">
        <w:t>тсутствие надлежащего контроля со стороны Комитета привело к многочисленным нарушениям в подведомственных учреждениях в части использования, распоряжения и сохранности имущества, в том числе особо ценного имущества.</w:t>
      </w:r>
    </w:p>
    <w:p w14:paraId="76ECB86E" w14:textId="77777777" w:rsidR="00786A6C" w:rsidRPr="006D37E7" w:rsidRDefault="00181D85" w:rsidP="00171D11">
      <w:pPr>
        <w:autoSpaceDE w:val="0"/>
        <w:autoSpaceDN w:val="0"/>
        <w:adjustRightInd w:val="0"/>
        <w:ind w:firstLine="539"/>
        <w:jc w:val="both"/>
      </w:pPr>
      <w:r w:rsidRPr="006D37E7">
        <w:rPr>
          <w:b/>
        </w:rPr>
        <w:t>-</w:t>
      </w:r>
      <w:r w:rsidRPr="006D37E7">
        <w:t>в</w:t>
      </w:r>
      <w:r w:rsidR="00786A6C" w:rsidRPr="006D37E7">
        <w:t xml:space="preserve"> нарушение п.4 Порядка №510-п и Приказа №01-20/264 </w:t>
      </w:r>
      <w:r w:rsidR="00DC0FB3" w:rsidRPr="006D37E7">
        <w:t xml:space="preserve">Планетарием, Агентством развития туризма, </w:t>
      </w:r>
      <w:r w:rsidR="00786A6C" w:rsidRPr="006D37E7">
        <w:t xml:space="preserve"> </w:t>
      </w:r>
      <w:r w:rsidR="00DC0FB3" w:rsidRPr="006D37E7">
        <w:t xml:space="preserve">ВОЦНТ </w:t>
      </w:r>
      <w:r w:rsidR="00786A6C" w:rsidRPr="006D37E7">
        <w:t xml:space="preserve">объекты движимого имущества общей балансовой стоимостью </w:t>
      </w:r>
      <w:r w:rsidR="00786A6C" w:rsidRPr="006D37E7">
        <w:rPr>
          <w:u w:val="single"/>
        </w:rPr>
        <w:t>6991,5 тыс. руб.</w:t>
      </w:r>
      <w:r w:rsidR="00786A6C" w:rsidRPr="006D37E7">
        <w:t xml:space="preserve"> не включены в состав особо ценного имущества</w:t>
      </w:r>
      <w:r w:rsidR="00171D11" w:rsidRPr="006D37E7">
        <w:t xml:space="preserve">, что позволило </w:t>
      </w:r>
      <w:r w:rsidR="00786A6C" w:rsidRPr="006D37E7">
        <w:t xml:space="preserve"> Агентству развития туризма произвести без надлежаще оформленных документов </w:t>
      </w:r>
      <w:r w:rsidRPr="006D37E7">
        <w:t xml:space="preserve">передачу органам государственной власти и государственным учреждениям Волгоградской области </w:t>
      </w:r>
      <w:r w:rsidR="00786A6C" w:rsidRPr="006D37E7">
        <w:t>движимо</w:t>
      </w:r>
      <w:r w:rsidRPr="006D37E7">
        <w:t>го</w:t>
      </w:r>
      <w:r w:rsidR="00786A6C" w:rsidRPr="006D37E7">
        <w:t xml:space="preserve"> имуществ</w:t>
      </w:r>
      <w:r w:rsidRPr="006D37E7">
        <w:t>а</w:t>
      </w:r>
      <w:r w:rsidR="00786A6C" w:rsidRPr="006D37E7">
        <w:t xml:space="preserve"> на общую сумму 2137,2 тыс. руб.</w:t>
      </w:r>
      <w:r w:rsidRPr="006D37E7">
        <w:t>;</w:t>
      </w:r>
    </w:p>
    <w:p w14:paraId="726C5BE1" w14:textId="77777777" w:rsidR="00181D85" w:rsidRPr="006D37E7" w:rsidRDefault="00181D85" w:rsidP="00181D85">
      <w:pPr>
        <w:autoSpaceDE w:val="0"/>
        <w:autoSpaceDN w:val="0"/>
        <w:adjustRightInd w:val="0"/>
        <w:ind w:firstLine="539"/>
        <w:jc w:val="both"/>
      </w:pPr>
      <w:r w:rsidRPr="006D37E7">
        <w:t>-н</w:t>
      </w:r>
      <w:r w:rsidR="00786A6C" w:rsidRPr="006D37E7">
        <w:t>а момент проверки в уставной деятельности учреждений не используется движимое имущество</w:t>
      </w:r>
      <w:r w:rsidRPr="006D37E7">
        <w:t>,</w:t>
      </w:r>
      <w:r w:rsidR="00786A6C" w:rsidRPr="006D37E7">
        <w:t xml:space="preserve"> </w:t>
      </w:r>
      <w:r w:rsidRPr="006D37E7">
        <w:t xml:space="preserve">приобретенное в 2018 году за счет субсидии на иные цели </w:t>
      </w:r>
      <w:r w:rsidR="00786A6C" w:rsidRPr="006D37E7">
        <w:t xml:space="preserve">на общую балансовую стоимость </w:t>
      </w:r>
      <w:r w:rsidRPr="006D37E7">
        <w:t>17690,9</w:t>
      </w:r>
      <w:r w:rsidR="00786A6C" w:rsidRPr="006D37E7">
        <w:t xml:space="preserve"> тыс. руб.</w:t>
      </w:r>
      <w:r w:rsidRPr="006D37E7">
        <w:t>;</w:t>
      </w:r>
    </w:p>
    <w:p w14:paraId="420DB3C2" w14:textId="77777777" w:rsidR="00786A6C" w:rsidRPr="006D37E7" w:rsidRDefault="00786A6C" w:rsidP="00786A6C">
      <w:pPr>
        <w:autoSpaceDE w:val="0"/>
        <w:autoSpaceDN w:val="0"/>
        <w:adjustRightInd w:val="0"/>
        <w:ind w:firstLine="708"/>
        <w:jc w:val="both"/>
      </w:pPr>
      <w:r w:rsidRPr="006D37E7">
        <w:lastRenderedPageBreak/>
        <w:t>-</w:t>
      </w:r>
      <w:r w:rsidR="00181D85" w:rsidRPr="006D37E7">
        <w:t xml:space="preserve">не используется </w:t>
      </w:r>
      <w:r w:rsidRPr="006D37E7">
        <w:t xml:space="preserve">недвижимое имущество, закрепленное на праве оперативного управления за ВОЦНТ (4 здания и гараж), </w:t>
      </w:r>
      <w:r w:rsidR="00181D85" w:rsidRPr="006D37E7">
        <w:t>нежилые помещения общей площадью 61,7 кв.м., расположенные в здании Планетария, в</w:t>
      </w:r>
      <w:r w:rsidRPr="006D37E7">
        <w:t xml:space="preserve"> 2018 году </w:t>
      </w:r>
      <w:r w:rsidR="00314B39" w:rsidRPr="006D37E7">
        <w:t xml:space="preserve">неэффективные </w:t>
      </w:r>
      <w:r w:rsidRPr="006D37E7">
        <w:t xml:space="preserve">затраты на их содержание в виде уплаты налогов за землю и имущество составили </w:t>
      </w:r>
      <w:r w:rsidR="00181D85" w:rsidRPr="006D37E7">
        <w:t>477,4</w:t>
      </w:r>
      <w:r w:rsidRPr="006D37E7">
        <w:t xml:space="preserve"> тыс. руб.;</w:t>
      </w:r>
    </w:p>
    <w:p w14:paraId="22B5FE68" w14:textId="77777777" w:rsidR="00171D11" w:rsidRPr="006D37E7" w:rsidRDefault="00171D11" w:rsidP="00171D11">
      <w:pPr>
        <w:autoSpaceDE w:val="0"/>
        <w:autoSpaceDN w:val="0"/>
        <w:adjustRightInd w:val="0"/>
        <w:ind w:firstLine="708"/>
        <w:jc w:val="both"/>
      </w:pPr>
      <w:r w:rsidRPr="006D37E7">
        <w:rPr>
          <w:b/>
        </w:rPr>
        <w:t>-</w:t>
      </w:r>
      <w:r w:rsidRPr="006D37E7">
        <w:rPr>
          <w:color w:val="000000"/>
        </w:rPr>
        <w:t xml:space="preserve"> в нарушение </w:t>
      </w:r>
      <w:proofErr w:type="spellStart"/>
      <w:r w:rsidRPr="006D37E7">
        <w:t>пп</w:t>
      </w:r>
      <w:proofErr w:type="spellEnd"/>
      <w:r w:rsidRPr="006D37E7">
        <w:t>. 5 п. 1 ст. 5 Закона №97-ОД и Приказа №29-н без согласования с учредителем и КУГИ Планетарием заключены 3 договора аренды на общую сумму 9,5 тыс. руб., Институтом заключен договор аренды с ПАО «Уральский банк реконструкции и развития»;</w:t>
      </w:r>
    </w:p>
    <w:p w14:paraId="3AEDA8F5" w14:textId="77777777" w:rsidR="00171D11" w:rsidRPr="006D37E7" w:rsidRDefault="00786A6C" w:rsidP="00786A6C">
      <w:pPr>
        <w:autoSpaceDE w:val="0"/>
        <w:autoSpaceDN w:val="0"/>
        <w:adjustRightInd w:val="0"/>
        <w:ind w:firstLine="708"/>
        <w:jc w:val="both"/>
      </w:pPr>
      <w:r w:rsidRPr="006D37E7">
        <w:t xml:space="preserve">-с момента преобразования </w:t>
      </w:r>
      <w:r w:rsidR="00171D11" w:rsidRPr="006D37E7">
        <w:t>ГУПП</w:t>
      </w:r>
      <w:r w:rsidRPr="006D37E7">
        <w:t xml:space="preserve"> Волгоградский планетарий в </w:t>
      </w:r>
      <w:r w:rsidR="00171D11" w:rsidRPr="006D37E7">
        <w:t>ГБУК</w:t>
      </w:r>
      <w:r w:rsidRPr="006D37E7">
        <w:t xml:space="preserve"> (октябрь 2018) до настоящего времени недвижимое имуществом на праве оперативного управления не закреплено, </w:t>
      </w:r>
      <w:r w:rsidR="00314B39" w:rsidRPr="006D37E7">
        <w:t xml:space="preserve">в постоянное бессрочное пользование </w:t>
      </w:r>
      <w:r w:rsidRPr="006D37E7">
        <w:t>земельный участок не передан</w:t>
      </w:r>
      <w:r w:rsidR="00171D11" w:rsidRPr="006D37E7">
        <w:t>, соответственно:</w:t>
      </w:r>
    </w:p>
    <w:p w14:paraId="4A779C4A" w14:textId="77777777" w:rsidR="00171D11" w:rsidRPr="006D37E7" w:rsidRDefault="007A5417" w:rsidP="00171D11">
      <w:pPr>
        <w:pStyle w:val="ad"/>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E7">
        <w:t xml:space="preserve">в </w:t>
      </w:r>
      <w:r w:rsidRPr="006D37E7">
        <w:rPr>
          <w:rFonts w:ascii="Times New Roman" w:eastAsia="Times New Roman" w:hAnsi="Times New Roman" w:cs="Times New Roman"/>
          <w:sz w:val="24"/>
          <w:szCs w:val="24"/>
          <w:lang w:eastAsia="ru-RU"/>
        </w:rPr>
        <w:t xml:space="preserve">связи с отсутствием правовых оснований на земельный участок Планетарий не имеет возможности оформить соглашение на установление частичного сервитута на ограниченное пользование земельным участком для обслуживания стационарного поста наблюдения за загрязнением атмосферы, размещенном ФГБУ </w:t>
      </w:r>
      <w:r w:rsidR="00786A6C" w:rsidRPr="006D37E7">
        <w:rPr>
          <w:rFonts w:ascii="Times New Roman" w:eastAsia="Times New Roman" w:hAnsi="Times New Roman" w:cs="Times New Roman"/>
          <w:sz w:val="24"/>
          <w:szCs w:val="24"/>
          <w:lang w:eastAsia="ru-RU"/>
        </w:rPr>
        <w:t>на метеоплощадке Планетария;</w:t>
      </w:r>
      <w:r w:rsidR="00171D11" w:rsidRPr="006D37E7">
        <w:rPr>
          <w:rFonts w:ascii="Times New Roman" w:eastAsia="Times New Roman" w:hAnsi="Times New Roman" w:cs="Times New Roman"/>
          <w:sz w:val="24"/>
          <w:szCs w:val="24"/>
          <w:lang w:eastAsia="ru-RU"/>
        </w:rPr>
        <w:t xml:space="preserve"> </w:t>
      </w:r>
    </w:p>
    <w:p w14:paraId="69B3A230" w14:textId="77777777" w:rsidR="00786A6C" w:rsidRPr="006D37E7" w:rsidRDefault="00786A6C" w:rsidP="00171D11">
      <w:pPr>
        <w:pStyle w:val="ad"/>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E7">
        <w:rPr>
          <w:rFonts w:ascii="Times New Roman" w:eastAsia="Times New Roman" w:hAnsi="Times New Roman" w:cs="Times New Roman"/>
          <w:sz w:val="24"/>
          <w:szCs w:val="24"/>
          <w:lang w:eastAsia="ru-RU"/>
        </w:rPr>
        <w:t xml:space="preserve">в </w:t>
      </w:r>
      <w:r w:rsidR="00181D85" w:rsidRPr="006D37E7">
        <w:rPr>
          <w:rFonts w:ascii="Times New Roman" w:eastAsia="Times New Roman" w:hAnsi="Times New Roman" w:cs="Times New Roman"/>
          <w:sz w:val="24"/>
          <w:szCs w:val="24"/>
          <w:lang w:eastAsia="ru-RU"/>
        </w:rPr>
        <w:t xml:space="preserve">помещениях </w:t>
      </w:r>
      <w:r w:rsidRPr="006D37E7">
        <w:rPr>
          <w:rFonts w:ascii="Times New Roman" w:eastAsia="Times New Roman" w:hAnsi="Times New Roman" w:cs="Times New Roman"/>
          <w:sz w:val="24"/>
          <w:szCs w:val="24"/>
          <w:lang w:eastAsia="ru-RU"/>
        </w:rPr>
        <w:t>здани</w:t>
      </w:r>
      <w:r w:rsidR="00181D85" w:rsidRPr="006D37E7">
        <w:rPr>
          <w:rFonts w:ascii="Times New Roman" w:eastAsia="Times New Roman" w:hAnsi="Times New Roman" w:cs="Times New Roman"/>
          <w:sz w:val="24"/>
          <w:szCs w:val="24"/>
          <w:lang w:eastAsia="ru-RU"/>
        </w:rPr>
        <w:t>я</w:t>
      </w:r>
      <w:r w:rsidRPr="006D37E7">
        <w:rPr>
          <w:rFonts w:ascii="Times New Roman" w:eastAsia="Times New Roman" w:hAnsi="Times New Roman" w:cs="Times New Roman"/>
          <w:sz w:val="24"/>
          <w:szCs w:val="24"/>
          <w:lang w:eastAsia="ru-RU"/>
        </w:rPr>
        <w:t xml:space="preserve"> Планетария </w:t>
      </w:r>
      <w:r w:rsidR="00314B39" w:rsidRPr="006D37E7">
        <w:rPr>
          <w:rFonts w:ascii="Times New Roman" w:eastAsia="Times New Roman" w:hAnsi="Times New Roman" w:cs="Times New Roman"/>
          <w:sz w:val="24"/>
          <w:szCs w:val="24"/>
          <w:lang w:eastAsia="ru-RU"/>
        </w:rPr>
        <w:t xml:space="preserve">без оформления договоров аренды </w:t>
      </w:r>
      <w:r w:rsidRPr="006D37E7">
        <w:rPr>
          <w:rFonts w:ascii="Times New Roman" w:eastAsia="Times New Roman" w:hAnsi="Times New Roman" w:cs="Times New Roman"/>
          <w:sz w:val="24"/>
          <w:szCs w:val="24"/>
          <w:lang w:eastAsia="ru-RU"/>
        </w:rPr>
        <w:t>располагается имущество ВМЭС</w:t>
      </w:r>
      <w:r w:rsidR="00314B39" w:rsidRPr="006D37E7">
        <w:rPr>
          <w:rFonts w:ascii="Times New Roman" w:eastAsia="Times New Roman" w:hAnsi="Times New Roman" w:cs="Times New Roman"/>
          <w:sz w:val="24"/>
          <w:szCs w:val="24"/>
          <w:lang w:eastAsia="ru-RU"/>
        </w:rPr>
        <w:t xml:space="preserve">. Оформление договоров аренды  до момента оформления государственной  регистрации прав на здание </w:t>
      </w:r>
      <w:r w:rsidRPr="006D37E7">
        <w:rPr>
          <w:rFonts w:ascii="Times New Roman" w:eastAsia="Times New Roman" w:hAnsi="Times New Roman" w:cs="Times New Roman"/>
          <w:sz w:val="24"/>
          <w:szCs w:val="24"/>
          <w:lang w:eastAsia="ru-RU"/>
        </w:rPr>
        <w:t>не представляется возможным;</w:t>
      </w:r>
    </w:p>
    <w:p w14:paraId="2B620D71" w14:textId="77777777" w:rsidR="00786A6C" w:rsidRPr="006D37E7" w:rsidRDefault="00786A6C" w:rsidP="00915737">
      <w:pPr>
        <w:autoSpaceDE w:val="0"/>
        <w:autoSpaceDN w:val="0"/>
        <w:adjustRightInd w:val="0"/>
        <w:ind w:firstLine="709"/>
        <w:jc w:val="both"/>
      </w:pPr>
      <w:r w:rsidRPr="006D37E7">
        <w:t>-ВОЦНТ в 2018 году заключены договора оказания услуг со сторонними организациями, которые фактически являются «скрытыми» договорами аренды</w:t>
      </w:r>
      <w:r w:rsidR="00D34392" w:rsidRPr="006D37E7">
        <w:t xml:space="preserve"> (15 договоров со сторонними организациями</w:t>
      </w:r>
      <w:r w:rsidR="00915737" w:rsidRPr="006D37E7">
        <w:t xml:space="preserve">, </w:t>
      </w:r>
      <w:r w:rsidR="00D34392" w:rsidRPr="006D37E7">
        <w:t xml:space="preserve">с </w:t>
      </w:r>
      <w:r w:rsidR="00915737" w:rsidRPr="006D37E7">
        <w:t>ООО «Комбинат питания», с</w:t>
      </w:r>
      <w:r w:rsidRPr="006D37E7">
        <w:t xml:space="preserve"> </w:t>
      </w:r>
      <w:r w:rsidR="00915737" w:rsidRPr="006D37E7">
        <w:t>ПАО «Мегафон»).</w:t>
      </w:r>
      <w:r w:rsidR="00915737" w:rsidRPr="006D37E7">
        <w:rPr>
          <w:b/>
        </w:rPr>
        <w:t xml:space="preserve"> </w:t>
      </w:r>
      <w:r w:rsidR="00915737" w:rsidRPr="006D37E7">
        <w:t>Д</w:t>
      </w:r>
      <w:r w:rsidRPr="006D37E7">
        <w:t xml:space="preserve">оговоры заключены без согласования с учредителем и КУГИ, без проведения независимой оценки рыночной стоимости за пользование объектом, тем самым директором учреждения не было обеспечено исполнение п. 4.1. Устава в части эффективного использования имущества учреждения. </w:t>
      </w:r>
      <w:r w:rsidR="00915737" w:rsidRPr="006D37E7">
        <w:t xml:space="preserve">Фактически сторонними организациями использовались помещения </w:t>
      </w:r>
      <w:r w:rsidRPr="006D37E7">
        <w:t>ВОЦНТ общей площадью от 844 кв.м. до 900 кв.м.</w:t>
      </w:r>
      <w:r w:rsidR="00915737" w:rsidRPr="006D37E7">
        <w:t xml:space="preserve"> </w:t>
      </w:r>
      <w:r w:rsidR="00314B39" w:rsidRPr="006D37E7">
        <w:t>для</w:t>
      </w:r>
      <w:r w:rsidR="00915737" w:rsidRPr="006D37E7">
        <w:t xml:space="preserve"> проведени</w:t>
      </w:r>
      <w:r w:rsidR="00314B39" w:rsidRPr="006D37E7">
        <w:t>я</w:t>
      </w:r>
      <w:r w:rsidR="00915737" w:rsidRPr="006D37E7">
        <w:t xml:space="preserve"> мероприятий, </w:t>
      </w:r>
      <w:r w:rsidRPr="006D37E7">
        <w:t xml:space="preserve"> </w:t>
      </w:r>
      <w:r w:rsidR="00915737" w:rsidRPr="006D37E7">
        <w:t xml:space="preserve">площадью </w:t>
      </w:r>
      <w:r w:rsidRPr="006D37E7">
        <w:t>251,4 кв.м</w:t>
      </w:r>
      <w:r w:rsidR="00915737" w:rsidRPr="006D37E7">
        <w:t>. при</w:t>
      </w:r>
      <w:r w:rsidRPr="006D37E7">
        <w:t xml:space="preserve"> оказани</w:t>
      </w:r>
      <w:r w:rsidR="00915737" w:rsidRPr="006D37E7">
        <w:t>и</w:t>
      </w:r>
      <w:r w:rsidRPr="006D37E7">
        <w:t xml:space="preserve"> услуг по организации и проведению кофе-брейка</w:t>
      </w:r>
      <w:r w:rsidR="00915737" w:rsidRPr="006D37E7">
        <w:t xml:space="preserve">, 91,51 кв.м. </w:t>
      </w:r>
      <w:r w:rsidRPr="006D37E7">
        <w:t>для размещения антенно-фидерного оборудования</w:t>
      </w:r>
      <w:r w:rsidR="00915737" w:rsidRPr="006D37E7">
        <w:t>.</w:t>
      </w:r>
      <w:r w:rsidRPr="006D37E7">
        <w:t xml:space="preserve"> </w:t>
      </w:r>
    </w:p>
    <w:p w14:paraId="6BAA6125" w14:textId="77777777" w:rsidR="00786A6C" w:rsidRPr="006D37E7" w:rsidRDefault="00786A6C" w:rsidP="00751E17">
      <w:pPr>
        <w:tabs>
          <w:tab w:val="left" w:pos="709"/>
          <w:tab w:val="left" w:pos="1134"/>
        </w:tabs>
        <w:autoSpaceDE w:val="0"/>
        <w:autoSpaceDN w:val="0"/>
        <w:adjustRightInd w:val="0"/>
        <w:jc w:val="both"/>
        <w:rPr>
          <w:b/>
        </w:rPr>
      </w:pPr>
      <w:r w:rsidRPr="006D37E7">
        <w:tab/>
      </w:r>
      <w:r w:rsidR="00915737" w:rsidRPr="006D37E7">
        <w:rPr>
          <w:color w:val="000000"/>
        </w:rPr>
        <w:t xml:space="preserve">При заключении договора аренды с </w:t>
      </w:r>
      <w:r w:rsidR="00915737" w:rsidRPr="006D37E7">
        <w:t xml:space="preserve">соблюдением </w:t>
      </w:r>
      <w:r w:rsidR="00915737" w:rsidRPr="006D37E7">
        <w:rPr>
          <w:color w:val="000000"/>
        </w:rPr>
        <w:t>минимального уровня</w:t>
      </w:r>
      <w:r w:rsidR="00751E17" w:rsidRPr="006D37E7">
        <w:rPr>
          <w:color w:val="000000"/>
        </w:rPr>
        <w:t>, установленного Распоряжением №866-р, для сдачи в аренду помещений о</w:t>
      </w:r>
      <w:r w:rsidR="00915737" w:rsidRPr="006D37E7">
        <w:rPr>
          <w:color w:val="000000"/>
        </w:rPr>
        <w:t>ператор</w:t>
      </w:r>
      <w:r w:rsidR="00751E17" w:rsidRPr="006D37E7">
        <w:rPr>
          <w:color w:val="000000"/>
        </w:rPr>
        <w:t xml:space="preserve">ам сотовой связи, </w:t>
      </w:r>
      <w:r w:rsidR="00915737" w:rsidRPr="006D37E7">
        <w:rPr>
          <w:color w:val="000000"/>
        </w:rPr>
        <w:t xml:space="preserve">и </w:t>
      </w:r>
      <w:r w:rsidR="00751E17" w:rsidRPr="006D37E7">
        <w:rPr>
          <w:color w:val="000000"/>
        </w:rPr>
        <w:t xml:space="preserve">при проведении </w:t>
      </w:r>
      <w:r w:rsidR="00915737" w:rsidRPr="006D37E7">
        <w:rPr>
          <w:color w:val="000000"/>
        </w:rPr>
        <w:t xml:space="preserve">рыночной оценки ВОЦНТ  могло получить </w:t>
      </w:r>
      <w:r w:rsidR="00751E17" w:rsidRPr="006D37E7">
        <w:rPr>
          <w:color w:val="000000"/>
        </w:rPr>
        <w:t xml:space="preserve">дополнительный </w:t>
      </w:r>
      <w:r w:rsidR="00915737" w:rsidRPr="006D37E7">
        <w:rPr>
          <w:color w:val="000000"/>
        </w:rPr>
        <w:t xml:space="preserve">доход от сдачи в аренду только помещений </w:t>
      </w:r>
      <w:r w:rsidR="00915737" w:rsidRPr="006D37E7">
        <w:t>ПАО «Мегафон»</w:t>
      </w:r>
      <w:r w:rsidR="00915737" w:rsidRPr="006D37E7">
        <w:rPr>
          <w:color w:val="000000"/>
        </w:rPr>
        <w:t xml:space="preserve"> не менее 5390,0 тыс. руб. (с 01.12.2016 по 01.04.2019)</w:t>
      </w:r>
      <w:r w:rsidR="00751E17" w:rsidRPr="006D37E7">
        <w:rPr>
          <w:color w:val="000000"/>
        </w:rPr>
        <w:t xml:space="preserve">. </w:t>
      </w:r>
      <w:r w:rsidR="00751E17" w:rsidRPr="006D37E7">
        <w:rPr>
          <w:rFonts w:eastAsiaTheme="minorHAnsi"/>
          <w:lang w:eastAsia="en-US"/>
        </w:rPr>
        <w:t>Кроме того</w:t>
      </w:r>
      <w:r w:rsidRPr="006D37E7">
        <w:rPr>
          <w:color w:val="000000"/>
        </w:rPr>
        <w:t xml:space="preserve">, отсутствие надлежаще оформленного договора аренды привело </w:t>
      </w:r>
      <w:r w:rsidR="00314B39" w:rsidRPr="006D37E7">
        <w:rPr>
          <w:color w:val="000000"/>
        </w:rPr>
        <w:t xml:space="preserve">только за 2018 год </w:t>
      </w:r>
      <w:r w:rsidRPr="006D37E7">
        <w:rPr>
          <w:color w:val="000000"/>
        </w:rPr>
        <w:t xml:space="preserve">к </w:t>
      </w:r>
      <w:r w:rsidR="00314B39" w:rsidRPr="006D37E7">
        <w:rPr>
          <w:color w:val="000000"/>
        </w:rPr>
        <w:t>неэффективным</w:t>
      </w:r>
      <w:r w:rsidRPr="006D37E7">
        <w:rPr>
          <w:color w:val="000000"/>
        </w:rPr>
        <w:t xml:space="preserve"> расходам областного бюджета по оплате расходов за электроэнергию</w:t>
      </w:r>
      <w:r w:rsidR="00751E17" w:rsidRPr="006D37E7">
        <w:rPr>
          <w:color w:val="000000"/>
        </w:rPr>
        <w:t xml:space="preserve"> в сумме 250,8 тыс. руб.</w:t>
      </w:r>
      <w:r w:rsidRPr="006D37E7">
        <w:rPr>
          <w:color w:val="000000"/>
        </w:rPr>
        <w:t xml:space="preserve">, которые должны были оплачиваться ПАО «Мегафон» по отдельному договору с </w:t>
      </w:r>
      <w:proofErr w:type="spellStart"/>
      <w:r w:rsidRPr="006D37E7">
        <w:rPr>
          <w:color w:val="000000"/>
        </w:rPr>
        <w:t>электроснабжающей</w:t>
      </w:r>
      <w:proofErr w:type="spellEnd"/>
      <w:r w:rsidRPr="006D37E7">
        <w:rPr>
          <w:color w:val="000000"/>
        </w:rPr>
        <w:t xml:space="preserve"> организацией. </w:t>
      </w:r>
    </w:p>
    <w:p w14:paraId="025DB205" w14:textId="77777777" w:rsidR="002C71BF" w:rsidRPr="006D37E7" w:rsidRDefault="00751E17" w:rsidP="002C71BF">
      <w:pPr>
        <w:pStyle w:val="ab"/>
        <w:spacing w:after="0"/>
        <w:ind w:left="0" w:firstLine="708"/>
        <w:jc w:val="both"/>
      </w:pPr>
      <w:r w:rsidRPr="006D37E7">
        <w:rPr>
          <w:b/>
        </w:rPr>
        <w:t xml:space="preserve">10. </w:t>
      </w:r>
      <w:r w:rsidR="002C71BF" w:rsidRPr="006D37E7">
        <w:t>Установлены следующие нарушения и недостатки при использовании средств федерального бюджета:</w:t>
      </w:r>
    </w:p>
    <w:p w14:paraId="5F831ABE" w14:textId="77777777" w:rsidR="00C03D28" w:rsidRPr="006D37E7" w:rsidRDefault="00C03D28" w:rsidP="00C03D28">
      <w:pPr>
        <w:pStyle w:val="ab"/>
        <w:spacing w:after="0"/>
        <w:ind w:left="0" w:firstLine="708"/>
        <w:jc w:val="both"/>
      </w:pPr>
      <w:r w:rsidRPr="006D37E7">
        <w:t>-показатель «</w:t>
      </w:r>
      <w:r w:rsidRPr="006D37E7">
        <w:rPr>
          <w:i/>
        </w:rPr>
        <w:t>количество посещений организаций культуры в размере 119,5 % по отношению к уровню 2010 года»</w:t>
      </w:r>
      <w:r w:rsidRPr="006D37E7">
        <w:t xml:space="preserve"> при использовании средств </w:t>
      </w:r>
      <w:r w:rsidR="00C92012" w:rsidRPr="006D37E7">
        <w:t xml:space="preserve">федерального бюджета </w:t>
      </w:r>
      <w:r w:rsidRPr="006D37E7">
        <w:t>на поддержку отрасли культура запланирован Комитетом по всем учреждениям культуры Волгоградской области</w:t>
      </w:r>
      <w:r w:rsidR="00C92012" w:rsidRPr="006D37E7">
        <w:t xml:space="preserve"> в едином размере (119,5%)</w:t>
      </w:r>
      <w:r w:rsidRPr="006D37E7">
        <w:t xml:space="preserve">, а не </w:t>
      </w:r>
      <w:r w:rsidR="00C92012" w:rsidRPr="006D37E7">
        <w:t>дифференцированно в разрезе у</w:t>
      </w:r>
      <w:r w:rsidRPr="006D37E7">
        <w:t>чреждени</w:t>
      </w:r>
      <w:r w:rsidR="00C92012" w:rsidRPr="006D37E7">
        <w:t>й</w:t>
      </w:r>
      <w:r w:rsidRPr="006D37E7">
        <w:t>, получивш</w:t>
      </w:r>
      <w:r w:rsidR="00C92012" w:rsidRPr="006D37E7">
        <w:t>их</w:t>
      </w:r>
      <w:r w:rsidRPr="006D37E7">
        <w:t xml:space="preserve"> средства субсидии на поддержку отрасли культуры</w:t>
      </w:r>
      <w:r w:rsidR="00C92012" w:rsidRPr="006D37E7">
        <w:t xml:space="preserve">, в зависимости от степени участия каждого учреждения в достижении соответствующего показателя в целом по Волгоградской области. Указанное подтверждает </w:t>
      </w:r>
      <w:r w:rsidR="00B42525" w:rsidRPr="006D37E7">
        <w:t xml:space="preserve">формальное </w:t>
      </w:r>
      <w:r w:rsidR="00C92012" w:rsidRPr="006D37E7">
        <w:t>планирование в</w:t>
      </w:r>
      <w:r w:rsidRPr="006D37E7">
        <w:t xml:space="preserve"> соглашениях с учреждениями и органами местного самоуправления </w:t>
      </w:r>
      <w:r w:rsidR="006D37E7" w:rsidRPr="006D37E7">
        <w:t>данного</w:t>
      </w:r>
      <w:r w:rsidRPr="006D37E7">
        <w:t xml:space="preserve"> показателя </w:t>
      </w:r>
      <w:r w:rsidR="00B42525" w:rsidRPr="006D37E7">
        <w:t>и</w:t>
      </w:r>
      <w:r w:rsidRPr="006D37E7">
        <w:t xml:space="preserve"> свидетельствует о несоблюдении принципа эффективности использования бюджетных средств (ст.34 БК РФ)</w:t>
      </w:r>
      <w:r w:rsidR="006D37E7" w:rsidRPr="006D37E7">
        <w:t>, так как в</w:t>
      </w:r>
      <w:r w:rsidRPr="006D37E7">
        <w:t xml:space="preserve"> отчете, представленном в Министерство культуры РФ, показатель результативности использования субсидии из федерального бюджета на поддержку отрасли культуры указан на уровне запланированного, без учета его реального достижения; </w:t>
      </w:r>
    </w:p>
    <w:p w14:paraId="43A5DC51" w14:textId="77777777" w:rsidR="002C71BF" w:rsidRPr="006D37E7" w:rsidRDefault="002C71BF" w:rsidP="002C71BF">
      <w:pPr>
        <w:pStyle w:val="ab"/>
        <w:spacing w:after="0"/>
        <w:ind w:left="0" w:firstLine="708"/>
        <w:jc w:val="both"/>
      </w:pPr>
      <w:r w:rsidRPr="006D37E7">
        <w:t>-приобретение книжной продукции в муниципальных образованиях на общую сумму 1211,5 тыс. руб. (средства областного и федеральных бюджетов 826,2 тыс. руб.) не привели к увеличению количества посетителей муниципальных библиотек, к</w:t>
      </w:r>
      <w:r w:rsidR="00751E17" w:rsidRPr="006D37E7">
        <w:t xml:space="preserve">оличество посещений в 2018 году по сравнению с 2010 годом снизилось на 361980 ед., или на 18 </w:t>
      </w:r>
      <w:r w:rsidRPr="006D37E7">
        <w:t>%</w:t>
      </w:r>
      <w:r w:rsidR="00CD6EDC" w:rsidRPr="006D37E7">
        <w:t xml:space="preserve">, что свидетельствует о </w:t>
      </w:r>
      <w:r w:rsidR="00CD6EDC" w:rsidRPr="006D37E7">
        <w:lastRenderedPageBreak/>
        <w:t xml:space="preserve">неэффективности государственной поддержки и несоблюдении принципа эффективности использования средств </w:t>
      </w:r>
      <w:r w:rsidR="00C03D28" w:rsidRPr="006D37E7">
        <w:t>(с</w:t>
      </w:r>
      <w:r w:rsidR="00CD6EDC" w:rsidRPr="006D37E7">
        <w:t>т.34 БК РФ)</w:t>
      </w:r>
      <w:r w:rsidRPr="006D37E7">
        <w:t>;</w:t>
      </w:r>
    </w:p>
    <w:p w14:paraId="4D01F27B" w14:textId="77777777" w:rsidR="00855196" w:rsidRPr="006D37E7" w:rsidRDefault="002C71BF" w:rsidP="002C71BF">
      <w:pPr>
        <w:pStyle w:val="ab"/>
        <w:spacing w:after="0"/>
        <w:ind w:left="0" w:firstLine="708"/>
        <w:jc w:val="both"/>
      </w:pPr>
      <w:r w:rsidRPr="006D37E7">
        <w:t>-н</w:t>
      </w:r>
      <w:r w:rsidR="00751E17" w:rsidRPr="006D37E7">
        <w:t xml:space="preserve">а реализацию мероприятия по техническому оснащению и содержанию виртуального концертного зала в 2018 году </w:t>
      </w:r>
      <w:r w:rsidRPr="006D37E7">
        <w:t>использовано</w:t>
      </w:r>
      <w:r w:rsidR="00751E17" w:rsidRPr="006D37E7">
        <w:t xml:space="preserve"> 5791,1 тыс. руб., в том числе 4980,3 тыс. руб. за счет федерального бюджета, 810,8 тыс. руб. за с</w:t>
      </w:r>
      <w:r w:rsidRPr="006D37E7">
        <w:t>чет средств областного бюджета</w:t>
      </w:r>
      <w:r w:rsidR="00CD6EDC" w:rsidRPr="006D37E7">
        <w:t>.  П</w:t>
      </w:r>
      <w:r w:rsidRPr="006D37E7">
        <w:t xml:space="preserve">ри этом </w:t>
      </w:r>
      <w:r w:rsidR="00751E17" w:rsidRPr="006D37E7">
        <w:t>в 2018 году запуск в эксплуатацию учреждением виртуального концертного зала не осуществлен</w:t>
      </w:r>
      <w:r w:rsidRPr="006D37E7">
        <w:t>.</w:t>
      </w:r>
      <w:r w:rsidR="006D37E7" w:rsidRPr="006D37E7">
        <w:t xml:space="preserve"> С</w:t>
      </w:r>
      <w:r w:rsidR="00751E17" w:rsidRPr="006D37E7">
        <w:t>огласно данным, размещенным в сети Интернет</w:t>
      </w:r>
      <w:r w:rsidR="00BE180F" w:rsidRPr="006D37E7">
        <w:t>, первая интернет-трансляция в Филармонии со</w:t>
      </w:r>
      <w:r w:rsidR="006D37E7" w:rsidRPr="006D37E7">
        <w:t xml:space="preserve">стоялась только 12.04.2019 года. </w:t>
      </w:r>
    </w:p>
    <w:p w14:paraId="5EC03777" w14:textId="77777777" w:rsidR="00BE180F" w:rsidRPr="006D37E7" w:rsidRDefault="00BE180F" w:rsidP="00BE180F">
      <w:pPr>
        <w:pStyle w:val="ab"/>
        <w:spacing w:after="0"/>
        <w:ind w:left="0" w:firstLine="708"/>
        <w:jc w:val="both"/>
      </w:pPr>
      <w:r w:rsidRPr="006D37E7">
        <w:rPr>
          <w:b/>
        </w:rPr>
        <w:t xml:space="preserve">11. </w:t>
      </w:r>
      <w:r w:rsidR="00751E17" w:rsidRPr="006D37E7">
        <w:t xml:space="preserve">Несвоевременное доведение </w:t>
      </w:r>
      <w:proofErr w:type="spellStart"/>
      <w:r w:rsidR="00751E17" w:rsidRPr="006D37E7">
        <w:t>Облфином</w:t>
      </w:r>
      <w:proofErr w:type="spellEnd"/>
      <w:r w:rsidR="00751E17" w:rsidRPr="006D37E7">
        <w:t xml:space="preserve"> Комитету лимитов бюджетных обязательств и кассового плана повлекло </w:t>
      </w:r>
      <w:r w:rsidR="00314B39" w:rsidRPr="006D37E7">
        <w:t>неэффективные</w:t>
      </w:r>
      <w:r w:rsidR="00751E17" w:rsidRPr="006D37E7">
        <w:t xml:space="preserve"> расходы областного бюджета на оплату в 2018 году штрафов (пени) в сумме 2736,3 тыс. руб</w:t>
      </w:r>
      <w:r w:rsidR="00314B39" w:rsidRPr="006D37E7">
        <w:t>лей</w:t>
      </w:r>
      <w:r w:rsidRPr="006D37E7">
        <w:t>.</w:t>
      </w:r>
    </w:p>
    <w:p w14:paraId="0F1CC7D2" w14:textId="77777777" w:rsidR="0058376A" w:rsidRPr="006D37E7" w:rsidRDefault="0058376A" w:rsidP="00EF6C60">
      <w:pPr>
        <w:autoSpaceDE w:val="0"/>
        <w:autoSpaceDN w:val="0"/>
        <w:adjustRightInd w:val="0"/>
        <w:spacing w:before="120" w:after="120"/>
        <w:ind w:firstLine="709"/>
        <w:jc w:val="center"/>
        <w:rPr>
          <w:b/>
        </w:rPr>
      </w:pPr>
      <w:r w:rsidRPr="006D37E7">
        <w:rPr>
          <w:b/>
        </w:rPr>
        <w:t>Предложения.</w:t>
      </w:r>
    </w:p>
    <w:p w14:paraId="5E2A72DE" w14:textId="77777777" w:rsidR="00EF6C60" w:rsidRPr="006D37E7" w:rsidRDefault="00EF6C60" w:rsidP="00EF6C60">
      <w:pPr>
        <w:ind w:firstLine="708"/>
        <w:jc w:val="both"/>
        <w:rPr>
          <w:rFonts w:eastAsiaTheme="minorHAnsi"/>
          <w:lang w:eastAsia="en-US"/>
        </w:rPr>
      </w:pPr>
      <w:r w:rsidRPr="006D37E7">
        <w:rPr>
          <w:b/>
        </w:rPr>
        <w:t xml:space="preserve">1. </w:t>
      </w:r>
      <w:r w:rsidRPr="006D37E7">
        <w:t>Провести работу по о</w:t>
      </w:r>
      <w:r w:rsidRPr="006D37E7">
        <w:rPr>
          <w:bCs/>
        </w:rPr>
        <w:t xml:space="preserve">беспечению осуществления бюджетного учёта и составлению бюджетной отчётности </w:t>
      </w:r>
      <w:r w:rsidRPr="006D37E7">
        <w:t>Комитета</w:t>
      </w:r>
      <w:r w:rsidRPr="006D37E7">
        <w:rPr>
          <w:bCs/>
        </w:rPr>
        <w:t xml:space="preserve"> и подведомственных учреждений</w:t>
      </w:r>
      <w:r w:rsidRPr="006D37E7">
        <w:t xml:space="preserve"> в соответствии с установленными правилами и соблюдению п</w:t>
      </w:r>
      <w:r w:rsidRPr="006D37E7">
        <w:rPr>
          <w:bCs/>
        </w:rPr>
        <w:t xml:space="preserve">. 4.3 Порядка № 423-п по приведению в соответствие с законом об областном бюджете объема финансирования </w:t>
      </w:r>
      <w:r w:rsidRPr="006D37E7">
        <w:t xml:space="preserve">ГП Развитие туризма  </w:t>
      </w:r>
      <w:r w:rsidRPr="006D37E7">
        <w:rPr>
          <w:rFonts w:eastAsiaTheme="minorHAnsi"/>
          <w:lang w:eastAsia="en-US"/>
        </w:rPr>
        <w:t>не позднее 31 декабря текущего года</w:t>
      </w:r>
      <w:r w:rsidRPr="006D37E7">
        <w:t xml:space="preserve">, а также внесению изменений в целевые показатели на 2019 год с учетом фактически достигнутых показателей в </w:t>
      </w:r>
      <w:r w:rsidRPr="006D37E7">
        <w:rPr>
          <w:rFonts w:eastAsiaTheme="minorHAnsi"/>
          <w:lang w:eastAsia="en-US"/>
        </w:rPr>
        <w:t>2018 году.</w:t>
      </w:r>
    </w:p>
    <w:p w14:paraId="1D85959A" w14:textId="77777777" w:rsidR="00EF6C60" w:rsidRPr="006D37E7" w:rsidRDefault="00EF6C60" w:rsidP="00EF6C60">
      <w:pPr>
        <w:ind w:firstLine="709"/>
        <w:jc w:val="both"/>
        <w:rPr>
          <w:rFonts w:eastAsia="Calibri"/>
          <w:lang w:eastAsia="en-US"/>
        </w:rPr>
      </w:pPr>
      <w:r w:rsidRPr="006D37E7">
        <w:rPr>
          <w:rFonts w:eastAsia="Calibri"/>
          <w:b/>
          <w:lang w:eastAsia="en-US"/>
        </w:rPr>
        <w:t>2.</w:t>
      </w:r>
      <w:r w:rsidRPr="006D37E7">
        <w:rPr>
          <w:rFonts w:eastAsia="Calibri"/>
          <w:lang w:eastAsia="en-US"/>
        </w:rPr>
        <w:t xml:space="preserve"> С целью совершенствования работы и соблюдения законодательства при </w:t>
      </w:r>
      <w:r w:rsidRPr="006D37E7">
        <w:t>формировании и выполнении государственных заданий</w:t>
      </w:r>
      <w:r w:rsidRPr="006D37E7">
        <w:rPr>
          <w:rFonts w:eastAsia="Calibri"/>
          <w:lang w:eastAsia="en-US"/>
        </w:rPr>
        <w:t>:</w:t>
      </w:r>
    </w:p>
    <w:p w14:paraId="28C8FE74" w14:textId="77777777" w:rsidR="00EF6C60" w:rsidRPr="006D37E7" w:rsidRDefault="00EF6C60" w:rsidP="00EF6C60">
      <w:pPr>
        <w:ind w:firstLine="709"/>
        <w:jc w:val="both"/>
        <w:rPr>
          <w:rFonts w:eastAsiaTheme="minorHAnsi"/>
          <w:lang w:eastAsia="en-US"/>
        </w:rPr>
      </w:pPr>
      <w:r w:rsidRPr="006D37E7">
        <w:rPr>
          <w:rFonts w:eastAsia="Calibri"/>
          <w:b/>
          <w:lang w:eastAsia="en-US"/>
        </w:rPr>
        <w:t xml:space="preserve">2.1. </w:t>
      </w:r>
      <w:r w:rsidRPr="006D37E7">
        <w:rPr>
          <w:rFonts w:eastAsia="Calibri"/>
          <w:lang w:eastAsia="en-US"/>
        </w:rPr>
        <w:t xml:space="preserve">- </w:t>
      </w:r>
      <w:r w:rsidRPr="006D37E7">
        <w:rPr>
          <w:rFonts w:eastAsiaTheme="minorHAnsi"/>
        </w:rPr>
        <w:t>обеспечить соблюдение требований п. Порядка 818-п</w:t>
      </w:r>
      <w:r w:rsidRPr="006D37E7">
        <w:rPr>
          <w:rFonts w:eastAsiaTheme="minorHAnsi"/>
          <w:lang w:eastAsia="en-US"/>
        </w:rPr>
        <w:t xml:space="preserve"> при формировании</w:t>
      </w:r>
      <w:r w:rsidRPr="006D37E7">
        <w:rPr>
          <w:rFonts w:eastAsiaTheme="minorHAnsi"/>
          <w:b/>
          <w:lang w:eastAsia="en-US"/>
        </w:rPr>
        <w:t xml:space="preserve"> </w:t>
      </w:r>
      <w:r w:rsidRPr="006D37E7">
        <w:rPr>
          <w:rFonts w:eastAsiaTheme="minorHAnsi"/>
        </w:rPr>
        <w:t xml:space="preserve">содержания государственной услуги и объема финансового обеспечения государственного задания </w:t>
      </w:r>
      <w:r w:rsidRPr="006D37E7">
        <w:t xml:space="preserve">Интерактивному музею </w:t>
      </w:r>
      <w:r w:rsidRPr="006D37E7">
        <w:rPr>
          <w:rFonts w:eastAsiaTheme="minorHAnsi"/>
        </w:rPr>
        <w:t>в части его формирования по основному виду деятельности (</w:t>
      </w:r>
      <w:r w:rsidRPr="006D37E7">
        <w:rPr>
          <w:rFonts w:eastAsiaTheme="minorHAnsi"/>
          <w:lang w:eastAsia="en-US"/>
        </w:rPr>
        <w:t>организация постоянных мультимедийных экспозиций);</w:t>
      </w:r>
    </w:p>
    <w:p w14:paraId="41D662E2" w14:textId="77777777" w:rsidR="00EF6C60" w:rsidRPr="006D37E7" w:rsidRDefault="00EF6C60" w:rsidP="00EF6C60">
      <w:pPr>
        <w:ind w:firstLine="709"/>
        <w:jc w:val="both"/>
        <w:rPr>
          <w:rFonts w:eastAsiaTheme="minorHAnsi"/>
          <w:lang w:eastAsia="en-US"/>
        </w:rPr>
      </w:pPr>
      <w:r w:rsidRPr="006D37E7">
        <w:rPr>
          <w:rFonts w:eastAsia="Calibri"/>
          <w:b/>
          <w:lang w:eastAsia="en-US"/>
        </w:rPr>
        <w:t xml:space="preserve">2.2. </w:t>
      </w:r>
      <w:r w:rsidRPr="006D37E7">
        <w:rPr>
          <w:rFonts w:eastAsia="Calibri"/>
          <w:lang w:eastAsia="en-US"/>
        </w:rPr>
        <w:t xml:space="preserve">– </w:t>
      </w:r>
      <w:r w:rsidRPr="006D37E7">
        <w:rPr>
          <w:rFonts w:eastAsiaTheme="minorHAnsi"/>
          <w:lang w:eastAsia="en-US"/>
        </w:rPr>
        <w:t>с целью</w:t>
      </w:r>
      <w:r w:rsidRPr="006D37E7">
        <w:t xml:space="preserve"> о</w:t>
      </w:r>
      <w:r w:rsidRPr="006D37E7">
        <w:rPr>
          <w:rFonts w:eastAsiaTheme="minorHAnsi"/>
          <w:lang w:eastAsia="en-US"/>
        </w:rPr>
        <w:t xml:space="preserve">беспечения соблюдения п.3 Порядка №633-п подготовить и внести  изменения в региональный перечень </w:t>
      </w:r>
      <w:r w:rsidR="003F44E2" w:rsidRPr="006D37E7">
        <w:rPr>
          <w:rFonts w:eastAsiaTheme="minorHAnsi"/>
          <w:lang w:eastAsia="en-US"/>
        </w:rPr>
        <w:t xml:space="preserve">государственных услуг </w:t>
      </w:r>
      <w:r w:rsidRPr="006D37E7">
        <w:rPr>
          <w:rFonts w:eastAsiaTheme="minorHAnsi"/>
          <w:lang w:eastAsia="en-US"/>
        </w:rPr>
        <w:t>в части уточнения кода общероссийского классификатора продукции по видам экономической деятельности по государственной работе «создание спектаклей».</w:t>
      </w:r>
    </w:p>
    <w:p w14:paraId="589C6186" w14:textId="77777777" w:rsidR="00EF6C60" w:rsidRPr="006D37E7" w:rsidRDefault="003F44E2" w:rsidP="00EF6C60">
      <w:pPr>
        <w:ind w:firstLine="709"/>
        <w:jc w:val="both"/>
      </w:pPr>
      <w:r w:rsidRPr="006D37E7">
        <w:rPr>
          <w:b/>
        </w:rPr>
        <w:t>2</w:t>
      </w:r>
      <w:r w:rsidR="00EF6C60" w:rsidRPr="006D37E7">
        <w:rPr>
          <w:b/>
        </w:rPr>
        <w:t xml:space="preserve">.3 </w:t>
      </w:r>
      <w:r w:rsidR="00EF6C60" w:rsidRPr="006D37E7">
        <w:t xml:space="preserve">– </w:t>
      </w:r>
      <w:r w:rsidR="00EF6C60" w:rsidRPr="006D37E7">
        <w:rPr>
          <w:rFonts w:eastAsiaTheme="minorHAnsi"/>
          <w:lang w:eastAsia="en-US"/>
        </w:rPr>
        <w:t xml:space="preserve">в целях реализации </w:t>
      </w:r>
      <w:r w:rsidR="00EF6C60" w:rsidRPr="006D37E7">
        <w:t xml:space="preserve">пунктов 2.1 и 2.3 Порядка осуществления контроля за деятельностью бюджетных и казенных учреждений Волгоградской области (утвержден постановлением Администрации Волгоградской области от 28.03.2011 №139-п) </w:t>
      </w:r>
      <w:r w:rsidR="00EF6C60" w:rsidRPr="006D37E7">
        <w:rPr>
          <w:rFonts w:eastAsiaTheme="minorHAnsi"/>
          <w:lang w:eastAsia="en-US"/>
        </w:rPr>
        <w:t xml:space="preserve">принять локальный акт, закрепляющий </w:t>
      </w:r>
      <w:r w:rsidR="00EF6C60" w:rsidRPr="006D37E7">
        <w:t xml:space="preserve">функции контроля по выполнению государственного задания за структурным подразделением Комитета; </w:t>
      </w:r>
    </w:p>
    <w:p w14:paraId="02564154" w14:textId="77777777" w:rsidR="00EF6C60" w:rsidRPr="006D37E7" w:rsidRDefault="003F44E2" w:rsidP="00EF6C60">
      <w:pPr>
        <w:ind w:firstLine="709"/>
        <w:jc w:val="both"/>
        <w:rPr>
          <w:i/>
        </w:rPr>
      </w:pPr>
      <w:r w:rsidRPr="006D37E7">
        <w:rPr>
          <w:rFonts w:eastAsiaTheme="minorHAnsi"/>
          <w:b/>
          <w:lang w:eastAsia="en-US"/>
        </w:rPr>
        <w:t>2</w:t>
      </w:r>
      <w:r w:rsidR="00EF6C60" w:rsidRPr="006D37E7">
        <w:rPr>
          <w:rFonts w:eastAsiaTheme="minorHAnsi"/>
          <w:b/>
          <w:lang w:eastAsia="en-US"/>
        </w:rPr>
        <w:t xml:space="preserve">.4. </w:t>
      </w:r>
      <w:r w:rsidR="00EF6C60" w:rsidRPr="006D37E7">
        <w:rPr>
          <w:rFonts w:eastAsiaTheme="minorHAnsi"/>
          <w:lang w:eastAsia="en-US"/>
        </w:rPr>
        <w:t xml:space="preserve">- принять меры к оплате Детской Филармонией за счет средств </w:t>
      </w:r>
      <w:r w:rsidRPr="006D37E7">
        <w:rPr>
          <w:rFonts w:eastAsiaTheme="minorHAnsi"/>
          <w:lang w:eastAsia="en-US"/>
        </w:rPr>
        <w:t>от</w:t>
      </w:r>
      <w:r w:rsidR="00EF6C60" w:rsidRPr="006D37E7">
        <w:rPr>
          <w:rFonts w:eastAsiaTheme="minorHAnsi"/>
          <w:lang w:eastAsia="en-US"/>
        </w:rPr>
        <w:t xml:space="preserve"> приносящей доход деятельности в областной бюджетной финансовых санкций (штрафов) за невыполнение показателей, характеризующих условия выполнения государственных услуг</w:t>
      </w:r>
      <w:r w:rsidR="00EF6C60" w:rsidRPr="006D37E7">
        <w:rPr>
          <w:i/>
        </w:rPr>
        <w:t>.</w:t>
      </w:r>
    </w:p>
    <w:p w14:paraId="4214D95B" w14:textId="77777777" w:rsidR="00EF6C60" w:rsidRPr="006D37E7" w:rsidRDefault="003F44E2" w:rsidP="00EF6C60">
      <w:pPr>
        <w:autoSpaceDE w:val="0"/>
        <w:autoSpaceDN w:val="0"/>
        <w:adjustRightInd w:val="0"/>
        <w:ind w:firstLine="709"/>
        <w:jc w:val="both"/>
      </w:pPr>
      <w:r w:rsidRPr="006D37E7">
        <w:rPr>
          <w:b/>
        </w:rPr>
        <w:t>3</w:t>
      </w:r>
      <w:r w:rsidR="00EF6C60" w:rsidRPr="006D37E7">
        <w:t xml:space="preserve">. Принять меры к возврату Институтом средств областного бюджета, использованных </w:t>
      </w:r>
      <w:r w:rsidRPr="006D37E7">
        <w:t xml:space="preserve"> не </w:t>
      </w:r>
      <w:r w:rsidR="00EF6C60" w:rsidRPr="006D37E7">
        <w:t>по целевому назначению в сумме</w:t>
      </w:r>
      <w:r w:rsidR="00EF6C60" w:rsidRPr="006D37E7">
        <w:rPr>
          <w:b/>
        </w:rPr>
        <w:t xml:space="preserve"> </w:t>
      </w:r>
      <w:r w:rsidR="00EF6C60" w:rsidRPr="006D37E7">
        <w:t>99,0 тыс. руб. при реализации мероприятия ПП Формирование доступной среды.</w:t>
      </w:r>
    </w:p>
    <w:p w14:paraId="34E3477C" w14:textId="77777777" w:rsidR="00EF6C60" w:rsidRPr="006D37E7" w:rsidRDefault="003F44E2" w:rsidP="00EF6C60">
      <w:pPr>
        <w:autoSpaceDE w:val="0"/>
        <w:autoSpaceDN w:val="0"/>
        <w:adjustRightInd w:val="0"/>
        <w:ind w:firstLine="709"/>
        <w:jc w:val="both"/>
      </w:pPr>
      <w:r w:rsidRPr="006D37E7">
        <w:rPr>
          <w:rFonts w:eastAsia="Calibri"/>
          <w:b/>
          <w:lang w:eastAsia="en-US"/>
        </w:rPr>
        <w:t>4</w:t>
      </w:r>
      <w:r w:rsidR="00EF6C60" w:rsidRPr="006D37E7">
        <w:rPr>
          <w:rFonts w:eastAsia="Calibri"/>
          <w:b/>
          <w:lang w:eastAsia="en-US"/>
        </w:rPr>
        <w:t>.</w:t>
      </w:r>
      <w:r w:rsidR="00EF6C60" w:rsidRPr="006D37E7">
        <w:rPr>
          <w:rFonts w:eastAsia="Calibri"/>
          <w:lang w:eastAsia="en-US"/>
        </w:rPr>
        <w:t xml:space="preserve"> С целью соблюдения требований </w:t>
      </w:r>
      <w:r w:rsidR="00EF6C60" w:rsidRPr="006D37E7">
        <w:rPr>
          <w:rFonts w:eastAsiaTheme="minorHAnsi"/>
          <w:lang w:eastAsia="en-US"/>
        </w:rPr>
        <w:t>Закона №97-ОД, Гражданского кодекса РФ</w:t>
      </w:r>
      <w:r w:rsidR="00EF6C60" w:rsidRPr="006D37E7">
        <w:rPr>
          <w:rFonts w:eastAsia="Calibri"/>
          <w:lang w:eastAsia="en-US"/>
        </w:rPr>
        <w:t xml:space="preserve"> и увеличения доходов от </w:t>
      </w:r>
      <w:r w:rsidR="00EF6C60" w:rsidRPr="006D37E7">
        <w:rPr>
          <w:rFonts w:eastAsiaTheme="minorHAnsi"/>
          <w:lang w:eastAsia="en-US"/>
        </w:rPr>
        <w:t>приносящей доход деятельности обеспечить</w:t>
      </w:r>
      <w:r w:rsidR="00EF6C60" w:rsidRPr="006D37E7">
        <w:t>:</w:t>
      </w:r>
    </w:p>
    <w:p w14:paraId="0E3A3F36" w14:textId="77777777" w:rsidR="00EF6C60" w:rsidRPr="006D37E7" w:rsidRDefault="003F44E2" w:rsidP="00EF6C60">
      <w:pPr>
        <w:ind w:firstLine="709"/>
        <w:jc w:val="both"/>
        <w:rPr>
          <w:rFonts w:eastAsia="Calibri"/>
          <w:lang w:eastAsia="en-US"/>
        </w:rPr>
      </w:pPr>
      <w:r w:rsidRPr="006D37E7">
        <w:rPr>
          <w:rFonts w:eastAsiaTheme="minorHAnsi"/>
          <w:b/>
          <w:lang w:eastAsia="en-US"/>
        </w:rPr>
        <w:t>4</w:t>
      </w:r>
      <w:r w:rsidR="00EF6C60" w:rsidRPr="006D37E7">
        <w:rPr>
          <w:rFonts w:eastAsiaTheme="minorHAnsi"/>
          <w:b/>
          <w:lang w:eastAsia="en-US"/>
        </w:rPr>
        <w:t>.1.</w:t>
      </w:r>
      <w:r w:rsidR="00EF6C60" w:rsidRPr="006D37E7">
        <w:rPr>
          <w:rFonts w:eastAsiaTheme="minorHAnsi"/>
          <w:lang w:eastAsia="en-US"/>
        </w:rPr>
        <w:t xml:space="preserve"> - р</w:t>
      </w:r>
      <w:r w:rsidR="00EF6C60" w:rsidRPr="006D37E7">
        <w:t xml:space="preserve">азработку и внесение на утверждение правового акта в Администрацию Волгоградской области, </w:t>
      </w:r>
      <w:r w:rsidR="00EF6C60" w:rsidRPr="006D37E7">
        <w:rPr>
          <w:rFonts w:eastAsiaTheme="minorHAnsi"/>
          <w:lang w:eastAsia="en-US"/>
        </w:rPr>
        <w:t>регламентирующего</w:t>
      </w:r>
      <w:r w:rsidR="00EF6C60" w:rsidRPr="006D37E7">
        <w:t xml:space="preserve"> порядок</w:t>
      </w:r>
      <w:r w:rsidR="00EF6C60" w:rsidRPr="006D37E7">
        <w:rPr>
          <w:rFonts w:eastAsiaTheme="minorHAnsi"/>
          <w:lang w:eastAsia="en-US"/>
        </w:rPr>
        <w:t xml:space="preserve"> передачи в собственность муниципальных образований или в оперативное управление общедоступных библиотек Волгоградской области </w:t>
      </w:r>
      <w:r w:rsidR="00EF6C60" w:rsidRPr="006D37E7">
        <w:rPr>
          <w:rFonts w:eastAsia="Calibri"/>
          <w:lang w:eastAsia="en-US"/>
        </w:rPr>
        <w:t>энциклопедий в количестве 17647 ед. на общую сумму 22628,8 тыс. руб.;</w:t>
      </w:r>
    </w:p>
    <w:p w14:paraId="6B97A1F4" w14:textId="77777777" w:rsidR="003F44E2" w:rsidRPr="006D37E7" w:rsidRDefault="003F44E2" w:rsidP="00EF6C60">
      <w:pPr>
        <w:ind w:firstLine="709"/>
        <w:jc w:val="both"/>
        <w:rPr>
          <w:rFonts w:eastAsia="Calibri"/>
          <w:lang w:eastAsia="en-US"/>
        </w:rPr>
      </w:pPr>
      <w:r w:rsidRPr="006D37E7">
        <w:rPr>
          <w:rFonts w:eastAsia="Calibri"/>
          <w:b/>
          <w:lang w:eastAsia="en-US"/>
        </w:rPr>
        <w:t>4.2</w:t>
      </w:r>
      <w:r w:rsidRPr="006D37E7">
        <w:rPr>
          <w:rFonts w:eastAsia="Calibri"/>
          <w:lang w:eastAsia="en-US"/>
        </w:rPr>
        <w:t>.- с целью формирования полного собрания томов энциклопедий в библиотеках, запросить от КУГИ информацию о ранее переданных энциклопедиях из казны Волгоградской области в муниципальные образования;</w:t>
      </w:r>
    </w:p>
    <w:p w14:paraId="332CF558" w14:textId="77777777" w:rsidR="00EF6C60" w:rsidRPr="006D37E7" w:rsidRDefault="003F44E2" w:rsidP="00EF6C60">
      <w:pPr>
        <w:ind w:firstLine="709"/>
        <w:jc w:val="both"/>
        <w:rPr>
          <w:rFonts w:eastAsiaTheme="minorHAnsi"/>
          <w:lang w:eastAsia="en-US"/>
        </w:rPr>
      </w:pPr>
      <w:r w:rsidRPr="006D37E7">
        <w:rPr>
          <w:rFonts w:eastAsia="Calibri"/>
          <w:b/>
          <w:lang w:eastAsia="en-US"/>
        </w:rPr>
        <w:t>4.3</w:t>
      </w:r>
      <w:r w:rsidR="00EF6C60" w:rsidRPr="006D37E7">
        <w:rPr>
          <w:rFonts w:eastAsia="Calibri"/>
          <w:b/>
          <w:lang w:eastAsia="en-US"/>
        </w:rPr>
        <w:t xml:space="preserve"> </w:t>
      </w:r>
      <w:r w:rsidR="00EF6C60" w:rsidRPr="006D37E7">
        <w:rPr>
          <w:rFonts w:eastAsia="Calibri"/>
          <w:lang w:eastAsia="en-US"/>
        </w:rPr>
        <w:t>– внесение</w:t>
      </w:r>
      <w:r w:rsidR="00EF6C60" w:rsidRPr="006D37E7">
        <w:rPr>
          <w:rFonts w:eastAsia="Calibri"/>
          <w:b/>
          <w:lang w:eastAsia="en-US"/>
        </w:rPr>
        <w:t xml:space="preserve"> </w:t>
      </w:r>
      <w:r w:rsidR="00EF6C60" w:rsidRPr="006D37E7">
        <w:rPr>
          <w:rFonts w:eastAsiaTheme="minorHAnsi"/>
          <w:lang w:eastAsia="en-US"/>
        </w:rPr>
        <w:t xml:space="preserve">изменений </w:t>
      </w:r>
      <w:r w:rsidR="00EF6C60" w:rsidRPr="006D37E7">
        <w:t xml:space="preserve">в Приказ №01-20/264 в части уточнения видов особо </w:t>
      </w:r>
      <w:r w:rsidR="00B9212D" w:rsidRPr="006D37E7">
        <w:t xml:space="preserve">ценного </w:t>
      </w:r>
      <w:r w:rsidR="00EF6C60" w:rsidRPr="006D37E7">
        <w:t>движимого имущества</w:t>
      </w:r>
      <w:r w:rsidR="00EF6C60" w:rsidRPr="006D37E7">
        <w:rPr>
          <w:rFonts w:eastAsiaTheme="minorHAnsi"/>
          <w:lang w:eastAsia="en-US"/>
        </w:rPr>
        <w:t xml:space="preserve"> в соответствии с Порядком № 510-п</w:t>
      </w:r>
      <w:r w:rsidR="00B9212D" w:rsidRPr="006D37E7">
        <w:rPr>
          <w:rFonts w:eastAsiaTheme="minorHAnsi"/>
          <w:lang w:eastAsia="en-US"/>
        </w:rPr>
        <w:t>;</w:t>
      </w:r>
    </w:p>
    <w:p w14:paraId="5ECCF36E" w14:textId="77777777" w:rsidR="00EF6C60" w:rsidRPr="006D37E7" w:rsidRDefault="003F44E2" w:rsidP="00EF6C60">
      <w:pPr>
        <w:ind w:firstLine="709"/>
        <w:jc w:val="both"/>
        <w:rPr>
          <w:rFonts w:eastAsiaTheme="minorHAnsi"/>
          <w:lang w:eastAsia="en-US"/>
        </w:rPr>
      </w:pPr>
      <w:r w:rsidRPr="006D37E7">
        <w:rPr>
          <w:b/>
        </w:rPr>
        <w:t>4</w:t>
      </w:r>
      <w:r w:rsidR="00EF6C60" w:rsidRPr="006D37E7">
        <w:rPr>
          <w:b/>
        </w:rPr>
        <w:t>.</w:t>
      </w:r>
      <w:r w:rsidRPr="006D37E7">
        <w:rPr>
          <w:b/>
        </w:rPr>
        <w:t>4</w:t>
      </w:r>
      <w:r w:rsidR="00EF6C60" w:rsidRPr="006D37E7">
        <w:t xml:space="preserve"> - передачу </w:t>
      </w:r>
      <w:r w:rsidR="00EF6C60" w:rsidRPr="006D37E7">
        <w:rPr>
          <w:rFonts w:eastAsiaTheme="minorHAnsi"/>
          <w:lang w:eastAsia="en-US"/>
        </w:rPr>
        <w:t>ГКУ ГАВО неиспользуемого имущества монографии «Дорога длинною в век» стоимостью 330,0 тыс. руб.</w:t>
      </w:r>
      <w:r w:rsidR="00B9212D" w:rsidRPr="006D37E7">
        <w:rPr>
          <w:rFonts w:eastAsiaTheme="minorHAnsi"/>
          <w:lang w:eastAsia="en-US"/>
        </w:rPr>
        <w:t>, в том числе в библиотеки Волгоградской области</w:t>
      </w:r>
      <w:r w:rsidR="00EF6C60" w:rsidRPr="006D37E7">
        <w:rPr>
          <w:rFonts w:eastAsiaTheme="minorHAnsi"/>
          <w:lang w:eastAsia="en-US"/>
        </w:rPr>
        <w:t>;</w:t>
      </w:r>
    </w:p>
    <w:p w14:paraId="77A3A138"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lastRenderedPageBreak/>
        <w:t>4</w:t>
      </w:r>
      <w:r w:rsidR="00EF6C60" w:rsidRPr="006D37E7">
        <w:rPr>
          <w:rFonts w:eastAsiaTheme="minorHAnsi"/>
          <w:b/>
          <w:lang w:eastAsia="en-US"/>
        </w:rPr>
        <w:t>.</w:t>
      </w:r>
      <w:r w:rsidRPr="006D37E7">
        <w:rPr>
          <w:rFonts w:eastAsiaTheme="minorHAnsi"/>
          <w:b/>
          <w:lang w:eastAsia="en-US"/>
        </w:rPr>
        <w:t>5</w:t>
      </w:r>
      <w:r w:rsidR="00EF6C60" w:rsidRPr="006D37E7">
        <w:rPr>
          <w:rFonts w:eastAsiaTheme="minorHAnsi"/>
          <w:lang w:eastAsia="en-US"/>
        </w:rPr>
        <w:t xml:space="preserve"> - внесение в перечни особо ценного имущества подведомственными учреждениями объект</w:t>
      </w:r>
      <w:r w:rsidR="00B9212D" w:rsidRPr="006D37E7">
        <w:rPr>
          <w:rFonts w:eastAsiaTheme="minorHAnsi"/>
          <w:lang w:eastAsia="en-US"/>
        </w:rPr>
        <w:t>ов</w:t>
      </w:r>
      <w:r w:rsidR="00EF6C60" w:rsidRPr="006D37E7">
        <w:rPr>
          <w:rFonts w:eastAsiaTheme="minorHAnsi"/>
          <w:lang w:eastAsia="en-US"/>
        </w:rPr>
        <w:t xml:space="preserve"> движимого имущества общей балансовой стоимостью 4603,7 тыс. руб.;</w:t>
      </w:r>
    </w:p>
    <w:p w14:paraId="5B6CCE83"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t>4</w:t>
      </w:r>
      <w:r w:rsidR="00EF6C60" w:rsidRPr="006D37E7">
        <w:rPr>
          <w:rFonts w:eastAsiaTheme="minorHAnsi"/>
          <w:b/>
          <w:lang w:eastAsia="en-US"/>
        </w:rPr>
        <w:t>.6</w:t>
      </w:r>
      <w:r w:rsidR="00EF6C60" w:rsidRPr="006D37E7">
        <w:rPr>
          <w:rFonts w:eastAsiaTheme="minorHAnsi"/>
          <w:lang w:eastAsia="en-US"/>
        </w:rPr>
        <w:t xml:space="preserve"> - использование движимого имущества, приобретенного подведомственными учреждениями и неиспользуемого ими в их уставной деятельности</w:t>
      </w:r>
      <w:r w:rsidR="00B9212D" w:rsidRPr="006D37E7">
        <w:rPr>
          <w:rFonts w:eastAsiaTheme="minorHAnsi"/>
          <w:lang w:eastAsia="en-US"/>
        </w:rPr>
        <w:t>,</w:t>
      </w:r>
      <w:r w:rsidR="00EF6C60" w:rsidRPr="006D37E7">
        <w:rPr>
          <w:rFonts w:eastAsiaTheme="minorHAnsi"/>
          <w:lang w:eastAsia="en-US"/>
        </w:rPr>
        <w:t xml:space="preserve"> на общую балансовую стоимость 3909,9 тыс. руб., в том числе путем его передачи другим государственным учреждениям Волгоградской области;</w:t>
      </w:r>
    </w:p>
    <w:p w14:paraId="783B6A74"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t>4</w:t>
      </w:r>
      <w:r w:rsidR="00EF6C60" w:rsidRPr="006D37E7">
        <w:rPr>
          <w:rFonts w:eastAsiaTheme="minorHAnsi"/>
          <w:b/>
          <w:lang w:eastAsia="en-US"/>
        </w:rPr>
        <w:t>.7</w:t>
      </w:r>
      <w:r w:rsidR="00EF6C60" w:rsidRPr="006D37E7">
        <w:rPr>
          <w:rFonts w:eastAsiaTheme="minorHAnsi"/>
          <w:lang w:eastAsia="en-US"/>
        </w:rPr>
        <w:t xml:space="preserve"> - закрепление на праве оперативного управления имущества Планетария;</w:t>
      </w:r>
    </w:p>
    <w:p w14:paraId="1A6FCF71"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t>4</w:t>
      </w:r>
      <w:r w:rsidR="00EF6C60" w:rsidRPr="006D37E7">
        <w:rPr>
          <w:rFonts w:eastAsiaTheme="minorHAnsi"/>
          <w:b/>
          <w:lang w:eastAsia="en-US"/>
        </w:rPr>
        <w:t>.8</w:t>
      </w:r>
      <w:r w:rsidR="00EF6C60" w:rsidRPr="006D37E7">
        <w:rPr>
          <w:rFonts w:eastAsiaTheme="minorHAnsi"/>
          <w:lang w:eastAsia="en-US"/>
        </w:rPr>
        <w:t xml:space="preserve"> - передачу Планетарию земельного участка в постоянное бессрочное пользование;</w:t>
      </w:r>
    </w:p>
    <w:p w14:paraId="4E75D9B9"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t>4</w:t>
      </w:r>
      <w:r w:rsidR="00EF6C60" w:rsidRPr="006D37E7">
        <w:rPr>
          <w:rFonts w:eastAsiaTheme="minorHAnsi"/>
          <w:b/>
          <w:lang w:eastAsia="en-US"/>
        </w:rPr>
        <w:t>.9</w:t>
      </w:r>
      <w:r w:rsidR="00EF6C60" w:rsidRPr="006D37E7">
        <w:rPr>
          <w:rFonts w:eastAsiaTheme="minorHAnsi"/>
          <w:lang w:eastAsia="en-US"/>
        </w:rPr>
        <w:t xml:space="preserve"> - оформление соглашени</w:t>
      </w:r>
      <w:r w:rsidR="00CE183D" w:rsidRPr="006D37E7">
        <w:rPr>
          <w:rFonts w:eastAsiaTheme="minorHAnsi"/>
          <w:lang w:eastAsia="en-US"/>
        </w:rPr>
        <w:t>я</w:t>
      </w:r>
      <w:r w:rsidR="00EF6C60" w:rsidRPr="006D37E7">
        <w:rPr>
          <w:rFonts w:eastAsiaTheme="minorHAnsi"/>
          <w:lang w:eastAsia="en-US"/>
        </w:rPr>
        <w:t xml:space="preserve"> на установление частичного сервитута на ограниченное пользование земельным участком для обслуживания стационарного поста наблюдения за загрязнением атмосферы, размещенном ФГБУ на метеоплощадке Планетария;</w:t>
      </w:r>
    </w:p>
    <w:p w14:paraId="1A2E667A" w14:textId="77777777" w:rsidR="00EF6C60" w:rsidRPr="006D37E7" w:rsidRDefault="003F44E2" w:rsidP="00EF6C60">
      <w:pPr>
        <w:ind w:firstLine="709"/>
        <w:jc w:val="both"/>
        <w:rPr>
          <w:rFonts w:eastAsiaTheme="minorHAnsi"/>
          <w:lang w:eastAsia="en-US"/>
        </w:rPr>
      </w:pPr>
      <w:r w:rsidRPr="006D37E7">
        <w:rPr>
          <w:rFonts w:eastAsiaTheme="minorHAnsi"/>
          <w:b/>
          <w:lang w:eastAsia="en-US"/>
        </w:rPr>
        <w:t>4</w:t>
      </w:r>
      <w:r w:rsidR="00EF6C60" w:rsidRPr="006D37E7">
        <w:rPr>
          <w:rFonts w:eastAsiaTheme="minorHAnsi"/>
          <w:b/>
          <w:lang w:eastAsia="en-US"/>
        </w:rPr>
        <w:t>.10</w:t>
      </w:r>
      <w:r w:rsidR="00EF6C60" w:rsidRPr="006D37E7">
        <w:rPr>
          <w:rFonts w:eastAsiaTheme="minorHAnsi"/>
          <w:lang w:eastAsia="en-US"/>
        </w:rPr>
        <w:t xml:space="preserve"> - оформление необходимых документов, подтверждающих право пользования ВМЭС нежилыми помещениями здания Планетария при размещении в них своего имущества;</w:t>
      </w:r>
    </w:p>
    <w:p w14:paraId="011E08C0" w14:textId="77777777" w:rsidR="00EF6C60" w:rsidRPr="006D37E7" w:rsidRDefault="003F44E2" w:rsidP="00EF6C60">
      <w:pPr>
        <w:autoSpaceDE w:val="0"/>
        <w:autoSpaceDN w:val="0"/>
        <w:adjustRightInd w:val="0"/>
        <w:ind w:firstLine="709"/>
        <w:jc w:val="both"/>
      </w:pPr>
      <w:r w:rsidRPr="006D37E7">
        <w:rPr>
          <w:b/>
        </w:rPr>
        <w:t>4</w:t>
      </w:r>
      <w:r w:rsidR="00EF6C60" w:rsidRPr="006D37E7">
        <w:rPr>
          <w:b/>
        </w:rPr>
        <w:t>.11</w:t>
      </w:r>
      <w:r w:rsidR="00EF6C60" w:rsidRPr="006D37E7">
        <w:t xml:space="preserve"> - оформление договоров аренды ВОЦНТ со сторонними организациями на проведение мероприятий, с ООО «Комбинат питания» путем согласования почасовой арендной платы, с ПАО «Мегафон» после проведения независимой оценки рыночной стоимости за пользование объектом</w:t>
      </w:r>
      <w:r w:rsidR="00CE183D" w:rsidRPr="006D37E7">
        <w:t>;</w:t>
      </w:r>
    </w:p>
    <w:p w14:paraId="78426A97" w14:textId="77777777" w:rsidR="00EF6C60" w:rsidRPr="006D37E7" w:rsidRDefault="003F44E2" w:rsidP="00EF6C60">
      <w:pPr>
        <w:autoSpaceDE w:val="0"/>
        <w:autoSpaceDN w:val="0"/>
        <w:adjustRightInd w:val="0"/>
        <w:ind w:firstLine="709"/>
        <w:jc w:val="both"/>
        <w:rPr>
          <w:color w:val="000000"/>
        </w:rPr>
      </w:pPr>
      <w:r w:rsidRPr="006D37E7">
        <w:rPr>
          <w:b/>
        </w:rPr>
        <w:t>4</w:t>
      </w:r>
      <w:r w:rsidR="00EF6C60" w:rsidRPr="006D37E7">
        <w:rPr>
          <w:b/>
        </w:rPr>
        <w:t xml:space="preserve">.12  - </w:t>
      </w:r>
      <w:r w:rsidR="00EF6C60" w:rsidRPr="006D37E7">
        <w:t xml:space="preserve">возмещение в областной бюджет за счет средств </w:t>
      </w:r>
      <w:r w:rsidR="00CE183D" w:rsidRPr="006D37E7">
        <w:t>от</w:t>
      </w:r>
      <w:r w:rsidR="00EF6C60" w:rsidRPr="006D37E7">
        <w:t xml:space="preserve"> приносящей доход деятельности расходов, произведенных за электроэнергию в сумме 250,8 тыс. руб., которые должны</w:t>
      </w:r>
      <w:r w:rsidR="00EF6C60" w:rsidRPr="006D37E7">
        <w:rPr>
          <w:color w:val="000000"/>
        </w:rPr>
        <w:t xml:space="preserve"> были оплачиваться ПАО «Мегафон» по отдельному договору с </w:t>
      </w:r>
      <w:proofErr w:type="spellStart"/>
      <w:r w:rsidR="00EF6C60" w:rsidRPr="006D37E7">
        <w:rPr>
          <w:color w:val="000000"/>
        </w:rPr>
        <w:t>электроснабжающей</w:t>
      </w:r>
      <w:proofErr w:type="spellEnd"/>
      <w:r w:rsidR="00EF6C60" w:rsidRPr="006D37E7">
        <w:rPr>
          <w:color w:val="000000"/>
        </w:rPr>
        <w:t xml:space="preserve"> организацией;</w:t>
      </w:r>
    </w:p>
    <w:p w14:paraId="27000F94" w14:textId="77777777" w:rsidR="00EF6C60" w:rsidRPr="006D37E7" w:rsidRDefault="003F44E2" w:rsidP="00EF6C60">
      <w:pPr>
        <w:autoSpaceDE w:val="0"/>
        <w:autoSpaceDN w:val="0"/>
        <w:adjustRightInd w:val="0"/>
        <w:ind w:firstLine="709"/>
        <w:jc w:val="both"/>
      </w:pPr>
      <w:r w:rsidRPr="006D37E7">
        <w:rPr>
          <w:b/>
          <w:color w:val="000000"/>
        </w:rPr>
        <w:t>4</w:t>
      </w:r>
      <w:r w:rsidR="00EF6C60" w:rsidRPr="006D37E7">
        <w:rPr>
          <w:b/>
          <w:color w:val="000000"/>
        </w:rPr>
        <w:t>.13</w:t>
      </w:r>
      <w:r w:rsidR="00EF6C60" w:rsidRPr="006D37E7">
        <w:rPr>
          <w:color w:val="000000"/>
        </w:rPr>
        <w:t xml:space="preserve"> -</w:t>
      </w:r>
      <w:r w:rsidR="00EF6C60" w:rsidRPr="006D37E7">
        <w:rPr>
          <w:rFonts w:eastAsiaTheme="minorHAnsi"/>
          <w:lang w:eastAsia="en-US"/>
        </w:rPr>
        <w:t xml:space="preserve"> приведение Интерактивным музеем локального акта по установлению льготных категорий в соответствии с </w:t>
      </w:r>
      <w:r w:rsidR="00EF6C60" w:rsidRPr="006D37E7">
        <w:t>Постановления № 473.</w:t>
      </w:r>
    </w:p>
    <w:p w14:paraId="4862755C" w14:textId="77777777" w:rsidR="00EF6C60" w:rsidRPr="006D37E7" w:rsidRDefault="00CE183D" w:rsidP="00EF6C60">
      <w:pPr>
        <w:ind w:firstLine="709"/>
        <w:jc w:val="both"/>
      </w:pPr>
      <w:r w:rsidRPr="006D37E7">
        <w:rPr>
          <w:b/>
        </w:rPr>
        <w:t>5</w:t>
      </w:r>
      <w:r w:rsidR="00EF6C60" w:rsidRPr="006D37E7">
        <w:rPr>
          <w:b/>
        </w:rPr>
        <w:t>.</w:t>
      </w:r>
      <w:r w:rsidR="00EF6C60" w:rsidRPr="006D37E7">
        <w:t xml:space="preserve"> Рассмотреть вопрос о привлечении к дисциплинарной ответственности сотрудников Комитета и подведомственных учреждений, допустивших искажения форм бюджетной отчетности, формирование объема финансового обеспечения государственных заданий без учета неиспользованных</w:t>
      </w:r>
      <w:r w:rsidR="00EF6C60" w:rsidRPr="006D37E7">
        <w:rPr>
          <w:rFonts w:eastAsiaTheme="minorHAnsi"/>
          <w:lang w:eastAsia="en-US"/>
        </w:rPr>
        <w:t xml:space="preserve"> остатков на 01.01.2018 года, предоставление статистической отчетности с недостоверными данными, невыполнение государственного задания, распоряжение имуществом с нарушением требований действующего законодательства.</w:t>
      </w:r>
    </w:p>
    <w:p w14:paraId="043D270A" w14:textId="77777777" w:rsidR="00EF6C60" w:rsidRPr="006D37E7" w:rsidRDefault="00EF6C60" w:rsidP="00EF6C60">
      <w:pPr>
        <w:autoSpaceDE w:val="0"/>
        <w:autoSpaceDN w:val="0"/>
        <w:adjustRightInd w:val="0"/>
        <w:ind w:firstLine="709"/>
        <w:jc w:val="both"/>
        <w:rPr>
          <w:rFonts w:eastAsia="Calibri"/>
        </w:rPr>
      </w:pPr>
    </w:p>
    <w:p w14:paraId="390F4B3A" w14:textId="77777777" w:rsidR="00CE183D" w:rsidRPr="006D37E7" w:rsidRDefault="00CE183D" w:rsidP="00EF6C60">
      <w:pPr>
        <w:autoSpaceDE w:val="0"/>
        <w:autoSpaceDN w:val="0"/>
        <w:adjustRightInd w:val="0"/>
        <w:ind w:firstLine="709"/>
        <w:jc w:val="both"/>
        <w:rPr>
          <w:rFonts w:eastAsia="Calibri"/>
        </w:rPr>
      </w:pPr>
    </w:p>
    <w:p w14:paraId="1AC5CA70" w14:textId="77777777" w:rsidR="00C03D28" w:rsidRPr="006D37E7" w:rsidRDefault="00C03D28" w:rsidP="00EF6C60">
      <w:pPr>
        <w:autoSpaceDE w:val="0"/>
        <w:autoSpaceDN w:val="0"/>
        <w:adjustRightInd w:val="0"/>
        <w:ind w:firstLine="709"/>
        <w:jc w:val="both"/>
        <w:rPr>
          <w:rFonts w:eastAsia="Calibri"/>
        </w:rPr>
      </w:pPr>
    </w:p>
    <w:p w14:paraId="30F3E06A" w14:textId="77777777" w:rsidR="00C03D28" w:rsidRPr="006D37E7" w:rsidRDefault="00C03D28" w:rsidP="00EF6C60">
      <w:pPr>
        <w:autoSpaceDE w:val="0"/>
        <w:autoSpaceDN w:val="0"/>
        <w:adjustRightInd w:val="0"/>
        <w:ind w:firstLine="709"/>
        <w:jc w:val="both"/>
        <w:rPr>
          <w:rFonts w:eastAsia="Calibri"/>
        </w:rPr>
      </w:pPr>
    </w:p>
    <w:p w14:paraId="16F4FF0D" w14:textId="77777777" w:rsidR="00EF6C60" w:rsidRDefault="00EF6C60" w:rsidP="00EF6C60">
      <w:pPr>
        <w:autoSpaceDE w:val="0"/>
        <w:autoSpaceDN w:val="0"/>
        <w:adjustRightInd w:val="0"/>
        <w:ind w:firstLine="709"/>
        <w:jc w:val="both"/>
        <w:rPr>
          <w:b/>
        </w:rPr>
      </w:pPr>
      <w:r w:rsidRPr="006D37E7">
        <w:rPr>
          <w:b/>
        </w:rPr>
        <w:t xml:space="preserve">Аудитор </w:t>
      </w:r>
      <w:r w:rsidRPr="006D37E7">
        <w:rPr>
          <w:b/>
        </w:rPr>
        <w:tab/>
      </w:r>
      <w:r w:rsidRPr="006D37E7">
        <w:rPr>
          <w:b/>
        </w:rPr>
        <w:tab/>
      </w:r>
      <w:r w:rsidRPr="006D37E7">
        <w:rPr>
          <w:b/>
        </w:rPr>
        <w:tab/>
      </w:r>
      <w:r w:rsidRPr="006D37E7">
        <w:rPr>
          <w:b/>
        </w:rPr>
        <w:tab/>
      </w:r>
      <w:r w:rsidRPr="006D37E7">
        <w:rPr>
          <w:b/>
        </w:rPr>
        <w:tab/>
      </w:r>
      <w:r w:rsidRPr="006D37E7">
        <w:rPr>
          <w:b/>
        </w:rPr>
        <w:tab/>
      </w:r>
      <w:r w:rsidRPr="006D37E7">
        <w:rPr>
          <w:b/>
        </w:rPr>
        <w:tab/>
      </w:r>
      <w:r w:rsidRPr="006D37E7">
        <w:rPr>
          <w:b/>
        </w:rPr>
        <w:tab/>
        <w:t>М.Е. Татаринцев</w:t>
      </w:r>
    </w:p>
    <w:p w14:paraId="4FE96692" w14:textId="77777777" w:rsidR="00D86B7B" w:rsidRDefault="00D86B7B" w:rsidP="007B007D">
      <w:pPr>
        <w:ind w:firstLine="708"/>
        <w:jc w:val="both"/>
      </w:pPr>
    </w:p>
    <w:sectPr w:rsidR="00D86B7B" w:rsidSect="001A10C3">
      <w:headerReference w:type="even" r:id="rId14"/>
      <w:headerReference w:type="default" r:id="rId15"/>
      <w:footerReference w:type="even" r:id="rId16"/>
      <w:footerReference w:type="default" r:id="rId17"/>
      <w:headerReference w:type="first" r:id="rId18"/>
      <w:footerReference w:type="first" r:id="rId19"/>
      <w:pgSz w:w="11906" w:h="16838" w:code="9"/>
      <w:pgMar w:top="794" w:right="851" w:bottom="79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B8F7F" w14:textId="77777777" w:rsidR="00CB3258" w:rsidRDefault="00CB3258" w:rsidP="0087132E">
      <w:r>
        <w:separator/>
      </w:r>
    </w:p>
  </w:endnote>
  <w:endnote w:type="continuationSeparator" w:id="0">
    <w:p w14:paraId="0E2051AB" w14:textId="77777777" w:rsidR="00CB3258" w:rsidRDefault="00CB3258" w:rsidP="0087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5780" w14:textId="77777777" w:rsidR="00CF6D9F" w:rsidRDefault="00CF6D9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6843" w14:textId="77777777" w:rsidR="00CF6D9F" w:rsidRDefault="00CF6D9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287" w14:textId="77777777" w:rsidR="00CF6D9F" w:rsidRDefault="00CF6D9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638B" w14:textId="77777777" w:rsidR="00CB3258" w:rsidRDefault="00CB3258" w:rsidP="0087132E">
      <w:r>
        <w:separator/>
      </w:r>
    </w:p>
  </w:footnote>
  <w:footnote w:type="continuationSeparator" w:id="0">
    <w:p w14:paraId="5B095D44" w14:textId="77777777" w:rsidR="00CB3258" w:rsidRDefault="00CB3258" w:rsidP="0087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4C50" w14:textId="77777777" w:rsidR="00CF6D9F" w:rsidRDefault="00CF6D9F" w:rsidP="00E5466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1C4725" w14:textId="77777777" w:rsidR="00CF6D9F" w:rsidRDefault="00CF6D9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BF19" w14:textId="77777777" w:rsidR="00CF6D9F" w:rsidRDefault="00CF6D9F" w:rsidP="00E5466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D37E7">
      <w:rPr>
        <w:rStyle w:val="a9"/>
        <w:noProof/>
      </w:rPr>
      <w:t>26</w:t>
    </w:r>
    <w:r>
      <w:rPr>
        <w:rStyle w:val="a9"/>
      </w:rPr>
      <w:fldChar w:fldCharType="end"/>
    </w:r>
  </w:p>
  <w:p w14:paraId="18CDFBB3" w14:textId="77777777" w:rsidR="00CF6D9F" w:rsidRDefault="00CF6D9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21D3" w14:textId="77777777" w:rsidR="00CF6D9F" w:rsidRDefault="00CF6D9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D49"/>
    <w:multiLevelType w:val="hybridMultilevel"/>
    <w:tmpl w:val="A5C2A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B28A3"/>
    <w:multiLevelType w:val="hybridMultilevel"/>
    <w:tmpl w:val="9D402D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E65BF2"/>
    <w:multiLevelType w:val="hybridMultilevel"/>
    <w:tmpl w:val="5BAAFCFE"/>
    <w:lvl w:ilvl="0" w:tplc="773A7726">
      <w:start w:val="1"/>
      <w:numFmt w:val="decimal"/>
      <w:lvlText w:val="%1."/>
      <w:lvlJc w:val="left"/>
      <w:pPr>
        <w:tabs>
          <w:tab w:val="num" w:pos="567"/>
        </w:tabs>
        <w:ind w:left="397"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3B542C"/>
    <w:multiLevelType w:val="hybridMultilevel"/>
    <w:tmpl w:val="B6C05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16D14"/>
    <w:multiLevelType w:val="hybridMultilevel"/>
    <w:tmpl w:val="C5DE57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C141F03"/>
    <w:multiLevelType w:val="hybridMultilevel"/>
    <w:tmpl w:val="E9D8B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37AA0"/>
    <w:multiLevelType w:val="hybridMultilevel"/>
    <w:tmpl w:val="360029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0D3E4795"/>
    <w:multiLevelType w:val="hybridMultilevel"/>
    <w:tmpl w:val="C6B487D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0F142765"/>
    <w:multiLevelType w:val="hybridMultilevel"/>
    <w:tmpl w:val="2B141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254414"/>
    <w:multiLevelType w:val="hybridMultilevel"/>
    <w:tmpl w:val="285CCEB6"/>
    <w:lvl w:ilvl="0" w:tplc="B9F8E2A4">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601" w:hanging="360"/>
      </w:pPr>
      <w:rPr>
        <w:rFonts w:ascii="Courier New" w:hAnsi="Courier New" w:hint="default"/>
      </w:rPr>
    </w:lvl>
    <w:lvl w:ilvl="2" w:tplc="04190005" w:tentative="1">
      <w:start w:val="1"/>
      <w:numFmt w:val="bullet"/>
      <w:lvlText w:val=""/>
      <w:lvlJc w:val="left"/>
      <w:pPr>
        <w:ind w:left="1321" w:hanging="360"/>
      </w:pPr>
      <w:rPr>
        <w:rFonts w:ascii="Wingdings" w:hAnsi="Wingdings" w:hint="default"/>
      </w:rPr>
    </w:lvl>
    <w:lvl w:ilvl="3" w:tplc="04190001" w:tentative="1">
      <w:start w:val="1"/>
      <w:numFmt w:val="bullet"/>
      <w:lvlText w:val=""/>
      <w:lvlJc w:val="left"/>
      <w:pPr>
        <w:ind w:left="2041" w:hanging="360"/>
      </w:pPr>
      <w:rPr>
        <w:rFonts w:ascii="Symbol" w:hAnsi="Symbol" w:hint="default"/>
      </w:rPr>
    </w:lvl>
    <w:lvl w:ilvl="4" w:tplc="04190003" w:tentative="1">
      <w:start w:val="1"/>
      <w:numFmt w:val="bullet"/>
      <w:lvlText w:val="o"/>
      <w:lvlJc w:val="left"/>
      <w:pPr>
        <w:ind w:left="2761" w:hanging="360"/>
      </w:pPr>
      <w:rPr>
        <w:rFonts w:ascii="Courier New" w:hAnsi="Courier New" w:hint="default"/>
      </w:rPr>
    </w:lvl>
    <w:lvl w:ilvl="5" w:tplc="04190005" w:tentative="1">
      <w:start w:val="1"/>
      <w:numFmt w:val="bullet"/>
      <w:lvlText w:val=""/>
      <w:lvlJc w:val="left"/>
      <w:pPr>
        <w:ind w:left="3481" w:hanging="360"/>
      </w:pPr>
      <w:rPr>
        <w:rFonts w:ascii="Wingdings" w:hAnsi="Wingdings" w:hint="default"/>
      </w:rPr>
    </w:lvl>
    <w:lvl w:ilvl="6" w:tplc="04190001" w:tentative="1">
      <w:start w:val="1"/>
      <w:numFmt w:val="bullet"/>
      <w:lvlText w:val=""/>
      <w:lvlJc w:val="left"/>
      <w:pPr>
        <w:ind w:left="4201" w:hanging="360"/>
      </w:pPr>
      <w:rPr>
        <w:rFonts w:ascii="Symbol" w:hAnsi="Symbol" w:hint="default"/>
      </w:rPr>
    </w:lvl>
    <w:lvl w:ilvl="7" w:tplc="04190003" w:tentative="1">
      <w:start w:val="1"/>
      <w:numFmt w:val="bullet"/>
      <w:lvlText w:val="o"/>
      <w:lvlJc w:val="left"/>
      <w:pPr>
        <w:ind w:left="4921" w:hanging="360"/>
      </w:pPr>
      <w:rPr>
        <w:rFonts w:ascii="Courier New" w:hAnsi="Courier New" w:hint="default"/>
      </w:rPr>
    </w:lvl>
    <w:lvl w:ilvl="8" w:tplc="04190005" w:tentative="1">
      <w:start w:val="1"/>
      <w:numFmt w:val="bullet"/>
      <w:lvlText w:val=""/>
      <w:lvlJc w:val="left"/>
      <w:pPr>
        <w:ind w:left="5641" w:hanging="360"/>
      </w:pPr>
      <w:rPr>
        <w:rFonts w:ascii="Wingdings" w:hAnsi="Wingdings" w:hint="default"/>
      </w:rPr>
    </w:lvl>
  </w:abstractNum>
  <w:abstractNum w:abstractNumId="10" w15:restartNumberingAfterBreak="0">
    <w:nsid w:val="152D0658"/>
    <w:multiLevelType w:val="hybridMultilevel"/>
    <w:tmpl w:val="5A4C82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0706E15"/>
    <w:multiLevelType w:val="hybridMultilevel"/>
    <w:tmpl w:val="0AB05B94"/>
    <w:lvl w:ilvl="0" w:tplc="D6F053D8">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1195516"/>
    <w:multiLevelType w:val="hybridMultilevel"/>
    <w:tmpl w:val="99585BCA"/>
    <w:lvl w:ilvl="0" w:tplc="E1BA4D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DC6E06"/>
    <w:multiLevelType w:val="hybridMultilevel"/>
    <w:tmpl w:val="54F24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DF301B"/>
    <w:multiLevelType w:val="multilevel"/>
    <w:tmpl w:val="ABE6498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3FB65EDB"/>
    <w:multiLevelType w:val="hybridMultilevel"/>
    <w:tmpl w:val="89E00092"/>
    <w:lvl w:ilvl="0" w:tplc="E4CADF5C">
      <w:start w:val="1"/>
      <w:numFmt w:val="decimal"/>
      <w:lvlText w:val="%1)"/>
      <w:lvlJc w:val="left"/>
      <w:pPr>
        <w:ind w:left="1774"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4070A1B"/>
    <w:multiLevelType w:val="hybridMultilevel"/>
    <w:tmpl w:val="BB10C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726BC8"/>
    <w:multiLevelType w:val="hybridMultilevel"/>
    <w:tmpl w:val="BAE6A570"/>
    <w:lvl w:ilvl="0" w:tplc="D0CE06F2">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3A0F5A"/>
    <w:multiLevelType w:val="hybridMultilevel"/>
    <w:tmpl w:val="D592CB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601B82"/>
    <w:multiLevelType w:val="hybridMultilevel"/>
    <w:tmpl w:val="DC7CFC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C671907"/>
    <w:multiLevelType w:val="hybridMultilevel"/>
    <w:tmpl w:val="BC72F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2F63503"/>
    <w:multiLevelType w:val="hybridMultilevel"/>
    <w:tmpl w:val="D6CCD6E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15:restartNumberingAfterBreak="0">
    <w:nsid w:val="665D4778"/>
    <w:multiLevelType w:val="hybridMultilevel"/>
    <w:tmpl w:val="4CCE0468"/>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D9A749B"/>
    <w:multiLevelType w:val="hybridMultilevel"/>
    <w:tmpl w:val="7F9AA2F2"/>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4" w15:restartNumberingAfterBreak="0">
    <w:nsid w:val="6EE10050"/>
    <w:multiLevelType w:val="hybridMultilevel"/>
    <w:tmpl w:val="63A047E0"/>
    <w:lvl w:ilvl="0" w:tplc="9DFC694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39C6FCF"/>
    <w:multiLevelType w:val="hybridMultilevel"/>
    <w:tmpl w:val="71F08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2"/>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9"/>
  </w:num>
  <w:num w:numId="9">
    <w:abstractNumId w:val="25"/>
  </w:num>
  <w:num w:numId="10">
    <w:abstractNumId w:val="7"/>
  </w:num>
  <w:num w:numId="11">
    <w:abstractNumId w:val="13"/>
  </w:num>
  <w:num w:numId="12">
    <w:abstractNumId w:val="21"/>
  </w:num>
  <w:num w:numId="13">
    <w:abstractNumId w:val="5"/>
  </w:num>
  <w:num w:numId="14">
    <w:abstractNumId w:val="22"/>
  </w:num>
  <w:num w:numId="15">
    <w:abstractNumId w:val="15"/>
  </w:num>
  <w:num w:numId="16">
    <w:abstractNumId w:val="11"/>
  </w:num>
  <w:num w:numId="17">
    <w:abstractNumId w:val="1"/>
  </w:num>
  <w:num w:numId="18">
    <w:abstractNumId w:val="24"/>
  </w:num>
  <w:num w:numId="19">
    <w:abstractNumId w:val="14"/>
  </w:num>
  <w:num w:numId="20">
    <w:abstractNumId w:val="18"/>
  </w:num>
  <w:num w:numId="21">
    <w:abstractNumId w:val="23"/>
  </w:num>
  <w:num w:numId="22">
    <w:abstractNumId w:val="20"/>
  </w:num>
  <w:num w:numId="23">
    <w:abstractNumId w:val="4"/>
  </w:num>
  <w:num w:numId="24">
    <w:abstractNumId w:val="3"/>
  </w:num>
  <w:num w:numId="25">
    <w:abstractNumId w:val="6"/>
  </w:num>
  <w:num w:numId="26">
    <w:abstractNumId w:val="16"/>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C31"/>
    <w:rsid w:val="00006B33"/>
    <w:rsid w:val="00010A1D"/>
    <w:rsid w:val="0001158A"/>
    <w:rsid w:val="000115D5"/>
    <w:rsid w:val="000212AE"/>
    <w:rsid w:val="00022662"/>
    <w:rsid w:val="000233AF"/>
    <w:rsid w:val="00025EC8"/>
    <w:rsid w:val="00027495"/>
    <w:rsid w:val="00031807"/>
    <w:rsid w:val="00032297"/>
    <w:rsid w:val="0004041F"/>
    <w:rsid w:val="00040D36"/>
    <w:rsid w:val="0004293C"/>
    <w:rsid w:val="00047797"/>
    <w:rsid w:val="00047C12"/>
    <w:rsid w:val="00047D9D"/>
    <w:rsid w:val="00051770"/>
    <w:rsid w:val="00052D8A"/>
    <w:rsid w:val="00056415"/>
    <w:rsid w:val="00064B9D"/>
    <w:rsid w:val="00064DB2"/>
    <w:rsid w:val="00066707"/>
    <w:rsid w:val="00071011"/>
    <w:rsid w:val="0007499A"/>
    <w:rsid w:val="00082C71"/>
    <w:rsid w:val="000842A5"/>
    <w:rsid w:val="00084698"/>
    <w:rsid w:val="00084D19"/>
    <w:rsid w:val="00084E57"/>
    <w:rsid w:val="00086FCA"/>
    <w:rsid w:val="0009080F"/>
    <w:rsid w:val="00090C6C"/>
    <w:rsid w:val="0009664D"/>
    <w:rsid w:val="000A192B"/>
    <w:rsid w:val="000A2101"/>
    <w:rsid w:val="000A2D7C"/>
    <w:rsid w:val="000A5450"/>
    <w:rsid w:val="000A5460"/>
    <w:rsid w:val="000B1884"/>
    <w:rsid w:val="000B3618"/>
    <w:rsid w:val="000B58F0"/>
    <w:rsid w:val="000C65B4"/>
    <w:rsid w:val="000C6AC0"/>
    <w:rsid w:val="000D079E"/>
    <w:rsid w:val="000D2988"/>
    <w:rsid w:val="000D7AC5"/>
    <w:rsid w:val="000E00CD"/>
    <w:rsid w:val="000F0E2F"/>
    <w:rsid w:val="000F228C"/>
    <w:rsid w:val="000F33BA"/>
    <w:rsid w:val="000F3CDC"/>
    <w:rsid w:val="000F6819"/>
    <w:rsid w:val="00100A1A"/>
    <w:rsid w:val="00102F93"/>
    <w:rsid w:val="0011553E"/>
    <w:rsid w:val="0011701B"/>
    <w:rsid w:val="00120010"/>
    <w:rsid w:val="00120B41"/>
    <w:rsid w:val="00121033"/>
    <w:rsid w:val="00123D75"/>
    <w:rsid w:val="00123D95"/>
    <w:rsid w:val="001244D9"/>
    <w:rsid w:val="00124D7A"/>
    <w:rsid w:val="0012625E"/>
    <w:rsid w:val="00126E06"/>
    <w:rsid w:val="00131EDC"/>
    <w:rsid w:val="0013211F"/>
    <w:rsid w:val="00132979"/>
    <w:rsid w:val="00132ABB"/>
    <w:rsid w:val="00133BD8"/>
    <w:rsid w:val="0013587D"/>
    <w:rsid w:val="001422C9"/>
    <w:rsid w:val="00142D38"/>
    <w:rsid w:val="00165D30"/>
    <w:rsid w:val="00171D11"/>
    <w:rsid w:val="001734DF"/>
    <w:rsid w:val="00180F43"/>
    <w:rsid w:val="00181D85"/>
    <w:rsid w:val="00183D8B"/>
    <w:rsid w:val="0019333C"/>
    <w:rsid w:val="001957EE"/>
    <w:rsid w:val="00196EC4"/>
    <w:rsid w:val="001A10C3"/>
    <w:rsid w:val="001A39FD"/>
    <w:rsid w:val="001A57B3"/>
    <w:rsid w:val="001A63AF"/>
    <w:rsid w:val="001A7EDF"/>
    <w:rsid w:val="001B1899"/>
    <w:rsid w:val="001B6008"/>
    <w:rsid w:val="001C1CC4"/>
    <w:rsid w:val="001C2BD5"/>
    <w:rsid w:val="001C5AAC"/>
    <w:rsid w:val="001D01B6"/>
    <w:rsid w:val="001D0ED2"/>
    <w:rsid w:val="001D161E"/>
    <w:rsid w:val="001D1CEB"/>
    <w:rsid w:val="001D4AF1"/>
    <w:rsid w:val="001D4ECD"/>
    <w:rsid w:val="001D54EB"/>
    <w:rsid w:val="001E199B"/>
    <w:rsid w:val="001E28AD"/>
    <w:rsid w:val="001E2D39"/>
    <w:rsid w:val="001E2E13"/>
    <w:rsid w:val="001E375F"/>
    <w:rsid w:val="001E7D7D"/>
    <w:rsid w:val="001F3343"/>
    <w:rsid w:val="001F4D2E"/>
    <w:rsid w:val="001F6026"/>
    <w:rsid w:val="00207EEA"/>
    <w:rsid w:val="002142F0"/>
    <w:rsid w:val="0022390D"/>
    <w:rsid w:val="00223F9D"/>
    <w:rsid w:val="0023376D"/>
    <w:rsid w:val="00257C94"/>
    <w:rsid w:val="002667A3"/>
    <w:rsid w:val="002718A9"/>
    <w:rsid w:val="002727B3"/>
    <w:rsid w:val="00272DB0"/>
    <w:rsid w:val="00273CC3"/>
    <w:rsid w:val="0029504D"/>
    <w:rsid w:val="002A14EB"/>
    <w:rsid w:val="002A4C7A"/>
    <w:rsid w:val="002A5F24"/>
    <w:rsid w:val="002A61E6"/>
    <w:rsid w:val="002A6791"/>
    <w:rsid w:val="002A73BD"/>
    <w:rsid w:val="002B316E"/>
    <w:rsid w:val="002C31A9"/>
    <w:rsid w:val="002C71BF"/>
    <w:rsid w:val="002C73DC"/>
    <w:rsid w:val="002C7F4F"/>
    <w:rsid w:val="002D18A8"/>
    <w:rsid w:val="002D30D6"/>
    <w:rsid w:val="002D3571"/>
    <w:rsid w:val="002E445D"/>
    <w:rsid w:val="002F0F3C"/>
    <w:rsid w:val="003049B5"/>
    <w:rsid w:val="00304E06"/>
    <w:rsid w:val="0030602D"/>
    <w:rsid w:val="00307465"/>
    <w:rsid w:val="003074BE"/>
    <w:rsid w:val="00311427"/>
    <w:rsid w:val="003115F0"/>
    <w:rsid w:val="00314B39"/>
    <w:rsid w:val="003211B1"/>
    <w:rsid w:val="00321434"/>
    <w:rsid w:val="00321865"/>
    <w:rsid w:val="00327A73"/>
    <w:rsid w:val="00333886"/>
    <w:rsid w:val="0033614C"/>
    <w:rsid w:val="00344207"/>
    <w:rsid w:val="00345E30"/>
    <w:rsid w:val="00352E27"/>
    <w:rsid w:val="0035472A"/>
    <w:rsid w:val="0035626F"/>
    <w:rsid w:val="00357DE1"/>
    <w:rsid w:val="00360D87"/>
    <w:rsid w:val="00363D99"/>
    <w:rsid w:val="00365890"/>
    <w:rsid w:val="00372B45"/>
    <w:rsid w:val="00375258"/>
    <w:rsid w:val="00384551"/>
    <w:rsid w:val="00387A5D"/>
    <w:rsid w:val="00390CD8"/>
    <w:rsid w:val="00391F2D"/>
    <w:rsid w:val="00392C58"/>
    <w:rsid w:val="00393A88"/>
    <w:rsid w:val="003961C4"/>
    <w:rsid w:val="0039764F"/>
    <w:rsid w:val="003A0A6A"/>
    <w:rsid w:val="003A6CED"/>
    <w:rsid w:val="003A7AE4"/>
    <w:rsid w:val="003B62C7"/>
    <w:rsid w:val="003C073C"/>
    <w:rsid w:val="003C2614"/>
    <w:rsid w:val="003C2A45"/>
    <w:rsid w:val="003F022C"/>
    <w:rsid w:val="003F44E2"/>
    <w:rsid w:val="003F491B"/>
    <w:rsid w:val="004020B5"/>
    <w:rsid w:val="00404F27"/>
    <w:rsid w:val="0041008C"/>
    <w:rsid w:val="00411045"/>
    <w:rsid w:val="00413604"/>
    <w:rsid w:val="00420C3E"/>
    <w:rsid w:val="00423A84"/>
    <w:rsid w:val="0042492C"/>
    <w:rsid w:val="00430C84"/>
    <w:rsid w:val="004312EA"/>
    <w:rsid w:val="004328ED"/>
    <w:rsid w:val="00440186"/>
    <w:rsid w:val="00447758"/>
    <w:rsid w:val="0045085D"/>
    <w:rsid w:val="00450C7C"/>
    <w:rsid w:val="004542C3"/>
    <w:rsid w:val="004549C6"/>
    <w:rsid w:val="004610FD"/>
    <w:rsid w:val="00463D27"/>
    <w:rsid w:val="004645B7"/>
    <w:rsid w:val="00466F92"/>
    <w:rsid w:val="00472F1C"/>
    <w:rsid w:val="00474E8B"/>
    <w:rsid w:val="004802FA"/>
    <w:rsid w:val="004817B5"/>
    <w:rsid w:val="004834F3"/>
    <w:rsid w:val="00491F5C"/>
    <w:rsid w:val="00495F05"/>
    <w:rsid w:val="004B102B"/>
    <w:rsid w:val="004C0D57"/>
    <w:rsid w:val="004C1367"/>
    <w:rsid w:val="004C3327"/>
    <w:rsid w:val="004D0397"/>
    <w:rsid w:val="004E5C9F"/>
    <w:rsid w:val="004F230F"/>
    <w:rsid w:val="004F235B"/>
    <w:rsid w:val="004F24E9"/>
    <w:rsid w:val="004F49C3"/>
    <w:rsid w:val="00502332"/>
    <w:rsid w:val="0050289D"/>
    <w:rsid w:val="00504117"/>
    <w:rsid w:val="0050631A"/>
    <w:rsid w:val="00513B60"/>
    <w:rsid w:val="00522C1E"/>
    <w:rsid w:val="00527DF9"/>
    <w:rsid w:val="00530AF0"/>
    <w:rsid w:val="0054694E"/>
    <w:rsid w:val="00556035"/>
    <w:rsid w:val="0056413D"/>
    <w:rsid w:val="00564442"/>
    <w:rsid w:val="005725A5"/>
    <w:rsid w:val="005728AD"/>
    <w:rsid w:val="005730D1"/>
    <w:rsid w:val="00575B3A"/>
    <w:rsid w:val="00577F0B"/>
    <w:rsid w:val="0058376A"/>
    <w:rsid w:val="0058409B"/>
    <w:rsid w:val="00584C8F"/>
    <w:rsid w:val="00584CCE"/>
    <w:rsid w:val="0058503A"/>
    <w:rsid w:val="00586C3B"/>
    <w:rsid w:val="00587500"/>
    <w:rsid w:val="00591438"/>
    <w:rsid w:val="005920F2"/>
    <w:rsid w:val="00592664"/>
    <w:rsid w:val="005928B5"/>
    <w:rsid w:val="005978EF"/>
    <w:rsid w:val="005A1337"/>
    <w:rsid w:val="005A15D5"/>
    <w:rsid w:val="005A3FE2"/>
    <w:rsid w:val="005A5A1C"/>
    <w:rsid w:val="005A5DD4"/>
    <w:rsid w:val="005A75A0"/>
    <w:rsid w:val="005B2692"/>
    <w:rsid w:val="005B5B4D"/>
    <w:rsid w:val="005C44BA"/>
    <w:rsid w:val="005C7270"/>
    <w:rsid w:val="005C7A2C"/>
    <w:rsid w:val="005D10F9"/>
    <w:rsid w:val="005D110A"/>
    <w:rsid w:val="005D27D6"/>
    <w:rsid w:val="005D2ED9"/>
    <w:rsid w:val="005D3E40"/>
    <w:rsid w:val="005D6A93"/>
    <w:rsid w:val="005D6B44"/>
    <w:rsid w:val="005F0DE0"/>
    <w:rsid w:val="006024A9"/>
    <w:rsid w:val="0060495A"/>
    <w:rsid w:val="006070C5"/>
    <w:rsid w:val="00616DBC"/>
    <w:rsid w:val="00620146"/>
    <w:rsid w:val="00625661"/>
    <w:rsid w:val="00625E1B"/>
    <w:rsid w:val="00626948"/>
    <w:rsid w:val="00631DD2"/>
    <w:rsid w:val="00632133"/>
    <w:rsid w:val="006354A2"/>
    <w:rsid w:val="00636197"/>
    <w:rsid w:val="00636C47"/>
    <w:rsid w:val="00637AFA"/>
    <w:rsid w:val="00643693"/>
    <w:rsid w:val="00643F82"/>
    <w:rsid w:val="006506A6"/>
    <w:rsid w:val="00650C9B"/>
    <w:rsid w:val="00656699"/>
    <w:rsid w:val="00656EEA"/>
    <w:rsid w:val="0066574F"/>
    <w:rsid w:val="006757A6"/>
    <w:rsid w:val="006945D3"/>
    <w:rsid w:val="00696F86"/>
    <w:rsid w:val="006A1D26"/>
    <w:rsid w:val="006A31F9"/>
    <w:rsid w:val="006A3499"/>
    <w:rsid w:val="006B0B27"/>
    <w:rsid w:val="006B0D85"/>
    <w:rsid w:val="006B1FCF"/>
    <w:rsid w:val="006B4564"/>
    <w:rsid w:val="006B64F4"/>
    <w:rsid w:val="006C20B5"/>
    <w:rsid w:val="006C5B91"/>
    <w:rsid w:val="006C6FBC"/>
    <w:rsid w:val="006C7850"/>
    <w:rsid w:val="006D37E7"/>
    <w:rsid w:val="006D6303"/>
    <w:rsid w:val="006E0FDF"/>
    <w:rsid w:val="006E1006"/>
    <w:rsid w:val="006F1CB2"/>
    <w:rsid w:val="006F2B4B"/>
    <w:rsid w:val="006F6501"/>
    <w:rsid w:val="00705E08"/>
    <w:rsid w:val="00706C13"/>
    <w:rsid w:val="00707E17"/>
    <w:rsid w:val="00712600"/>
    <w:rsid w:val="007134BA"/>
    <w:rsid w:val="00721948"/>
    <w:rsid w:val="0073253E"/>
    <w:rsid w:val="00736977"/>
    <w:rsid w:val="007422E8"/>
    <w:rsid w:val="00746013"/>
    <w:rsid w:val="00751E17"/>
    <w:rsid w:val="007609D5"/>
    <w:rsid w:val="00762BCE"/>
    <w:rsid w:val="00775275"/>
    <w:rsid w:val="00776EAE"/>
    <w:rsid w:val="0078350B"/>
    <w:rsid w:val="00786A6C"/>
    <w:rsid w:val="00790BC2"/>
    <w:rsid w:val="007912BA"/>
    <w:rsid w:val="00795F3A"/>
    <w:rsid w:val="00796EB3"/>
    <w:rsid w:val="007A15A4"/>
    <w:rsid w:val="007A4AB2"/>
    <w:rsid w:val="007A5417"/>
    <w:rsid w:val="007A6D66"/>
    <w:rsid w:val="007B007D"/>
    <w:rsid w:val="007B060F"/>
    <w:rsid w:val="007B1AAB"/>
    <w:rsid w:val="007C138F"/>
    <w:rsid w:val="007C2564"/>
    <w:rsid w:val="007C3FF0"/>
    <w:rsid w:val="007D1283"/>
    <w:rsid w:val="007D4463"/>
    <w:rsid w:val="007D5713"/>
    <w:rsid w:val="007D5A92"/>
    <w:rsid w:val="007D67AF"/>
    <w:rsid w:val="007E2101"/>
    <w:rsid w:val="007E4232"/>
    <w:rsid w:val="007F20C5"/>
    <w:rsid w:val="007F23A6"/>
    <w:rsid w:val="007F6D6E"/>
    <w:rsid w:val="0080056E"/>
    <w:rsid w:val="00801042"/>
    <w:rsid w:val="008032AD"/>
    <w:rsid w:val="00803C17"/>
    <w:rsid w:val="00810600"/>
    <w:rsid w:val="00816DCF"/>
    <w:rsid w:val="00827607"/>
    <w:rsid w:val="00827A65"/>
    <w:rsid w:val="0083120F"/>
    <w:rsid w:val="00842FB2"/>
    <w:rsid w:val="00847CE3"/>
    <w:rsid w:val="0085444D"/>
    <w:rsid w:val="00855196"/>
    <w:rsid w:val="008556C2"/>
    <w:rsid w:val="00862051"/>
    <w:rsid w:val="008643E5"/>
    <w:rsid w:val="008647C8"/>
    <w:rsid w:val="00864E65"/>
    <w:rsid w:val="0086651A"/>
    <w:rsid w:val="00866A2B"/>
    <w:rsid w:val="0087132E"/>
    <w:rsid w:val="00873E95"/>
    <w:rsid w:val="00882242"/>
    <w:rsid w:val="00886D44"/>
    <w:rsid w:val="008908B2"/>
    <w:rsid w:val="008924C6"/>
    <w:rsid w:val="00892619"/>
    <w:rsid w:val="00895408"/>
    <w:rsid w:val="008960B1"/>
    <w:rsid w:val="00897787"/>
    <w:rsid w:val="008A162D"/>
    <w:rsid w:val="008B23A4"/>
    <w:rsid w:val="008B3231"/>
    <w:rsid w:val="008C3E46"/>
    <w:rsid w:val="008D3C93"/>
    <w:rsid w:val="008D755C"/>
    <w:rsid w:val="008E067A"/>
    <w:rsid w:val="008E145D"/>
    <w:rsid w:val="008F46DB"/>
    <w:rsid w:val="00915737"/>
    <w:rsid w:val="00917973"/>
    <w:rsid w:val="009235AE"/>
    <w:rsid w:val="00936878"/>
    <w:rsid w:val="00947108"/>
    <w:rsid w:val="0095093A"/>
    <w:rsid w:val="009559D2"/>
    <w:rsid w:val="00957273"/>
    <w:rsid w:val="0096005C"/>
    <w:rsid w:val="00961E71"/>
    <w:rsid w:val="00962ADD"/>
    <w:rsid w:val="00965E2E"/>
    <w:rsid w:val="00970812"/>
    <w:rsid w:val="009734EB"/>
    <w:rsid w:val="00974008"/>
    <w:rsid w:val="00976733"/>
    <w:rsid w:val="00987EBB"/>
    <w:rsid w:val="0099207B"/>
    <w:rsid w:val="00993D53"/>
    <w:rsid w:val="00994BE4"/>
    <w:rsid w:val="00995706"/>
    <w:rsid w:val="009A5B11"/>
    <w:rsid w:val="009B0FFC"/>
    <w:rsid w:val="009B4FAB"/>
    <w:rsid w:val="009B6DE0"/>
    <w:rsid w:val="009C1523"/>
    <w:rsid w:val="009C1704"/>
    <w:rsid w:val="009C1EAC"/>
    <w:rsid w:val="009C36CD"/>
    <w:rsid w:val="009C4356"/>
    <w:rsid w:val="009C44B1"/>
    <w:rsid w:val="009C6F21"/>
    <w:rsid w:val="009C75D3"/>
    <w:rsid w:val="009D53A8"/>
    <w:rsid w:val="009D5C42"/>
    <w:rsid w:val="009E5C99"/>
    <w:rsid w:val="009E7AA7"/>
    <w:rsid w:val="009F081D"/>
    <w:rsid w:val="009F6831"/>
    <w:rsid w:val="00A034CF"/>
    <w:rsid w:val="00A13A52"/>
    <w:rsid w:val="00A16F01"/>
    <w:rsid w:val="00A4240A"/>
    <w:rsid w:val="00A470A3"/>
    <w:rsid w:val="00A470E9"/>
    <w:rsid w:val="00A47F78"/>
    <w:rsid w:val="00A5618E"/>
    <w:rsid w:val="00A628E8"/>
    <w:rsid w:val="00A63FC4"/>
    <w:rsid w:val="00A67C3C"/>
    <w:rsid w:val="00A705B9"/>
    <w:rsid w:val="00A72F30"/>
    <w:rsid w:val="00A73BAC"/>
    <w:rsid w:val="00A84EA5"/>
    <w:rsid w:val="00A86716"/>
    <w:rsid w:val="00A87EDF"/>
    <w:rsid w:val="00A9470A"/>
    <w:rsid w:val="00AA07BC"/>
    <w:rsid w:val="00AA256E"/>
    <w:rsid w:val="00AA3F7B"/>
    <w:rsid w:val="00AA74B7"/>
    <w:rsid w:val="00AB085A"/>
    <w:rsid w:val="00AB3E1F"/>
    <w:rsid w:val="00AB5438"/>
    <w:rsid w:val="00AB5F0C"/>
    <w:rsid w:val="00AB7C31"/>
    <w:rsid w:val="00AC0D42"/>
    <w:rsid w:val="00AC515C"/>
    <w:rsid w:val="00AD17CC"/>
    <w:rsid w:val="00AD2216"/>
    <w:rsid w:val="00AE37D4"/>
    <w:rsid w:val="00AE42A5"/>
    <w:rsid w:val="00AE501B"/>
    <w:rsid w:val="00AF1EF0"/>
    <w:rsid w:val="00AF6C5D"/>
    <w:rsid w:val="00B00F0F"/>
    <w:rsid w:val="00B064AF"/>
    <w:rsid w:val="00B06532"/>
    <w:rsid w:val="00B139CB"/>
    <w:rsid w:val="00B14573"/>
    <w:rsid w:val="00B26D07"/>
    <w:rsid w:val="00B27A82"/>
    <w:rsid w:val="00B27BA8"/>
    <w:rsid w:val="00B3539F"/>
    <w:rsid w:val="00B40AF3"/>
    <w:rsid w:val="00B4205A"/>
    <w:rsid w:val="00B42525"/>
    <w:rsid w:val="00B44082"/>
    <w:rsid w:val="00B47229"/>
    <w:rsid w:val="00B512A9"/>
    <w:rsid w:val="00B52AC3"/>
    <w:rsid w:val="00B5332A"/>
    <w:rsid w:val="00B644F9"/>
    <w:rsid w:val="00B70587"/>
    <w:rsid w:val="00B73CE7"/>
    <w:rsid w:val="00B75627"/>
    <w:rsid w:val="00B80964"/>
    <w:rsid w:val="00B867B0"/>
    <w:rsid w:val="00B90A3A"/>
    <w:rsid w:val="00B9212D"/>
    <w:rsid w:val="00B9676C"/>
    <w:rsid w:val="00BA2EF9"/>
    <w:rsid w:val="00BA7506"/>
    <w:rsid w:val="00BA79BB"/>
    <w:rsid w:val="00BB1191"/>
    <w:rsid w:val="00BB15CA"/>
    <w:rsid w:val="00BB5FBF"/>
    <w:rsid w:val="00BC0DA1"/>
    <w:rsid w:val="00BD43C3"/>
    <w:rsid w:val="00BD5B68"/>
    <w:rsid w:val="00BE0878"/>
    <w:rsid w:val="00BE180F"/>
    <w:rsid w:val="00BE3B6C"/>
    <w:rsid w:val="00BF216E"/>
    <w:rsid w:val="00BF58B2"/>
    <w:rsid w:val="00BF6967"/>
    <w:rsid w:val="00BF71D4"/>
    <w:rsid w:val="00C03D28"/>
    <w:rsid w:val="00C0453A"/>
    <w:rsid w:val="00C10648"/>
    <w:rsid w:val="00C119D9"/>
    <w:rsid w:val="00C20D92"/>
    <w:rsid w:val="00C21193"/>
    <w:rsid w:val="00C23FB5"/>
    <w:rsid w:val="00C27D6E"/>
    <w:rsid w:val="00C4346B"/>
    <w:rsid w:val="00C43C63"/>
    <w:rsid w:val="00C54B5A"/>
    <w:rsid w:val="00C57C21"/>
    <w:rsid w:val="00C6267B"/>
    <w:rsid w:val="00C64434"/>
    <w:rsid w:val="00C652AC"/>
    <w:rsid w:val="00C65D68"/>
    <w:rsid w:val="00C7387C"/>
    <w:rsid w:val="00C805D7"/>
    <w:rsid w:val="00C81BC3"/>
    <w:rsid w:val="00C84CD7"/>
    <w:rsid w:val="00C85648"/>
    <w:rsid w:val="00C85AA1"/>
    <w:rsid w:val="00C9177E"/>
    <w:rsid w:val="00C92012"/>
    <w:rsid w:val="00C94B98"/>
    <w:rsid w:val="00CA1380"/>
    <w:rsid w:val="00CA1E93"/>
    <w:rsid w:val="00CA2291"/>
    <w:rsid w:val="00CA2E71"/>
    <w:rsid w:val="00CA3832"/>
    <w:rsid w:val="00CA5563"/>
    <w:rsid w:val="00CB3258"/>
    <w:rsid w:val="00CB6ED1"/>
    <w:rsid w:val="00CD61B1"/>
    <w:rsid w:val="00CD6EDC"/>
    <w:rsid w:val="00CD7074"/>
    <w:rsid w:val="00CD7313"/>
    <w:rsid w:val="00CE183D"/>
    <w:rsid w:val="00CE5DCE"/>
    <w:rsid w:val="00CE7791"/>
    <w:rsid w:val="00CE7DF8"/>
    <w:rsid w:val="00CF6D9F"/>
    <w:rsid w:val="00D027CC"/>
    <w:rsid w:val="00D052D1"/>
    <w:rsid w:val="00D139CC"/>
    <w:rsid w:val="00D14A95"/>
    <w:rsid w:val="00D174BF"/>
    <w:rsid w:val="00D2307A"/>
    <w:rsid w:val="00D26487"/>
    <w:rsid w:val="00D32E17"/>
    <w:rsid w:val="00D335AF"/>
    <w:rsid w:val="00D34392"/>
    <w:rsid w:val="00D34E31"/>
    <w:rsid w:val="00D4038D"/>
    <w:rsid w:val="00D47FA0"/>
    <w:rsid w:val="00D62954"/>
    <w:rsid w:val="00D6718B"/>
    <w:rsid w:val="00D71353"/>
    <w:rsid w:val="00D74654"/>
    <w:rsid w:val="00D86B7B"/>
    <w:rsid w:val="00D8721A"/>
    <w:rsid w:val="00D932C0"/>
    <w:rsid w:val="00D979CE"/>
    <w:rsid w:val="00DA318D"/>
    <w:rsid w:val="00DA43E5"/>
    <w:rsid w:val="00DB2783"/>
    <w:rsid w:val="00DC0FB3"/>
    <w:rsid w:val="00DC4CE6"/>
    <w:rsid w:val="00DC6AD6"/>
    <w:rsid w:val="00DD3571"/>
    <w:rsid w:val="00DE1BA5"/>
    <w:rsid w:val="00DF07B4"/>
    <w:rsid w:val="00DF0AD4"/>
    <w:rsid w:val="00E0197A"/>
    <w:rsid w:val="00E042C4"/>
    <w:rsid w:val="00E1749E"/>
    <w:rsid w:val="00E178E2"/>
    <w:rsid w:val="00E17F87"/>
    <w:rsid w:val="00E218A7"/>
    <w:rsid w:val="00E22A44"/>
    <w:rsid w:val="00E3493F"/>
    <w:rsid w:val="00E352F8"/>
    <w:rsid w:val="00E42ADF"/>
    <w:rsid w:val="00E42F90"/>
    <w:rsid w:val="00E54669"/>
    <w:rsid w:val="00E556A2"/>
    <w:rsid w:val="00E63672"/>
    <w:rsid w:val="00E63961"/>
    <w:rsid w:val="00E64B39"/>
    <w:rsid w:val="00E66C58"/>
    <w:rsid w:val="00E747C1"/>
    <w:rsid w:val="00E76CF3"/>
    <w:rsid w:val="00E91186"/>
    <w:rsid w:val="00E912C6"/>
    <w:rsid w:val="00EA01AF"/>
    <w:rsid w:val="00EA0AE8"/>
    <w:rsid w:val="00EA60EB"/>
    <w:rsid w:val="00EA7F70"/>
    <w:rsid w:val="00EB6CF6"/>
    <w:rsid w:val="00EB6E9C"/>
    <w:rsid w:val="00ED4DD8"/>
    <w:rsid w:val="00ED57D8"/>
    <w:rsid w:val="00ED5F40"/>
    <w:rsid w:val="00EE0D84"/>
    <w:rsid w:val="00EE3D93"/>
    <w:rsid w:val="00EE3E80"/>
    <w:rsid w:val="00EF6C60"/>
    <w:rsid w:val="00F02F63"/>
    <w:rsid w:val="00F038BC"/>
    <w:rsid w:val="00F11040"/>
    <w:rsid w:val="00F1499E"/>
    <w:rsid w:val="00F152D5"/>
    <w:rsid w:val="00F1532D"/>
    <w:rsid w:val="00F1536C"/>
    <w:rsid w:val="00F20169"/>
    <w:rsid w:val="00F2179F"/>
    <w:rsid w:val="00F26EE7"/>
    <w:rsid w:val="00F302D6"/>
    <w:rsid w:val="00F32A2D"/>
    <w:rsid w:val="00F440B8"/>
    <w:rsid w:val="00F44536"/>
    <w:rsid w:val="00F44750"/>
    <w:rsid w:val="00F51A75"/>
    <w:rsid w:val="00F52688"/>
    <w:rsid w:val="00F553E3"/>
    <w:rsid w:val="00F63EEB"/>
    <w:rsid w:val="00F74AD7"/>
    <w:rsid w:val="00F82CA6"/>
    <w:rsid w:val="00F862C9"/>
    <w:rsid w:val="00F87CFE"/>
    <w:rsid w:val="00F93FA6"/>
    <w:rsid w:val="00F9492D"/>
    <w:rsid w:val="00F94EF8"/>
    <w:rsid w:val="00F95EA2"/>
    <w:rsid w:val="00F9794C"/>
    <w:rsid w:val="00FA384B"/>
    <w:rsid w:val="00FA77A9"/>
    <w:rsid w:val="00FB5415"/>
    <w:rsid w:val="00FC09D9"/>
    <w:rsid w:val="00FC2EF2"/>
    <w:rsid w:val="00FC33EA"/>
    <w:rsid w:val="00FC4091"/>
    <w:rsid w:val="00FC7CC1"/>
    <w:rsid w:val="00FD0040"/>
    <w:rsid w:val="00FD3CB9"/>
    <w:rsid w:val="00FD4E8C"/>
    <w:rsid w:val="00FD5A1F"/>
    <w:rsid w:val="00FE0BFA"/>
    <w:rsid w:val="00FE5461"/>
    <w:rsid w:val="00FE5617"/>
    <w:rsid w:val="00FE5F0E"/>
    <w:rsid w:val="00FE67FD"/>
    <w:rsid w:val="00FF0DFE"/>
    <w:rsid w:val="00FF3C23"/>
    <w:rsid w:val="00FF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AC93"/>
  <w15:docId w15:val="{11BD50B1-7A56-46CA-844C-833E94BC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C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B7C31"/>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7C31"/>
    <w:rPr>
      <w:rFonts w:ascii="Arial" w:eastAsia="Times New Roman" w:hAnsi="Arial" w:cs="Times New Roman"/>
      <w:b/>
      <w:bCs/>
      <w:color w:val="000080"/>
      <w:sz w:val="20"/>
      <w:szCs w:val="20"/>
      <w:lang w:eastAsia="ru-RU"/>
    </w:rPr>
  </w:style>
  <w:style w:type="paragraph" w:styleId="a3">
    <w:name w:val="Body Text"/>
    <w:basedOn w:val="a"/>
    <w:link w:val="a4"/>
    <w:uiPriority w:val="99"/>
    <w:rsid w:val="00AB7C31"/>
    <w:pPr>
      <w:spacing w:after="120"/>
    </w:pPr>
  </w:style>
  <w:style w:type="character" w:customStyle="1" w:styleId="a4">
    <w:name w:val="Основной текст Знак"/>
    <w:basedOn w:val="a0"/>
    <w:link w:val="a3"/>
    <w:uiPriority w:val="99"/>
    <w:rsid w:val="00AB7C31"/>
    <w:rPr>
      <w:rFonts w:ascii="Times New Roman" w:eastAsia="Times New Roman" w:hAnsi="Times New Roman" w:cs="Times New Roman"/>
      <w:sz w:val="24"/>
      <w:szCs w:val="24"/>
      <w:lang w:eastAsia="ru-RU"/>
    </w:rPr>
  </w:style>
  <w:style w:type="paragraph" w:styleId="a5">
    <w:name w:val="Title"/>
    <w:basedOn w:val="a"/>
    <w:link w:val="a6"/>
    <w:uiPriority w:val="99"/>
    <w:qFormat/>
    <w:rsid w:val="00AB7C31"/>
    <w:pPr>
      <w:jc w:val="center"/>
    </w:pPr>
    <w:rPr>
      <w:b/>
      <w:szCs w:val="20"/>
    </w:rPr>
  </w:style>
  <w:style w:type="character" w:customStyle="1" w:styleId="a6">
    <w:name w:val="Заголовок Знак"/>
    <w:basedOn w:val="a0"/>
    <w:link w:val="a5"/>
    <w:uiPriority w:val="99"/>
    <w:rsid w:val="00AB7C31"/>
    <w:rPr>
      <w:rFonts w:ascii="Times New Roman" w:eastAsia="Times New Roman" w:hAnsi="Times New Roman" w:cs="Times New Roman"/>
      <w:b/>
      <w:sz w:val="24"/>
      <w:szCs w:val="20"/>
      <w:lang w:eastAsia="ru-RU"/>
    </w:rPr>
  </w:style>
  <w:style w:type="paragraph" w:styleId="a7">
    <w:name w:val="header"/>
    <w:basedOn w:val="a"/>
    <w:link w:val="a8"/>
    <w:uiPriority w:val="99"/>
    <w:rsid w:val="00AB7C31"/>
    <w:pPr>
      <w:tabs>
        <w:tab w:val="center" w:pos="4677"/>
        <w:tab w:val="right" w:pos="9355"/>
      </w:tabs>
    </w:pPr>
  </w:style>
  <w:style w:type="character" w:customStyle="1" w:styleId="a8">
    <w:name w:val="Верхний колонтитул Знак"/>
    <w:basedOn w:val="a0"/>
    <w:link w:val="a7"/>
    <w:uiPriority w:val="99"/>
    <w:rsid w:val="00AB7C31"/>
    <w:rPr>
      <w:rFonts w:ascii="Times New Roman" w:eastAsia="Times New Roman" w:hAnsi="Times New Roman" w:cs="Times New Roman"/>
      <w:sz w:val="24"/>
      <w:szCs w:val="24"/>
      <w:lang w:eastAsia="ru-RU"/>
    </w:rPr>
  </w:style>
  <w:style w:type="character" w:styleId="a9">
    <w:name w:val="page number"/>
    <w:basedOn w:val="a0"/>
    <w:uiPriority w:val="99"/>
    <w:rsid w:val="00AB7C31"/>
    <w:rPr>
      <w:rFonts w:cs="Times New Roman"/>
    </w:rPr>
  </w:style>
  <w:style w:type="paragraph" w:customStyle="1" w:styleId="aa">
    <w:name w:val="Заголовок статьи"/>
    <w:basedOn w:val="a"/>
    <w:next w:val="a"/>
    <w:uiPriority w:val="99"/>
    <w:rsid w:val="00AB7C31"/>
    <w:pPr>
      <w:autoSpaceDE w:val="0"/>
      <w:autoSpaceDN w:val="0"/>
      <w:adjustRightInd w:val="0"/>
      <w:ind w:left="1612" w:hanging="892"/>
      <w:jc w:val="both"/>
    </w:pPr>
    <w:rPr>
      <w:rFonts w:ascii="Arial" w:eastAsia="Calibri" w:hAnsi="Arial" w:cs="Arial"/>
      <w:sz w:val="20"/>
      <w:szCs w:val="20"/>
      <w:lang w:eastAsia="en-US"/>
    </w:rPr>
  </w:style>
  <w:style w:type="paragraph" w:styleId="ab">
    <w:name w:val="Body Text Indent"/>
    <w:basedOn w:val="a"/>
    <w:link w:val="ac"/>
    <w:uiPriority w:val="99"/>
    <w:unhideWhenUsed/>
    <w:rsid w:val="00AB7C31"/>
    <w:pPr>
      <w:spacing w:after="120"/>
      <w:ind w:left="283"/>
    </w:pPr>
  </w:style>
  <w:style w:type="character" w:customStyle="1" w:styleId="ac">
    <w:name w:val="Основной текст с отступом Знак"/>
    <w:basedOn w:val="a0"/>
    <w:link w:val="ab"/>
    <w:uiPriority w:val="99"/>
    <w:rsid w:val="00AB7C31"/>
    <w:rPr>
      <w:rFonts w:ascii="Times New Roman" w:eastAsia="Times New Roman" w:hAnsi="Times New Roman" w:cs="Times New Roman"/>
      <w:sz w:val="24"/>
      <w:szCs w:val="24"/>
      <w:lang w:eastAsia="ru-RU"/>
    </w:rPr>
  </w:style>
  <w:style w:type="character" w:customStyle="1" w:styleId="iceouttxt51">
    <w:name w:val="iceouttxt51"/>
    <w:basedOn w:val="a0"/>
    <w:rsid w:val="00AB7C31"/>
    <w:rPr>
      <w:rFonts w:ascii="Arial" w:hAnsi="Arial" w:cs="Arial" w:hint="default"/>
      <w:color w:val="666666"/>
      <w:sz w:val="14"/>
      <w:szCs w:val="14"/>
    </w:rPr>
  </w:style>
  <w:style w:type="paragraph" w:styleId="ad">
    <w:name w:val="List Paragraph"/>
    <w:basedOn w:val="a"/>
    <w:uiPriority w:val="34"/>
    <w:qFormat/>
    <w:rsid w:val="00AB7C31"/>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footer"/>
    <w:basedOn w:val="a"/>
    <w:link w:val="af"/>
    <w:uiPriority w:val="99"/>
    <w:semiHidden/>
    <w:unhideWhenUsed/>
    <w:rsid w:val="00AB7C31"/>
    <w:pPr>
      <w:tabs>
        <w:tab w:val="center" w:pos="4677"/>
        <w:tab w:val="right" w:pos="9355"/>
      </w:tabs>
    </w:pPr>
  </w:style>
  <w:style w:type="character" w:customStyle="1" w:styleId="af">
    <w:name w:val="Нижний колонтитул Знак"/>
    <w:basedOn w:val="a0"/>
    <w:link w:val="ae"/>
    <w:uiPriority w:val="99"/>
    <w:semiHidden/>
    <w:rsid w:val="00AB7C31"/>
    <w:rPr>
      <w:rFonts w:ascii="Times New Roman" w:eastAsia="Times New Roman" w:hAnsi="Times New Roman" w:cs="Times New Roman"/>
      <w:sz w:val="24"/>
      <w:szCs w:val="24"/>
      <w:lang w:eastAsia="ru-RU"/>
    </w:rPr>
  </w:style>
  <w:style w:type="paragraph" w:customStyle="1" w:styleId="ConsPlusNormal">
    <w:name w:val="ConsPlusNormal"/>
    <w:rsid w:val="00AB7C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Web)"/>
    <w:basedOn w:val="a"/>
    <w:uiPriority w:val="99"/>
    <w:unhideWhenUsed/>
    <w:rsid w:val="00AB7C31"/>
    <w:pPr>
      <w:spacing w:before="100" w:beforeAutospacing="1" w:after="100" w:afterAutospacing="1"/>
    </w:pPr>
  </w:style>
  <w:style w:type="character" w:styleId="af1">
    <w:name w:val="Strong"/>
    <w:basedOn w:val="a0"/>
    <w:uiPriority w:val="22"/>
    <w:qFormat/>
    <w:rsid w:val="00AB7C31"/>
    <w:rPr>
      <w:b/>
      <w:bCs/>
    </w:rPr>
  </w:style>
  <w:style w:type="paragraph" w:customStyle="1" w:styleId="af2">
    <w:name w:val="Прижатый влево"/>
    <w:basedOn w:val="a"/>
    <w:next w:val="a"/>
    <w:uiPriority w:val="99"/>
    <w:rsid w:val="00AB7C31"/>
    <w:pPr>
      <w:autoSpaceDE w:val="0"/>
      <w:autoSpaceDN w:val="0"/>
      <w:adjustRightInd w:val="0"/>
    </w:pPr>
    <w:rPr>
      <w:rFonts w:ascii="Arial" w:eastAsiaTheme="minorHAnsi" w:hAnsi="Arial" w:cs="Arial"/>
      <w:lang w:eastAsia="en-US"/>
    </w:rPr>
  </w:style>
  <w:style w:type="paragraph" w:customStyle="1" w:styleId="p2">
    <w:name w:val="p2"/>
    <w:basedOn w:val="a"/>
    <w:rsid w:val="00AB7C31"/>
    <w:pPr>
      <w:spacing w:before="100" w:beforeAutospacing="1" w:after="100" w:afterAutospacing="1"/>
    </w:pPr>
  </w:style>
  <w:style w:type="paragraph" w:styleId="af3">
    <w:name w:val="Balloon Text"/>
    <w:basedOn w:val="a"/>
    <w:link w:val="af4"/>
    <w:uiPriority w:val="99"/>
    <w:semiHidden/>
    <w:unhideWhenUsed/>
    <w:rsid w:val="00AB7C31"/>
    <w:rPr>
      <w:rFonts w:ascii="Tahoma" w:hAnsi="Tahoma" w:cs="Tahoma"/>
      <w:sz w:val="16"/>
      <w:szCs w:val="16"/>
    </w:rPr>
  </w:style>
  <w:style w:type="character" w:customStyle="1" w:styleId="af4">
    <w:name w:val="Текст выноски Знак"/>
    <w:basedOn w:val="a0"/>
    <w:link w:val="af3"/>
    <w:uiPriority w:val="99"/>
    <w:semiHidden/>
    <w:rsid w:val="00AB7C31"/>
    <w:rPr>
      <w:rFonts w:ascii="Tahoma" w:eastAsia="Times New Roman" w:hAnsi="Tahoma" w:cs="Tahoma"/>
      <w:sz w:val="16"/>
      <w:szCs w:val="16"/>
      <w:lang w:eastAsia="ru-RU"/>
    </w:rPr>
  </w:style>
  <w:style w:type="paragraph" w:customStyle="1" w:styleId="ConsPlusCell">
    <w:name w:val="ConsPlusCell"/>
    <w:uiPriority w:val="99"/>
    <w:rsid w:val="00AB7C31"/>
    <w:pPr>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5">
    <w:name w:val="Table Grid"/>
    <w:basedOn w:val="a1"/>
    <w:uiPriority w:val="59"/>
    <w:rsid w:val="00AB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AB7C31"/>
    <w:rPr>
      <w:color w:val="0000FF"/>
      <w:u w:val="single"/>
    </w:rPr>
  </w:style>
  <w:style w:type="paragraph" w:customStyle="1" w:styleId="ConsPlusTitle">
    <w:name w:val="ConsPlusTitle"/>
    <w:uiPriority w:val="99"/>
    <w:rsid w:val="00AB7C31"/>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7">
    <w:name w:val="No Spacing"/>
    <w:uiPriority w:val="1"/>
    <w:qFormat/>
    <w:rsid w:val="00AB7C31"/>
    <w:pPr>
      <w:spacing w:after="0" w:line="240" w:lineRule="auto"/>
    </w:pPr>
    <w:rPr>
      <w:rFonts w:ascii="Calibri" w:eastAsia="Calibri" w:hAnsi="Calibri" w:cs="Times New Roman"/>
    </w:rPr>
  </w:style>
  <w:style w:type="character" w:customStyle="1" w:styleId="af8">
    <w:name w:val="Гипертекстовая ссылка"/>
    <w:basedOn w:val="a0"/>
    <w:uiPriority w:val="99"/>
    <w:rsid w:val="002E445D"/>
    <w:rPr>
      <w:color w:val="106BBE"/>
    </w:rPr>
  </w:style>
  <w:style w:type="paragraph" w:customStyle="1" w:styleId="af9">
    <w:name w:val="Комментарий"/>
    <w:basedOn w:val="a"/>
    <w:next w:val="a"/>
    <w:rsid w:val="005D6B44"/>
    <w:pPr>
      <w:autoSpaceDE w:val="0"/>
      <w:autoSpaceDN w:val="0"/>
      <w:adjustRightInd w:val="0"/>
      <w:ind w:left="170"/>
      <w:jc w:val="both"/>
    </w:pPr>
    <w:rPr>
      <w:rFonts w:ascii="Arial" w:hAnsi="Arial"/>
      <w:i/>
      <w:iCs/>
      <w:color w:val="800080"/>
    </w:rPr>
  </w:style>
  <w:style w:type="paragraph" w:customStyle="1" w:styleId="afa">
    <w:name w:val="Знак"/>
    <w:basedOn w:val="a"/>
    <w:rsid w:val="007B007D"/>
    <w:pPr>
      <w:spacing w:after="160" w:line="240" w:lineRule="exact"/>
    </w:pPr>
    <w:rPr>
      <w:rFonts w:ascii="Tahoma" w:hAnsi="Tahoma"/>
      <w:sz w:val="20"/>
      <w:szCs w:val="20"/>
      <w:lang w:val="en-US" w:eastAsia="en-US"/>
    </w:rPr>
  </w:style>
  <w:style w:type="paragraph" w:styleId="3">
    <w:name w:val="Body Text Indent 3"/>
    <w:basedOn w:val="a"/>
    <w:link w:val="30"/>
    <w:uiPriority w:val="99"/>
    <w:rsid w:val="007B007D"/>
    <w:pPr>
      <w:spacing w:after="120"/>
      <w:ind w:left="283"/>
    </w:pPr>
    <w:rPr>
      <w:sz w:val="16"/>
      <w:szCs w:val="16"/>
    </w:rPr>
  </w:style>
  <w:style w:type="character" w:customStyle="1" w:styleId="30">
    <w:name w:val="Основной текст с отступом 3 Знак"/>
    <w:basedOn w:val="a0"/>
    <w:link w:val="3"/>
    <w:uiPriority w:val="99"/>
    <w:rsid w:val="007B007D"/>
    <w:rPr>
      <w:rFonts w:ascii="Times New Roman" w:eastAsia="Times New Roman" w:hAnsi="Times New Roman" w:cs="Times New Roman"/>
      <w:sz w:val="16"/>
      <w:szCs w:val="16"/>
      <w:lang w:eastAsia="ru-RU"/>
    </w:rPr>
  </w:style>
  <w:style w:type="character" w:customStyle="1" w:styleId="11">
    <w:name w:val="Основной текст1"/>
    <w:basedOn w:val="a0"/>
    <w:link w:val="31"/>
    <w:locked/>
    <w:rsid w:val="00827A65"/>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11"/>
    <w:rsid w:val="00827A65"/>
    <w:pPr>
      <w:shd w:val="clear" w:color="auto" w:fill="FFFFFF"/>
      <w:spacing w:before="420" w:line="319" w:lineRule="exact"/>
      <w:ind w:firstLine="720"/>
      <w:jc w:val="both"/>
    </w:pPr>
    <w:rPr>
      <w:sz w:val="28"/>
      <w:szCs w:val="28"/>
      <w:lang w:eastAsia="en-US"/>
    </w:rPr>
  </w:style>
  <w:style w:type="paragraph" w:styleId="afb">
    <w:name w:val="Subtitle"/>
    <w:basedOn w:val="a"/>
    <w:next w:val="a"/>
    <w:link w:val="afc"/>
    <w:uiPriority w:val="11"/>
    <w:qFormat/>
    <w:rsid w:val="00B139CB"/>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0"/>
    <w:link w:val="afb"/>
    <w:uiPriority w:val="11"/>
    <w:rsid w:val="00B139CB"/>
    <w:rPr>
      <w:rFonts w:asciiTheme="majorHAnsi" w:eastAsiaTheme="majorEastAsia" w:hAnsiTheme="majorHAnsi" w:cstheme="majorBidi"/>
      <w:i/>
      <w:iCs/>
      <w:color w:val="4F81BD" w:themeColor="accent1"/>
      <w:spacing w:val="15"/>
      <w:sz w:val="24"/>
      <w:szCs w:val="24"/>
      <w:lang w:eastAsia="ru-RU"/>
    </w:rPr>
  </w:style>
  <w:style w:type="paragraph" w:styleId="2">
    <w:name w:val="Body Text 2"/>
    <w:basedOn w:val="a"/>
    <w:link w:val="20"/>
    <w:rsid w:val="0058376A"/>
    <w:pPr>
      <w:spacing w:after="120" w:line="480" w:lineRule="auto"/>
    </w:pPr>
  </w:style>
  <w:style w:type="character" w:customStyle="1" w:styleId="20">
    <w:name w:val="Основной текст 2 Знак"/>
    <w:basedOn w:val="a0"/>
    <w:link w:val="2"/>
    <w:rsid w:val="005837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6678">
      <w:bodyDiv w:val="1"/>
      <w:marLeft w:val="0"/>
      <w:marRight w:val="0"/>
      <w:marTop w:val="0"/>
      <w:marBottom w:val="0"/>
      <w:divBdr>
        <w:top w:val="none" w:sz="0" w:space="0" w:color="auto"/>
        <w:left w:val="none" w:sz="0" w:space="0" w:color="auto"/>
        <w:bottom w:val="none" w:sz="0" w:space="0" w:color="auto"/>
        <w:right w:val="none" w:sz="0" w:space="0" w:color="auto"/>
      </w:divBdr>
    </w:div>
    <w:div w:id="263683931">
      <w:bodyDiv w:val="1"/>
      <w:marLeft w:val="0"/>
      <w:marRight w:val="0"/>
      <w:marTop w:val="0"/>
      <w:marBottom w:val="0"/>
      <w:divBdr>
        <w:top w:val="none" w:sz="0" w:space="0" w:color="auto"/>
        <w:left w:val="none" w:sz="0" w:space="0" w:color="auto"/>
        <w:bottom w:val="none" w:sz="0" w:space="0" w:color="auto"/>
        <w:right w:val="none" w:sz="0" w:space="0" w:color="auto"/>
      </w:divBdr>
    </w:div>
    <w:div w:id="408966144">
      <w:bodyDiv w:val="1"/>
      <w:marLeft w:val="0"/>
      <w:marRight w:val="0"/>
      <w:marTop w:val="0"/>
      <w:marBottom w:val="0"/>
      <w:divBdr>
        <w:top w:val="none" w:sz="0" w:space="0" w:color="auto"/>
        <w:left w:val="none" w:sz="0" w:space="0" w:color="auto"/>
        <w:bottom w:val="none" w:sz="0" w:space="0" w:color="auto"/>
        <w:right w:val="none" w:sz="0" w:space="0" w:color="auto"/>
      </w:divBdr>
    </w:div>
    <w:div w:id="467017180">
      <w:bodyDiv w:val="1"/>
      <w:marLeft w:val="0"/>
      <w:marRight w:val="0"/>
      <w:marTop w:val="0"/>
      <w:marBottom w:val="0"/>
      <w:divBdr>
        <w:top w:val="none" w:sz="0" w:space="0" w:color="auto"/>
        <w:left w:val="none" w:sz="0" w:space="0" w:color="auto"/>
        <w:bottom w:val="none" w:sz="0" w:space="0" w:color="auto"/>
        <w:right w:val="none" w:sz="0" w:space="0" w:color="auto"/>
      </w:divBdr>
    </w:div>
    <w:div w:id="688408782">
      <w:bodyDiv w:val="1"/>
      <w:marLeft w:val="0"/>
      <w:marRight w:val="0"/>
      <w:marTop w:val="0"/>
      <w:marBottom w:val="0"/>
      <w:divBdr>
        <w:top w:val="none" w:sz="0" w:space="0" w:color="auto"/>
        <w:left w:val="none" w:sz="0" w:space="0" w:color="auto"/>
        <w:bottom w:val="none" w:sz="0" w:space="0" w:color="auto"/>
        <w:right w:val="none" w:sz="0" w:space="0" w:color="auto"/>
      </w:divBdr>
    </w:div>
    <w:div w:id="1023239658">
      <w:bodyDiv w:val="1"/>
      <w:marLeft w:val="0"/>
      <w:marRight w:val="0"/>
      <w:marTop w:val="0"/>
      <w:marBottom w:val="0"/>
      <w:divBdr>
        <w:top w:val="none" w:sz="0" w:space="0" w:color="auto"/>
        <w:left w:val="none" w:sz="0" w:space="0" w:color="auto"/>
        <w:bottom w:val="none" w:sz="0" w:space="0" w:color="auto"/>
        <w:right w:val="none" w:sz="0" w:space="0" w:color="auto"/>
      </w:divBdr>
    </w:div>
    <w:div w:id="1253079345">
      <w:bodyDiv w:val="1"/>
      <w:marLeft w:val="0"/>
      <w:marRight w:val="0"/>
      <w:marTop w:val="0"/>
      <w:marBottom w:val="0"/>
      <w:divBdr>
        <w:top w:val="none" w:sz="0" w:space="0" w:color="auto"/>
        <w:left w:val="none" w:sz="0" w:space="0" w:color="auto"/>
        <w:bottom w:val="none" w:sz="0" w:space="0" w:color="auto"/>
        <w:right w:val="none" w:sz="0" w:space="0" w:color="auto"/>
      </w:divBdr>
    </w:div>
    <w:div w:id="1323966244">
      <w:bodyDiv w:val="1"/>
      <w:marLeft w:val="0"/>
      <w:marRight w:val="0"/>
      <w:marTop w:val="0"/>
      <w:marBottom w:val="0"/>
      <w:divBdr>
        <w:top w:val="none" w:sz="0" w:space="0" w:color="auto"/>
        <w:left w:val="none" w:sz="0" w:space="0" w:color="auto"/>
        <w:bottom w:val="none" w:sz="0" w:space="0" w:color="auto"/>
        <w:right w:val="none" w:sz="0" w:space="0" w:color="auto"/>
      </w:divBdr>
    </w:div>
    <w:div w:id="1468165011">
      <w:bodyDiv w:val="1"/>
      <w:marLeft w:val="0"/>
      <w:marRight w:val="0"/>
      <w:marTop w:val="0"/>
      <w:marBottom w:val="0"/>
      <w:divBdr>
        <w:top w:val="none" w:sz="0" w:space="0" w:color="auto"/>
        <w:left w:val="none" w:sz="0" w:space="0" w:color="auto"/>
        <w:bottom w:val="none" w:sz="0" w:space="0" w:color="auto"/>
        <w:right w:val="none" w:sz="0" w:space="0" w:color="auto"/>
      </w:divBdr>
    </w:div>
    <w:div w:id="1599873966">
      <w:bodyDiv w:val="1"/>
      <w:marLeft w:val="0"/>
      <w:marRight w:val="0"/>
      <w:marTop w:val="0"/>
      <w:marBottom w:val="0"/>
      <w:divBdr>
        <w:top w:val="none" w:sz="0" w:space="0" w:color="auto"/>
        <w:left w:val="none" w:sz="0" w:space="0" w:color="auto"/>
        <w:bottom w:val="none" w:sz="0" w:space="0" w:color="auto"/>
        <w:right w:val="none" w:sz="0" w:space="0" w:color="auto"/>
      </w:divBdr>
    </w:div>
    <w:div w:id="1701975153">
      <w:bodyDiv w:val="1"/>
      <w:marLeft w:val="0"/>
      <w:marRight w:val="0"/>
      <w:marTop w:val="0"/>
      <w:marBottom w:val="0"/>
      <w:divBdr>
        <w:top w:val="none" w:sz="0" w:space="0" w:color="auto"/>
        <w:left w:val="none" w:sz="0" w:space="0" w:color="auto"/>
        <w:bottom w:val="none" w:sz="0" w:space="0" w:color="auto"/>
        <w:right w:val="none" w:sz="0" w:space="0" w:color="auto"/>
      </w:divBdr>
    </w:div>
    <w:div w:id="1878883710">
      <w:bodyDiv w:val="1"/>
      <w:marLeft w:val="0"/>
      <w:marRight w:val="0"/>
      <w:marTop w:val="0"/>
      <w:marBottom w:val="0"/>
      <w:divBdr>
        <w:top w:val="none" w:sz="0" w:space="0" w:color="auto"/>
        <w:left w:val="none" w:sz="0" w:space="0" w:color="auto"/>
        <w:bottom w:val="none" w:sz="0" w:space="0" w:color="auto"/>
        <w:right w:val="none" w:sz="0" w:space="0" w:color="auto"/>
      </w:divBdr>
    </w:div>
    <w:div w:id="1947426348">
      <w:bodyDiv w:val="1"/>
      <w:marLeft w:val="0"/>
      <w:marRight w:val="0"/>
      <w:marTop w:val="0"/>
      <w:marBottom w:val="0"/>
      <w:divBdr>
        <w:top w:val="none" w:sz="0" w:space="0" w:color="auto"/>
        <w:left w:val="none" w:sz="0" w:space="0" w:color="auto"/>
        <w:bottom w:val="none" w:sz="0" w:space="0" w:color="auto"/>
        <w:right w:val="none" w:sz="0" w:space="0" w:color="auto"/>
      </w:divBdr>
    </w:div>
    <w:div w:id="21358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542A685486FC709CCE5C87EAC948F44CB0E3D433B6973AA6DB424B51355BE5F6A22B38C285630AAAT5K" TargetMode="External"/><Relationship Id="rId13" Type="http://schemas.openxmlformats.org/officeDocument/2006/relationships/hyperlink" Target="https://news.mail.ru/society/36973093/?frommail=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141D9E4039A922318CD066CA749A961A4013F468ADEAC05C293214329DD8E6FBE4D1AE5665FC8J"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41D9E4039A922318CD066CA749A961A4013F468AD7AC05C293214329DD8E6FBE4D1AE6655FCF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419BC558ADC178DF512D31700CC007F0A35AD607524609966BC7537A4D9AABD37EAF1BA9D27BCy3EAJ"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0B53699B683C06FB7971ECC9F981D0DBDF06FDEFD0EEF7D41A604485746481395EDB39E367E3F76025B27DEw175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797C5-E0E0-48D3-8C99-102AF38A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14796</Words>
  <Characters>84338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 Inc.</cp:lastModifiedBy>
  <cp:revision>25</cp:revision>
  <cp:lastPrinted>2019-04-30T10:50:00Z</cp:lastPrinted>
  <dcterms:created xsi:type="dcterms:W3CDTF">2019-04-29T11:27:00Z</dcterms:created>
  <dcterms:modified xsi:type="dcterms:W3CDTF">2020-02-03T06:50:00Z</dcterms:modified>
</cp:coreProperties>
</file>