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3B" w:rsidRDefault="0089703B" w:rsidP="0089703B">
      <w:pPr>
        <w:shd w:val="clear" w:color="auto" w:fill="FFFFFF"/>
        <w:ind w:right="-510"/>
        <w:rPr>
          <w:spacing w:val="-4"/>
        </w:rPr>
      </w:pPr>
    </w:p>
    <w:tbl>
      <w:tblPr>
        <w:tblStyle w:val="1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868"/>
        <w:gridCol w:w="4140"/>
      </w:tblGrid>
      <w:tr w:rsidR="007E79FD" w:rsidRPr="007E79FD" w:rsidTr="00E52DB9">
        <w:tc>
          <w:tcPr>
            <w:tcW w:w="5868" w:type="dxa"/>
          </w:tcPr>
          <w:p w:rsidR="007E79FD" w:rsidRPr="007E79FD" w:rsidRDefault="007E79FD" w:rsidP="00E52DB9">
            <w:pPr>
              <w:jc w:val="center"/>
              <w:rPr>
                <w:b/>
                <w:bCs/>
                <w:color w:val="00B050"/>
                <w:spacing w:val="-2"/>
                <w:sz w:val="28"/>
                <w:szCs w:val="28"/>
              </w:rPr>
            </w:pPr>
          </w:p>
        </w:tc>
        <w:tc>
          <w:tcPr>
            <w:tcW w:w="4140" w:type="dxa"/>
          </w:tcPr>
          <w:p w:rsidR="003862DD" w:rsidRPr="00D4730C" w:rsidRDefault="003862DD" w:rsidP="003862DD">
            <w:pPr>
              <w:tabs>
                <w:tab w:val="left" w:pos="2505"/>
              </w:tabs>
              <w:rPr>
                <w:b/>
              </w:rPr>
            </w:pPr>
            <w:r w:rsidRPr="00D4730C">
              <w:rPr>
                <w:b/>
              </w:rPr>
              <w:t>УТВЕРЖДАЮ</w:t>
            </w:r>
          </w:p>
          <w:p w:rsidR="003862DD" w:rsidRPr="00D4730C" w:rsidRDefault="003862DD" w:rsidP="003862DD">
            <w:pPr>
              <w:tabs>
                <w:tab w:val="left" w:pos="2505"/>
              </w:tabs>
            </w:pPr>
            <w:r w:rsidRPr="00D4730C">
              <w:t xml:space="preserve">председатель контрольно - </w:t>
            </w:r>
            <w:proofErr w:type="gramStart"/>
            <w:r w:rsidRPr="00D4730C">
              <w:t>счетной</w:t>
            </w:r>
            <w:proofErr w:type="gramEnd"/>
            <w:r w:rsidRPr="00D4730C">
              <w:t xml:space="preserve"> </w:t>
            </w:r>
          </w:p>
          <w:p w:rsidR="003862DD" w:rsidRPr="00D4730C" w:rsidRDefault="003862DD" w:rsidP="003862DD">
            <w:pPr>
              <w:tabs>
                <w:tab w:val="left" w:pos="2505"/>
              </w:tabs>
            </w:pPr>
            <w:r w:rsidRPr="00D4730C">
              <w:t>палаты Волгоградской области</w:t>
            </w:r>
          </w:p>
          <w:p w:rsidR="003862DD" w:rsidRPr="00D4730C" w:rsidRDefault="003862DD" w:rsidP="003862DD">
            <w:pPr>
              <w:tabs>
                <w:tab w:val="left" w:pos="2505"/>
              </w:tabs>
            </w:pPr>
            <w:r w:rsidRPr="00D4730C">
              <w:t>______________ И. А. Дьяченко</w:t>
            </w:r>
          </w:p>
          <w:p w:rsidR="003862DD" w:rsidRPr="00D4730C" w:rsidRDefault="003862DD" w:rsidP="003862DD">
            <w:pPr>
              <w:tabs>
                <w:tab w:val="left" w:pos="2505"/>
              </w:tabs>
            </w:pPr>
            <w:r w:rsidRPr="00D4730C">
              <w:t xml:space="preserve">«    »  </w:t>
            </w:r>
            <w:r w:rsidR="00597024">
              <w:t xml:space="preserve">сентября </w:t>
            </w:r>
            <w:r w:rsidRPr="00D4730C">
              <w:t xml:space="preserve">2019 года </w:t>
            </w:r>
          </w:p>
          <w:p w:rsidR="003862DD" w:rsidRPr="007E79FD" w:rsidRDefault="003862DD" w:rsidP="00E52DB9">
            <w:pPr>
              <w:rPr>
                <w:bCs/>
                <w:color w:val="00B050"/>
                <w:spacing w:val="-2"/>
              </w:rPr>
            </w:pPr>
          </w:p>
        </w:tc>
      </w:tr>
    </w:tbl>
    <w:p w:rsidR="007E79FD" w:rsidRPr="00123330" w:rsidRDefault="007E79FD" w:rsidP="007E79FD">
      <w:pPr>
        <w:shd w:val="clear" w:color="auto" w:fill="FFFFFF"/>
        <w:jc w:val="center"/>
        <w:rPr>
          <w:b/>
          <w:bCs/>
          <w:spacing w:val="-2"/>
        </w:rPr>
      </w:pPr>
      <w:r w:rsidRPr="00123330">
        <w:rPr>
          <w:b/>
          <w:bCs/>
          <w:spacing w:val="-2"/>
        </w:rPr>
        <w:t>ОТЧЕТ</w:t>
      </w:r>
    </w:p>
    <w:p w:rsidR="00123330" w:rsidRPr="00123330" w:rsidRDefault="007E79FD" w:rsidP="00123330">
      <w:pPr>
        <w:shd w:val="clear" w:color="auto" w:fill="FFFFFF"/>
        <w:jc w:val="center"/>
        <w:rPr>
          <w:b/>
          <w:bCs/>
          <w:spacing w:val="-2"/>
        </w:rPr>
      </w:pPr>
      <w:r w:rsidRPr="00123330">
        <w:rPr>
          <w:b/>
          <w:bCs/>
          <w:spacing w:val="-2"/>
        </w:rPr>
        <w:t>о результатах</w:t>
      </w:r>
      <w:r w:rsidR="00123330" w:rsidRPr="00123330">
        <w:rPr>
          <w:b/>
          <w:bCs/>
          <w:spacing w:val="-2"/>
        </w:rPr>
        <w:t xml:space="preserve"> </w:t>
      </w:r>
      <w:r w:rsidR="00123330" w:rsidRPr="00123330">
        <w:rPr>
          <w:b/>
        </w:rPr>
        <w:t>проверки отдельных вопросов финансово-хозяйственной деятельности акционерного общества «Корпорация развития Волгоградской области»  и эффективности использования им имущества за 2017-2018 годы и текущий период 2019 года</w:t>
      </w:r>
    </w:p>
    <w:p w:rsidR="00123330" w:rsidRPr="00123330" w:rsidRDefault="00123330" w:rsidP="00123330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7E79FD" w:rsidRPr="00123330" w:rsidRDefault="007E79FD" w:rsidP="0086075A">
      <w:pPr>
        <w:shd w:val="clear" w:color="auto" w:fill="FFFFFF"/>
        <w:ind w:firstLine="680"/>
        <w:jc w:val="both"/>
      </w:pPr>
      <w:r w:rsidRPr="00123330">
        <w:rPr>
          <w:b/>
          <w:bCs/>
        </w:rPr>
        <w:t xml:space="preserve">Основание для проведения контрольного </w:t>
      </w:r>
      <w:r w:rsidRPr="00123330">
        <w:rPr>
          <w:b/>
          <w:bCs/>
          <w:spacing w:val="-9"/>
        </w:rPr>
        <w:t xml:space="preserve">мероприятия: </w:t>
      </w:r>
      <w:r w:rsidRPr="00123330">
        <w:rPr>
          <w:bCs/>
          <w:spacing w:val="-9"/>
        </w:rPr>
        <w:t xml:space="preserve">пункт </w:t>
      </w:r>
      <w:r w:rsidR="0086075A" w:rsidRPr="0086075A">
        <w:rPr>
          <w:bCs/>
          <w:spacing w:val="-9"/>
        </w:rPr>
        <w:t>2.4</w:t>
      </w:r>
      <w:r w:rsidRPr="00123330">
        <w:rPr>
          <w:bCs/>
          <w:spacing w:val="-9"/>
        </w:rPr>
        <w:t xml:space="preserve"> </w:t>
      </w:r>
      <w:r w:rsidRPr="00123330">
        <w:t>плана работы контрольно-счетной палаты Волгоградской области (далее – КСП) на 2019 год, утвержденного постановлением коллегии КСП от 17.12.2018 № 23/2.</w:t>
      </w:r>
    </w:p>
    <w:p w:rsidR="007E79FD" w:rsidRPr="00D615F1" w:rsidRDefault="007E79FD" w:rsidP="0086075A">
      <w:pPr>
        <w:shd w:val="clear" w:color="auto" w:fill="FFFFFF"/>
        <w:tabs>
          <w:tab w:val="left" w:leader="underscore" w:pos="7855"/>
        </w:tabs>
        <w:ind w:firstLine="680"/>
        <w:rPr>
          <w:b/>
          <w:bCs/>
          <w:spacing w:val="-12"/>
        </w:rPr>
      </w:pPr>
      <w:r w:rsidRPr="00D615F1">
        <w:rPr>
          <w:b/>
          <w:bCs/>
          <w:spacing w:val="-1"/>
        </w:rPr>
        <w:t>Срок проведения контрольного мероприятия:</w:t>
      </w:r>
      <w:r w:rsidRPr="00D615F1">
        <w:t xml:space="preserve"> с 1</w:t>
      </w:r>
      <w:r w:rsidR="00D615F1" w:rsidRPr="00D615F1">
        <w:t>4</w:t>
      </w:r>
      <w:r w:rsidRPr="00D615F1">
        <w:t>.0</w:t>
      </w:r>
      <w:r w:rsidR="00D615F1" w:rsidRPr="00D615F1">
        <w:t>5</w:t>
      </w:r>
      <w:r w:rsidRPr="00D615F1">
        <w:t xml:space="preserve">.2019 по </w:t>
      </w:r>
      <w:r w:rsidR="00D615F1" w:rsidRPr="00D615F1">
        <w:t>14</w:t>
      </w:r>
      <w:r w:rsidRPr="00D615F1">
        <w:t>.0</w:t>
      </w:r>
      <w:r w:rsidR="00D615F1" w:rsidRPr="00D615F1">
        <w:t>6</w:t>
      </w:r>
      <w:r w:rsidRPr="00D615F1">
        <w:t>.2019.</w:t>
      </w:r>
    </w:p>
    <w:p w:rsidR="007E79FD" w:rsidRPr="0069583C" w:rsidRDefault="0069583C" w:rsidP="0086075A">
      <w:pPr>
        <w:shd w:val="clear" w:color="auto" w:fill="FFFFFF"/>
        <w:tabs>
          <w:tab w:val="left" w:leader="underscore" w:pos="9559"/>
        </w:tabs>
        <w:ind w:firstLine="680"/>
        <w:rPr>
          <w:b/>
          <w:bCs/>
          <w:spacing w:val="-2"/>
        </w:rPr>
      </w:pPr>
      <w:r w:rsidRPr="0069583C">
        <w:rPr>
          <w:b/>
          <w:bCs/>
          <w:spacing w:val="-2"/>
        </w:rPr>
        <w:t>Цели</w:t>
      </w:r>
      <w:r w:rsidR="007E79FD" w:rsidRPr="0069583C">
        <w:rPr>
          <w:b/>
          <w:bCs/>
          <w:spacing w:val="-2"/>
        </w:rPr>
        <w:t xml:space="preserve"> контрольного мероприятия: </w:t>
      </w:r>
    </w:p>
    <w:p w:rsidR="0069583C" w:rsidRPr="00704292" w:rsidRDefault="0069583C" w:rsidP="0086075A">
      <w:pPr>
        <w:pStyle w:val="a9"/>
        <w:widowControl w:val="0"/>
        <w:tabs>
          <w:tab w:val="left" w:pos="567"/>
        </w:tabs>
        <w:ind w:left="0" w:firstLine="680"/>
        <w:jc w:val="both"/>
      </w:pPr>
      <w:r>
        <w:t xml:space="preserve">- оценка </w:t>
      </w:r>
      <w:r w:rsidRPr="00704292">
        <w:t>эффективност</w:t>
      </w:r>
      <w:r>
        <w:t>и</w:t>
      </w:r>
      <w:r w:rsidRPr="00704292">
        <w:rPr>
          <w:b/>
        </w:rPr>
        <w:t xml:space="preserve"> </w:t>
      </w:r>
      <w:r w:rsidRPr="00704292">
        <w:t>финансово-хозяйственной деятельности акционерно</w:t>
      </w:r>
      <w:r>
        <w:t>го</w:t>
      </w:r>
      <w:r w:rsidRPr="00704292">
        <w:t xml:space="preserve"> обществ</w:t>
      </w:r>
      <w:r>
        <w:t>а</w:t>
      </w:r>
      <w:r w:rsidRPr="00704292">
        <w:t xml:space="preserve"> «Корпорация развития Волгоградской области» (далее – Корпорация развития)</w:t>
      </w:r>
      <w:r>
        <w:t>, достижения целей и решения задач, поставленных перед ней</w:t>
      </w:r>
      <w:r w:rsidRPr="00704292">
        <w:t>;</w:t>
      </w:r>
    </w:p>
    <w:p w:rsidR="0086075A" w:rsidRPr="0086075A" w:rsidRDefault="0069583C" w:rsidP="00C30EEE">
      <w:pPr>
        <w:pStyle w:val="3"/>
        <w:spacing w:after="0"/>
        <w:ind w:left="0" w:firstLine="680"/>
        <w:jc w:val="both"/>
        <w:rPr>
          <w:sz w:val="24"/>
          <w:szCs w:val="24"/>
        </w:rPr>
      </w:pPr>
      <w:r w:rsidRPr="0069583C">
        <w:rPr>
          <w:sz w:val="24"/>
          <w:szCs w:val="24"/>
        </w:rPr>
        <w:t xml:space="preserve">-  оценка эффективности использования государственного имущества, внесенного в </w:t>
      </w:r>
      <w:r w:rsidRPr="0086075A">
        <w:rPr>
          <w:sz w:val="24"/>
          <w:szCs w:val="24"/>
        </w:rPr>
        <w:t>уставный капитал Корпорации развития.</w:t>
      </w:r>
    </w:p>
    <w:p w:rsidR="0086075A" w:rsidRPr="0086075A" w:rsidRDefault="007E79FD" w:rsidP="0086075A">
      <w:pPr>
        <w:pStyle w:val="3"/>
        <w:spacing w:after="0"/>
        <w:ind w:left="0" w:firstLine="680"/>
        <w:rPr>
          <w:sz w:val="24"/>
          <w:szCs w:val="24"/>
        </w:rPr>
      </w:pPr>
      <w:r w:rsidRPr="0086075A">
        <w:rPr>
          <w:b/>
          <w:bCs/>
          <w:spacing w:val="-3"/>
          <w:sz w:val="24"/>
          <w:szCs w:val="24"/>
        </w:rPr>
        <w:t xml:space="preserve">Проверяемый период деятельности: </w:t>
      </w:r>
      <w:r w:rsidR="0086075A" w:rsidRPr="0086075A">
        <w:rPr>
          <w:sz w:val="24"/>
          <w:szCs w:val="24"/>
        </w:rPr>
        <w:t>2017 – 2018 годы, текущий период 2019 года.</w:t>
      </w:r>
    </w:p>
    <w:p w:rsidR="007E79FD" w:rsidRPr="0086075A" w:rsidRDefault="007E79FD" w:rsidP="0086075A">
      <w:pPr>
        <w:shd w:val="clear" w:color="auto" w:fill="FFFFFF"/>
        <w:tabs>
          <w:tab w:val="left" w:leader="underscore" w:pos="9559"/>
        </w:tabs>
        <w:ind w:firstLine="680"/>
        <w:rPr>
          <w:bCs/>
          <w:spacing w:val="-15"/>
        </w:rPr>
      </w:pPr>
      <w:r w:rsidRPr="0086075A">
        <w:rPr>
          <w:b/>
          <w:bCs/>
          <w:spacing w:val="-15"/>
        </w:rPr>
        <w:t>Объект  контрольного мероприятия:</w:t>
      </w:r>
      <w:r w:rsidR="0086075A" w:rsidRPr="0086075A">
        <w:rPr>
          <w:b/>
          <w:bCs/>
          <w:spacing w:val="-15"/>
        </w:rPr>
        <w:t xml:space="preserve"> </w:t>
      </w:r>
      <w:r w:rsidR="0086075A" w:rsidRPr="0086075A">
        <w:rPr>
          <w:bCs/>
          <w:spacing w:val="-15"/>
        </w:rPr>
        <w:t>Корпорация развития.</w:t>
      </w:r>
    </w:p>
    <w:p w:rsidR="0086075A" w:rsidRPr="0086075A" w:rsidRDefault="007E79FD" w:rsidP="0086075A">
      <w:pPr>
        <w:shd w:val="clear" w:color="auto" w:fill="FFFFFF"/>
        <w:ind w:firstLine="680"/>
        <w:jc w:val="both"/>
        <w:rPr>
          <w:b/>
        </w:rPr>
      </w:pPr>
      <w:r w:rsidRPr="0086075A">
        <w:rPr>
          <w:b/>
        </w:rPr>
        <w:t xml:space="preserve">Перечень оформленных актов контрольных мероприятий: </w:t>
      </w:r>
    </w:p>
    <w:p w:rsidR="007E79FD" w:rsidRPr="0086075A" w:rsidRDefault="0086075A" w:rsidP="0086075A">
      <w:pPr>
        <w:shd w:val="clear" w:color="auto" w:fill="FFFFFF"/>
        <w:ind w:firstLine="680"/>
        <w:jc w:val="both"/>
        <w:rPr>
          <w:bCs/>
        </w:rPr>
      </w:pPr>
      <w:r w:rsidRPr="0086075A">
        <w:rPr>
          <w:b/>
        </w:rPr>
        <w:t xml:space="preserve">- </w:t>
      </w:r>
      <w:r w:rsidRPr="0086075A">
        <w:rPr>
          <w:bCs/>
        </w:rPr>
        <w:t>акт</w:t>
      </w:r>
      <w:r w:rsidR="007E79FD" w:rsidRPr="0086075A">
        <w:rPr>
          <w:bCs/>
        </w:rPr>
        <w:t xml:space="preserve"> проверки </w:t>
      </w:r>
      <w:r w:rsidRPr="0086075A">
        <w:rPr>
          <w:bCs/>
        </w:rPr>
        <w:t>Корпорации развития</w:t>
      </w:r>
      <w:r>
        <w:rPr>
          <w:bCs/>
        </w:rPr>
        <w:t xml:space="preserve"> от 14.06.2019</w:t>
      </w:r>
      <w:r w:rsidR="002C6795">
        <w:rPr>
          <w:bCs/>
        </w:rPr>
        <w:t xml:space="preserve"> № 127</w:t>
      </w:r>
      <w:r w:rsidRPr="0086075A">
        <w:rPr>
          <w:bCs/>
        </w:rPr>
        <w:t>;</w:t>
      </w:r>
    </w:p>
    <w:p w:rsidR="0086075A" w:rsidRDefault="007E79FD" w:rsidP="0086075A">
      <w:pPr>
        <w:shd w:val="clear" w:color="auto" w:fill="FFFFFF"/>
        <w:ind w:firstLine="680"/>
        <w:jc w:val="both"/>
        <w:rPr>
          <w:bCs/>
        </w:rPr>
      </w:pPr>
      <w:r w:rsidRPr="0086075A">
        <w:rPr>
          <w:bCs/>
        </w:rPr>
        <w:t>-</w:t>
      </w:r>
      <w:r w:rsidR="0086075A">
        <w:rPr>
          <w:bCs/>
        </w:rPr>
        <w:t xml:space="preserve"> акт проверки государственного казенного учреждения Волгоградской области «Дирекция по материально-техническому и хозяйственному обеспечению Администрации Волгоградской области» от 10.06.2019</w:t>
      </w:r>
      <w:r w:rsidR="002C6795">
        <w:rPr>
          <w:bCs/>
        </w:rPr>
        <w:t xml:space="preserve"> № 116</w:t>
      </w:r>
      <w:r w:rsidR="0086075A">
        <w:rPr>
          <w:bCs/>
        </w:rPr>
        <w:t>.</w:t>
      </w:r>
    </w:p>
    <w:p w:rsidR="007E79FD" w:rsidRPr="0086075A" w:rsidRDefault="007E79FD" w:rsidP="0086075A">
      <w:pPr>
        <w:shd w:val="clear" w:color="auto" w:fill="FFFFFF"/>
        <w:ind w:firstLine="680"/>
        <w:jc w:val="both"/>
        <w:rPr>
          <w:b/>
        </w:rPr>
      </w:pPr>
      <w:r w:rsidRPr="0086075A">
        <w:rPr>
          <w:b/>
        </w:rPr>
        <w:t>Характеристика объекта контроля:</w:t>
      </w:r>
    </w:p>
    <w:p w:rsidR="005A3886" w:rsidRPr="00B3031A" w:rsidRDefault="005A3886" w:rsidP="005A3886">
      <w:pPr>
        <w:ind w:firstLine="680"/>
        <w:jc w:val="both"/>
      </w:pPr>
      <w:r w:rsidRPr="00B3031A">
        <w:t xml:space="preserve">Во исполнение постановления главы Администрации Волгоградской области от 02.07.2007 № 1152 </w:t>
      </w:r>
      <w:r w:rsidR="00C31DDA">
        <w:t xml:space="preserve">на основании </w:t>
      </w:r>
      <w:r w:rsidR="00C31DDA" w:rsidRPr="00B3031A">
        <w:t>распоряжения комитета по управлению государственным имуществом Волгоградской области (далее – КУГИ)</w:t>
      </w:r>
      <w:r w:rsidR="00C31DDA">
        <w:t xml:space="preserve"> от 22.08.2007 № 987-р </w:t>
      </w:r>
      <w:r w:rsidRPr="00B3031A">
        <w:t xml:space="preserve">было создано </w:t>
      </w:r>
      <w:r w:rsidR="00C31DDA">
        <w:t>01.09.2007</w:t>
      </w:r>
      <w:r w:rsidR="00C31DDA" w:rsidRPr="00B3031A">
        <w:t xml:space="preserve"> </w:t>
      </w:r>
      <w:r w:rsidRPr="00B3031A">
        <w:t>открытое акционерное общество «Управляющая компания» с целью доверительного управления акциями (долями) в уставном (складочном) капитале юридических лиц - получателей государственных гарантий Волгоградской области.  В 2010 году изменены приоритетные направления деятельности общества и на основании распоряжения комитета по управлению государственным имуществом Волгоградской области (далее – КУГИ) от 08.06.2010 № 1154-р ОАО «Управляющая компания» было переименовано в открытое акционерное общество «Корпорация развития Волгоградской области».  На основании распоряжения КУГИ от 16.07.2015 № 1197-р открытое акционерное общество «Корпорация развития Волгоградской области» переименовано в акционерное общество «Корпорация развития Волгоградской области».</w:t>
      </w:r>
    </w:p>
    <w:p w:rsidR="009A08D5" w:rsidRPr="00B3031A" w:rsidRDefault="009A08D5" w:rsidP="009A08D5">
      <w:pPr>
        <w:ind w:firstLine="680"/>
        <w:jc w:val="both"/>
        <w:rPr>
          <w:b/>
          <w:i/>
        </w:rPr>
      </w:pPr>
      <w:r w:rsidRPr="00B3031A">
        <w:t xml:space="preserve">Согласно Уставу Корпорации развития, утвержденному распоряжением </w:t>
      </w:r>
      <w:r w:rsidR="00C30EEE">
        <w:t>комитета по управлению государственным имущество</w:t>
      </w:r>
      <w:r w:rsidR="00F459F7">
        <w:t>м</w:t>
      </w:r>
      <w:r w:rsidR="00C30EEE">
        <w:t xml:space="preserve"> Волгоградской области</w:t>
      </w:r>
      <w:r w:rsidRPr="00B3031A">
        <w:t xml:space="preserve"> от 22.02.2017 № 708-р (далее – Устав), единственным акционером Корпорации развития является Волгоградская область в лице </w:t>
      </w:r>
      <w:r w:rsidR="00F459F7">
        <w:t>комитета по управлению государственным имуществом Волгоградской области</w:t>
      </w:r>
      <w:r w:rsidR="00F459F7" w:rsidRPr="00B3031A">
        <w:t xml:space="preserve"> </w:t>
      </w:r>
      <w:r w:rsidR="00F459F7">
        <w:t xml:space="preserve">(далее – </w:t>
      </w:r>
      <w:r w:rsidRPr="00B3031A">
        <w:t>КУГИ</w:t>
      </w:r>
      <w:r w:rsidR="00F459F7">
        <w:t>)</w:t>
      </w:r>
      <w:r w:rsidRPr="00B3031A">
        <w:t>. Отраслевым органом исполнительной власти Волгоградской области по отношению к Корпорации развития является комитет экономической политики и развития Волгоградской области (далее – Комитет экономики).</w:t>
      </w:r>
    </w:p>
    <w:p w:rsidR="00D9556F" w:rsidRDefault="009A08D5" w:rsidP="009A08D5">
      <w:pPr>
        <w:ind w:firstLine="680"/>
        <w:jc w:val="both"/>
      </w:pPr>
      <w:r w:rsidRPr="00B3031A">
        <w:t xml:space="preserve">По состоянию на 31.12.2017, 31.12.2018 и на момент окончания настоящей проверки уставный капитал </w:t>
      </w:r>
      <w:r w:rsidR="00EA761D">
        <w:t>К</w:t>
      </w:r>
      <w:r w:rsidR="00A52BF2">
        <w:t xml:space="preserve">орпорации развития </w:t>
      </w:r>
      <w:r w:rsidRPr="00B3031A">
        <w:t>составляет 102</w:t>
      </w:r>
      <w:r w:rsidR="00054020">
        <w:t>,6 млн.</w:t>
      </w:r>
      <w:r w:rsidRPr="00B3031A">
        <w:t xml:space="preserve"> рублей. </w:t>
      </w:r>
      <w:proofErr w:type="gramStart"/>
      <w:r w:rsidRPr="00B3031A">
        <w:t>Уставный капитал разделен на 1 026 045 штук обыкновенных именных бездокументарных акций номинальной стоимостью одной акции 100 руб</w:t>
      </w:r>
      <w:r w:rsidR="00D9556F">
        <w:t>., из которых 2</w:t>
      </w:r>
      <w:r w:rsidR="00746B05">
        <w:t> </w:t>
      </w:r>
      <w:r w:rsidR="00D9556F">
        <w:t xml:space="preserve">500 штук  были размещены при учреждении </w:t>
      </w:r>
      <w:r w:rsidR="00D9556F">
        <w:lastRenderedPageBreak/>
        <w:t xml:space="preserve">общества, а 1 023 545 штук размещены в рамках дополнительного выпуска ценных бумаг, в т.ч. в результате </w:t>
      </w:r>
      <w:r w:rsidR="000F59DB">
        <w:t xml:space="preserve">внесения в качестве вклада </w:t>
      </w:r>
      <w:r w:rsidR="00D9556F">
        <w:t>в уставный капитал</w:t>
      </w:r>
      <w:r w:rsidR="000F59DB">
        <w:t>:</w:t>
      </w:r>
      <w:proofErr w:type="gramEnd"/>
    </w:p>
    <w:p w:rsidR="00D9556F" w:rsidRDefault="00D9556F" w:rsidP="009A08D5">
      <w:pPr>
        <w:ind w:firstLine="680"/>
        <w:jc w:val="both"/>
        <w:rPr>
          <w:rFonts w:eastAsiaTheme="minorHAnsi"/>
          <w:lang w:eastAsia="en-US"/>
        </w:rPr>
      </w:pPr>
      <w:r>
        <w:t xml:space="preserve">- в 2010 году  средств областного бюджета в размере </w:t>
      </w:r>
      <w:r>
        <w:rPr>
          <w:rFonts w:eastAsiaTheme="minorHAnsi"/>
          <w:lang w:eastAsia="en-US"/>
        </w:rPr>
        <w:t>44</w:t>
      </w:r>
      <w:r w:rsidR="00054020">
        <w:rPr>
          <w:rFonts w:eastAsiaTheme="minorHAnsi"/>
          <w:lang w:eastAsia="en-US"/>
        </w:rPr>
        <w:t>,0 млн.</w:t>
      </w:r>
      <w:r>
        <w:rPr>
          <w:rFonts w:eastAsiaTheme="minorHAnsi"/>
          <w:lang w:eastAsia="en-US"/>
        </w:rPr>
        <w:t xml:space="preserve"> руб.</w:t>
      </w:r>
      <w:r w:rsidR="000F59DB">
        <w:rPr>
          <w:rFonts w:eastAsiaTheme="minorHAnsi"/>
          <w:lang w:eastAsia="en-US"/>
        </w:rPr>
        <w:t xml:space="preserve"> (440 000 штук акций)</w:t>
      </w:r>
      <w:r>
        <w:rPr>
          <w:rFonts w:eastAsiaTheme="minorHAnsi"/>
          <w:lang w:eastAsia="en-US"/>
        </w:rPr>
        <w:t>;</w:t>
      </w:r>
    </w:p>
    <w:p w:rsidR="00746B05" w:rsidRDefault="00746B05" w:rsidP="00746B05">
      <w:pPr>
        <w:ind w:firstLine="680"/>
        <w:jc w:val="both"/>
        <w:rPr>
          <w:noProof/>
        </w:rPr>
      </w:pPr>
      <w:proofErr w:type="gramStart"/>
      <w:r>
        <w:rPr>
          <w:rFonts w:eastAsiaTheme="minorHAnsi"/>
          <w:lang w:eastAsia="en-US"/>
        </w:rPr>
        <w:t xml:space="preserve">- в 2014 году недвижимого имущества в составе </w:t>
      </w:r>
      <w:r w:rsidR="004E3074" w:rsidRPr="00852A9E">
        <w:rPr>
          <w:noProof/>
        </w:rPr>
        <w:t>здани</w:t>
      </w:r>
      <w:r>
        <w:rPr>
          <w:noProof/>
        </w:rPr>
        <w:t>я</w:t>
      </w:r>
      <w:r w:rsidR="004E3074" w:rsidRPr="00852A9E">
        <w:rPr>
          <w:noProof/>
        </w:rPr>
        <w:t xml:space="preserve"> ДК «Дружба» общей площадью 1</w:t>
      </w:r>
      <w:r w:rsidR="004E3074">
        <w:rPr>
          <w:noProof/>
        </w:rPr>
        <w:t> </w:t>
      </w:r>
      <w:r w:rsidR="004E3074" w:rsidRPr="00852A9E">
        <w:rPr>
          <w:noProof/>
        </w:rPr>
        <w:t>474,4 кв. м</w:t>
      </w:r>
      <w:r w:rsidR="004E3074" w:rsidRPr="00355657">
        <w:rPr>
          <w:noProof/>
        </w:rPr>
        <w:t xml:space="preserve"> </w:t>
      </w:r>
      <w:r w:rsidR="004E3074">
        <w:rPr>
          <w:noProof/>
        </w:rPr>
        <w:t xml:space="preserve">и </w:t>
      </w:r>
      <w:r w:rsidR="004E3074" w:rsidRPr="00B33E00">
        <w:rPr>
          <w:noProof/>
        </w:rPr>
        <w:t>земельн</w:t>
      </w:r>
      <w:r>
        <w:rPr>
          <w:noProof/>
        </w:rPr>
        <w:t>ого</w:t>
      </w:r>
      <w:r w:rsidR="004E3074" w:rsidRPr="00B33E00">
        <w:rPr>
          <w:noProof/>
        </w:rPr>
        <w:t xml:space="preserve"> участ</w:t>
      </w:r>
      <w:r>
        <w:rPr>
          <w:noProof/>
        </w:rPr>
        <w:t>ка</w:t>
      </w:r>
      <w:r w:rsidR="004E3074" w:rsidRPr="00B33E00">
        <w:rPr>
          <w:noProof/>
        </w:rPr>
        <w:t xml:space="preserve"> площадью 2</w:t>
      </w:r>
      <w:r w:rsidR="004E3074">
        <w:rPr>
          <w:noProof/>
        </w:rPr>
        <w:t> </w:t>
      </w:r>
      <w:r w:rsidR="004E3074" w:rsidRPr="00B33E00">
        <w:rPr>
          <w:noProof/>
        </w:rPr>
        <w:t>470 кв.м</w:t>
      </w:r>
      <w:r w:rsidR="004E3074">
        <w:rPr>
          <w:noProof/>
        </w:rPr>
        <w:t xml:space="preserve"> (г. Волгоград, по</w:t>
      </w:r>
      <w:r w:rsidR="004E3074" w:rsidRPr="00852A9E">
        <w:rPr>
          <w:noProof/>
        </w:rPr>
        <w:t xml:space="preserve">с. </w:t>
      </w:r>
      <w:r w:rsidR="004E3074" w:rsidRPr="00B33E00">
        <w:rPr>
          <w:noProof/>
        </w:rPr>
        <w:t>Веселая Балка, 25</w:t>
      </w:r>
      <w:r w:rsidR="004E3074">
        <w:rPr>
          <w:noProof/>
        </w:rPr>
        <w:t xml:space="preserve">), а также </w:t>
      </w:r>
      <w:r w:rsidR="004E3074" w:rsidRPr="00B33E00">
        <w:rPr>
          <w:noProof/>
        </w:rPr>
        <w:t>здани</w:t>
      </w:r>
      <w:r>
        <w:rPr>
          <w:noProof/>
        </w:rPr>
        <w:t>я</w:t>
      </w:r>
      <w:r w:rsidR="004E3074" w:rsidRPr="00B33E00">
        <w:rPr>
          <w:noProof/>
        </w:rPr>
        <w:t xml:space="preserve"> спортзала общей площадью 631,7 кв.м</w:t>
      </w:r>
      <w:r w:rsidR="004E3074" w:rsidRPr="00355657">
        <w:rPr>
          <w:noProof/>
        </w:rPr>
        <w:t xml:space="preserve"> </w:t>
      </w:r>
      <w:r w:rsidR="004E3074">
        <w:rPr>
          <w:noProof/>
        </w:rPr>
        <w:t xml:space="preserve">и </w:t>
      </w:r>
      <w:r w:rsidR="004E3074" w:rsidRPr="00B33E00">
        <w:rPr>
          <w:noProof/>
        </w:rPr>
        <w:t>земельн</w:t>
      </w:r>
      <w:r>
        <w:rPr>
          <w:noProof/>
        </w:rPr>
        <w:t>ого</w:t>
      </w:r>
      <w:r w:rsidR="004E3074" w:rsidRPr="00B33E00">
        <w:rPr>
          <w:noProof/>
        </w:rPr>
        <w:t xml:space="preserve"> участ</w:t>
      </w:r>
      <w:r>
        <w:rPr>
          <w:noProof/>
        </w:rPr>
        <w:t>ка</w:t>
      </w:r>
      <w:r w:rsidR="004E3074" w:rsidRPr="00B33E00">
        <w:rPr>
          <w:noProof/>
        </w:rPr>
        <w:t xml:space="preserve"> площадью 1</w:t>
      </w:r>
      <w:r w:rsidR="004E3074">
        <w:rPr>
          <w:noProof/>
        </w:rPr>
        <w:t> </w:t>
      </w:r>
      <w:r w:rsidR="004E3074" w:rsidRPr="00B33E00">
        <w:rPr>
          <w:noProof/>
        </w:rPr>
        <w:t>935 кв.м</w:t>
      </w:r>
      <w:r w:rsidR="004E3074">
        <w:rPr>
          <w:noProof/>
        </w:rPr>
        <w:t xml:space="preserve"> (г. Волгоград, по</w:t>
      </w:r>
      <w:r w:rsidR="004E3074" w:rsidRPr="00B33E00">
        <w:rPr>
          <w:noProof/>
        </w:rPr>
        <w:t>с. Веселая Балка, 14а</w:t>
      </w:r>
      <w:r w:rsidR="004E3074">
        <w:rPr>
          <w:noProof/>
        </w:rPr>
        <w:t>)</w:t>
      </w:r>
      <w:r w:rsidR="004E3074" w:rsidRPr="00B33E00">
        <w:rPr>
          <w:noProof/>
        </w:rPr>
        <w:t xml:space="preserve"> общей стоимостью 8</w:t>
      </w:r>
      <w:r w:rsidR="00054020">
        <w:rPr>
          <w:noProof/>
        </w:rPr>
        <w:t>,7 млн.</w:t>
      </w:r>
      <w:r w:rsidR="004E3074" w:rsidRPr="00B33E00">
        <w:rPr>
          <w:noProof/>
        </w:rPr>
        <w:t xml:space="preserve"> руб. </w:t>
      </w:r>
      <w:r w:rsidR="004E3074" w:rsidRPr="00852A9E">
        <w:rPr>
          <w:noProof/>
        </w:rPr>
        <w:t>(87</w:t>
      </w:r>
      <w:r w:rsidR="004E3074">
        <w:rPr>
          <w:noProof/>
        </w:rPr>
        <w:t> </w:t>
      </w:r>
      <w:r w:rsidR="004E3074" w:rsidRPr="00852A9E">
        <w:rPr>
          <w:noProof/>
        </w:rPr>
        <w:t>395</w:t>
      </w:r>
      <w:proofErr w:type="gramEnd"/>
      <w:r w:rsidR="004E3074" w:rsidRPr="00852A9E">
        <w:rPr>
          <w:noProof/>
        </w:rPr>
        <w:t xml:space="preserve"> штук</w:t>
      </w:r>
      <w:r>
        <w:rPr>
          <w:noProof/>
        </w:rPr>
        <w:t xml:space="preserve"> акций);</w:t>
      </w:r>
    </w:p>
    <w:p w:rsidR="00746B05" w:rsidRDefault="00746B05" w:rsidP="00746B05">
      <w:pPr>
        <w:ind w:firstLine="680"/>
        <w:jc w:val="both"/>
        <w:rPr>
          <w:noProof/>
        </w:rPr>
      </w:pPr>
      <w:proofErr w:type="gramStart"/>
      <w:r>
        <w:rPr>
          <w:noProof/>
        </w:rPr>
        <w:t xml:space="preserve">- в 2016 году </w:t>
      </w:r>
      <w:r>
        <w:rPr>
          <w:rFonts w:eastAsiaTheme="minorHAnsi"/>
          <w:lang w:eastAsia="en-US"/>
        </w:rPr>
        <w:t xml:space="preserve">недвижимого имущества в составе </w:t>
      </w:r>
      <w:r w:rsidR="004E3074" w:rsidRPr="00852A9E">
        <w:rPr>
          <w:noProof/>
        </w:rPr>
        <w:t>здани</w:t>
      </w:r>
      <w:r>
        <w:rPr>
          <w:noProof/>
        </w:rPr>
        <w:t>я</w:t>
      </w:r>
      <w:r w:rsidR="004E3074" w:rsidRPr="00852A9E">
        <w:rPr>
          <w:noProof/>
        </w:rPr>
        <w:t xml:space="preserve"> общей площадью 505 кв.м </w:t>
      </w:r>
      <w:r w:rsidR="004E3074">
        <w:rPr>
          <w:noProof/>
        </w:rPr>
        <w:t>и земельн</w:t>
      </w:r>
      <w:r>
        <w:rPr>
          <w:noProof/>
        </w:rPr>
        <w:t>ого</w:t>
      </w:r>
      <w:r w:rsidR="004E3074">
        <w:rPr>
          <w:noProof/>
        </w:rPr>
        <w:t xml:space="preserve"> участ</w:t>
      </w:r>
      <w:r>
        <w:rPr>
          <w:noProof/>
        </w:rPr>
        <w:t>ка</w:t>
      </w:r>
      <w:r w:rsidR="004E3074">
        <w:rPr>
          <w:noProof/>
        </w:rPr>
        <w:t xml:space="preserve"> площадью </w:t>
      </w:r>
      <w:r w:rsidR="004E3074" w:rsidRPr="00852A9E">
        <w:rPr>
          <w:noProof/>
        </w:rPr>
        <w:t>1</w:t>
      </w:r>
      <w:r w:rsidR="004E3074">
        <w:rPr>
          <w:noProof/>
        </w:rPr>
        <w:t> </w:t>
      </w:r>
      <w:r w:rsidR="004E3074" w:rsidRPr="00852A9E">
        <w:rPr>
          <w:noProof/>
        </w:rPr>
        <w:t>088 кв.м</w:t>
      </w:r>
      <w:r w:rsidR="004E3074">
        <w:rPr>
          <w:noProof/>
        </w:rPr>
        <w:t xml:space="preserve"> (</w:t>
      </w:r>
      <w:r w:rsidR="004E3074" w:rsidRPr="00852A9E">
        <w:rPr>
          <w:noProof/>
        </w:rPr>
        <w:t>г. Волгоград, ул. им. Котовского, д. 43</w:t>
      </w:r>
      <w:r w:rsidR="004E3074">
        <w:rPr>
          <w:noProof/>
        </w:rPr>
        <w:t>)</w:t>
      </w:r>
      <w:r w:rsidR="004E3074" w:rsidRPr="00852A9E">
        <w:rPr>
          <w:noProof/>
        </w:rPr>
        <w:t>, а также комплекс</w:t>
      </w:r>
      <w:r>
        <w:rPr>
          <w:noProof/>
        </w:rPr>
        <w:t>а</w:t>
      </w:r>
      <w:r w:rsidR="004E3074" w:rsidRPr="00852A9E">
        <w:rPr>
          <w:noProof/>
        </w:rPr>
        <w:t xml:space="preserve"> объектов недвижимости</w:t>
      </w:r>
      <w:r w:rsidR="004E3074">
        <w:rPr>
          <w:noProof/>
        </w:rPr>
        <w:t xml:space="preserve"> общей площадью 1735,69 кв.м и земельн</w:t>
      </w:r>
      <w:r>
        <w:rPr>
          <w:noProof/>
        </w:rPr>
        <w:t>ого</w:t>
      </w:r>
      <w:r w:rsidR="004E3074">
        <w:rPr>
          <w:noProof/>
        </w:rPr>
        <w:t xml:space="preserve"> участ</w:t>
      </w:r>
      <w:r>
        <w:rPr>
          <w:noProof/>
        </w:rPr>
        <w:t>ка</w:t>
      </w:r>
      <w:r w:rsidR="004E3074">
        <w:rPr>
          <w:noProof/>
        </w:rPr>
        <w:t xml:space="preserve"> площадью 11 284 кв.м (</w:t>
      </w:r>
      <w:r w:rsidR="004E3074" w:rsidRPr="00852A9E">
        <w:rPr>
          <w:noProof/>
        </w:rPr>
        <w:t>г. Волгоград, проезд Тайшетский, 5</w:t>
      </w:r>
      <w:r w:rsidR="004E3074">
        <w:rPr>
          <w:noProof/>
        </w:rPr>
        <w:t>)</w:t>
      </w:r>
      <w:r w:rsidR="004E3074" w:rsidRPr="00D53175">
        <w:rPr>
          <w:noProof/>
        </w:rPr>
        <w:t xml:space="preserve"> общей стоимостью 13</w:t>
      </w:r>
      <w:r w:rsidR="00054020">
        <w:rPr>
          <w:noProof/>
        </w:rPr>
        <w:t xml:space="preserve">,5 млн. </w:t>
      </w:r>
      <w:r w:rsidR="004E3074" w:rsidRPr="00D53175">
        <w:rPr>
          <w:noProof/>
        </w:rPr>
        <w:t>руб. (135 291 штука</w:t>
      </w:r>
      <w:r w:rsidR="004E3074">
        <w:rPr>
          <w:noProof/>
        </w:rPr>
        <w:t xml:space="preserve"> акций)</w:t>
      </w:r>
      <w:r>
        <w:rPr>
          <w:noProof/>
        </w:rPr>
        <w:t>;</w:t>
      </w:r>
      <w:proofErr w:type="gramEnd"/>
    </w:p>
    <w:p w:rsidR="004E3074" w:rsidRDefault="00746B05" w:rsidP="00746B05">
      <w:pPr>
        <w:ind w:firstLine="680"/>
        <w:jc w:val="both"/>
        <w:rPr>
          <w:noProof/>
        </w:rPr>
      </w:pPr>
      <w:r>
        <w:rPr>
          <w:noProof/>
        </w:rPr>
        <w:t xml:space="preserve">- в 2017 году </w:t>
      </w:r>
      <w:r>
        <w:rPr>
          <w:rFonts w:eastAsiaTheme="minorHAnsi"/>
          <w:lang w:eastAsia="en-US"/>
        </w:rPr>
        <w:t xml:space="preserve">недвижимого имущества в составе </w:t>
      </w:r>
      <w:r w:rsidR="004E3074">
        <w:rPr>
          <w:noProof/>
        </w:rPr>
        <w:t>комплекс</w:t>
      </w:r>
      <w:r>
        <w:rPr>
          <w:noProof/>
        </w:rPr>
        <w:t>а</w:t>
      </w:r>
      <w:r w:rsidR="004E3074">
        <w:rPr>
          <w:noProof/>
        </w:rPr>
        <w:t xml:space="preserve"> объектов недвижимости</w:t>
      </w:r>
      <w:r w:rsidR="004E3074" w:rsidRPr="00ED56F7">
        <w:rPr>
          <w:noProof/>
        </w:rPr>
        <w:t xml:space="preserve"> </w:t>
      </w:r>
      <w:r w:rsidR="004E3074">
        <w:rPr>
          <w:noProof/>
        </w:rPr>
        <w:t>общей площадью 4 141 кв.м и</w:t>
      </w:r>
      <w:r w:rsidR="004E3074" w:rsidRPr="00ED56F7">
        <w:rPr>
          <w:noProof/>
        </w:rPr>
        <w:t xml:space="preserve"> </w:t>
      </w:r>
      <w:r w:rsidR="004E3074">
        <w:rPr>
          <w:noProof/>
        </w:rPr>
        <w:t>земельн</w:t>
      </w:r>
      <w:r w:rsidR="00356934">
        <w:rPr>
          <w:noProof/>
        </w:rPr>
        <w:t>ого</w:t>
      </w:r>
      <w:r w:rsidR="004E3074">
        <w:rPr>
          <w:noProof/>
        </w:rPr>
        <w:t xml:space="preserve"> участ</w:t>
      </w:r>
      <w:r w:rsidR="00356934">
        <w:rPr>
          <w:noProof/>
        </w:rPr>
        <w:t>ка</w:t>
      </w:r>
      <w:r w:rsidR="004E3074">
        <w:rPr>
          <w:noProof/>
        </w:rPr>
        <w:t xml:space="preserve"> площадью 18 203 кв. м (г. Волгоград, пр-кт им. маршала Советского Союза Г.К. Жукова, зд. 3)</w:t>
      </w:r>
      <w:r w:rsidR="004E3074" w:rsidRPr="00E62D15">
        <w:rPr>
          <w:noProof/>
        </w:rPr>
        <w:t xml:space="preserve"> общей стоимостью 36</w:t>
      </w:r>
      <w:r w:rsidR="00054020">
        <w:rPr>
          <w:noProof/>
        </w:rPr>
        <w:t>,1 млн.</w:t>
      </w:r>
      <w:r w:rsidR="004E3074" w:rsidRPr="00E62D15">
        <w:rPr>
          <w:noProof/>
        </w:rPr>
        <w:t xml:space="preserve"> руб. (360 859 штук</w:t>
      </w:r>
      <w:r>
        <w:rPr>
          <w:noProof/>
        </w:rPr>
        <w:t xml:space="preserve"> акций</w:t>
      </w:r>
      <w:r w:rsidR="004E3074" w:rsidRPr="00E62D15">
        <w:rPr>
          <w:noProof/>
        </w:rPr>
        <w:t>)</w:t>
      </w:r>
      <w:r>
        <w:rPr>
          <w:noProof/>
        </w:rPr>
        <w:t>.</w:t>
      </w:r>
    </w:p>
    <w:p w:rsidR="00BD3D93" w:rsidRPr="00B3031A" w:rsidRDefault="00BD3D93" w:rsidP="00BD3D93">
      <w:pPr>
        <w:ind w:firstLine="680"/>
        <w:jc w:val="both"/>
      </w:pPr>
      <w:r w:rsidRPr="007E1DC1">
        <w:t>Согласно Уставу Корпорация развития вправе осуществлять любые виды деятельности,</w:t>
      </w:r>
      <w:r w:rsidRPr="00B3031A">
        <w:t xml:space="preserve"> не запрещенн</w:t>
      </w:r>
      <w:r>
        <w:t>ые законодательством РФ, в т.ч.</w:t>
      </w:r>
      <w:r w:rsidRPr="00B3031A">
        <w:t xml:space="preserve"> инициирование и структурирование инвестиционных проектов</w:t>
      </w:r>
      <w:r>
        <w:t xml:space="preserve"> (далее – </w:t>
      </w:r>
      <w:proofErr w:type="spellStart"/>
      <w:r>
        <w:t>инвестпроекты</w:t>
      </w:r>
      <w:proofErr w:type="spellEnd"/>
      <w:r>
        <w:t>)</w:t>
      </w:r>
      <w:r w:rsidRPr="00B3031A">
        <w:t xml:space="preserve">; оказание содействия в получении государственной поддержки, организация привлечения средств бюджетов для реализации </w:t>
      </w:r>
      <w:proofErr w:type="spellStart"/>
      <w:r w:rsidRPr="00B3031A">
        <w:t>инвестпроектов</w:t>
      </w:r>
      <w:proofErr w:type="spellEnd"/>
      <w:r w:rsidRPr="00B3031A">
        <w:t>; управление привлеченным капиталом и инвестициями; покупка и продажа недв</w:t>
      </w:r>
      <w:r>
        <w:t>ижимого имущества</w:t>
      </w:r>
      <w:r w:rsidRPr="00B3031A">
        <w:t xml:space="preserve">; инвестиционное проектирование, разработка бизнес-планов; сдача в наем собственного недвижимого имущества и </w:t>
      </w:r>
      <w:r w:rsidR="009F769D">
        <w:t>др.</w:t>
      </w:r>
      <w:r w:rsidRPr="00B3031A">
        <w:t xml:space="preserve"> </w:t>
      </w:r>
      <w:r w:rsidR="00785603">
        <w:t xml:space="preserve"> </w:t>
      </w:r>
      <w:r w:rsidR="00785603" w:rsidRPr="007E1DC1">
        <w:t>Таким образом, основным видом деятельности К</w:t>
      </w:r>
      <w:r w:rsidR="005C20C6" w:rsidRPr="007E1DC1">
        <w:t>орпорации развития является подготовка и сопровождение инвестиционных проектов.</w:t>
      </w:r>
    </w:p>
    <w:p w:rsidR="00BD3D93" w:rsidRPr="00B3031A" w:rsidRDefault="00BD3D93" w:rsidP="00BD3D93">
      <w:pPr>
        <w:autoSpaceDE w:val="0"/>
        <w:autoSpaceDN w:val="0"/>
        <w:adjustRightInd w:val="0"/>
        <w:ind w:firstLine="680"/>
        <w:jc w:val="both"/>
      </w:pPr>
      <w:proofErr w:type="gramStart"/>
      <w:r w:rsidRPr="00B3031A">
        <w:t>Штатная численность Корпорации развития составила на начало 2017 года -  11 ед. (фактическая численность – 10 ед.), 2018 года – 18,7 ед. (фактическая численность – 15 ед.)</w:t>
      </w:r>
      <w:r>
        <w:t>,</w:t>
      </w:r>
      <w:r w:rsidRPr="00B3031A">
        <w:t xml:space="preserve">  2019 года  –  14 ед. (фактическая численность – 12 ед., в т.ч. 3 ед. технического персонала).</w:t>
      </w:r>
      <w:proofErr w:type="gramEnd"/>
      <w:r w:rsidRPr="00B3031A">
        <w:t xml:space="preserve"> Приказом Корпорации развития от 02.04.2019 № 29 введено новое штатное расписание с количеством 11,5 штатных единиц. Фактическая численность на 01.04.2019 составила 9 единиц. </w:t>
      </w:r>
    </w:p>
    <w:p w:rsidR="00BD3D93" w:rsidRDefault="00BD3D93" w:rsidP="00BD3D93">
      <w:pPr>
        <w:ind w:firstLine="680"/>
        <w:jc w:val="both"/>
      </w:pPr>
      <w:r w:rsidRPr="00B3031A">
        <w:t xml:space="preserve">Согласно п. 11 Устава органами управления Корпорации развития являются общее собрание акционеров, наблюдательный совет, единоличный исполнительный орган – генеральный директор. </w:t>
      </w:r>
      <w:r w:rsidR="001E5305">
        <w:t>П</w:t>
      </w:r>
      <w:r w:rsidR="001E5305" w:rsidRPr="00D918C1">
        <w:t>олномочия общего собрания акционеров (участников) общества осуществляются КУГИ</w:t>
      </w:r>
      <w:r w:rsidR="001E5305" w:rsidRPr="001E5305">
        <w:t xml:space="preserve"> </w:t>
      </w:r>
      <w:r w:rsidR="001E5305">
        <w:t>(</w:t>
      </w:r>
      <w:r w:rsidR="001E5305" w:rsidRPr="00D918C1">
        <w:t>п. 12.2 Устава</w:t>
      </w:r>
      <w:r w:rsidR="001E5305">
        <w:t>)</w:t>
      </w:r>
      <w:r w:rsidR="001E5305" w:rsidRPr="00D918C1">
        <w:t>.</w:t>
      </w:r>
      <w:r w:rsidR="001E5305">
        <w:t xml:space="preserve"> </w:t>
      </w:r>
      <w:r w:rsidRPr="00B3031A">
        <w:t xml:space="preserve">Органом </w:t>
      </w:r>
      <w:proofErr w:type="gramStart"/>
      <w:r w:rsidRPr="00B3031A">
        <w:t>контроля за</w:t>
      </w:r>
      <w:proofErr w:type="gramEnd"/>
      <w:r w:rsidRPr="00B3031A">
        <w:t xml:space="preserve"> финансово-хозяйственной деятельностью является ревизор (ревизионная комиссия).</w:t>
      </w:r>
    </w:p>
    <w:p w:rsidR="002442D4" w:rsidRDefault="002442D4" w:rsidP="00BD3D93">
      <w:pPr>
        <w:ind w:firstLine="680"/>
        <w:jc w:val="both"/>
      </w:pPr>
      <w:r>
        <w:t xml:space="preserve">В отношении </w:t>
      </w:r>
      <w:proofErr w:type="gramStart"/>
      <w:r>
        <w:t>деятельности органов управления Корпорации развития</w:t>
      </w:r>
      <w:proofErr w:type="gramEnd"/>
      <w:r>
        <w:t xml:space="preserve"> проверкой установлено следующее:</w:t>
      </w:r>
    </w:p>
    <w:p w:rsidR="00DB6DFA" w:rsidRPr="006C3E5B" w:rsidRDefault="00DB6DFA" w:rsidP="006C3E5B">
      <w:pPr>
        <w:ind w:firstLine="680"/>
        <w:jc w:val="both"/>
        <w:rPr>
          <w:rFonts w:eastAsiaTheme="minorHAnsi"/>
          <w:lang w:eastAsia="en-US"/>
        </w:rPr>
      </w:pPr>
      <w:proofErr w:type="gramStart"/>
      <w:r>
        <w:t xml:space="preserve">- КУГИ, осуществляющим </w:t>
      </w:r>
      <w:r w:rsidRPr="00DB6DFA">
        <w:t xml:space="preserve">полномочия общего собрания акционеров, в 2018 году </w:t>
      </w:r>
      <w:r w:rsidR="007905E0" w:rsidRPr="00DB6DFA">
        <w:t>утвер</w:t>
      </w:r>
      <w:r w:rsidR="007905E0">
        <w:t>жден</w:t>
      </w:r>
      <w:r w:rsidR="007905E0" w:rsidRPr="00DB6DFA">
        <w:t xml:space="preserve"> </w:t>
      </w:r>
      <w:r w:rsidRPr="00DB6DFA">
        <w:t xml:space="preserve">состав наблюдательного совета </w:t>
      </w:r>
      <w:r w:rsidR="007905E0">
        <w:t>только</w:t>
      </w:r>
      <w:r w:rsidRPr="00DB6DFA">
        <w:t xml:space="preserve"> в ноябре месяце (распоряжение КУГИ от 07.11.2018 № 2739-р), чем не соблюдены ст. 66 </w:t>
      </w:r>
      <w:r w:rsidR="006C3E5B">
        <w:rPr>
          <w:rFonts w:eastAsiaTheme="minorHAnsi"/>
          <w:lang w:eastAsia="en-US"/>
        </w:rPr>
        <w:t xml:space="preserve">Федерального закона от 26.12.1995 № 208-ФЗ «Об акционерных обществах» </w:t>
      </w:r>
      <w:r w:rsidRPr="00DB6DFA">
        <w:t>и ст. 13.3.1.</w:t>
      </w:r>
      <w:proofErr w:type="gramEnd"/>
      <w:r w:rsidRPr="00DB6DFA">
        <w:t xml:space="preserve"> Устава, согласно которым </w:t>
      </w:r>
      <w:r w:rsidRPr="00143665">
        <w:t xml:space="preserve">члены наблюдательного совета избираются на срок до следующего годового общего собрания акционеров (годовое общее собрание акционеров проводится не позднее чем через шесть месяцев после окончания финансового года). При </w:t>
      </w:r>
      <w:r w:rsidR="006516E3">
        <w:t>этом годовые итоги</w:t>
      </w:r>
      <w:r w:rsidRPr="00143665">
        <w:t xml:space="preserve"> работы </w:t>
      </w:r>
      <w:r w:rsidRPr="00DB6DFA">
        <w:t>Корпорации развития утвержд</w:t>
      </w:r>
      <w:r w:rsidR="006516E3">
        <w:t>ены</w:t>
      </w:r>
      <w:r w:rsidRPr="00DB6DFA">
        <w:t xml:space="preserve"> распоряжением КУГИ от 29.06.2018 № 1627-р. Наблюдательный совет утвержден в </w:t>
      </w:r>
      <w:r w:rsidR="006516E3">
        <w:t xml:space="preserve">составе </w:t>
      </w:r>
      <w:r w:rsidRPr="00DB6DFA">
        <w:t>представителей Комитета экономики, КУГИ,</w:t>
      </w:r>
      <w:r>
        <w:t xml:space="preserve"> комитета финансов Волгоградской области;</w:t>
      </w:r>
    </w:p>
    <w:p w:rsidR="004A7818" w:rsidRDefault="002442D4" w:rsidP="002442D4">
      <w:pPr>
        <w:ind w:firstLine="680"/>
        <w:jc w:val="both"/>
      </w:pPr>
      <w:r>
        <w:t xml:space="preserve">- наблюдательным советом, </w:t>
      </w:r>
      <w:r w:rsidRPr="00B3031A">
        <w:t>начиная с ноября 2017 года по апрель 2018 года</w:t>
      </w:r>
      <w:r>
        <w:t>,</w:t>
      </w:r>
      <w:r w:rsidRPr="00B3031A">
        <w:t xml:space="preserve">  решения по деятельности Корпорации развития не принимались в связи отсутствием кворума</w:t>
      </w:r>
      <w:r>
        <w:t xml:space="preserve">. В результате входящие в компетенцию наблюдательного совета вопросы, в т.ч.  одобрение 3-х сделок, связанных с отчуждением имущества, и участие общества в других организациях, </w:t>
      </w:r>
      <w:r>
        <w:lastRenderedPageBreak/>
        <w:t>рассматривались только КУГИ. Данное обстоятельство свидетельствует о формальном осуществлении общего руководства дея</w:t>
      </w:r>
      <w:r w:rsidR="004A7818">
        <w:t>тельностью Корпорации развития со стороны наблюдательного совета.</w:t>
      </w:r>
    </w:p>
    <w:p w:rsidR="001A2DDB" w:rsidRDefault="001A2DDB" w:rsidP="003862DD">
      <w:pPr>
        <w:pStyle w:val="a9"/>
        <w:tabs>
          <w:tab w:val="left" w:pos="4005"/>
        </w:tabs>
        <w:ind w:left="0" w:firstLine="680"/>
        <w:jc w:val="both"/>
      </w:pPr>
    </w:p>
    <w:p w:rsidR="002123D4" w:rsidRPr="001A72B8" w:rsidRDefault="002123D4" w:rsidP="002123D4">
      <w:pPr>
        <w:ind w:firstLine="709"/>
        <w:jc w:val="center"/>
        <w:rPr>
          <w:b/>
        </w:rPr>
      </w:pPr>
      <w:r w:rsidRPr="001A72B8">
        <w:rPr>
          <w:b/>
        </w:rPr>
        <w:t>Анализ финансового состояния Корпорации развития</w:t>
      </w:r>
    </w:p>
    <w:p w:rsidR="002123D4" w:rsidRDefault="002123D4" w:rsidP="002123D4">
      <w:pPr>
        <w:ind w:firstLine="680"/>
        <w:jc w:val="both"/>
      </w:pPr>
      <w:r>
        <w:t>Показатели бухгалтерского баланса Корпорации развития за 2017-2018 годы и 1</w:t>
      </w:r>
      <w:r w:rsidR="007B5B6C">
        <w:t xml:space="preserve"> </w:t>
      </w:r>
      <w:r>
        <w:t>кв</w:t>
      </w:r>
      <w:r w:rsidR="007B5B6C">
        <w:t>артал 2</w:t>
      </w:r>
      <w:r>
        <w:t xml:space="preserve">019 годов представлены в </w:t>
      </w:r>
      <w:r w:rsidRPr="00012049">
        <w:rPr>
          <w:color w:val="17365D" w:themeColor="text2" w:themeShade="BF"/>
        </w:rPr>
        <w:t xml:space="preserve">приложении № </w:t>
      </w:r>
      <w:r w:rsidR="00012049" w:rsidRPr="00012049">
        <w:rPr>
          <w:color w:val="17365D" w:themeColor="text2" w:themeShade="BF"/>
        </w:rPr>
        <w:t>1</w:t>
      </w:r>
      <w:r w:rsidRPr="00012049">
        <w:rPr>
          <w:color w:val="17365D" w:themeColor="text2" w:themeShade="BF"/>
        </w:rPr>
        <w:t>.</w:t>
      </w:r>
    </w:p>
    <w:p w:rsidR="002123D4" w:rsidRDefault="00054020" w:rsidP="002123D4">
      <w:pPr>
        <w:ind w:firstLine="680"/>
        <w:jc w:val="both"/>
      </w:pPr>
      <w:bookmarkStart w:id="0" w:name="OLE_LINK1"/>
      <w:r>
        <w:t xml:space="preserve">За проверяемый период </w:t>
      </w:r>
      <w:r w:rsidR="008F2401">
        <w:t xml:space="preserve">активы и пассивы баланса Корпорации развития увеличились по сравнению с </w:t>
      </w:r>
      <w:r w:rsidR="0095372D">
        <w:t>началом года</w:t>
      </w:r>
      <w:r w:rsidR="008F2401">
        <w:t xml:space="preserve"> </w:t>
      </w:r>
      <w:r w:rsidR="002123D4">
        <w:t xml:space="preserve">на </w:t>
      </w:r>
      <w:r w:rsidR="009907B2">
        <w:t xml:space="preserve">201,6 </w:t>
      </w:r>
      <w:r w:rsidR="002123D4">
        <w:t xml:space="preserve">млн. руб., или в </w:t>
      </w:r>
      <w:r w:rsidR="009907B2">
        <w:t>3,5</w:t>
      </w:r>
      <w:r w:rsidR="002123D4">
        <w:t xml:space="preserve"> раза</w:t>
      </w:r>
      <w:bookmarkEnd w:id="0"/>
      <w:r w:rsidR="009907B2">
        <w:t xml:space="preserve"> (с 81,5 млн. руб. по состоянию на 01.01.2017 до 283,1 млн. руб. </w:t>
      </w:r>
      <w:proofErr w:type="gramStart"/>
      <w:r w:rsidR="009907B2">
        <w:t>на</w:t>
      </w:r>
      <w:proofErr w:type="gramEnd"/>
      <w:r w:rsidR="009907B2">
        <w:t xml:space="preserve"> 31.03.2019)</w:t>
      </w:r>
      <w:r w:rsidR="002123D4">
        <w:t>, на что в основном повлияло:</w:t>
      </w:r>
    </w:p>
    <w:p w:rsidR="009907B2" w:rsidRDefault="002123D4" w:rsidP="009907B2">
      <w:pPr>
        <w:ind w:firstLine="680"/>
        <w:jc w:val="both"/>
      </w:pPr>
      <w:r>
        <w:t>- увеличение</w:t>
      </w:r>
      <w:r w:rsidRPr="002123D4">
        <w:t xml:space="preserve"> </w:t>
      </w:r>
      <w:proofErr w:type="spellStart"/>
      <w:r w:rsidRPr="002123D4">
        <w:t>внеоборотных</w:t>
      </w:r>
      <w:proofErr w:type="spellEnd"/>
      <w:r w:rsidRPr="002123D4">
        <w:t xml:space="preserve"> активов</w:t>
      </w:r>
      <w:r>
        <w:t xml:space="preserve"> </w:t>
      </w:r>
      <w:r w:rsidR="002F6662">
        <w:t xml:space="preserve">на </w:t>
      </w:r>
      <w:r w:rsidR="009907B2">
        <w:t>201,7 млн. руб.</w:t>
      </w:r>
      <w:r w:rsidR="002F6662">
        <w:t xml:space="preserve"> (в </w:t>
      </w:r>
      <w:r w:rsidR="009907B2">
        <w:t>3,5</w:t>
      </w:r>
      <w:r w:rsidR="002F6662">
        <w:t xml:space="preserve"> раза) </w:t>
      </w:r>
      <w:r>
        <w:t xml:space="preserve">за счет </w:t>
      </w:r>
      <w:r w:rsidR="009907B2">
        <w:t xml:space="preserve">увеличения </w:t>
      </w:r>
      <w:r w:rsidR="009907B2">
        <w:rPr>
          <w:noProof/>
        </w:rPr>
        <w:t>основных средств, предназначенных для представления организацией за плату во временное пользование с целью получения дохода (административное здание по пр. Жукова, 3</w:t>
      </w:r>
      <w:r w:rsidR="009907B2" w:rsidRPr="00B87EBA">
        <w:rPr>
          <w:noProof/>
        </w:rPr>
        <w:t xml:space="preserve"> </w:t>
      </w:r>
      <w:r w:rsidR="009907B2">
        <w:rPr>
          <w:noProof/>
        </w:rPr>
        <w:t>с расположенным под ним земельным участком) на 103,5 млн. руб. и прочих внеобортных активов (</w:t>
      </w:r>
      <w:r w:rsidR="009907B2" w:rsidRPr="001E5E3A">
        <w:rPr>
          <w:noProof/>
        </w:rPr>
        <w:t xml:space="preserve">затрат на восстановление </w:t>
      </w:r>
      <w:r w:rsidR="009907B2">
        <w:rPr>
          <w:noProof/>
        </w:rPr>
        <w:t>здания по пр. Жукова,</w:t>
      </w:r>
      <w:r w:rsidR="00D61433">
        <w:rPr>
          <w:noProof/>
        </w:rPr>
        <w:t>3</w:t>
      </w:r>
      <w:r w:rsidR="009907B2" w:rsidRPr="001E5E3A">
        <w:rPr>
          <w:noProof/>
        </w:rPr>
        <w:t xml:space="preserve"> постепенное списание которых будет производиться в течение 15 лет с 01.12.2018</w:t>
      </w:r>
      <w:r w:rsidR="009907B2">
        <w:rPr>
          <w:noProof/>
        </w:rPr>
        <w:t>) на 101,4 млн. руб.;</w:t>
      </w:r>
    </w:p>
    <w:p w:rsidR="002123D4" w:rsidRDefault="002123D4" w:rsidP="002123D4">
      <w:pPr>
        <w:pStyle w:val="ConsPlusNormal"/>
        <w:ind w:firstLine="709"/>
        <w:jc w:val="both"/>
        <w:outlineLvl w:val="0"/>
      </w:pPr>
      <w:r w:rsidRPr="00554E3A">
        <w:t>-</w:t>
      </w:r>
      <w:r>
        <w:t xml:space="preserve"> </w:t>
      </w:r>
      <w:r w:rsidR="007B5B6C">
        <w:t>увеличение</w:t>
      </w:r>
      <w:r w:rsidRPr="00554E3A">
        <w:t xml:space="preserve"> </w:t>
      </w:r>
      <w:r w:rsidR="009870EC">
        <w:t xml:space="preserve">пассивов произошло за счет роста </w:t>
      </w:r>
      <w:r w:rsidRPr="00554E3A">
        <w:t>уставного капитала в р</w:t>
      </w:r>
      <w:r w:rsidR="00AD05EC">
        <w:t xml:space="preserve">езультате эмиссии ценных бумаг </w:t>
      </w:r>
      <w:r w:rsidR="00B941B5">
        <w:t xml:space="preserve">в 2017 году </w:t>
      </w:r>
      <w:r w:rsidRPr="00554E3A">
        <w:t>на 49</w:t>
      </w:r>
      <w:r>
        <w:t>,6 млн.</w:t>
      </w:r>
      <w:r w:rsidRPr="00554E3A">
        <w:t xml:space="preserve"> руб.</w:t>
      </w:r>
      <w:r w:rsidR="002F6662">
        <w:t xml:space="preserve"> (+</w:t>
      </w:r>
      <w:r w:rsidRPr="00554E3A">
        <w:t>93,6%)</w:t>
      </w:r>
      <w:r w:rsidR="009870EC">
        <w:t xml:space="preserve"> и </w:t>
      </w:r>
      <w:r w:rsidRPr="00554E3A">
        <w:t>увеличения обяза</w:t>
      </w:r>
      <w:r w:rsidR="00A10A83">
        <w:t xml:space="preserve">тельств по долгосрочным займам </w:t>
      </w:r>
      <w:r w:rsidRPr="00554E3A">
        <w:t>на 1</w:t>
      </w:r>
      <w:r w:rsidR="00DB6EDD">
        <w:t>82,1 млн.</w:t>
      </w:r>
      <w:r>
        <w:t xml:space="preserve"> млн.</w:t>
      </w:r>
      <w:r w:rsidRPr="00554E3A">
        <w:t xml:space="preserve"> руб.</w:t>
      </w:r>
      <w:r w:rsidR="00A10A83">
        <w:t xml:space="preserve"> (+</w:t>
      </w:r>
      <w:r w:rsidR="00FD4393">
        <w:t>100%).</w:t>
      </w:r>
      <w:r w:rsidRPr="00554E3A">
        <w:t xml:space="preserve"> </w:t>
      </w:r>
    </w:p>
    <w:p w:rsidR="00E87038" w:rsidRDefault="00012DA1" w:rsidP="00E87038">
      <w:pPr>
        <w:ind w:firstLine="680"/>
        <w:jc w:val="both"/>
        <w:rPr>
          <w:noProof/>
        </w:rPr>
      </w:pPr>
      <w:r>
        <w:rPr>
          <w:noProof/>
        </w:rPr>
        <w:t xml:space="preserve">Следует отметить, что в </w:t>
      </w:r>
      <w:r w:rsidR="006B0BED">
        <w:rPr>
          <w:noProof/>
        </w:rPr>
        <w:t>проверяем</w:t>
      </w:r>
      <w:r w:rsidR="006778C1">
        <w:rPr>
          <w:noProof/>
        </w:rPr>
        <w:t>ом</w:t>
      </w:r>
      <w:r w:rsidR="006B0BED">
        <w:rPr>
          <w:noProof/>
        </w:rPr>
        <w:t xml:space="preserve"> период</w:t>
      </w:r>
      <w:r w:rsidR="006778C1">
        <w:rPr>
          <w:noProof/>
        </w:rPr>
        <w:t>е</w:t>
      </w:r>
      <w:r w:rsidR="006B0BED">
        <w:rPr>
          <w:noProof/>
        </w:rPr>
        <w:t xml:space="preserve"> </w:t>
      </w:r>
      <w:r w:rsidR="009870EC">
        <w:rPr>
          <w:noProof/>
        </w:rPr>
        <w:t xml:space="preserve">в </w:t>
      </w:r>
      <w:r>
        <w:rPr>
          <w:noProof/>
        </w:rPr>
        <w:t xml:space="preserve">составе прочих внеоборотных активов  </w:t>
      </w:r>
      <w:r w:rsidR="000000E4">
        <w:rPr>
          <w:noProof/>
        </w:rPr>
        <w:t>отражены</w:t>
      </w:r>
      <w:r w:rsidR="002123D4">
        <w:rPr>
          <w:noProof/>
        </w:rPr>
        <w:t xml:space="preserve"> расход</w:t>
      </w:r>
      <w:r w:rsidR="006B0BED">
        <w:rPr>
          <w:noProof/>
        </w:rPr>
        <w:t>ы</w:t>
      </w:r>
      <w:r w:rsidR="002123D4">
        <w:rPr>
          <w:noProof/>
        </w:rPr>
        <w:t xml:space="preserve"> </w:t>
      </w:r>
      <w:r w:rsidR="003D3A4F">
        <w:rPr>
          <w:noProof/>
        </w:rPr>
        <w:t>будущих периодов в размере</w:t>
      </w:r>
      <w:r w:rsidR="002123D4">
        <w:rPr>
          <w:noProof/>
        </w:rPr>
        <w:t xml:space="preserve"> </w:t>
      </w:r>
      <w:r w:rsidR="002123D4" w:rsidRPr="00CA3C6D">
        <w:rPr>
          <w:noProof/>
        </w:rPr>
        <w:t>58</w:t>
      </w:r>
      <w:r w:rsidR="002123D4">
        <w:rPr>
          <w:noProof/>
        </w:rPr>
        <w:t>,3 млн. руб., образование которых приходится на 2010-2016 годы.</w:t>
      </w:r>
      <w:r w:rsidR="003D3A4F">
        <w:rPr>
          <w:noProof/>
        </w:rPr>
        <w:t xml:space="preserve"> К ним отнесены</w:t>
      </w:r>
      <w:r w:rsidR="002123D4">
        <w:rPr>
          <w:noProof/>
        </w:rPr>
        <w:t xml:space="preserve"> затраты по 38 приостановленным инвестпроектам (</w:t>
      </w:r>
      <w:r w:rsidR="002123D4" w:rsidRPr="00F63C4F">
        <w:rPr>
          <w:noProof/>
        </w:rPr>
        <w:t>приказ</w:t>
      </w:r>
      <w:r w:rsidR="002123D4">
        <w:rPr>
          <w:noProof/>
        </w:rPr>
        <w:t xml:space="preserve"> Корпорации развития </w:t>
      </w:r>
      <w:r w:rsidR="002123D4" w:rsidRPr="00503CDD">
        <w:rPr>
          <w:noProof/>
        </w:rPr>
        <w:t xml:space="preserve">о приостановлении от 10.10.2016 №39). </w:t>
      </w:r>
    </w:p>
    <w:p w:rsidR="00BA0E91" w:rsidRDefault="002123D4" w:rsidP="00BA0E91">
      <w:pPr>
        <w:ind w:firstLine="680"/>
        <w:jc w:val="both"/>
        <w:rPr>
          <w:noProof/>
        </w:rPr>
      </w:pPr>
      <w:r w:rsidRPr="00503CDD">
        <w:rPr>
          <w:noProof/>
        </w:rPr>
        <w:t>В силу</w:t>
      </w:r>
      <w:r>
        <w:rPr>
          <w:noProof/>
        </w:rPr>
        <w:t xml:space="preserve"> различных причин работа по указанным инвестпроектам была приостановлена на стадии переписки (согласования) </w:t>
      </w:r>
      <w:r w:rsidR="00E25998" w:rsidRPr="007E1DC1">
        <w:rPr>
          <w:noProof/>
        </w:rPr>
        <w:t>в 2016 году</w:t>
      </w:r>
      <w:r w:rsidRPr="007E1DC1">
        <w:rPr>
          <w:noProof/>
        </w:rPr>
        <w:t>,</w:t>
      </w:r>
      <w:r>
        <w:rPr>
          <w:noProof/>
        </w:rPr>
        <w:t xml:space="preserve"> </w:t>
      </w:r>
      <w:r w:rsidR="003D3A4F">
        <w:rPr>
          <w:noProof/>
        </w:rPr>
        <w:t>в связи с чем вероятность реализации</w:t>
      </w:r>
      <w:r w:rsidR="009870EC">
        <w:rPr>
          <w:noProof/>
        </w:rPr>
        <w:t xml:space="preserve"> приостановленных</w:t>
      </w:r>
      <w:r w:rsidR="003D3A4F">
        <w:rPr>
          <w:noProof/>
        </w:rPr>
        <w:t xml:space="preserve"> инвестроектов на территории Волгоградской области сомнительна.</w:t>
      </w:r>
      <w:r w:rsidR="00BA0E91" w:rsidRPr="00BA0E91">
        <w:rPr>
          <w:noProof/>
        </w:rPr>
        <w:t xml:space="preserve"> </w:t>
      </w:r>
      <w:r w:rsidR="00BA0E91" w:rsidRPr="00417EFC">
        <w:rPr>
          <w:noProof/>
        </w:rPr>
        <w:t>По пояснению главного бухгалтера Корпорации развития существует риск признания, что проекты не принесут в дальнейшем экономичес</w:t>
      </w:r>
      <w:r w:rsidR="00BA0E91">
        <w:rPr>
          <w:noProof/>
        </w:rPr>
        <w:t>ких выгод</w:t>
      </w:r>
      <w:r w:rsidR="00356934">
        <w:rPr>
          <w:noProof/>
        </w:rPr>
        <w:t>,</w:t>
      </w:r>
      <w:r w:rsidR="00BA0E91" w:rsidRPr="00417EFC">
        <w:rPr>
          <w:noProof/>
        </w:rPr>
        <w:t xml:space="preserve"> </w:t>
      </w:r>
      <w:r w:rsidR="00BA0E91">
        <w:rPr>
          <w:noProof/>
        </w:rPr>
        <w:t>и соответственно</w:t>
      </w:r>
      <w:r w:rsidR="00BA0E91" w:rsidRPr="00417EFC">
        <w:rPr>
          <w:noProof/>
        </w:rPr>
        <w:t xml:space="preserve"> повлечет списание 58,3 млн. руб. на финансовые результаты</w:t>
      </w:r>
      <w:r w:rsidR="00BA0E91">
        <w:rPr>
          <w:noProof/>
        </w:rPr>
        <w:t xml:space="preserve"> (как не давших результата).</w:t>
      </w:r>
    </w:p>
    <w:p w:rsidR="002270A2" w:rsidRDefault="002270A2" w:rsidP="002270A2">
      <w:pPr>
        <w:ind w:firstLine="680"/>
        <w:jc w:val="both"/>
        <w:rPr>
          <w:noProof/>
        </w:rPr>
      </w:pPr>
      <w:r>
        <w:rPr>
          <w:noProof/>
        </w:rPr>
        <w:t>Наличие у</w:t>
      </w:r>
      <w:r w:rsidR="00BA0E91">
        <w:rPr>
          <w:noProof/>
        </w:rPr>
        <w:t xml:space="preserve">казанных расходов </w:t>
      </w:r>
      <w:r>
        <w:rPr>
          <w:noProof/>
        </w:rPr>
        <w:t xml:space="preserve">в составе </w:t>
      </w:r>
      <w:r w:rsidR="00BA0E91">
        <w:rPr>
          <w:noProof/>
        </w:rPr>
        <w:t>расход</w:t>
      </w:r>
      <w:r>
        <w:rPr>
          <w:noProof/>
        </w:rPr>
        <w:t>ов</w:t>
      </w:r>
      <w:r w:rsidR="00BA0E91">
        <w:rPr>
          <w:noProof/>
        </w:rPr>
        <w:t xml:space="preserve"> будущих периодов искажает финансовое положение Корпорации развития.</w:t>
      </w:r>
      <w:r w:rsidRPr="002270A2">
        <w:rPr>
          <w:noProof/>
        </w:rPr>
        <w:t xml:space="preserve"> </w:t>
      </w:r>
      <w:r>
        <w:rPr>
          <w:noProof/>
        </w:rPr>
        <w:t xml:space="preserve">Списание </w:t>
      </w:r>
      <w:r w:rsidRPr="00804EFD">
        <w:rPr>
          <w:noProof/>
        </w:rPr>
        <w:t xml:space="preserve">расходов на финансовые результаты </w:t>
      </w:r>
      <w:r>
        <w:rPr>
          <w:noProof/>
        </w:rPr>
        <w:t>приведет к увеличению убытков</w:t>
      </w:r>
      <w:r w:rsidR="00C93017">
        <w:rPr>
          <w:noProof/>
        </w:rPr>
        <w:t xml:space="preserve"> общества</w:t>
      </w:r>
      <w:r>
        <w:rPr>
          <w:noProof/>
        </w:rPr>
        <w:t xml:space="preserve">. </w:t>
      </w:r>
    </w:p>
    <w:p w:rsidR="00356934" w:rsidRDefault="00356934" w:rsidP="003E388C">
      <w:pPr>
        <w:ind w:firstLine="680"/>
        <w:jc w:val="both"/>
      </w:pPr>
    </w:p>
    <w:p w:rsidR="002E0ED7" w:rsidRDefault="00841FF7" w:rsidP="003E388C">
      <w:pPr>
        <w:ind w:firstLine="680"/>
        <w:jc w:val="both"/>
      </w:pPr>
      <w:r>
        <w:t>Законо</w:t>
      </w:r>
      <w:r w:rsidR="00FC7739">
        <w:t>м</w:t>
      </w:r>
      <w:r>
        <w:t xml:space="preserve"> об акционерных обществах предусмотрены определенные требования</w:t>
      </w:r>
      <w:r w:rsidR="00FC7739">
        <w:t xml:space="preserve"> к действиям наблюдательного совета</w:t>
      </w:r>
      <w:r>
        <w:t xml:space="preserve"> </w:t>
      </w:r>
      <w:r w:rsidR="00FC7739">
        <w:t xml:space="preserve">в случае, когда </w:t>
      </w:r>
      <w:r w:rsidR="00FC7739" w:rsidRPr="003E388C">
        <w:t>стоимость чистых активов общества окажется меньше его уставного капитала</w:t>
      </w:r>
      <w:r w:rsidR="003E388C" w:rsidRPr="003E388C">
        <w:t xml:space="preserve"> по окончании второго отчетного года или каждого последующего отчетного года. </w:t>
      </w:r>
    </w:p>
    <w:p w:rsidR="002123D4" w:rsidRDefault="002123D4" w:rsidP="003E388C">
      <w:pPr>
        <w:ind w:firstLine="680"/>
        <w:jc w:val="both"/>
      </w:pPr>
      <w:r w:rsidRPr="003E388C">
        <w:rPr>
          <w:noProof/>
        </w:rPr>
        <w:t>В</w:t>
      </w:r>
      <w:r>
        <w:rPr>
          <w:noProof/>
        </w:rPr>
        <w:t xml:space="preserve"> нижеприведенной таблице представлена информация о стоимости чистых активов и величине уставного капитала Корпорации развития за 2016-2018 годы.</w:t>
      </w:r>
    </w:p>
    <w:p w:rsidR="002123D4" w:rsidRPr="00356934" w:rsidRDefault="002123D4" w:rsidP="002123D4">
      <w:pPr>
        <w:ind w:firstLine="709"/>
        <w:jc w:val="right"/>
        <w:rPr>
          <w:noProof/>
          <w:sz w:val="22"/>
          <w:szCs w:val="22"/>
        </w:rPr>
      </w:pPr>
      <w:r w:rsidRPr="00356934">
        <w:rPr>
          <w:noProof/>
          <w:sz w:val="22"/>
          <w:szCs w:val="22"/>
        </w:rPr>
        <w:t>тыс. руб.</w:t>
      </w:r>
    </w:p>
    <w:tbl>
      <w:tblPr>
        <w:tblStyle w:val="a3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544"/>
        <w:gridCol w:w="1559"/>
        <w:gridCol w:w="1560"/>
        <w:gridCol w:w="1559"/>
        <w:gridCol w:w="1417"/>
      </w:tblGrid>
      <w:tr w:rsidR="002123D4" w:rsidRPr="00D94A4D" w:rsidTr="00E52DB9">
        <w:tc>
          <w:tcPr>
            <w:tcW w:w="3544" w:type="dxa"/>
            <w:shd w:val="clear" w:color="auto" w:fill="EAF1DD" w:themeFill="accent3" w:themeFillTint="33"/>
          </w:tcPr>
          <w:p w:rsidR="002123D4" w:rsidRPr="000D2845" w:rsidRDefault="002123D4" w:rsidP="00E52DB9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0D2845">
              <w:rPr>
                <w:b/>
                <w:noProof/>
                <w:sz w:val="18"/>
                <w:szCs w:val="18"/>
              </w:rPr>
              <w:t>Показатель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123D4" w:rsidRPr="000D2845" w:rsidRDefault="002123D4" w:rsidP="00E52DB9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0D2845">
              <w:rPr>
                <w:b/>
                <w:noProof/>
                <w:sz w:val="18"/>
                <w:szCs w:val="18"/>
              </w:rPr>
              <w:t>2015 год</w:t>
            </w:r>
          </w:p>
        </w:tc>
        <w:tc>
          <w:tcPr>
            <w:tcW w:w="1560" w:type="dxa"/>
            <w:shd w:val="clear" w:color="auto" w:fill="EAF1DD" w:themeFill="accent3" w:themeFillTint="33"/>
          </w:tcPr>
          <w:p w:rsidR="002123D4" w:rsidRPr="000D2845" w:rsidRDefault="002123D4" w:rsidP="00E52DB9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0D2845">
              <w:rPr>
                <w:b/>
                <w:noProof/>
                <w:sz w:val="18"/>
                <w:szCs w:val="18"/>
              </w:rPr>
              <w:t>2016 год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123D4" w:rsidRPr="000D2845" w:rsidRDefault="002123D4" w:rsidP="00E52DB9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0D2845">
              <w:rPr>
                <w:b/>
                <w:noProof/>
                <w:sz w:val="18"/>
                <w:szCs w:val="18"/>
              </w:rPr>
              <w:t>2017 год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2123D4" w:rsidRPr="000D2845" w:rsidRDefault="002123D4" w:rsidP="00E52DB9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0D2845">
              <w:rPr>
                <w:b/>
                <w:noProof/>
                <w:sz w:val="18"/>
                <w:szCs w:val="18"/>
              </w:rPr>
              <w:t>2018 год*</w:t>
            </w:r>
          </w:p>
        </w:tc>
      </w:tr>
      <w:tr w:rsidR="002123D4" w:rsidRPr="00D94A4D" w:rsidTr="00E52DB9">
        <w:tc>
          <w:tcPr>
            <w:tcW w:w="3544" w:type="dxa"/>
          </w:tcPr>
          <w:p w:rsidR="002123D4" w:rsidRPr="00E05F08" w:rsidRDefault="002123D4" w:rsidP="00E52DB9">
            <w:pPr>
              <w:jc w:val="both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Чистые активы</w:t>
            </w:r>
          </w:p>
        </w:tc>
        <w:tc>
          <w:tcPr>
            <w:tcW w:w="1559" w:type="dxa"/>
            <w:vAlign w:val="center"/>
          </w:tcPr>
          <w:p w:rsidR="002123D4" w:rsidRPr="00E05F08" w:rsidRDefault="002123D4" w:rsidP="00E52DB9">
            <w:pPr>
              <w:jc w:val="center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54 213</w:t>
            </w:r>
          </w:p>
        </w:tc>
        <w:tc>
          <w:tcPr>
            <w:tcW w:w="1560" w:type="dxa"/>
            <w:vAlign w:val="center"/>
          </w:tcPr>
          <w:p w:rsidR="002123D4" w:rsidRPr="00E05F08" w:rsidRDefault="002123D4" w:rsidP="00E52DB9">
            <w:pPr>
              <w:jc w:val="center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51 145</w:t>
            </w:r>
          </w:p>
        </w:tc>
        <w:tc>
          <w:tcPr>
            <w:tcW w:w="1559" w:type="dxa"/>
            <w:vAlign w:val="center"/>
          </w:tcPr>
          <w:p w:rsidR="002123D4" w:rsidRPr="00E05F08" w:rsidRDefault="002123D4" w:rsidP="00E52DB9">
            <w:pPr>
              <w:jc w:val="center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98 230</w:t>
            </w:r>
          </w:p>
        </w:tc>
        <w:tc>
          <w:tcPr>
            <w:tcW w:w="1417" w:type="dxa"/>
            <w:vAlign w:val="center"/>
          </w:tcPr>
          <w:p w:rsidR="002123D4" w:rsidRPr="00E05F08" w:rsidRDefault="002123D4" w:rsidP="00E52DB9">
            <w:pPr>
              <w:pStyle w:val="ConsPlusNormal"/>
              <w:spacing w:line="276" w:lineRule="auto"/>
              <w:ind w:left="284" w:right="-177" w:hanging="78"/>
              <w:jc w:val="center"/>
              <w:rPr>
                <w:sz w:val="20"/>
                <w:szCs w:val="20"/>
              </w:rPr>
            </w:pPr>
            <w:r w:rsidRPr="00E05F08">
              <w:rPr>
                <w:sz w:val="20"/>
                <w:szCs w:val="20"/>
              </w:rPr>
              <w:t>101 898</w:t>
            </w:r>
          </w:p>
        </w:tc>
      </w:tr>
      <w:tr w:rsidR="002123D4" w:rsidRPr="00D94A4D" w:rsidTr="00E52DB9">
        <w:tc>
          <w:tcPr>
            <w:tcW w:w="3544" w:type="dxa"/>
          </w:tcPr>
          <w:p w:rsidR="002123D4" w:rsidRPr="00E05F08" w:rsidRDefault="002123D4" w:rsidP="00E52DB9">
            <w:pPr>
              <w:jc w:val="both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Уставный капитал</w:t>
            </w:r>
          </w:p>
        </w:tc>
        <w:tc>
          <w:tcPr>
            <w:tcW w:w="1559" w:type="dxa"/>
            <w:vAlign w:val="center"/>
          </w:tcPr>
          <w:p w:rsidR="002123D4" w:rsidRPr="00E05F08" w:rsidRDefault="002123D4" w:rsidP="00E52DB9">
            <w:pPr>
              <w:jc w:val="center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52 990</w:t>
            </w:r>
          </w:p>
        </w:tc>
        <w:tc>
          <w:tcPr>
            <w:tcW w:w="1560" w:type="dxa"/>
            <w:vAlign w:val="center"/>
          </w:tcPr>
          <w:p w:rsidR="002123D4" w:rsidRPr="00E05F08" w:rsidRDefault="002123D4" w:rsidP="00E52DB9">
            <w:pPr>
              <w:jc w:val="center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52 990</w:t>
            </w:r>
          </w:p>
        </w:tc>
        <w:tc>
          <w:tcPr>
            <w:tcW w:w="1559" w:type="dxa"/>
            <w:vAlign w:val="center"/>
          </w:tcPr>
          <w:p w:rsidR="002123D4" w:rsidRPr="00E05F08" w:rsidRDefault="002123D4" w:rsidP="00E52DB9">
            <w:pPr>
              <w:jc w:val="center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102 605</w:t>
            </w:r>
          </w:p>
        </w:tc>
        <w:tc>
          <w:tcPr>
            <w:tcW w:w="1417" w:type="dxa"/>
            <w:vAlign w:val="center"/>
          </w:tcPr>
          <w:p w:rsidR="002123D4" w:rsidRPr="00E05F08" w:rsidRDefault="002123D4" w:rsidP="00E52DB9">
            <w:pPr>
              <w:pStyle w:val="ConsPlusNormal"/>
              <w:spacing w:line="276" w:lineRule="auto"/>
              <w:ind w:left="284" w:right="-177" w:hanging="78"/>
              <w:jc w:val="center"/>
              <w:rPr>
                <w:sz w:val="20"/>
                <w:szCs w:val="20"/>
              </w:rPr>
            </w:pPr>
            <w:r w:rsidRPr="00E05F08">
              <w:rPr>
                <w:sz w:val="20"/>
                <w:szCs w:val="20"/>
              </w:rPr>
              <w:t>102 605</w:t>
            </w:r>
          </w:p>
        </w:tc>
      </w:tr>
      <w:tr w:rsidR="002123D4" w:rsidRPr="00D94A4D" w:rsidTr="00E52DB9">
        <w:tc>
          <w:tcPr>
            <w:tcW w:w="3544" w:type="dxa"/>
          </w:tcPr>
          <w:p w:rsidR="002123D4" w:rsidRPr="00E05F08" w:rsidRDefault="002123D4" w:rsidP="00E52DB9">
            <w:pPr>
              <w:jc w:val="both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Превышение величины чистых активов над размером уставного капитала</w:t>
            </w:r>
          </w:p>
        </w:tc>
        <w:tc>
          <w:tcPr>
            <w:tcW w:w="1559" w:type="dxa"/>
            <w:vAlign w:val="center"/>
          </w:tcPr>
          <w:p w:rsidR="002123D4" w:rsidRPr="00E05F08" w:rsidRDefault="002123D4" w:rsidP="00E52DB9">
            <w:pPr>
              <w:jc w:val="center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1 223</w:t>
            </w:r>
          </w:p>
        </w:tc>
        <w:tc>
          <w:tcPr>
            <w:tcW w:w="1560" w:type="dxa"/>
            <w:vAlign w:val="center"/>
          </w:tcPr>
          <w:p w:rsidR="002123D4" w:rsidRPr="00E05F08" w:rsidRDefault="002123D4" w:rsidP="00E52DB9">
            <w:pPr>
              <w:jc w:val="center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-1 845</w:t>
            </w:r>
          </w:p>
        </w:tc>
        <w:tc>
          <w:tcPr>
            <w:tcW w:w="1559" w:type="dxa"/>
            <w:vAlign w:val="center"/>
          </w:tcPr>
          <w:p w:rsidR="002123D4" w:rsidRPr="00E05F08" w:rsidRDefault="002123D4" w:rsidP="00E52DB9">
            <w:pPr>
              <w:jc w:val="center"/>
              <w:rPr>
                <w:noProof/>
                <w:sz w:val="20"/>
                <w:szCs w:val="20"/>
              </w:rPr>
            </w:pPr>
            <w:r w:rsidRPr="00E05F08">
              <w:rPr>
                <w:noProof/>
                <w:sz w:val="20"/>
                <w:szCs w:val="20"/>
              </w:rPr>
              <w:t>-4 375</w:t>
            </w:r>
          </w:p>
        </w:tc>
        <w:tc>
          <w:tcPr>
            <w:tcW w:w="1417" w:type="dxa"/>
            <w:vAlign w:val="center"/>
          </w:tcPr>
          <w:p w:rsidR="002123D4" w:rsidRPr="00E05F08" w:rsidRDefault="002123D4" w:rsidP="00E52DB9">
            <w:pPr>
              <w:pStyle w:val="ConsPlusNormal"/>
              <w:spacing w:line="276" w:lineRule="auto"/>
              <w:ind w:left="284" w:right="-177" w:hanging="78"/>
              <w:jc w:val="center"/>
              <w:rPr>
                <w:sz w:val="20"/>
                <w:szCs w:val="20"/>
              </w:rPr>
            </w:pPr>
            <w:r w:rsidRPr="00E05F08">
              <w:rPr>
                <w:sz w:val="20"/>
                <w:szCs w:val="20"/>
              </w:rPr>
              <w:t>-707</w:t>
            </w:r>
          </w:p>
        </w:tc>
      </w:tr>
    </w:tbl>
    <w:p w:rsidR="002123D4" w:rsidRPr="001C0EB6" w:rsidRDefault="002123D4" w:rsidP="002123D4">
      <w:pPr>
        <w:ind w:firstLine="709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>*</w:t>
      </w:r>
      <w:r w:rsidRPr="00503CDD">
        <w:rPr>
          <w:noProof/>
          <w:sz w:val="18"/>
          <w:szCs w:val="18"/>
        </w:rPr>
        <w:t>данные за 2018 год подготовлены Корпорацией развития для годового отчета, утверждаемого КУГИ</w:t>
      </w:r>
      <w:r w:rsidR="0006227E">
        <w:rPr>
          <w:noProof/>
          <w:sz w:val="18"/>
          <w:szCs w:val="18"/>
        </w:rPr>
        <w:t xml:space="preserve"> (</w:t>
      </w:r>
      <w:r w:rsidR="0006227E" w:rsidRPr="00732B23">
        <w:rPr>
          <w:noProof/>
          <w:sz w:val="18"/>
          <w:szCs w:val="18"/>
        </w:rPr>
        <w:t>на момент окончания проверки не утвержден).</w:t>
      </w:r>
    </w:p>
    <w:p w:rsidR="002123D4" w:rsidRDefault="002123D4" w:rsidP="002123D4">
      <w:pPr>
        <w:pStyle w:val="ConsPlusNormal"/>
        <w:ind w:firstLine="680"/>
        <w:jc w:val="both"/>
        <w:outlineLvl w:val="0"/>
      </w:pPr>
      <w:r>
        <w:t>Как видно из представленной таблицы</w:t>
      </w:r>
      <w:r w:rsidR="008258A2">
        <w:t>,</w:t>
      </w:r>
      <w:r>
        <w:t xml:space="preserve"> величина чистых активов Корпорации развития в 2016-2018 годах меньше величины уставного капитала по годам соответственно на 1</w:t>
      </w:r>
      <w:r w:rsidR="007465E6">
        <w:t>,8 млн.</w:t>
      </w:r>
      <w:r>
        <w:t xml:space="preserve"> руб. (-3,5%), на 4</w:t>
      </w:r>
      <w:r w:rsidR="007465E6">
        <w:t>,4 млн.</w:t>
      </w:r>
      <w:r>
        <w:t xml:space="preserve"> руб. (-4,3%), на </w:t>
      </w:r>
      <w:r w:rsidR="00E25998" w:rsidRPr="007E1DC1">
        <w:t>0,7</w:t>
      </w:r>
      <w:r w:rsidR="007465E6" w:rsidRPr="007E1DC1">
        <w:t xml:space="preserve"> млн</w:t>
      </w:r>
      <w:r w:rsidR="007465E6">
        <w:t>.</w:t>
      </w:r>
      <w:r>
        <w:t xml:space="preserve"> руб. (-0,7%). </w:t>
      </w:r>
    </w:p>
    <w:p w:rsidR="008258A2" w:rsidRDefault="008258A2" w:rsidP="008258A2">
      <w:pPr>
        <w:pStyle w:val="ConsPlusNormal"/>
        <w:ind w:firstLine="680"/>
        <w:jc w:val="both"/>
      </w:pPr>
      <w:proofErr w:type="gramStart"/>
      <w:r w:rsidRPr="00EA52A5">
        <w:t xml:space="preserve">Проверкой установлено, что в годовой отчет по результатам работы за 2017 год </w:t>
      </w:r>
      <w:r w:rsidR="00EA52A5" w:rsidRPr="00EA52A5">
        <w:t xml:space="preserve">(второй отчетный год) </w:t>
      </w:r>
      <w:r w:rsidRPr="00EA52A5">
        <w:t xml:space="preserve">наблюдательным советом не включены результаты анализа причин, по которым стоимость чистых активов сложилась ниже уставного капитала, а также </w:t>
      </w:r>
      <w:r w:rsidRPr="00EA52A5">
        <w:lastRenderedPageBreak/>
        <w:t>перечень мер по приведению их в соответствие с величиной уставного капитала, чем не соблюдены п.4, 5 ст. 35 Закона об акционерных обществах.</w:t>
      </w:r>
      <w:proofErr w:type="gramEnd"/>
    </w:p>
    <w:p w:rsidR="002123D4" w:rsidRDefault="004311B9" w:rsidP="00613272">
      <w:pPr>
        <w:pStyle w:val="ConsPlusNormal"/>
        <w:ind w:firstLine="680"/>
        <w:jc w:val="both"/>
        <w:outlineLvl w:val="0"/>
      </w:pPr>
      <w:proofErr w:type="gramStart"/>
      <w:r>
        <w:t>С</w:t>
      </w:r>
      <w:r w:rsidR="006173C8">
        <w:t>о</w:t>
      </w:r>
      <w:r w:rsidR="002123D4">
        <w:t>гласно п. 6 ст. 35 Закона об акционерных обществах, если стоимость чистых активов общества останется меньше его уставного капитала по окончании отчетного года, след</w:t>
      </w:r>
      <w:r w:rsidR="00613272">
        <w:t xml:space="preserve">ующего за вторым отчетным годом, </w:t>
      </w:r>
      <w:r w:rsidR="002123D4">
        <w:t>общество не позднее чем через шесть месяцев после окончания соответствующего отчетного года обязано принять одно из следующих решений:</w:t>
      </w:r>
      <w:r w:rsidR="00613272">
        <w:t xml:space="preserve"> </w:t>
      </w:r>
      <w:r w:rsidR="002123D4">
        <w:t>1) об уменьшении уставного капитала общества до величины, не превышающей стоимости его чистых активов</w:t>
      </w:r>
      <w:proofErr w:type="gramEnd"/>
      <w:r w:rsidR="002123D4">
        <w:t>;</w:t>
      </w:r>
      <w:r w:rsidR="00613272">
        <w:t xml:space="preserve"> </w:t>
      </w:r>
      <w:r w:rsidR="002123D4">
        <w:t>2) о ликвидации общества.</w:t>
      </w:r>
    </w:p>
    <w:p w:rsidR="002123D4" w:rsidRDefault="002123D4" w:rsidP="002123D4">
      <w:pPr>
        <w:pStyle w:val="ConsPlusNormal"/>
        <w:ind w:firstLine="709"/>
        <w:jc w:val="both"/>
        <w:outlineLvl w:val="0"/>
      </w:pPr>
      <w:r w:rsidRPr="00BE3F67">
        <w:t xml:space="preserve">На </w:t>
      </w:r>
      <w:r>
        <w:t xml:space="preserve">момент окончания </w:t>
      </w:r>
      <w:r w:rsidRPr="00BE3F67">
        <w:t xml:space="preserve">настоящей проверки </w:t>
      </w:r>
      <w:r w:rsidRPr="00EA74C5">
        <w:t>заседания балансовой комиссии</w:t>
      </w:r>
      <w:r>
        <w:t xml:space="preserve"> по рассмотрению бухгалтерской отчетности за 2018 год</w:t>
      </w:r>
      <w:r w:rsidRPr="00BE3F67">
        <w:t xml:space="preserve"> </w:t>
      </w:r>
      <w:r>
        <w:t xml:space="preserve">еще не </w:t>
      </w:r>
      <w:r w:rsidRPr="008543D8">
        <w:t>проводилось</w:t>
      </w:r>
      <w:r>
        <w:t xml:space="preserve">, в </w:t>
      </w:r>
      <w:proofErr w:type="gramStart"/>
      <w:r>
        <w:t>связи</w:t>
      </w:r>
      <w:proofErr w:type="gramEnd"/>
      <w:r>
        <w:t xml:space="preserve"> с чем вышеприведенные решения не принимались.</w:t>
      </w:r>
    </w:p>
    <w:p w:rsidR="004311B9" w:rsidRDefault="004311B9" w:rsidP="002123D4">
      <w:pPr>
        <w:pStyle w:val="ConsPlusNormal"/>
        <w:ind w:firstLine="709"/>
        <w:jc w:val="both"/>
        <w:outlineLvl w:val="0"/>
      </w:pPr>
    </w:p>
    <w:p w:rsidR="005F228B" w:rsidRDefault="00D452D7" w:rsidP="005F228B">
      <w:pPr>
        <w:pStyle w:val="ConsPlusNormal"/>
        <w:ind w:firstLine="709"/>
        <w:jc w:val="both"/>
        <w:outlineLvl w:val="0"/>
      </w:pPr>
      <w:r>
        <w:t xml:space="preserve">Как </w:t>
      </w:r>
      <w:r w:rsidR="004927B9">
        <w:t>указывалось выше, в качестве вклада в уставный капитал</w:t>
      </w:r>
      <w:r w:rsidR="004C7D65">
        <w:t xml:space="preserve"> внесены объекты недвижимости по пр. Жукова, 3.</w:t>
      </w:r>
      <w:r w:rsidR="002C42D4">
        <w:t xml:space="preserve"> </w:t>
      </w:r>
      <w:r w:rsidR="002C7A8B">
        <w:t xml:space="preserve">На основании отчета об оценке рыночной стоимости комплекса объектов недвижимости от 22.03.2017 состояние указанных объектов признано неудовлетворительным, непригодным к использованию. </w:t>
      </w:r>
      <w:r w:rsidR="002C42D4">
        <w:t xml:space="preserve">В 2017-2018 годах </w:t>
      </w:r>
      <w:r w:rsidR="00BD2865">
        <w:t xml:space="preserve">на основании приказов Корпорации развития </w:t>
      </w:r>
      <w:r w:rsidR="002C42D4">
        <w:t xml:space="preserve">на этом имуществе реализовывался проект </w:t>
      </w:r>
      <w:r w:rsidR="002C42D4" w:rsidRPr="00561486">
        <w:t>«Капитальны</w:t>
      </w:r>
      <w:r w:rsidR="002C42D4">
        <w:t>й</w:t>
      </w:r>
      <w:r w:rsidR="002C42D4" w:rsidRPr="00561486">
        <w:t xml:space="preserve"> ремонт здания, расположенного по адресу: </w:t>
      </w:r>
      <w:proofErr w:type="gramStart"/>
      <w:r w:rsidR="002C42D4" w:rsidRPr="00561486">
        <w:t>г</w:t>
      </w:r>
      <w:proofErr w:type="gramEnd"/>
      <w:r w:rsidR="002C42D4" w:rsidRPr="00561486">
        <w:t>. Волгоград, Дзержинский район, пр</w:t>
      </w:r>
      <w:r w:rsidR="002C42D4">
        <w:t>оспект</w:t>
      </w:r>
      <w:r w:rsidR="002C42D4" w:rsidRPr="00561486">
        <w:t xml:space="preserve"> им.</w:t>
      </w:r>
      <w:r w:rsidR="002C42D4">
        <w:t xml:space="preserve"> </w:t>
      </w:r>
      <w:r w:rsidR="002C42D4" w:rsidRPr="00561486">
        <w:t>Жукова, зд.3 для последующего размещения органов исполнительной власти»</w:t>
      </w:r>
      <w:r w:rsidR="005F228B">
        <w:t xml:space="preserve"> (далее – Проект)</w:t>
      </w:r>
      <w:r w:rsidR="002C42D4">
        <w:t xml:space="preserve">. </w:t>
      </w:r>
      <w:proofErr w:type="gramStart"/>
      <w:r w:rsidR="00C206E5" w:rsidRPr="00550D26">
        <w:t>При выполнении работ по капитальному ремонту были выполнены работы по замене кровли, перекрытий, ремонт лестничных маршей, ремонт и утепление фасада, замена окон</w:t>
      </w:r>
      <w:r w:rsidR="00E25998">
        <w:t>,</w:t>
      </w:r>
      <w:r w:rsidR="00C206E5" w:rsidRPr="00550D26">
        <w:t xml:space="preserve"> системы отопления, сетей наружного и внутреннего электроснабжения, водоснабжения, водоотведения, внутреннего электроосвещения,  установка приточно-вытяжной вентиляции, гидроизоляция подвала и сети дренажа,  проведены внутренние отделочные работы во всем здании и др. Построены и эксплуатируются блочно-модульная котельная с наружными сетями газоснабжения, система</w:t>
      </w:r>
      <w:proofErr w:type="gramEnd"/>
      <w:r w:rsidR="00C206E5" w:rsidRPr="00550D26">
        <w:t xml:space="preserve"> кондиционирования воздуха, </w:t>
      </w:r>
      <w:proofErr w:type="spellStart"/>
      <w:r w:rsidR="00C206E5" w:rsidRPr="00550D26">
        <w:t>мультимедийная</w:t>
      </w:r>
      <w:proofErr w:type="spellEnd"/>
      <w:r w:rsidR="00C206E5" w:rsidRPr="00550D26">
        <w:t xml:space="preserve"> система в конференц-зале и </w:t>
      </w:r>
      <w:proofErr w:type="gramStart"/>
      <w:r w:rsidR="00C206E5" w:rsidRPr="00550D26">
        <w:t>переговорных</w:t>
      </w:r>
      <w:proofErr w:type="gramEnd"/>
      <w:r w:rsidR="00C206E5" w:rsidRPr="00550D26">
        <w:t>, система контроля и управления доступом, структурированная кабельная система, охранно-пожарная сигнализация, система видеонаблюдения, проведены работы по благоустройству прилегающей территории, приобретена мебель.</w:t>
      </w:r>
      <w:r w:rsidR="00C206E5" w:rsidRPr="000B5003">
        <w:t xml:space="preserve"> </w:t>
      </w:r>
      <w:r w:rsidR="005F228B">
        <w:t xml:space="preserve">Приказом Корпорации развития от 30.11.2018 </w:t>
      </w:r>
      <w:r w:rsidR="00162321">
        <w:t>П</w:t>
      </w:r>
      <w:r w:rsidR="005F228B">
        <w:t xml:space="preserve">роект признан завершенным. </w:t>
      </w:r>
    </w:p>
    <w:p w:rsidR="005F228B" w:rsidRDefault="005F228B" w:rsidP="00550D26">
      <w:pPr>
        <w:pStyle w:val="ConsPlusNormal"/>
        <w:ind w:firstLine="709"/>
        <w:jc w:val="both"/>
        <w:outlineLvl w:val="0"/>
      </w:pPr>
      <w:r w:rsidRPr="00B92654">
        <w:t xml:space="preserve">Расходы на реализацию </w:t>
      </w:r>
      <w:r w:rsidR="00AA174E">
        <w:t>П</w:t>
      </w:r>
      <w:r w:rsidRPr="00B92654">
        <w:t>роекта составили 196</w:t>
      </w:r>
      <w:r>
        <w:t>,2 млн. руб.</w:t>
      </w:r>
      <w:r w:rsidRPr="00B92654">
        <w:t>, финансирование работ осуществлялось в основном за счет заемных средств</w:t>
      </w:r>
      <w:r>
        <w:t xml:space="preserve">, полученных у </w:t>
      </w:r>
      <w:r w:rsidRPr="002D6BF9">
        <w:t>фонд</w:t>
      </w:r>
      <w:r>
        <w:t>а</w:t>
      </w:r>
      <w:r w:rsidRPr="002D6BF9">
        <w:t xml:space="preserve"> «Перспективное развитие Волгоградской области» (далее – Фонд)</w:t>
      </w:r>
      <w:r>
        <w:t>. Сделки по получению целевого займа у Фонда, выполнению работ по капитальному ремонту здания, относящиеся в соответствии с</w:t>
      </w:r>
      <w:r w:rsidR="006D7088">
        <w:t xml:space="preserve">о ст. 78 </w:t>
      </w:r>
      <w:r>
        <w:t xml:space="preserve"> Закон</w:t>
      </w:r>
      <w:r w:rsidR="006D7088">
        <w:t>а</w:t>
      </w:r>
      <w:r>
        <w:t xml:space="preserve"> об акционерных обществах </w:t>
      </w:r>
      <w:proofErr w:type="gramStart"/>
      <w:r>
        <w:t>к</w:t>
      </w:r>
      <w:proofErr w:type="gramEnd"/>
      <w:r>
        <w:t xml:space="preserve"> крупным, были согласованы с КУГИ.</w:t>
      </w:r>
    </w:p>
    <w:p w:rsidR="005F228B" w:rsidRPr="00DD5BBD" w:rsidRDefault="005F228B" w:rsidP="008E4353">
      <w:pPr>
        <w:ind w:firstLine="680"/>
        <w:jc w:val="both"/>
      </w:pPr>
      <w:r>
        <w:t xml:space="preserve">Заемные средства от Фонда получены </w:t>
      </w:r>
      <w:r w:rsidRPr="00DD5BBD">
        <w:t>на общую сумму 192,2 млн. руб.</w:t>
      </w:r>
      <w:r>
        <w:t xml:space="preserve">, в т.ч. </w:t>
      </w:r>
      <w:r w:rsidR="00F3476D">
        <w:t xml:space="preserve">в период с 17.07.2017 по 04.10.2018 </w:t>
      </w:r>
      <w:r w:rsidRPr="00DD5BBD">
        <w:t xml:space="preserve">по </w:t>
      </w:r>
      <w:r w:rsidR="00F3476D">
        <w:t xml:space="preserve">4-м </w:t>
      </w:r>
      <w:r w:rsidRPr="00DD5BBD">
        <w:t>договорам целевого займа</w:t>
      </w:r>
      <w:r>
        <w:t xml:space="preserve"> </w:t>
      </w:r>
      <w:r w:rsidRPr="00DD5BBD">
        <w:t xml:space="preserve"> </w:t>
      </w:r>
      <w:r w:rsidR="00F3476D">
        <w:t xml:space="preserve">на сумму 183,2 млн. руб. </w:t>
      </w:r>
      <w:r w:rsidRPr="00DD5BBD">
        <w:t>под процентную ставку</w:t>
      </w:r>
      <w:r w:rsidR="00F3476D">
        <w:t xml:space="preserve"> 5% и </w:t>
      </w:r>
      <w:r>
        <w:t>5,39</w:t>
      </w:r>
      <w:r w:rsidRPr="00DD5BBD">
        <w:t xml:space="preserve">% </w:t>
      </w:r>
      <w:r w:rsidR="00F3476D">
        <w:t xml:space="preserve">и в апреле 2019 года </w:t>
      </w:r>
      <w:r w:rsidR="00F3476D" w:rsidRPr="00DD5BBD">
        <w:t>в сумме 9,0 млн. руб. под ставку 1</w:t>
      </w:r>
      <w:r w:rsidR="008C5BD0">
        <w:t xml:space="preserve"> процент.</w:t>
      </w:r>
      <w:r w:rsidR="008E4353">
        <w:t xml:space="preserve"> </w:t>
      </w:r>
      <w:r w:rsidR="008C5BD0">
        <w:t xml:space="preserve">Займы подлежат возврату в полном объеме </w:t>
      </w:r>
      <w:r w:rsidR="008C5BD0" w:rsidRPr="00DD5BBD">
        <w:t>30.06.2021</w:t>
      </w:r>
      <w:r w:rsidR="008C5BD0">
        <w:t xml:space="preserve"> и 30.12.2022. </w:t>
      </w:r>
      <w:r w:rsidRPr="00DD5BBD">
        <w:t xml:space="preserve">С 01.01.2019 процентные ставки </w:t>
      </w:r>
      <w:r>
        <w:t xml:space="preserve">по всем договорам </w:t>
      </w:r>
      <w:r w:rsidRPr="00DD5BBD">
        <w:t>дополнительными соглашениями изменены на 1%, а также изменен график возврата по двум займам с отсрочкой платежа по первому сроку 31.12.2019.</w:t>
      </w:r>
    </w:p>
    <w:p w:rsidR="005F228B" w:rsidRPr="00DD5BBD" w:rsidRDefault="005F228B" w:rsidP="005F228B">
      <w:pPr>
        <w:pStyle w:val="a9"/>
        <w:ind w:left="0" w:firstLine="680"/>
        <w:jc w:val="both"/>
        <w:rPr>
          <w:b/>
        </w:rPr>
      </w:pPr>
      <w:proofErr w:type="gramStart"/>
      <w:r w:rsidRPr="00DD5BBD">
        <w:t>Фактически возвращено в 2018 году 9,9 млн. руб.  (в т.ч. 1,2 млн. руб. – основной долг, 8,7 млн. руб. – проценты).</w:t>
      </w:r>
      <w:proofErr w:type="gramEnd"/>
      <w:r w:rsidRPr="00DD5BBD">
        <w:t xml:space="preserve"> Остаток основного долга по состоянию на 01.06.2019 с</w:t>
      </w:r>
      <w:r>
        <w:t>оставил</w:t>
      </w:r>
      <w:r w:rsidRPr="00DD5BBD">
        <w:t xml:space="preserve"> 191,0 млн. руб., по начисленным процентам </w:t>
      </w:r>
      <w:r>
        <w:t>-</w:t>
      </w:r>
      <w:r w:rsidRPr="00DD5BBD">
        <w:t xml:space="preserve"> 3,1 млн. рублей.</w:t>
      </w:r>
      <w:r w:rsidRPr="00DD5BBD">
        <w:rPr>
          <w:b/>
        </w:rPr>
        <w:t xml:space="preserve"> </w:t>
      </w:r>
    </w:p>
    <w:p w:rsidR="005F228B" w:rsidRPr="00DD5BBD" w:rsidRDefault="005F228B" w:rsidP="005F228B">
      <w:pPr>
        <w:pStyle w:val="a9"/>
        <w:ind w:left="0" w:firstLine="680"/>
        <w:jc w:val="both"/>
      </w:pPr>
      <w:r w:rsidRPr="00DD5BBD">
        <w:t>Корпорацией развития в период с 18.07.2017 по 08.05.2019 заключались соглашения с ОАО Банк «Открытие» и ПАО Банк «Возрождение» о размещении свободных денежных средств</w:t>
      </w:r>
      <w:r>
        <w:t xml:space="preserve"> (по заемным средствам)</w:t>
      </w:r>
      <w:r w:rsidRPr="00DD5BBD">
        <w:t xml:space="preserve"> и процентов, начисленных на неснижаемый остаток с процентной ставкой от 5,6 до 7,65 процент</w:t>
      </w:r>
      <w:r w:rsidR="008E4353">
        <w:t>а</w:t>
      </w:r>
      <w:r w:rsidRPr="00DD5BBD">
        <w:t xml:space="preserve">.  </w:t>
      </w:r>
    </w:p>
    <w:p w:rsidR="00F27A37" w:rsidRDefault="005F228B" w:rsidP="001227AA">
      <w:pPr>
        <w:pStyle w:val="a9"/>
        <w:ind w:left="0" w:firstLine="680"/>
        <w:jc w:val="both"/>
      </w:pPr>
      <w:r w:rsidRPr="00154F84">
        <w:t xml:space="preserve">Анализ возможного периода исполнения Корпорацией развития обязательств </w:t>
      </w:r>
      <w:r>
        <w:t xml:space="preserve">по </w:t>
      </w:r>
      <w:r w:rsidR="001227AA">
        <w:t xml:space="preserve">договорам займа </w:t>
      </w:r>
      <w:r>
        <w:t xml:space="preserve">(при сохранении ситуации с получением доходов только за счет предоставления имущества в аренду и не увеличении расходов) </w:t>
      </w:r>
      <w:r w:rsidRPr="00154F84">
        <w:t>показал</w:t>
      </w:r>
      <w:r w:rsidR="001227AA">
        <w:t xml:space="preserve">, что </w:t>
      </w:r>
      <w:r w:rsidR="001227AA" w:rsidRPr="00DD5BBD">
        <w:t>возврат заемных средств возможно осуществить не ранее 2029 года</w:t>
      </w:r>
      <w:r w:rsidR="001227AA">
        <w:t xml:space="preserve"> (по условиям договоров последний срок </w:t>
      </w:r>
      <w:r w:rsidR="001227AA">
        <w:lastRenderedPageBreak/>
        <w:t>возврата 30.12.2022)</w:t>
      </w:r>
      <w:r w:rsidR="00F27A37">
        <w:t>:</w:t>
      </w:r>
      <w:r w:rsidR="001227AA">
        <w:t xml:space="preserve"> при получении доходов от сдачи в аренду помещений по пр</w:t>
      </w:r>
      <w:proofErr w:type="gramStart"/>
      <w:r w:rsidR="001227AA">
        <w:t>.Ж</w:t>
      </w:r>
      <w:proofErr w:type="gramEnd"/>
      <w:r w:rsidR="001227AA">
        <w:t xml:space="preserve">укова,3 </w:t>
      </w:r>
      <w:r w:rsidR="001227AA" w:rsidRPr="00DD5BBD">
        <w:t xml:space="preserve"> ориентировочно </w:t>
      </w:r>
      <w:r w:rsidR="00F27A37">
        <w:t xml:space="preserve">в 2019 </w:t>
      </w:r>
      <w:proofErr w:type="gramStart"/>
      <w:r w:rsidR="00F27A37">
        <w:t xml:space="preserve">году </w:t>
      </w:r>
      <w:r w:rsidR="001227AA">
        <w:t xml:space="preserve">в размере </w:t>
      </w:r>
      <w:r w:rsidR="001227AA" w:rsidRPr="00DD5BBD">
        <w:t>8,7 млн. руб.</w:t>
      </w:r>
      <w:r w:rsidR="001227AA">
        <w:t xml:space="preserve"> (с учетом внесенных авансов в 2018 году) и</w:t>
      </w:r>
      <w:r w:rsidR="001227AA" w:rsidRPr="00DD5BBD">
        <w:t xml:space="preserve"> в последующие годы - порядка 32,6 млн. руб</w:t>
      </w:r>
      <w:r w:rsidR="00F27A37">
        <w:t xml:space="preserve">., </w:t>
      </w:r>
      <w:r w:rsidR="00EF689E">
        <w:t xml:space="preserve">оплаты </w:t>
      </w:r>
      <w:r w:rsidR="00F27A37">
        <w:t xml:space="preserve">в пределах этих доходов </w:t>
      </w:r>
      <w:r w:rsidR="00F27A37" w:rsidRPr="00DD5BBD">
        <w:t>ежегодных минимальных  расходов на содержание Корпорации развития в размере порядка 11,0 млн. руб.</w:t>
      </w:r>
      <w:r w:rsidR="00F27A37">
        <w:t xml:space="preserve"> и направлении </w:t>
      </w:r>
      <w:r w:rsidR="00F27A37" w:rsidRPr="00DD5BBD">
        <w:t>оставш</w:t>
      </w:r>
      <w:r w:rsidR="00F27A37">
        <w:t>их</w:t>
      </w:r>
      <w:r w:rsidR="00F27A37" w:rsidRPr="00DD5BBD">
        <w:t>ся денежны</w:t>
      </w:r>
      <w:r w:rsidR="00F27A37">
        <w:t xml:space="preserve">х </w:t>
      </w:r>
      <w:r w:rsidR="00F27A37" w:rsidRPr="00DD5BBD">
        <w:t>средств в размере 21,6 млн. руб. ежегодно</w:t>
      </w:r>
      <w:r w:rsidR="00F27A37">
        <w:t xml:space="preserve"> на погашение займа.</w:t>
      </w:r>
      <w:proofErr w:type="gramEnd"/>
    </w:p>
    <w:p w:rsidR="00EF689E" w:rsidRPr="00DD5BBD" w:rsidRDefault="00EF689E" w:rsidP="00EF689E">
      <w:pPr>
        <w:ind w:firstLine="680"/>
        <w:jc w:val="both"/>
      </w:pPr>
      <w:r>
        <w:t xml:space="preserve">Кроме того, </w:t>
      </w:r>
      <w:r w:rsidRPr="00DD5BBD">
        <w:t xml:space="preserve">согласно графикам возврата займа в 2019 году подлежит возврату 29,8 млн. руб. основного долга, т.е. Корпорация развития не сможет осуществить возврат заемных средств в определенные договорами сроки, что приведет к возникновению дополнительных расходов в виде уплаты пени в размере 0,1% за каждый день просрочки от несвоевременно уплаченной суммы. </w:t>
      </w:r>
      <w:r>
        <w:t xml:space="preserve">Указанная ситуация может привести к </w:t>
      </w:r>
      <w:r w:rsidR="008852DE">
        <w:t>ухудшению финансового состояния</w:t>
      </w:r>
      <w:r w:rsidRPr="00DD5BBD">
        <w:t xml:space="preserve"> Корпорации развития.</w:t>
      </w:r>
    </w:p>
    <w:p w:rsidR="008852DE" w:rsidRDefault="008852DE" w:rsidP="00E52DB9">
      <w:pPr>
        <w:ind w:firstLine="680"/>
        <w:jc w:val="both"/>
      </w:pPr>
    </w:p>
    <w:p w:rsidR="00E52DB9" w:rsidRDefault="00E52DB9" w:rsidP="00E52DB9">
      <w:pPr>
        <w:ind w:firstLine="680"/>
        <w:jc w:val="both"/>
      </w:pPr>
      <w:r>
        <w:t xml:space="preserve">Показатели Отчета о финансовых результатах </w:t>
      </w:r>
      <w:r w:rsidR="00976370">
        <w:t xml:space="preserve">Корпорации развития </w:t>
      </w:r>
      <w:r>
        <w:t>за 2017-2018 годы и 1</w:t>
      </w:r>
      <w:r w:rsidR="00F066D2">
        <w:t xml:space="preserve"> </w:t>
      </w:r>
      <w:r>
        <w:t>кв.</w:t>
      </w:r>
      <w:r w:rsidR="00F066D2">
        <w:t xml:space="preserve"> 2017-2019 годов</w:t>
      </w:r>
      <w:r>
        <w:t xml:space="preserve"> представлены в </w:t>
      </w:r>
      <w:r w:rsidR="00F066D2" w:rsidRPr="00502AC2">
        <w:rPr>
          <w:color w:val="17365D" w:themeColor="text2" w:themeShade="BF"/>
        </w:rPr>
        <w:t>приложении №</w:t>
      </w:r>
      <w:r w:rsidR="00502AC2" w:rsidRPr="00502AC2">
        <w:rPr>
          <w:color w:val="17365D" w:themeColor="text2" w:themeShade="BF"/>
        </w:rPr>
        <w:t xml:space="preserve"> 2</w:t>
      </w:r>
      <w:r w:rsidRPr="00502AC2">
        <w:t>.</w:t>
      </w:r>
    </w:p>
    <w:p w:rsidR="00E52DB9" w:rsidRPr="00464BA7" w:rsidRDefault="00E52DB9" w:rsidP="00E52DB9">
      <w:pPr>
        <w:autoSpaceDE w:val="0"/>
        <w:autoSpaceDN w:val="0"/>
        <w:adjustRightInd w:val="0"/>
        <w:ind w:firstLine="680"/>
        <w:jc w:val="both"/>
      </w:pPr>
      <w:r w:rsidRPr="00464BA7">
        <w:t>В проверяемом периоде</w:t>
      </w:r>
      <w:r>
        <w:t xml:space="preserve"> </w:t>
      </w:r>
      <w:r w:rsidRPr="00464BA7">
        <w:t xml:space="preserve">были оказаны услуги и получены доходы от следующих видов деятельности. </w:t>
      </w:r>
    </w:p>
    <w:p w:rsidR="00E52DB9" w:rsidRPr="00737863" w:rsidRDefault="00E52DB9" w:rsidP="00E52DB9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8D0A24">
        <w:rPr>
          <w:sz w:val="22"/>
          <w:szCs w:val="22"/>
        </w:rPr>
        <w:t>тыс. руб</w:t>
      </w:r>
      <w:r w:rsidRPr="00737863">
        <w:rPr>
          <w:sz w:val="18"/>
          <w:szCs w:val="18"/>
        </w:rPr>
        <w:t>.</w:t>
      </w:r>
    </w:p>
    <w:tbl>
      <w:tblPr>
        <w:tblW w:w="9651" w:type="dxa"/>
        <w:tblInd w:w="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407"/>
        <w:gridCol w:w="1417"/>
        <w:gridCol w:w="992"/>
        <w:gridCol w:w="1560"/>
        <w:gridCol w:w="1275"/>
      </w:tblGrid>
      <w:tr w:rsidR="00E52DB9" w:rsidRPr="00B866FA" w:rsidTr="005546EF">
        <w:trPr>
          <w:trHeight w:val="520"/>
        </w:trPr>
        <w:tc>
          <w:tcPr>
            <w:tcW w:w="44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62BC"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62BC">
              <w:rPr>
                <w:b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62BC">
              <w:rPr>
                <w:b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62BC">
              <w:rPr>
                <w:b/>
                <w:color w:val="000000"/>
                <w:sz w:val="18"/>
                <w:szCs w:val="18"/>
              </w:rPr>
              <w:t>Рост</w:t>
            </w:r>
            <w:r w:rsidR="00200E57">
              <w:rPr>
                <w:b/>
                <w:color w:val="000000"/>
                <w:sz w:val="18"/>
                <w:szCs w:val="18"/>
              </w:rPr>
              <w:t xml:space="preserve"> (снижение)</w:t>
            </w:r>
            <w:r w:rsidRPr="00B962BC">
              <w:rPr>
                <w:b/>
                <w:color w:val="000000"/>
                <w:sz w:val="18"/>
                <w:szCs w:val="18"/>
              </w:rPr>
              <w:t xml:space="preserve"> 2018 к 2017 г., %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962BC">
              <w:rPr>
                <w:b/>
                <w:color w:val="000000"/>
                <w:sz w:val="18"/>
                <w:szCs w:val="18"/>
              </w:rPr>
              <w:t>1 кв. 2019 года</w:t>
            </w:r>
          </w:p>
        </w:tc>
      </w:tr>
      <w:tr w:rsidR="00E52DB9" w:rsidRPr="00464BA7" w:rsidTr="005546EF">
        <w:trPr>
          <w:trHeight w:val="267"/>
        </w:trPr>
        <w:tc>
          <w:tcPr>
            <w:tcW w:w="440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52DB9" w:rsidRPr="006E520C" w:rsidRDefault="00E52DB9" w:rsidP="00E52DB9">
            <w:pPr>
              <w:rPr>
                <w:b/>
                <w:color w:val="000000"/>
                <w:sz w:val="18"/>
                <w:szCs w:val="18"/>
              </w:rPr>
            </w:pPr>
            <w:r w:rsidRPr="006E520C">
              <w:rPr>
                <w:b/>
                <w:color w:val="000000"/>
                <w:sz w:val="18"/>
                <w:szCs w:val="18"/>
              </w:rPr>
              <w:t>Выручка от реализации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52DB9" w:rsidRPr="006E520C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520C">
              <w:rPr>
                <w:b/>
                <w:color w:val="000000"/>
                <w:sz w:val="18"/>
                <w:szCs w:val="18"/>
              </w:rPr>
              <w:t>9 720,0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52DB9" w:rsidRPr="006E520C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520C">
              <w:rPr>
                <w:b/>
                <w:color w:val="000000"/>
                <w:sz w:val="18"/>
                <w:szCs w:val="18"/>
              </w:rPr>
              <w:t>6 162,0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52DB9" w:rsidRPr="006E520C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520C">
              <w:rPr>
                <w:b/>
                <w:color w:val="000000"/>
                <w:sz w:val="18"/>
                <w:szCs w:val="18"/>
              </w:rPr>
              <w:t>-36,6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52DB9" w:rsidRPr="006E520C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E520C">
              <w:rPr>
                <w:b/>
                <w:color w:val="000000"/>
                <w:sz w:val="18"/>
                <w:szCs w:val="18"/>
              </w:rPr>
              <w:t>8 308,0</w:t>
            </w:r>
          </w:p>
        </w:tc>
      </w:tr>
      <w:tr w:rsidR="00E52DB9" w:rsidRPr="00464BA7" w:rsidTr="005546EF">
        <w:trPr>
          <w:trHeight w:val="259"/>
        </w:trPr>
        <w:tc>
          <w:tcPr>
            <w:tcW w:w="4407" w:type="dxa"/>
            <w:shd w:val="clear" w:color="auto" w:fill="auto"/>
            <w:vAlign w:val="center"/>
            <w:hideMark/>
          </w:tcPr>
          <w:p w:rsidR="00E52DB9" w:rsidRPr="00B962BC" w:rsidRDefault="00E52DB9" w:rsidP="00E52DB9">
            <w:pPr>
              <w:rPr>
                <w:iCs/>
                <w:color w:val="000000"/>
                <w:sz w:val="18"/>
                <w:szCs w:val="18"/>
              </w:rPr>
            </w:pPr>
            <w:r w:rsidRPr="00B962BC">
              <w:rPr>
                <w:iCs/>
                <w:color w:val="000000"/>
                <w:sz w:val="18"/>
                <w:szCs w:val="18"/>
              </w:rPr>
              <w:t>Деятельность в области права и бухгалтерского учета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962BC">
              <w:rPr>
                <w:color w:val="000000"/>
                <w:sz w:val="18"/>
                <w:szCs w:val="18"/>
              </w:rPr>
              <w:t>3 000,0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962BC">
              <w:rPr>
                <w:i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962BC">
              <w:rPr>
                <w:iCs/>
                <w:color w:val="000000"/>
                <w:sz w:val="18"/>
                <w:szCs w:val="18"/>
              </w:rPr>
              <w:t>снижение в 42,9 раза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iCs/>
                <w:color w:val="000000"/>
                <w:sz w:val="18"/>
                <w:szCs w:val="18"/>
              </w:rPr>
            </w:pPr>
            <w:r w:rsidRPr="00B962BC">
              <w:rPr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E52DB9" w:rsidRPr="00464BA7" w:rsidTr="005546EF">
        <w:trPr>
          <w:trHeight w:val="164"/>
        </w:trPr>
        <w:tc>
          <w:tcPr>
            <w:tcW w:w="4407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rPr>
                <w:color w:val="000000"/>
                <w:sz w:val="18"/>
                <w:szCs w:val="18"/>
              </w:rPr>
            </w:pPr>
            <w:r w:rsidRPr="00B962BC">
              <w:rPr>
                <w:color w:val="000000"/>
                <w:sz w:val="18"/>
                <w:szCs w:val="18"/>
              </w:rPr>
              <w:t>Аренда и управление собственным недвижимым имуществом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color w:val="000000"/>
                <w:sz w:val="18"/>
                <w:szCs w:val="18"/>
              </w:rPr>
            </w:pPr>
            <w:r w:rsidRPr="00B962B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color w:val="000000"/>
                <w:sz w:val="18"/>
                <w:szCs w:val="18"/>
              </w:rPr>
            </w:pPr>
            <w:r w:rsidRPr="00B962BC">
              <w:rPr>
                <w:color w:val="000000"/>
                <w:sz w:val="18"/>
                <w:szCs w:val="18"/>
              </w:rPr>
              <w:t>5 902,3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52DB9" w:rsidRPr="00B962BC" w:rsidRDefault="00E25998" w:rsidP="00E52D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color w:val="000000"/>
                <w:sz w:val="18"/>
                <w:szCs w:val="18"/>
              </w:rPr>
            </w:pPr>
            <w:r w:rsidRPr="00B962BC">
              <w:rPr>
                <w:color w:val="000000"/>
                <w:sz w:val="18"/>
                <w:szCs w:val="18"/>
              </w:rPr>
              <w:t>8 308,0</w:t>
            </w:r>
          </w:p>
        </w:tc>
      </w:tr>
      <w:tr w:rsidR="00E52DB9" w:rsidRPr="00464BA7" w:rsidTr="005546EF">
        <w:trPr>
          <w:trHeight w:val="127"/>
        </w:trPr>
        <w:tc>
          <w:tcPr>
            <w:tcW w:w="4407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rPr>
                <w:color w:val="000000"/>
                <w:sz w:val="18"/>
                <w:szCs w:val="18"/>
              </w:rPr>
            </w:pPr>
            <w:r w:rsidRPr="00B962BC">
              <w:rPr>
                <w:color w:val="000000"/>
                <w:sz w:val="18"/>
                <w:szCs w:val="18"/>
              </w:rPr>
              <w:t xml:space="preserve">Предоставление прочих вспомогательных услуг для бизнеса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color w:val="000000"/>
                <w:sz w:val="18"/>
                <w:szCs w:val="18"/>
              </w:rPr>
            </w:pPr>
            <w:r w:rsidRPr="00B962BC">
              <w:rPr>
                <w:color w:val="000000"/>
                <w:sz w:val="18"/>
                <w:szCs w:val="18"/>
              </w:rPr>
              <w:t>6 720,0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color w:val="000000"/>
                <w:sz w:val="18"/>
                <w:szCs w:val="18"/>
              </w:rPr>
            </w:pPr>
            <w:r w:rsidRPr="00B962BC">
              <w:rPr>
                <w:color w:val="000000"/>
                <w:sz w:val="18"/>
                <w:szCs w:val="18"/>
              </w:rPr>
              <w:t>189,7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color w:val="000000"/>
                <w:sz w:val="18"/>
                <w:szCs w:val="18"/>
              </w:rPr>
            </w:pPr>
            <w:r w:rsidRPr="00B962BC">
              <w:rPr>
                <w:color w:val="000000"/>
                <w:sz w:val="18"/>
                <w:szCs w:val="18"/>
              </w:rPr>
              <w:t>снижение в 35,4 раза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E52DB9" w:rsidRPr="00B962BC" w:rsidRDefault="00E52DB9" w:rsidP="00E52DB9">
            <w:pPr>
              <w:jc w:val="center"/>
              <w:rPr>
                <w:color w:val="000000"/>
                <w:sz w:val="18"/>
                <w:szCs w:val="18"/>
              </w:rPr>
            </w:pPr>
            <w:r w:rsidRPr="00B962BC">
              <w:rPr>
                <w:color w:val="000000"/>
                <w:sz w:val="18"/>
                <w:szCs w:val="18"/>
              </w:rPr>
              <w:t>-</w:t>
            </w:r>
          </w:p>
        </w:tc>
      </w:tr>
      <w:tr w:rsidR="00370543" w:rsidRPr="00464BA7" w:rsidTr="00370543">
        <w:trPr>
          <w:trHeight w:val="247"/>
        </w:trPr>
        <w:tc>
          <w:tcPr>
            <w:tcW w:w="44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E24D1" w:rsidRDefault="00CE24D1" w:rsidP="00CE24D1">
            <w:pPr>
              <w:rPr>
                <w:b/>
                <w:color w:val="000000"/>
              </w:rPr>
            </w:pPr>
            <w:r w:rsidRPr="00CE24D1">
              <w:rPr>
                <w:b/>
                <w:color w:val="000000"/>
                <w:sz w:val="18"/>
                <w:szCs w:val="18"/>
              </w:rPr>
              <w:t>Доходы от участия в других</w:t>
            </w:r>
            <w:r w:rsidRPr="00CE24D1">
              <w:rPr>
                <w:b/>
                <w:color w:val="000000"/>
                <w:sz w:val="22"/>
                <w:szCs w:val="22"/>
              </w:rPr>
              <w:t xml:space="preserve"> организациях</w:t>
            </w:r>
          </w:p>
          <w:p w:rsidR="00370543" w:rsidRPr="00B962BC" w:rsidRDefault="002A32B3" w:rsidP="002A32B3">
            <w:pPr>
              <w:pStyle w:val="a9"/>
              <w:tabs>
                <w:tab w:val="left" w:pos="4005"/>
              </w:tabs>
              <w:ind w:left="0"/>
              <w:jc w:val="both"/>
              <w:rPr>
                <w:b/>
                <w:iCs/>
                <w:color w:val="000000"/>
                <w:sz w:val="18"/>
                <w:szCs w:val="18"/>
              </w:rPr>
            </w:pPr>
            <w:r w:rsidRPr="002A32B3">
              <w:rPr>
                <w:sz w:val="18"/>
                <w:szCs w:val="18"/>
              </w:rPr>
              <w:t>(возврат действительной стоимости доли в уставном капитале ООО «Корпорация Красный октябрь» при прекращении в нем участия)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B962BC" w:rsidRDefault="00CE24D1" w:rsidP="009F769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B962BC" w:rsidRDefault="00CE24D1" w:rsidP="009F769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B962BC" w:rsidRDefault="00E25998" w:rsidP="009F769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B962BC" w:rsidRDefault="00CE24D1" w:rsidP="009F769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370543" w:rsidRPr="00464BA7" w:rsidTr="00370543">
        <w:trPr>
          <w:trHeight w:val="215"/>
        </w:trPr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0543" w:rsidRPr="002105A3" w:rsidRDefault="002105A3" w:rsidP="002105A3">
            <w:pPr>
              <w:rPr>
                <w:b/>
                <w:iCs/>
                <w:color w:val="000000"/>
                <w:sz w:val="18"/>
                <w:szCs w:val="18"/>
              </w:rPr>
            </w:pPr>
            <w:r w:rsidRPr="002105A3">
              <w:rPr>
                <w:b/>
                <w:iCs/>
                <w:color w:val="000000"/>
                <w:sz w:val="18"/>
                <w:szCs w:val="18"/>
              </w:rPr>
              <w:t xml:space="preserve">Проценты к </w:t>
            </w:r>
            <w:r>
              <w:rPr>
                <w:b/>
                <w:iCs/>
                <w:color w:val="000000"/>
                <w:sz w:val="18"/>
                <w:szCs w:val="18"/>
              </w:rPr>
              <w:t>получению</w:t>
            </w:r>
            <w:r w:rsidRPr="002105A3">
              <w:rPr>
                <w:b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200E57" w:rsidRDefault="00200E57" w:rsidP="00200E57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200E57">
              <w:rPr>
                <w:b/>
                <w:iCs/>
                <w:color w:val="000000"/>
                <w:sz w:val="18"/>
                <w:szCs w:val="18"/>
              </w:rPr>
              <w:t>2 423,0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200E57" w:rsidRDefault="00200E57" w:rsidP="00200E57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200E57">
              <w:rPr>
                <w:b/>
                <w:iCs/>
                <w:color w:val="000000"/>
                <w:sz w:val="18"/>
                <w:szCs w:val="18"/>
              </w:rPr>
              <w:t>2 079,0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200E57" w:rsidRDefault="00200E57" w:rsidP="00200E57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200E57">
              <w:rPr>
                <w:b/>
                <w:iCs/>
                <w:color w:val="000000"/>
                <w:sz w:val="18"/>
                <w:szCs w:val="18"/>
              </w:rPr>
              <w:t>-14,2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200E57" w:rsidRDefault="00370543" w:rsidP="009F769D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200E57">
              <w:rPr>
                <w:b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370543" w:rsidRPr="00464BA7" w:rsidTr="00BD0E9B">
        <w:trPr>
          <w:trHeight w:val="193"/>
        </w:trPr>
        <w:tc>
          <w:tcPr>
            <w:tcW w:w="4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0543" w:rsidRPr="00200E57" w:rsidRDefault="00200E57" w:rsidP="00200E57">
            <w:pPr>
              <w:rPr>
                <w:b/>
                <w:color w:val="000000"/>
                <w:sz w:val="18"/>
                <w:szCs w:val="18"/>
              </w:rPr>
            </w:pPr>
            <w:r w:rsidRPr="00200E57">
              <w:rPr>
                <w:b/>
                <w:color w:val="000000"/>
                <w:sz w:val="18"/>
                <w:szCs w:val="18"/>
              </w:rPr>
              <w:t>Прочие доходы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200E57" w:rsidRDefault="00200E57" w:rsidP="00200E5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E57">
              <w:rPr>
                <w:b/>
                <w:color w:val="000000"/>
                <w:sz w:val="18"/>
                <w:szCs w:val="18"/>
              </w:rPr>
              <w:t>13 922,0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200E57" w:rsidRDefault="00200E57" w:rsidP="00200E5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E57">
              <w:rPr>
                <w:b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200E57" w:rsidRDefault="00200E57" w:rsidP="00200E5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E57">
              <w:rPr>
                <w:b/>
                <w:color w:val="000000"/>
                <w:sz w:val="18"/>
                <w:szCs w:val="18"/>
              </w:rPr>
              <w:t>-99,0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200E57" w:rsidRDefault="00200E57" w:rsidP="00200E5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00E57">
              <w:rPr>
                <w:b/>
                <w:color w:val="000000"/>
                <w:sz w:val="18"/>
                <w:szCs w:val="18"/>
              </w:rPr>
              <w:t>-</w:t>
            </w:r>
          </w:p>
        </w:tc>
      </w:tr>
      <w:tr w:rsidR="00370543" w:rsidRPr="00464BA7" w:rsidTr="00BD0E9B">
        <w:trPr>
          <w:trHeight w:val="279"/>
        </w:trPr>
        <w:tc>
          <w:tcPr>
            <w:tcW w:w="440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370543" w:rsidRPr="00200E57" w:rsidRDefault="00200E57" w:rsidP="009F769D">
            <w:pPr>
              <w:rPr>
                <w:b/>
                <w:i/>
                <w:color w:val="000000"/>
                <w:sz w:val="18"/>
                <w:szCs w:val="18"/>
              </w:rPr>
            </w:pPr>
            <w:r w:rsidRPr="00200E57">
              <w:rPr>
                <w:b/>
                <w:i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200E57" w:rsidRDefault="00200E57" w:rsidP="009F769D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200E57">
              <w:rPr>
                <w:b/>
                <w:i/>
                <w:color w:val="000000"/>
                <w:sz w:val="18"/>
                <w:szCs w:val="18"/>
              </w:rPr>
              <w:t>26 065,0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200E57" w:rsidRDefault="00200E57" w:rsidP="009F769D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200E57">
              <w:rPr>
                <w:b/>
                <w:i/>
                <w:color w:val="000000"/>
                <w:sz w:val="18"/>
                <w:szCs w:val="18"/>
              </w:rPr>
              <w:t>8 381,0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B962BC" w:rsidRDefault="00370543" w:rsidP="00CF12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70543" w:rsidRPr="00200E57" w:rsidRDefault="00200E57" w:rsidP="009F769D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200E57">
              <w:rPr>
                <w:b/>
                <w:i/>
                <w:color w:val="000000"/>
                <w:sz w:val="18"/>
                <w:szCs w:val="18"/>
              </w:rPr>
              <w:t>8 308,0</w:t>
            </w:r>
          </w:p>
        </w:tc>
      </w:tr>
    </w:tbl>
    <w:p w:rsidR="00AC397B" w:rsidRDefault="000D13D9" w:rsidP="00E52DB9">
      <w:pPr>
        <w:ind w:firstLine="680"/>
        <w:jc w:val="both"/>
      </w:pPr>
      <w:r>
        <w:t xml:space="preserve">Как видно из таблицы, в 2017 году доходы формировались за счет выручки от реализации услуг, в 2018 году – </w:t>
      </w:r>
      <w:r>
        <w:rPr>
          <w:lang w:val="en-US"/>
        </w:rPr>
        <w:t>I</w:t>
      </w:r>
      <w:r>
        <w:t xml:space="preserve"> квартале 2019 года – в основном, за счет </w:t>
      </w:r>
      <w:r w:rsidR="00AC397B">
        <w:t>доходов от сдачи в аренду помещений по пр. Жукова,3.</w:t>
      </w:r>
    </w:p>
    <w:p w:rsidR="00E52DB9" w:rsidRDefault="004C5A71" w:rsidP="00E52DB9">
      <w:pPr>
        <w:ind w:firstLine="680"/>
        <w:jc w:val="both"/>
        <w:rPr>
          <w:color w:val="000000"/>
        </w:rPr>
      </w:pPr>
      <w:proofErr w:type="gramStart"/>
      <w:r w:rsidRPr="004C5A71">
        <w:t xml:space="preserve">В </w:t>
      </w:r>
      <w:r w:rsidR="00C93BF0">
        <w:t>2017 году в основном оказывались услуги</w:t>
      </w:r>
      <w:r w:rsidRPr="004C5A71">
        <w:t xml:space="preserve"> организациям, долю участия в которых имеет Волгоградская область или с</w:t>
      </w:r>
      <w:r w:rsidR="00C93BF0">
        <w:t xml:space="preserve">озданных Волгоградской областью: </w:t>
      </w:r>
      <w:r w:rsidR="00E52DB9" w:rsidRPr="00464BA7">
        <w:rPr>
          <w:iCs/>
          <w:color w:val="000000"/>
        </w:rPr>
        <w:t>были заключены договоры по оказанию услуг в решении правовых, представительских и информационных вопросов, юридических услуг по сопровождению проект</w:t>
      </w:r>
      <w:r w:rsidR="00E52DB9">
        <w:rPr>
          <w:iCs/>
          <w:color w:val="000000"/>
        </w:rPr>
        <w:t>а по созданию индустриального парка на территории Волгоградской ГРЭС</w:t>
      </w:r>
      <w:r w:rsidR="00E52DB9" w:rsidRPr="00464BA7">
        <w:rPr>
          <w:iCs/>
          <w:color w:val="000000"/>
        </w:rPr>
        <w:t xml:space="preserve"> </w:t>
      </w:r>
      <w:r w:rsidR="00E52DB9">
        <w:rPr>
          <w:iCs/>
          <w:color w:val="000000"/>
        </w:rPr>
        <w:t xml:space="preserve">с </w:t>
      </w:r>
      <w:r w:rsidR="00E52DB9" w:rsidRPr="00464BA7">
        <w:rPr>
          <w:iCs/>
          <w:color w:val="000000"/>
        </w:rPr>
        <w:t>АО «</w:t>
      </w:r>
      <w:proofErr w:type="spellStart"/>
      <w:r w:rsidR="00E52DB9" w:rsidRPr="00464BA7">
        <w:rPr>
          <w:iCs/>
          <w:color w:val="000000"/>
        </w:rPr>
        <w:t>Волгоградоблэлектро</w:t>
      </w:r>
      <w:proofErr w:type="spellEnd"/>
      <w:r w:rsidR="00E52DB9" w:rsidRPr="00464BA7">
        <w:rPr>
          <w:iCs/>
          <w:color w:val="000000"/>
        </w:rPr>
        <w:t>» на общую сумму 3</w:t>
      </w:r>
      <w:r w:rsidR="00AA3408">
        <w:rPr>
          <w:iCs/>
          <w:color w:val="000000"/>
        </w:rPr>
        <w:t>,0 млн. руб.</w:t>
      </w:r>
      <w:r w:rsidR="00E52DB9" w:rsidRPr="00464BA7">
        <w:rPr>
          <w:iCs/>
          <w:color w:val="000000"/>
        </w:rPr>
        <w:t xml:space="preserve">,  по </w:t>
      </w:r>
      <w:r w:rsidR="00E52DB9" w:rsidRPr="00464BA7">
        <w:rPr>
          <w:color w:val="000000"/>
        </w:rPr>
        <w:t>предоставлению прочих вспомогательных услуг для</w:t>
      </w:r>
      <w:proofErr w:type="gramEnd"/>
      <w:r w:rsidR="00E52DB9" w:rsidRPr="00464BA7">
        <w:rPr>
          <w:color w:val="000000"/>
        </w:rPr>
        <w:t xml:space="preserve"> </w:t>
      </w:r>
      <w:proofErr w:type="gramStart"/>
      <w:r w:rsidR="00E52DB9" w:rsidRPr="00464BA7">
        <w:rPr>
          <w:color w:val="000000"/>
        </w:rPr>
        <w:t xml:space="preserve">бизнеса с ГУП </w:t>
      </w:r>
      <w:r w:rsidR="00E52DB9" w:rsidRPr="00737863">
        <w:rPr>
          <w:color w:val="000000"/>
        </w:rPr>
        <w:t>«</w:t>
      </w:r>
      <w:proofErr w:type="spellStart"/>
      <w:r w:rsidR="00E52DB9" w:rsidRPr="00737863">
        <w:rPr>
          <w:color w:val="000000"/>
        </w:rPr>
        <w:t>Волгофарм</w:t>
      </w:r>
      <w:proofErr w:type="spellEnd"/>
      <w:r w:rsidR="00E52DB9" w:rsidRPr="00737863">
        <w:rPr>
          <w:color w:val="000000"/>
        </w:rPr>
        <w:t xml:space="preserve">» на сумму </w:t>
      </w:r>
      <w:r w:rsidR="00AA3408">
        <w:rPr>
          <w:color w:val="000000"/>
        </w:rPr>
        <w:t>0,3 млн. руб.</w:t>
      </w:r>
      <w:r w:rsidR="00E52DB9" w:rsidRPr="00737863">
        <w:rPr>
          <w:color w:val="000000"/>
        </w:rPr>
        <w:t xml:space="preserve"> (услуги по подготовке информационно-аналитических материалов и рекомендаций по вопросам, связанным с разработкой изменений в стратегию развития предприятия), с </w:t>
      </w:r>
      <w:r w:rsidR="00E52DB9" w:rsidRPr="00737863">
        <w:t>ГАУ В</w:t>
      </w:r>
      <w:r w:rsidR="00E52DB9">
        <w:t>олгоградской области</w:t>
      </w:r>
      <w:r w:rsidR="00E52DB9" w:rsidRPr="00737863">
        <w:t xml:space="preserve"> «</w:t>
      </w:r>
      <w:r w:rsidR="0083288F">
        <w:t>Волгоградский областной б</w:t>
      </w:r>
      <w:r w:rsidR="00E52DB9" w:rsidRPr="00737863">
        <w:t xml:space="preserve">изнес-инкубатор» на проведение мероприятий на общую сумму </w:t>
      </w:r>
      <w:r w:rsidR="00AA3408">
        <w:t>0,5 млн.</w:t>
      </w:r>
      <w:r w:rsidR="00BF72A6">
        <w:t xml:space="preserve"> </w:t>
      </w:r>
      <w:r w:rsidR="00E52DB9" w:rsidRPr="00737863">
        <w:t>руб.</w:t>
      </w:r>
      <w:r w:rsidR="00E52DB9" w:rsidRPr="00737863">
        <w:rPr>
          <w:color w:val="000000"/>
        </w:rPr>
        <w:t>,</w:t>
      </w:r>
      <w:r w:rsidR="00E52DB9" w:rsidRPr="00737863">
        <w:rPr>
          <w:iCs/>
          <w:color w:val="000000"/>
        </w:rPr>
        <w:t xml:space="preserve"> с АО «</w:t>
      </w:r>
      <w:proofErr w:type="spellStart"/>
      <w:r w:rsidR="00E52DB9" w:rsidRPr="00737863">
        <w:rPr>
          <w:iCs/>
          <w:color w:val="000000"/>
        </w:rPr>
        <w:t>Волгоградоблэлектро</w:t>
      </w:r>
      <w:proofErr w:type="spellEnd"/>
      <w:r w:rsidR="00E52DB9" w:rsidRPr="00737863">
        <w:rPr>
          <w:iCs/>
          <w:color w:val="000000"/>
        </w:rPr>
        <w:t xml:space="preserve">»  на сумму </w:t>
      </w:r>
      <w:r w:rsidR="00AA3408">
        <w:rPr>
          <w:iCs/>
          <w:color w:val="000000"/>
        </w:rPr>
        <w:t>0,2 млн.</w:t>
      </w:r>
      <w:r w:rsidR="00E52DB9">
        <w:rPr>
          <w:iCs/>
          <w:color w:val="000000"/>
        </w:rPr>
        <w:t xml:space="preserve"> </w:t>
      </w:r>
      <w:r w:rsidR="00E52DB9" w:rsidRPr="00737863">
        <w:rPr>
          <w:iCs/>
          <w:color w:val="000000"/>
        </w:rPr>
        <w:t>руб.</w:t>
      </w:r>
      <w:r w:rsidR="00E52DB9" w:rsidRPr="00737863">
        <w:rPr>
          <w:color w:val="000000"/>
        </w:rPr>
        <w:t xml:space="preserve"> (услуги по подготовке информационно-аналитических материалов и рекомендаций по вопросам, связанным</w:t>
      </w:r>
      <w:proofErr w:type="gramEnd"/>
      <w:r w:rsidR="00E52DB9" w:rsidRPr="00737863">
        <w:rPr>
          <w:color w:val="000000"/>
        </w:rPr>
        <w:t xml:space="preserve"> с реализацией инвестиционного потенциал</w:t>
      </w:r>
      <w:proofErr w:type="gramStart"/>
      <w:r w:rsidR="00E52DB9" w:rsidRPr="00737863">
        <w:rPr>
          <w:color w:val="000000"/>
        </w:rPr>
        <w:t>а ООО</w:t>
      </w:r>
      <w:proofErr w:type="gramEnd"/>
      <w:r w:rsidR="00E52DB9" w:rsidRPr="00737863">
        <w:rPr>
          <w:color w:val="000000"/>
        </w:rPr>
        <w:t xml:space="preserve"> «Волгоградская ГРЭС»)</w:t>
      </w:r>
      <w:r w:rsidR="00BF72A6">
        <w:rPr>
          <w:color w:val="000000"/>
        </w:rPr>
        <w:t>. Также</w:t>
      </w:r>
      <w:r w:rsidR="00E52DB9" w:rsidRPr="00737863">
        <w:rPr>
          <w:iCs/>
          <w:color w:val="000000"/>
        </w:rPr>
        <w:t xml:space="preserve"> </w:t>
      </w:r>
      <w:r w:rsidR="00E52DB9" w:rsidRPr="00737863">
        <w:rPr>
          <w:color w:val="000000"/>
        </w:rPr>
        <w:t>получен</w:t>
      </w:r>
      <w:r w:rsidR="00E52DB9">
        <w:rPr>
          <w:color w:val="000000"/>
        </w:rPr>
        <w:t>ы</w:t>
      </w:r>
      <w:r w:rsidR="00E52DB9" w:rsidRPr="00737863">
        <w:rPr>
          <w:color w:val="000000"/>
        </w:rPr>
        <w:t xml:space="preserve"> доход</w:t>
      </w:r>
      <w:r w:rsidR="00E52DB9">
        <w:rPr>
          <w:color w:val="000000"/>
        </w:rPr>
        <w:t>ы</w:t>
      </w:r>
      <w:r w:rsidR="00E52DB9" w:rsidRPr="00737863">
        <w:rPr>
          <w:color w:val="000000"/>
        </w:rPr>
        <w:t xml:space="preserve"> от привлечения клиентов на банковское обслуживание с ПАО Банк «Финансовая Корпорация Открытие» на сумму 3</w:t>
      </w:r>
      <w:r w:rsidR="00AA3408">
        <w:rPr>
          <w:color w:val="000000"/>
        </w:rPr>
        <w:t>,</w:t>
      </w:r>
      <w:r w:rsidR="00021058">
        <w:rPr>
          <w:color w:val="000000"/>
        </w:rPr>
        <w:t>4</w:t>
      </w:r>
      <w:r w:rsidR="00AA3408">
        <w:rPr>
          <w:color w:val="000000"/>
        </w:rPr>
        <w:t xml:space="preserve"> млн. руб. </w:t>
      </w:r>
      <w:r w:rsidR="00E52DB9" w:rsidRPr="00737863">
        <w:rPr>
          <w:color w:val="000000"/>
        </w:rPr>
        <w:t>и ПАО Банк «Возрождение» на сумму 2</w:t>
      </w:r>
      <w:r w:rsidR="00AA3408">
        <w:rPr>
          <w:color w:val="000000"/>
        </w:rPr>
        <w:t xml:space="preserve">,3 млн. </w:t>
      </w:r>
      <w:r w:rsidR="00E52DB9" w:rsidRPr="00737863">
        <w:rPr>
          <w:color w:val="000000"/>
        </w:rPr>
        <w:t>руб</w:t>
      </w:r>
      <w:r w:rsidR="00E52DB9">
        <w:rPr>
          <w:color w:val="000000"/>
        </w:rPr>
        <w:t>лей.</w:t>
      </w:r>
    </w:p>
    <w:p w:rsidR="007D7DEC" w:rsidRDefault="00C93BF0" w:rsidP="00C93BF0">
      <w:pPr>
        <w:ind w:firstLine="680"/>
        <w:jc w:val="both"/>
      </w:pPr>
      <w:r w:rsidRPr="00020AD5">
        <w:t xml:space="preserve">Снижение </w:t>
      </w:r>
      <w:r w:rsidR="00971FAF">
        <w:t>в 2018 году</w:t>
      </w:r>
      <w:r>
        <w:t xml:space="preserve"> </w:t>
      </w:r>
      <w:r w:rsidRPr="00020AD5">
        <w:t xml:space="preserve">доходов от </w:t>
      </w:r>
      <w:r>
        <w:t>реализации услуг в об</w:t>
      </w:r>
      <w:r w:rsidRPr="00464BA7">
        <w:rPr>
          <w:iCs/>
        </w:rPr>
        <w:t>лас</w:t>
      </w:r>
      <w:r>
        <w:rPr>
          <w:iCs/>
        </w:rPr>
        <w:t xml:space="preserve">ти права и предоставления прочих услуг </w:t>
      </w:r>
      <w:r w:rsidR="00443B40">
        <w:rPr>
          <w:iCs/>
        </w:rPr>
        <w:t xml:space="preserve">(с 4,0 млн. руб. до 0,3 млн. руб.) </w:t>
      </w:r>
      <w:r w:rsidRPr="00464BA7">
        <w:t xml:space="preserve">обусловлено отсутствием спроса на услуги Корпорации развития. </w:t>
      </w:r>
    </w:p>
    <w:p w:rsidR="00ED18B8" w:rsidRDefault="00CF1E89" w:rsidP="00CF1E89">
      <w:pPr>
        <w:pStyle w:val="ConsPlusNormal"/>
        <w:jc w:val="both"/>
        <w:outlineLvl w:val="0"/>
      </w:pPr>
      <w:r>
        <w:lastRenderedPageBreak/>
        <w:t xml:space="preserve">       </w:t>
      </w:r>
      <w:r w:rsidR="00F03C23">
        <w:t xml:space="preserve">  </w:t>
      </w:r>
      <w:r w:rsidR="00C02CEE">
        <w:t>В октябре-декабре 2018 года</w:t>
      </w:r>
      <w:r w:rsidR="008852DE">
        <w:t xml:space="preserve"> </w:t>
      </w:r>
      <w:r w:rsidR="00490BA9">
        <w:t xml:space="preserve">оборудованные мебелью </w:t>
      </w:r>
      <w:r w:rsidR="008852DE">
        <w:t>по</w:t>
      </w:r>
      <w:r>
        <w:t xml:space="preserve">мещения в здании по пр. </w:t>
      </w:r>
      <w:proofErr w:type="gramStart"/>
      <w:r>
        <w:t>Жукова,</w:t>
      </w:r>
      <w:r w:rsidR="008852DE">
        <w:t xml:space="preserve">3 были предоставлены в аренду </w:t>
      </w:r>
      <w:r w:rsidR="00F91A82">
        <w:t>5-ти</w:t>
      </w:r>
      <w:r w:rsidR="008852DE">
        <w:t xml:space="preserve"> госучреждениям Волгоградской области (в т.ч. для размещения органов исполнительной власти Волгоградской области)</w:t>
      </w:r>
      <w:r w:rsidR="002A7832">
        <w:t xml:space="preserve"> и</w:t>
      </w:r>
      <w:r w:rsidR="008852DE">
        <w:t xml:space="preserve"> 4</w:t>
      </w:r>
      <w:r>
        <w:t>-м</w:t>
      </w:r>
      <w:r w:rsidR="008852DE">
        <w:t xml:space="preserve"> организациям,</w:t>
      </w:r>
      <w:r>
        <w:t xml:space="preserve"> </w:t>
      </w:r>
      <w:r w:rsidR="008852DE">
        <w:t>образующим инфраструктуру поддержки малого и среднего предпринимательства</w:t>
      </w:r>
      <w:r w:rsidR="00FB2664">
        <w:t xml:space="preserve"> (далее – МСП)</w:t>
      </w:r>
      <w:r w:rsidR="002A7832">
        <w:t xml:space="preserve">, а также </w:t>
      </w:r>
      <w:r w:rsidR="008852DE">
        <w:t>2-м коммерческим организациям</w:t>
      </w:r>
      <w:r w:rsidR="00C02CEE">
        <w:t xml:space="preserve"> (договоры аренды заключены в апреле 2019 года)</w:t>
      </w:r>
      <w:r w:rsidR="008852DE">
        <w:t>.</w:t>
      </w:r>
      <w:proofErr w:type="gramEnd"/>
      <w:r w:rsidR="008852DE">
        <w:t xml:space="preserve"> </w:t>
      </w:r>
      <w:r w:rsidR="0087125B">
        <w:t xml:space="preserve">Ранее эти организации (за исключением </w:t>
      </w:r>
      <w:proofErr w:type="gramStart"/>
      <w:r w:rsidR="0087125B">
        <w:t>коммерческих</w:t>
      </w:r>
      <w:proofErr w:type="gramEnd"/>
      <w:r w:rsidR="0087125B">
        <w:t xml:space="preserve">) располагались по ул. Новороссийской, 15 (здание находится в областной собственности), пр. Ленина, 56А и </w:t>
      </w:r>
      <w:r w:rsidR="0087125B" w:rsidRPr="0087125B">
        <w:t xml:space="preserve">г. </w:t>
      </w:r>
      <w:proofErr w:type="gramStart"/>
      <w:r w:rsidR="0087125B" w:rsidRPr="0087125B">
        <w:t>Волжский</w:t>
      </w:r>
      <w:proofErr w:type="gramEnd"/>
      <w:r w:rsidR="0087125B" w:rsidRPr="0087125B">
        <w:t>, ул. Пушкина,</w:t>
      </w:r>
      <w:r w:rsidR="00ED18B8">
        <w:t xml:space="preserve"> </w:t>
      </w:r>
      <w:r w:rsidR="0087125B" w:rsidRPr="0087125B">
        <w:t>45/1</w:t>
      </w:r>
      <w:r w:rsidR="0087125B">
        <w:t xml:space="preserve"> (областная собственность). </w:t>
      </w:r>
    </w:p>
    <w:p w:rsidR="008852DE" w:rsidRDefault="008852DE" w:rsidP="00ED18B8">
      <w:pPr>
        <w:pStyle w:val="ConsPlusNormal"/>
        <w:ind w:firstLine="708"/>
        <w:jc w:val="both"/>
        <w:outlineLvl w:val="0"/>
      </w:pPr>
      <w:r>
        <w:t xml:space="preserve">В результате </w:t>
      </w:r>
      <w:r w:rsidR="00ED18B8">
        <w:t xml:space="preserve">реализации Проекта </w:t>
      </w:r>
      <w:r>
        <w:t>у Корпорации развития</w:t>
      </w:r>
      <w:r w:rsidR="00374287" w:rsidRPr="00374287">
        <w:t xml:space="preserve"> </w:t>
      </w:r>
      <w:r w:rsidR="00374287">
        <w:t xml:space="preserve">с </w:t>
      </w:r>
      <w:r w:rsidR="0004347A">
        <w:t>октября</w:t>
      </w:r>
      <w:r w:rsidR="00374287">
        <w:t xml:space="preserve"> 2018 года</w:t>
      </w:r>
      <w:r>
        <w:t xml:space="preserve"> </w:t>
      </w:r>
      <w:r w:rsidR="00ED18B8">
        <w:t xml:space="preserve">сформировался вид деятельности – сдача в аренду </w:t>
      </w:r>
      <w:r w:rsidR="00374287">
        <w:t>собственного имущества (</w:t>
      </w:r>
      <w:r>
        <w:t>доходы от сдачи в аренду помещений</w:t>
      </w:r>
      <w:r w:rsidR="00374287">
        <w:t xml:space="preserve"> </w:t>
      </w:r>
      <w:r w:rsidR="00A14600">
        <w:t xml:space="preserve">в 2018 году </w:t>
      </w:r>
      <w:r w:rsidR="00374287">
        <w:t xml:space="preserve">составили </w:t>
      </w:r>
      <w:r w:rsidR="00A14600">
        <w:t xml:space="preserve">5,9 млн. руб., в </w:t>
      </w:r>
      <w:r w:rsidR="00A14600">
        <w:rPr>
          <w:lang w:val="en-US"/>
        </w:rPr>
        <w:t>I</w:t>
      </w:r>
      <w:r w:rsidR="00A14600">
        <w:t xml:space="preserve"> квартале 2019 года – 8,3 млн. руб.)</w:t>
      </w:r>
      <w:r>
        <w:t>.</w:t>
      </w:r>
      <w:r w:rsidR="00C02CEE" w:rsidRPr="00C02CEE">
        <w:t xml:space="preserve"> </w:t>
      </w:r>
      <w:r w:rsidR="00C02CEE">
        <w:t xml:space="preserve">Информация о договорах аренды приведена в </w:t>
      </w:r>
      <w:r w:rsidR="00C02CEE" w:rsidRPr="007773C5">
        <w:rPr>
          <w:color w:val="17365D" w:themeColor="text2" w:themeShade="BF"/>
        </w:rPr>
        <w:t>приложении №</w:t>
      </w:r>
      <w:r w:rsidR="007773C5" w:rsidRPr="007773C5">
        <w:rPr>
          <w:color w:val="17365D" w:themeColor="text2" w:themeShade="BF"/>
        </w:rPr>
        <w:t xml:space="preserve"> 3</w:t>
      </w:r>
      <w:r w:rsidR="007773C5" w:rsidRPr="007773C5">
        <w:t>.</w:t>
      </w:r>
    </w:p>
    <w:p w:rsidR="00BF7C1B" w:rsidRDefault="00BF7C1B" w:rsidP="00BF7C1B">
      <w:pPr>
        <w:ind w:firstLine="709"/>
        <w:jc w:val="both"/>
      </w:pPr>
      <w:r>
        <w:t>Общая площадь здания по пр. Жукова,3 составляет 3 509,5 кв</w:t>
      </w:r>
      <w:proofErr w:type="gramStart"/>
      <w:r>
        <w:t>.м</w:t>
      </w:r>
      <w:proofErr w:type="gramEnd"/>
      <w:r>
        <w:t>етра. Основная доля помещений в здании (2 888,7 кв.м., или 82,3% от общей площади) передана ГКУ Волгоградской области «Дирекция по материально-техническому и хозяйственному обеспечению Администрации Волгоградской области» (далее – Дирекция) с целью размещения органов исполнительной власти Волгоградской области (Комитет экономики, заместитель Губернатора Волгоградской области и его секретариат</w:t>
      </w:r>
      <w:r w:rsidR="00490BA9">
        <w:t>), которые ранее находились по ул. Новороссийск</w:t>
      </w:r>
      <w:r w:rsidR="000B79EC">
        <w:t>а</w:t>
      </w:r>
      <w:r w:rsidR="00490BA9">
        <w:t>я, 15</w:t>
      </w:r>
      <w:r w:rsidR="000B79EC">
        <w:t xml:space="preserve"> и не уплачивали арендную плату.</w:t>
      </w:r>
      <w:r w:rsidRPr="00306AC0">
        <w:t xml:space="preserve"> </w:t>
      </w:r>
      <w:r w:rsidR="00FB6AB6">
        <w:t>Также в указанном здании разместилась Корпорация развития (ранее находилась по ул. Новороссийская, 15 и уплачивал</w:t>
      </w:r>
      <w:r w:rsidR="007451FF">
        <w:t>а</w:t>
      </w:r>
      <w:r w:rsidR="00FB6AB6">
        <w:t xml:space="preserve"> арендную плату).</w:t>
      </w:r>
    </w:p>
    <w:p w:rsidR="00971FAF" w:rsidRDefault="00971FAF" w:rsidP="00971FAF">
      <w:pPr>
        <w:ind w:firstLine="680"/>
        <w:jc w:val="both"/>
        <w:rPr>
          <w:color w:val="000000"/>
        </w:rPr>
      </w:pPr>
      <w:r w:rsidRPr="000415B4">
        <w:t xml:space="preserve">В </w:t>
      </w:r>
      <w:r w:rsidRPr="000415B4">
        <w:rPr>
          <w:color w:val="000000"/>
        </w:rPr>
        <w:t xml:space="preserve"> арендную плату </w:t>
      </w:r>
      <w:r>
        <w:rPr>
          <w:color w:val="000000"/>
        </w:rPr>
        <w:t>всех</w:t>
      </w:r>
      <w:r w:rsidRPr="000415B4">
        <w:rPr>
          <w:color w:val="000000"/>
        </w:rPr>
        <w:t xml:space="preserve"> организаций</w:t>
      </w:r>
      <w:r>
        <w:rPr>
          <w:color w:val="000000"/>
        </w:rPr>
        <w:t xml:space="preserve"> (за исключением Дирекции)</w:t>
      </w:r>
      <w:r w:rsidRPr="000415B4">
        <w:rPr>
          <w:color w:val="000000"/>
        </w:rPr>
        <w:t xml:space="preserve"> входит стоимость коммунальных услуг, потребляемой электроэнергии, воды, </w:t>
      </w:r>
      <w:proofErr w:type="spellStart"/>
      <w:r w:rsidRPr="000415B4">
        <w:rPr>
          <w:color w:val="000000"/>
        </w:rPr>
        <w:t>теплоэнергии</w:t>
      </w:r>
      <w:proofErr w:type="spellEnd"/>
      <w:r w:rsidRPr="000415B4">
        <w:rPr>
          <w:color w:val="000000"/>
        </w:rPr>
        <w:t>, услуг доступа телефонной связи, услуг доступа в сеть «Интернет», уборка помещений, транспортировка, передача для дальнейшего размещения ТБО 4-5 класса опасности на объект размещения отходов, охрана, а также пользование мебелью, переданной согласно акту приема-передачи.</w:t>
      </w:r>
      <w:r w:rsidRPr="00971FAF">
        <w:t xml:space="preserve"> </w:t>
      </w:r>
      <w:r>
        <w:t>Дирекцией по отдельным договорам в</w:t>
      </w:r>
      <w:r w:rsidRPr="00B3031A">
        <w:t xml:space="preserve">озмещаются </w:t>
      </w:r>
      <w:r w:rsidRPr="00B3031A">
        <w:rPr>
          <w:color w:val="000000"/>
        </w:rPr>
        <w:t>расходы по содержанию и эксплуатации нежилых помещений.</w:t>
      </w:r>
    </w:p>
    <w:p w:rsidR="00256D9D" w:rsidRPr="00256D9D" w:rsidRDefault="00FB2664" w:rsidP="00971FAF">
      <w:pPr>
        <w:ind w:firstLine="680"/>
        <w:jc w:val="both"/>
      </w:pPr>
      <w:r>
        <w:rPr>
          <w:color w:val="000000"/>
        </w:rPr>
        <w:t>В связи с переходом организаций, финансируемых из областного бюджета (в т.ч. органов исполнительной власти), а также организаций, образующих инфраструктуру поддержки МСП, на аренду помещений по пр. Жукова,3 освободились помещения, находящиеся в областной собственности, по ул. Новороссийская, 15</w:t>
      </w:r>
      <w:r w:rsidR="006C20DB">
        <w:rPr>
          <w:color w:val="000000"/>
        </w:rPr>
        <w:t xml:space="preserve"> и в</w:t>
      </w:r>
      <w:r w:rsidR="006C20DB">
        <w:t xml:space="preserve"> </w:t>
      </w:r>
      <w:r w:rsidR="006C20DB" w:rsidRPr="0087125B">
        <w:t xml:space="preserve">г. Волжский, </w:t>
      </w:r>
      <w:r w:rsidR="006C20DB">
        <w:t xml:space="preserve">по </w:t>
      </w:r>
      <w:r w:rsidR="006C20DB" w:rsidRPr="0087125B">
        <w:t>ул. Пушкина,</w:t>
      </w:r>
      <w:r w:rsidR="00AC72FC">
        <w:t xml:space="preserve"> </w:t>
      </w:r>
      <w:r w:rsidR="006C20DB" w:rsidRPr="0087125B">
        <w:t>45/1</w:t>
      </w:r>
      <w:r w:rsidR="003D6A02">
        <w:t>, закрепленн</w:t>
      </w:r>
      <w:r w:rsidR="005971AB">
        <w:t>ые</w:t>
      </w:r>
      <w:r w:rsidR="003D6A02">
        <w:t xml:space="preserve"> на праве оперативного управления за</w:t>
      </w:r>
      <w:r w:rsidR="006C20DB">
        <w:t xml:space="preserve"> </w:t>
      </w:r>
      <w:r w:rsidR="003D6A02" w:rsidRPr="00A7474D">
        <w:t>ГАУ Волгоградской области «Волгоградский областной бизнес-инкубатор»</w:t>
      </w:r>
      <w:r w:rsidR="003D6A02">
        <w:t xml:space="preserve"> (далее - </w:t>
      </w:r>
      <w:r w:rsidR="006C20DB">
        <w:t>Бизнес-инкубатор)</w:t>
      </w:r>
      <w:r w:rsidR="00256D9D">
        <w:rPr>
          <w:color w:val="000000"/>
        </w:rPr>
        <w:t xml:space="preserve">. В ходе проверки исследован </w:t>
      </w:r>
      <w:r w:rsidR="00256D9D" w:rsidRPr="00256D9D">
        <w:rPr>
          <w:color w:val="000000"/>
        </w:rPr>
        <w:t xml:space="preserve">вопрос </w:t>
      </w:r>
      <w:r w:rsidR="00256D9D" w:rsidRPr="00256D9D">
        <w:t>использования освободившихся помещений.</w:t>
      </w:r>
    </w:p>
    <w:p w:rsidR="00917F4F" w:rsidRDefault="005B51F1" w:rsidP="005B51F1">
      <w:pPr>
        <w:ind w:firstLine="680"/>
        <w:jc w:val="both"/>
      </w:pPr>
      <w:r w:rsidRPr="007B3155">
        <w:t>На освободившихся площадях в здании по ул. Новороссийская, 15 (1 317,5 кв</w:t>
      </w:r>
      <w:proofErr w:type="gramStart"/>
      <w:r w:rsidRPr="007B3155">
        <w:t>.м</w:t>
      </w:r>
      <w:proofErr w:type="gramEnd"/>
      <w:r w:rsidRPr="007B3155">
        <w:t xml:space="preserve"> с учетом полезной площади, а также площади лестничных проемов, коридоров и лифтов)  в результате вышеуказанного перемещения временно размещен на площади 269,4 кв. м комитет культуры Волгоградской области (безвозмездное пользование), </w:t>
      </w:r>
      <w:r w:rsidR="00AC72FC" w:rsidRPr="007B3155">
        <w:t>увеличены занимаемые Избирательной комиссией Волгоградской области площади (на 53,6 кв. м)</w:t>
      </w:r>
      <w:r w:rsidR="00917F4F" w:rsidRPr="007B3155">
        <w:t>, размещен</w:t>
      </w:r>
      <w:r w:rsidRPr="007B3155">
        <w:t xml:space="preserve"> заместител</w:t>
      </w:r>
      <w:r w:rsidR="00917F4F" w:rsidRPr="007B3155">
        <w:t>ь</w:t>
      </w:r>
      <w:r w:rsidRPr="007B3155">
        <w:t xml:space="preserve"> Губернатора Волгоградской области (144,7 кв.м)</w:t>
      </w:r>
      <w:r w:rsidR="00917F4F" w:rsidRPr="007B3155">
        <w:t>.</w:t>
      </w:r>
    </w:p>
    <w:p w:rsidR="005B51F1" w:rsidRPr="0096066A" w:rsidRDefault="0096066A" w:rsidP="005B51F1">
      <w:pPr>
        <w:ind w:firstLine="680"/>
        <w:jc w:val="both"/>
      </w:pPr>
      <w:r w:rsidRPr="0096066A">
        <w:t xml:space="preserve">По состоянию на 05.06.2019 </w:t>
      </w:r>
      <w:r w:rsidR="00991078" w:rsidRPr="0096066A">
        <w:t xml:space="preserve">более 7 месяцев (за период с 01.11.2018) </w:t>
      </w:r>
      <w:r w:rsidR="00991078">
        <w:t xml:space="preserve">свободны </w:t>
      </w:r>
      <w:r w:rsidR="00991078" w:rsidRPr="0096066A">
        <w:t>помещения</w:t>
      </w:r>
      <w:r w:rsidR="00991078" w:rsidRPr="005971AB">
        <w:t xml:space="preserve"> </w:t>
      </w:r>
      <w:r w:rsidR="00991078" w:rsidRPr="0096066A">
        <w:t>по ул. Новороссийская, 15 общей полезной площадью 316,4 кв</w:t>
      </w:r>
      <w:proofErr w:type="gramStart"/>
      <w:r w:rsidR="00991078" w:rsidRPr="0096066A">
        <w:t>.м</w:t>
      </w:r>
      <w:proofErr w:type="gramEnd"/>
      <w:r w:rsidR="005B51F1" w:rsidRPr="0096066A">
        <w:t xml:space="preserve">, из которой по помещениям площадью 199,7 кв.м проводятся работы по оборудованию для передачи в безвозмездное пользование в целях размещения приемной Президента РФ и ее руководителя, а полезная площадь 116,7 кв.м свободна (по пояснению Дирекции планируется к размещению органов исполнительной власти Волгоградской области и иных организаций). </w:t>
      </w:r>
      <w:r w:rsidR="005B51F1" w:rsidRPr="006C20DB">
        <w:rPr>
          <w:i/>
        </w:rPr>
        <w:t xml:space="preserve">За период 01.11.2018 по 31.05.2019 расходы по содержанию незанятых помещений площадью </w:t>
      </w:r>
      <w:r w:rsidR="00E25998">
        <w:rPr>
          <w:i/>
        </w:rPr>
        <w:t>116,7</w:t>
      </w:r>
      <w:r w:rsidR="005B51F1" w:rsidRPr="006C20DB">
        <w:rPr>
          <w:i/>
        </w:rPr>
        <w:t xml:space="preserve"> кв</w:t>
      </w:r>
      <w:proofErr w:type="gramStart"/>
      <w:r w:rsidR="005B51F1" w:rsidRPr="006C20DB">
        <w:rPr>
          <w:i/>
        </w:rPr>
        <w:t>.м</w:t>
      </w:r>
      <w:proofErr w:type="gramEnd"/>
      <w:r w:rsidR="005B51F1" w:rsidRPr="006C20DB">
        <w:rPr>
          <w:i/>
        </w:rPr>
        <w:t xml:space="preserve"> ориентировочно составили </w:t>
      </w:r>
      <w:r w:rsidR="00E25998">
        <w:rPr>
          <w:i/>
        </w:rPr>
        <w:t>187,</w:t>
      </w:r>
      <w:r w:rsidR="005B51F1" w:rsidRPr="006C20DB">
        <w:rPr>
          <w:i/>
        </w:rPr>
        <w:t>0 тыс.руб.</w:t>
      </w:r>
      <w:r w:rsidR="005B51F1" w:rsidRPr="0096066A">
        <w:t xml:space="preserve"> (коммунальные услуги, содержание имущества, земельный налог и налог на имущество), </w:t>
      </w:r>
      <w:r w:rsidR="005B51F1" w:rsidRPr="006C20DB">
        <w:rPr>
          <w:i/>
        </w:rPr>
        <w:t xml:space="preserve">которые не отвечают принципу эффективности </w:t>
      </w:r>
      <w:r w:rsidR="005B51F1" w:rsidRPr="006C20DB">
        <w:rPr>
          <w:i/>
          <w:iCs/>
        </w:rPr>
        <w:t>использования бюджетных средств, определенному ст. 34 БК РФ.</w:t>
      </w:r>
    </w:p>
    <w:p w:rsidR="005B51F1" w:rsidRDefault="006C20DB" w:rsidP="00B407DA">
      <w:pPr>
        <w:ind w:firstLine="680"/>
        <w:jc w:val="both"/>
      </w:pPr>
      <w:proofErr w:type="gramStart"/>
      <w:r>
        <w:lastRenderedPageBreak/>
        <w:t xml:space="preserve">Что касается здания </w:t>
      </w:r>
      <w:r w:rsidR="00B407DA">
        <w:t>в г.</w:t>
      </w:r>
      <w:r w:rsidR="00B407DA" w:rsidRPr="007336E3">
        <w:t xml:space="preserve"> Волжский,</w:t>
      </w:r>
      <w:r w:rsidR="00B407DA">
        <w:t xml:space="preserve"> по</w:t>
      </w:r>
      <w:r w:rsidR="00B407DA" w:rsidRPr="007336E3">
        <w:t xml:space="preserve"> ул. Пушкина, д. 45/1</w:t>
      </w:r>
      <w:r w:rsidR="00B407DA">
        <w:t xml:space="preserve"> (в настоящее время в нем располагается часть работников </w:t>
      </w:r>
      <w:proofErr w:type="spellStart"/>
      <w:r w:rsidR="00B407DA">
        <w:t>Бизнес-инкубатора</w:t>
      </w:r>
      <w:proofErr w:type="spellEnd"/>
      <w:r w:rsidR="00B407DA">
        <w:t xml:space="preserve"> и резиденты </w:t>
      </w:r>
      <w:proofErr w:type="spellStart"/>
      <w:r w:rsidR="00B407DA">
        <w:t>бизнес-инкубатора</w:t>
      </w:r>
      <w:proofErr w:type="spellEnd"/>
      <w:r w:rsidR="00B407DA">
        <w:t xml:space="preserve">), то </w:t>
      </w:r>
      <w:r w:rsidR="005B51F1">
        <w:t>по информации Комитета экономики</w:t>
      </w:r>
      <w:r w:rsidR="005B51F1" w:rsidRPr="00DA47A7">
        <w:t xml:space="preserve"> </w:t>
      </w:r>
      <w:r w:rsidR="005B51F1">
        <w:t xml:space="preserve">рассматривается вопрос о прекращении права оперативного управления </w:t>
      </w:r>
      <w:r w:rsidR="00A873F8">
        <w:t xml:space="preserve">им, </w:t>
      </w:r>
      <w:r w:rsidR="005B51F1">
        <w:t>так как 30 ноября 2019 года истекает срок исполнения обязательств по договору между Администрацией Волгоградской области и Минэкономразвития России от 03.11.2006 по сохранению</w:t>
      </w:r>
      <w:proofErr w:type="gramEnd"/>
      <w:r w:rsidR="005B51F1">
        <w:t xml:space="preserve"> в течение не менее 10 лет целевого назначения объекта </w:t>
      </w:r>
      <w:proofErr w:type="spellStart"/>
      <w:proofErr w:type="gramStart"/>
      <w:r w:rsidR="005B51F1">
        <w:t>бизнес-инкубатора</w:t>
      </w:r>
      <w:proofErr w:type="spellEnd"/>
      <w:proofErr w:type="gramEnd"/>
      <w:r w:rsidR="005B51F1">
        <w:t xml:space="preserve">. </w:t>
      </w:r>
    </w:p>
    <w:p w:rsidR="002957A5" w:rsidRPr="00483BF8" w:rsidRDefault="002957A5" w:rsidP="00971FAF">
      <w:pPr>
        <w:ind w:firstLine="680"/>
        <w:jc w:val="both"/>
        <w:rPr>
          <w:i/>
        </w:rPr>
      </w:pPr>
      <w:r w:rsidRPr="004746D1">
        <w:rPr>
          <w:i/>
        </w:rPr>
        <w:t xml:space="preserve">Переход на аренду помещений по пр. Жукова, 3 </w:t>
      </w:r>
      <w:r w:rsidRPr="00F05E30">
        <w:rPr>
          <w:i/>
        </w:rPr>
        <w:t>организаций, финансируемых из областного бюджета</w:t>
      </w:r>
      <w:r>
        <w:t xml:space="preserve"> (Д</w:t>
      </w:r>
      <w:r w:rsidRPr="00A3510D">
        <w:rPr>
          <w:rFonts w:eastAsia="Calibri"/>
          <w:bCs/>
        </w:rPr>
        <w:t xml:space="preserve">ирекция, </w:t>
      </w:r>
      <w:r>
        <w:rPr>
          <w:rFonts w:eastAsia="Calibri"/>
          <w:bCs/>
        </w:rPr>
        <w:t>Бизнес-инкубатор</w:t>
      </w:r>
      <w:r w:rsidRPr="00AD018A">
        <w:rPr>
          <w:rFonts w:eastAsia="Calibri"/>
          <w:bCs/>
        </w:rPr>
        <w:t>,</w:t>
      </w:r>
      <w:r w:rsidRPr="00AD018A">
        <w:t xml:space="preserve"> ГКУ Волгоградской области «Дирекция по обеспечению деятельности Общественной палаты Волгоградской области и института уполномоченных в Волгоградской области», ГКУ Волгоградской области «Аналитический центр»)</w:t>
      </w:r>
      <w:r w:rsidR="004746D1">
        <w:t>,</w:t>
      </w:r>
      <w:r w:rsidR="00AD018A" w:rsidRPr="00AD018A">
        <w:t xml:space="preserve"> </w:t>
      </w:r>
      <w:r w:rsidR="00AD018A" w:rsidRPr="00483BF8">
        <w:rPr>
          <w:i/>
        </w:rPr>
        <w:t xml:space="preserve">увеличивает расходы областного бюджета </w:t>
      </w:r>
      <w:r w:rsidR="00F05E30" w:rsidRPr="00483BF8">
        <w:rPr>
          <w:i/>
        </w:rPr>
        <w:t xml:space="preserve">ориентировочно </w:t>
      </w:r>
      <w:r w:rsidR="00AD018A" w:rsidRPr="00483BF8">
        <w:rPr>
          <w:i/>
        </w:rPr>
        <w:t>на  28,6 млн. руб. в год</w:t>
      </w:r>
      <w:r w:rsidR="009C7980" w:rsidRPr="00483BF8">
        <w:rPr>
          <w:i/>
        </w:rPr>
        <w:t>.</w:t>
      </w:r>
    </w:p>
    <w:p w:rsidR="009C7980" w:rsidRDefault="009C7980" w:rsidP="009C7980">
      <w:pPr>
        <w:ind w:firstLine="680"/>
        <w:jc w:val="both"/>
      </w:pPr>
      <w:r>
        <w:t xml:space="preserve">Кроме того, в </w:t>
      </w:r>
      <w:r w:rsidRPr="003169AC">
        <w:rPr>
          <w:i/>
        </w:rPr>
        <w:t xml:space="preserve">целом по организациям, созданным Волгоградской областью и относящимся к инфраструктуре поддержки </w:t>
      </w:r>
      <w:r w:rsidR="00F05E30">
        <w:rPr>
          <w:i/>
        </w:rPr>
        <w:t>МСП</w:t>
      </w:r>
      <w:r w:rsidRPr="003169AC">
        <w:rPr>
          <w:i/>
        </w:rPr>
        <w:t>, не финансируемым из бюджета</w:t>
      </w:r>
      <w:r>
        <w:t xml:space="preserve"> </w:t>
      </w:r>
      <w:r w:rsidRPr="0017081F">
        <w:t>(</w:t>
      </w:r>
      <w:r w:rsidRPr="00A7474D">
        <w:t>ассоциация (некоммерческое партнерство) «Гарантийный фонд Волгоградской области»</w:t>
      </w:r>
      <w:r>
        <w:t xml:space="preserve">, </w:t>
      </w:r>
      <w:r w:rsidRPr="00A7474D">
        <w:t xml:space="preserve">государственный фонд «Региональный </w:t>
      </w:r>
      <w:proofErr w:type="spellStart"/>
      <w:r w:rsidRPr="00A7474D">
        <w:t>микрофинансовый</w:t>
      </w:r>
      <w:proofErr w:type="spellEnd"/>
      <w:r w:rsidRPr="00A7474D">
        <w:t xml:space="preserve"> центр»</w:t>
      </w:r>
      <w:r>
        <w:t>,</w:t>
      </w:r>
      <w:r w:rsidRPr="0017081F">
        <w:t xml:space="preserve"> </w:t>
      </w:r>
      <w:r w:rsidRPr="00A7474D">
        <w:t xml:space="preserve">фонд </w:t>
      </w:r>
      <w:proofErr w:type="spellStart"/>
      <w:r w:rsidRPr="00A7474D">
        <w:t>микрофинансирования</w:t>
      </w:r>
      <w:proofErr w:type="spellEnd"/>
      <w:r w:rsidRPr="00A7474D">
        <w:t xml:space="preserve"> предпринимательства Волгоградской области</w:t>
      </w:r>
      <w:r w:rsidRPr="0017081F">
        <w:t>)</w:t>
      </w:r>
      <w:r>
        <w:t>,</w:t>
      </w:r>
      <w:r w:rsidR="00F05E30">
        <w:t xml:space="preserve"> </w:t>
      </w:r>
      <w:r w:rsidR="00F05E30" w:rsidRPr="00F05E30">
        <w:rPr>
          <w:i/>
        </w:rPr>
        <w:t xml:space="preserve">увеличение расходов по арендной плате </w:t>
      </w:r>
      <w:r w:rsidRPr="003169AC">
        <w:rPr>
          <w:rFonts w:eastAsia="Calibri"/>
          <w:bCs/>
          <w:i/>
        </w:rPr>
        <w:t>составит порядка 1,1 млн. руб</w:t>
      </w:r>
      <w:r w:rsidR="00521B21">
        <w:rPr>
          <w:rFonts w:eastAsia="Calibri"/>
          <w:bCs/>
          <w:i/>
        </w:rPr>
        <w:t>. в год.</w:t>
      </w:r>
      <w:r w:rsidRPr="00315830">
        <w:rPr>
          <w:rFonts w:eastAsia="Calibri"/>
          <w:bCs/>
        </w:rPr>
        <w:t xml:space="preserve"> </w:t>
      </w:r>
      <w:proofErr w:type="gramStart"/>
      <w:r w:rsidRPr="00315830">
        <w:rPr>
          <w:rFonts w:eastAsia="Calibri"/>
          <w:bCs/>
        </w:rPr>
        <w:t xml:space="preserve">С учетом </w:t>
      </w:r>
      <w:r w:rsidR="009A4F2C">
        <w:rPr>
          <w:rFonts w:eastAsia="Calibri"/>
          <w:bCs/>
        </w:rPr>
        <w:t xml:space="preserve">размера арендной платы по </w:t>
      </w:r>
      <w:r>
        <w:rPr>
          <w:rFonts w:eastAsia="Calibri"/>
          <w:bCs/>
        </w:rPr>
        <w:t>Фонд</w:t>
      </w:r>
      <w:r w:rsidR="009A4F2C">
        <w:rPr>
          <w:rFonts w:eastAsia="Calibri"/>
          <w:bCs/>
        </w:rPr>
        <w:t>у</w:t>
      </w:r>
      <w:r>
        <w:rPr>
          <w:rFonts w:eastAsia="Calibri"/>
          <w:bCs/>
        </w:rPr>
        <w:t>,</w:t>
      </w:r>
      <w:r w:rsidR="00AD4113">
        <w:rPr>
          <w:rFonts w:eastAsia="Calibri"/>
          <w:bCs/>
        </w:rPr>
        <w:t xml:space="preserve"> которым не </w:t>
      </w:r>
      <w:r>
        <w:rPr>
          <w:rFonts w:eastAsia="Calibri"/>
          <w:bCs/>
        </w:rPr>
        <w:t>представ</w:t>
      </w:r>
      <w:r w:rsidR="00AD4113">
        <w:rPr>
          <w:rFonts w:eastAsia="Calibri"/>
          <w:bCs/>
        </w:rPr>
        <w:t xml:space="preserve">лена в КСП </w:t>
      </w:r>
      <w:r w:rsidRPr="00AC773F">
        <w:t>информаци</w:t>
      </w:r>
      <w:r w:rsidR="00AD4113">
        <w:t>я</w:t>
      </w:r>
      <w:r w:rsidRPr="00AC773F">
        <w:t xml:space="preserve"> о ранее заключенных договорах аренды</w:t>
      </w:r>
      <w:r>
        <w:t>,</w:t>
      </w:r>
      <w:r>
        <w:rPr>
          <w:rFonts w:eastAsia="Calibri"/>
          <w:bCs/>
        </w:rPr>
        <w:t xml:space="preserve"> увеличение расходов произошло в </w:t>
      </w:r>
      <w:r w:rsidRPr="00946102">
        <w:rPr>
          <w:rFonts w:eastAsia="Calibri"/>
          <w:bCs/>
        </w:rPr>
        <w:t>больших</w:t>
      </w:r>
      <w:r>
        <w:rPr>
          <w:rFonts w:eastAsia="Calibri"/>
          <w:bCs/>
        </w:rPr>
        <w:t xml:space="preserve"> размерах (Фо</w:t>
      </w:r>
      <w:r w:rsidRPr="00AC773F">
        <w:t>нд</w:t>
      </w:r>
      <w:r>
        <w:t xml:space="preserve"> ранее располагался по пр.</w:t>
      </w:r>
      <w:proofErr w:type="gramEnd"/>
      <w:r>
        <w:t xml:space="preserve"> Ленина, 56А, где стоимость аренды по</w:t>
      </w:r>
      <w:r w:rsidR="008D6B83">
        <w:t xml:space="preserve">данным </w:t>
      </w:r>
      <w:r>
        <w:t xml:space="preserve"> Дирекции по обеспечению деятельности уполномоченных составляла 585 руб. за кв</w:t>
      </w:r>
      <w:proofErr w:type="gramStart"/>
      <w:r>
        <w:t>.м</w:t>
      </w:r>
      <w:proofErr w:type="gramEnd"/>
      <w:r>
        <w:t>, что ниже на 395 руб., чем размер арендной платы по пр. Жукова,3)</w:t>
      </w:r>
      <w:r w:rsidR="00AD4113">
        <w:t>.</w:t>
      </w:r>
    </w:p>
    <w:p w:rsidR="009C7980" w:rsidRPr="00F05E30" w:rsidRDefault="00F05E30" w:rsidP="009C7980">
      <w:pPr>
        <w:ind w:firstLine="680"/>
        <w:jc w:val="both"/>
      </w:pPr>
      <w:r w:rsidRPr="00F05E30">
        <w:t>Р</w:t>
      </w:r>
      <w:r w:rsidR="009C7980" w:rsidRPr="00F05E30">
        <w:t>асходы сокращены только по Корпорации развития</w:t>
      </w:r>
      <w:r>
        <w:t>, располагавшейся ранее по ул. Новороссийской, 15,</w:t>
      </w:r>
      <w:r w:rsidR="009C7980" w:rsidRPr="00F05E30">
        <w:t xml:space="preserve"> на 0,2 млн. руб. в год. </w:t>
      </w:r>
    </w:p>
    <w:p w:rsidR="00456883" w:rsidRDefault="00456883" w:rsidP="00456883">
      <w:pPr>
        <w:ind w:firstLine="680"/>
        <w:jc w:val="both"/>
      </w:pPr>
      <w:r>
        <w:t xml:space="preserve">Информация по сравнению размера арендной платы приведена в </w:t>
      </w:r>
      <w:r w:rsidRPr="00910830">
        <w:rPr>
          <w:color w:val="17365D" w:themeColor="text2" w:themeShade="BF"/>
        </w:rPr>
        <w:t>приложении №</w:t>
      </w:r>
      <w:r w:rsidR="00910830" w:rsidRPr="00910830">
        <w:rPr>
          <w:color w:val="17365D" w:themeColor="text2" w:themeShade="BF"/>
        </w:rPr>
        <w:t xml:space="preserve"> 4</w:t>
      </w:r>
      <w:r w:rsidRPr="00910830">
        <w:rPr>
          <w:color w:val="17365D" w:themeColor="text2" w:themeShade="BF"/>
        </w:rPr>
        <w:t>.</w:t>
      </w:r>
    </w:p>
    <w:p w:rsidR="00280573" w:rsidRDefault="00280573" w:rsidP="00365D59">
      <w:pPr>
        <w:ind w:firstLine="680"/>
        <w:jc w:val="both"/>
      </w:pPr>
    </w:p>
    <w:p w:rsidR="00365D59" w:rsidRDefault="00365D59" w:rsidP="00365D59">
      <w:pPr>
        <w:ind w:firstLine="680"/>
        <w:jc w:val="both"/>
      </w:pPr>
      <w:proofErr w:type="gramStart"/>
      <w:r w:rsidRPr="00D52073">
        <w:t>Прочие доходы Корпорации развития формировались в основном за счет реализации основных средств</w:t>
      </w:r>
      <w:r>
        <w:t xml:space="preserve">, в т.ч. в 2017 году – от реализации внесенных в уставный капитал зданий и </w:t>
      </w:r>
      <w:r w:rsidRPr="009922E7">
        <w:rPr>
          <w:noProof/>
        </w:rPr>
        <w:t>земельны</w:t>
      </w:r>
      <w:r>
        <w:rPr>
          <w:noProof/>
        </w:rPr>
        <w:t>х</w:t>
      </w:r>
      <w:r w:rsidRPr="009922E7">
        <w:rPr>
          <w:noProof/>
        </w:rPr>
        <w:t xml:space="preserve"> участк</w:t>
      </w:r>
      <w:r>
        <w:rPr>
          <w:noProof/>
        </w:rPr>
        <w:t>ов</w:t>
      </w:r>
      <w:r w:rsidRPr="009922E7">
        <w:rPr>
          <w:noProof/>
        </w:rPr>
        <w:t xml:space="preserve"> по ул. им. Котовского и прое</w:t>
      </w:r>
      <w:r>
        <w:rPr>
          <w:noProof/>
        </w:rPr>
        <w:t>з</w:t>
      </w:r>
      <w:r w:rsidRPr="009922E7">
        <w:rPr>
          <w:noProof/>
        </w:rPr>
        <w:t>ду Тайшетский</w:t>
      </w:r>
      <w:r>
        <w:rPr>
          <w:noProof/>
        </w:rPr>
        <w:t xml:space="preserve"> (были проданы Фонду </w:t>
      </w:r>
      <w:r w:rsidRPr="009922E7">
        <w:rPr>
          <w:noProof/>
        </w:rPr>
        <w:t xml:space="preserve"> </w:t>
      </w:r>
      <w:r>
        <w:rPr>
          <w:noProof/>
        </w:rPr>
        <w:t>по договорам купли-</w:t>
      </w:r>
      <w:r w:rsidRPr="009922E7">
        <w:rPr>
          <w:noProof/>
        </w:rPr>
        <w:t xml:space="preserve">продажи объектов недвижимого имущества от 28.12.2016 и от </w:t>
      </w:r>
      <w:r>
        <w:rPr>
          <w:noProof/>
        </w:rPr>
        <w:t>20.02.2017</w:t>
      </w:r>
      <w:r w:rsidRPr="009922E7">
        <w:rPr>
          <w:noProof/>
        </w:rPr>
        <w:t xml:space="preserve"> на сумму 3</w:t>
      </w:r>
      <w:r>
        <w:rPr>
          <w:noProof/>
        </w:rPr>
        <w:t xml:space="preserve">,5 млн. руб. и 10,4 млн. руб. соответственно). </w:t>
      </w:r>
      <w:proofErr w:type="gramEnd"/>
    </w:p>
    <w:p w:rsidR="00364BC7" w:rsidRPr="00DD5BBD" w:rsidRDefault="00365D59" w:rsidP="00364BC7">
      <w:pPr>
        <w:pStyle w:val="a9"/>
        <w:ind w:left="0" w:firstLine="680"/>
        <w:jc w:val="both"/>
      </w:pPr>
      <w:r>
        <w:t>Проценты к получению представляют собой проценты по соглашениям с ОАО Банк «Открытие» и ПАО Банк «Возрождение» о</w:t>
      </w:r>
      <w:r w:rsidR="008D6B83">
        <w:t>т</w:t>
      </w:r>
      <w:r>
        <w:t xml:space="preserve"> размещени</w:t>
      </w:r>
      <w:r w:rsidR="008D6B83">
        <w:t>я</w:t>
      </w:r>
      <w:r>
        <w:t xml:space="preserve"> свободных </w:t>
      </w:r>
      <w:r w:rsidRPr="0041216E">
        <w:t>денежных средств и процентов, начисленных на неснижаемый остаток</w:t>
      </w:r>
      <w:r>
        <w:t xml:space="preserve">. </w:t>
      </w:r>
      <w:r w:rsidR="00364BC7" w:rsidRPr="00DD5BBD">
        <w:t>Проценты за размещение денежных средств за период 2017 – 2018 годов получены Ко</w:t>
      </w:r>
      <w:r w:rsidR="008334C6">
        <w:t>рпорацией развития в размере 4,</w:t>
      </w:r>
      <w:r w:rsidR="00364BC7" w:rsidRPr="00DD5BBD">
        <w:t>5 млн. руб</w:t>
      </w:r>
      <w:r w:rsidR="00364BC7">
        <w:t>лей.</w:t>
      </w:r>
    </w:p>
    <w:p w:rsidR="00365D59" w:rsidRDefault="00365D59" w:rsidP="00365D59">
      <w:pPr>
        <w:ind w:firstLine="680"/>
        <w:jc w:val="both"/>
      </w:pPr>
      <w:r>
        <w:t>Проверкой установлено, что в 2019 году были недополучены доходы в виде пени за несвоевременный возврат заемных средств</w:t>
      </w:r>
      <w:r w:rsidRPr="0003103C">
        <w:t xml:space="preserve"> </w:t>
      </w:r>
      <w:r>
        <w:t>(</w:t>
      </w:r>
      <w:r w:rsidRPr="00117A3E">
        <w:t>до 31.12.2018</w:t>
      </w:r>
      <w:r>
        <w:t xml:space="preserve">) в размере </w:t>
      </w:r>
      <w:r w:rsidRPr="004B5E8C">
        <w:t>15,2 тыс. руб</w:t>
      </w:r>
      <w:r>
        <w:t xml:space="preserve">. (рассчитаны по состоянию на 14.06.2019). Так, </w:t>
      </w:r>
      <w:r w:rsidRPr="00BC2F93">
        <w:t>Корпорацией развити</w:t>
      </w:r>
      <w:r>
        <w:t>я ООО «Развитие» (в котором у Корпорации развития имеется доля участия - 85%)</w:t>
      </w:r>
      <w:r w:rsidRPr="00BC2F93">
        <w:t xml:space="preserve"> </w:t>
      </w:r>
      <w:r>
        <w:t>был предоставлен беспроцентный зае</w:t>
      </w:r>
      <w:r w:rsidRPr="00BC2F93">
        <w:t>м в размере 200,0 тыс. руб</w:t>
      </w:r>
      <w:r>
        <w:t>. по</w:t>
      </w:r>
      <w:r w:rsidRPr="00BC2F93">
        <w:t xml:space="preserve"> </w:t>
      </w:r>
      <w:r w:rsidRPr="00117A3E">
        <w:t>договору от 08.05.2018</w:t>
      </w:r>
      <w:r>
        <w:t xml:space="preserve"> (совершение сделки согласовано с КУГИ в соответствии со ст. 79 Закона об акционерных обществах).</w:t>
      </w:r>
      <w:r w:rsidRPr="00117A3E">
        <w:t xml:space="preserve"> На момент окончания проверки было возвращено </w:t>
      </w:r>
      <w:r>
        <w:t xml:space="preserve">только </w:t>
      </w:r>
      <w:r w:rsidRPr="00117A3E">
        <w:t xml:space="preserve">25 тыс. руб. </w:t>
      </w:r>
      <w:r>
        <w:t>(в апреле и мае 2019 года).</w:t>
      </w:r>
      <w:r w:rsidRPr="00117A3E">
        <w:t xml:space="preserve"> При несвоевременном возврате заемных средств Корпорацией развития суммы пени</w:t>
      </w:r>
      <w:r w:rsidRPr="00971C6F">
        <w:t xml:space="preserve"> </w:t>
      </w:r>
      <w:r>
        <w:t>(</w:t>
      </w:r>
      <w:r w:rsidRPr="00117A3E">
        <w:t>в размере 0,1% от неуплаченной суммы займа за каждый день просрочки</w:t>
      </w:r>
      <w:r>
        <w:t>)</w:t>
      </w:r>
      <w:r w:rsidRPr="00117A3E">
        <w:t xml:space="preserve"> </w:t>
      </w:r>
      <w:r w:rsidR="008334C6">
        <w:t>ООО «Развитие» не предъявлялись</w:t>
      </w:r>
      <w:r w:rsidRPr="00117A3E">
        <w:t xml:space="preserve"> и последним самостоятельно не уплачивались. </w:t>
      </w:r>
    </w:p>
    <w:p w:rsidR="00196A6D" w:rsidRPr="00B3031A" w:rsidRDefault="00196A6D" w:rsidP="00196A6D">
      <w:pPr>
        <w:ind w:firstLine="680"/>
        <w:jc w:val="both"/>
        <w:rPr>
          <w:rFonts w:eastAsia="Calibri"/>
          <w:bCs/>
        </w:rPr>
      </w:pPr>
      <w:r>
        <w:t xml:space="preserve">В целом в отношении формирования доходов Корпорации развития следует отметить, что в </w:t>
      </w:r>
      <w:r w:rsidR="008334C6">
        <w:t xml:space="preserve">ее </w:t>
      </w:r>
      <w:r>
        <w:t xml:space="preserve">годовых отчетах </w:t>
      </w:r>
      <w:r w:rsidRPr="00B3031A">
        <w:t>за 2017</w:t>
      </w:r>
      <w:r>
        <w:t>-</w:t>
      </w:r>
      <w:r w:rsidRPr="00B3031A">
        <w:t xml:space="preserve">2018 годы </w:t>
      </w:r>
      <w:r w:rsidR="008334C6">
        <w:t xml:space="preserve">отражено, что </w:t>
      </w:r>
      <w:r w:rsidRPr="00B3031A">
        <w:t>повышение доходной части на 2018 и 2019 годы планир</w:t>
      </w:r>
      <w:r>
        <w:t>овалось</w:t>
      </w:r>
      <w:r w:rsidRPr="00B3031A">
        <w:t xml:space="preserve"> за счет</w:t>
      </w:r>
      <w:r>
        <w:t xml:space="preserve"> нескольких источников</w:t>
      </w:r>
      <w:r w:rsidRPr="00B3031A">
        <w:t xml:space="preserve">: поступлений </w:t>
      </w:r>
      <w:r w:rsidRPr="00B3031A">
        <w:rPr>
          <w:rFonts w:eastAsia="Calibri"/>
          <w:bCs/>
        </w:rPr>
        <w:t>арендной платы за аренду помещений административного здания</w:t>
      </w:r>
      <w:r>
        <w:rPr>
          <w:rFonts w:eastAsia="Calibri"/>
          <w:bCs/>
        </w:rPr>
        <w:t xml:space="preserve"> по пр. Жукова,3;</w:t>
      </w:r>
      <w:r w:rsidRPr="00B3031A">
        <w:rPr>
          <w:rFonts w:eastAsia="Calibri"/>
          <w:bCs/>
        </w:rPr>
        <w:t xml:space="preserve"> оптимизации имущественного комплекса ДК «Дружба»; оптимизации инвестиционной площадки </w:t>
      </w:r>
      <w:r w:rsidRPr="00B3031A">
        <w:rPr>
          <w:rFonts w:eastAsia="Calibri"/>
          <w:bCs/>
        </w:rPr>
        <w:lastRenderedPageBreak/>
        <w:t>«Ерзовка»; увеличения имущественного комплекса в виде недвижимого имущества и земельных участков посредством внесения в</w:t>
      </w:r>
      <w:r w:rsidR="00447996">
        <w:rPr>
          <w:rFonts w:eastAsia="Calibri"/>
          <w:bCs/>
        </w:rPr>
        <w:t xml:space="preserve"> ее</w:t>
      </w:r>
      <w:r w:rsidRPr="00B3031A">
        <w:rPr>
          <w:rFonts w:eastAsia="Calibri"/>
          <w:bCs/>
        </w:rPr>
        <w:t xml:space="preserve"> уставной капитал.</w:t>
      </w:r>
    </w:p>
    <w:p w:rsidR="00196A6D" w:rsidRDefault="00196A6D" w:rsidP="00196A6D">
      <w:pPr>
        <w:ind w:firstLine="680"/>
        <w:jc w:val="both"/>
        <w:rPr>
          <w:rFonts w:eastAsia="Calibri"/>
          <w:bCs/>
        </w:rPr>
      </w:pPr>
      <w:r w:rsidRPr="00B3031A">
        <w:rPr>
          <w:rFonts w:eastAsia="Calibri"/>
          <w:bCs/>
        </w:rPr>
        <w:t xml:space="preserve">Из этих направлений </w:t>
      </w:r>
      <w:r w:rsidR="00447996">
        <w:rPr>
          <w:rFonts w:eastAsia="Calibri"/>
          <w:bCs/>
        </w:rPr>
        <w:t xml:space="preserve">фактически </w:t>
      </w:r>
      <w:r w:rsidRPr="00B3031A">
        <w:rPr>
          <w:rFonts w:eastAsia="Calibri"/>
          <w:bCs/>
        </w:rPr>
        <w:t xml:space="preserve">доходная часть формировалась только за счет </w:t>
      </w:r>
      <w:r>
        <w:rPr>
          <w:rFonts w:eastAsia="Calibri"/>
          <w:bCs/>
        </w:rPr>
        <w:t>поступлений арендной платы</w:t>
      </w:r>
      <w:r w:rsidR="008334C6">
        <w:rPr>
          <w:rFonts w:eastAsia="Calibri"/>
          <w:bCs/>
        </w:rPr>
        <w:t xml:space="preserve"> (с</w:t>
      </w:r>
      <w:r w:rsidR="007B3155">
        <w:rPr>
          <w:rFonts w:eastAsia="Calibri"/>
          <w:bCs/>
        </w:rPr>
        <w:t xml:space="preserve"> октября</w:t>
      </w:r>
      <w:r w:rsidR="008334C6">
        <w:rPr>
          <w:rFonts w:eastAsia="Calibri"/>
          <w:bCs/>
        </w:rPr>
        <w:t xml:space="preserve"> 2018 года)</w:t>
      </w:r>
      <w:r>
        <w:rPr>
          <w:rFonts w:eastAsia="Calibri"/>
          <w:bCs/>
        </w:rPr>
        <w:t xml:space="preserve">. </w:t>
      </w:r>
      <w:r w:rsidRPr="00B3031A">
        <w:rPr>
          <w:rFonts w:eastAsia="Calibri"/>
          <w:bCs/>
        </w:rPr>
        <w:t>В связи с отсутствием ист</w:t>
      </w:r>
      <w:r>
        <w:rPr>
          <w:rFonts w:eastAsia="Calibri"/>
          <w:bCs/>
        </w:rPr>
        <w:t>очника средств на реконструкцию</w:t>
      </w:r>
      <w:r w:rsidRPr="00B3031A">
        <w:rPr>
          <w:rFonts w:eastAsia="Calibri"/>
          <w:bCs/>
        </w:rPr>
        <w:t xml:space="preserve"> имущественн</w:t>
      </w:r>
      <w:r w:rsidR="00447996">
        <w:rPr>
          <w:rFonts w:eastAsia="Calibri"/>
          <w:bCs/>
        </w:rPr>
        <w:t>ого</w:t>
      </w:r>
      <w:r w:rsidRPr="00B3031A">
        <w:rPr>
          <w:rFonts w:eastAsia="Calibri"/>
          <w:bCs/>
        </w:rPr>
        <w:t xml:space="preserve"> комплекс</w:t>
      </w:r>
      <w:r w:rsidR="00447996">
        <w:rPr>
          <w:rFonts w:eastAsia="Calibri"/>
          <w:bCs/>
        </w:rPr>
        <w:t>а</w:t>
      </w:r>
      <w:r w:rsidRPr="00B3031A">
        <w:rPr>
          <w:rFonts w:eastAsia="Calibri"/>
          <w:bCs/>
        </w:rPr>
        <w:t xml:space="preserve"> ДК «Дружба»</w:t>
      </w:r>
      <w:r w:rsidR="00E91FE5">
        <w:rPr>
          <w:rFonts w:eastAsia="Calibri"/>
          <w:bCs/>
        </w:rPr>
        <w:t xml:space="preserve"> и спортзала, находящихся в неудовлетворительном состоянии,</w:t>
      </w:r>
      <w:r w:rsidRPr="00B3031A">
        <w:rPr>
          <w:rFonts w:eastAsia="Calibri"/>
          <w:bCs/>
        </w:rPr>
        <w:t xml:space="preserve"> предполага</w:t>
      </w:r>
      <w:r>
        <w:rPr>
          <w:rFonts w:eastAsia="Calibri"/>
          <w:bCs/>
        </w:rPr>
        <w:t xml:space="preserve">лось </w:t>
      </w:r>
      <w:r w:rsidR="00B57699">
        <w:rPr>
          <w:rFonts w:eastAsia="Calibri"/>
          <w:bCs/>
        </w:rPr>
        <w:t xml:space="preserve">их </w:t>
      </w:r>
      <w:r w:rsidRPr="00B3031A">
        <w:rPr>
          <w:rFonts w:eastAsia="Calibri"/>
          <w:bCs/>
        </w:rPr>
        <w:t>продать</w:t>
      </w:r>
      <w:r w:rsidR="00447996">
        <w:rPr>
          <w:rFonts w:eastAsia="Calibri"/>
          <w:bCs/>
        </w:rPr>
        <w:t>. О</w:t>
      </w:r>
      <w:r w:rsidRPr="00B3031A">
        <w:rPr>
          <w:rFonts w:eastAsia="Calibri"/>
          <w:bCs/>
        </w:rPr>
        <w:t xml:space="preserve">днако желающие осуществить приобретение указанного </w:t>
      </w:r>
      <w:r w:rsidRPr="00E91FE5">
        <w:rPr>
          <w:rFonts w:eastAsia="Calibri"/>
          <w:bCs/>
        </w:rPr>
        <w:t xml:space="preserve">имущества </w:t>
      </w:r>
      <w:r w:rsidR="00E91FE5" w:rsidRPr="00E91FE5">
        <w:rPr>
          <w:rFonts w:eastAsia="Calibri"/>
          <w:bCs/>
        </w:rPr>
        <w:t xml:space="preserve">до настоящего времени </w:t>
      </w:r>
      <w:r w:rsidR="00946102">
        <w:rPr>
          <w:rFonts w:eastAsia="Calibri"/>
          <w:bCs/>
        </w:rPr>
        <w:t>отсутствуют.</w:t>
      </w:r>
    </w:p>
    <w:p w:rsidR="00BF7C1B" w:rsidRDefault="00196A6D" w:rsidP="00F008D3">
      <w:pPr>
        <w:ind w:firstLine="680"/>
        <w:jc w:val="both"/>
      </w:pPr>
      <w:r w:rsidRPr="00B3031A">
        <w:rPr>
          <w:rFonts w:eastAsia="Calibri"/>
          <w:bCs/>
        </w:rPr>
        <w:t>Основной проблемой в освоении инвестиционной площадки «Ерзовка»</w:t>
      </w:r>
      <w:r w:rsidRPr="00B3031A">
        <w:rPr>
          <w:rFonts w:eastAsia="Calibri"/>
          <w:b/>
          <w:bCs/>
        </w:rPr>
        <w:t xml:space="preserve"> </w:t>
      </w:r>
      <w:r w:rsidRPr="00B3031A">
        <w:rPr>
          <w:rFonts w:eastAsia="Calibri"/>
          <w:bCs/>
        </w:rPr>
        <w:t>является отсутствие необходимой инженерной инфраструктуры, подведение которой требует значительного объема инвестиций. Финансирование мероприятий по обеспечению инвестиционной площадки необходимой инженерной инфраструктурой предполагается за счет участия Корпорации развития в федеральных и региональных программах с целью получения субсидий.</w:t>
      </w:r>
      <w:r w:rsidR="00550383">
        <w:rPr>
          <w:rFonts w:eastAsia="Calibri"/>
          <w:bCs/>
        </w:rPr>
        <w:t xml:space="preserve"> </w:t>
      </w:r>
      <w:r w:rsidR="00550383" w:rsidRPr="007E1DC1">
        <w:rPr>
          <w:rFonts w:eastAsia="Calibri"/>
          <w:bCs/>
        </w:rPr>
        <w:t>Заявк</w:t>
      </w:r>
      <w:r w:rsidR="007E1DC1" w:rsidRPr="007E1DC1">
        <w:rPr>
          <w:rFonts w:eastAsia="Calibri"/>
          <w:bCs/>
        </w:rPr>
        <w:t>а</w:t>
      </w:r>
      <w:r w:rsidR="00550383" w:rsidRPr="007E1DC1">
        <w:rPr>
          <w:rFonts w:eastAsia="Calibri"/>
          <w:bCs/>
        </w:rPr>
        <w:t xml:space="preserve"> на получение субсидии не направлял</w:t>
      </w:r>
      <w:r w:rsidR="007E1DC1" w:rsidRPr="007E1DC1">
        <w:rPr>
          <w:rFonts w:eastAsia="Calibri"/>
          <w:bCs/>
        </w:rPr>
        <w:t>а</w:t>
      </w:r>
      <w:r w:rsidR="00550383" w:rsidRPr="007E1DC1">
        <w:rPr>
          <w:rFonts w:eastAsia="Calibri"/>
          <w:bCs/>
        </w:rPr>
        <w:t>сь, так как не выполнен ряд требований для ее получения (в т.ч. отсутствие проектно - сметной документации на создание инженерной инфраструктуры).</w:t>
      </w:r>
      <w:r w:rsidR="00550383">
        <w:rPr>
          <w:rFonts w:eastAsia="Calibri"/>
          <w:bCs/>
        </w:rPr>
        <w:t xml:space="preserve"> </w:t>
      </w:r>
      <w:r w:rsidRPr="00B3031A">
        <w:rPr>
          <w:rFonts w:eastAsia="Calibri"/>
          <w:bCs/>
        </w:rPr>
        <w:t xml:space="preserve"> </w:t>
      </w:r>
    </w:p>
    <w:p w:rsidR="0081442F" w:rsidRDefault="0006181F" w:rsidP="00713582">
      <w:pPr>
        <w:ind w:firstLine="680"/>
        <w:jc w:val="both"/>
      </w:pPr>
      <w:r>
        <w:t>Согласно Отчету о финансовых результатах расходы Корпорации развития (себестоимость продаж, управленческие расходы, проценты к уплате, прочие расходы) за 2017</w:t>
      </w:r>
      <w:r w:rsidR="000D3DB4">
        <w:t>-</w:t>
      </w:r>
      <w:r>
        <w:t xml:space="preserve">2018 годы и </w:t>
      </w:r>
      <w:r>
        <w:rPr>
          <w:lang w:val="en-US"/>
        </w:rPr>
        <w:t>I</w:t>
      </w:r>
      <w:r w:rsidRPr="0006181F">
        <w:t xml:space="preserve"> </w:t>
      </w:r>
      <w:r>
        <w:t xml:space="preserve">квартал </w:t>
      </w:r>
      <w:r w:rsidRPr="0006181F">
        <w:t xml:space="preserve">2019 </w:t>
      </w:r>
      <w:r>
        <w:t xml:space="preserve">года составили </w:t>
      </w:r>
      <w:r w:rsidR="00B117E3">
        <w:t xml:space="preserve">в целом </w:t>
      </w:r>
      <w:r>
        <w:t xml:space="preserve">28,2 млн. руб., 28,9 млн. руб. и 9,7 млн. руб. соответственно. </w:t>
      </w:r>
      <w:r w:rsidR="00C4526C">
        <w:t>Наибольшую долю в расходах занима</w:t>
      </w:r>
      <w:r w:rsidR="003E59E9">
        <w:t>ли</w:t>
      </w:r>
      <w:r w:rsidR="00713582">
        <w:t>:</w:t>
      </w:r>
      <w:r w:rsidR="00C4526C">
        <w:t xml:space="preserve"> </w:t>
      </w:r>
    </w:p>
    <w:p w:rsidR="00D35A53" w:rsidRDefault="0081442F" w:rsidP="00713582">
      <w:pPr>
        <w:ind w:firstLine="680"/>
        <w:jc w:val="both"/>
      </w:pPr>
      <w:r>
        <w:t xml:space="preserve">- </w:t>
      </w:r>
      <w:r w:rsidR="00C4526C">
        <w:t xml:space="preserve">в 2017 году </w:t>
      </w:r>
      <w:r w:rsidR="00D35A53">
        <w:t xml:space="preserve">- расходы, связанные с реализацией объектов недвижимого имущества по проезду </w:t>
      </w:r>
      <w:proofErr w:type="spellStart"/>
      <w:r w:rsidR="00D35A53">
        <w:t>Тайшетс</w:t>
      </w:r>
      <w:r w:rsidR="00C345D1">
        <w:t>кий</w:t>
      </w:r>
      <w:proofErr w:type="spellEnd"/>
      <w:r w:rsidR="00C345D1">
        <w:t>, 5 и ул. им. Котовского, 43, в размере</w:t>
      </w:r>
      <w:r w:rsidR="00D35A53">
        <w:t xml:space="preserve"> 13,2 млн. руб. (50% от общей суммы расходов</w:t>
      </w:r>
      <w:r>
        <w:t xml:space="preserve">), расходы на заработную плату сотрудников с начислениями - 5,9 млн. руб. (20,8%), проценты по заемным средствам </w:t>
      </w:r>
      <w:r w:rsidR="00500ADF">
        <w:t>-</w:t>
      </w:r>
      <w:r>
        <w:t xml:space="preserve"> 2,9 млн. руб. (10,4%);</w:t>
      </w:r>
    </w:p>
    <w:p w:rsidR="00C345D1" w:rsidRDefault="0081442F" w:rsidP="00713582">
      <w:pPr>
        <w:ind w:firstLine="680"/>
        <w:jc w:val="both"/>
      </w:pPr>
      <w:r>
        <w:t>- в 2018 году - расходы на содержание здания по пр. Жукова, 3 (с учетом комплектования его офисной мебелью) в размере 12,9 млн. руб. (</w:t>
      </w:r>
      <w:r w:rsidR="00C345D1">
        <w:t xml:space="preserve">44,5%), проценты по заемным средствам </w:t>
      </w:r>
      <w:r w:rsidR="00500ADF">
        <w:t>-</w:t>
      </w:r>
      <w:r w:rsidR="00C345D1">
        <w:t xml:space="preserve"> 7,9 млн. руб. (27,5%)</w:t>
      </w:r>
      <w:r w:rsidR="00500ADF">
        <w:t>.</w:t>
      </w:r>
    </w:p>
    <w:p w:rsidR="00713582" w:rsidRPr="00713582" w:rsidRDefault="00BD615F" w:rsidP="00BD615F">
      <w:pPr>
        <w:autoSpaceDE w:val="0"/>
        <w:autoSpaceDN w:val="0"/>
        <w:adjustRightInd w:val="0"/>
        <w:ind w:firstLine="680"/>
        <w:jc w:val="both"/>
      </w:pPr>
      <w:r w:rsidRPr="00713582">
        <w:t>В 2017</w:t>
      </w:r>
      <w:r w:rsidR="00713582" w:rsidRPr="00713582">
        <w:t xml:space="preserve">-2018 годах </w:t>
      </w:r>
      <w:r w:rsidRPr="00713582">
        <w:t xml:space="preserve">средняя заработная плата работников Корпорации развития (без учета руководства) составила </w:t>
      </w:r>
      <w:r w:rsidR="00713582" w:rsidRPr="00713582">
        <w:t xml:space="preserve">соответственно </w:t>
      </w:r>
      <w:r w:rsidRPr="00713582">
        <w:t>33,2 тыс. руб.</w:t>
      </w:r>
      <w:r w:rsidR="00713582" w:rsidRPr="00713582">
        <w:t xml:space="preserve"> и 34,6 тыс. руб.</w:t>
      </w:r>
      <w:r w:rsidRPr="00713582">
        <w:t>, средняя зарплата руководства (руководителя, заместителей руководителя, главного бухгалтера) – 61,6 тыс. руб.</w:t>
      </w:r>
      <w:r w:rsidR="00713582" w:rsidRPr="00713582">
        <w:t xml:space="preserve"> и </w:t>
      </w:r>
      <w:r w:rsidRPr="00713582">
        <w:t>68,0 тыс. руб</w:t>
      </w:r>
      <w:r w:rsidR="00713582" w:rsidRPr="00713582">
        <w:t>. соответственно.</w:t>
      </w:r>
    </w:p>
    <w:p w:rsidR="00716EE5" w:rsidRPr="00BD615F" w:rsidRDefault="00716EE5" w:rsidP="00716EE5">
      <w:pPr>
        <w:ind w:firstLine="680"/>
        <w:jc w:val="both"/>
        <w:rPr>
          <w:b/>
        </w:rPr>
      </w:pPr>
      <w:r>
        <w:rPr>
          <w:rFonts w:eastAsia="Calibri"/>
          <w:bCs/>
        </w:rPr>
        <w:t xml:space="preserve">Выборочной проверкой расходов Корпорации развития установлено, что </w:t>
      </w:r>
      <w:r>
        <w:rPr>
          <w:noProof/>
        </w:rPr>
        <w:t>в</w:t>
      </w:r>
      <w:r w:rsidRPr="00513A62">
        <w:rPr>
          <w:noProof/>
        </w:rPr>
        <w:t xml:space="preserve"> 2017 году </w:t>
      </w:r>
      <w:r>
        <w:rPr>
          <w:noProof/>
        </w:rPr>
        <w:t xml:space="preserve">произведены </w:t>
      </w:r>
      <w:r w:rsidRPr="00B9056A">
        <w:rPr>
          <w:noProof/>
        </w:rPr>
        <w:t>экономически</w:t>
      </w:r>
      <w:r>
        <w:rPr>
          <w:noProof/>
        </w:rPr>
        <w:t xml:space="preserve"> неоправданные расходы (не удовлетворяющие </w:t>
      </w:r>
      <w:r w:rsidRPr="00B9056A">
        <w:rPr>
          <w:noProof/>
        </w:rPr>
        <w:t>приниципу рациональности</w:t>
      </w:r>
      <w:r>
        <w:rPr>
          <w:noProof/>
        </w:rPr>
        <w:t xml:space="preserve">) по оплате </w:t>
      </w:r>
      <w:r w:rsidRPr="00513A62">
        <w:rPr>
          <w:noProof/>
        </w:rPr>
        <w:t>юридических услуг (юридическое сопровождение текущей деятельности Корпорации развития)</w:t>
      </w:r>
      <w:r>
        <w:rPr>
          <w:noProof/>
        </w:rPr>
        <w:t xml:space="preserve">, оказанных </w:t>
      </w:r>
      <w:r w:rsidRPr="00513A62">
        <w:rPr>
          <w:noProof/>
        </w:rPr>
        <w:t>ИП Ненашевым М.М.</w:t>
      </w:r>
      <w:r>
        <w:rPr>
          <w:noProof/>
        </w:rPr>
        <w:t xml:space="preserve"> на общую сумму 499,0 тыс. рублей. Указанные расходы </w:t>
      </w:r>
      <w:r w:rsidRPr="00513A62">
        <w:rPr>
          <w:noProof/>
        </w:rPr>
        <w:t>производились при наличии в штате юристконсульта и юриста отдела по взаимодействию с</w:t>
      </w:r>
      <w:r>
        <w:rPr>
          <w:noProof/>
        </w:rPr>
        <w:t xml:space="preserve"> органами исполнительной власти, в должностные обязанности которых согласно должностным инструкциям входило</w:t>
      </w:r>
      <w:r w:rsidRPr="00513A62">
        <w:rPr>
          <w:noProof/>
        </w:rPr>
        <w:t>, в т</w:t>
      </w:r>
      <w:r>
        <w:rPr>
          <w:noProof/>
        </w:rPr>
        <w:t>.ч.</w:t>
      </w:r>
      <w:r w:rsidRPr="00513A62">
        <w:rPr>
          <w:noProof/>
        </w:rPr>
        <w:t xml:space="preserve"> ведение договорной, претензионной, исковой работы, представление интересов Корпорации развития в суде, исполнение обязанностей по вопросам взаимодействия с органами исполнительной власти, консультация работников Корпорации развития по организационно-правовым и другим юридическим вопросам, то есть юридическое сопровождение текущей деятельности общества.</w:t>
      </w:r>
      <w:r w:rsidRPr="00850952">
        <w:rPr>
          <w:noProof/>
        </w:rPr>
        <w:t xml:space="preserve"> </w:t>
      </w:r>
      <w:r>
        <w:rPr>
          <w:noProof/>
        </w:rPr>
        <w:t>При этом в</w:t>
      </w:r>
      <w:r w:rsidRPr="00513A62">
        <w:rPr>
          <w:noProof/>
        </w:rPr>
        <w:t xml:space="preserve"> актах выполненных работ отсутствует информация об объемах и детализации выполненных исполнителем юридических услуг.</w:t>
      </w:r>
      <w:r w:rsidRPr="00850952">
        <w:rPr>
          <w:noProof/>
        </w:rPr>
        <w:t xml:space="preserve"> </w:t>
      </w:r>
      <w:r w:rsidRPr="00BD615F">
        <w:rPr>
          <w:noProof/>
        </w:rPr>
        <w:t>Как указано в договорах на оказание юридических услуг</w:t>
      </w:r>
      <w:r w:rsidR="00615B76">
        <w:rPr>
          <w:noProof/>
        </w:rPr>
        <w:t>,</w:t>
      </w:r>
      <w:r w:rsidRPr="00BD615F">
        <w:rPr>
          <w:noProof/>
        </w:rPr>
        <w:t xml:space="preserve"> они являются абонентскими, то есть оплата по договорам производится независимо от фактического предоставления услуг исполнителем.</w:t>
      </w:r>
    </w:p>
    <w:p w:rsidR="00716EE5" w:rsidRDefault="00716EE5" w:rsidP="00716EE5">
      <w:pPr>
        <w:ind w:firstLine="680"/>
        <w:jc w:val="both"/>
        <w:rPr>
          <w:rFonts w:ascii="Arial" w:hAnsi="Arial" w:cs="Arial"/>
        </w:rPr>
      </w:pPr>
      <w:r w:rsidRPr="00B92D6F">
        <w:rPr>
          <w:noProof/>
        </w:rPr>
        <w:t>При проверке расходов по капитальному ремонту здания по пр. Жукова,3, установлено, что при наличии случаев несвоевременного исполнения подрядчиками работ Корпорация развития не воспользовалась правом потребовать от подрядчика уплаты неустойки в размере 0,1% от цены договора за каждый день просрочки до момента фактического исполнения обязательства по договору, что предусмотрено условиями договоров.</w:t>
      </w:r>
      <w:bookmarkStart w:id="1" w:name="OLE_LINK9"/>
      <w:r w:rsidRPr="00B92D6F">
        <w:rPr>
          <w:noProof/>
        </w:rPr>
        <w:t xml:space="preserve"> </w:t>
      </w:r>
      <w:r w:rsidRPr="00B92D6F">
        <w:rPr>
          <w:color w:val="000000"/>
        </w:rPr>
        <w:t xml:space="preserve">По пояснению Корпорации развития неустойка не рассчитывалась и не предъявлялась подрядчикам в связи с выявлением дополнительных работ, не предусмотренных техническим заданием; внесением изменений в  проектно-сметную и рабочую документацию; проводимыми работами по гидроизоляции подвала, строительству </w:t>
      </w:r>
      <w:r w:rsidRPr="00B92D6F">
        <w:rPr>
          <w:color w:val="000000"/>
        </w:rPr>
        <w:lastRenderedPageBreak/>
        <w:t xml:space="preserve">сетей дренажа и проведению благоустройства вокруг здания. При этом Корпорация развития </w:t>
      </w:r>
      <w:r w:rsidR="008D6B83" w:rsidRPr="00B92D6F">
        <w:rPr>
          <w:color w:val="000000"/>
        </w:rPr>
        <w:t>не информировала</w:t>
      </w:r>
      <w:r w:rsidR="008D6B83" w:rsidRPr="008D6B83">
        <w:rPr>
          <w:color w:val="000000"/>
        </w:rPr>
        <w:t xml:space="preserve"> </w:t>
      </w:r>
      <w:r w:rsidR="008D6B83" w:rsidRPr="00B92D6F">
        <w:rPr>
          <w:color w:val="000000"/>
        </w:rPr>
        <w:t xml:space="preserve">подрядчиков </w:t>
      </w:r>
      <w:r w:rsidRPr="00B92D6F">
        <w:rPr>
          <w:color w:val="000000"/>
        </w:rPr>
        <w:t xml:space="preserve">в письменном виде о возможности продления срока работ, дополнительные соглашения к договорам подряда, изменяющие сроки выполнения работ, в большинстве случаев Корпорацией развития не заключались, что </w:t>
      </w:r>
      <w:r w:rsidRPr="00B92D6F">
        <w:t xml:space="preserve">может свидетельствовать об отсутствии напряженности в сроках исполнения работ, повлиявших на общий срок реализации  </w:t>
      </w:r>
      <w:r w:rsidR="00AA174E">
        <w:t>П</w:t>
      </w:r>
      <w:r w:rsidRPr="00B92D6F">
        <w:t>роекта</w:t>
      </w:r>
      <w:r w:rsidR="00AA174E">
        <w:t>.</w:t>
      </w:r>
    </w:p>
    <w:bookmarkEnd w:id="1"/>
    <w:p w:rsidR="00EF6396" w:rsidRDefault="00E52DB9" w:rsidP="00EF6396">
      <w:pPr>
        <w:ind w:firstLine="680"/>
        <w:jc w:val="both"/>
      </w:pPr>
      <w:r>
        <w:t>Корпорация развития является плательщико</w:t>
      </w:r>
      <w:r w:rsidR="003E59E9">
        <w:t>м</w:t>
      </w:r>
      <w:r>
        <w:t xml:space="preserve"> единого налога, уплачиваемого в связи с применением упрощенной системы налогообложения</w:t>
      </w:r>
      <w:r w:rsidR="00BF22B1">
        <w:t xml:space="preserve"> (далее </w:t>
      </w:r>
      <w:r w:rsidR="007E0CD7">
        <w:t>-</w:t>
      </w:r>
      <w:r w:rsidR="00BF22B1">
        <w:t xml:space="preserve"> УСН)</w:t>
      </w:r>
      <w:r w:rsidR="00EF6396">
        <w:t>.</w:t>
      </w:r>
      <w:r w:rsidR="00EF6396" w:rsidRPr="00EF6396">
        <w:t xml:space="preserve"> </w:t>
      </w:r>
      <w:r w:rsidR="00EF6396">
        <w:t>Объектом налогообложения являются «доходы»</w:t>
      </w:r>
      <w:r w:rsidR="003E706B">
        <w:t>.</w:t>
      </w:r>
      <w:r w:rsidR="00EF6396">
        <w:t xml:space="preserve"> В </w:t>
      </w:r>
      <w:r w:rsidR="00EF6396" w:rsidRPr="009A48F1">
        <w:t>2018 году сумма исчисленного налога по ставке 6% составила 1,1 млн. руб., что в 2,5 раза больше</w:t>
      </w:r>
      <w:r w:rsidR="00B92D6F">
        <w:t>,</w:t>
      </w:r>
      <w:r w:rsidR="00EF6396" w:rsidRPr="009A48F1">
        <w:t xml:space="preserve"> чем за 2017 год (0,4 млн. руб.)</w:t>
      </w:r>
      <w:r w:rsidR="00EF6396">
        <w:t xml:space="preserve"> в связи </w:t>
      </w:r>
      <w:r w:rsidR="00EF6396" w:rsidRPr="00732B23">
        <w:t>с поступлением в 2018 году доходов от сдачи в аренду помещений</w:t>
      </w:r>
      <w:r w:rsidR="003E706B">
        <w:t>.</w:t>
      </w:r>
    </w:p>
    <w:p w:rsidR="00E52DB9" w:rsidRDefault="00E52DB9" w:rsidP="00E52DB9">
      <w:pPr>
        <w:ind w:firstLine="680"/>
        <w:jc w:val="both"/>
      </w:pPr>
      <w:r>
        <w:t>В нижеприведенной таблице представлена информация о финансовом результате Корпорации развития за 2017-2018 годы и 1 квартал 2019 года.</w:t>
      </w:r>
    </w:p>
    <w:p w:rsidR="00E52DB9" w:rsidRPr="002D6BF9" w:rsidRDefault="00E52DB9" w:rsidP="00E52DB9">
      <w:pPr>
        <w:ind w:firstLine="709"/>
        <w:jc w:val="center"/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Pr="002D6BF9">
        <w:rPr>
          <w:sz w:val="22"/>
          <w:szCs w:val="22"/>
        </w:rPr>
        <w:t>тыс. руб.</w:t>
      </w:r>
    </w:p>
    <w:tbl>
      <w:tblPr>
        <w:tblW w:w="9510" w:type="dxa"/>
        <w:tblInd w:w="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690"/>
        <w:gridCol w:w="1134"/>
        <w:gridCol w:w="1050"/>
        <w:gridCol w:w="1276"/>
        <w:gridCol w:w="1418"/>
      </w:tblGrid>
      <w:tr w:rsidR="00E52DB9" w:rsidRPr="00574C62" w:rsidTr="00E52DB9">
        <w:trPr>
          <w:trHeight w:val="491"/>
        </w:trPr>
        <w:tc>
          <w:tcPr>
            <w:tcW w:w="4690" w:type="dxa"/>
            <w:shd w:val="clear" w:color="auto" w:fill="EAF1DD" w:themeFill="accent3" w:themeFillTint="33"/>
            <w:noWrap/>
            <w:vAlign w:val="center"/>
            <w:hideMark/>
          </w:tcPr>
          <w:p w:rsidR="00E52DB9" w:rsidRPr="00A8437F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8437F">
              <w:rPr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EAF1DD" w:themeFill="accent3" w:themeFillTint="33"/>
            <w:noWrap/>
            <w:vAlign w:val="center"/>
            <w:hideMark/>
          </w:tcPr>
          <w:p w:rsidR="00E52DB9" w:rsidRPr="00A8437F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8437F">
              <w:rPr>
                <w:b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992" w:type="dxa"/>
            <w:shd w:val="clear" w:color="auto" w:fill="EAF1DD" w:themeFill="accent3" w:themeFillTint="33"/>
            <w:noWrap/>
            <w:vAlign w:val="center"/>
            <w:hideMark/>
          </w:tcPr>
          <w:p w:rsidR="00E52DB9" w:rsidRPr="00A8437F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8437F">
              <w:rPr>
                <w:b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  <w:hideMark/>
          </w:tcPr>
          <w:p w:rsidR="00E52DB9" w:rsidRPr="00A8437F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8437F">
              <w:rPr>
                <w:b/>
                <w:color w:val="000000"/>
                <w:sz w:val="18"/>
                <w:szCs w:val="18"/>
              </w:rPr>
              <w:t>Рост 2018 к 2017 г., %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  <w:hideMark/>
          </w:tcPr>
          <w:p w:rsidR="00E52DB9" w:rsidRPr="00A8437F" w:rsidRDefault="00E52DB9" w:rsidP="00E52DB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8437F">
              <w:rPr>
                <w:b/>
                <w:color w:val="000000"/>
                <w:sz w:val="18"/>
                <w:szCs w:val="18"/>
              </w:rPr>
              <w:t>1 кв. 2019 года</w:t>
            </w:r>
          </w:p>
        </w:tc>
      </w:tr>
      <w:tr w:rsidR="00E52DB9" w:rsidRPr="00574C62" w:rsidTr="00E52DB9">
        <w:trPr>
          <w:trHeight w:val="86"/>
        </w:trPr>
        <w:tc>
          <w:tcPr>
            <w:tcW w:w="46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2DB9" w:rsidRPr="00595680" w:rsidRDefault="00E52DB9" w:rsidP="00E52DB9">
            <w:pPr>
              <w:rPr>
                <w:iCs/>
                <w:color w:val="000000"/>
                <w:sz w:val="20"/>
                <w:szCs w:val="20"/>
              </w:rPr>
            </w:pPr>
            <w:r w:rsidRPr="00595680">
              <w:rPr>
                <w:iCs/>
                <w:color w:val="000000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DB9" w:rsidRPr="00595680" w:rsidRDefault="00E52DB9" w:rsidP="00E52DB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95680">
              <w:rPr>
                <w:iCs/>
                <w:color w:val="000000"/>
                <w:sz w:val="20"/>
                <w:szCs w:val="20"/>
              </w:rPr>
              <w:t>(2 098,0)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DB9" w:rsidRPr="00595680" w:rsidRDefault="00E52DB9" w:rsidP="00E52DB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95680">
              <w:rPr>
                <w:iCs/>
                <w:color w:val="000000"/>
                <w:sz w:val="20"/>
                <w:szCs w:val="20"/>
              </w:rPr>
              <w:t>(20 511,0)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DB9" w:rsidRPr="00595680" w:rsidRDefault="00E52DB9" w:rsidP="00E52DB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95680">
              <w:rPr>
                <w:iCs/>
                <w:color w:val="000000"/>
                <w:sz w:val="20"/>
                <w:szCs w:val="20"/>
              </w:rPr>
              <w:t>в 9,8 раза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DB9" w:rsidRPr="00595680" w:rsidRDefault="00E52DB9" w:rsidP="00E52DB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95680">
              <w:rPr>
                <w:iCs/>
                <w:color w:val="000000"/>
                <w:sz w:val="20"/>
                <w:szCs w:val="20"/>
              </w:rPr>
              <w:t>(1 436,0)</w:t>
            </w:r>
          </w:p>
        </w:tc>
      </w:tr>
      <w:tr w:rsidR="00E52DB9" w:rsidRPr="00574C62" w:rsidTr="00E52DB9">
        <w:trPr>
          <w:trHeight w:val="181"/>
        </w:trPr>
        <w:tc>
          <w:tcPr>
            <w:tcW w:w="46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52DB9" w:rsidRPr="00595680" w:rsidRDefault="00E52DB9" w:rsidP="00E52DB9">
            <w:pPr>
              <w:rPr>
                <w:iCs/>
                <w:color w:val="000000"/>
                <w:sz w:val="20"/>
                <w:szCs w:val="20"/>
              </w:rPr>
            </w:pPr>
            <w:r w:rsidRPr="00595680">
              <w:rPr>
                <w:iCs/>
                <w:color w:val="000000"/>
                <w:sz w:val="20"/>
                <w:szCs w:val="20"/>
              </w:rPr>
              <w:t>Чистая прибыль (убыток)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DB9" w:rsidRPr="00595680" w:rsidRDefault="00E52DB9" w:rsidP="00E52DB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95680">
              <w:rPr>
                <w:iCs/>
                <w:color w:val="000000"/>
                <w:sz w:val="20"/>
                <w:szCs w:val="20"/>
              </w:rPr>
              <w:t>(2 530,0)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DB9" w:rsidRPr="00595680" w:rsidRDefault="00E52DB9" w:rsidP="00E52DB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95680">
              <w:rPr>
                <w:iCs/>
                <w:color w:val="000000"/>
                <w:sz w:val="20"/>
                <w:szCs w:val="20"/>
              </w:rPr>
              <w:t>(21 589,0)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DB9" w:rsidRPr="00595680" w:rsidRDefault="00E52DB9" w:rsidP="00E52DB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95680">
              <w:rPr>
                <w:iCs/>
                <w:color w:val="000000"/>
                <w:sz w:val="20"/>
                <w:szCs w:val="20"/>
              </w:rPr>
              <w:t>в 8,5 раз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DB9" w:rsidRPr="00595680" w:rsidRDefault="00E52DB9" w:rsidP="00E52DB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595680">
              <w:rPr>
                <w:iCs/>
                <w:color w:val="000000"/>
                <w:sz w:val="20"/>
                <w:szCs w:val="20"/>
              </w:rPr>
              <w:t>(1 493,0)</w:t>
            </w:r>
          </w:p>
        </w:tc>
      </w:tr>
    </w:tbl>
    <w:p w:rsidR="00E52DB9" w:rsidRDefault="009A48F1" w:rsidP="00E52DB9">
      <w:pPr>
        <w:ind w:firstLine="680"/>
        <w:jc w:val="both"/>
      </w:pPr>
      <w:r>
        <w:t>В</w:t>
      </w:r>
      <w:r w:rsidR="00E52DB9">
        <w:t xml:space="preserve"> результате финансово-хозяйственной деятельности Корпорации развития по итогам 2017-2018 годов, а также 1 квартала 2019 года образовались убытки</w:t>
      </w:r>
      <w:r w:rsidR="00E52DB9" w:rsidRPr="00450006">
        <w:t xml:space="preserve"> </w:t>
      </w:r>
      <w:r w:rsidR="00E52DB9">
        <w:t xml:space="preserve">(за 2016 год убыток общества до налогообложения </w:t>
      </w:r>
      <w:r w:rsidR="00E52DB9" w:rsidRPr="00A3228E">
        <w:t>составил 2</w:t>
      </w:r>
      <w:r w:rsidR="002D6BF9">
        <w:t>,6 млн.</w:t>
      </w:r>
      <w:r w:rsidR="00E52DB9" w:rsidRPr="00A3228E">
        <w:t xml:space="preserve"> руб.</w:t>
      </w:r>
      <w:r w:rsidR="00E52DB9">
        <w:t xml:space="preserve">, чистый убыток </w:t>
      </w:r>
      <w:r w:rsidR="002D6BF9">
        <w:t>–</w:t>
      </w:r>
      <w:r w:rsidR="00E52DB9">
        <w:t xml:space="preserve"> </w:t>
      </w:r>
      <w:r w:rsidR="002D6BF9">
        <w:t>3,0 млн.</w:t>
      </w:r>
      <w:r w:rsidR="00E52DB9">
        <w:t xml:space="preserve"> руб.), что свидетельствует о неустойчивом финансовом положении Корпорации развития</w:t>
      </w:r>
      <w:r w:rsidR="00615B76">
        <w:t>.</w:t>
      </w:r>
      <w:r w:rsidR="00E52DB9">
        <w:t xml:space="preserve"> </w:t>
      </w:r>
    </w:p>
    <w:p w:rsidR="00E52DB9" w:rsidRDefault="00E52DB9" w:rsidP="00E52DB9">
      <w:pPr>
        <w:pStyle w:val="ConsPlusNormal"/>
        <w:ind w:firstLine="680"/>
        <w:jc w:val="both"/>
      </w:pPr>
      <w:r w:rsidRPr="00524845">
        <w:t xml:space="preserve">В </w:t>
      </w:r>
      <w:r w:rsidR="009A48F1">
        <w:t>с</w:t>
      </w:r>
      <w:r w:rsidRPr="00524845">
        <w:t xml:space="preserve">вязи с получением убытков в </w:t>
      </w:r>
      <w:r w:rsidR="009A48F1">
        <w:t>2017-</w:t>
      </w:r>
      <w:r w:rsidRPr="00524845">
        <w:t>2018 год</w:t>
      </w:r>
      <w:r w:rsidR="009A48F1">
        <w:t>ах</w:t>
      </w:r>
      <w:r w:rsidRPr="00524845">
        <w:t xml:space="preserve"> решения о выплате дивидендов не принимал</w:t>
      </w:r>
      <w:r w:rsidR="009A48F1">
        <w:t>и</w:t>
      </w:r>
      <w:r w:rsidRPr="00524845">
        <w:t>сь.</w:t>
      </w:r>
    </w:p>
    <w:p w:rsidR="00672AA5" w:rsidRDefault="00672AA5" w:rsidP="00E52DB9">
      <w:pPr>
        <w:ind w:firstLine="680"/>
        <w:jc w:val="both"/>
        <w:rPr>
          <w:rFonts w:eastAsia="Calibri"/>
          <w:bCs/>
        </w:rPr>
      </w:pPr>
    </w:p>
    <w:p w:rsidR="005A68EC" w:rsidRDefault="005A68EC" w:rsidP="005A68EC">
      <w:pPr>
        <w:pStyle w:val="ConsPlusNormal"/>
        <w:ind w:firstLine="680"/>
        <w:jc w:val="center"/>
        <w:rPr>
          <w:b/>
        </w:rPr>
      </w:pPr>
      <w:r w:rsidRPr="00512D81">
        <w:rPr>
          <w:b/>
        </w:rPr>
        <w:t>Деятельность Корпорации развития</w:t>
      </w:r>
      <w:r>
        <w:rPr>
          <w:b/>
        </w:rPr>
        <w:t xml:space="preserve"> по привлечению инвестиций в экономику Волгоградской области и созданию организаций</w:t>
      </w:r>
    </w:p>
    <w:p w:rsidR="005A68EC" w:rsidRDefault="005A68EC" w:rsidP="005A68EC">
      <w:pPr>
        <w:pStyle w:val="a9"/>
        <w:tabs>
          <w:tab w:val="left" w:pos="4005"/>
        </w:tabs>
        <w:ind w:left="0" w:firstLine="680"/>
        <w:jc w:val="both"/>
      </w:pPr>
      <w:r w:rsidRPr="00117A3E">
        <w:t>В проверяемом периоде Корпорация развития являлась участником/уч</w:t>
      </w:r>
      <w:r>
        <w:t>редителем 6-ти юридических лиц, из которых:</w:t>
      </w:r>
    </w:p>
    <w:p w:rsidR="005A68EC" w:rsidRDefault="005A68EC" w:rsidP="005A68EC">
      <w:pPr>
        <w:pStyle w:val="a9"/>
        <w:tabs>
          <w:tab w:val="left" w:pos="4005"/>
        </w:tabs>
        <w:ind w:left="0" w:firstLine="680"/>
        <w:jc w:val="both"/>
      </w:pPr>
      <w:r>
        <w:t>- д</w:t>
      </w:r>
      <w:r w:rsidRPr="00117A3E">
        <w:t>еятельность ООО «</w:t>
      </w:r>
      <w:proofErr w:type="spellStart"/>
      <w:r w:rsidRPr="00117A3E">
        <w:t>Агрополис-Инвест</w:t>
      </w:r>
      <w:proofErr w:type="spellEnd"/>
      <w:r w:rsidRPr="00117A3E">
        <w:t>»</w:t>
      </w:r>
      <w:r w:rsidRPr="00CE067E">
        <w:t xml:space="preserve"> </w:t>
      </w:r>
      <w:r w:rsidRPr="00117A3E">
        <w:t>(доля</w:t>
      </w:r>
      <w:r>
        <w:t xml:space="preserve"> участия</w:t>
      </w:r>
      <w:r w:rsidRPr="00117A3E">
        <w:t xml:space="preserve"> 10 %)</w:t>
      </w:r>
      <w:r>
        <w:t xml:space="preserve"> </w:t>
      </w:r>
      <w:r w:rsidRPr="00117A3E">
        <w:t>с 28.01.2019 прекращена</w:t>
      </w:r>
      <w:r>
        <w:t>;</w:t>
      </w:r>
    </w:p>
    <w:p w:rsidR="005A68EC" w:rsidRDefault="005A68EC" w:rsidP="005A68EC">
      <w:pPr>
        <w:pStyle w:val="a9"/>
        <w:tabs>
          <w:tab w:val="left" w:pos="4005"/>
        </w:tabs>
        <w:ind w:left="0" w:firstLine="680"/>
        <w:jc w:val="both"/>
      </w:pPr>
      <w:r>
        <w:t>-</w:t>
      </w:r>
      <w:r w:rsidRPr="007C438B">
        <w:t xml:space="preserve"> </w:t>
      </w:r>
      <w:r>
        <w:t>в отношении НП</w:t>
      </w:r>
      <w:r w:rsidRPr="00117A3E">
        <w:t xml:space="preserve"> «Социально-экономическое развитие Волгоградской области</w:t>
      </w:r>
      <w:r>
        <w:t>» (учредитель) налоговым органом</w:t>
      </w:r>
      <w:r w:rsidRPr="00117A3E">
        <w:t xml:space="preserve"> принято решение от 01.04.2019 о предстоящем исключении юридического лица из ЕГ</w:t>
      </w:r>
      <w:r>
        <w:t>Р</w:t>
      </w:r>
      <w:r w:rsidRPr="00117A3E">
        <w:t>ЮЛ</w:t>
      </w:r>
      <w:r>
        <w:t>;</w:t>
      </w:r>
    </w:p>
    <w:p w:rsidR="005A68EC" w:rsidRDefault="005A68EC" w:rsidP="005A68EC">
      <w:pPr>
        <w:pStyle w:val="a9"/>
        <w:tabs>
          <w:tab w:val="left" w:pos="4005"/>
        </w:tabs>
        <w:ind w:left="0" w:firstLine="680"/>
        <w:jc w:val="both"/>
      </w:pPr>
      <w:r>
        <w:t>- п</w:t>
      </w:r>
      <w:r w:rsidRPr="00117A3E">
        <w:t xml:space="preserve">о распоряжению КУГИ от 10.02.2017 Корпорация развития прекратила трехгодичное участие в </w:t>
      </w:r>
      <w:r w:rsidRPr="0085396B">
        <w:t>Фонде</w:t>
      </w:r>
      <w:r>
        <w:t>, где она являлась учредителем;</w:t>
      </w:r>
    </w:p>
    <w:p w:rsidR="005A68EC" w:rsidRDefault="005A68EC" w:rsidP="005A68EC">
      <w:pPr>
        <w:pStyle w:val="a9"/>
        <w:tabs>
          <w:tab w:val="left" w:pos="4005"/>
        </w:tabs>
        <w:ind w:left="0" w:firstLine="680"/>
        <w:jc w:val="both"/>
      </w:pPr>
      <w:r>
        <w:t>-</w:t>
      </w:r>
      <w:r w:rsidRPr="00117A3E">
        <w:t xml:space="preserve"> одним из учредителей </w:t>
      </w:r>
      <w:r>
        <w:t xml:space="preserve">ООО «Корпорация Красный октябрь» (доля 49%) Корпорация развития являлась непродолжительное время (9 дней). </w:t>
      </w:r>
    </w:p>
    <w:p w:rsidR="005A68EC" w:rsidRDefault="005A68EC" w:rsidP="005A68EC">
      <w:pPr>
        <w:pStyle w:val="a9"/>
        <w:tabs>
          <w:tab w:val="left" w:pos="4005"/>
        </w:tabs>
        <w:ind w:left="0" w:firstLine="680"/>
        <w:jc w:val="both"/>
      </w:pPr>
      <w:r>
        <w:t xml:space="preserve">В настоящее время Корпорация развития является участником/учредителем двух </w:t>
      </w:r>
      <w:r w:rsidRPr="00E97F60">
        <w:t>действующих</w:t>
      </w:r>
      <w:r>
        <w:t xml:space="preserve"> организаций: ООО «Сталинград» (доля 5%) </w:t>
      </w:r>
      <w:proofErr w:type="gramStart"/>
      <w:r>
        <w:t>и ООО</w:t>
      </w:r>
      <w:proofErr w:type="gramEnd"/>
      <w:r>
        <w:t xml:space="preserve"> «Развитие» (доля 85%).</w:t>
      </w:r>
    </w:p>
    <w:p w:rsidR="005A68EC" w:rsidRPr="00117A3E" w:rsidRDefault="005A68EC" w:rsidP="005A68EC">
      <w:pPr>
        <w:pStyle w:val="a9"/>
        <w:tabs>
          <w:tab w:val="left" w:pos="4005"/>
        </w:tabs>
        <w:ind w:left="0" w:firstLine="680"/>
        <w:jc w:val="both"/>
        <w:rPr>
          <w:rFonts w:eastAsia="Calibri"/>
          <w:color w:val="E36C0A" w:themeColor="accent6" w:themeShade="BF"/>
        </w:rPr>
      </w:pPr>
      <w:r w:rsidRPr="00323311">
        <w:t>Св</w:t>
      </w:r>
      <w:r w:rsidRPr="00117A3E">
        <w:t>едения о</w:t>
      </w:r>
      <w:r>
        <w:t>б указанных</w:t>
      </w:r>
      <w:r w:rsidRPr="00117A3E">
        <w:t xml:space="preserve"> юридических лицах представлены </w:t>
      </w:r>
      <w:r w:rsidRPr="00461B1E">
        <w:t xml:space="preserve">в </w:t>
      </w:r>
      <w:r w:rsidRPr="00461B1E">
        <w:rPr>
          <w:color w:val="17365D" w:themeColor="text2" w:themeShade="BF"/>
        </w:rPr>
        <w:t>приложении №</w:t>
      </w:r>
      <w:r w:rsidR="00461B1E" w:rsidRPr="00461B1E">
        <w:rPr>
          <w:color w:val="17365D" w:themeColor="text2" w:themeShade="BF"/>
        </w:rPr>
        <w:t xml:space="preserve"> 5</w:t>
      </w:r>
      <w:r w:rsidRPr="00461B1E">
        <w:t>.</w:t>
      </w:r>
    </w:p>
    <w:p w:rsidR="005A68EC" w:rsidRDefault="005A68EC" w:rsidP="005A68EC">
      <w:pPr>
        <w:pStyle w:val="a9"/>
        <w:tabs>
          <w:tab w:val="left" w:pos="4005"/>
        </w:tabs>
        <w:ind w:left="0" w:firstLine="680"/>
        <w:jc w:val="both"/>
        <w:rPr>
          <w:rFonts w:eastAsia="Calibri"/>
        </w:rPr>
      </w:pPr>
      <w:proofErr w:type="gramStart"/>
      <w:r>
        <w:t>Проверкой установлено, что в</w:t>
      </w:r>
      <w:r w:rsidRPr="00117A3E">
        <w:rPr>
          <w:rFonts w:eastAsia="Calibri"/>
        </w:rPr>
        <w:t xml:space="preserve"> представленных Корпорацией развития документах</w:t>
      </w:r>
      <w:r>
        <w:rPr>
          <w:rFonts w:eastAsia="Calibri"/>
        </w:rPr>
        <w:t xml:space="preserve">, а также информации КУГИ на запрос КСП </w:t>
      </w:r>
      <w:r w:rsidRPr="00117A3E">
        <w:rPr>
          <w:rFonts w:eastAsia="Calibri"/>
        </w:rPr>
        <w:t>об обосновании принятия решения об участии</w:t>
      </w:r>
      <w:r>
        <w:rPr>
          <w:rFonts w:eastAsia="Calibri"/>
        </w:rPr>
        <w:t xml:space="preserve"> </w:t>
      </w:r>
      <w:r w:rsidRPr="00117A3E">
        <w:rPr>
          <w:rFonts w:eastAsia="Calibri"/>
        </w:rPr>
        <w:t xml:space="preserve"> Корпорации развития в созданных юридических лицах</w:t>
      </w:r>
      <w:r>
        <w:rPr>
          <w:rFonts w:eastAsia="Calibri"/>
        </w:rPr>
        <w:t>,</w:t>
      </w:r>
      <w:r w:rsidRPr="00117A3E">
        <w:rPr>
          <w:rFonts w:eastAsia="Calibri"/>
        </w:rPr>
        <w:t xml:space="preserve"> отсутствуют сведения, обосновывающие необходимость (целесообразность)</w:t>
      </w:r>
      <w:r>
        <w:rPr>
          <w:rFonts w:eastAsia="Calibri"/>
        </w:rPr>
        <w:t xml:space="preserve"> ее участия в этих организациях, за исключением </w:t>
      </w:r>
      <w:r w:rsidRPr="00117A3E">
        <w:rPr>
          <w:rFonts w:eastAsia="Calibri"/>
        </w:rPr>
        <w:t>ООО «Сталинград»</w:t>
      </w:r>
      <w:r>
        <w:rPr>
          <w:rFonts w:eastAsia="Calibri"/>
        </w:rPr>
        <w:t xml:space="preserve"> (доля 5%),</w:t>
      </w:r>
      <w:r w:rsidRPr="00491418">
        <w:rPr>
          <w:rFonts w:eastAsia="Calibri"/>
        </w:rPr>
        <w:t xml:space="preserve"> </w:t>
      </w:r>
      <w:r w:rsidRPr="00117A3E">
        <w:rPr>
          <w:rFonts w:eastAsia="Calibri"/>
        </w:rPr>
        <w:t>результат</w:t>
      </w:r>
      <w:r>
        <w:rPr>
          <w:rFonts w:eastAsia="Calibri"/>
        </w:rPr>
        <w:t>ом</w:t>
      </w:r>
      <w:r w:rsidRPr="00117A3E">
        <w:rPr>
          <w:rFonts w:eastAsia="Calibri"/>
        </w:rPr>
        <w:t xml:space="preserve"> участия </w:t>
      </w:r>
      <w:r>
        <w:rPr>
          <w:rFonts w:eastAsia="Calibri"/>
        </w:rPr>
        <w:t>в котором является</w:t>
      </w:r>
      <w:r w:rsidRPr="00117A3E">
        <w:rPr>
          <w:rFonts w:eastAsia="Calibri"/>
        </w:rPr>
        <w:t xml:space="preserve"> реализация совместного проекта «Оптово-распределительный центр для переработки, хранения и сбыта сельскохозяйственной продукции</w:t>
      </w:r>
      <w:proofErr w:type="gramEnd"/>
      <w:r w:rsidRPr="00117A3E">
        <w:rPr>
          <w:rFonts w:eastAsia="Calibri"/>
        </w:rPr>
        <w:t xml:space="preserve">» на территории </w:t>
      </w:r>
      <w:proofErr w:type="spellStart"/>
      <w:r w:rsidRPr="00117A3E">
        <w:rPr>
          <w:rFonts w:eastAsia="Calibri"/>
        </w:rPr>
        <w:t>Городищенского</w:t>
      </w:r>
      <w:proofErr w:type="spellEnd"/>
      <w:r w:rsidRPr="00117A3E">
        <w:rPr>
          <w:rFonts w:eastAsia="Calibri"/>
        </w:rPr>
        <w:t xml:space="preserve"> муниципального района Волгоградской области</w:t>
      </w:r>
      <w:r w:rsidRPr="000B41E8">
        <w:rPr>
          <w:rFonts w:eastAsia="Calibri"/>
        </w:rPr>
        <w:t xml:space="preserve"> </w:t>
      </w:r>
      <w:r>
        <w:rPr>
          <w:rFonts w:eastAsia="Calibri"/>
        </w:rPr>
        <w:t>(</w:t>
      </w:r>
      <w:r w:rsidRPr="00117A3E">
        <w:rPr>
          <w:rFonts w:eastAsia="Calibri"/>
        </w:rPr>
        <w:t>инвестор</w:t>
      </w:r>
      <w:r>
        <w:rPr>
          <w:rFonts w:eastAsia="Calibri"/>
        </w:rPr>
        <w:t xml:space="preserve">ом приостановлена </w:t>
      </w:r>
      <w:r w:rsidRPr="00117A3E">
        <w:rPr>
          <w:rFonts w:eastAsia="Calibri"/>
        </w:rPr>
        <w:t>реализаци</w:t>
      </w:r>
      <w:r>
        <w:rPr>
          <w:rFonts w:eastAsia="Calibri"/>
        </w:rPr>
        <w:t>я</w:t>
      </w:r>
      <w:r w:rsidRPr="00117A3E">
        <w:rPr>
          <w:rFonts w:eastAsia="Calibri"/>
        </w:rPr>
        <w:t xml:space="preserve"> проекта</w:t>
      </w:r>
      <w:r>
        <w:rPr>
          <w:rFonts w:eastAsia="Calibri"/>
        </w:rPr>
        <w:t xml:space="preserve"> по причине отсутствия финансирования</w:t>
      </w:r>
      <w:r w:rsidRPr="005A68EC">
        <w:rPr>
          <w:rFonts w:eastAsia="Calibri"/>
        </w:rPr>
        <w:t>).</w:t>
      </w:r>
      <w:r w:rsidRPr="00FA6207">
        <w:rPr>
          <w:rFonts w:eastAsia="Calibri"/>
          <w:highlight w:val="green"/>
        </w:rPr>
        <w:t xml:space="preserve"> </w:t>
      </w:r>
    </w:p>
    <w:p w:rsidR="005A68EC" w:rsidRPr="00117A3E" w:rsidRDefault="005A68EC" w:rsidP="005A68EC">
      <w:pPr>
        <w:pStyle w:val="a9"/>
        <w:tabs>
          <w:tab w:val="left" w:pos="4005"/>
        </w:tabs>
        <w:ind w:left="0" w:firstLine="680"/>
        <w:jc w:val="both"/>
      </w:pPr>
      <w:r w:rsidRPr="00117A3E">
        <w:t xml:space="preserve">Доходы от участия в вышеназванных организациях Корпорация развития не получала. </w:t>
      </w:r>
    </w:p>
    <w:p w:rsidR="005A68EC" w:rsidRPr="0085396B" w:rsidRDefault="005A68EC" w:rsidP="005A68EC">
      <w:pPr>
        <w:pStyle w:val="a9"/>
        <w:tabs>
          <w:tab w:val="left" w:pos="4005"/>
        </w:tabs>
        <w:ind w:left="0" w:firstLine="680"/>
        <w:jc w:val="both"/>
        <w:rPr>
          <w:i/>
        </w:rPr>
      </w:pPr>
      <w:r w:rsidRPr="00A636E8">
        <w:rPr>
          <w:rFonts w:eastAsia="Calibri"/>
          <w:i/>
        </w:rPr>
        <w:t>Таким образом, участие в юридических лицах в</w:t>
      </w:r>
      <w:r w:rsidRPr="00FA6207">
        <w:t xml:space="preserve"> </w:t>
      </w:r>
      <w:r w:rsidRPr="00FA6207">
        <w:rPr>
          <w:i/>
        </w:rPr>
        <w:t>проверенном периоде</w:t>
      </w:r>
      <w:r w:rsidRPr="00A636E8">
        <w:rPr>
          <w:rFonts w:eastAsia="Calibri"/>
          <w:i/>
        </w:rPr>
        <w:t xml:space="preserve"> результатов не принесло, </w:t>
      </w:r>
      <w:r w:rsidRPr="007E1DC1">
        <w:rPr>
          <w:rFonts w:eastAsia="Calibri"/>
          <w:i/>
        </w:rPr>
        <w:t>что</w:t>
      </w:r>
      <w:r w:rsidRPr="007E1DC1">
        <w:rPr>
          <w:rFonts w:eastAsia="Calibri"/>
        </w:rPr>
        <w:t xml:space="preserve"> </w:t>
      </w:r>
      <w:r w:rsidRPr="007E1DC1">
        <w:rPr>
          <w:i/>
        </w:rPr>
        <w:t xml:space="preserve">не </w:t>
      </w:r>
      <w:r w:rsidR="00785603" w:rsidRPr="007E1DC1">
        <w:rPr>
          <w:i/>
        </w:rPr>
        <w:t>соответствует п. 3.2 Устава, согласно которому общество может создавать юридические лица для  достижения основной цели – получени</w:t>
      </w:r>
      <w:r w:rsidR="00550383" w:rsidRPr="007E1DC1">
        <w:rPr>
          <w:i/>
        </w:rPr>
        <w:t>я</w:t>
      </w:r>
      <w:r w:rsidR="00785603" w:rsidRPr="007E1DC1">
        <w:rPr>
          <w:i/>
        </w:rPr>
        <w:t xml:space="preserve"> прибыли.</w:t>
      </w:r>
      <w:r w:rsidR="00785603">
        <w:rPr>
          <w:i/>
        </w:rPr>
        <w:t xml:space="preserve"> </w:t>
      </w:r>
    </w:p>
    <w:p w:rsidR="005A68EC" w:rsidRDefault="005A68EC" w:rsidP="005A68EC">
      <w:pPr>
        <w:autoSpaceDE w:val="0"/>
        <w:autoSpaceDN w:val="0"/>
        <w:adjustRightInd w:val="0"/>
        <w:ind w:firstLine="680"/>
        <w:jc w:val="both"/>
        <w:rPr>
          <w:rFonts w:eastAsiaTheme="minorHAnsi"/>
          <w:lang w:eastAsia="en-US"/>
        </w:rPr>
      </w:pPr>
      <w:proofErr w:type="gramStart"/>
      <w:r w:rsidRPr="00B54519">
        <w:lastRenderedPageBreak/>
        <w:t>Согласно Инвестиционной стратегии Волгоградской области</w:t>
      </w:r>
      <w:r>
        <w:t xml:space="preserve"> (далее – Инвестиционная стратегия)</w:t>
      </w:r>
      <w:r w:rsidRPr="00B54519">
        <w:t>, утвержденной постановлением Администрации Волгоградской области от 24.12.2015 № 778-п</w:t>
      </w:r>
      <w:r>
        <w:t xml:space="preserve"> (утратило силу с 9 июня 2018 года)</w:t>
      </w:r>
      <w:r w:rsidR="003E59E9">
        <w:t>,</w:t>
      </w:r>
      <w:r>
        <w:t xml:space="preserve"> и постановлению </w:t>
      </w:r>
      <w:r w:rsidRPr="005952E5">
        <w:t xml:space="preserve">Администрации Волгоградской области от 17.12.2018 № 583-п </w:t>
      </w:r>
      <w:r>
        <w:t>«Об утверждении р</w:t>
      </w:r>
      <w:r w:rsidRPr="005952E5">
        <w:t>егламент</w:t>
      </w:r>
      <w:r>
        <w:t>а</w:t>
      </w:r>
      <w:r w:rsidRPr="005952E5">
        <w:t xml:space="preserve"> сопровождения инвест</w:t>
      </w:r>
      <w:r>
        <w:t xml:space="preserve">иционных </w:t>
      </w:r>
      <w:r w:rsidRPr="005952E5">
        <w:t>проектов, реализуемых или планируемых к реализации на территории Волгоградской области по принципу «одного окна»</w:t>
      </w:r>
      <w:r>
        <w:t>» Корпорация развития отнесена к специализированной организации по</w:t>
      </w:r>
      <w:r w:rsidRPr="00237D0E">
        <w:t xml:space="preserve"> привлечению инвестиций и</w:t>
      </w:r>
      <w:proofErr w:type="gramEnd"/>
      <w:r w:rsidRPr="00237D0E">
        <w:t xml:space="preserve"> работе с инвесторами в Волгоградской области</w:t>
      </w:r>
      <w:r w:rsidRPr="000B038A">
        <w:t>. С</w:t>
      </w:r>
      <w:r w:rsidRPr="000B038A">
        <w:rPr>
          <w:rFonts w:eastAsiaTheme="minorHAnsi"/>
          <w:lang w:eastAsia="en-US"/>
        </w:rPr>
        <w:t>опровождение инвестиционного проекта по принципу «одного окна» представляет собой комплекс осуществляемых специализированной организацией мероприятий по информационному, консультационному, организационному и иному содействию инвестору, направленный на реализацию инвестиционного проекта на территории Волгоградской области.</w:t>
      </w:r>
      <w:r>
        <w:rPr>
          <w:rFonts w:eastAsiaTheme="minorHAnsi"/>
          <w:lang w:eastAsia="en-US"/>
        </w:rPr>
        <w:t xml:space="preserve"> Сопровождение </w:t>
      </w:r>
      <w:proofErr w:type="spellStart"/>
      <w:r>
        <w:rPr>
          <w:rFonts w:eastAsiaTheme="minorHAnsi"/>
          <w:lang w:eastAsia="en-US"/>
        </w:rPr>
        <w:t>инвестпроекта</w:t>
      </w:r>
      <w:proofErr w:type="spellEnd"/>
      <w:r>
        <w:rPr>
          <w:rFonts w:eastAsiaTheme="minorHAnsi"/>
          <w:lang w:eastAsia="en-US"/>
        </w:rPr>
        <w:t xml:space="preserve"> осуществляется специализированной организацией на безвозмездной основе.</w:t>
      </w:r>
    </w:p>
    <w:p w:rsidR="005A68EC" w:rsidRDefault="005A68EC" w:rsidP="005A68EC">
      <w:pPr>
        <w:ind w:firstLine="680"/>
        <w:jc w:val="both"/>
      </w:pPr>
      <w:r w:rsidRPr="00084B0F">
        <w:t>Основной целью деятельности Корпорации развития</w:t>
      </w:r>
      <w:r>
        <w:t xml:space="preserve">, отраженной в Инвестиционной стратегии и </w:t>
      </w:r>
      <w:r w:rsidRPr="00084B0F">
        <w:t>Стратеги</w:t>
      </w:r>
      <w:r>
        <w:t>и</w:t>
      </w:r>
      <w:r w:rsidRPr="00084B0F">
        <w:t xml:space="preserve"> деятельности Корпорации развитии, утвержденной наблюдательным советом Корпорации развития (протокол от 30.09.2014 № 4), является привлечение инвестиций в региональную экономику и социальную сферу, а также содействие их эффективному освоению в соответствии со стратегическими приоритетами инвестиционной политики Волгоградской области. </w:t>
      </w:r>
    </w:p>
    <w:p w:rsidR="005A68EC" w:rsidRDefault="005A68EC" w:rsidP="005A68EC">
      <w:pPr>
        <w:ind w:firstLine="680"/>
        <w:jc w:val="both"/>
      </w:pPr>
      <w:r>
        <w:t>Анализ проводимой Корпорацией развития работы по привлечению инвестиций в Волгоградскую область показал следующее.</w:t>
      </w:r>
    </w:p>
    <w:p w:rsidR="005A68EC" w:rsidRPr="003226F8" w:rsidRDefault="005A68EC" w:rsidP="005A68EC">
      <w:pPr>
        <w:ind w:right="-177" w:firstLine="709"/>
        <w:jc w:val="both"/>
        <w:rPr>
          <w:color w:val="000000"/>
        </w:rPr>
      </w:pPr>
      <w:r w:rsidRPr="00E47D77">
        <w:t xml:space="preserve">В 2017 году заключены соглашения по взаимовыгодному сотрудничеству и реализации </w:t>
      </w:r>
      <w:proofErr w:type="spellStart"/>
      <w:r w:rsidRPr="00E47D77">
        <w:t>инвестпроектов</w:t>
      </w:r>
      <w:proofErr w:type="spellEnd"/>
      <w:r w:rsidRPr="00E47D77">
        <w:t xml:space="preserve"> с </w:t>
      </w:r>
      <w:r>
        <w:t xml:space="preserve">9-тью индивидуальными предпринимателями и </w:t>
      </w:r>
      <w:r w:rsidRPr="00E47D77">
        <w:t>юридически</w:t>
      </w:r>
      <w:r>
        <w:t>ми</w:t>
      </w:r>
      <w:r w:rsidRPr="00E47D77">
        <w:t xml:space="preserve"> лиц</w:t>
      </w:r>
      <w:r>
        <w:t xml:space="preserve">ами (9 </w:t>
      </w:r>
      <w:proofErr w:type="spellStart"/>
      <w:r>
        <w:t>инвестпроектов</w:t>
      </w:r>
      <w:proofErr w:type="spellEnd"/>
      <w:r>
        <w:t xml:space="preserve">), из которых 2 соглашения не реализовывались. Кроме того, в 2017 году обеспечивалось сопровождение 2-х </w:t>
      </w:r>
      <w:proofErr w:type="spellStart"/>
      <w:r>
        <w:t>инвестпроектов</w:t>
      </w:r>
      <w:proofErr w:type="spellEnd"/>
      <w:r>
        <w:t xml:space="preserve">, начатых в предыдущие </w:t>
      </w:r>
      <w:r w:rsidRPr="003226F8">
        <w:t>годы (</w:t>
      </w:r>
      <w:r w:rsidRPr="003226F8">
        <w:rPr>
          <w:color w:val="000000"/>
        </w:rPr>
        <w:t xml:space="preserve">ГК «Основа-Волга» </w:t>
      </w:r>
      <w:proofErr w:type="gramStart"/>
      <w:r w:rsidRPr="003226F8">
        <w:rPr>
          <w:color w:val="000000"/>
        </w:rPr>
        <w:t>и ООО</w:t>
      </w:r>
      <w:proofErr w:type="gramEnd"/>
      <w:r w:rsidRPr="003226F8">
        <w:rPr>
          <w:color w:val="000000"/>
        </w:rPr>
        <w:t xml:space="preserve"> «Сталинград»).</w:t>
      </w:r>
    </w:p>
    <w:p w:rsidR="005A68EC" w:rsidRDefault="005A68EC" w:rsidP="005A68EC">
      <w:pPr>
        <w:ind w:right="-177" w:firstLine="709"/>
        <w:jc w:val="both"/>
      </w:pPr>
      <w:r>
        <w:t xml:space="preserve">В 2018 году помимо реализации ранее начатых проектов заключено еще 3 соглашения о сотрудничестве по реализации </w:t>
      </w:r>
      <w:proofErr w:type="spellStart"/>
      <w:r>
        <w:t>инвестпроектов</w:t>
      </w:r>
      <w:proofErr w:type="spellEnd"/>
      <w:r>
        <w:t xml:space="preserve"> и обеспечено их сопровождение. В 2019 году на момент проведения проверки заключено 2 соглашения о сотрудничестве при реализации </w:t>
      </w:r>
      <w:proofErr w:type="spellStart"/>
      <w:r>
        <w:t>инвестпроектов</w:t>
      </w:r>
      <w:proofErr w:type="spellEnd"/>
      <w:r>
        <w:t xml:space="preserve">. Информация о реализуемых в 2017-2018 годах 14-ти инвестиционных проектов приведена в </w:t>
      </w:r>
      <w:r w:rsidRPr="008714AD">
        <w:rPr>
          <w:color w:val="17365D" w:themeColor="text2" w:themeShade="BF"/>
        </w:rPr>
        <w:t xml:space="preserve">приложении № </w:t>
      </w:r>
      <w:r w:rsidR="008714AD" w:rsidRPr="008714AD">
        <w:rPr>
          <w:color w:val="17365D" w:themeColor="text2" w:themeShade="BF"/>
        </w:rPr>
        <w:t>6</w:t>
      </w:r>
      <w:r w:rsidRPr="008714AD">
        <w:t>.</w:t>
      </w:r>
    </w:p>
    <w:p w:rsidR="005A68EC" w:rsidRDefault="005A68EC" w:rsidP="005A68EC">
      <w:pPr>
        <w:ind w:right="-177" w:firstLine="709"/>
        <w:jc w:val="both"/>
      </w:pPr>
      <w:r w:rsidRPr="004E6EFC">
        <w:t xml:space="preserve">При сопровождении указанных </w:t>
      </w:r>
      <w:proofErr w:type="spellStart"/>
      <w:r w:rsidRPr="004E6EFC">
        <w:t>инвестпроектов</w:t>
      </w:r>
      <w:proofErr w:type="spellEnd"/>
      <w:r w:rsidRPr="004E6EFC">
        <w:t xml:space="preserve"> Корпорацией развития осуществлялись функции по консультированию относительно мер государственной поддержки, помощи в составлении документов (материалов), оказанию помощи по взаимодействию с органами государственной власти и органами местного самоуправления, подборе и помощи в оформлении земельных участков и прочи</w:t>
      </w:r>
      <w:r>
        <w:t xml:space="preserve">м </w:t>
      </w:r>
      <w:r w:rsidRPr="004E6EFC">
        <w:t>организационны</w:t>
      </w:r>
      <w:r>
        <w:t>м</w:t>
      </w:r>
      <w:r w:rsidRPr="004E6EFC">
        <w:t xml:space="preserve"> вопроса</w:t>
      </w:r>
      <w:r>
        <w:t>м</w:t>
      </w:r>
      <w:r w:rsidRPr="004E6EFC">
        <w:t>. Так</w:t>
      </w:r>
      <w:r>
        <w:t>ж</w:t>
      </w:r>
      <w:r w:rsidRPr="004E6EFC">
        <w:t xml:space="preserve">е </w:t>
      </w:r>
      <w:r>
        <w:t xml:space="preserve">оказывалось содействие в </w:t>
      </w:r>
      <w:r w:rsidRPr="004E6EFC">
        <w:t>поиск</w:t>
      </w:r>
      <w:r>
        <w:t>е</w:t>
      </w:r>
      <w:r w:rsidRPr="004E6EFC">
        <w:t xml:space="preserve"> </w:t>
      </w:r>
      <w:proofErr w:type="spellStart"/>
      <w:r w:rsidRPr="004E6EFC">
        <w:t>соинвесторов</w:t>
      </w:r>
      <w:proofErr w:type="spellEnd"/>
      <w:r w:rsidRPr="004E6EFC">
        <w:t xml:space="preserve"> и обеспечени</w:t>
      </w:r>
      <w:r>
        <w:t>и</w:t>
      </w:r>
      <w:r w:rsidRPr="004E6EFC">
        <w:t xml:space="preserve"> земельных участков инженерной инфраструктурой.</w:t>
      </w:r>
    </w:p>
    <w:p w:rsidR="005A68EC" w:rsidRDefault="005A68EC" w:rsidP="005A68EC">
      <w:pPr>
        <w:ind w:firstLine="680"/>
        <w:jc w:val="both"/>
      </w:pPr>
      <w:r>
        <w:t xml:space="preserve">Исследование </w:t>
      </w:r>
      <w:r w:rsidRPr="00942691">
        <w:t xml:space="preserve"> </w:t>
      </w:r>
      <w:r>
        <w:t xml:space="preserve">9-ти </w:t>
      </w:r>
      <w:proofErr w:type="spellStart"/>
      <w:r>
        <w:t>инвестпроектов</w:t>
      </w:r>
      <w:proofErr w:type="spellEnd"/>
      <w:r>
        <w:t xml:space="preserve"> (из 14-ти, сопровождаемых в проверенный период),</w:t>
      </w:r>
      <w:r w:rsidRPr="001A2A23">
        <w:t xml:space="preserve"> </w:t>
      </w:r>
      <w:r>
        <w:t xml:space="preserve">реализуемых по соглашениям 2017 года и ранее (более 1,5 лет на момент </w:t>
      </w:r>
      <w:r w:rsidRPr="00942691">
        <w:t>проведения проверки)</w:t>
      </w:r>
      <w:r>
        <w:t xml:space="preserve">, </w:t>
      </w:r>
      <w:r w:rsidRPr="00942691">
        <w:t>показало следующее:</w:t>
      </w:r>
    </w:p>
    <w:p w:rsidR="005A68EC" w:rsidRDefault="005A68EC" w:rsidP="005A68EC">
      <w:pPr>
        <w:ind w:firstLine="680"/>
        <w:jc w:val="both"/>
      </w:pPr>
      <w:r>
        <w:t xml:space="preserve">- по 4 проектам информация в Корпорации развития отсутствует (ООО «Котовский кирпичный завод», ООО «ЮГСТАН», ПАО «МТС», </w:t>
      </w:r>
      <w:r w:rsidRPr="00942691">
        <w:t xml:space="preserve">ИП </w:t>
      </w:r>
      <w:proofErr w:type="spellStart"/>
      <w:r w:rsidRPr="00942691">
        <w:t>Щипанов</w:t>
      </w:r>
      <w:proofErr w:type="spellEnd"/>
      <w:r w:rsidRPr="00942691">
        <w:t xml:space="preserve"> Д.В);</w:t>
      </w:r>
      <w:r>
        <w:t xml:space="preserve"> </w:t>
      </w:r>
    </w:p>
    <w:p w:rsidR="005A68EC" w:rsidRPr="001A2A23" w:rsidRDefault="005A68EC" w:rsidP="005A68EC">
      <w:pPr>
        <w:ind w:firstLine="680"/>
        <w:jc w:val="both"/>
      </w:pPr>
      <w:r w:rsidRPr="001A2A23">
        <w:t xml:space="preserve">- по 3 проектам реализация не </w:t>
      </w:r>
      <w:r>
        <w:t>осуществляется</w:t>
      </w:r>
      <w:r w:rsidRPr="001A2A23">
        <w:t xml:space="preserve"> в связи с отсутствием у инвестора источников финансирования (ООО «</w:t>
      </w:r>
      <w:proofErr w:type="spellStart"/>
      <w:r w:rsidRPr="001A2A23">
        <w:t>Фроловские</w:t>
      </w:r>
      <w:proofErr w:type="spellEnd"/>
      <w:r w:rsidRPr="001A2A23">
        <w:t xml:space="preserve"> грибы», ООО «Сталинград», И.П. Сёмин А.С.):</w:t>
      </w:r>
    </w:p>
    <w:p w:rsidR="005A68EC" w:rsidRDefault="005A68EC" w:rsidP="005A68EC">
      <w:pPr>
        <w:ind w:firstLine="680"/>
        <w:jc w:val="both"/>
      </w:pPr>
      <w:r w:rsidRPr="001A2A23">
        <w:t>- по 1 проекту сопровождение</w:t>
      </w:r>
      <w:r>
        <w:t xml:space="preserve"> остановлено (ООО «Дубль ПЭТ»);</w:t>
      </w:r>
    </w:p>
    <w:p w:rsidR="005A68EC" w:rsidRPr="001A2A23" w:rsidRDefault="005A68EC" w:rsidP="005A68EC">
      <w:pPr>
        <w:ind w:firstLine="680"/>
        <w:jc w:val="both"/>
      </w:pPr>
      <w:r w:rsidRPr="001A2A23">
        <w:t>- 1 проект</w:t>
      </w:r>
      <w:r>
        <w:t xml:space="preserve"> реализован (ГК «Основа-Волга»).</w:t>
      </w:r>
    </w:p>
    <w:p w:rsidR="005A68EC" w:rsidRDefault="005A68EC" w:rsidP="005A68EC">
      <w:pPr>
        <w:ind w:firstLine="680"/>
        <w:jc w:val="both"/>
        <w:rPr>
          <w:i/>
        </w:rPr>
      </w:pPr>
      <w:r w:rsidRPr="001A2A23">
        <w:t>Таким образом, из</w:t>
      </w:r>
      <w:r w:rsidRPr="001A2A23">
        <w:rPr>
          <w:b/>
        </w:rPr>
        <w:t xml:space="preserve"> </w:t>
      </w:r>
      <w:r>
        <w:t xml:space="preserve">9-ти </w:t>
      </w:r>
      <w:proofErr w:type="spellStart"/>
      <w:r>
        <w:t>инвест</w:t>
      </w:r>
      <w:r w:rsidRPr="001A2A23">
        <w:t>проектов</w:t>
      </w:r>
      <w:proofErr w:type="spellEnd"/>
      <w:r w:rsidRPr="001A2A23">
        <w:t>, сопровождение которых осуществлялось в 2017 году и ранее, до стадии реализации и инвестирования дошел только один проект</w:t>
      </w:r>
      <w:r>
        <w:t xml:space="preserve">, </w:t>
      </w:r>
      <w:r w:rsidRPr="009F5069">
        <w:rPr>
          <w:i/>
        </w:rPr>
        <w:t>т</w:t>
      </w:r>
      <w:r w:rsidRPr="00545A71">
        <w:rPr>
          <w:i/>
        </w:rPr>
        <w:t xml:space="preserve">.е. </w:t>
      </w:r>
      <w:r>
        <w:rPr>
          <w:i/>
        </w:rPr>
        <w:t>деятельность Корпорации развития не оказала существенного влияния на привлечение инвестиций в экономику Волгоградской области.</w:t>
      </w:r>
    </w:p>
    <w:p w:rsidR="005A68EC" w:rsidRDefault="005A68EC" w:rsidP="005A68EC">
      <w:pPr>
        <w:ind w:firstLine="680"/>
        <w:jc w:val="both"/>
      </w:pPr>
      <w:r>
        <w:t>Следует отметить, что практически</w:t>
      </w:r>
      <w:r w:rsidRPr="001F1B2B">
        <w:t xml:space="preserve"> </w:t>
      </w:r>
      <w:r>
        <w:t>в половине</w:t>
      </w:r>
      <w:r w:rsidRPr="001F1B2B">
        <w:t xml:space="preserve"> случаев информация о </w:t>
      </w:r>
      <w:r>
        <w:t xml:space="preserve">дальнейшей </w:t>
      </w:r>
      <w:r w:rsidRPr="001F1B2B">
        <w:t xml:space="preserve">реализации </w:t>
      </w:r>
      <w:proofErr w:type="spellStart"/>
      <w:r>
        <w:t>инвестпроектов</w:t>
      </w:r>
      <w:proofErr w:type="spellEnd"/>
      <w:r>
        <w:t xml:space="preserve"> </w:t>
      </w:r>
      <w:r w:rsidRPr="001F1B2B">
        <w:t xml:space="preserve">в </w:t>
      </w:r>
      <w:r>
        <w:t xml:space="preserve">Корпорации развития отсутствует, в </w:t>
      </w:r>
      <w:proofErr w:type="gramStart"/>
      <w:r>
        <w:t>связи</w:t>
      </w:r>
      <w:proofErr w:type="gramEnd"/>
      <w:r>
        <w:t xml:space="preserve"> с чем в</w:t>
      </w:r>
      <w:r w:rsidRPr="00EB4ED9">
        <w:t xml:space="preserve"> целях </w:t>
      </w:r>
      <w:r w:rsidRPr="00EB4ED9">
        <w:lastRenderedPageBreak/>
        <w:t xml:space="preserve">изучения лучших практик и выработки более действенных механизмов сопровождения </w:t>
      </w:r>
      <w:proofErr w:type="spellStart"/>
      <w:r>
        <w:t>инвест</w:t>
      </w:r>
      <w:r w:rsidRPr="00EB4ED9">
        <w:t>проектов</w:t>
      </w:r>
      <w:proofErr w:type="spellEnd"/>
      <w:r w:rsidRPr="00EB4ED9">
        <w:t xml:space="preserve"> представляется целесообразным отслеживание </w:t>
      </w:r>
      <w:r>
        <w:t xml:space="preserve">их </w:t>
      </w:r>
      <w:r w:rsidRPr="00EB4ED9">
        <w:t>дальнейшей реализации</w:t>
      </w:r>
      <w:r>
        <w:t>.</w:t>
      </w:r>
    </w:p>
    <w:p w:rsidR="005A68EC" w:rsidRDefault="005A68EC" w:rsidP="005A68EC">
      <w:pPr>
        <w:ind w:firstLine="680"/>
        <w:jc w:val="both"/>
      </w:pPr>
      <w:r w:rsidRPr="004E6EFC">
        <w:t xml:space="preserve">Одним из главных факторов, влияющих на реализацию </w:t>
      </w:r>
      <w:proofErr w:type="spellStart"/>
      <w:r w:rsidRPr="004E6EFC">
        <w:t>инвестпроектов</w:t>
      </w:r>
      <w:proofErr w:type="spellEnd"/>
      <w:r w:rsidRPr="004E6EFC">
        <w:t xml:space="preserve">, является отсутствие средств у потенциальных инвесторов. </w:t>
      </w:r>
      <w:proofErr w:type="gramStart"/>
      <w:r w:rsidRPr="004E6EFC">
        <w:t>Из рассмотренных 14-ти проектов собственные вложения определены только ПАО «МТС» по развитию облачной инфраструктуры и ООО «</w:t>
      </w:r>
      <w:proofErr w:type="spellStart"/>
      <w:r w:rsidRPr="004E6EFC">
        <w:t>Спецавтоматика</w:t>
      </w:r>
      <w:proofErr w:type="spellEnd"/>
      <w:r w:rsidRPr="004E6EFC">
        <w:t>» по созданию сети заправочных станций с последующим вхождением в федеральную программу (проекты свыше 1,3 млрд. руб. и свыше 2 млрд. руб., 100% за счет собственных инвестиций), а также ООО «</w:t>
      </w:r>
      <w:proofErr w:type="spellStart"/>
      <w:r w:rsidRPr="004E6EFC">
        <w:t>Эльмонт</w:t>
      </w:r>
      <w:proofErr w:type="spellEnd"/>
      <w:r w:rsidRPr="004E6EFC">
        <w:t>» по строительству комплекса выращивания грибов (проект 43 млн. руб., собственные средства – 13 млн</w:t>
      </w:r>
      <w:proofErr w:type="gramEnd"/>
      <w:r w:rsidRPr="004E6EFC">
        <w:t>. руб.).</w:t>
      </w:r>
    </w:p>
    <w:p w:rsidR="005A68EC" w:rsidRPr="00650B92" w:rsidRDefault="005A68EC" w:rsidP="005A68EC">
      <w:pPr>
        <w:pStyle w:val="af0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B92">
        <w:rPr>
          <w:rFonts w:ascii="Times New Roman" w:hAnsi="Times New Roman" w:cs="Times New Roman"/>
          <w:sz w:val="24"/>
          <w:szCs w:val="24"/>
        </w:rPr>
        <w:t xml:space="preserve">Для более эффективного взаимодействия с инвесторами по подбору инвестиционных   площадок Корпорацией развития на регулярной основе проводится работа по обновлению реестра инвестиционных площадок и по формированию паспортов инвестиционных площадок: по состоянию на </w:t>
      </w:r>
      <w:r w:rsidRPr="00650B92">
        <w:rPr>
          <w:rFonts w:ascii="Times New Roman" w:eastAsia="Calibri" w:hAnsi="Times New Roman" w:cs="Times New Roman"/>
          <w:sz w:val="24"/>
          <w:szCs w:val="24"/>
        </w:rPr>
        <w:t>04.06.2019 Корпорацией развития совместно с Комитетом экономики отобрано и проработано 358 инвестиционных площадок в 38 муниципальных образованиях Волгоградской области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68EC" w:rsidRDefault="005A68EC" w:rsidP="005A68EC">
      <w:pPr>
        <w:ind w:firstLine="680"/>
        <w:jc w:val="both"/>
      </w:pPr>
      <w:r w:rsidRPr="00E91FE5">
        <w:t xml:space="preserve">В отношении работы Корпорации развития по формированию промышленных площадок под создание парков экономического развития  отмечаем следующее. В годовом отчете по результатам работы Корпорации развития за 2017 год </w:t>
      </w:r>
      <w:r>
        <w:t>отражено</w:t>
      </w:r>
      <w:r w:rsidRPr="00E91FE5">
        <w:t xml:space="preserve"> о формировании промышленных площадок под создание областных парков экономического развития типа «</w:t>
      </w:r>
      <w:r w:rsidRPr="00E91FE5">
        <w:rPr>
          <w:lang w:val="en-US"/>
        </w:rPr>
        <w:t>Greenfield</w:t>
      </w:r>
      <w:r w:rsidRPr="00E91FE5">
        <w:t>» (тип инвестиционной площадки, не обеспеченн</w:t>
      </w:r>
      <w:r>
        <w:t>о</w:t>
      </w:r>
      <w:r w:rsidRPr="00E91FE5">
        <w:t>й инфраструктурой) - промышленных площадок «Новая Ерзовка»,</w:t>
      </w:r>
      <w:r w:rsidRPr="00E91FE5">
        <w:rPr>
          <w:i/>
        </w:rPr>
        <w:t xml:space="preserve"> </w:t>
      </w:r>
      <w:r w:rsidRPr="00E91FE5">
        <w:t>«Зеленая миля», «</w:t>
      </w:r>
      <w:proofErr w:type="spellStart"/>
      <w:r w:rsidRPr="00E91FE5">
        <w:t>Северо-Запад</w:t>
      </w:r>
      <w:proofErr w:type="spellEnd"/>
      <w:r w:rsidRPr="00E91FE5">
        <w:t>». Однако информация о проделанной работе за 2017 год в отношении площадок «Зеленая миля» и «</w:t>
      </w:r>
      <w:proofErr w:type="spellStart"/>
      <w:r w:rsidRPr="00E91FE5">
        <w:t>Северо-Запад</w:t>
      </w:r>
      <w:proofErr w:type="spellEnd"/>
      <w:r w:rsidRPr="00E91FE5">
        <w:t>» отсутствует, документы, отражающие деятельность Корпорации развития по этим паркам</w:t>
      </w:r>
      <w:r>
        <w:t>,</w:t>
      </w:r>
      <w:r w:rsidRPr="00E91FE5">
        <w:t xml:space="preserve"> в проверяемом периоде также отсутствуют. Согласно бухгалтерской отчетности указанные проекты приостановлены в 2015 году (приказ директора Корпорации развития от 02.12.2015 №103).</w:t>
      </w:r>
    </w:p>
    <w:p w:rsidR="005A68EC" w:rsidRPr="00615FEF" w:rsidRDefault="005A68EC" w:rsidP="005A68EC">
      <w:pPr>
        <w:ind w:firstLine="680"/>
        <w:jc w:val="both"/>
      </w:pPr>
      <w:r>
        <w:t>По промышленной площадке</w:t>
      </w:r>
      <w:r w:rsidRPr="00982EBD">
        <w:t xml:space="preserve"> «Новая Ерзовка», включающей в себя два земельных участка,  Корпорацией развития заключен договор аренды по одному земельному участку, а по второму проведено предварительное согласование о выделении земельного участка.</w:t>
      </w:r>
      <w:r>
        <w:t xml:space="preserve"> Вместе с тем в</w:t>
      </w:r>
      <w:r w:rsidRPr="00615FEF">
        <w:t xml:space="preserve"> настоящее время работа по проекту приостановлена в связи с тем, что для </w:t>
      </w:r>
      <w:r>
        <w:t xml:space="preserve">дальнейшей реализации </w:t>
      </w:r>
      <w:r w:rsidRPr="00615FEF">
        <w:t>необходима проектно-сметная документация, средства на которую отсутствуют.</w:t>
      </w:r>
    </w:p>
    <w:p w:rsidR="005A68EC" w:rsidRDefault="005A68EC" w:rsidP="005A68EC">
      <w:pPr>
        <w:ind w:firstLine="680"/>
        <w:jc w:val="both"/>
        <w:rPr>
          <w:color w:val="0070C0"/>
        </w:rPr>
      </w:pPr>
      <w:r>
        <w:t>В ходе проверки установлено, что одним из факторов не привлечения инвесторов (потенциальных инвесторов), а также потенциальных резидентов индустриальных (промышленных) парков является отсутствие информации о таких инвестиционных площадках на инвестиционной карте Волгоградской области. По паркам типа «</w:t>
      </w:r>
      <w:r>
        <w:rPr>
          <w:lang w:val="en-US"/>
        </w:rPr>
        <w:t>Greenfield</w:t>
      </w:r>
      <w:r>
        <w:t>» указана информация только по парку «</w:t>
      </w:r>
      <w:proofErr w:type="spellStart"/>
      <w:r>
        <w:t>Бекетовка</w:t>
      </w:r>
      <w:proofErr w:type="spellEnd"/>
      <w:r>
        <w:t xml:space="preserve">». </w:t>
      </w:r>
      <w:r w:rsidRPr="00233856">
        <w:t>В результате</w:t>
      </w:r>
      <w:r>
        <w:t xml:space="preserve"> потенциальные инвесторы не имеют возможности проанализировать реальность </w:t>
      </w:r>
      <w:r w:rsidRPr="00233856">
        <w:t xml:space="preserve">вложений на территории Волгоградской области. </w:t>
      </w:r>
      <w:r>
        <w:rPr>
          <w:color w:val="0070C0"/>
        </w:rPr>
        <w:t xml:space="preserve"> </w:t>
      </w:r>
    </w:p>
    <w:p w:rsidR="005A68EC" w:rsidRDefault="005A68EC" w:rsidP="005A68EC">
      <w:pPr>
        <w:ind w:firstLine="680"/>
        <w:jc w:val="both"/>
      </w:pPr>
      <w:r w:rsidRPr="00A274E6">
        <w:t xml:space="preserve">Корпорация развития имеет собственную вкладку на портале </w:t>
      </w:r>
      <w:hyperlink r:id="rId8" w:history="1">
        <w:r w:rsidRPr="009360A4">
          <w:rPr>
            <w:rStyle w:val="af"/>
            <w:color w:val="auto"/>
            <w:u w:val="none"/>
          </w:rPr>
          <w:t>www.investvlg.ru</w:t>
        </w:r>
      </w:hyperlink>
      <w:r w:rsidRPr="009360A4">
        <w:t>,</w:t>
      </w:r>
      <w:r w:rsidRPr="00A274E6">
        <w:t xml:space="preserve"> однако отдельные разделы данной вкладки либо недостаточно информативны в части деятельности Корпорации развития,</w:t>
      </w:r>
      <w:r>
        <w:t xml:space="preserve"> либо вообще не заполнены (такие как «Итоги деятельности», «Мероприятия»). </w:t>
      </w:r>
    </w:p>
    <w:p w:rsidR="005A68EC" w:rsidRDefault="005A68EC" w:rsidP="005A68EC">
      <w:pPr>
        <w:ind w:firstLine="680"/>
        <w:jc w:val="both"/>
        <w:rPr>
          <w:rFonts w:eastAsia="Calibri"/>
          <w:bCs/>
        </w:rPr>
      </w:pPr>
      <w:r w:rsidRPr="004811D6">
        <w:t xml:space="preserve">В </w:t>
      </w:r>
      <w:r>
        <w:t xml:space="preserve">Инвестиционной стратегии, а также в отчетах </w:t>
      </w:r>
      <w:r w:rsidRPr="004811D6">
        <w:t xml:space="preserve">по результатам работы за 2017 и 2018 годы в качестве перспектив развития </w:t>
      </w:r>
      <w:r>
        <w:t xml:space="preserve">Корпорации </w:t>
      </w:r>
      <w:r w:rsidRPr="004811D6">
        <w:t xml:space="preserve"> </w:t>
      </w:r>
      <w:r w:rsidRPr="004811D6">
        <w:rPr>
          <w:rFonts w:eastAsia="Calibri"/>
          <w:bCs/>
        </w:rPr>
        <w:t>указано</w:t>
      </w:r>
      <w:r>
        <w:rPr>
          <w:rFonts w:eastAsia="Calibri"/>
          <w:bCs/>
        </w:rPr>
        <w:t xml:space="preserve"> сопровождение </w:t>
      </w:r>
      <w:r w:rsidRPr="008D2F06">
        <w:rPr>
          <w:rFonts w:eastAsia="Calibri"/>
          <w:bCs/>
        </w:rPr>
        <w:t xml:space="preserve"> </w:t>
      </w:r>
      <w:proofErr w:type="spellStart"/>
      <w:r w:rsidRPr="008D2F06">
        <w:rPr>
          <w:rFonts w:eastAsia="Calibri"/>
          <w:bCs/>
        </w:rPr>
        <w:t>инве</w:t>
      </w:r>
      <w:r>
        <w:rPr>
          <w:rFonts w:eastAsia="Calibri"/>
          <w:bCs/>
        </w:rPr>
        <w:t>стпроектов</w:t>
      </w:r>
      <w:proofErr w:type="spellEnd"/>
      <w:r>
        <w:rPr>
          <w:rFonts w:eastAsia="Calibri"/>
          <w:bCs/>
        </w:rPr>
        <w:t xml:space="preserve"> по принципу «одного окна»</w:t>
      </w:r>
      <w:r w:rsidRPr="008D2F06">
        <w:rPr>
          <w:rFonts w:eastAsia="Calibri"/>
          <w:bCs/>
        </w:rPr>
        <w:t xml:space="preserve"> при взаимодействии инвесторов с органами исполнительной власти Волгоградской области и </w:t>
      </w:r>
      <w:proofErr w:type="spellStart"/>
      <w:r w:rsidRPr="008D2F06">
        <w:rPr>
          <w:rFonts w:eastAsia="Calibri"/>
          <w:bCs/>
        </w:rPr>
        <w:t>ресурсоснабжающими</w:t>
      </w:r>
      <w:proofErr w:type="spellEnd"/>
      <w:r w:rsidRPr="008D2F06">
        <w:rPr>
          <w:rFonts w:eastAsia="Calibri"/>
          <w:bCs/>
        </w:rPr>
        <w:t xml:space="preserve"> организациями;</w:t>
      </w:r>
      <w:r>
        <w:rPr>
          <w:rFonts w:eastAsia="Calibri"/>
          <w:bCs/>
        </w:rPr>
        <w:t xml:space="preserve"> содействие </w:t>
      </w:r>
      <w:r w:rsidRPr="008D2F06">
        <w:rPr>
          <w:rFonts w:eastAsia="Calibri"/>
          <w:bCs/>
        </w:rPr>
        <w:t>созданию проектных команд и участ</w:t>
      </w:r>
      <w:r w:rsidR="000733EF">
        <w:rPr>
          <w:rFonts w:eastAsia="Calibri"/>
          <w:bCs/>
        </w:rPr>
        <w:t>ие</w:t>
      </w:r>
      <w:r w:rsidRPr="008D2F06">
        <w:rPr>
          <w:rFonts w:eastAsia="Calibri"/>
          <w:bCs/>
        </w:rPr>
        <w:t xml:space="preserve"> в разработке, поддержке и реализа</w:t>
      </w:r>
      <w:r>
        <w:rPr>
          <w:rFonts w:eastAsia="Calibri"/>
          <w:bCs/>
        </w:rPr>
        <w:t xml:space="preserve">ции </w:t>
      </w:r>
      <w:proofErr w:type="spellStart"/>
      <w:r>
        <w:rPr>
          <w:rFonts w:eastAsia="Calibri"/>
          <w:bCs/>
        </w:rPr>
        <w:t>инвестпроектов</w:t>
      </w:r>
      <w:proofErr w:type="spellEnd"/>
      <w:r>
        <w:rPr>
          <w:rFonts w:eastAsia="Calibri"/>
          <w:bCs/>
        </w:rPr>
        <w:t xml:space="preserve"> «</w:t>
      </w:r>
      <w:r w:rsidRPr="008D2F06">
        <w:rPr>
          <w:rFonts w:eastAsia="Calibri"/>
          <w:bCs/>
        </w:rPr>
        <w:t>под ключ</w:t>
      </w:r>
      <w:r>
        <w:rPr>
          <w:rFonts w:eastAsia="Calibri"/>
          <w:bCs/>
        </w:rPr>
        <w:t>»</w:t>
      </w:r>
      <w:r w:rsidRPr="008D2F06">
        <w:rPr>
          <w:rFonts w:eastAsia="Calibri"/>
          <w:bCs/>
        </w:rPr>
        <w:t>;</w:t>
      </w:r>
      <w:r>
        <w:rPr>
          <w:rFonts w:eastAsia="Calibri"/>
          <w:bCs/>
        </w:rPr>
        <w:t xml:space="preserve"> продвижение </w:t>
      </w:r>
      <w:r w:rsidRPr="008D2F06">
        <w:rPr>
          <w:rFonts w:eastAsia="Calibri"/>
          <w:bCs/>
        </w:rPr>
        <w:t>инвестиционны</w:t>
      </w:r>
      <w:r>
        <w:rPr>
          <w:rFonts w:eastAsia="Calibri"/>
          <w:bCs/>
        </w:rPr>
        <w:t>х</w:t>
      </w:r>
      <w:r w:rsidRPr="008D2F06">
        <w:rPr>
          <w:rFonts w:eastAsia="Calibri"/>
          <w:bCs/>
        </w:rPr>
        <w:t xml:space="preserve"> возможност</w:t>
      </w:r>
      <w:r>
        <w:rPr>
          <w:rFonts w:eastAsia="Calibri"/>
          <w:bCs/>
        </w:rPr>
        <w:t xml:space="preserve">ей </w:t>
      </w:r>
      <w:r w:rsidRPr="008D2F06">
        <w:rPr>
          <w:rFonts w:eastAsia="Calibri"/>
          <w:bCs/>
        </w:rPr>
        <w:t>и конкретны</w:t>
      </w:r>
      <w:r>
        <w:rPr>
          <w:rFonts w:eastAsia="Calibri"/>
          <w:bCs/>
        </w:rPr>
        <w:t>х</w:t>
      </w:r>
      <w:r w:rsidRPr="008D2F06">
        <w:rPr>
          <w:rFonts w:eastAsia="Calibri"/>
          <w:bCs/>
        </w:rPr>
        <w:t xml:space="preserve"> </w:t>
      </w:r>
      <w:proofErr w:type="spellStart"/>
      <w:r w:rsidRPr="008D2F06">
        <w:rPr>
          <w:rFonts w:eastAsia="Calibri"/>
          <w:bCs/>
        </w:rPr>
        <w:t>инвест</w:t>
      </w:r>
      <w:r>
        <w:rPr>
          <w:rFonts w:eastAsia="Calibri"/>
          <w:bCs/>
        </w:rPr>
        <w:t>п</w:t>
      </w:r>
      <w:r w:rsidRPr="008D2F06">
        <w:rPr>
          <w:rFonts w:eastAsia="Calibri"/>
          <w:bCs/>
        </w:rPr>
        <w:t>роект</w:t>
      </w:r>
      <w:r>
        <w:rPr>
          <w:rFonts w:eastAsia="Calibri"/>
          <w:bCs/>
        </w:rPr>
        <w:t>ов</w:t>
      </w:r>
      <w:proofErr w:type="spellEnd"/>
      <w:r w:rsidRPr="008D2F06">
        <w:rPr>
          <w:rFonts w:eastAsia="Calibri"/>
          <w:bCs/>
        </w:rPr>
        <w:t xml:space="preserve"> Волгоградской области в России и за рубежом;</w:t>
      </w:r>
      <w:r>
        <w:rPr>
          <w:rFonts w:eastAsia="Calibri"/>
          <w:bCs/>
        </w:rPr>
        <w:t xml:space="preserve"> содействие</w:t>
      </w:r>
      <w:r w:rsidRPr="008D2F06">
        <w:rPr>
          <w:rFonts w:eastAsia="Calibri"/>
          <w:bCs/>
        </w:rPr>
        <w:t xml:space="preserve"> в реализации проектов на </w:t>
      </w:r>
      <w:r w:rsidRPr="0053561D">
        <w:rPr>
          <w:rFonts w:eastAsia="Calibri"/>
          <w:bCs/>
        </w:rPr>
        <w:t>основе ГЧП и</w:t>
      </w:r>
      <w:r w:rsidRPr="008D2F06">
        <w:rPr>
          <w:rFonts w:eastAsia="Calibri"/>
          <w:bCs/>
        </w:rPr>
        <w:t xml:space="preserve"> передачи имущества в концессию;</w:t>
      </w:r>
      <w:r>
        <w:rPr>
          <w:rFonts w:eastAsia="Calibri"/>
          <w:bCs/>
        </w:rPr>
        <w:t xml:space="preserve"> обеспечение </w:t>
      </w:r>
      <w:r w:rsidRPr="008D2F06">
        <w:rPr>
          <w:rFonts w:eastAsia="Calibri"/>
          <w:bCs/>
        </w:rPr>
        <w:t>взаимодействи</w:t>
      </w:r>
      <w:r>
        <w:rPr>
          <w:rFonts w:eastAsia="Calibri"/>
          <w:bCs/>
        </w:rPr>
        <w:t>я</w:t>
      </w:r>
      <w:r w:rsidRPr="008D2F06">
        <w:rPr>
          <w:rFonts w:eastAsia="Calibri"/>
          <w:bCs/>
        </w:rPr>
        <w:t xml:space="preserve"> с инвестиционными и венчурными фондами, банками, российскими и международными институтами развития, </w:t>
      </w:r>
      <w:r w:rsidRPr="008D2F06">
        <w:rPr>
          <w:rFonts w:eastAsia="Calibri"/>
          <w:bCs/>
        </w:rPr>
        <w:lastRenderedPageBreak/>
        <w:t>инвестиционными агентствами с целью использования их потенциала по финансированию и иной поддержке инвестиций на территории Волгоградской области.</w:t>
      </w:r>
    </w:p>
    <w:p w:rsidR="005A68EC" w:rsidRDefault="005A68EC" w:rsidP="005A68EC">
      <w:pPr>
        <w:ind w:firstLine="680"/>
        <w:jc w:val="both"/>
      </w:pPr>
      <w:r>
        <w:t>Проверка показала, что р</w:t>
      </w:r>
      <w:r w:rsidRPr="00E570AB">
        <w:t xml:space="preserve">абота по реализации </w:t>
      </w:r>
      <w:proofErr w:type="spellStart"/>
      <w:r w:rsidRPr="00E570AB">
        <w:t>инвестпроектов</w:t>
      </w:r>
      <w:proofErr w:type="spellEnd"/>
      <w:r w:rsidRPr="00E570AB">
        <w:t xml:space="preserve"> «под ключ», проект</w:t>
      </w:r>
      <w:r>
        <w:t>ов на основе ГЧП, взаимодействию</w:t>
      </w:r>
      <w:r w:rsidRPr="00E570AB">
        <w:t xml:space="preserve"> с финансовыми институтами </w:t>
      </w:r>
      <w:r>
        <w:t xml:space="preserve">практически </w:t>
      </w:r>
      <w:r w:rsidRPr="00E570AB">
        <w:t xml:space="preserve">не </w:t>
      </w:r>
      <w:r>
        <w:t xml:space="preserve">осуществлялась </w:t>
      </w:r>
      <w:r w:rsidRPr="00E570AB">
        <w:t>либо оформлялись соглашения формального характера.</w:t>
      </w:r>
      <w:r>
        <w:t xml:space="preserve"> </w:t>
      </w:r>
    </w:p>
    <w:p w:rsidR="005A68EC" w:rsidRDefault="005A68EC" w:rsidP="005A68EC">
      <w:pPr>
        <w:ind w:firstLine="680"/>
        <w:jc w:val="both"/>
        <w:rPr>
          <w:noProof/>
        </w:rPr>
      </w:pPr>
      <w:r w:rsidRPr="004F57AB">
        <w:rPr>
          <w:noProof/>
        </w:rPr>
        <w:t xml:space="preserve">Также </w:t>
      </w:r>
      <w:r>
        <w:rPr>
          <w:noProof/>
        </w:rPr>
        <w:t>проверкой установлено</w:t>
      </w:r>
      <w:r w:rsidRPr="004F57AB">
        <w:rPr>
          <w:noProof/>
        </w:rPr>
        <w:t xml:space="preserve"> что </w:t>
      </w:r>
      <w:r w:rsidRPr="00ED675B">
        <w:rPr>
          <w:rFonts w:eastAsia="Calibri"/>
          <w:bCs/>
        </w:rPr>
        <w:t>все имущество, переданное Волгоградской областью в</w:t>
      </w:r>
      <w:r w:rsidRPr="00ED675B">
        <w:rPr>
          <w:noProof/>
        </w:rPr>
        <w:t xml:space="preserve"> качестве вклада в уставный капитал Корпорации развития, не было использовано с целью </w:t>
      </w:r>
      <w:r w:rsidRPr="00ED675B">
        <w:t xml:space="preserve"> привлечения инвесторов для реализации </w:t>
      </w:r>
      <w:proofErr w:type="spellStart"/>
      <w:r w:rsidRPr="00ED675B">
        <w:t>инвестпроектов</w:t>
      </w:r>
      <w:proofErr w:type="spellEnd"/>
      <w:r w:rsidRPr="00ED675B">
        <w:t>.</w:t>
      </w:r>
      <w:r>
        <w:t xml:space="preserve"> Как упоминалось выше, </w:t>
      </w:r>
      <w:r>
        <w:rPr>
          <w:noProof/>
        </w:rPr>
        <w:t>з</w:t>
      </w:r>
      <w:r w:rsidRPr="009922E7">
        <w:rPr>
          <w:noProof/>
        </w:rPr>
        <w:t>дания и земельные участки по ул. им. Котовского и прое</w:t>
      </w:r>
      <w:r>
        <w:rPr>
          <w:noProof/>
        </w:rPr>
        <w:t>з</w:t>
      </w:r>
      <w:r w:rsidRPr="009922E7">
        <w:rPr>
          <w:noProof/>
        </w:rPr>
        <w:t>ду Тайшетский были реализованы  Фонду</w:t>
      </w:r>
      <w:r>
        <w:rPr>
          <w:noProof/>
        </w:rPr>
        <w:t>, здание по пр. Жукова,3 используется в основном для размещения органов исполнительной власти Волгоградской области.</w:t>
      </w:r>
    </w:p>
    <w:p w:rsidR="005A68EC" w:rsidRPr="00A13B61" w:rsidRDefault="005A68EC" w:rsidP="005A68EC">
      <w:pPr>
        <w:ind w:firstLine="680"/>
        <w:jc w:val="both"/>
        <w:rPr>
          <w:i/>
        </w:rPr>
      </w:pPr>
      <w:r>
        <w:rPr>
          <w:i/>
        </w:rPr>
        <w:t xml:space="preserve">Таким образом, </w:t>
      </w:r>
      <w:r w:rsidRPr="00A13B61">
        <w:rPr>
          <w:i/>
        </w:rPr>
        <w:t xml:space="preserve">из </w:t>
      </w:r>
      <w:r>
        <w:rPr>
          <w:i/>
        </w:rPr>
        <w:t xml:space="preserve">предусмотренных </w:t>
      </w:r>
      <w:r w:rsidRPr="00A13B61">
        <w:rPr>
          <w:i/>
        </w:rPr>
        <w:t xml:space="preserve">в Инвестиционной стратегии и годовых отчетах Корпорации развития задач (перспектив развития) в основном осуществляется работа по сопровождению </w:t>
      </w:r>
      <w:proofErr w:type="spellStart"/>
      <w:r w:rsidRPr="00A13B61">
        <w:rPr>
          <w:i/>
        </w:rPr>
        <w:t>инвестпроектов</w:t>
      </w:r>
      <w:proofErr w:type="spellEnd"/>
      <w:r w:rsidRPr="00A13B61">
        <w:rPr>
          <w:i/>
        </w:rPr>
        <w:t>.</w:t>
      </w:r>
    </w:p>
    <w:p w:rsidR="005A68EC" w:rsidRDefault="005A68EC" w:rsidP="005A68EC">
      <w:pPr>
        <w:ind w:firstLine="680"/>
        <w:jc w:val="both"/>
        <w:rPr>
          <w:i/>
        </w:rPr>
      </w:pPr>
      <w:r>
        <w:rPr>
          <w:i/>
        </w:rPr>
        <w:t>Деятельность Корпорации развития</w:t>
      </w:r>
      <w:r w:rsidRPr="009360A4">
        <w:rPr>
          <w:i/>
        </w:rPr>
        <w:t xml:space="preserve"> </w:t>
      </w:r>
      <w:r w:rsidRPr="00A13B61">
        <w:rPr>
          <w:i/>
        </w:rPr>
        <w:t>за 2017 и 2018 годы была оценена</w:t>
      </w:r>
      <w:r>
        <w:rPr>
          <w:i/>
        </w:rPr>
        <w:t xml:space="preserve"> н</w:t>
      </w:r>
      <w:r w:rsidRPr="00A13B61">
        <w:rPr>
          <w:i/>
        </w:rPr>
        <w:t>аблюдательным советом, как неудовлетворительная.</w:t>
      </w:r>
    </w:p>
    <w:p w:rsidR="00BD61F0" w:rsidRPr="007E1DC1" w:rsidRDefault="005A68EC" w:rsidP="00BD61F0">
      <w:pPr>
        <w:ind w:firstLine="680"/>
        <w:jc w:val="both"/>
        <w:rPr>
          <w:rStyle w:val="a8"/>
          <w:b w:val="0"/>
        </w:rPr>
      </w:pPr>
      <w:r>
        <w:t xml:space="preserve">Следует отметить, что отдельные виды деятельности Корпорации развития по Уставу (например, инициирование и структурирование </w:t>
      </w:r>
      <w:proofErr w:type="spellStart"/>
      <w:r>
        <w:t>инвестпроектов</w:t>
      </w:r>
      <w:proofErr w:type="spellEnd"/>
      <w:r>
        <w:t xml:space="preserve">, направленных на достижение целей деятельности общества, участие в организации и </w:t>
      </w:r>
      <w:proofErr w:type="gramStart"/>
      <w:r>
        <w:t>реализации</w:t>
      </w:r>
      <w:proofErr w:type="gramEnd"/>
      <w:r>
        <w:t xml:space="preserve"> приоритетных </w:t>
      </w:r>
      <w:proofErr w:type="spellStart"/>
      <w:r>
        <w:t>инвестпроектов</w:t>
      </w:r>
      <w:proofErr w:type="spellEnd"/>
      <w:r>
        <w:t xml:space="preserve">, осуществление которых в том числе предусматривает применение механизмов и инструментов ГЧП, обеспечение эффективного взаимодействия Администрации Волгоградской области и инвесторов при реализации проектов, содействие в реализации </w:t>
      </w:r>
      <w:proofErr w:type="spellStart"/>
      <w:r>
        <w:t>инвестпроектов</w:t>
      </w:r>
      <w:proofErr w:type="spellEnd"/>
      <w:r>
        <w:t xml:space="preserve"> Волгоградской области в России и за рубежом, развитие инфраструктуры промышленных зон, индустриальных (промышленных) парков, технопарков, </w:t>
      </w:r>
      <w:proofErr w:type="spellStart"/>
      <w:proofErr w:type="gramStart"/>
      <w:r>
        <w:t>бизнес-инкубаторов</w:t>
      </w:r>
      <w:proofErr w:type="spellEnd"/>
      <w:proofErr w:type="gramEnd"/>
      <w:r>
        <w:t xml:space="preserve"> и иных территорий развития на территории Волгоградской области) дублируют полномочия органов исполнительной власти Волгоградской области (Комитет экономики, комитет промышленности и торговли Волгоградской области). При этом в соответствии с распоряжением Правительства РФ от 31.01.2017 №147-р </w:t>
      </w:r>
      <w:r w:rsidR="007D64B8" w:rsidRPr="007E1DC1">
        <w:t>(в редакции до 19.04.2019)</w:t>
      </w:r>
      <w:r w:rsidR="007D64B8">
        <w:t xml:space="preserve"> </w:t>
      </w:r>
      <w:r>
        <w:t xml:space="preserve">«О целевых моделях упрощения процедур ведения бизнеса и повышения инвестиционной привлекательности субъектов РФ» функции специализированной организации по привлечению инвестиций и работе с инвесторами могут быть возложены на исполнительный орган государственной власти субъекта РФ. </w:t>
      </w:r>
      <w:r w:rsidR="007D64B8" w:rsidRPr="007E1DC1">
        <w:t xml:space="preserve">В настоящее время представитель Комитета экономики  </w:t>
      </w:r>
      <w:r w:rsidR="00AF2968" w:rsidRPr="007E1DC1">
        <w:t xml:space="preserve">в рамках своих должностных обязанностей </w:t>
      </w:r>
      <w:r w:rsidR="003948E1" w:rsidRPr="007E1DC1">
        <w:t>реализует</w:t>
      </w:r>
      <w:r w:rsidR="007D64B8" w:rsidRPr="007E1DC1">
        <w:t xml:space="preserve"> отдельные </w:t>
      </w:r>
      <w:r w:rsidR="003948E1" w:rsidRPr="007E1DC1">
        <w:t>вопросы</w:t>
      </w:r>
      <w:r w:rsidR="007D64B8" w:rsidRPr="007E1DC1">
        <w:t xml:space="preserve"> Корпорации развития – информационное, консультационное, организационное и иное содействие инвестору,</w:t>
      </w:r>
      <w:r w:rsidR="00F24EEC" w:rsidRPr="007E1DC1">
        <w:t xml:space="preserve"> а также </w:t>
      </w:r>
      <w:r w:rsidR="007D64B8" w:rsidRPr="007E1DC1">
        <w:t>веде</w:t>
      </w:r>
      <w:r w:rsidR="003948E1" w:rsidRPr="007E1DC1">
        <w:t>т</w:t>
      </w:r>
      <w:r w:rsidR="007D64B8" w:rsidRPr="007E1DC1">
        <w:t xml:space="preserve"> реестр инвестиционных проектов, по которым заключены Соглашения по </w:t>
      </w:r>
      <w:r w:rsidR="0023734B" w:rsidRPr="007E1DC1">
        <w:t>взаимовыгодному сотрудничеству с</w:t>
      </w:r>
      <w:r w:rsidR="007D64B8" w:rsidRPr="007E1DC1">
        <w:t xml:space="preserve"> потенциальными инвесторами</w:t>
      </w:r>
      <w:r w:rsidR="00F24EEC" w:rsidRPr="007E1DC1">
        <w:t>. Кроме того, подведомственное учреждение Комитету экономики – ГАУ ВО «Волгоградский бизнес – инкубатор»</w:t>
      </w:r>
      <w:r w:rsidR="0023734B" w:rsidRPr="007E1DC1">
        <w:rPr>
          <w:rFonts w:eastAsia="Calibri"/>
        </w:rPr>
        <w:t xml:space="preserve"> </w:t>
      </w:r>
      <w:r w:rsidR="0023734B" w:rsidRPr="007E1DC1">
        <w:rPr>
          <w:rStyle w:val="af3"/>
          <w:rFonts w:eastAsia="Calibri"/>
          <w:b/>
        </w:rPr>
        <w:t xml:space="preserve"> </w:t>
      </w:r>
      <w:r w:rsidR="0023734B" w:rsidRPr="007E1DC1">
        <w:rPr>
          <w:rStyle w:val="a8"/>
          <w:b w:val="0"/>
        </w:rPr>
        <w:t>создано в целях создания благоприятных</w:t>
      </w:r>
      <w:r w:rsidR="00FF6E4C" w:rsidRPr="007E1DC1">
        <w:rPr>
          <w:rStyle w:val="a8"/>
          <w:b w:val="0"/>
        </w:rPr>
        <w:t xml:space="preserve"> </w:t>
      </w:r>
      <w:r w:rsidR="0023734B" w:rsidRPr="007E1DC1">
        <w:rPr>
          <w:rStyle w:val="a8"/>
          <w:b w:val="0"/>
        </w:rPr>
        <w:t xml:space="preserve">условий и оказания услуг субъектам малого и среднего предпринимательства, которое также может выполнять функции по подготовке и продвижению инвестиционных проектов в Волгоградской области. </w:t>
      </w:r>
      <w:r w:rsidR="00FE60AA" w:rsidRPr="007E1DC1">
        <w:rPr>
          <w:rStyle w:val="a8"/>
          <w:b w:val="0"/>
        </w:rPr>
        <w:t xml:space="preserve">Например, в Татарстане </w:t>
      </w:r>
      <w:r w:rsidR="00721AA7" w:rsidRPr="007E1DC1">
        <w:rPr>
          <w:rStyle w:val="a8"/>
          <w:b w:val="0"/>
        </w:rPr>
        <w:t xml:space="preserve">развитием </w:t>
      </w:r>
      <w:r w:rsidR="00FE60AA" w:rsidRPr="007E1DC1">
        <w:rPr>
          <w:rStyle w:val="a8"/>
          <w:b w:val="0"/>
        </w:rPr>
        <w:t>инвестици</w:t>
      </w:r>
      <w:r w:rsidR="00721AA7" w:rsidRPr="007E1DC1">
        <w:rPr>
          <w:rStyle w:val="a8"/>
          <w:b w:val="0"/>
        </w:rPr>
        <w:t>й</w:t>
      </w:r>
      <w:r w:rsidR="00FE60AA" w:rsidRPr="007E1DC1">
        <w:rPr>
          <w:rStyle w:val="a8"/>
          <w:b w:val="0"/>
        </w:rPr>
        <w:t xml:space="preserve"> занимается орган исполнительной власти. </w:t>
      </w:r>
      <w:r w:rsidR="00BD61F0" w:rsidRPr="007E1DC1">
        <w:rPr>
          <w:rStyle w:val="a8"/>
          <w:b w:val="0"/>
        </w:rPr>
        <w:t>Для привлечения инвестиций и работы с внешними инвесторами в 2012 году было создано АО «Корпорация развития Татарстана». В 2016 году ее работа была признана неэффективной, поскольку единственный проект стоимостью 650 млрд</w:t>
      </w:r>
      <w:proofErr w:type="gramStart"/>
      <w:r w:rsidR="00BD61F0" w:rsidRPr="007E1DC1">
        <w:rPr>
          <w:rStyle w:val="a8"/>
          <w:b w:val="0"/>
        </w:rPr>
        <w:t>.р</w:t>
      </w:r>
      <w:proofErr w:type="gramEnd"/>
      <w:r w:rsidR="00BD61F0" w:rsidRPr="007E1DC1">
        <w:rPr>
          <w:rStyle w:val="a8"/>
          <w:b w:val="0"/>
        </w:rPr>
        <w:t>уб., которым занималась корпорация - создание делового города-спутника Казани «</w:t>
      </w:r>
      <w:proofErr w:type="spellStart"/>
      <w:r w:rsidR="00BD61F0" w:rsidRPr="007E1DC1">
        <w:rPr>
          <w:rStyle w:val="a8"/>
          <w:b w:val="0"/>
        </w:rPr>
        <w:t>Смарт-сити</w:t>
      </w:r>
      <w:proofErr w:type="spellEnd"/>
      <w:r w:rsidR="00BD61F0" w:rsidRPr="007E1DC1">
        <w:rPr>
          <w:rStyle w:val="a8"/>
          <w:b w:val="0"/>
        </w:rPr>
        <w:t xml:space="preserve"> Казань», заморожен. </w:t>
      </w:r>
    </w:p>
    <w:p w:rsidR="005A68EC" w:rsidRPr="0023734B" w:rsidRDefault="00BD61F0" w:rsidP="00BD61F0">
      <w:pPr>
        <w:ind w:firstLine="680"/>
        <w:jc w:val="both"/>
        <w:rPr>
          <w:b/>
        </w:rPr>
      </w:pPr>
      <w:r w:rsidRPr="007E1DC1">
        <w:rPr>
          <w:rStyle w:val="a8"/>
          <w:b w:val="0"/>
        </w:rPr>
        <w:t>В настоящее время, полномочия по вопросам сопровождения и реализации инвестиционных проектов, участия в формировании благоприятного инвестиционного климата и повышения инвестиционной привлекательности Республики Татарстан, привлечения инвестиций, в том числе в проекты, реализуемые на основании соглашений о государственно-частном партнерстве</w:t>
      </w:r>
      <w:r w:rsidR="00FE60AA" w:rsidRPr="007E1DC1">
        <w:t xml:space="preserve"> </w:t>
      </w:r>
      <w:r w:rsidR="00FE60AA" w:rsidRPr="007E1DC1">
        <w:rPr>
          <w:rStyle w:val="a8"/>
          <w:b w:val="0"/>
        </w:rPr>
        <w:t>(</w:t>
      </w:r>
      <w:proofErr w:type="spellStart"/>
      <w:r w:rsidR="00FE60AA" w:rsidRPr="007E1DC1">
        <w:rPr>
          <w:rStyle w:val="a8"/>
          <w:b w:val="0"/>
        </w:rPr>
        <w:t>муниципально-частном</w:t>
      </w:r>
      <w:proofErr w:type="spellEnd"/>
      <w:r w:rsidR="00FE60AA" w:rsidRPr="007E1DC1">
        <w:rPr>
          <w:rStyle w:val="a8"/>
          <w:b w:val="0"/>
        </w:rPr>
        <w:t xml:space="preserve"> партнерстве), концессионных соглашений, контрактов жизненного цикла, иных инвестиционных договоров осуществляет «Агентство инвестиционного развития Республики Татарстан», являющееся органом исполнительной власти Республики Татарстан.</w:t>
      </w:r>
      <w:r w:rsidR="00FE60AA">
        <w:rPr>
          <w:rStyle w:val="a8"/>
          <w:b w:val="0"/>
        </w:rPr>
        <w:t xml:space="preserve"> </w:t>
      </w:r>
      <w:r w:rsidR="00FE60AA" w:rsidRPr="00FE60AA">
        <w:rPr>
          <w:rStyle w:val="a8"/>
          <w:b w:val="0"/>
        </w:rPr>
        <w:t xml:space="preserve"> </w:t>
      </w:r>
    </w:p>
    <w:p w:rsidR="009E2E8E" w:rsidRPr="00805F13" w:rsidRDefault="009E2E8E" w:rsidP="009E2E8E">
      <w:pPr>
        <w:ind w:firstLine="709"/>
        <w:jc w:val="center"/>
        <w:rPr>
          <w:b/>
        </w:rPr>
      </w:pPr>
      <w:r w:rsidRPr="00805F13">
        <w:rPr>
          <w:b/>
        </w:rPr>
        <w:lastRenderedPageBreak/>
        <w:t xml:space="preserve">Анализ </w:t>
      </w:r>
      <w:proofErr w:type="gramStart"/>
      <w:r w:rsidRPr="00805F13">
        <w:rPr>
          <w:b/>
        </w:rPr>
        <w:t>показателей эффективности деятельности Корпорации развития</w:t>
      </w:r>
      <w:proofErr w:type="gramEnd"/>
    </w:p>
    <w:p w:rsidR="009E2E8E" w:rsidRDefault="009E2E8E" w:rsidP="009E2E8E">
      <w:pPr>
        <w:pStyle w:val="ConsPlusNormal"/>
        <w:ind w:firstLine="680"/>
        <w:jc w:val="both"/>
      </w:pPr>
      <w:proofErr w:type="gramStart"/>
      <w:r>
        <w:t xml:space="preserve">На основании </w:t>
      </w:r>
      <w:r w:rsidRPr="002C305C">
        <w:t>Методических указаний по применению ключевых показателей эффективности государственными корпорациями</w:t>
      </w:r>
      <w:r>
        <w:t xml:space="preserve">…, а также хозяйственными обществами, в уставном капитале которых доля участия РФ, субъекта РФ в совокупности превышает пятьдесят процентов, разработанных во исполнение п. 4 перечня поручений Президента РФ по итогам Петербургского международного экономического форума от 05.07.2013 № ПР-1474, </w:t>
      </w:r>
      <w:r w:rsidRPr="002C305C">
        <w:t>Корпорацией развития разработаны</w:t>
      </w:r>
      <w:r>
        <w:t xml:space="preserve"> и КУГИ утверждены </w:t>
      </w:r>
      <w:r w:rsidRPr="00464986">
        <w:t>ключевые показатели эффективности (далее – КПЭ)</w:t>
      </w:r>
      <w:r>
        <w:t xml:space="preserve">. </w:t>
      </w:r>
      <w:proofErr w:type="gramEnd"/>
    </w:p>
    <w:p w:rsidR="009E2E8E" w:rsidRDefault="009E2E8E" w:rsidP="009E2E8E">
      <w:pPr>
        <w:pStyle w:val="ConsPlusNormal"/>
        <w:ind w:firstLine="680"/>
        <w:jc w:val="both"/>
      </w:pPr>
      <w:r>
        <w:t>В нижеприведенной таблице представлена информация о плановых и фактических значениях КПЭ.</w:t>
      </w:r>
    </w:p>
    <w:tbl>
      <w:tblPr>
        <w:tblW w:w="10348" w:type="dxa"/>
        <w:tblInd w:w="-459" w:type="dxa"/>
        <w:tblLayout w:type="fixed"/>
        <w:tblLook w:val="04A0"/>
      </w:tblPr>
      <w:tblGrid>
        <w:gridCol w:w="283"/>
        <w:gridCol w:w="2552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</w:tblGrid>
      <w:tr w:rsidR="009E2E8E" w:rsidRPr="002727B8" w:rsidTr="00BD2865">
        <w:trPr>
          <w:trHeight w:val="300"/>
        </w:trPr>
        <w:tc>
          <w:tcPr>
            <w:tcW w:w="28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437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8437F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A8437F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A8437F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437F">
              <w:rPr>
                <w:b/>
                <w:bCs/>
                <w:color w:val="000000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437F">
              <w:rPr>
                <w:b/>
                <w:bCs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437F">
              <w:rPr>
                <w:b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437F">
              <w:rPr>
                <w:b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437F">
              <w:rPr>
                <w:b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EAF1DD"/>
            <w:noWrap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437F">
              <w:rPr>
                <w:b/>
                <w:bCs/>
                <w:color w:val="000000"/>
                <w:sz w:val="18"/>
                <w:szCs w:val="18"/>
              </w:rPr>
              <w:t>2021 год</w:t>
            </w:r>
          </w:p>
        </w:tc>
      </w:tr>
      <w:tr w:rsidR="009E2E8E" w:rsidRPr="002727B8" w:rsidTr="00BD2865">
        <w:trPr>
          <w:trHeight w:val="510"/>
        </w:trPr>
        <w:tc>
          <w:tcPr>
            <w:tcW w:w="28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2E8E" w:rsidRPr="00A8437F" w:rsidRDefault="009E2E8E" w:rsidP="00BD286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2E8E" w:rsidRPr="00A8437F" w:rsidRDefault="009E2E8E" w:rsidP="00BD286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437F"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437F">
              <w:rPr>
                <w:b/>
                <w:bCs/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8437F">
              <w:rPr>
                <w:b/>
                <w:bCs/>
                <w:color w:val="000000"/>
                <w:sz w:val="18"/>
                <w:szCs w:val="18"/>
              </w:rPr>
              <w:t>% достижения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sz w:val="18"/>
                <w:szCs w:val="18"/>
              </w:rPr>
            </w:pPr>
            <w:r w:rsidRPr="00A8437F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sz w:val="18"/>
                <w:szCs w:val="18"/>
              </w:rPr>
            </w:pPr>
            <w:r w:rsidRPr="00A8437F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sz w:val="18"/>
                <w:szCs w:val="18"/>
              </w:rPr>
            </w:pPr>
            <w:r w:rsidRPr="00A8437F">
              <w:rPr>
                <w:b/>
                <w:bCs/>
                <w:sz w:val="18"/>
                <w:szCs w:val="18"/>
              </w:rPr>
              <w:t>% достижения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sz w:val="18"/>
                <w:szCs w:val="18"/>
              </w:rPr>
            </w:pPr>
            <w:r w:rsidRPr="00A8437F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sz w:val="18"/>
                <w:szCs w:val="18"/>
              </w:rPr>
            </w:pPr>
            <w:r w:rsidRPr="00A8437F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000000" w:fill="EAF1DD"/>
            <w:vAlign w:val="center"/>
            <w:hideMark/>
          </w:tcPr>
          <w:p w:rsidR="009E2E8E" w:rsidRPr="00A8437F" w:rsidRDefault="009E2E8E" w:rsidP="00BD2865">
            <w:pPr>
              <w:jc w:val="center"/>
              <w:rPr>
                <w:b/>
                <w:bCs/>
                <w:sz w:val="18"/>
                <w:szCs w:val="18"/>
              </w:rPr>
            </w:pPr>
            <w:r w:rsidRPr="00A8437F">
              <w:rPr>
                <w:b/>
                <w:bCs/>
                <w:sz w:val="18"/>
                <w:szCs w:val="18"/>
              </w:rPr>
              <w:t>План</w:t>
            </w:r>
          </w:p>
        </w:tc>
      </w:tr>
      <w:tr w:rsidR="009E2E8E" w:rsidRPr="007567BD" w:rsidTr="00BD2865">
        <w:trPr>
          <w:trHeight w:val="300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Pr="007567BD" w:rsidRDefault="009E2E8E" w:rsidP="00BD2865">
            <w:pPr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Размер дивиден</w:t>
            </w:r>
            <w:r>
              <w:rPr>
                <w:color w:val="000000"/>
                <w:sz w:val="18"/>
                <w:szCs w:val="18"/>
              </w:rPr>
              <w:t>д</w:t>
            </w:r>
            <w:r w:rsidRPr="007567BD">
              <w:rPr>
                <w:color w:val="000000"/>
                <w:sz w:val="18"/>
                <w:szCs w:val="18"/>
              </w:rPr>
              <w:t>ов, тыс</w:t>
            </w:r>
            <w:proofErr w:type="gramStart"/>
            <w:r w:rsidRPr="007567B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567BD">
              <w:rPr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0</w:t>
            </w:r>
          </w:p>
        </w:tc>
      </w:tr>
      <w:tr w:rsidR="009E2E8E" w:rsidRPr="007567BD" w:rsidTr="00BD2865">
        <w:trPr>
          <w:trHeight w:val="525"/>
        </w:trPr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Default="009E2E8E" w:rsidP="00BD2865">
            <w:pPr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 xml:space="preserve">Рентабельность </w:t>
            </w:r>
            <w:proofErr w:type="gramStart"/>
            <w:r w:rsidRPr="007567BD">
              <w:rPr>
                <w:color w:val="000000"/>
                <w:sz w:val="18"/>
                <w:szCs w:val="18"/>
              </w:rPr>
              <w:t>инвести</w:t>
            </w:r>
            <w:r>
              <w:rPr>
                <w:color w:val="000000"/>
                <w:sz w:val="18"/>
                <w:szCs w:val="18"/>
              </w:rPr>
              <w:t>рованного</w:t>
            </w:r>
            <w:proofErr w:type="gramEnd"/>
          </w:p>
          <w:p w:rsidR="009E2E8E" w:rsidRPr="007567BD" w:rsidRDefault="009E2E8E" w:rsidP="00BD2865">
            <w:pPr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7BD">
              <w:rPr>
                <w:color w:val="000000"/>
                <w:sz w:val="18"/>
                <w:szCs w:val="18"/>
              </w:rPr>
              <w:t>капитала,%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-1,14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-600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-8,35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0</w:t>
            </w:r>
          </w:p>
        </w:tc>
      </w:tr>
      <w:tr w:rsidR="009E2E8E" w:rsidRPr="007567BD" w:rsidTr="00BD2865">
        <w:trPr>
          <w:trHeight w:val="211"/>
        </w:trPr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Pr="007567BD" w:rsidRDefault="009E2E8E" w:rsidP="00BD2865">
            <w:pPr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ЕВITDA, тыс</w:t>
            </w:r>
            <w:proofErr w:type="gramStart"/>
            <w:r w:rsidRPr="007567B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567BD">
              <w:rPr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973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97,3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8 950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-10330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13932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13565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13198</w:t>
            </w:r>
          </w:p>
        </w:tc>
      </w:tr>
      <w:tr w:rsidR="009E2E8E" w:rsidRPr="007567BD" w:rsidTr="00BD2865">
        <w:trPr>
          <w:trHeight w:val="300"/>
        </w:trPr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Pr="007567BD" w:rsidRDefault="009E2E8E" w:rsidP="00BD2865">
            <w:pPr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 xml:space="preserve">Рентабельность по  </w:t>
            </w:r>
            <w:proofErr w:type="gramStart"/>
            <w:r w:rsidRPr="007567BD">
              <w:rPr>
                <w:color w:val="000000"/>
                <w:sz w:val="18"/>
                <w:szCs w:val="18"/>
              </w:rPr>
              <w:t>ЕВ</w:t>
            </w:r>
            <w:proofErr w:type="gramEnd"/>
            <w:r w:rsidRPr="007567BD">
              <w:rPr>
                <w:color w:val="000000"/>
                <w:sz w:val="18"/>
                <w:szCs w:val="18"/>
              </w:rPr>
              <w:t>ITDA,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-168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34</w:t>
            </w:r>
          </w:p>
        </w:tc>
      </w:tr>
      <w:tr w:rsidR="009E2E8E" w:rsidRPr="007567BD" w:rsidTr="00BD2865">
        <w:trPr>
          <w:trHeight w:val="464"/>
        </w:trPr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Pr="007567BD" w:rsidRDefault="009E2E8E" w:rsidP="00BD2865">
            <w:pPr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Удельная выручка на одного сотрудника, тыс</w:t>
            </w:r>
            <w:proofErr w:type="gramStart"/>
            <w:r w:rsidRPr="007567B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7567BD">
              <w:rPr>
                <w:color w:val="000000"/>
                <w:sz w:val="18"/>
                <w:szCs w:val="18"/>
              </w:rPr>
              <w:t>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747,69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74,77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740,0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3272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2804</w:t>
            </w:r>
          </w:p>
        </w:tc>
      </w:tr>
      <w:tr w:rsidR="009E2E8E" w:rsidRPr="007567BD" w:rsidTr="00BD2865">
        <w:trPr>
          <w:trHeight w:val="355"/>
        </w:trPr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Pr="007567BD" w:rsidRDefault="009E2E8E" w:rsidP="00BD2865">
            <w:pPr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Размер привлеченн</w:t>
            </w:r>
            <w:r>
              <w:rPr>
                <w:color w:val="000000"/>
                <w:sz w:val="18"/>
                <w:szCs w:val="18"/>
              </w:rPr>
              <w:t>ы</w:t>
            </w:r>
            <w:r w:rsidRPr="007567BD">
              <w:rPr>
                <w:color w:val="000000"/>
                <w:sz w:val="18"/>
                <w:szCs w:val="18"/>
              </w:rPr>
              <w:t>х инвестиций, 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50000</w:t>
            </w:r>
          </w:p>
        </w:tc>
      </w:tr>
      <w:tr w:rsidR="009E2E8E" w:rsidRPr="007567BD" w:rsidTr="00BD2865">
        <w:trPr>
          <w:trHeight w:val="787"/>
        </w:trPr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Pr="007567BD" w:rsidRDefault="009E2E8E" w:rsidP="00BD2865">
            <w:pPr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Количество созданных новых рабочих мест в рамках реализации инвестиционных проектов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50</w:t>
            </w:r>
          </w:p>
        </w:tc>
      </w:tr>
      <w:tr w:rsidR="009E2E8E" w:rsidRPr="007567BD" w:rsidTr="00BD2865">
        <w:trPr>
          <w:trHeight w:val="515"/>
        </w:trPr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E8E" w:rsidRPr="007567BD" w:rsidRDefault="009E2E8E" w:rsidP="00BD2865">
            <w:pPr>
              <w:rPr>
                <w:color w:val="000000"/>
                <w:sz w:val="18"/>
                <w:szCs w:val="18"/>
              </w:rPr>
            </w:pPr>
            <w:r w:rsidRPr="007567BD">
              <w:rPr>
                <w:color w:val="000000"/>
                <w:sz w:val="18"/>
                <w:szCs w:val="18"/>
              </w:rPr>
              <w:t>Долговая нагрузка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ind w:left="-108" w:right="-107"/>
              <w:jc w:val="right"/>
              <w:rPr>
                <w:sz w:val="18"/>
                <w:szCs w:val="18"/>
              </w:rPr>
            </w:pPr>
            <w:proofErr w:type="spellStart"/>
            <w:r w:rsidRPr="007567BD">
              <w:rPr>
                <w:sz w:val="18"/>
                <w:szCs w:val="18"/>
              </w:rPr>
              <w:t>lim</w:t>
            </w:r>
            <w:proofErr w:type="spellEnd"/>
            <w:r w:rsidRPr="007567BD">
              <w:rPr>
                <w:sz w:val="18"/>
                <w:szCs w:val="18"/>
              </w:rPr>
              <w:t>&lt;5(раз)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 xml:space="preserve">лимит </w:t>
            </w:r>
            <w:proofErr w:type="spellStart"/>
            <w:proofErr w:type="gramStart"/>
            <w:r w:rsidRPr="007567BD">
              <w:rPr>
                <w:sz w:val="18"/>
                <w:szCs w:val="18"/>
              </w:rPr>
              <w:t>превы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567BD">
              <w:rPr>
                <w:sz w:val="18"/>
                <w:szCs w:val="18"/>
              </w:rPr>
              <w:t>шен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lim≤14 (раз)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ind w:left="-108" w:right="-108"/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>&gt;14 (</w:t>
            </w:r>
            <w:r>
              <w:rPr>
                <w:sz w:val="18"/>
                <w:szCs w:val="18"/>
              </w:rPr>
              <w:t>17,3</w:t>
            </w:r>
            <w:r w:rsidRPr="007567BD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r w:rsidRPr="007567BD">
              <w:rPr>
                <w:sz w:val="18"/>
                <w:szCs w:val="18"/>
              </w:rPr>
              <w:t xml:space="preserve">лимит </w:t>
            </w:r>
            <w:proofErr w:type="spellStart"/>
            <w:proofErr w:type="gramStart"/>
            <w:r w:rsidRPr="007567BD">
              <w:rPr>
                <w:sz w:val="18"/>
                <w:szCs w:val="18"/>
              </w:rPr>
              <w:t>превы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567BD">
              <w:rPr>
                <w:sz w:val="18"/>
                <w:szCs w:val="18"/>
              </w:rPr>
              <w:t>шен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proofErr w:type="spellStart"/>
            <w:r w:rsidRPr="007567BD">
              <w:rPr>
                <w:sz w:val="18"/>
                <w:szCs w:val="18"/>
              </w:rPr>
              <w:t>lim</w:t>
            </w:r>
            <w:proofErr w:type="spellEnd"/>
            <w:r w:rsidRPr="007567BD">
              <w:rPr>
                <w:sz w:val="18"/>
                <w:szCs w:val="18"/>
              </w:rPr>
              <w:t>&lt;13</w:t>
            </w:r>
            <w:r>
              <w:rPr>
                <w:sz w:val="18"/>
                <w:szCs w:val="18"/>
              </w:rPr>
              <w:t xml:space="preserve"> </w:t>
            </w:r>
            <w:r w:rsidRPr="007567BD">
              <w:rPr>
                <w:sz w:val="18"/>
                <w:szCs w:val="18"/>
              </w:rPr>
              <w:t>(раз)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proofErr w:type="spellStart"/>
            <w:r w:rsidRPr="007567BD">
              <w:rPr>
                <w:sz w:val="18"/>
                <w:szCs w:val="18"/>
              </w:rPr>
              <w:t>lim</w:t>
            </w:r>
            <w:proofErr w:type="spellEnd"/>
            <w:r w:rsidRPr="007567BD">
              <w:rPr>
                <w:sz w:val="18"/>
                <w:szCs w:val="18"/>
              </w:rPr>
              <w:t>&lt;12</w:t>
            </w:r>
            <w:r>
              <w:rPr>
                <w:sz w:val="18"/>
                <w:szCs w:val="18"/>
              </w:rPr>
              <w:t xml:space="preserve"> </w:t>
            </w:r>
            <w:r w:rsidRPr="007567BD">
              <w:rPr>
                <w:sz w:val="18"/>
                <w:szCs w:val="18"/>
              </w:rPr>
              <w:t>(раз)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567BD" w:rsidRDefault="009E2E8E" w:rsidP="00BD2865">
            <w:pPr>
              <w:jc w:val="right"/>
              <w:rPr>
                <w:sz w:val="18"/>
                <w:szCs w:val="18"/>
              </w:rPr>
            </w:pPr>
            <w:proofErr w:type="spellStart"/>
            <w:r w:rsidRPr="007567BD">
              <w:rPr>
                <w:sz w:val="18"/>
                <w:szCs w:val="18"/>
              </w:rPr>
              <w:t>lim</w:t>
            </w:r>
            <w:proofErr w:type="spellEnd"/>
            <w:r w:rsidRPr="007567BD">
              <w:rPr>
                <w:sz w:val="18"/>
                <w:szCs w:val="18"/>
              </w:rPr>
              <w:t>&lt;12</w:t>
            </w:r>
            <w:r>
              <w:rPr>
                <w:sz w:val="18"/>
                <w:szCs w:val="18"/>
              </w:rPr>
              <w:t xml:space="preserve"> </w:t>
            </w:r>
            <w:r w:rsidRPr="007567BD">
              <w:rPr>
                <w:sz w:val="18"/>
                <w:szCs w:val="18"/>
              </w:rPr>
              <w:t>(раз)</w:t>
            </w:r>
          </w:p>
        </w:tc>
      </w:tr>
      <w:tr w:rsidR="009E2E8E" w:rsidRPr="00741536" w:rsidTr="00BD2865">
        <w:trPr>
          <w:trHeight w:val="595"/>
        </w:trPr>
        <w:tc>
          <w:tcPr>
            <w:tcW w:w="28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41536" w:rsidRDefault="009E2E8E" w:rsidP="00BD2865">
            <w:pPr>
              <w:jc w:val="right"/>
              <w:rPr>
                <w:color w:val="000000"/>
                <w:sz w:val="18"/>
                <w:szCs w:val="18"/>
              </w:rPr>
            </w:pPr>
            <w:r w:rsidRPr="0074153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Pr="00741536" w:rsidRDefault="009E2E8E" w:rsidP="00BD2865">
            <w:pPr>
              <w:rPr>
                <w:color w:val="000000"/>
                <w:sz w:val="18"/>
                <w:szCs w:val="18"/>
              </w:rPr>
            </w:pPr>
            <w:r w:rsidRPr="00741536">
              <w:rPr>
                <w:color w:val="000000"/>
                <w:sz w:val="18"/>
                <w:szCs w:val="18"/>
              </w:rPr>
              <w:t>Коэффиц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741536">
              <w:rPr>
                <w:color w:val="000000"/>
                <w:sz w:val="18"/>
                <w:szCs w:val="18"/>
              </w:rPr>
              <w:t>ент обслуживания долговых обязательств (</w:t>
            </w:r>
            <w:proofErr w:type="spellStart"/>
            <w:r w:rsidRPr="00741536">
              <w:rPr>
                <w:color w:val="000000"/>
                <w:sz w:val="18"/>
                <w:szCs w:val="18"/>
              </w:rPr>
              <w:t>DSR-Debt</w:t>
            </w:r>
            <w:proofErr w:type="spellEnd"/>
            <w:r w:rsidRPr="0074153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536">
              <w:rPr>
                <w:color w:val="000000"/>
                <w:sz w:val="18"/>
                <w:szCs w:val="18"/>
              </w:rPr>
              <w:t>Service</w:t>
            </w:r>
            <w:proofErr w:type="spellEnd"/>
            <w:r w:rsidRPr="0074153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1536">
              <w:rPr>
                <w:color w:val="000000"/>
                <w:sz w:val="18"/>
                <w:szCs w:val="18"/>
              </w:rPr>
              <w:t>Ratio</w:t>
            </w:r>
            <w:proofErr w:type="spellEnd"/>
            <w:r w:rsidRPr="0074153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41536" w:rsidRDefault="009E2E8E" w:rsidP="00BD2865">
            <w:pPr>
              <w:jc w:val="right"/>
              <w:rPr>
                <w:sz w:val="18"/>
                <w:szCs w:val="18"/>
              </w:rPr>
            </w:pPr>
            <w:r w:rsidRPr="00741536">
              <w:rPr>
                <w:sz w:val="18"/>
                <w:szCs w:val="18"/>
              </w:rPr>
              <w:t>lim≥100%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41536" w:rsidRDefault="009E2E8E" w:rsidP="00BD2865">
            <w:pPr>
              <w:jc w:val="right"/>
              <w:rPr>
                <w:sz w:val="18"/>
                <w:szCs w:val="18"/>
              </w:rPr>
            </w:pPr>
            <w:r w:rsidRPr="00741536">
              <w:rPr>
                <w:sz w:val="18"/>
                <w:szCs w:val="18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Pr="00741536" w:rsidRDefault="009E2E8E" w:rsidP="00BD2865">
            <w:pPr>
              <w:jc w:val="right"/>
              <w:rPr>
                <w:sz w:val="18"/>
                <w:szCs w:val="18"/>
              </w:rPr>
            </w:pPr>
            <w:r w:rsidRPr="00741536">
              <w:rPr>
                <w:sz w:val="18"/>
                <w:szCs w:val="18"/>
              </w:rPr>
              <w:t xml:space="preserve">лимит </w:t>
            </w:r>
            <w:proofErr w:type="spellStart"/>
            <w:proofErr w:type="gramStart"/>
            <w:r w:rsidRPr="00741536">
              <w:rPr>
                <w:sz w:val="18"/>
                <w:szCs w:val="18"/>
              </w:rPr>
              <w:t>превы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41536">
              <w:rPr>
                <w:sz w:val="18"/>
                <w:szCs w:val="18"/>
              </w:rPr>
              <w:t>шен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41536" w:rsidRDefault="009E2E8E" w:rsidP="00BD2865">
            <w:pPr>
              <w:jc w:val="right"/>
              <w:rPr>
                <w:sz w:val="18"/>
                <w:szCs w:val="18"/>
              </w:rPr>
            </w:pPr>
            <w:proofErr w:type="spellStart"/>
            <w:r w:rsidRPr="00741536">
              <w:rPr>
                <w:sz w:val="18"/>
                <w:szCs w:val="18"/>
              </w:rPr>
              <w:t>lim</w:t>
            </w:r>
            <w:proofErr w:type="spellEnd"/>
            <w:r w:rsidRPr="00741536">
              <w:rPr>
                <w:sz w:val="18"/>
                <w:szCs w:val="18"/>
              </w:rPr>
              <w:t>&gt;7%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41536" w:rsidRDefault="009E2E8E" w:rsidP="00BD2865">
            <w:pPr>
              <w:jc w:val="right"/>
              <w:rPr>
                <w:sz w:val="18"/>
                <w:szCs w:val="18"/>
              </w:rPr>
            </w:pPr>
            <w:r w:rsidRPr="00741536">
              <w:rPr>
                <w:sz w:val="18"/>
                <w:szCs w:val="18"/>
              </w:rPr>
              <w:t>˂7</w:t>
            </w:r>
            <w:r>
              <w:rPr>
                <w:sz w:val="18"/>
                <w:szCs w:val="18"/>
              </w:rPr>
              <w:t xml:space="preserve">         </w:t>
            </w:r>
            <w:r w:rsidRPr="00741536">
              <w:rPr>
                <w:sz w:val="18"/>
                <w:szCs w:val="18"/>
              </w:rPr>
              <w:t>(-5,6)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E8E" w:rsidRPr="00741536" w:rsidRDefault="009E2E8E" w:rsidP="00BD2865">
            <w:pPr>
              <w:jc w:val="right"/>
              <w:rPr>
                <w:sz w:val="18"/>
                <w:szCs w:val="18"/>
              </w:rPr>
            </w:pPr>
            <w:r w:rsidRPr="00741536">
              <w:rPr>
                <w:sz w:val="18"/>
                <w:szCs w:val="18"/>
              </w:rPr>
              <w:t xml:space="preserve">лимит </w:t>
            </w:r>
            <w:proofErr w:type="spellStart"/>
            <w:proofErr w:type="gramStart"/>
            <w:r w:rsidRPr="00741536">
              <w:rPr>
                <w:sz w:val="18"/>
                <w:szCs w:val="18"/>
              </w:rPr>
              <w:t>превы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41536">
              <w:rPr>
                <w:sz w:val="18"/>
                <w:szCs w:val="18"/>
              </w:rPr>
              <w:t>шен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41536" w:rsidRDefault="009E2E8E" w:rsidP="00BD2865">
            <w:pPr>
              <w:jc w:val="right"/>
              <w:rPr>
                <w:sz w:val="18"/>
                <w:szCs w:val="18"/>
              </w:rPr>
            </w:pPr>
            <w:proofErr w:type="spellStart"/>
            <w:r w:rsidRPr="00741536">
              <w:rPr>
                <w:sz w:val="18"/>
                <w:szCs w:val="18"/>
              </w:rPr>
              <w:t>lim</w:t>
            </w:r>
            <w:proofErr w:type="spellEnd"/>
            <w:r w:rsidRPr="00741536">
              <w:rPr>
                <w:sz w:val="18"/>
                <w:szCs w:val="18"/>
              </w:rPr>
              <w:t>&gt;7%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41536" w:rsidRDefault="009E2E8E" w:rsidP="00BD2865">
            <w:pPr>
              <w:jc w:val="right"/>
              <w:rPr>
                <w:sz w:val="18"/>
                <w:szCs w:val="18"/>
              </w:rPr>
            </w:pPr>
            <w:proofErr w:type="spellStart"/>
            <w:r w:rsidRPr="00741536">
              <w:rPr>
                <w:sz w:val="18"/>
                <w:szCs w:val="18"/>
              </w:rPr>
              <w:t>lim</w:t>
            </w:r>
            <w:proofErr w:type="spellEnd"/>
            <w:r w:rsidRPr="00741536">
              <w:rPr>
                <w:sz w:val="18"/>
                <w:szCs w:val="18"/>
              </w:rPr>
              <w:t>&gt;8%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9E2E8E" w:rsidRPr="00741536" w:rsidRDefault="009E2E8E" w:rsidP="00BD2865">
            <w:pPr>
              <w:jc w:val="right"/>
              <w:rPr>
                <w:sz w:val="18"/>
                <w:szCs w:val="18"/>
              </w:rPr>
            </w:pPr>
            <w:proofErr w:type="spellStart"/>
            <w:r w:rsidRPr="00741536">
              <w:rPr>
                <w:sz w:val="18"/>
                <w:szCs w:val="18"/>
              </w:rPr>
              <w:t>lim</w:t>
            </w:r>
            <w:proofErr w:type="spellEnd"/>
            <w:r w:rsidRPr="00741536">
              <w:rPr>
                <w:sz w:val="18"/>
                <w:szCs w:val="18"/>
              </w:rPr>
              <w:t>&gt;8%</w:t>
            </w:r>
          </w:p>
        </w:tc>
      </w:tr>
    </w:tbl>
    <w:p w:rsidR="009E2E8E" w:rsidRDefault="009E2E8E" w:rsidP="009E2E8E">
      <w:pPr>
        <w:pStyle w:val="ConsPlusNormal"/>
        <w:ind w:firstLine="680"/>
        <w:jc w:val="both"/>
      </w:pPr>
    </w:p>
    <w:p w:rsidR="009E2E8E" w:rsidRDefault="009E2E8E" w:rsidP="009E2E8E">
      <w:pPr>
        <w:pStyle w:val="ConsPlusNormal"/>
        <w:ind w:firstLine="680"/>
        <w:jc w:val="both"/>
      </w:pPr>
      <w:r w:rsidRPr="00741536">
        <w:t>Как видно из таблицы</w:t>
      </w:r>
      <w:r w:rsidR="00076D2A">
        <w:t>,</w:t>
      </w:r>
      <w:r w:rsidRPr="00741536">
        <w:t xml:space="preserve"> для Корпорации развития установлено</w:t>
      </w:r>
      <w:r>
        <w:t xml:space="preserve"> 9 показателей КПЭ.</w:t>
      </w:r>
    </w:p>
    <w:p w:rsidR="009E2E8E" w:rsidRDefault="009E2E8E" w:rsidP="009E2E8E">
      <w:pPr>
        <w:pStyle w:val="ConsPlusNormal"/>
        <w:ind w:firstLine="680"/>
        <w:jc w:val="both"/>
      </w:pPr>
      <w:r>
        <w:t xml:space="preserve">КПЭ Корпорации развития подразделяются </w:t>
      </w:r>
      <w:proofErr w:type="gramStart"/>
      <w:r>
        <w:t>на</w:t>
      </w:r>
      <w:proofErr w:type="gramEnd"/>
      <w:r>
        <w:t>:</w:t>
      </w:r>
    </w:p>
    <w:p w:rsidR="009E2E8E" w:rsidRDefault="009E2E8E" w:rsidP="00C205F1">
      <w:pPr>
        <w:pStyle w:val="ConsPlusNormal"/>
        <w:ind w:firstLine="680"/>
        <w:jc w:val="both"/>
      </w:pPr>
      <w:r>
        <w:t xml:space="preserve">- финансово-экономические показатели: размер дивидендов, рентабельность инвестированного капитала (отношение чистой операционной прибыли к величине собственного капитала и долгосрочных обязательств), </w:t>
      </w:r>
      <w:r>
        <w:rPr>
          <w:lang w:val="en-US"/>
        </w:rPr>
        <w:t>EBITDA</w:t>
      </w:r>
      <w:r>
        <w:t xml:space="preserve">  (прибыль </w:t>
      </w:r>
      <w:r w:rsidR="00C205F1">
        <w:t xml:space="preserve">до вычета расходов </w:t>
      </w:r>
      <w:r w:rsidR="00C205F1" w:rsidRPr="00C205F1">
        <w:rPr>
          <w:rFonts w:eastAsiaTheme="minorHAnsi"/>
          <w:lang w:eastAsia="en-US"/>
        </w:rPr>
        <w:t>по процентам, по налогу на прибыль и амортизационных отчислений</w:t>
      </w:r>
      <w:r w:rsidR="00C205F1">
        <w:rPr>
          <w:rFonts w:eastAsiaTheme="minorHAnsi"/>
          <w:lang w:eastAsia="en-US"/>
        </w:rPr>
        <w:t>)</w:t>
      </w:r>
      <w:r w:rsidR="00C205F1">
        <w:t xml:space="preserve">, </w:t>
      </w:r>
      <w:r>
        <w:t xml:space="preserve">рентабельность </w:t>
      </w:r>
      <w:r>
        <w:rPr>
          <w:lang w:val="en-US"/>
        </w:rPr>
        <w:t>EBITDA</w:t>
      </w:r>
      <w:r>
        <w:t xml:space="preserve"> (отношение значения</w:t>
      </w:r>
      <w:r w:rsidRPr="005301DC">
        <w:t xml:space="preserve"> </w:t>
      </w:r>
      <w:r>
        <w:rPr>
          <w:lang w:val="en-US"/>
        </w:rPr>
        <w:t>EBITDA</w:t>
      </w:r>
      <w:r>
        <w:t xml:space="preserve"> к выручке*100%), </w:t>
      </w:r>
      <w:r w:rsidRPr="00AC2820">
        <w:t>удельная выручка</w:t>
      </w:r>
      <w:r>
        <w:t xml:space="preserve"> на одного сотрудника;</w:t>
      </w:r>
    </w:p>
    <w:p w:rsidR="009E2E8E" w:rsidRDefault="009E2E8E" w:rsidP="009E2E8E">
      <w:pPr>
        <w:pStyle w:val="ConsPlusNormal"/>
        <w:ind w:firstLine="680"/>
        <w:jc w:val="both"/>
      </w:pPr>
      <w:r>
        <w:t xml:space="preserve">- отраслевые показатели: размер привлеченных инвестиций и количество созданных новых рабочих мест в рамках реализации </w:t>
      </w:r>
      <w:proofErr w:type="spellStart"/>
      <w:r>
        <w:t>инвестпроектов</w:t>
      </w:r>
      <w:proofErr w:type="spellEnd"/>
      <w:r>
        <w:t>;</w:t>
      </w:r>
    </w:p>
    <w:p w:rsidR="009E2E8E" w:rsidRDefault="009E2E8E" w:rsidP="009E2E8E">
      <w:pPr>
        <w:pStyle w:val="ConsPlusNormal"/>
        <w:ind w:firstLine="680"/>
        <w:jc w:val="both"/>
      </w:pPr>
      <w:r>
        <w:t xml:space="preserve">- показатели </w:t>
      </w:r>
      <w:proofErr w:type="spellStart"/>
      <w:r>
        <w:t>депремирования</w:t>
      </w:r>
      <w:proofErr w:type="spellEnd"/>
      <w:r>
        <w:t xml:space="preserve">: долговая нагрузка (отношение суммы всех кредитов и займов  за минусом остатков денежных средств на счетах к значению </w:t>
      </w:r>
      <w:r>
        <w:rPr>
          <w:lang w:val="en-US"/>
        </w:rPr>
        <w:t>EBITDA</w:t>
      </w:r>
      <w:r>
        <w:t xml:space="preserve"> в текущем периоде) и коэффициент обслуживания долговых обязательств (отношение значения</w:t>
      </w:r>
      <w:r w:rsidRPr="004276FB">
        <w:t xml:space="preserve"> </w:t>
      </w:r>
      <w:r>
        <w:rPr>
          <w:lang w:val="en-US"/>
        </w:rPr>
        <w:t>EBITDA</w:t>
      </w:r>
      <w:r>
        <w:t xml:space="preserve"> к сумме основного долга и процентов к уплате в отчетном периоде).</w:t>
      </w:r>
    </w:p>
    <w:p w:rsidR="009E2E8E" w:rsidRDefault="00B8392C" w:rsidP="009E2E8E">
      <w:pPr>
        <w:pStyle w:val="ConsPlusNormal"/>
        <w:ind w:firstLine="680"/>
        <w:jc w:val="both"/>
      </w:pPr>
      <w:r>
        <w:rPr>
          <w:i/>
        </w:rPr>
        <w:t>Как видно из таблицы</w:t>
      </w:r>
      <w:r w:rsidR="003E59E9">
        <w:rPr>
          <w:i/>
        </w:rPr>
        <w:t xml:space="preserve">, </w:t>
      </w:r>
      <w:r w:rsidRPr="00F92D0A">
        <w:rPr>
          <w:i/>
        </w:rPr>
        <w:t xml:space="preserve">за 2017-2018 годы </w:t>
      </w:r>
      <w:r>
        <w:rPr>
          <w:i/>
        </w:rPr>
        <w:t xml:space="preserve">наблюдается </w:t>
      </w:r>
      <w:r w:rsidRPr="00F92D0A">
        <w:rPr>
          <w:i/>
        </w:rPr>
        <w:t>не</w:t>
      </w:r>
      <w:r w:rsidR="007A6016">
        <w:rPr>
          <w:i/>
        </w:rPr>
        <w:t xml:space="preserve">выполнение плановых значений </w:t>
      </w:r>
      <w:r w:rsidRPr="00F92D0A">
        <w:rPr>
          <w:i/>
        </w:rPr>
        <w:t>КПЭ</w:t>
      </w:r>
      <w:r w:rsidR="007A6016">
        <w:rPr>
          <w:i/>
        </w:rPr>
        <w:t xml:space="preserve">, </w:t>
      </w:r>
      <w:r w:rsidR="007A6016" w:rsidRPr="007A6016">
        <w:t>причиной чему</w:t>
      </w:r>
      <w:r w:rsidR="007A6016">
        <w:rPr>
          <w:i/>
        </w:rPr>
        <w:t xml:space="preserve"> </w:t>
      </w:r>
      <w:r w:rsidR="009E2E8E">
        <w:t>яв</w:t>
      </w:r>
      <w:r w:rsidR="007A6016">
        <w:t>илась</w:t>
      </w:r>
      <w:r w:rsidR="009E2E8E">
        <w:t xml:space="preserve"> низкая выручка, полученная в указанные периоды по оказанным услугам, которая не соответствовала расходам Корпорации развития,</w:t>
      </w:r>
      <w:r w:rsidR="009E2E8E" w:rsidRPr="00C35EA3">
        <w:t xml:space="preserve"> </w:t>
      </w:r>
      <w:r w:rsidR="009E2E8E">
        <w:t xml:space="preserve">что привело в 2017-2018 годах к образованию убытков. Также повлияло отсутствие </w:t>
      </w:r>
      <w:proofErr w:type="spellStart"/>
      <w:r w:rsidR="009E2E8E">
        <w:t>софинансирования</w:t>
      </w:r>
      <w:proofErr w:type="spellEnd"/>
      <w:r w:rsidR="009E2E8E">
        <w:t xml:space="preserve"> </w:t>
      </w:r>
      <w:proofErr w:type="spellStart"/>
      <w:r w:rsidR="009E2E8E">
        <w:t>инвестпроектов</w:t>
      </w:r>
      <w:proofErr w:type="spellEnd"/>
      <w:r w:rsidR="009E2E8E">
        <w:t xml:space="preserve">, собственных средств у инициаторов проектов для их реализации,  ликвидных активов у Корпорации развития. </w:t>
      </w:r>
    </w:p>
    <w:p w:rsidR="009E2E8E" w:rsidRDefault="009E2E8E" w:rsidP="009E2E8E">
      <w:pPr>
        <w:pStyle w:val="ConsPlusNormal"/>
        <w:ind w:firstLine="680"/>
        <w:jc w:val="both"/>
        <w:rPr>
          <w:i/>
        </w:rPr>
      </w:pPr>
      <w:r w:rsidRPr="00F92D0A">
        <w:rPr>
          <w:i/>
        </w:rPr>
        <w:t xml:space="preserve">В 2018 году в сравнении с 2017 годом </w:t>
      </w:r>
      <w:r w:rsidR="002C541F">
        <w:rPr>
          <w:i/>
        </w:rPr>
        <w:t xml:space="preserve">отмечается </w:t>
      </w:r>
      <w:r w:rsidRPr="00F92D0A">
        <w:rPr>
          <w:i/>
        </w:rPr>
        <w:t>ухудшение финансово-экономических показателей и показателей, характеризующих долговую нагрузку.</w:t>
      </w:r>
    </w:p>
    <w:p w:rsidR="009E2E8E" w:rsidRDefault="009E2E8E" w:rsidP="00076D2A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Снижение показателя </w:t>
      </w:r>
      <w:r>
        <w:rPr>
          <w:lang w:val="en-US"/>
        </w:rPr>
        <w:t>EBITDA</w:t>
      </w:r>
      <w:r>
        <w:t xml:space="preserve"> свидетельствует о неэффективности деятельности Корпорации развития</w:t>
      </w:r>
      <w:r w:rsidR="00076D2A" w:rsidRPr="00076D2A">
        <w:rPr>
          <w:rFonts w:eastAsiaTheme="minorHAnsi"/>
          <w:lang w:eastAsia="en-US"/>
        </w:rPr>
        <w:t xml:space="preserve"> </w:t>
      </w:r>
      <w:r w:rsidR="00076D2A">
        <w:rPr>
          <w:rFonts w:eastAsiaTheme="minorHAnsi"/>
          <w:lang w:eastAsia="en-US"/>
        </w:rPr>
        <w:t>(</w:t>
      </w:r>
      <w:r w:rsidR="00076D2A" w:rsidRPr="00C205F1">
        <w:rPr>
          <w:rFonts w:eastAsiaTheme="minorHAnsi"/>
          <w:lang w:eastAsia="en-US"/>
        </w:rPr>
        <w:t>вне зависимости от размера задолженности по кредитам, налогового режима и способа расчета амортизационных отчислений</w:t>
      </w:r>
      <w:r w:rsidR="00076D2A">
        <w:rPr>
          <w:rFonts w:eastAsiaTheme="minorHAnsi"/>
          <w:lang w:eastAsia="en-US"/>
        </w:rPr>
        <w:t>)</w:t>
      </w:r>
      <w:r w:rsidR="00076D2A" w:rsidRPr="00C205F1">
        <w:rPr>
          <w:rFonts w:eastAsiaTheme="minorHAnsi"/>
          <w:lang w:eastAsia="en-US"/>
        </w:rPr>
        <w:t>.</w:t>
      </w:r>
      <w:r w:rsidR="00076D2A">
        <w:rPr>
          <w:rFonts w:eastAsiaTheme="minorHAnsi"/>
          <w:lang w:eastAsia="en-US"/>
        </w:rPr>
        <w:t xml:space="preserve"> </w:t>
      </w:r>
      <w:r>
        <w:t>Невыполнение плановых показателей и снижение рентабельности инвестированного капитала за 2018 год в сравнении с 2017 годом показывает отсутствие финансовой отдачи от вложенных в бизнес средств.</w:t>
      </w:r>
    </w:p>
    <w:p w:rsidR="009E2E8E" w:rsidRPr="00F92D0A" w:rsidRDefault="009E2E8E" w:rsidP="009E2E8E">
      <w:pPr>
        <w:pStyle w:val="ConsPlusNormal"/>
        <w:ind w:firstLine="680"/>
        <w:jc w:val="both"/>
      </w:pPr>
      <w:r w:rsidRPr="00F92D0A">
        <w:rPr>
          <w:i/>
        </w:rPr>
        <w:t xml:space="preserve">Показатели, характеризующие деятельность Корпорации развития, как организации, способствующей привлечению инвестиций в экономику региона </w:t>
      </w:r>
      <w:r w:rsidRPr="00F92D0A">
        <w:t>(размер привлеченных инвестиций и количество вновь созданных рабочих мест в рамках реализации инвестпроектов),</w:t>
      </w:r>
      <w:r w:rsidRPr="00F92D0A">
        <w:rPr>
          <w:i/>
        </w:rPr>
        <w:t xml:space="preserve"> в 2017-2018 годах также достигнуты не были </w:t>
      </w:r>
      <w:r w:rsidRPr="00F92D0A">
        <w:t xml:space="preserve">(имеют нулевое значение). </w:t>
      </w:r>
    </w:p>
    <w:p w:rsidR="009E2E8E" w:rsidRDefault="009E2E8E" w:rsidP="009E2E8E">
      <w:pPr>
        <w:pStyle w:val="ConsPlusNormal"/>
        <w:ind w:firstLine="680"/>
        <w:jc w:val="both"/>
      </w:pPr>
      <w:r>
        <w:t>В соответствии с п.п. 2.1.4 и 2.1.5 вышеназванного постановления функциями Балансовой комиссии является выработка дивидендной политики в отношении хозяйственных обществ и внесение на рассмотрение Губернатору Волгоградской области, в Администрацию Волгоградской области и КУГИ предложений о повышении эффективности деятельности хозяйственных обществ. Дивидендная политик</w:t>
      </w:r>
      <w:r w:rsidR="003E59E9">
        <w:t>а</w:t>
      </w:r>
      <w:r>
        <w:t xml:space="preserve"> в отношении Корпорации развития не вырабатывалась, так как обществом был получен убыток</w:t>
      </w:r>
      <w:r w:rsidRPr="00EB6700">
        <w:t>. При этом предложения о повышении эффективности деятельности Корпорации развития Балансовой комиссией не вносились.</w:t>
      </w:r>
    </w:p>
    <w:p w:rsidR="00B26F8D" w:rsidRPr="00B26F8D" w:rsidRDefault="00B26F8D" w:rsidP="009E2E8E">
      <w:pPr>
        <w:pStyle w:val="ConsPlusNormal"/>
        <w:ind w:firstLine="680"/>
        <w:jc w:val="both"/>
        <w:rPr>
          <w:i/>
        </w:rPr>
      </w:pPr>
      <w:r w:rsidRPr="00B26F8D">
        <w:rPr>
          <w:i/>
        </w:rPr>
        <w:t>Таким образом, приведенные показатели эффективности деятельности Корпорации развития свидетельствуют о том, что ею не оказано никакого влияния на улучшение инвестиционного климата на территории Волгоградской области, что является основной целью ее создания.</w:t>
      </w:r>
    </w:p>
    <w:p w:rsidR="0023734B" w:rsidRDefault="0023734B" w:rsidP="0023734B">
      <w:pPr>
        <w:ind w:firstLine="708"/>
        <w:jc w:val="both"/>
      </w:pPr>
    </w:p>
    <w:p w:rsidR="0023734B" w:rsidRPr="007E1DC1" w:rsidRDefault="0023734B" w:rsidP="0023734B">
      <w:pPr>
        <w:ind w:firstLine="708"/>
        <w:jc w:val="both"/>
      </w:pPr>
      <w:r w:rsidRPr="007E1DC1">
        <w:t>Ознакомившись с информацией, размещенной на официальных сайтах специализированных организаций по привлечению инвестиций и работе с инвесторами ряда субъектов Российской Федерации, выделим наиболее интересные с точки зрения организации работы с инвесторами и реализ</w:t>
      </w:r>
      <w:r w:rsidR="009422C6" w:rsidRPr="007E1DC1">
        <w:t>ации</w:t>
      </w:r>
      <w:r w:rsidRPr="007E1DC1">
        <w:t xml:space="preserve"> проектов.</w:t>
      </w:r>
    </w:p>
    <w:p w:rsidR="0023734B" w:rsidRPr="007E1DC1" w:rsidRDefault="0023734B" w:rsidP="0023734B">
      <w:pPr>
        <w:ind w:firstLine="708"/>
        <w:jc w:val="both"/>
      </w:pPr>
      <w:r w:rsidRPr="007E1DC1">
        <w:t>Следует отметить, что основная деятельность таких  специализированных организаций заключается в оказании консультаций (переговоров, встреч, взаимодействий в рамках привлечения (содействия привлечению) инвесторов, инициаторов проектов, проектных групп), подготовки финансовых моделей, разработки бизнес-планов в рамках работы по сопровождению инвестиционных проектов, то есть перечисленные функции аналогичны</w:t>
      </w:r>
      <w:r w:rsidR="00DA54C9" w:rsidRPr="007E1DC1">
        <w:t xml:space="preserve"> функциям Корпорации развития.</w:t>
      </w:r>
    </w:p>
    <w:p w:rsidR="0023734B" w:rsidRPr="007E1DC1" w:rsidRDefault="0023734B" w:rsidP="0023734B">
      <w:pPr>
        <w:ind w:firstLine="708"/>
        <w:jc w:val="both"/>
      </w:pPr>
      <w:r w:rsidRPr="007E1DC1">
        <w:t xml:space="preserve">Так, в Ульяновской области </w:t>
      </w:r>
      <w:r w:rsidRPr="007E1DC1">
        <w:rPr>
          <w:u w:val="single"/>
        </w:rPr>
        <w:t>посредством</w:t>
      </w:r>
      <w:r w:rsidRPr="007E1DC1">
        <w:t xml:space="preserve">  АО «Корпорация развития Ульяновской области» разработаны два инфраструктурных проекта «Волжский транзит» (создание  транспортно-логистического кластера) и «Создание транспортно-логистического центра» (создание сети терминалов («сухих портов»), для осуществления погрузочно-разгрузочных операций контейнеров, прибывающих контейнерными поездами). </w:t>
      </w:r>
      <w:proofErr w:type="gramStart"/>
      <w:r w:rsidRPr="007E1DC1">
        <w:t xml:space="preserve">Кроме того, за период с   2006 по настоящее время данной корпорацией </w:t>
      </w:r>
      <w:r w:rsidRPr="007E1DC1">
        <w:rPr>
          <w:u w:val="single"/>
        </w:rPr>
        <w:t>реализовано 19 проектов</w:t>
      </w:r>
      <w:r w:rsidRPr="007E1DC1">
        <w:t xml:space="preserve"> (</w:t>
      </w:r>
      <w:hyperlink r:id="rId9" w:history="1">
        <w:r w:rsidRPr="00597024">
          <w:rPr>
            <w:rStyle w:val="af"/>
            <w:color w:val="auto"/>
            <w:u w:val="none"/>
          </w:rPr>
          <w:t>http://www.ulregion.com/invest/completed_projects/</w:t>
        </w:r>
      </w:hyperlink>
      <w:r w:rsidRPr="00597024">
        <w:t>)</w:t>
      </w:r>
      <w:r w:rsidRPr="007E1DC1">
        <w:t>, из последних, например, можно выделить создание завода по производству радиальных шин для пассажирских автомобилей компании «</w:t>
      </w:r>
      <w:proofErr w:type="spellStart"/>
      <w:r w:rsidRPr="007E1DC1">
        <w:t>Бриджстоун</w:t>
      </w:r>
      <w:proofErr w:type="spellEnd"/>
      <w:r w:rsidRPr="007E1DC1">
        <w:t>», завода по производству автомобильных и промышленных компонентов компании «</w:t>
      </w:r>
      <w:proofErr w:type="spellStart"/>
      <w:r w:rsidRPr="007E1DC1">
        <w:t>Шэффлер</w:t>
      </w:r>
      <w:proofErr w:type="spellEnd"/>
      <w:r w:rsidRPr="007E1DC1">
        <w:t>», станкостроительного производства компании «ДМГ МОРИ».</w:t>
      </w:r>
      <w:proofErr w:type="gramEnd"/>
      <w:r w:rsidRPr="007E1DC1">
        <w:t xml:space="preserve"> С участием корпорации реализует</w:t>
      </w:r>
      <w:r w:rsidR="007E1DC1" w:rsidRPr="007E1DC1">
        <w:t>ся</w:t>
      </w:r>
      <w:r w:rsidRPr="007E1DC1">
        <w:t xml:space="preserve"> проект создания </w:t>
      </w:r>
      <w:proofErr w:type="spellStart"/>
      <w:r w:rsidRPr="007E1DC1">
        <w:t>нанотехнологического</w:t>
      </w:r>
      <w:proofErr w:type="spellEnd"/>
      <w:r w:rsidRPr="007E1DC1">
        <w:t xml:space="preserve"> центра в Ульяновской области (в 2015 г. Получен статус технопарка высоких технологий).</w:t>
      </w:r>
    </w:p>
    <w:p w:rsidR="0023734B" w:rsidRPr="007E1DC1" w:rsidRDefault="0023734B" w:rsidP="0023734B">
      <w:pPr>
        <w:ind w:firstLine="708"/>
        <w:jc w:val="both"/>
      </w:pPr>
      <w:r w:rsidRPr="007E1DC1">
        <w:t xml:space="preserve">АО «Региональная корпорация развития» Ростовской области  (далее – АО «РКР») в настоящее время продвигает инновационный проект - Южный IT- парк. В рейтинге агентства РБК в июне 2017 года акселератор Южного IT- парка попал в ТОП-10 акселераторов России, а в декабре 2018 года вошел в </w:t>
      </w:r>
      <w:proofErr w:type="spellStart"/>
      <w:proofErr w:type="gramStart"/>
      <w:r w:rsidRPr="007E1DC1">
        <w:t>шорт-лист</w:t>
      </w:r>
      <w:proofErr w:type="spellEnd"/>
      <w:proofErr w:type="gramEnd"/>
      <w:r w:rsidRPr="007E1DC1">
        <w:t xml:space="preserve"> конкурса лучших региональных социально- экономических практик по версии Агентства стратегических инициатив РФ. Впервые в прошлом году специалистами Южного IT- парка был проведен «Южный </w:t>
      </w:r>
      <w:proofErr w:type="spellStart"/>
      <w:r w:rsidRPr="007E1DC1">
        <w:t>Demo</w:t>
      </w:r>
      <w:proofErr w:type="spellEnd"/>
      <w:r w:rsidRPr="007E1DC1">
        <w:t xml:space="preserve"> </w:t>
      </w:r>
      <w:proofErr w:type="spellStart"/>
      <w:r w:rsidRPr="007E1DC1">
        <w:t>day</w:t>
      </w:r>
      <w:proofErr w:type="spellEnd"/>
      <w:r w:rsidRPr="007E1DC1">
        <w:t xml:space="preserve">» - первая конференция инвесторов и </w:t>
      </w:r>
      <w:proofErr w:type="spellStart"/>
      <w:r w:rsidRPr="007E1DC1">
        <w:t>стартапов</w:t>
      </w:r>
      <w:proofErr w:type="spellEnd"/>
      <w:r w:rsidRPr="007E1DC1">
        <w:t xml:space="preserve"> на Юге России, где были продемонстрированы перспективные, готовые к инвестированию </w:t>
      </w:r>
      <w:proofErr w:type="spellStart"/>
      <w:r w:rsidRPr="007E1DC1">
        <w:t>стартап-проекты</w:t>
      </w:r>
      <w:proofErr w:type="spellEnd"/>
      <w:r w:rsidRPr="007E1DC1">
        <w:t xml:space="preserve">  (</w:t>
      </w:r>
      <w:hyperlink r:id="rId10" w:history="1">
        <w:r w:rsidRPr="00597024">
          <w:rPr>
            <w:rStyle w:val="af"/>
            <w:color w:val="auto"/>
            <w:u w:val="none"/>
          </w:rPr>
          <w:t>http://www.rkr61.ru/press-tsentr/news/460/</w:t>
        </w:r>
      </w:hyperlink>
      <w:r w:rsidRPr="00597024">
        <w:t>).</w:t>
      </w:r>
      <w:r w:rsidRPr="007E1DC1">
        <w:t xml:space="preserve"> Создано два </w:t>
      </w:r>
      <w:proofErr w:type="spellStart"/>
      <w:proofErr w:type="gramStart"/>
      <w:r w:rsidRPr="007E1DC1">
        <w:t>два</w:t>
      </w:r>
      <w:proofErr w:type="spellEnd"/>
      <w:proofErr w:type="gramEnd"/>
      <w:r w:rsidRPr="007E1DC1">
        <w:t xml:space="preserve"> центра компетенций – Центр компетенций по развитию городской среды и Центр компетенций в сфере сельскохозяйственной кооперации </w:t>
      </w:r>
      <w:r w:rsidRPr="007E1DC1">
        <w:lastRenderedPageBreak/>
        <w:t xml:space="preserve">Ростовской области при непосредственном участии которого, менее чем за год были созданы сельскохозяйственные потребительские кооперативы в семи районах Ростовской области. Региональная корпорация развития уполномочена правительством Ростовской области и наделена правами и обязанностями публичного партнера по реализации проектов в сфере государственно-частного партнерства. Через АО «РКР» проходят первичный анализ все предложения государственно-частного и </w:t>
      </w:r>
      <w:proofErr w:type="spellStart"/>
      <w:r w:rsidRPr="007E1DC1">
        <w:t>муниципально-частного</w:t>
      </w:r>
      <w:proofErr w:type="spellEnd"/>
      <w:r w:rsidRPr="007E1DC1">
        <w:t xml:space="preserve"> партнерства. Разрабатываются инициативы реализации проектов ГЧП.</w:t>
      </w:r>
    </w:p>
    <w:p w:rsidR="0023734B" w:rsidRPr="007E1DC1" w:rsidRDefault="0023734B" w:rsidP="0023734B">
      <w:pPr>
        <w:ind w:firstLine="708"/>
        <w:jc w:val="both"/>
      </w:pPr>
      <w:r w:rsidRPr="007E1DC1">
        <w:t>При партнерстве Корпорации развития Калужской области реализованы проекты по созданию пяти индустриальных парков для размещения предприятий различной отраслевой направленности. Например, на территории индустриального парка «РОСВА» на сегодня действуют 9 предприятий, в том числе автомобильной промышленности, а также два предприятия находятся в стадии активного строительства: АО «</w:t>
      </w:r>
      <w:proofErr w:type="spellStart"/>
      <w:r w:rsidRPr="007E1DC1">
        <w:t>Биотехнологический</w:t>
      </w:r>
      <w:proofErr w:type="spellEnd"/>
      <w:r w:rsidRPr="007E1DC1">
        <w:t xml:space="preserve"> комплекс «</w:t>
      </w:r>
      <w:proofErr w:type="spellStart"/>
      <w:r w:rsidRPr="007E1DC1">
        <w:t>Росва</w:t>
      </w:r>
      <w:proofErr w:type="spellEnd"/>
      <w:r w:rsidRPr="007E1DC1">
        <w:t>» — российская компания, реализующая проект по строительству комплекса глубокой переработки пшеницы и ООО «</w:t>
      </w:r>
      <w:proofErr w:type="spellStart"/>
      <w:r w:rsidRPr="007E1DC1">
        <w:t>ЭсТи-Фарм</w:t>
      </w:r>
      <w:proofErr w:type="spellEnd"/>
      <w:r w:rsidRPr="007E1DC1">
        <w:rPr>
          <w:b/>
          <w:bCs/>
        </w:rPr>
        <w:t>»</w:t>
      </w:r>
      <w:r w:rsidRPr="007E1DC1">
        <w:t xml:space="preserve"> — российская компания, реализующая проект по строительству производственно-складского комплекса по разработке и выпуску современных </w:t>
      </w:r>
      <w:proofErr w:type="spellStart"/>
      <w:proofErr w:type="gramStart"/>
      <w:r w:rsidRPr="007E1DC1">
        <w:t>сердечно-сосудистых</w:t>
      </w:r>
      <w:proofErr w:type="spellEnd"/>
      <w:proofErr w:type="gramEnd"/>
      <w:r w:rsidRPr="007E1DC1">
        <w:t xml:space="preserve"> препаратов (</w:t>
      </w:r>
      <w:hyperlink r:id="rId11" w:history="1">
        <w:r w:rsidRPr="00597024">
          <w:rPr>
            <w:rStyle w:val="af"/>
            <w:color w:val="auto"/>
            <w:u w:val="none"/>
          </w:rPr>
          <w:t>http://invest.kaluga.ru/projects/rosva/</w:t>
        </w:r>
      </w:hyperlink>
      <w:r w:rsidRPr="00597024">
        <w:t>).</w:t>
      </w:r>
    </w:p>
    <w:p w:rsidR="0023734B" w:rsidRPr="002F0D63" w:rsidRDefault="0023734B" w:rsidP="0023734B">
      <w:pPr>
        <w:ind w:firstLine="708"/>
        <w:jc w:val="both"/>
      </w:pPr>
      <w:r w:rsidRPr="007E1DC1">
        <w:t>Таким образом, в отдельных регионах имеется положительный опыт продвижения инвестиционных проектов с участием специализированных организаций по привлечению инвестиций и работе с инвесторами</w:t>
      </w:r>
      <w:r w:rsidR="00DA54C9" w:rsidRPr="007E1DC1">
        <w:t>, который может быть изучен с целью применения на территории Волгоградской области.</w:t>
      </w:r>
    </w:p>
    <w:p w:rsidR="00523285" w:rsidRDefault="00523285" w:rsidP="00A8263F">
      <w:pPr>
        <w:ind w:firstLine="680"/>
        <w:jc w:val="both"/>
        <w:rPr>
          <w:b/>
        </w:rPr>
      </w:pPr>
    </w:p>
    <w:p w:rsidR="00523285" w:rsidRDefault="00523285" w:rsidP="00523285">
      <w:pPr>
        <w:ind w:firstLine="680"/>
        <w:jc w:val="both"/>
        <w:rPr>
          <w:b/>
        </w:rPr>
      </w:pPr>
      <w:r w:rsidRPr="009A5F32">
        <w:rPr>
          <w:b/>
        </w:rPr>
        <w:t>ВЫВОДЫ</w:t>
      </w:r>
    </w:p>
    <w:p w:rsidR="00523285" w:rsidRDefault="00523285" w:rsidP="00523285">
      <w:pPr>
        <w:pStyle w:val="a9"/>
        <w:numPr>
          <w:ilvl w:val="0"/>
          <w:numId w:val="3"/>
        </w:numPr>
        <w:ind w:left="0" w:firstLine="680"/>
        <w:jc w:val="both"/>
      </w:pPr>
      <w:r w:rsidRPr="00834A27">
        <w:t xml:space="preserve">Корпорация развития </w:t>
      </w:r>
      <w:r>
        <w:t>является специализированной организацией по</w:t>
      </w:r>
      <w:r w:rsidRPr="00237D0E">
        <w:t xml:space="preserve"> привлечению инвестиций и работе с инвесторами в Волгоградской области</w:t>
      </w:r>
      <w:r>
        <w:t>. Е</w:t>
      </w:r>
      <w:r w:rsidRPr="00B3031A">
        <w:t xml:space="preserve">динственным акционером Корпорации развития является Волгоградская область в лице </w:t>
      </w:r>
      <w:r>
        <w:t>КУГИ.</w:t>
      </w:r>
    </w:p>
    <w:p w:rsidR="00523285" w:rsidRDefault="00523285" w:rsidP="00523285">
      <w:pPr>
        <w:ind w:firstLine="680"/>
        <w:jc w:val="both"/>
        <w:rPr>
          <w:rFonts w:eastAsiaTheme="minorHAnsi"/>
          <w:lang w:eastAsia="en-US"/>
        </w:rPr>
      </w:pPr>
      <w:r>
        <w:t>У</w:t>
      </w:r>
      <w:r w:rsidRPr="00B3031A">
        <w:t xml:space="preserve">ставный капитал </w:t>
      </w:r>
      <w:r>
        <w:t xml:space="preserve">Корпорации развития </w:t>
      </w:r>
      <w:r w:rsidRPr="00B3031A">
        <w:t>составляет 102</w:t>
      </w:r>
      <w:r>
        <w:t>,6 млн.</w:t>
      </w:r>
      <w:r w:rsidRPr="00B3031A">
        <w:t xml:space="preserve"> руб</w:t>
      </w:r>
      <w:r>
        <w:t>., в т.ч. на 49,6 млн. руб. произведен дополнительный выпуск ценных бумаг в 2017 году. Вклады в уставный капитал осуществлялись как денежными средствами (</w:t>
      </w:r>
      <w:r w:rsidRPr="00404615">
        <w:rPr>
          <w:rFonts w:eastAsiaTheme="minorHAnsi"/>
          <w:lang w:eastAsia="en-US"/>
        </w:rPr>
        <w:t>44,0 млн. руб.</w:t>
      </w:r>
      <w:r>
        <w:rPr>
          <w:rFonts w:eastAsiaTheme="minorHAnsi"/>
          <w:lang w:eastAsia="en-US"/>
        </w:rPr>
        <w:t>), так и недвижимым имуществом (общей стоимостью 58,3 млн. руб.).</w:t>
      </w:r>
    </w:p>
    <w:p w:rsidR="00523285" w:rsidRDefault="00523285" w:rsidP="00523285">
      <w:pPr>
        <w:ind w:firstLine="680"/>
        <w:jc w:val="both"/>
        <w:rPr>
          <w:noProof/>
        </w:rPr>
      </w:pPr>
      <w:r w:rsidRPr="005848A0">
        <w:t xml:space="preserve">Из </w:t>
      </w:r>
      <w:r w:rsidRPr="005848A0">
        <w:rPr>
          <w:rFonts w:eastAsia="Calibri"/>
          <w:bCs/>
        </w:rPr>
        <w:t>имущества, переданного Волгоградской областью в</w:t>
      </w:r>
      <w:r w:rsidRPr="005848A0">
        <w:rPr>
          <w:noProof/>
        </w:rPr>
        <w:t xml:space="preserve"> качестве вклада в уставный капитал</w:t>
      </w:r>
      <w:r>
        <w:rPr>
          <w:noProof/>
        </w:rPr>
        <w:t>,</w:t>
      </w:r>
      <w:r w:rsidRPr="005848A0">
        <w:rPr>
          <w:noProof/>
        </w:rPr>
        <w:t xml:space="preserve"> Корпораци</w:t>
      </w:r>
      <w:r>
        <w:rPr>
          <w:noProof/>
        </w:rPr>
        <w:t>ей</w:t>
      </w:r>
      <w:r w:rsidRPr="005848A0">
        <w:rPr>
          <w:noProof/>
        </w:rPr>
        <w:t xml:space="preserve"> развития </w:t>
      </w:r>
      <w:r w:rsidRPr="00CF4EA4">
        <w:t xml:space="preserve">доведено до состояния использования </w:t>
      </w:r>
      <w:r>
        <w:rPr>
          <w:noProof/>
        </w:rPr>
        <w:t xml:space="preserve">здание по пр. Жукова, 3 (передано в 2017 году). Имущество, переданное в 2016 году (по ул. </w:t>
      </w:r>
      <w:r w:rsidRPr="00852A9E">
        <w:rPr>
          <w:noProof/>
        </w:rPr>
        <w:t>Котовского, д. 43</w:t>
      </w:r>
      <w:r>
        <w:rPr>
          <w:noProof/>
        </w:rPr>
        <w:t xml:space="preserve"> и </w:t>
      </w:r>
      <w:r w:rsidRPr="00852A9E">
        <w:rPr>
          <w:noProof/>
        </w:rPr>
        <w:t>проезд</w:t>
      </w:r>
      <w:r>
        <w:rPr>
          <w:noProof/>
        </w:rPr>
        <w:t>у</w:t>
      </w:r>
      <w:r w:rsidRPr="00852A9E">
        <w:rPr>
          <w:noProof/>
        </w:rPr>
        <w:t xml:space="preserve"> Тайшетский, 5</w:t>
      </w:r>
      <w:r>
        <w:rPr>
          <w:noProof/>
        </w:rPr>
        <w:t>), продано в 2017 году Фонду. Остальное имущество (</w:t>
      </w:r>
      <w:r w:rsidRPr="00852A9E">
        <w:rPr>
          <w:noProof/>
        </w:rPr>
        <w:t>здани</w:t>
      </w:r>
      <w:r>
        <w:rPr>
          <w:noProof/>
        </w:rPr>
        <w:t>е</w:t>
      </w:r>
      <w:r w:rsidRPr="00852A9E">
        <w:rPr>
          <w:noProof/>
        </w:rPr>
        <w:t xml:space="preserve"> ДК «Дружба»</w:t>
      </w:r>
      <w:r>
        <w:rPr>
          <w:noProof/>
        </w:rPr>
        <w:t xml:space="preserve"> и спортзал, находящееся в по</w:t>
      </w:r>
      <w:r w:rsidRPr="00B33E00">
        <w:rPr>
          <w:noProof/>
        </w:rPr>
        <w:t>с. Веселая Балка, 14а</w:t>
      </w:r>
      <w:r>
        <w:rPr>
          <w:noProof/>
        </w:rPr>
        <w:t xml:space="preserve"> и 25)</w:t>
      </w:r>
      <w:r w:rsidRPr="00CF4EA4">
        <w:rPr>
          <w:rFonts w:eastAsia="Calibri"/>
          <w:bCs/>
        </w:rPr>
        <w:t xml:space="preserve"> находится в неудовлетворительном состоянии и планиру</w:t>
      </w:r>
      <w:r>
        <w:rPr>
          <w:rFonts w:eastAsia="Calibri"/>
          <w:bCs/>
        </w:rPr>
        <w:t>е</w:t>
      </w:r>
      <w:r w:rsidRPr="00CF4EA4">
        <w:rPr>
          <w:rFonts w:eastAsia="Calibri"/>
          <w:bCs/>
        </w:rPr>
        <w:t>тся к продаже.</w:t>
      </w:r>
    </w:p>
    <w:p w:rsidR="00523285" w:rsidRDefault="00523285" w:rsidP="00523285">
      <w:pPr>
        <w:pStyle w:val="a9"/>
        <w:numPr>
          <w:ilvl w:val="0"/>
          <w:numId w:val="3"/>
        </w:numPr>
        <w:ind w:left="0" w:firstLine="680"/>
        <w:jc w:val="both"/>
      </w:pPr>
      <w:r>
        <w:t>О</w:t>
      </w:r>
      <w:r w:rsidRPr="00B3031A">
        <w:t>рганами управления Корпорации развития являются общее собрание акционеров</w:t>
      </w:r>
      <w:r>
        <w:t xml:space="preserve"> (полномочия осуществляет КУГИ)</w:t>
      </w:r>
      <w:r w:rsidRPr="00B3031A">
        <w:t>, наблюдательный совет</w:t>
      </w:r>
      <w:r>
        <w:t xml:space="preserve"> и</w:t>
      </w:r>
      <w:r w:rsidRPr="00B3031A">
        <w:t xml:space="preserve"> генеральный директор. </w:t>
      </w:r>
      <w:r w:rsidRPr="00567701">
        <w:t>Начиная с ноября 2017 года по апрель 2018 года</w:t>
      </w:r>
      <w:r>
        <w:t>,</w:t>
      </w:r>
      <w:r w:rsidRPr="00567701">
        <w:t xml:space="preserve">  решения по деятельности Корпорации развития наблюдательным советом не принимались</w:t>
      </w:r>
      <w:r>
        <w:t xml:space="preserve"> в связи с отсутствием кворума. </w:t>
      </w:r>
      <w:r w:rsidRPr="0061392D">
        <w:t>Деятельность Корпорации развития за 2017 и 2018 годы была оценена наблюдательным советом, как неудовлетворительная.</w:t>
      </w:r>
      <w:r>
        <w:t xml:space="preserve">  Величина чистых активов общества за 2016 – 2018 годы сложилась меньше величины уставного капитала, при этом в нарушение </w:t>
      </w:r>
      <w:r w:rsidRPr="00547BCC">
        <w:t>п.4, 5 ст. 35 Закона об акционерных обществах</w:t>
      </w:r>
      <w:r>
        <w:t xml:space="preserve"> </w:t>
      </w:r>
      <w:r w:rsidRPr="00547BCC">
        <w:t xml:space="preserve">наблюдательным советом </w:t>
      </w:r>
      <w:r>
        <w:t xml:space="preserve">по итогам 2017 года </w:t>
      </w:r>
      <w:r w:rsidRPr="00547BCC">
        <w:t>не</w:t>
      </w:r>
      <w:r>
        <w:t xml:space="preserve"> принимались меры по </w:t>
      </w:r>
      <w:r w:rsidRPr="00547BCC">
        <w:t>приведению их в соответствие с величиной уставного капитала</w:t>
      </w:r>
      <w:r>
        <w:t>.  Все это свидетельствует о формальном осуществлении наблюдательным советом общего руководства деятельностью Корпорации развития.</w:t>
      </w:r>
    </w:p>
    <w:p w:rsidR="00523285" w:rsidRDefault="00523285" w:rsidP="00523285">
      <w:pPr>
        <w:pStyle w:val="a9"/>
        <w:numPr>
          <w:ilvl w:val="0"/>
          <w:numId w:val="3"/>
        </w:numPr>
        <w:ind w:left="0" w:firstLine="680"/>
        <w:jc w:val="both"/>
        <w:rPr>
          <w:noProof/>
        </w:rPr>
      </w:pPr>
      <w:r>
        <w:t xml:space="preserve">Финансовое состояние Корпорации развития неустойчивое. Во </w:t>
      </w:r>
      <w:proofErr w:type="spellStart"/>
      <w:r>
        <w:t>внеоборотных</w:t>
      </w:r>
      <w:proofErr w:type="spellEnd"/>
      <w:r>
        <w:t xml:space="preserve"> активах наибольший</w:t>
      </w:r>
      <w:r w:rsidRPr="007A444C">
        <w:t xml:space="preserve"> </w:t>
      </w:r>
      <w:r>
        <w:t xml:space="preserve">удельный вес занимают </w:t>
      </w:r>
      <w:r>
        <w:rPr>
          <w:noProof/>
        </w:rPr>
        <w:t>основные средства (</w:t>
      </w:r>
      <w:r w:rsidRPr="00AC54B5">
        <w:rPr>
          <w:noProof/>
        </w:rPr>
        <w:t>административное здание по пр. Жукова, 3 с расположенным под ним земельным участком</w:t>
      </w:r>
      <w:r>
        <w:rPr>
          <w:noProof/>
        </w:rPr>
        <w:t xml:space="preserve">), предназначенные для представления организациям за плату во временное пользование с целью получения дохода (40% в 2018 году и </w:t>
      </w:r>
      <w:r>
        <w:rPr>
          <w:noProof/>
          <w:lang w:val="en-US"/>
        </w:rPr>
        <w:t>I</w:t>
      </w:r>
      <w:r w:rsidRPr="00AC54B5">
        <w:rPr>
          <w:noProof/>
        </w:rPr>
        <w:t xml:space="preserve"> </w:t>
      </w:r>
      <w:r>
        <w:rPr>
          <w:noProof/>
        </w:rPr>
        <w:t xml:space="preserve"> кв. 2019 года)</w:t>
      </w:r>
      <w:r w:rsidRPr="00AC54B5">
        <w:rPr>
          <w:noProof/>
        </w:rPr>
        <w:t xml:space="preserve">, </w:t>
      </w:r>
      <w:r w:rsidR="001E5226">
        <w:rPr>
          <w:noProof/>
        </w:rPr>
        <w:t xml:space="preserve">также </w:t>
      </w:r>
      <w:r w:rsidRPr="00AC54B5">
        <w:rPr>
          <w:noProof/>
        </w:rPr>
        <w:t>затраты на восстановление указанного здания, списание которых будет производиться постепен</w:t>
      </w:r>
      <w:r w:rsidR="00515B16">
        <w:rPr>
          <w:noProof/>
        </w:rPr>
        <w:t>н</w:t>
      </w:r>
      <w:r w:rsidRPr="00AC54B5">
        <w:rPr>
          <w:noProof/>
        </w:rPr>
        <w:t>о в течение 15 лет</w:t>
      </w:r>
      <w:r>
        <w:rPr>
          <w:noProof/>
        </w:rPr>
        <w:t xml:space="preserve"> (36% в 2018 году и </w:t>
      </w:r>
      <w:r>
        <w:rPr>
          <w:noProof/>
          <w:lang w:val="en-US"/>
        </w:rPr>
        <w:t>I</w:t>
      </w:r>
      <w:r w:rsidRPr="00AC54B5">
        <w:rPr>
          <w:noProof/>
        </w:rPr>
        <w:t xml:space="preserve"> </w:t>
      </w:r>
      <w:r>
        <w:rPr>
          <w:noProof/>
        </w:rPr>
        <w:t>кв. 2019 года),</w:t>
      </w:r>
      <w:r w:rsidR="001E5226">
        <w:rPr>
          <w:noProof/>
        </w:rPr>
        <w:t xml:space="preserve"> и</w:t>
      </w:r>
      <w:r>
        <w:rPr>
          <w:noProof/>
        </w:rPr>
        <w:t xml:space="preserve"> расходы будущих периодов по приостановленным инвестпроектам (от 20% в </w:t>
      </w:r>
      <w:r>
        <w:rPr>
          <w:noProof/>
        </w:rPr>
        <w:lastRenderedPageBreak/>
        <w:t>2018-2019 годах до 72% в 2017 году)</w:t>
      </w:r>
      <w:r w:rsidR="00721AA7">
        <w:rPr>
          <w:noProof/>
        </w:rPr>
        <w:t>.</w:t>
      </w:r>
      <w:r w:rsidRPr="00AC54B5">
        <w:rPr>
          <w:noProof/>
        </w:rPr>
        <w:t xml:space="preserve"> </w:t>
      </w:r>
      <w:r w:rsidR="001E5226" w:rsidRPr="005B7E82">
        <w:rPr>
          <w:rFonts w:eastAsiaTheme="minorHAnsi"/>
        </w:rPr>
        <w:t xml:space="preserve">В пассиве баланса  </w:t>
      </w:r>
      <w:r w:rsidR="001E5226" w:rsidRPr="001E5226">
        <w:rPr>
          <w:rFonts w:eastAsiaTheme="minorHAnsi"/>
        </w:rPr>
        <w:t>значительную долю составляют</w:t>
      </w:r>
      <w:r w:rsidR="001E5226" w:rsidRPr="005B7E82">
        <w:rPr>
          <w:rFonts w:eastAsiaTheme="minorHAnsi"/>
        </w:rPr>
        <w:t xml:space="preserve"> обязательства по займам (от 55% в 2017 году до 64% в I квартале 2019 года). </w:t>
      </w:r>
      <w:r w:rsidRPr="00AC54B5">
        <w:rPr>
          <w:noProof/>
        </w:rPr>
        <w:t xml:space="preserve"> </w:t>
      </w:r>
    </w:p>
    <w:p w:rsidR="00523285" w:rsidRPr="00AC54B5" w:rsidRDefault="00523285" w:rsidP="00523285">
      <w:pPr>
        <w:ind w:firstLine="680"/>
        <w:jc w:val="both"/>
      </w:pPr>
      <w:r w:rsidRPr="00AC54B5">
        <w:t>Результатом финансово-хозяйственной деятельности Корпорации развития являются убытки, размер которых увеличился с 2,1 млн. руб. в 2017 году до 20,5 млн. руб. в 2018 году.</w:t>
      </w:r>
    </w:p>
    <w:p w:rsidR="00523285" w:rsidRPr="00A309EB" w:rsidRDefault="00523285" w:rsidP="00523285">
      <w:pPr>
        <w:pStyle w:val="a9"/>
        <w:numPr>
          <w:ilvl w:val="0"/>
          <w:numId w:val="3"/>
        </w:numPr>
        <w:ind w:left="0" w:firstLine="680"/>
        <w:jc w:val="both"/>
        <w:outlineLvl w:val="0"/>
      </w:pPr>
      <w:r w:rsidRPr="00AC54B5">
        <w:t xml:space="preserve">Одной из основных причин неудовлетворительного финансового состояния является отсутствие видов деятельности, приносящих постоянный доход. </w:t>
      </w:r>
      <w:proofErr w:type="gramStart"/>
      <w:r w:rsidR="00505E60">
        <w:t>С</w:t>
      </w:r>
      <w:r w:rsidRPr="00AC54B5">
        <w:t xml:space="preserve"> октября 2018 года после реализации проекта «Капитальный ремонт здания, расположенного по адресу: г.</w:t>
      </w:r>
      <w:r w:rsidRPr="00561486">
        <w:t xml:space="preserve"> Волгоград, Дзержинский район, пр</w:t>
      </w:r>
      <w:r>
        <w:t>оспект</w:t>
      </w:r>
      <w:r w:rsidRPr="00561486">
        <w:t xml:space="preserve"> им.</w:t>
      </w:r>
      <w:r>
        <w:t xml:space="preserve"> </w:t>
      </w:r>
      <w:r w:rsidRPr="00561486">
        <w:t>Жукова, зд.3 для последующего размещения органов исполнительной власти</w:t>
      </w:r>
      <w:r>
        <w:t>» у Корпорации развития появился постоянный источник дохода в виде предоставления в аренду помещений по указанному зданию</w:t>
      </w:r>
      <w:r>
        <w:rPr>
          <w:noProof/>
        </w:rPr>
        <w:t xml:space="preserve"> (в 2018 году – 5,9 млн. руб., за </w:t>
      </w:r>
      <w:r>
        <w:rPr>
          <w:noProof/>
          <w:lang w:val="en-US"/>
        </w:rPr>
        <w:t>I</w:t>
      </w:r>
      <w:r>
        <w:rPr>
          <w:noProof/>
        </w:rPr>
        <w:t xml:space="preserve"> квартал 2019 года – 8,3 млн. руб.).</w:t>
      </w:r>
      <w:proofErr w:type="gramEnd"/>
      <w:r>
        <w:rPr>
          <w:noProof/>
        </w:rPr>
        <w:t xml:space="preserve"> Вместе с тем доходы от сдачи в аренду помещений не покроют накопленные за ряд лет расходы, числящиеся в бухгалтерском балансе, как расходы будущих периодов </w:t>
      </w:r>
      <w:r>
        <w:t xml:space="preserve"> (</w:t>
      </w:r>
      <w:r w:rsidRPr="00CA3C6D">
        <w:rPr>
          <w:noProof/>
        </w:rPr>
        <w:t>58</w:t>
      </w:r>
      <w:r>
        <w:rPr>
          <w:noProof/>
        </w:rPr>
        <w:t>,3 млн. руб.)</w:t>
      </w:r>
      <w:r w:rsidRPr="007644AB">
        <w:rPr>
          <w:noProof/>
        </w:rPr>
        <w:t xml:space="preserve"> </w:t>
      </w:r>
      <w:r>
        <w:rPr>
          <w:noProof/>
        </w:rPr>
        <w:t xml:space="preserve">и представляющие собой затраты по 38 приостановленным в 2016 году инвестпроектам, а также не позволят своевременно расплатиться с заемными средствами (более 190 млн. руб.). При </w:t>
      </w:r>
      <w:r>
        <w:t xml:space="preserve">условии получения доходов только от сдачи в аренду имущества </w:t>
      </w:r>
      <w:r w:rsidRPr="00DD5BBD">
        <w:t xml:space="preserve">возврат заемных </w:t>
      </w:r>
      <w:proofErr w:type="gramStart"/>
      <w:r w:rsidRPr="00DD5BBD">
        <w:t>средств</w:t>
      </w:r>
      <w:proofErr w:type="gramEnd"/>
      <w:r w:rsidRPr="00DD5BBD">
        <w:t xml:space="preserve"> возможно осуществить не ранее 2029 года</w:t>
      </w:r>
      <w:r>
        <w:t xml:space="preserve"> при последнем сроке возврата по условиям договоров 30.12.2022</w:t>
      </w:r>
      <w:r w:rsidRPr="00A309EB">
        <w:t>, что увеличивает риск банкротства организации.</w:t>
      </w:r>
    </w:p>
    <w:p w:rsidR="00523285" w:rsidRDefault="00523285" w:rsidP="00523285">
      <w:pPr>
        <w:ind w:firstLine="680"/>
        <w:jc w:val="both"/>
      </w:pPr>
      <w:r w:rsidRPr="008C10F1">
        <w:t xml:space="preserve">Помимо аренды, как </w:t>
      </w:r>
      <w:r>
        <w:t xml:space="preserve">постоянного источника доходов, в 2017-2018 годах Корпорация развития имела доходы </w:t>
      </w:r>
      <w:r w:rsidRPr="00280316">
        <w:t>от реализации услуг в об</w:t>
      </w:r>
      <w:r w:rsidRPr="00280316">
        <w:rPr>
          <w:iCs/>
        </w:rPr>
        <w:t xml:space="preserve">ласти права и предоставления прочих услуг, но наблюдается снижение этих доходов с 4,0 млн. руб. в 2017 году до 0,3 млн. руб. в 2018 году, что </w:t>
      </w:r>
      <w:r w:rsidRPr="00280316">
        <w:t xml:space="preserve">обусловлено отсутствием спроса на услуги Корпорации развития. </w:t>
      </w:r>
      <w:r w:rsidRPr="00CC5C7B">
        <w:t>Указанные услуги оказывались организациям, долю участия в которых имеет Волгоградская область, или созданных Волгоградской областью.</w:t>
      </w:r>
    </w:p>
    <w:p w:rsidR="00523285" w:rsidRPr="00F52A73" w:rsidRDefault="00523285" w:rsidP="00523285">
      <w:pPr>
        <w:ind w:firstLine="680"/>
        <w:jc w:val="both"/>
      </w:pPr>
      <w:r>
        <w:t>Также в 2017 году были получены доходы от реализации  внесенного в уставный капитал имущества (13,9 млн. руб.), а также в 2017-2018 годах – от размещения заемных сре</w:t>
      </w:r>
      <w:proofErr w:type="gramStart"/>
      <w:r>
        <w:t>дств в б</w:t>
      </w:r>
      <w:proofErr w:type="gramEnd"/>
      <w:r>
        <w:t>анках (4,5 млн. руб.).</w:t>
      </w:r>
    </w:p>
    <w:p w:rsidR="00523285" w:rsidRPr="00E45E5C" w:rsidRDefault="00523285" w:rsidP="00523285">
      <w:pPr>
        <w:pStyle w:val="ConsPlusNormal"/>
        <w:numPr>
          <w:ilvl w:val="0"/>
          <w:numId w:val="3"/>
        </w:numPr>
        <w:ind w:left="0" w:firstLine="680"/>
        <w:jc w:val="both"/>
        <w:outlineLvl w:val="0"/>
      </w:pPr>
      <w:r w:rsidRPr="00E45E5C">
        <w:t xml:space="preserve">При получении </w:t>
      </w:r>
      <w:r w:rsidR="001E151D" w:rsidRPr="00E45E5C">
        <w:t>Корпораци</w:t>
      </w:r>
      <w:r w:rsidR="001E151D">
        <w:t>ей</w:t>
      </w:r>
      <w:r w:rsidR="001E151D" w:rsidRPr="00E45E5C">
        <w:t xml:space="preserve"> развития </w:t>
      </w:r>
      <w:r w:rsidRPr="00E45E5C">
        <w:t xml:space="preserve">источника доходов от сдачи в аренду помещений наблюдается </w:t>
      </w:r>
      <w:r w:rsidR="001E151D">
        <w:t xml:space="preserve">одновременное </w:t>
      </w:r>
      <w:r w:rsidRPr="00E45E5C">
        <w:t>увеличение расходов</w:t>
      </w:r>
      <w:r w:rsidR="00996B31">
        <w:t xml:space="preserve"> областного бюджета</w:t>
      </w:r>
      <w:r w:rsidRPr="00E45E5C">
        <w:t xml:space="preserve">, связанных с арендой, по организациям, </w:t>
      </w:r>
      <w:r w:rsidR="00721AA7">
        <w:t xml:space="preserve">финансируемым из областного бюджета, и </w:t>
      </w:r>
      <w:r w:rsidRPr="00E45E5C">
        <w:t>размещенным в здании по пр. Жукова,3</w:t>
      </w:r>
      <w:r w:rsidR="00721AA7">
        <w:t>.</w:t>
      </w:r>
      <w:r w:rsidRPr="00E45E5C">
        <w:t xml:space="preserve"> Ранее эти организации</w:t>
      </w:r>
      <w:r w:rsidRPr="00E45E5C">
        <w:rPr>
          <w:color w:val="000000"/>
        </w:rPr>
        <w:t xml:space="preserve"> на безвозмездной основе занимали помещения, находящиеся в областной собственности, по ул. Новороссийская, 15 и в</w:t>
      </w:r>
      <w:r w:rsidRPr="00E45E5C">
        <w:t xml:space="preserve"> г. </w:t>
      </w:r>
      <w:proofErr w:type="gramStart"/>
      <w:r w:rsidRPr="00E45E5C">
        <w:t>Волжский</w:t>
      </w:r>
      <w:proofErr w:type="gramEnd"/>
      <w:r w:rsidRPr="00E45E5C">
        <w:t>, по ул. Пушкина,</w:t>
      </w:r>
      <w:r>
        <w:t xml:space="preserve"> </w:t>
      </w:r>
      <w:r w:rsidRPr="00E45E5C">
        <w:t xml:space="preserve">45/1 (закреплены за </w:t>
      </w:r>
      <w:r w:rsidR="00BD61F0">
        <w:t xml:space="preserve">ГАУ </w:t>
      </w:r>
      <w:r w:rsidRPr="00E45E5C">
        <w:t xml:space="preserve">Бизнес-инкубатором), а также на правах аренды - помещения по пр. Ленина, 56А (частная собственность). Рост расходов областного бюджета </w:t>
      </w:r>
      <w:r>
        <w:t>по ним составит</w:t>
      </w:r>
      <w:r w:rsidRPr="00E45E5C">
        <w:t xml:space="preserve"> ориентировочно  28,6 млн. руб. в год.</w:t>
      </w:r>
    </w:p>
    <w:p w:rsidR="00523285" w:rsidRPr="00C40057" w:rsidRDefault="00523285" w:rsidP="00523285">
      <w:pPr>
        <w:pStyle w:val="ConsPlusNormal"/>
        <w:ind w:firstLine="680"/>
        <w:jc w:val="both"/>
        <w:outlineLvl w:val="0"/>
        <w:rPr>
          <w:color w:val="000000"/>
        </w:rPr>
      </w:pPr>
      <w:r>
        <w:t>Кроме того, по пр. Жукова,3 размещены организации</w:t>
      </w:r>
      <w:r w:rsidRPr="004A45C5">
        <w:rPr>
          <w:i/>
        </w:rPr>
        <w:t xml:space="preserve">, </w:t>
      </w:r>
      <w:r w:rsidRPr="004A45C5">
        <w:t xml:space="preserve">созданные Волгоградской областью и относящиеся к инфраструктуре поддержки МСП, не финансируемые из бюджета, </w:t>
      </w:r>
      <w:r w:rsidRPr="00C40057">
        <w:t xml:space="preserve">которые ранее снимали в аренду помещения по </w:t>
      </w:r>
      <w:r w:rsidRPr="00C40057">
        <w:rPr>
          <w:color w:val="000000"/>
        </w:rPr>
        <w:t>ул. Новороссийская, 15. По ним произошло увеличение арендных платежей более 1,1 млн. руб. в расчете на год.</w:t>
      </w:r>
    </w:p>
    <w:p w:rsidR="00523285" w:rsidRPr="00C40057" w:rsidRDefault="00523285" w:rsidP="00523285">
      <w:pPr>
        <w:pStyle w:val="a9"/>
        <w:numPr>
          <w:ilvl w:val="0"/>
          <w:numId w:val="3"/>
        </w:numPr>
        <w:ind w:left="0" w:firstLine="680"/>
        <w:jc w:val="both"/>
      </w:pPr>
      <w:r w:rsidRPr="00C40057">
        <w:t>Проверкой использования освободившихся площадей в здании по ул. Новороссийская, 15 и в г. Волжский по ул. Пушкина, д. 45/1 установлено, что на них временно размещен комитет культуры Волгоградской области, а также часть помещений предоставлена заместителю Губернатора Волгоградской области и увеличена площадь занимаемых помещений Избирательной комиссией.</w:t>
      </w:r>
    </w:p>
    <w:p w:rsidR="00523285" w:rsidRPr="00FB1521" w:rsidRDefault="00523285" w:rsidP="00523285">
      <w:pPr>
        <w:ind w:firstLine="680"/>
        <w:jc w:val="both"/>
      </w:pPr>
      <w:r w:rsidRPr="00C40057">
        <w:t>По состоянию на 05.06.2019 более 7 месяцев (за период с 01.11.2018) свободны помещения общей полезной площадью 316,4 кв</w:t>
      </w:r>
      <w:proofErr w:type="gramStart"/>
      <w:r w:rsidRPr="00C40057">
        <w:t>.м</w:t>
      </w:r>
      <w:proofErr w:type="gramEnd"/>
      <w:r w:rsidRPr="00C40057">
        <w:t>, из которой 199</w:t>
      </w:r>
      <w:r w:rsidRPr="0096066A">
        <w:t xml:space="preserve">,7 кв.м </w:t>
      </w:r>
      <w:r>
        <w:t xml:space="preserve">подготавливаются для </w:t>
      </w:r>
      <w:r w:rsidRPr="0096066A">
        <w:t>размещения приемной Президента РФ и ее руководителя</w:t>
      </w:r>
      <w:r w:rsidRPr="00FB1521">
        <w:t xml:space="preserve"> </w:t>
      </w:r>
      <w:r>
        <w:t xml:space="preserve">(безвозмездное пользование), </w:t>
      </w:r>
      <w:r w:rsidRPr="0096066A">
        <w:t xml:space="preserve"> </w:t>
      </w:r>
      <w:r>
        <w:t xml:space="preserve">а </w:t>
      </w:r>
      <w:r w:rsidRPr="0096066A">
        <w:t>116,7 кв.м свободн</w:t>
      </w:r>
      <w:r>
        <w:t>ы</w:t>
      </w:r>
      <w:r w:rsidRPr="00FB1521">
        <w:t xml:space="preserve">. За период 01.11.2018 по 31.05.2019 расходы по содержанию незанятых помещений площадью </w:t>
      </w:r>
      <w:r w:rsidR="006B48C1" w:rsidRPr="007E1DC1">
        <w:t>1</w:t>
      </w:r>
      <w:r w:rsidRPr="007E1DC1">
        <w:t>16,</w:t>
      </w:r>
      <w:r w:rsidR="006B48C1" w:rsidRPr="007E1DC1">
        <w:t>7</w:t>
      </w:r>
      <w:r w:rsidRPr="007E1DC1">
        <w:t xml:space="preserve"> кв</w:t>
      </w:r>
      <w:proofErr w:type="gramStart"/>
      <w:r w:rsidRPr="007E1DC1">
        <w:t>.м</w:t>
      </w:r>
      <w:proofErr w:type="gramEnd"/>
      <w:r w:rsidRPr="007E1DC1">
        <w:t xml:space="preserve"> ориентировочно составили 0,</w:t>
      </w:r>
      <w:r w:rsidR="006B48C1" w:rsidRPr="007E1DC1">
        <w:t>2</w:t>
      </w:r>
      <w:r w:rsidRPr="007E1DC1">
        <w:t xml:space="preserve"> млн. руб.,</w:t>
      </w:r>
      <w:r w:rsidRPr="00FB1521">
        <w:t xml:space="preserve"> которые не отвечают принципу эффективности </w:t>
      </w:r>
      <w:r w:rsidRPr="00FB1521">
        <w:rPr>
          <w:iCs/>
        </w:rPr>
        <w:t>использования бюджетных средств (ст. 34 БК РФ).</w:t>
      </w:r>
    </w:p>
    <w:p w:rsidR="00523285" w:rsidRDefault="00523285" w:rsidP="00523285">
      <w:pPr>
        <w:ind w:firstLine="680"/>
        <w:jc w:val="both"/>
      </w:pPr>
      <w:r>
        <w:t xml:space="preserve">Что касается здания </w:t>
      </w:r>
      <w:proofErr w:type="spellStart"/>
      <w:proofErr w:type="gramStart"/>
      <w:r w:rsidR="00D31437">
        <w:t>бизнес-инкубатора</w:t>
      </w:r>
      <w:proofErr w:type="spellEnd"/>
      <w:proofErr w:type="gramEnd"/>
      <w:r w:rsidR="00D31437">
        <w:t xml:space="preserve"> </w:t>
      </w:r>
      <w:r>
        <w:t>в г.</w:t>
      </w:r>
      <w:r w:rsidRPr="007336E3">
        <w:t xml:space="preserve"> Волжский,</w:t>
      </w:r>
      <w:r>
        <w:t xml:space="preserve"> то по информации Комитета экономики</w:t>
      </w:r>
      <w:r w:rsidRPr="00DA47A7">
        <w:t xml:space="preserve"> </w:t>
      </w:r>
      <w:r>
        <w:t xml:space="preserve">рассматривается вопрос о прекращении права оперативного управления им, так как 30 ноября 2019 года истекает срок исполнения обязательств перед Минэкономразвития </w:t>
      </w:r>
      <w:r>
        <w:lastRenderedPageBreak/>
        <w:t xml:space="preserve">России по сохранению в течение не менее 10 лет целевого назначения объекта </w:t>
      </w:r>
      <w:proofErr w:type="spellStart"/>
      <w:r>
        <w:t>бизнес-инкубатора</w:t>
      </w:r>
      <w:proofErr w:type="spellEnd"/>
      <w:r>
        <w:t xml:space="preserve">. </w:t>
      </w:r>
    </w:p>
    <w:p w:rsidR="00523285" w:rsidRPr="00167F40" w:rsidRDefault="00523285" w:rsidP="00523285">
      <w:pPr>
        <w:pStyle w:val="ConsPlusNormal"/>
        <w:numPr>
          <w:ilvl w:val="0"/>
          <w:numId w:val="3"/>
        </w:numPr>
        <w:ind w:left="0" w:firstLine="680"/>
        <w:jc w:val="both"/>
        <w:outlineLvl w:val="0"/>
      </w:pPr>
      <w:r w:rsidRPr="00167F40">
        <w:t>Основн</w:t>
      </w:r>
      <w:r>
        <w:t xml:space="preserve">ая </w:t>
      </w:r>
      <w:r w:rsidRPr="00167F40">
        <w:t xml:space="preserve">доля расходов </w:t>
      </w:r>
      <w:r>
        <w:t xml:space="preserve">Корпорации развития приходится в 2017 году на </w:t>
      </w:r>
      <w:r w:rsidRPr="00167F40">
        <w:t>расходы, связанные с реализацией объектов недвижимого имущества</w:t>
      </w:r>
      <w:r>
        <w:t>,</w:t>
      </w:r>
      <w:r w:rsidRPr="00167F40">
        <w:t xml:space="preserve"> </w:t>
      </w:r>
      <w:r>
        <w:t>-</w:t>
      </w:r>
      <w:r w:rsidRPr="00167F40">
        <w:t xml:space="preserve"> 13,2 млн. руб. (50% от общей суммы расходов), расходы </w:t>
      </w:r>
      <w:r>
        <w:t>по</w:t>
      </w:r>
      <w:r w:rsidRPr="00167F40">
        <w:t xml:space="preserve"> заработн</w:t>
      </w:r>
      <w:r>
        <w:t>ой</w:t>
      </w:r>
      <w:r w:rsidRPr="00167F40">
        <w:t xml:space="preserve"> плат</w:t>
      </w:r>
      <w:r>
        <w:t>е</w:t>
      </w:r>
      <w:r w:rsidRPr="00167F40">
        <w:t xml:space="preserve"> с начислениями - 5,9 млн. руб. (20,8%), проценты по заемным средствам - 2,9 млн. руб. (10,4%)</w:t>
      </w:r>
      <w:r>
        <w:t>, а в 2018 году на р</w:t>
      </w:r>
      <w:r w:rsidRPr="00167F40">
        <w:t xml:space="preserve">асходы </w:t>
      </w:r>
      <w:r>
        <w:t>по</w:t>
      </w:r>
      <w:r w:rsidRPr="00167F40">
        <w:t xml:space="preserve"> содержани</w:t>
      </w:r>
      <w:r>
        <w:t>ю</w:t>
      </w:r>
      <w:r w:rsidRPr="00167F40">
        <w:t xml:space="preserve"> здания по пр. Жукова, 3 (с учетом комплектования его офисной мебелью) </w:t>
      </w:r>
      <w:r>
        <w:t xml:space="preserve">- 12,9 млн. руб. (44,5%) и </w:t>
      </w:r>
      <w:r w:rsidRPr="00167F40">
        <w:t>проценты по заемным средствам - 7,9 млн. руб. (27,5%).</w:t>
      </w:r>
    </w:p>
    <w:p w:rsidR="00523285" w:rsidRPr="008A5D35" w:rsidRDefault="00523285" w:rsidP="00523285">
      <w:pPr>
        <w:pStyle w:val="a9"/>
        <w:numPr>
          <w:ilvl w:val="0"/>
          <w:numId w:val="3"/>
        </w:numPr>
        <w:ind w:left="0" w:firstLine="680"/>
        <w:jc w:val="both"/>
      </w:pPr>
      <w:r w:rsidRPr="008A5D35">
        <w:t>В проверяемом периоде Корпорация развития являлась участником/учредителем 6-ти юридических лиц, на момент окончания проверки  - трех: ООО «Сталинград» (доля 5%), ООО «Развитие» (доля 85%) и некоммерческого партнерства «Социально-экономическое развитие Волгоградской области (учредитель), в отношении которого в апреле 2019 года принято решение о предстоящем исключении из ЕГРЮЛ.</w:t>
      </w:r>
    </w:p>
    <w:p w:rsidR="00523285" w:rsidRPr="001356AC" w:rsidRDefault="00523285" w:rsidP="00523285">
      <w:pPr>
        <w:tabs>
          <w:tab w:val="left" w:pos="4005"/>
        </w:tabs>
        <w:ind w:firstLine="680"/>
        <w:jc w:val="both"/>
      </w:pPr>
      <w:r w:rsidRPr="008A5D35">
        <w:t xml:space="preserve">Целесообразность участия в организациях документально не подтверждена (за исключением </w:t>
      </w:r>
      <w:r w:rsidRPr="008A5D35">
        <w:rPr>
          <w:rFonts w:eastAsia="Calibri"/>
        </w:rPr>
        <w:t xml:space="preserve">ООО «Сталинград»). </w:t>
      </w:r>
      <w:r>
        <w:rPr>
          <w:rFonts w:eastAsia="Calibri"/>
        </w:rPr>
        <w:t>У</w:t>
      </w:r>
      <w:r w:rsidRPr="008A5D35">
        <w:rPr>
          <w:rFonts w:eastAsia="Calibri"/>
        </w:rPr>
        <w:t>частие в юридических лицах в</w:t>
      </w:r>
      <w:r w:rsidRPr="008A5D35">
        <w:t xml:space="preserve"> проверенном </w:t>
      </w:r>
      <w:r w:rsidRPr="001356AC">
        <w:t>периоде</w:t>
      </w:r>
      <w:r w:rsidRPr="001356AC">
        <w:rPr>
          <w:rFonts w:eastAsia="Calibri"/>
        </w:rPr>
        <w:t xml:space="preserve"> результатов не принесло, что </w:t>
      </w:r>
      <w:r w:rsidRPr="001356AC">
        <w:t xml:space="preserve">не </w:t>
      </w:r>
      <w:r w:rsidR="006B48C1">
        <w:t>соответствует</w:t>
      </w:r>
      <w:r w:rsidR="006B48C1" w:rsidRPr="006B48C1">
        <w:t xml:space="preserve"> </w:t>
      </w:r>
      <w:r w:rsidR="006B48C1" w:rsidRPr="001356AC">
        <w:t>п. 3.2 Устава</w:t>
      </w:r>
      <w:r w:rsidR="006B48C1">
        <w:t xml:space="preserve">, согласно которому </w:t>
      </w:r>
      <w:r w:rsidR="006B48C1" w:rsidRPr="007E1DC1">
        <w:t>общество может создавать юридические лица для  достижения основной цели – получение прибыли.</w:t>
      </w:r>
    </w:p>
    <w:p w:rsidR="00523285" w:rsidRPr="001356AC" w:rsidRDefault="00523285" w:rsidP="00523285">
      <w:pPr>
        <w:pStyle w:val="a9"/>
        <w:numPr>
          <w:ilvl w:val="0"/>
          <w:numId w:val="3"/>
        </w:numPr>
        <w:ind w:left="0" w:firstLine="680"/>
        <w:jc w:val="both"/>
      </w:pPr>
      <w:r w:rsidRPr="001356AC">
        <w:t xml:space="preserve">Анализ деятельности Корпорации развития, как специализированной организации, показал, что она не оказала существенного влияния на привлечение инвестиций в экономику Волгоградской области. Так, исследование 9-ти </w:t>
      </w:r>
      <w:proofErr w:type="spellStart"/>
      <w:r w:rsidRPr="001356AC">
        <w:t>инвестпроектов</w:t>
      </w:r>
      <w:proofErr w:type="spellEnd"/>
      <w:r w:rsidRPr="001356AC">
        <w:t xml:space="preserve"> (из 14-ти, </w:t>
      </w:r>
      <w:proofErr w:type="gramStart"/>
      <w:r w:rsidRPr="001356AC">
        <w:t>сопровождаемых</w:t>
      </w:r>
      <w:proofErr w:type="gramEnd"/>
      <w:r w:rsidRPr="001356AC">
        <w:t xml:space="preserve"> в проверенный период), реализуемых по соглашениям 2017 года и ранее, показало, что до стадии реализации и инвестирования дошел только один проект, по 4 проектам информация об их реализации в Корпорации развития отсутствует.</w:t>
      </w:r>
    </w:p>
    <w:p w:rsidR="00523285" w:rsidRDefault="00523285" w:rsidP="00523285">
      <w:pPr>
        <w:ind w:firstLine="680"/>
        <w:jc w:val="both"/>
      </w:pPr>
      <w:r w:rsidRPr="0054106D">
        <w:t>При наличии информации в годовом отчете по результатам работы Корпорации развития за 2017 год о формировании промышленных площадок под создание областных парков экономического развития типа «</w:t>
      </w:r>
      <w:r w:rsidRPr="0054106D">
        <w:rPr>
          <w:lang w:val="en-US"/>
        </w:rPr>
        <w:t>Greenfield</w:t>
      </w:r>
      <w:r w:rsidRPr="0054106D">
        <w:t>» (площадки «Новая Ерзовка»,</w:t>
      </w:r>
      <w:r w:rsidRPr="0054106D">
        <w:rPr>
          <w:i/>
        </w:rPr>
        <w:t xml:space="preserve"> </w:t>
      </w:r>
      <w:r w:rsidRPr="0054106D">
        <w:t>«Зеленая миля», «</w:t>
      </w:r>
      <w:proofErr w:type="spellStart"/>
      <w:r w:rsidRPr="0054106D">
        <w:t>Северо-Запад</w:t>
      </w:r>
      <w:proofErr w:type="spellEnd"/>
      <w:r w:rsidRPr="0054106D">
        <w:t xml:space="preserve">») документы, отражающие деятельность Корпорации развития </w:t>
      </w:r>
      <w:r>
        <w:t xml:space="preserve">в отношении </w:t>
      </w:r>
      <w:r w:rsidRPr="0054106D">
        <w:t>парк</w:t>
      </w:r>
      <w:r>
        <w:t>ов,</w:t>
      </w:r>
      <w:r w:rsidRPr="0054106D">
        <w:t xml:space="preserve"> в проверяемом периоде отсутствуют. </w:t>
      </w:r>
    </w:p>
    <w:p w:rsidR="00523285" w:rsidRDefault="00523285" w:rsidP="00523285">
      <w:pPr>
        <w:ind w:firstLine="680"/>
        <w:jc w:val="both"/>
      </w:pPr>
      <w:r w:rsidRPr="001356AC">
        <w:t>Одним из факторов не привлечения инвесторов, а также потенциальных резидентов индустриальных (промышленных) парков является отсутствие полной информации о таких инвестиционных площадках на инвестиционной карте Волгоградской области (по паркам типа «</w:t>
      </w:r>
      <w:r w:rsidRPr="001356AC">
        <w:rPr>
          <w:lang w:val="en-US"/>
        </w:rPr>
        <w:t>Greenfield</w:t>
      </w:r>
      <w:r w:rsidRPr="001356AC">
        <w:t>» указана информация только по парку «</w:t>
      </w:r>
      <w:proofErr w:type="spellStart"/>
      <w:r w:rsidRPr="001356AC">
        <w:t>Бекетовка</w:t>
      </w:r>
      <w:proofErr w:type="spellEnd"/>
      <w:r w:rsidRPr="001356AC">
        <w:t xml:space="preserve">»). В результате потенциальные инвесторы не имеют возможности проанализировать реальность  вложений на территории Волгоградской области. </w:t>
      </w:r>
      <w:r w:rsidRPr="00550799">
        <w:t xml:space="preserve">Также на портале </w:t>
      </w:r>
      <w:hyperlink r:id="rId12" w:history="1">
        <w:r w:rsidRPr="00597024">
          <w:rPr>
            <w:rStyle w:val="af"/>
            <w:color w:val="auto"/>
            <w:u w:val="none"/>
          </w:rPr>
          <w:t>www.investvlg.ru</w:t>
        </w:r>
      </w:hyperlink>
      <w:r w:rsidRPr="00550799">
        <w:t xml:space="preserve"> </w:t>
      </w:r>
      <w:r>
        <w:t>размещена неполная информация о деятельности Корпорации развития.</w:t>
      </w:r>
    </w:p>
    <w:p w:rsidR="00523285" w:rsidRDefault="00523285" w:rsidP="00523285">
      <w:pPr>
        <w:ind w:firstLine="680"/>
        <w:jc w:val="both"/>
      </w:pPr>
      <w:proofErr w:type="gramStart"/>
      <w:r w:rsidRPr="00F86250">
        <w:t>Из предусмотренных в Инвестиционной стратегии и годовых отчетах Корпорации развития перспектив развития (</w:t>
      </w:r>
      <w:r w:rsidRPr="00F86250">
        <w:rPr>
          <w:rFonts w:eastAsia="Calibri"/>
          <w:bCs/>
        </w:rPr>
        <w:t xml:space="preserve">сопровождение </w:t>
      </w:r>
      <w:r w:rsidRPr="008D2F06">
        <w:rPr>
          <w:rFonts w:eastAsia="Calibri"/>
          <w:bCs/>
        </w:rPr>
        <w:t xml:space="preserve"> </w:t>
      </w:r>
      <w:proofErr w:type="spellStart"/>
      <w:r w:rsidRPr="008D2F06">
        <w:rPr>
          <w:rFonts w:eastAsia="Calibri"/>
          <w:bCs/>
        </w:rPr>
        <w:t>инве</w:t>
      </w:r>
      <w:r>
        <w:rPr>
          <w:rFonts w:eastAsia="Calibri"/>
          <w:bCs/>
        </w:rPr>
        <w:t>стпроектов</w:t>
      </w:r>
      <w:proofErr w:type="spellEnd"/>
      <w:r>
        <w:rPr>
          <w:rFonts w:eastAsia="Calibri"/>
          <w:bCs/>
        </w:rPr>
        <w:t xml:space="preserve"> по принципу «одного окна»; содействие </w:t>
      </w:r>
      <w:r w:rsidRPr="008D2F06">
        <w:rPr>
          <w:rFonts w:eastAsia="Calibri"/>
          <w:bCs/>
        </w:rPr>
        <w:t>созданию проектных команд и участ</w:t>
      </w:r>
      <w:r>
        <w:rPr>
          <w:rFonts w:eastAsia="Calibri"/>
          <w:bCs/>
        </w:rPr>
        <w:t>ие</w:t>
      </w:r>
      <w:r w:rsidRPr="008D2F06">
        <w:rPr>
          <w:rFonts w:eastAsia="Calibri"/>
          <w:bCs/>
        </w:rPr>
        <w:t xml:space="preserve"> в разработке, поддержке и реализа</w:t>
      </w:r>
      <w:r>
        <w:rPr>
          <w:rFonts w:eastAsia="Calibri"/>
          <w:bCs/>
        </w:rPr>
        <w:t xml:space="preserve">ции </w:t>
      </w:r>
      <w:proofErr w:type="spellStart"/>
      <w:r>
        <w:rPr>
          <w:rFonts w:eastAsia="Calibri"/>
          <w:bCs/>
        </w:rPr>
        <w:t>инвестпроектов</w:t>
      </w:r>
      <w:proofErr w:type="spellEnd"/>
      <w:r>
        <w:rPr>
          <w:rFonts w:eastAsia="Calibri"/>
          <w:bCs/>
        </w:rPr>
        <w:t xml:space="preserve"> «</w:t>
      </w:r>
      <w:r w:rsidRPr="008D2F06">
        <w:rPr>
          <w:rFonts w:eastAsia="Calibri"/>
          <w:bCs/>
        </w:rPr>
        <w:t>под ключ</w:t>
      </w:r>
      <w:r>
        <w:rPr>
          <w:rFonts w:eastAsia="Calibri"/>
          <w:bCs/>
        </w:rPr>
        <w:t>»</w:t>
      </w:r>
      <w:r w:rsidRPr="008D2F06">
        <w:rPr>
          <w:rFonts w:eastAsia="Calibri"/>
          <w:bCs/>
        </w:rPr>
        <w:t>;</w:t>
      </w:r>
      <w:r>
        <w:rPr>
          <w:rFonts w:eastAsia="Calibri"/>
          <w:bCs/>
        </w:rPr>
        <w:t xml:space="preserve"> продвижение </w:t>
      </w:r>
      <w:r w:rsidRPr="008D2F06">
        <w:rPr>
          <w:rFonts w:eastAsia="Calibri"/>
          <w:bCs/>
        </w:rPr>
        <w:t>инвестиционны</w:t>
      </w:r>
      <w:r>
        <w:rPr>
          <w:rFonts w:eastAsia="Calibri"/>
          <w:bCs/>
        </w:rPr>
        <w:t>х</w:t>
      </w:r>
      <w:r w:rsidRPr="008D2F06">
        <w:rPr>
          <w:rFonts w:eastAsia="Calibri"/>
          <w:bCs/>
        </w:rPr>
        <w:t xml:space="preserve"> возможност</w:t>
      </w:r>
      <w:r>
        <w:rPr>
          <w:rFonts w:eastAsia="Calibri"/>
          <w:bCs/>
        </w:rPr>
        <w:t xml:space="preserve">ей </w:t>
      </w:r>
      <w:r w:rsidRPr="008D2F06">
        <w:rPr>
          <w:rFonts w:eastAsia="Calibri"/>
          <w:bCs/>
        </w:rPr>
        <w:t>и конкретны</w:t>
      </w:r>
      <w:r>
        <w:rPr>
          <w:rFonts w:eastAsia="Calibri"/>
          <w:bCs/>
        </w:rPr>
        <w:t>х</w:t>
      </w:r>
      <w:r w:rsidRPr="008D2F06">
        <w:rPr>
          <w:rFonts w:eastAsia="Calibri"/>
          <w:bCs/>
        </w:rPr>
        <w:t xml:space="preserve"> </w:t>
      </w:r>
      <w:proofErr w:type="spellStart"/>
      <w:r w:rsidRPr="008D2F06">
        <w:rPr>
          <w:rFonts w:eastAsia="Calibri"/>
          <w:bCs/>
        </w:rPr>
        <w:t>инвест</w:t>
      </w:r>
      <w:r>
        <w:rPr>
          <w:rFonts w:eastAsia="Calibri"/>
          <w:bCs/>
        </w:rPr>
        <w:t>п</w:t>
      </w:r>
      <w:r w:rsidRPr="008D2F06">
        <w:rPr>
          <w:rFonts w:eastAsia="Calibri"/>
          <w:bCs/>
        </w:rPr>
        <w:t>роект</w:t>
      </w:r>
      <w:r>
        <w:rPr>
          <w:rFonts w:eastAsia="Calibri"/>
          <w:bCs/>
        </w:rPr>
        <w:t>ов</w:t>
      </w:r>
      <w:proofErr w:type="spellEnd"/>
      <w:r w:rsidRPr="008D2F06">
        <w:rPr>
          <w:rFonts w:eastAsia="Calibri"/>
          <w:bCs/>
        </w:rPr>
        <w:t xml:space="preserve"> Волгоградской области в России и за рубежом;</w:t>
      </w:r>
      <w:r>
        <w:rPr>
          <w:rFonts w:eastAsia="Calibri"/>
          <w:bCs/>
        </w:rPr>
        <w:t xml:space="preserve"> содействие</w:t>
      </w:r>
      <w:r w:rsidRPr="008D2F06">
        <w:rPr>
          <w:rFonts w:eastAsia="Calibri"/>
          <w:bCs/>
        </w:rPr>
        <w:t xml:space="preserve"> в реализации проектов на </w:t>
      </w:r>
      <w:r w:rsidRPr="0053561D">
        <w:rPr>
          <w:rFonts w:eastAsia="Calibri"/>
          <w:bCs/>
        </w:rPr>
        <w:t>основе ГЧП</w:t>
      </w:r>
      <w:r w:rsidRPr="008D2F06">
        <w:rPr>
          <w:rFonts w:eastAsia="Calibri"/>
          <w:bCs/>
        </w:rPr>
        <w:t>;</w:t>
      </w:r>
      <w:proofErr w:type="gramEnd"/>
      <w:r>
        <w:rPr>
          <w:rFonts w:eastAsia="Calibri"/>
          <w:bCs/>
        </w:rPr>
        <w:t xml:space="preserve"> обеспечение </w:t>
      </w:r>
      <w:r w:rsidRPr="008D2F06">
        <w:rPr>
          <w:rFonts w:eastAsia="Calibri"/>
          <w:bCs/>
        </w:rPr>
        <w:t>взаимодействи</w:t>
      </w:r>
      <w:r>
        <w:rPr>
          <w:rFonts w:eastAsia="Calibri"/>
          <w:bCs/>
        </w:rPr>
        <w:t>я</w:t>
      </w:r>
      <w:r w:rsidRPr="008D2F06">
        <w:rPr>
          <w:rFonts w:eastAsia="Calibri"/>
          <w:bCs/>
        </w:rPr>
        <w:t xml:space="preserve"> с инвестиционными и венчурными фондами, банками</w:t>
      </w:r>
      <w:r>
        <w:rPr>
          <w:rFonts w:eastAsia="Calibri"/>
          <w:bCs/>
        </w:rPr>
        <w:t>…</w:t>
      </w:r>
      <w:r w:rsidRPr="008D2F06">
        <w:rPr>
          <w:rFonts w:eastAsia="Calibri"/>
          <w:bCs/>
        </w:rPr>
        <w:t xml:space="preserve"> с целью использования их потенциала по финансированию и иной поддержке инвестиций на т</w:t>
      </w:r>
      <w:r>
        <w:rPr>
          <w:rFonts w:eastAsia="Calibri"/>
          <w:bCs/>
        </w:rPr>
        <w:t>ерритории Волгоградской области</w:t>
      </w:r>
      <w:r w:rsidRPr="00F86250">
        <w:t xml:space="preserve">) в основном Корпорацией развития  осуществляется работа по сопровождению </w:t>
      </w:r>
      <w:proofErr w:type="spellStart"/>
      <w:r w:rsidRPr="00F86250">
        <w:t>инвестпроектов</w:t>
      </w:r>
      <w:proofErr w:type="spellEnd"/>
      <w:r w:rsidRPr="00F86250">
        <w:t>.</w:t>
      </w:r>
    </w:p>
    <w:p w:rsidR="00523285" w:rsidRDefault="00523285" w:rsidP="00523285">
      <w:pPr>
        <w:pStyle w:val="a9"/>
        <w:numPr>
          <w:ilvl w:val="0"/>
          <w:numId w:val="3"/>
        </w:numPr>
        <w:ind w:left="0" w:firstLine="680"/>
        <w:jc w:val="both"/>
      </w:pPr>
      <w:r>
        <w:t xml:space="preserve">Отдельные виды деятельности Корпорации развития по Уставу (например, инициирование и структурирование </w:t>
      </w:r>
      <w:proofErr w:type="spellStart"/>
      <w:r>
        <w:t>инвестпроектов</w:t>
      </w:r>
      <w:proofErr w:type="spellEnd"/>
      <w:r>
        <w:t xml:space="preserve">, участие в организации и </w:t>
      </w:r>
      <w:proofErr w:type="gramStart"/>
      <w:r>
        <w:t>реализации</w:t>
      </w:r>
      <w:proofErr w:type="gramEnd"/>
      <w:r>
        <w:t xml:space="preserve"> приоритетных </w:t>
      </w:r>
      <w:proofErr w:type="spellStart"/>
      <w:r>
        <w:t>инвестпроектов</w:t>
      </w:r>
      <w:proofErr w:type="spellEnd"/>
      <w:r>
        <w:t xml:space="preserve">, осуществление которых, в том числе предусматривает применение механизмов и инструментов ГЧП, развитие инфраструктуры промышленных зон, индустриальных (промышленных) парков, технопарков, </w:t>
      </w:r>
      <w:proofErr w:type="spellStart"/>
      <w:r>
        <w:t>бизнес-инкубаторов</w:t>
      </w:r>
      <w:proofErr w:type="spellEnd"/>
      <w:r>
        <w:t xml:space="preserve"> и иных территорий развития на территории Волгоградской области и др.) дублируют полномочия органов исполнительной власти Волгоградской области (Комитет экономики, комитет промышленности и торговли Волгоградской области). При этом в соответствии с распоряжением Правительства РФ от 31.01.2017 №147-р «О целевых моделях упрощения процедур ведения бизнеса и повышения инвестиционной привлекательности субъектов РФ» </w:t>
      </w:r>
      <w:r>
        <w:lastRenderedPageBreak/>
        <w:t>функции специализированной организации по привлечению инвестиций и работе с инвесторами мог</w:t>
      </w:r>
      <w:r w:rsidR="001E1710">
        <w:t xml:space="preserve">ли </w:t>
      </w:r>
      <w:r>
        <w:t xml:space="preserve">быть возложены на исполнительный орган государственной власти субъекта РФ. </w:t>
      </w:r>
    </w:p>
    <w:p w:rsidR="00523285" w:rsidRDefault="00523285" w:rsidP="00523285">
      <w:pPr>
        <w:pStyle w:val="ConsPlusNormal"/>
        <w:numPr>
          <w:ilvl w:val="0"/>
          <w:numId w:val="3"/>
        </w:numPr>
        <w:ind w:left="0" w:firstLine="680"/>
        <w:jc w:val="both"/>
      </w:pPr>
      <w:r>
        <w:t xml:space="preserve">Деятельность Корпорации развития оценивается по 9-ти ключевым показателям эффективности, которые подразделяются на финансово-экономические, отраслевые и показатели </w:t>
      </w:r>
      <w:proofErr w:type="spellStart"/>
      <w:r w:rsidRPr="00303985">
        <w:t>депремирования</w:t>
      </w:r>
      <w:proofErr w:type="spellEnd"/>
      <w:r w:rsidRPr="00303985">
        <w:t>. В 2017-2018 годах наблюдается невыполнение всех плановых значений КПЭ (в</w:t>
      </w:r>
      <w:r>
        <w:t xml:space="preserve"> </w:t>
      </w:r>
      <w:r w:rsidRPr="00303985">
        <w:t xml:space="preserve">связи с получением убытков не выполнены финансово-экономические показатели, не привлечены инвестиции и не созданы рабочие места, превышен лимит по долговой нагрузке). В 2018 году в сравнении с 2017 годом отмечается ухудшение финансово-экономических показателей. </w:t>
      </w:r>
    </w:p>
    <w:p w:rsidR="00523285" w:rsidRPr="00303985" w:rsidRDefault="00523285" w:rsidP="00523285">
      <w:pPr>
        <w:pStyle w:val="ConsPlusNormal"/>
        <w:ind w:firstLine="680"/>
        <w:jc w:val="both"/>
      </w:pPr>
      <w:r w:rsidRPr="00303985">
        <w:t>Таким образом, невыполнение ключевых показателей эффективности свидетельствует об отсутствии влияния деятельности Корпорации развития на улучшение инвестиционного климата  на территории Волгоградской области</w:t>
      </w:r>
      <w:r w:rsidR="00AF2968" w:rsidRPr="007E1DC1">
        <w:t>, что требует пересмотра подходов в организации работы на территории Волгоградской области по улучшению инвестиционного климата.</w:t>
      </w:r>
    </w:p>
    <w:p w:rsidR="00523285" w:rsidRDefault="00523285" w:rsidP="00523285">
      <w:pPr>
        <w:pStyle w:val="ConsPlusNormal"/>
        <w:ind w:firstLine="680"/>
        <w:jc w:val="both"/>
        <w:rPr>
          <w:i/>
        </w:rPr>
      </w:pPr>
    </w:p>
    <w:p w:rsidR="00523285" w:rsidRPr="008F053E" w:rsidRDefault="00523285" w:rsidP="00523285">
      <w:pPr>
        <w:pStyle w:val="ConsPlusNormal"/>
        <w:ind w:firstLine="680"/>
        <w:jc w:val="both"/>
        <w:rPr>
          <w:b/>
          <w:i/>
        </w:rPr>
      </w:pPr>
      <w:r w:rsidRPr="008F053E">
        <w:rPr>
          <w:b/>
          <w:i/>
        </w:rPr>
        <w:t>ПРЕДЛОЖЕНИЯ</w:t>
      </w:r>
    </w:p>
    <w:p w:rsidR="00523285" w:rsidRPr="002E3195" w:rsidRDefault="00AF2968" w:rsidP="00523285">
      <w:pPr>
        <w:pStyle w:val="ConsPlusNormal"/>
        <w:ind w:firstLine="680"/>
        <w:jc w:val="both"/>
        <w:rPr>
          <w:b/>
          <w:u w:val="single"/>
        </w:rPr>
      </w:pPr>
      <w:r w:rsidRPr="007E1DC1">
        <w:rPr>
          <w:b/>
          <w:u w:val="single"/>
        </w:rPr>
        <w:t>Губернатор</w:t>
      </w:r>
      <w:r w:rsidR="006E054D">
        <w:rPr>
          <w:b/>
          <w:u w:val="single"/>
        </w:rPr>
        <w:t>у</w:t>
      </w:r>
      <w:r w:rsidRPr="007E1DC1">
        <w:rPr>
          <w:b/>
          <w:u w:val="single"/>
        </w:rPr>
        <w:t xml:space="preserve"> Волгоградской области</w:t>
      </w:r>
      <w:r w:rsidR="00523285" w:rsidRPr="007E1DC1">
        <w:rPr>
          <w:b/>
          <w:u w:val="single"/>
        </w:rPr>
        <w:t>.</w:t>
      </w:r>
      <w:r w:rsidR="00523285" w:rsidRPr="002E3195">
        <w:rPr>
          <w:b/>
          <w:u w:val="single"/>
        </w:rPr>
        <w:t xml:space="preserve"> </w:t>
      </w:r>
    </w:p>
    <w:p w:rsidR="00523285" w:rsidRPr="002E3195" w:rsidRDefault="00523285" w:rsidP="00523285">
      <w:pPr>
        <w:ind w:firstLine="680"/>
        <w:jc w:val="both"/>
      </w:pPr>
      <w:r w:rsidRPr="0047787C">
        <w:t xml:space="preserve">С учетом того, что распоряжением Правительства РФ от 31.01.2017 №147-р «О целевых моделях упрощения процедур ведения бизнеса и повышения инвестиционной привлекательности субъектов РФ» предусмотрена возможность возложения функций специализированной организации по привлечению инвестиций на исполнительный орган государственной власти субъекта РФ, а также учитывая неэффективность деятельности Корпорации развития </w:t>
      </w:r>
      <w:r w:rsidR="0047787C" w:rsidRPr="0047787C">
        <w:t>поручить комитету по управлению государственным имуществом Волгоградской области, комитету экономической политики и</w:t>
      </w:r>
      <w:r w:rsidR="00C5402B">
        <w:t xml:space="preserve"> развития Волгоградской области</w:t>
      </w:r>
      <w:r w:rsidR="0047787C" w:rsidRPr="0047787C">
        <w:t xml:space="preserve"> </w:t>
      </w:r>
      <w:r w:rsidRPr="0047787C">
        <w:t>рассмотреть вопрос</w:t>
      </w:r>
      <w:r w:rsidR="0047787C">
        <w:t xml:space="preserve"> о</w:t>
      </w:r>
      <w:r w:rsidRPr="0047787C">
        <w:t xml:space="preserve"> целесообразности существования</w:t>
      </w:r>
      <w:r w:rsidR="003948E1">
        <w:t xml:space="preserve"> </w:t>
      </w:r>
      <w:r w:rsidR="0047787C" w:rsidRPr="0047787C">
        <w:t xml:space="preserve">АО «Корпорация развития Волгоградской области»  и передачи </w:t>
      </w:r>
      <w:r w:rsidR="003948E1">
        <w:t>е</w:t>
      </w:r>
      <w:r w:rsidR="008F37C5">
        <w:t>е</w:t>
      </w:r>
      <w:r w:rsidR="003948E1">
        <w:t xml:space="preserve"> </w:t>
      </w:r>
      <w:r w:rsidR="0047787C" w:rsidRPr="0047787C">
        <w:t>полномочий</w:t>
      </w:r>
      <w:r w:rsidR="003948E1">
        <w:t>, как</w:t>
      </w:r>
      <w:r w:rsidR="0047787C" w:rsidRPr="0047787C">
        <w:t xml:space="preserve"> специализированной организации по привлечению инвестиций и работе с инвесторами в Волгоградской области</w:t>
      </w:r>
      <w:r w:rsidR="003948E1">
        <w:t>,</w:t>
      </w:r>
      <w:r w:rsidR="0047787C" w:rsidRPr="0047787C">
        <w:t xml:space="preserve"> органу исполнительной власти Волгоградской области</w:t>
      </w:r>
      <w:r w:rsidR="0047787C">
        <w:t xml:space="preserve"> или</w:t>
      </w:r>
      <w:r w:rsidR="009422C6" w:rsidRPr="009422C6">
        <w:t xml:space="preserve"> </w:t>
      </w:r>
      <w:r w:rsidR="009422C6" w:rsidRPr="0047787C">
        <w:t>с целью обеспечения достижения  показателей эффективности деятельности</w:t>
      </w:r>
      <w:r w:rsidR="009422C6" w:rsidRPr="009422C6">
        <w:t xml:space="preserve"> </w:t>
      </w:r>
      <w:r w:rsidR="009422C6" w:rsidRPr="0047787C">
        <w:t xml:space="preserve">АО «Корпорация развития Волгоградской области» </w:t>
      </w:r>
      <w:r w:rsidR="0047787C">
        <w:t xml:space="preserve"> </w:t>
      </w:r>
      <w:r w:rsidRPr="0047787C">
        <w:t xml:space="preserve">разработать мероприятия </w:t>
      </w:r>
      <w:r w:rsidR="009422C6">
        <w:t>по продвижению инвестиционных проектов на основе изучения лучших практик привлечения инвестиций с участием специализированных организаций.</w:t>
      </w:r>
    </w:p>
    <w:p w:rsidR="00523285" w:rsidRDefault="00523285" w:rsidP="00523285">
      <w:pPr>
        <w:pStyle w:val="ConsPlusNormal"/>
        <w:ind w:firstLine="680"/>
        <w:jc w:val="both"/>
        <w:rPr>
          <w:i/>
        </w:rPr>
      </w:pPr>
    </w:p>
    <w:p w:rsidR="00523285" w:rsidRPr="00280F9D" w:rsidRDefault="00C5402B" w:rsidP="00523285">
      <w:pPr>
        <w:pStyle w:val="ConsPlusNormal"/>
        <w:ind w:firstLine="680"/>
        <w:jc w:val="both"/>
        <w:rPr>
          <w:b/>
          <w:u w:val="single"/>
        </w:rPr>
      </w:pPr>
      <w:r>
        <w:rPr>
          <w:b/>
          <w:u w:val="single"/>
        </w:rPr>
        <w:t>АО «</w:t>
      </w:r>
      <w:r w:rsidR="00523285" w:rsidRPr="00280F9D">
        <w:rPr>
          <w:b/>
          <w:u w:val="single"/>
        </w:rPr>
        <w:t>Корпорации развития</w:t>
      </w:r>
      <w:r>
        <w:rPr>
          <w:b/>
          <w:u w:val="single"/>
        </w:rPr>
        <w:t xml:space="preserve"> Волгоградской области»</w:t>
      </w:r>
    </w:p>
    <w:p w:rsidR="00523285" w:rsidRPr="002E3195" w:rsidRDefault="00523285" w:rsidP="00523285">
      <w:pPr>
        <w:pStyle w:val="a9"/>
        <w:numPr>
          <w:ilvl w:val="0"/>
          <w:numId w:val="4"/>
        </w:numPr>
        <w:ind w:left="0" w:firstLine="680"/>
        <w:jc w:val="both"/>
      </w:pPr>
      <w:r>
        <w:t>Разработать мероприятия по финансовому оздоровлению предприятия с целью обеспечения достижения им показателей эффективности деятельности.</w:t>
      </w:r>
    </w:p>
    <w:p w:rsidR="00523285" w:rsidRDefault="00523285" w:rsidP="00523285">
      <w:pPr>
        <w:pStyle w:val="a9"/>
        <w:numPr>
          <w:ilvl w:val="0"/>
          <w:numId w:val="4"/>
        </w:numPr>
        <w:ind w:left="0" w:firstLine="680"/>
        <w:jc w:val="both"/>
      </w:pPr>
      <w:r w:rsidRPr="00174BD4">
        <w:t>В целях доступности для потенциальных инвесторов информации о возможности участия в реализуемых Корпорацией инвестиционных проектах разместить</w:t>
      </w:r>
      <w:r>
        <w:t xml:space="preserve"> и на постоянной основе обновлять на инвестиционной карте Волгоградской области информацию обо всех инвестиционных площадках под создание индустриальных (промышленных) парков.</w:t>
      </w:r>
    </w:p>
    <w:p w:rsidR="00523285" w:rsidRDefault="00523285" w:rsidP="00523285">
      <w:pPr>
        <w:pStyle w:val="a9"/>
        <w:numPr>
          <w:ilvl w:val="0"/>
          <w:numId w:val="4"/>
        </w:numPr>
        <w:ind w:left="0" w:firstLine="680"/>
        <w:jc w:val="both"/>
      </w:pPr>
      <w:r>
        <w:t xml:space="preserve">В целях повышения информационной открытости Корпорации развития на портале </w:t>
      </w:r>
      <w:hyperlink r:id="rId13" w:history="1">
        <w:r w:rsidRPr="00523285">
          <w:rPr>
            <w:rStyle w:val="af"/>
            <w:color w:val="auto"/>
            <w:u w:val="none"/>
          </w:rPr>
          <w:t>www.investvlg.ru</w:t>
        </w:r>
      </w:hyperlink>
      <w:r>
        <w:t xml:space="preserve"> осуществить максимальное заполнение </w:t>
      </w:r>
      <w:r w:rsidRPr="00A274E6">
        <w:t>раздел</w:t>
      </w:r>
      <w:r>
        <w:t>ов, касающихся деятельности Корпорации развития.</w:t>
      </w:r>
    </w:p>
    <w:p w:rsidR="00523285" w:rsidRPr="00760CA6" w:rsidRDefault="00523285" w:rsidP="00523285">
      <w:pPr>
        <w:pStyle w:val="a9"/>
        <w:numPr>
          <w:ilvl w:val="0"/>
          <w:numId w:val="4"/>
        </w:numPr>
        <w:ind w:left="0" w:firstLine="680"/>
        <w:jc w:val="both"/>
      </w:pPr>
      <w:r w:rsidRPr="00760CA6">
        <w:t xml:space="preserve">В целях выработки более действенных механизмов сопровождения </w:t>
      </w:r>
      <w:proofErr w:type="spellStart"/>
      <w:r w:rsidRPr="00760CA6">
        <w:t>инвестпроектов</w:t>
      </w:r>
      <w:proofErr w:type="spellEnd"/>
      <w:r w:rsidRPr="00760CA6">
        <w:t xml:space="preserve"> рассмотреть вопрос о разработке механизма взаимодействия с инвесторами по получению информации от них о реализации </w:t>
      </w:r>
      <w:proofErr w:type="spellStart"/>
      <w:r w:rsidRPr="00760CA6">
        <w:t>инвестпроектов</w:t>
      </w:r>
      <w:proofErr w:type="spellEnd"/>
      <w:r w:rsidRPr="00760CA6">
        <w:t>.</w:t>
      </w:r>
    </w:p>
    <w:p w:rsidR="00523285" w:rsidRDefault="00523285" w:rsidP="00523285">
      <w:pPr>
        <w:pStyle w:val="a9"/>
        <w:numPr>
          <w:ilvl w:val="0"/>
          <w:numId w:val="4"/>
        </w:numPr>
        <w:ind w:left="0" w:firstLine="680"/>
        <w:jc w:val="both"/>
      </w:pPr>
      <w:r w:rsidRPr="00760CA6">
        <w:t>Обеспечить возврат заемных средств ООО «Развитие», заключившем договор беспроцентного займа с Корпорацией развития, а также рассмотреть вопрос о предъявления ему суммы пени за несвоевременный возврат заемных средств</w:t>
      </w:r>
      <w:r>
        <w:t>.</w:t>
      </w:r>
    </w:p>
    <w:p w:rsidR="003948E1" w:rsidRDefault="003948E1" w:rsidP="00523285">
      <w:pPr>
        <w:pStyle w:val="a9"/>
        <w:numPr>
          <w:ilvl w:val="0"/>
          <w:numId w:val="4"/>
        </w:numPr>
        <w:ind w:left="0" w:firstLine="680"/>
        <w:jc w:val="both"/>
      </w:pPr>
      <w:r>
        <w:t>Изучить лучшие практики работы специализированных организаций</w:t>
      </w:r>
      <w:r w:rsidRPr="003948E1">
        <w:t xml:space="preserve"> </w:t>
      </w:r>
      <w:r>
        <w:t>с целью использования их в своей работе по улучшению инвестиционного климата на территории Волгоградской области.</w:t>
      </w:r>
    </w:p>
    <w:p w:rsidR="00523285" w:rsidRDefault="00523285" w:rsidP="00523285">
      <w:pPr>
        <w:pStyle w:val="a9"/>
        <w:ind w:left="680"/>
        <w:jc w:val="both"/>
      </w:pPr>
    </w:p>
    <w:p w:rsidR="00523285" w:rsidRPr="00B7141E" w:rsidRDefault="00523285" w:rsidP="00523285">
      <w:pPr>
        <w:pStyle w:val="ConsPlusNormal"/>
        <w:ind w:firstLine="680"/>
        <w:jc w:val="both"/>
        <w:outlineLvl w:val="0"/>
        <w:rPr>
          <w:b/>
          <w:u w:val="single"/>
        </w:rPr>
      </w:pPr>
      <w:r w:rsidRPr="00B7141E">
        <w:rPr>
          <w:b/>
          <w:u w:val="single"/>
        </w:rPr>
        <w:t>Комитету по управлению государственным имуществом Волгоградской области</w:t>
      </w:r>
    </w:p>
    <w:p w:rsidR="00523285" w:rsidRPr="00FE437D" w:rsidRDefault="00523285" w:rsidP="00523285">
      <w:pPr>
        <w:pStyle w:val="ConsPlusNormal"/>
        <w:numPr>
          <w:ilvl w:val="0"/>
          <w:numId w:val="5"/>
        </w:numPr>
        <w:ind w:left="0" w:firstLine="680"/>
        <w:jc w:val="both"/>
      </w:pPr>
      <w:r w:rsidRPr="00B7141E">
        <w:t xml:space="preserve">В целях более эффективного осуществления общего руководства  </w:t>
      </w:r>
      <w:r w:rsidRPr="00FE437D">
        <w:t>деятельностью Корпорации развития содействовать работе ее наблюдательного совета.</w:t>
      </w:r>
    </w:p>
    <w:p w:rsidR="00FE437D" w:rsidRPr="00FE437D" w:rsidRDefault="00FE437D" w:rsidP="00FE437D">
      <w:pPr>
        <w:pStyle w:val="a9"/>
        <w:widowControl w:val="0"/>
        <w:numPr>
          <w:ilvl w:val="0"/>
          <w:numId w:val="5"/>
        </w:numPr>
        <w:shd w:val="clear" w:color="auto" w:fill="FFFFFF"/>
        <w:autoSpaceDN w:val="0"/>
        <w:adjustRightInd w:val="0"/>
        <w:ind w:left="0" w:firstLine="680"/>
        <w:contextualSpacing w:val="0"/>
        <w:jc w:val="both"/>
      </w:pPr>
      <w:r w:rsidRPr="00FE437D">
        <w:t>В условиях снижения стоимости чистых активов над размером уставного капитала сообщить о принятом решении по итогам рассмотрения годового отчета Корпорации развития за 2018 год с учетом п. 6 ст. 35 Закона об акционерных обществах.</w:t>
      </w:r>
    </w:p>
    <w:p w:rsidR="007E1DC1" w:rsidRDefault="007E1DC1" w:rsidP="009422C6">
      <w:pPr>
        <w:pStyle w:val="ConsPlusNormal"/>
        <w:jc w:val="both"/>
        <w:outlineLvl w:val="0"/>
        <w:rPr>
          <w:highlight w:val="yellow"/>
        </w:rPr>
      </w:pPr>
    </w:p>
    <w:p w:rsidR="00FE437D" w:rsidRDefault="00FE437D" w:rsidP="009422C6">
      <w:pPr>
        <w:pStyle w:val="ConsPlusNormal"/>
        <w:jc w:val="both"/>
        <w:outlineLvl w:val="0"/>
        <w:rPr>
          <w:highlight w:val="yellow"/>
        </w:rPr>
      </w:pPr>
    </w:p>
    <w:p w:rsidR="007E1DC1" w:rsidRDefault="007E1DC1" w:rsidP="009422C6">
      <w:pPr>
        <w:pStyle w:val="ConsPlusNormal"/>
        <w:jc w:val="both"/>
        <w:outlineLvl w:val="0"/>
        <w:rPr>
          <w:highlight w:val="yellow"/>
        </w:rPr>
      </w:pPr>
    </w:p>
    <w:p w:rsidR="007E1DC1" w:rsidRPr="00FE60AA" w:rsidRDefault="007E1DC1" w:rsidP="009422C6">
      <w:pPr>
        <w:pStyle w:val="ConsPlusNormal"/>
        <w:jc w:val="both"/>
        <w:outlineLvl w:val="0"/>
        <w:rPr>
          <w:highlight w:val="yellow"/>
        </w:rPr>
      </w:pPr>
    </w:p>
    <w:p w:rsidR="00523285" w:rsidRDefault="003F0FD0" w:rsidP="00FF6E4C">
      <w:pPr>
        <w:ind w:firstLine="680"/>
        <w:jc w:val="center"/>
        <w:rPr>
          <w:b/>
        </w:rPr>
      </w:pPr>
      <w:r>
        <w:rPr>
          <w:b/>
        </w:rPr>
        <w:t xml:space="preserve">Аудитор                                                                             </w:t>
      </w:r>
      <w:proofErr w:type="spellStart"/>
      <w:r>
        <w:rPr>
          <w:b/>
        </w:rPr>
        <w:t>Ноздрюхина</w:t>
      </w:r>
      <w:proofErr w:type="spellEnd"/>
      <w:r>
        <w:rPr>
          <w:b/>
        </w:rPr>
        <w:t xml:space="preserve"> Н.Л.</w:t>
      </w:r>
    </w:p>
    <w:sectPr w:rsidR="00523285" w:rsidSect="00C30EEE">
      <w:headerReference w:type="default" r:id="rId14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37D" w:rsidRDefault="00FE437D" w:rsidP="003725F0">
      <w:r>
        <w:separator/>
      </w:r>
    </w:p>
  </w:endnote>
  <w:endnote w:type="continuationSeparator" w:id="0">
    <w:p w:rsidR="00FE437D" w:rsidRDefault="00FE437D" w:rsidP="00372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37D" w:rsidRDefault="00FE437D" w:rsidP="003725F0">
      <w:r>
        <w:separator/>
      </w:r>
    </w:p>
  </w:footnote>
  <w:footnote w:type="continuationSeparator" w:id="0">
    <w:p w:rsidR="00FE437D" w:rsidRDefault="00FE437D" w:rsidP="00372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969532"/>
      <w:docPartObj>
        <w:docPartGallery w:val="Page Numbers (Top of Page)"/>
        <w:docPartUnique/>
      </w:docPartObj>
    </w:sdtPr>
    <w:sdtContent>
      <w:p w:rsidR="00FE437D" w:rsidRDefault="00FE437D">
        <w:pPr>
          <w:pStyle w:val="ab"/>
          <w:jc w:val="center"/>
        </w:pPr>
        <w:fldSimple w:instr=" PAGE   \* MERGEFORMAT ">
          <w:r w:rsidR="006B4165">
            <w:rPr>
              <w:noProof/>
            </w:rPr>
            <w:t>19</w:t>
          </w:r>
        </w:fldSimple>
      </w:p>
    </w:sdtContent>
  </w:sdt>
  <w:p w:rsidR="00FE437D" w:rsidRDefault="00FE437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7E7E"/>
    <w:multiLevelType w:val="hybridMultilevel"/>
    <w:tmpl w:val="1452DE48"/>
    <w:lvl w:ilvl="0" w:tplc="347C058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064A49"/>
    <w:multiLevelType w:val="hybridMultilevel"/>
    <w:tmpl w:val="1E7CC8EC"/>
    <w:lvl w:ilvl="0" w:tplc="30627C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1B0E112B"/>
    <w:multiLevelType w:val="hybridMultilevel"/>
    <w:tmpl w:val="B560D148"/>
    <w:lvl w:ilvl="0" w:tplc="4F1A01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32CD247B"/>
    <w:multiLevelType w:val="hybridMultilevel"/>
    <w:tmpl w:val="04DA7E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882A68"/>
    <w:multiLevelType w:val="hybridMultilevel"/>
    <w:tmpl w:val="ECF28CA6"/>
    <w:lvl w:ilvl="0" w:tplc="50E4B7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03B"/>
    <w:rsid w:val="000000E4"/>
    <w:rsid w:val="000057AC"/>
    <w:rsid w:val="00012049"/>
    <w:rsid w:val="00012DA1"/>
    <w:rsid w:val="0001457B"/>
    <w:rsid w:val="00020B2F"/>
    <w:rsid w:val="00021058"/>
    <w:rsid w:val="00030F58"/>
    <w:rsid w:val="0003103C"/>
    <w:rsid w:val="000324E7"/>
    <w:rsid w:val="00034053"/>
    <w:rsid w:val="000360AA"/>
    <w:rsid w:val="000415B4"/>
    <w:rsid w:val="00041825"/>
    <w:rsid w:val="000425C4"/>
    <w:rsid w:val="0004347A"/>
    <w:rsid w:val="00044ABD"/>
    <w:rsid w:val="0004592C"/>
    <w:rsid w:val="00054020"/>
    <w:rsid w:val="000555DB"/>
    <w:rsid w:val="000560A6"/>
    <w:rsid w:val="0006181F"/>
    <w:rsid w:val="0006227E"/>
    <w:rsid w:val="00070CFA"/>
    <w:rsid w:val="000733EF"/>
    <w:rsid w:val="0007461D"/>
    <w:rsid w:val="00076D2A"/>
    <w:rsid w:val="00076EEC"/>
    <w:rsid w:val="0008790B"/>
    <w:rsid w:val="00090F83"/>
    <w:rsid w:val="0009417D"/>
    <w:rsid w:val="000A254E"/>
    <w:rsid w:val="000A2FCA"/>
    <w:rsid w:val="000A5B5E"/>
    <w:rsid w:val="000B038A"/>
    <w:rsid w:val="000B06EC"/>
    <w:rsid w:val="000B26CE"/>
    <w:rsid w:val="000B3C28"/>
    <w:rsid w:val="000B41E8"/>
    <w:rsid w:val="000B4360"/>
    <w:rsid w:val="000B4A6F"/>
    <w:rsid w:val="000B79EC"/>
    <w:rsid w:val="000D13D9"/>
    <w:rsid w:val="000D39CD"/>
    <w:rsid w:val="000D3DB4"/>
    <w:rsid w:val="000E2FE9"/>
    <w:rsid w:val="000E5017"/>
    <w:rsid w:val="000E6E31"/>
    <w:rsid w:val="000F3267"/>
    <w:rsid w:val="000F401E"/>
    <w:rsid w:val="000F527B"/>
    <w:rsid w:val="000F59DB"/>
    <w:rsid w:val="000F6421"/>
    <w:rsid w:val="000F6CB4"/>
    <w:rsid w:val="00112668"/>
    <w:rsid w:val="00114C69"/>
    <w:rsid w:val="00116B8E"/>
    <w:rsid w:val="001218C0"/>
    <w:rsid w:val="00122432"/>
    <w:rsid w:val="001227AA"/>
    <w:rsid w:val="00123330"/>
    <w:rsid w:val="001233D4"/>
    <w:rsid w:val="00124A77"/>
    <w:rsid w:val="00133F2F"/>
    <w:rsid w:val="00135509"/>
    <w:rsid w:val="001358F9"/>
    <w:rsid w:val="00143665"/>
    <w:rsid w:val="00147F20"/>
    <w:rsid w:val="00154F84"/>
    <w:rsid w:val="00160B22"/>
    <w:rsid w:val="00161086"/>
    <w:rsid w:val="00162321"/>
    <w:rsid w:val="0017081F"/>
    <w:rsid w:val="001773B4"/>
    <w:rsid w:val="00183317"/>
    <w:rsid w:val="00186B45"/>
    <w:rsid w:val="00191BAD"/>
    <w:rsid w:val="00196A6D"/>
    <w:rsid w:val="001A2DDB"/>
    <w:rsid w:val="001A60C3"/>
    <w:rsid w:val="001A66EB"/>
    <w:rsid w:val="001B2371"/>
    <w:rsid w:val="001D194E"/>
    <w:rsid w:val="001D205F"/>
    <w:rsid w:val="001E151D"/>
    <w:rsid w:val="001E1710"/>
    <w:rsid w:val="001E5226"/>
    <w:rsid w:val="001E5305"/>
    <w:rsid w:val="001E7FBA"/>
    <w:rsid w:val="001F0F92"/>
    <w:rsid w:val="001F606D"/>
    <w:rsid w:val="00200E57"/>
    <w:rsid w:val="00204120"/>
    <w:rsid w:val="00204BC4"/>
    <w:rsid w:val="002105A3"/>
    <w:rsid w:val="002123D4"/>
    <w:rsid w:val="00212CFF"/>
    <w:rsid w:val="002134E8"/>
    <w:rsid w:val="00221DD0"/>
    <w:rsid w:val="00222612"/>
    <w:rsid w:val="00222F32"/>
    <w:rsid w:val="00223318"/>
    <w:rsid w:val="002270A2"/>
    <w:rsid w:val="00230847"/>
    <w:rsid w:val="00232037"/>
    <w:rsid w:val="00235658"/>
    <w:rsid w:val="0023734B"/>
    <w:rsid w:val="00237A82"/>
    <w:rsid w:val="00243CF5"/>
    <w:rsid w:val="002442D4"/>
    <w:rsid w:val="00247923"/>
    <w:rsid w:val="002514F1"/>
    <w:rsid w:val="00252BDA"/>
    <w:rsid w:val="00256D9D"/>
    <w:rsid w:val="0027070C"/>
    <w:rsid w:val="0027225E"/>
    <w:rsid w:val="00280573"/>
    <w:rsid w:val="00286D4A"/>
    <w:rsid w:val="002957A5"/>
    <w:rsid w:val="002A32B3"/>
    <w:rsid w:val="002A7832"/>
    <w:rsid w:val="002B1CBF"/>
    <w:rsid w:val="002B2B76"/>
    <w:rsid w:val="002C42D4"/>
    <w:rsid w:val="002C541F"/>
    <w:rsid w:val="002C6700"/>
    <w:rsid w:val="002C6795"/>
    <w:rsid w:val="002C7A8B"/>
    <w:rsid w:val="002D1493"/>
    <w:rsid w:val="002D5EA9"/>
    <w:rsid w:val="002D6BF9"/>
    <w:rsid w:val="002D70EB"/>
    <w:rsid w:val="002E0ED7"/>
    <w:rsid w:val="002F1442"/>
    <w:rsid w:val="002F2F11"/>
    <w:rsid w:val="002F6662"/>
    <w:rsid w:val="002F6FA6"/>
    <w:rsid w:val="003008F5"/>
    <w:rsid w:val="00300E78"/>
    <w:rsid w:val="00302E04"/>
    <w:rsid w:val="00302F45"/>
    <w:rsid w:val="00304332"/>
    <w:rsid w:val="00313827"/>
    <w:rsid w:val="00313CB8"/>
    <w:rsid w:val="00313E9C"/>
    <w:rsid w:val="00314926"/>
    <w:rsid w:val="00315830"/>
    <w:rsid w:val="003169AC"/>
    <w:rsid w:val="003226F8"/>
    <w:rsid w:val="00323311"/>
    <w:rsid w:val="00330660"/>
    <w:rsid w:val="003309D3"/>
    <w:rsid w:val="0033236E"/>
    <w:rsid w:val="003324B6"/>
    <w:rsid w:val="00333E2E"/>
    <w:rsid w:val="00334745"/>
    <w:rsid w:val="0033796E"/>
    <w:rsid w:val="003403EF"/>
    <w:rsid w:val="00341969"/>
    <w:rsid w:val="00342335"/>
    <w:rsid w:val="00350C67"/>
    <w:rsid w:val="003529B7"/>
    <w:rsid w:val="003548F7"/>
    <w:rsid w:val="00355657"/>
    <w:rsid w:val="00356934"/>
    <w:rsid w:val="00363EF5"/>
    <w:rsid w:val="00364BC7"/>
    <w:rsid w:val="00365D59"/>
    <w:rsid w:val="00370543"/>
    <w:rsid w:val="00370B31"/>
    <w:rsid w:val="003725F0"/>
    <w:rsid w:val="0037280E"/>
    <w:rsid w:val="00374287"/>
    <w:rsid w:val="00374DFE"/>
    <w:rsid w:val="00381788"/>
    <w:rsid w:val="00381CE0"/>
    <w:rsid w:val="00384D36"/>
    <w:rsid w:val="003862DD"/>
    <w:rsid w:val="00391058"/>
    <w:rsid w:val="00394167"/>
    <w:rsid w:val="003948E1"/>
    <w:rsid w:val="00395250"/>
    <w:rsid w:val="003A0904"/>
    <w:rsid w:val="003A2A3F"/>
    <w:rsid w:val="003A4FE9"/>
    <w:rsid w:val="003A6282"/>
    <w:rsid w:val="003B2A6B"/>
    <w:rsid w:val="003B5B96"/>
    <w:rsid w:val="003B7CAC"/>
    <w:rsid w:val="003C1E75"/>
    <w:rsid w:val="003C5733"/>
    <w:rsid w:val="003C7D33"/>
    <w:rsid w:val="003D3A4F"/>
    <w:rsid w:val="003D6140"/>
    <w:rsid w:val="003D6A02"/>
    <w:rsid w:val="003E388C"/>
    <w:rsid w:val="003E479A"/>
    <w:rsid w:val="003E59E9"/>
    <w:rsid w:val="003E706B"/>
    <w:rsid w:val="003F0FD0"/>
    <w:rsid w:val="003F42DA"/>
    <w:rsid w:val="003F7AFD"/>
    <w:rsid w:val="0040059E"/>
    <w:rsid w:val="0041689D"/>
    <w:rsid w:val="00420A8B"/>
    <w:rsid w:val="00427693"/>
    <w:rsid w:val="004311B9"/>
    <w:rsid w:val="00436D45"/>
    <w:rsid w:val="00437593"/>
    <w:rsid w:val="004404C4"/>
    <w:rsid w:val="00443B40"/>
    <w:rsid w:val="004458AA"/>
    <w:rsid w:val="00446C55"/>
    <w:rsid w:val="00447996"/>
    <w:rsid w:val="004508A8"/>
    <w:rsid w:val="00452429"/>
    <w:rsid w:val="00455B20"/>
    <w:rsid w:val="00456883"/>
    <w:rsid w:val="00457B0D"/>
    <w:rsid w:val="00461349"/>
    <w:rsid w:val="00461B1E"/>
    <w:rsid w:val="00462932"/>
    <w:rsid w:val="00467310"/>
    <w:rsid w:val="00472747"/>
    <w:rsid w:val="004746D1"/>
    <w:rsid w:val="004762CD"/>
    <w:rsid w:val="0047787C"/>
    <w:rsid w:val="00483BF8"/>
    <w:rsid w:val="00484FDE"/>
    <w:rsid w:val="00485997"/>
    <w:rsid w:val="00490A81"/>
    <w:rsid w:val="00490BA9"/>
    <w:rsid w:val="00491418"/>
    <w:rsid w:val="004927B9"/>
    <w:rsid w:val="00492D8B"/>
    <w:rsid w:val="004967CF"/>
    <w:rsid w:val="004969B6"/>
    <w:rsid w:val="00497DA1"/>
    <w:rsid w:val="004A2CA5"/>
    <w:rsid w:val="004A7818"/>
    <w:rsid w:val="004B0C7D"/>
    <w:rsid w:val="004B1F51"/>
    <w:rsid w:val="004B2ACA"/>
    <w:rsid w:val="004B2ECB"/>
    <w:rsid w:val="004B7F64"/>
    <w:rsid w:val="004C109D"/>
    <w:rsid w:val="004C2219"/>
    <w:rsid w:val="004C39E3"/>
    <w:rsid w:val="004C51F2"/>
    <w:rsid w:val="004C5A71"/>
    <w:rsid w:val="004C701B"/>
    <w:rsid w:val="004C7D65"/>
    <w:rsid w:val="004D5F3B"/>
    <w:rsid w:val="004D6B15"/>
    <w:rsid w:val="004E3074"/>
    <w:rsid w:val="004E309B"/>
    <w:rsid w:val="004E6EFC"/>
    <w:rsid w:val="004F57AB"/>
    <w:rsid w:val="00500ADF"/>
    <w:rsid w:val="00501242"/>
    <w:rsid w:val="00502AC2"/>
    <w:rsid w:val="00504342"/>
    <w:rsid w:val="00505E60"/>
    <w:rsid w:val="005102AA"/>
    <w:rsid w:val="0051056E"/>
    <w:rsid w:val="00512D81"/>
    <w:rsid w:val="00513ECE"/>
    <w:rsid w:val="00515B16"/>
    <w:rsid w:val="0051715D"/>
    <w:rsid w:val="00521B21"/>
    <w:rsid w:val="00523285"/>
    <w:rsid w:val="00527DFF"/>
    <w:rsid w:val="0053561D"/>
    <w:rsid w:val="00540943"/>
    <w:rsid w:val="00545A71"/>
    <w:rsid w:val="00550383"/>
    <w:rsid w:val="00550D26"/>
    <w:rsid w:val="005513AA"/>
    <w:rsid w:val="005546EF"/>
    <w:rsid w:val="0055549F"/>
    <w:rsid w:val="00557B34"/>
    <w:rsid w:val="00560DA5"/>
    <w:rsid w:val="0056254B"/>
    <w:rsid w:val="005656D7"/>
    <w:rsid w:val="00572813"/>
    <w:rsid w:val="0057470E"/>
    <w:rsid w:val="005762AB"/>
    <w:rsid w:val="00581E37"/>
    <w:rsid w:val="00585ECD"/>
    <w:rsid w:val="005879A7"/>
    <w:rsid w:val="00591B29"/>
    <w:rsid w:val="00593A85"/>
    <w:rsid w:val="005956A0"/>
    <w:rsid w:val="005965C3"/>
    <w:rsid w:val="00597024"/>
    <w:rsid w:val="005971AB"/>
    <w:rsid w:val="005A1D6D"/>
    <w:rsid w:val="005A3886"/>
    <w:rsid w:val="005A4843"/>
    <w:rsid w:val="005A5E68"/>
    <w:rsid w:val="005A68EC"/>
    <w:rsid w:val="005B04CC"/>
    <w:rsid w:val="005B084C"/>
    <w:rsid w:val="005B29B2"/>
    <w:rsid w:val="005B320C"/>
    <w:rsid w:val="005B50C6"/>
    <w:rsid w:val="005B51F1"/>
    <w:rsid w:val="005B7160"/>
    <w:rsid w:val="005B7ACB"/>
    <w:rsid w:val="005C20C6"/>
    <w:rsid w:val="005C57AA"/>
    <w:rsid w:val="005D192B"/>
    <w:rsid w:val="005D5852"/>
    <w:rsid w:val="005E09B2"/>
    <w:rsid w:val="005F228B"/>
    <w:rsid w:val="005F6018"/>
    <w:rsid w:val="006062A5"/>
    <w:rsid w:val="00606932"/>
    <w:rsid w:val="00613272"/>
    <w:rsid w:val="00615B76"/>
    <w:rsid w:val="006173C8"/>
    <w:rsid w:val="00617B92"/>
    <w:rsid w:val="00624E8B"/>
    <w:rsid w:val="0063764E"/>
    <w:rsid w:val="00640283"/>
    <w:rsid w:val="00650B92"/>
    <w:rsid w:val="006516E3"/>
    <w:rsid w:val="006537CD"/>
    <w:rsid w:val="00657066"/>
    <w:rsid w:val="00660770"/>
    <w:rsid w:val="006663D4"/>
    <w:rsid w:val="00666D9E"/>
    <w:rsid w:val="006675BF"/>
    <w:rsid w:val="006729E9"/>
    <w:rsid w:val="00672AA5"/>
    <w:rsid w:val="00674245"/>
    <w:rsid w:val="0067431C"/>
    <w:rsid w:val="006778C1"/>
    <w:rsid w:val="006807E9"/>
    <w:rsid w:val="00683DCD"/>
    <w:rsid w:val="00686A48"/>
    <w:rsid w:val="0069583C"/>
    <w:rsid w:val="006A1523"/>
    <w:rsid w:val="006B01AE"/>
    <w:rsid w:val="006B0BED"/>
    <w:rsid w:val="006B2B00"/>
    <w:rsid w:val="006B4165"/>
    <w:rsid w:val="006B48C1"/>
    <w:rsid w:val="006B6974"/>
    <w:rsid w:val="006C0F98"/>
    <w:rsid w:val="006C20DB"/>
    <w:rsid w:val="006C3E5B"/>
    <w:rsid w:val="006C3F92"/>
    <w:rsid w:val="006C472D"/>
    <w:rsid w:val="006D0D17"/>
    <w:rsid w:val="006D7088"/>
    <w:rsid w:val="006E054D"/>
    <w:rsid w:val="006E3225"/>
    <w:rsid w:val="006E4DEF"/>
    <w:rsid w:val="006E6B6E"/>
    <w:rsid w:val="006F0656"/>
    <w:rsid w:val="006F28F8"/>
    <w:rsid w:val="006F433C"/>
    <w:rsid w:val="006F5E4E"/>
    <w:rsid w:val="0070367D"/>
    <w:rsid w:val="007059EA"/>
    <w:rsid w:val="00713582"/>
    <w:rsid w:val="00715471"/>
    <w:rsid w:val="007159E5"/>
    <w:rsid w:val="00715E9C"/>
    <w:rsid w:val="00716EE5"/>
    <w:rsid w:val="00721AA7"/>
    <w:rsid w:val="00722790"/>
    <w:rsid w:val="0073269E"/>
    <w:rsid w:val="00732B23"/>
    <w:rsid w:val="007336E3"/>
    <w:rsid w:val="00737DCE"/>
    <w:rsid w:val="00741C18"/>
    <w:rsid w:val="007451FF"/>
    <w:rsid w:val="007465E6"/>
    <w:rsid w:val="00746B05"/>
    <w:rsid w:val="0074761B"/>
    <w:rsid w:val="007549E8"/>
    <w:rsid w:val="00761FC3"/>
    <w:rsid w:val="00770837"/>
    <w:rsid w:val="00775F16"/>
    <w:rsid w:val="007773C5"/>
    <w:rsid w:val="00780218"/>
    <w:rsid w:val="00785603"/>
    <w:rsid w:val="00787C3D"/>
    <w:rsid w:val="007905E0"/>
    <w:rsid w:val="00791EBF"/>
    <w:rsid w:val="007956ED"/>
    <w:rsid w:val="007A34CF"/>
    <w:rsid w:val="007A51F6"/>
    <w:rsid w:val="007A6016"/>
    <w:rsid w:val="007B3155"/>
    <w:rsid w:val="007B5B6C"/>
    <w:rsid w:val="007C0846"/>
    <w:rsid w:val="007C13B7"/>
    <w:rsid w:val="007C35B5"/>
    <w:rsid w:val="007C426F"/>
    <w:rsid w:val="007C438B"/>
    <w:rsid w:val="007C7E5D"/>
    <w:rsid w:val="007D22F3"/>
    <w:rsid w:val="007D64B8"/>
    <w:rsid w:val="007D7DEC"/>
    <w:rsid w:val="007E0CD7"/>
    <w:rsid w:val="007E105E"/>
    <w:rsid w:val="007E1DC1"/>
    <w:rsid w:val="007E2072"/>
    <w:rsid w:val="007E7232"/>
    <w:rsid w:val="007E79FD"/>
    <w:rsid w:val="007F4252"/>
    <w:rsid w:val="007F4AC9"/>
    <w:rsid w:val="00804154"/>
    <w:rsid w:val="00804EFD"/>
    <w:rsid w:val="008073DA"/>
    <w:rsid w:val="0081442F"/>
    <w:rsid w:val="00817F39"/>
    <w:rsid w:val="00820806"/>
    <w:rsid w:val="008209C6"/>
    <w:rsid w:val="008258A2"/>
    <w:rsid w:val="0083288F"/>
    <w:rsid w:val="008334C6"/>
    <w:rsid w:val="00834D90"/>
    <w:rsid w:val="0083553B"/>
    <w:rsid w:val="00841FF7"/>
    <w:rsid w:val="00845031"/>
    <w:rsid w:val="00850952"/>
    <w:rsid w:val="0085266C"/>
    <w:rsid w:val="0085396B"/>
    <w:rsid w:val="00856E17"/>
    <w:rsid w:val="0086075A"/>
    <w:rsid w:val="00860AB6"/>
    <w:rsid w:val="0086149A"/>
    <w:rsid w:val="0087125B"/>
    <w:rsid w:val="008714AD"/>
    <w:rsid w:val="00872287"/>
    <w:rsid w:val="008729DA"/>
    <w:rsid w:val="00881CDF"/>
    <w:rsid w:val="008850D2"/>
    <w:rsid w:val="00885176"/>
    <w:rsid w:val="008852DE"/>
    <w:rsid w:val="008856AB"/>
    <w:rsid w:val="0088675B"/>
    <w:rsid w:val="00890D46"/>
    <w:rsid w:val="00891B35"/>
    <w:rsid w:val="0089282E"/>
    <w:rsid w:val="00895B8D"/>
    <w:rsid w:val="00896B52"/>
    <w:rsid w:val="00896FC9"/>
    <w:rsid w:val="0089703B"/>
    <w:rsid w:val="008A1272"/>
    <w:rsid w:val="008A4A39"/>
    <w:rsid w:val="008B7174"/>
    <w:rsid w:val="008C08E0"/>
    <w:rsid w:val="008C418F"/>
    <w:rsid w:val="008C49EF"/>
    <w:rsid w:val="008C5BD0"/>
    <w:rsid w:val="008C7147"/>
    <w:rsid w:val="008C7393"/>
    <w:rsid w:val="008D0A24"/>
    <w:rsid w:val="008D6B83"/>
    <w:rsid w:val="008E02B5"/>
    <w:rsid w:val="008E4353"/>
    <w:rsid w:val="008F053E"/>
    <w:rsid w:val="008F2401"/>
    <w:rsid w:val="008F37C5"/>
    <w:rsid w:val="008F56BB"/>
    <w:rsid w:val="008F7001"/>
    <w:rsid w:val="00904523"/>
    <w:rsid w:val="00907D52"/>
    <w:rsid w:val="00910830"/>
    <w:rsid w:val="00917F4F"/>
    <w:rsid w:val="009324A7"/>
    <w:rsid w:val="009331BD"/>
    <w:rsid w:val="00934772"/>
    <w:rsid w:val="009360A4"/>
    <w:rsid w:val="00937256"/>
    <w:rsid w:val="009422C6"/>
    <w:rsid w:val="00943E8E"/>
    <w:rsid w:val="00944DA5"/>
    <w:rsid w:val="009457BE"/>
    <w:rsid w:val="00946102"/>
    <w:rsid w:val="00951873"/>
    <w:rsid w:val="0095372D"/>
    <w:rsid w:val="0096066A"/>
    <w:rsid w:val="00963352"/>
    <w:rsid w:val="00970255"/>
    <w:rsid w:val="00970D46"/>
    <w:rsid w:val="009714DC"/>
    <w:rsid w:val="00971B60"/>
    <w:rsid w:val="00971C6F"/>
    <w:rsid w:val="00971FAF"/>
    <w:rsid w:val="00972116"/>
    <w:rsid w:val="00976370"/>
    <w:rsid w:val="00977AE3"/>
    <w:rsid w:val="00982EBD"/>
    <w:rsid w:val="009870EC"/>
    <w:rsid w:val="009907B2"/>
    <w:rsid w:val="00991078"/>
    <w:rsid w:val="00993B4A"/>
    <w:rsid w:val="00993EF0"/>
    <w:rsid w:val="00996B31"/>
    <w:rsid w:val="009A08D5"/>
    <w:rsid w:val="009A209C"/>
    <w:rsid w:val="009A48F1"/>
    <w:rsid w:val="009A4F2C"/>
    <w:rsid w:val="009A7555"/>
    <w:rsid w:val="009A7AE4"/>
    <w:rsid w:val="009B1A1E"/>
    <w:rsid w:val="009B2457"/>
    <w:rsid w:val="009B31EE"/>
    <w:rsid w:val="009C0B28"/>
    <w:rsid w:val="009C43A4"/>
    <w:rsid w:val="009C4552"/>
    <w:rsid w:val="009C78D6"/>
    <w:rsid w:val="009C7980"/>
    <w:rsid w:val="009D1489"/>
    <w:rsid w:val="009E0F4C"/>
    <w:rsid w:val="009E2E8E"/>
    <w:rsid w:val="009E69FD"/>
    <w:rsid w:val="009F5069"/>
    <w:rsid w:val="009F769D"/>
    <w:rsid w:val="00A00ACD"/>
    <w:rsid w:val="00A04D91"/>
    <w:rsid w:val="00A10A83"/>
    <w:rsid w:val="00A13B61"/>
    <w:rsid w:val="00A14600"/>
    <w:rsid w:val="00A148FA"/>
    <w:rsid w:val="00A3510D"/>
    <w:rsid w:val="00A36011"/>
    <w:rsid w:val="00A379F8"/>
    <w:rsid w:val="00A4378E"/>
    <w:rsid w:val="00A45DFB"/>
    <w:rsid w:val="00A52BF2"/>
    <w:rsid w:val="00A54278"/>
    <w:rsid w:val="00A56E9A"/>
    <w:rsid w:val="00A636E8"/>
    <w:rsid w:val="00A66352"/>
    <w:rsid w:val="00A671B2"/>
    <w:rsid w:val="00A677E7"/>
    <w:rsid w:val="00A71939"/>
    <w:rsid w:val="00A7458C"/>
    <w:rsid w:val="00A8263F"/>
    <w:rsid w:val="00A848C6"/>
    <w:rsid w:val="00A873F8"/>
    <w:rsid w:val="00A9074F"/>
    <w:rsid w:val="00A91EF5"/>
    <w:rsid w:val="00A92FB6"/>
    <w:rsid w:val="00A93238"/>
    <w:rsid w:val="00A933AD"/>
    <w:rsid w:val="00A93EB1"/>
    <w:rsid w:val="00A961C7"/>
    <w:rsid w:val="00A9772F"/>
    <w:rsid w:val="00AA0CDA"/>
    <w:rsid w:val="00AA174E"/>
    <w:rsid w:val="00AA3408"/>
    <w:rsid w:val="00AA515A"/>
    <w:rsid w:val="00AB0044"/>
    <w:rsid w:val="00AB10BE"/>
    <w:rsid w:val="00AB2C1E"/>
    <w:rsid w:val="00AB3985"/>
    <w:rsid w:val="00AB5597"/>
    <w:rsid w:val="00AC2D92"/>
    <w:rsid w:val="00AC397B"/>
    <w:rsid w:val="00AC61E1"/>
    <w:rsid w:val="00AC72FC"/>
    <w:rsid w:val="00AC773F"/>
    <w:rsid w:val="00AD018A"/>
    <w:rsid w:val="00AD05EC"/>
    <w:rsid w:val="00AD086A"/>
    <w:rsid w:val="00AD1B97"/>
    <w:rsid w:val="00AD4113"/>
    <w:rsid w:val="00AD6D5F"/>
    <w:rsid w:val="00AF2968"/>
    <w:rsid w:val="00AF49C7"/>
    <w:rsid w:val="00AF64EA"/>
    <w:rsid w:val="00B0012F"/>
    <w:rsid w:val="00B03525"/>
    <w:rsid w:val="00B04D9E"/>
    <w:rsid w:val="00B07C59"/>
    <w:rsid w:val="00B117E3"/>
    <w:rsid w:val="00B141E5"/>
    <w:rsid w:val="00B14E7E"/>
    <w:rsid w:val="00B2168B"/>
    <w:rsid w:val="00B21FDF"/>
    <w:rsid w:val="00B26F8D"/>
    <w:rsid w:val="00B40304"/>
    <w:rsid w:val="00B407DA"/>
    <w:rsid w:val="00B4470B"/>
    <w:rsid w:val="00B44F63"/>
    <w:rsid w:val="00B55952"/>
    <w:rsid w:val="00B575C8"/>
    <w:rsid w:val="00B57699"/>
    <w:rsid w:val="00B612ED"/>
    <w:rsid w:val="00B64A26"/>
    <w:rsid w:val="00B66700"/>
    <w:rsid w:val="00B7047B"/>
    <w:rsid w:val="00B7141E"/>
    <w:rsid w:val="00B741B1"/>
    <w:rsid w:val="00B76C99"/>
    <w:rsid w:val="00B80324"/>
    <w:rsid w:val="00B82A5C"/>
    <w:rsid w:val="00B830C4"/>
    <w:rsid w:val="00B8392C"/>
    <w:rsid w:val="00B87EBA"/>
    <w:rsid w:val="00B92D6F"/>
    <w:rsid w:val="00B941B5"/>
    <w:rsid w:val="00BA0E91"/>
    <w:rsid w:val="00BA2569"/>
    <w:rsid w:val="00BB05A9"/>
    <w:rsid w:val="00BB0F01"/>
    <w:rsid w:val="00BC2F93"/>
    <w:rsid w:val="00BC3F50"/>
    <w:rsid w:val="00BD0E9B"/>
    <w:rsid w:val="00BD2865"/>
    <w:rsid w:val="00BD3D93"/>
    <w:rsid w:val="00BD572D"/>
    <w:rsid w:val="00BD615F"/>
    <w:rsid w:val="00BD61F0"/>
    <w:rsid w:val="00BD66FF"/>
    <w:rsid w:val="00BD7031"/>
    <w:rsid w:val="00BD7FB6"/>
    <w:rsid w:val="00BE63BF"/>
    <w:rsid w:val="00BF22B1"/>
    <w:rsid w:val="00BF573C"/>
    <w:rsid w:val="00BF72A6"/>
    <w:rsid w:val="00BF7C1B"/>
    <w:rsid w:val="00C01C64"/>
    <w:rsid w:val="00C02CEE"/>
    <w:rsid w:val="00C060BA"/>
    <w:rsid w:val="00C119F9"/>
    <w:rsid w:val="00C20090"/>
    <w:rsid w:val="00C205F1"/>
    <w:rsid w:val="00C206E5"/>
    <w:rsid w:val="00C20DB6"/>
    <w:rsid w:val="00C276A3"/>
    <w:rsid w:val="00C3058A"/>
    <w:rsid w:val="00C30EEE"/>
    <w:rsid w:val="00C31DDA"/>
    <w:rsid w:val="00C345D1"/>
    <w:rsid w:val="00C34F3A"/>
    <w:rsid w:val="00C45014"/>
    <w:rsid w:val="00C4526C"/>
    <w:rsid w:val="00C45B58"/>
    <w:rsid w:val="00C475B7"/>
    <w:rsid w:val="00C5402B"/>
    <w:rsid w:val="00C5733B"/>
    <w:rsid w:val="00C62000"/>
    <w:rsid w:val="00C620A1"/>
    <w:rsid w:val="00C656FC"/>
    <w:rsid w:val="00C73678"/>
    <w:rsid w:val="00C75616"/>
    <w:rsid w:val="00C82903"/>
    <w:rsid w:val="00C829E6"/>
    <w:rsid w:val="00C93017"/>
    <w:rsid w:val="00C93BF0"/>
    <w:rsid w:val="00C9669B"/>
    <w:rsid w:val="00CA2E30"/>
    <w:rsid w:val="00CA330F"/>
    <w:rsid w:val="00CA3483"/>
    <w:rsid w:val="00CA64F9"/>
    <w:rsid w:val="00CB006E"/>
    <w:rsid w:val="00CB34E2"/>
    <w:rsid w:val="00CB3E41"/>
    <w:rsid w:val="00CB4A8C"/>
    <w:rsid w:val="00CC0315"/>
    <w:rsid w:val="00CC0B88"/>
    <w:rsid w:val="00CC1CA0"/>
    <w:rsid w:val="00CC74D0"/>
    <w:rsid w:val="00CD3CEF"/>
    <w:rsid w:val="00CD425E"/>
    <w:rsid w:val="00CE067E"/>
    <w:rsid w:val="00CE09E1"/>
    <w:rsid w:val="00CE148E"/>
    <w:rsid w:val="00CE24D1"/>
    <w:rsid w:val="00CE618F"/>
    <w:rsid w:val="00CE7C99"/>
    <w:rsid w:val="00CF123B"/>
    <w:rsid w:val="00CF1E89"/>
    <w:rsid w:val="00CF2C5B"/>
    <w:rsid w:val="00CF7681"/>
    <w:rsid w:val="00D116C6"/>
    <w:rsid w:val="00D20615"/>
    <w:rsid w:val="00D31437"/>
    <w:rsid w:val="00D33910"/>
    <w:rsid w:val="00D35979"/>
    <w:rsid w:val="00D35A53"/>
    <w:rsid w:val="00D35C69"/>
    <w:rsid w:val="00D4226F"/>
    <w:rsid w:val="00D452D7"/>
    <w:rsid w:val="00D45EC3"/>
    <w:rsid w:val="00D46FDC"/>
    <w:rsid w:val="00D52073"/>
    <w:rsid w:val="00D574E0"/>
    <w:rsid w:val="00D61433"/>
    <w:rsid w:val="00D615F1"/>
    <w:rsid w:val="00D6619E"/>
    <w:rsid w:val="00D7120B"/>
    <w:rsid w:val="00D7256F"/>
    <w:rsid w:val="00D74403"/>
    <w:rsid w:val="00D74631"/>
    <w:rsid w:val="00D76CC8"/>
    <w:rsid w:val="00D81459"/>
    <w:rsid w:val="00D851D2"/>
    <w:rsid w:val="00D8633C"/>
    <w:rsid w:val="00D918C1"/>
    <w:rsid w:val="00D9556F"/>
    <w:rsid w:val="00D95F46"/>
    <w:rsid w:val="00DA47A7"/>
    <w:rsid w:val="00DA54C9"/>
    <w:rsid w:val="00DB1320"/>
    <w:rsid w:val="00DB1E82"/>
    <w:rsid w:val="00DB514A"/>
    <w:rsid w:val="00DB6DFA"/>
    <w:rsid w:val="00DB6EDD"/>
    <w:rsid w:val="00DC1358"/>
    <w:rsid w:val="00DC25E9"/>
    <w:rsid w:val="00DD1BF6"/>
    <w:rsid w:val="00DD5BBD"/>
    <w:rsid w:val="00DE0537"/>
    <w:rsid w:val="00DE2841"/>
    <w:rsid w:val="00DF3A54"/>
    <w:rsid w:val="00E00DDC"/>
    <w:rsid w:val="00E03857"/>
    <w:rsid w:val="00E04DAF"/>
    <w:rsid w:val="00E17267"/>
    <w:rsid w:val="00E208CC"/>
    <w:rsid w:val="00E21098"/>
    <w:rsid w:val="00E25998"/>
    <w:rsid w:val="00E2604F"/>
    <w:rsid w:val="00E26E14"/>
    <w:rsid w:val="00E365D6"/>
    <w:rsid w:val="00E42878"/>
    <w:rsid w:val="00E478F9"/>
    <w:rsid w:val="00E503E2"/>
    <w:rsid w:val="00E52DB9"/>
    <w:rsid w:val="00E53C13"/>
    <w:rsid w:val="00E57099"/>
    <w:rsid w:val="00E61F0D"/>
    <w:rsid w:val="00E71E39"/>
    <w:rsid w:val="00E869D5"/>
    <w:rsid w:val="00E87038"/>
    <w:rsid w:val="00E8758F"/>
    <w:rsid w:val="00E91D91"/>
    <w:rsid w:val="00E91FE5"/>
    <w:rsid w:val="00E93356"/>
    <w:rsid w:val="00E94ED8"/>
    <w:rsid w:val="00E97F60"/>
    <w:rsid w:val="00EA1CFE"/>
    <w:rsid w:val="00EA3029"/>
    <w:rsid w:val="00EA52A5"/>
    <w:rsid w:val="00EA761D"/>
    <w:rsid w:val="00EA7AAB"/>
    <w:rsid w:val="00EA7B07"/>
    <w:rsid w:val="00EB02BC"/>
    <w:rsid w:val="00EB14DE"/>
    <w:rsid w:val="00EB269C"/>
    <w:rsid w:val="00EB6700"/>
    <w:rsid w:val="00EC12CB"/>
    <w:rsid w:val="00EC279C"/>
    <w:rsid w:val="00ED18B8"/>
    <w:rsid w:val="00ED512A"/>
    <w:rsid w:val="00ED56F7"/>
    <w:rsid w:val="00ED675B"/>
    <w:rsid w:val="00EE4104"/>
    <w:rsid w:val="00EE4AEC"/>
    <w:rsid w:val="00EF6396"/>
    <w:rsid w:val="00EF689E"/>
    <w:rsid w:val="00F008D3"/>
    <w:rsid w:val="00F03C23"/>
    <w:rsid w:val="00F05E30"/>
    <w:rsid w:val="00F066D2"/>
    <w:rsid w:val="00F06DA2"/>
    <w:rsid w:val="00F10444"/>
    <w:rsid w:val="00F106B9"/>
    <w:rsid w:val="00F12678"/>
    <w:rsid w:val="00F129A5"/>
    <w:rsid w:val="00F14B3B"/>
    <w:rsid w:val="00F15A56"/>
    <w:rsid w:val="00F24EEC"/>
    <w:rsid w:val="00F26737"/>
    <w:rsid w:val="00F27A37"/>
    <w:rsid w:val="00F3476D"/>
    <w:rsid w:val="00F34AC5"/>
    <w:rsid w:val="00F355FC"/>
    <w:rsid w:val="00F42ED6"/>
    <w:rsid w:val="00F459F7"/>
    <w:rsid w:val="00F465A9"/>
    <w:rsid w:val="00F55911"/>
    <w:rsid w:val="00F672F1"/>
    <w:rsid w:val="00F70E27"/>
    <w:rsid w:val="00F7146F"/>
    <w:rsid w:val="00F723EC"/>
    <w:rsid w:val="00F802C5"/>
    <w:rsid w:val="00F91A82"/>
    <w:rsid w:val="00F92746"/>
    <w:rsid w:val="00F92D0A"/>
    <w:rsid w:val="00F9461D"/>
    <w:rsid w:val="00F94B3C"/>
    <w:rsid w:val="00FA3186"/>
    <w:rsid w:val="00FA6207"/>
    <w:rsid w:val="00FB2664"/>
    <w:rsid w:val="00FB6255"/>
    <w:rsid w:val="00FB6AB6"/>
    <w:rsid w:val="00FB77F2"/>
    <w:rsid w:val="00FC0465"/>
    <w:rsid w:val="00FC0682"/>
    <w:rsid w:val="00FC730B"/>
    <w:rsid w:val="00FC7739"/>
    <w:rsid w:val="00FD36E1"/>
    <w:rsid w:val="00FD4393"/>
    <w:rsid w:val="00FD4678"/>
    <w:rsid w:val="00FD5447"/>
    <w:rsid w:val="00FE1B6B"/>
    <w:rsid w:val="00FE437D"/>
    <w:rsid w:val="00FE60AA"/>
    <w:rsid w:val="00FF169B"/>
    <w:rsid w:val="00FF66B6"/>
    <w:rsid w:val="00FF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89703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pacing w:val="-2"/>
      <w:sz w:val="28"/>
      <w:szCs w:val="20"/>
    </w:rPr>
  </w:style>
  <w:style w:type="paragraph" w:styleId="2">
    <w:name w:val="Body Text 2"/>
    <w:basedOn w:val="a"/>
    <w:link w:val="20"/>
    <w:uiPriority w:val="99"/>
    <w:unhideWhenUsed/>
    <w:rsid w:val="007E79FD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7E79FD"/>
  </w:style>
  <w:style w:type="table" w:customStyle="1" w:styleId="1">
    <w:name w:val="Сетка таблицы1"/>
    <w:basedOn w:val="a1"/>
    <w:next w:val="a3"/>
    <w:rsid w:val="007E7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204120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uiPriority w:val="99"/>
    <w:rsid w:val="002041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041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0412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23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233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2333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233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23330"/>
    <w:rPr>
      <w:b/>
      <w:bCs/>
    </w:rPr>
  </w:style>
  <w:style w:type="paragraph" w:styleId="a9">
    <w:name w:val="List Paragraph"/>
    <w:aliases w:val="_Абзац списка,A_маркированный_список,Bullet List,FooterText,numbered,ТЗ список,Абзац списка литеральный,Bullet 1,Use Case List Paragraph"/>
    <w:basedOn w:val="a"/>
    <w:link w:val="aa"/>
    <w:uiPriority w:val="34"/>
    <w:qFormat/>
    <w:rsid w:val="0069583C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E52DB9"/>
    <w:pPr>
      <w:spacing w:before="100" w:beforeAutospacing="1" w:after="100" w:afterAutospacing="1"/>
    </w:pPr>
    <w:rPr>
      <w:rFonts w:eastAsiaTheme="minorHAnsi"/>
    </w:rPr>
  </w:style>
  <w:style w:type="paragraph" w:styleId="ab">
    <w:name w:val="header"/>
    <w:basedOn w:val="a"/>
    <w:link w:val="ac"/>
    <w:uiPriority w:val="99"/>
    <w:unhideWhenUsed/>
    <w:rsid w:val="00372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72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72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807E9"/>
    <w:rPr>
      <w:color w:val="0000FF"/>
      <w:u w:val="single"/>
    </w:rPr>
  </w:style>
  <w:style w:type="paragraph" w:styleId="af0">
    <w:name w:val="Plain Text"/>
    <w:basedOn w:val="a"/>
    <w:link w:val="af1"/>
    <w:uiPriority w:val="99"/>
    <w:unhideWhenUsed/>
    <w:rsid w:val="006807E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6807E9"/>
    <w:rPr>
      <w:rFonts w:ascii="Consolas" w:hAnsi="Consolas"/>
      <w:sz w:val="21"/>
      <w:szCs w:val="21"/>
    </w:rPr>
  </w:style>
  <w:style w:type="paragraph" w:styleId="af2">
    <w:name w:val="Normal (Web)"/>
    <w:basedOn w:val="a"/>
    <w:link w:val="af3"/>
    <w:uiPriority w:val="99"/>
    <w:rsid w:val="0023734B"/>
    <w:rPr>
      <w:rFonts w:ascii="Verdana" w:hAnsi="Verdana"/>
      <w:sz w:val="19"/>
      <w:szCs w:val="19"/>
    </w:rPr>
  </w:style>
  <w:style w:type="character" w:customStyle="1" w:styleId="af3">
    <w:name w:val="Обычный (веб) Знак"/>
    <w:link w:val="af2"/>
    <w:uiPriority w:val="99"/>
    <w:locked/>
    <w:rsid w:val="0023734B"/>
    <w:rPr>
      <w:rFonts w:ascii="Verdana" w:eastAsia="Times New Roman" w:hAnsi="Verdana" w:cs="Times New Roman"/>
      <w:sz w:val="19"/>
      <w:szCs w:val="19"/>
      <w:lang w:eastAsia="ru-RU"/>
    </w:rPr>
  </w:style>
  <w:style w:type="character" w:customStyle="1" w:styleId="aa">
    <w:name w:val="Абзац списка Знак"/>
    <w:aliases w:val="_Абзац списка Знак,A_маркированный_список Знак,Bullet List Знак,FooterText Знак,numbered Знак,ТЗ список Знак,Абзац списка литеральный Знак,Bullet 1 Знак,Use Case List Paragraph Знак"/>
    <w:link w:val="a9"/>
    <w:uiPriority w:val="34"/>
    <w:locked/>
    <w:rsid w:val="00FE43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vlg.ru" TargetMode="External"/><Relationship Id="rId13" Type="http://schemas.openxmlformats.org/officeDocument/2006/relationships/hyperlink" Target="http://www.investvl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vestvl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vest.kaluga.ru/projects/rosv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kr61.ru/press-tsentr/news/4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lregion.com/invest/completed_project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6355A-AA59-446D-AE6A-43B0D593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4559</TotalTime>
  <Pages>19</Pages>
  <Words>10465</Words>
  <Characters>59654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Заброда</dc:creator>
  <cp:lastModifiedBy>Заброда</cp:lastModifiedBy>
  <cp:revision>658</cp:revision>
  <cp:lastPrinted>2019-09-17T12:07:00Z</cp:lastPrinted>
  <dcterms:created xsi:type="dcterms:W3CDTF">2019-06-19T12:59:00Z</dcterms:created>
  <dcterms:modified xsi:type="dcterms:W3CDTF">2019-09-17T12:13:00Z</dcterms:modified>
</cp:coreProperties>
</file>