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691" w:rsidRDefault="00635691" w:rsidP="005B0072">
      <w:pPr>
        <w:pStyle w:val="11"/>
        <w:jc w:val="center"/>
        <w:outlineLvl w:val="0"/>
        <w:rPr>
          <w:caps/>
          <w:sz w:val="24"/>
        </w:rPr>
      </w:pPr>
    </w:p>
    <w:tbl>
      <w:tblPr>
        <w:tblpPr w:leftFromText="180" w:rightFromText="180" w:vertAnchor="page" w:horzAnchor="margin" w:tblpY="720"/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12"/>
        <w:gridCol w:w="5093"/>
      </w:tblGrid>
      <w:tr w:rsidR="005B0072" w:rsidTr="00EA2C21">
        <w:trPr>
          <w:cantSplit/>
        </w:trPr>
        <w:tc>
          <w:tcPr>
            <w:tcW w:w="1000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0072" w:rsidRDefault="005B007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1500" cy="723900"/>
                  <wp:effectExtent l="19050" t="0" r="0" b="0"/>
                  <wp:docPr id="1" name="Рисунок 1" descr="Изображение Герба Волгоградской области для блан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Изображение Герба Волгоградской области для блан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0072" w:rsidTr="00EA2C21">
        <w:trPr>
          <w:cantSplit/>
          <w:trHeight w:val="401"/>
        </w:trPr>
        <w:tc>
          <w:tcPr>
            <w:tcW w:w="1000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B0072" w:rsidRDefault="005B0072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КОНТРОЛЬНО-СЧЕТНАЯ ПАЛАТА Волгоградской области</w:t>
            </w:r>
          </w:p>
        </w:tc>
      </w:tr>
      <w:tr w:rsidR="005B0072" w:rsidTr="00EA2C21">
        <w:trPr>
          <w:cantSplit/>
        </w:trPr>
        <w:tc>
          <w:tcPr>
            <w:tcW w:w="10005" w:type="dxa"/>
            <w:gridSpan w:val="2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:rsidR="005B0072" w:rsidRDefault="005B0072">
            <w:pPr>
              <w:jc w:val="both"/>
            </w:pPr>
          </w:p>
        </w:tc>
      </w:tr>
      <w:tr w:rsidR="005B0072" w:rsidTr="00EA2C21">
        <w:tc>
          <w:tcPr>
            <w:tcW w:w="4912" w:type="dxa"/>
            <w:tcBorders>
              <w:top w:val="thinThickSmallGap" w:sz="18" w:space="0" w:color="auto"/>
              <w:left w:val="nil"/>
              <w:bottom w:val="nil"/>
              <w:right w:val="nil"/>
            </w:tcBorders>
            <w:hideMark/>
          </w:tcPr>
          <w:p w:rsidR="005B0072" w:rsidRDefault="005B0072" w:rsidP="00AA0957">
            <w:pPr>
              <w:pStyle w:val="12"/>
              <w:rPr>
                <w:szCs w:val="24"/>
              </w:rPr>
            </w:pPr>
            <w:r>
              <w:rPr>
                <w:szCs w:val="24"/>
              </w:rPr>
              <w:t xml:space="preserve">№ 01КСП-02-02/ </w:t>
            </w:r>
            <w:r w:rsidR="00BC239C">
              <w:rPr>
                <w:szCs w:val="24"/>
              </w:rPr>
              <w:t>188</w:t>
            </w:r>
          </w:p>
        </w:tc>
        <w:tc>
          <w:tcPr>
            <w:tcW w:w="5093" w:type="dxa"/>
            <w:tcBorders>
              <w:top w:val="thinThickSmallGap" w:sz="18" w:space="0" w:color="auto"/>
              <w:left w:val="nil"/>
              <w:bottom w:val="nil"/>
              <w:right w:val="nil"/>
            </w:tcBorders>
            <w:hideMark/>
          </w:tcPr>
          <w:p w:rsidR="005B0072" w:rsidRDefault="005B0072" w:rsidP="00B13340">
            <w:pPr>
              <w:jc w:val="right"/>
            </w:pPr>
            <w:r>
              <w:t>«</w:t>
            </w:r>
            <w:r w:rsidR="00EA2C21">
              <w:t xml:space="preserve"> </w:t>
            </w:r>
            <w:r w:rsidR="003512A0">
              <w:t>27</w:t>
            </w:r>
            <w:r w:rsidR="00EA2C21">
              <w:t xml:space="preserve"> </w:t>
            </w:r>
            <w:r>
              <w:t>»</w:t>
            </w:r>
            <w:r w:rsidR="00F7792D">
              <w:t xml:space="preserve"> </w:t>
            </w:r>
            <w:r w:rsidR="00452994">
              <w:t>ноя</w:t>
            </w:r>
            <w:r w:rsidR="00F7792D">
              <w:t>бря</w:t>
            </w:r>
            <w:r>
              <w:t xml:space="preserve"> 201</w:t>
            </w:r>
            <w:r w:rsidR="00A633D6">
              <w:t>7</w:t>
            </w:r>
            <w:r>
              <w:t xml:space="preserve"> г.</w:t>
            </w:r>
          </w:p>
        </w:tc>
      </w:tr>
    </w:tbl>
    <w:p w:rsidR="00EA2C21" w:rsidRDefault="00EA2C21" w:rsidP="00EA2C21">
      <w:pPr>
        <w:pStyle w:val="11"/>
        <w:jc w:val="center"/>
        <w:outlineLvl w:val="0"/>
        <w:rPr>
          <w:b/>
          <w:i/>
          <w:caps/>
          <w:sz w:val="24"/>
        </w:rPr>
      </w:pPr>
      <w:r>
        <w:rPr>
          <w:b/>
          <w:i/>
          <w:caps/>
          <w:sz w:val="24"/>
        </w:rPr>
        <w:t>ЭКСПЕРТНОЕ  заКЛЮЧЕНИЕ</w:t>
      </w:r>
    </w:p>
    <w:p w:rsidR="00EA2C21" w:rsidRDefault="00EA2C21" w:rsidP="00EA2C21">
      <w:pPr>
        <w:pStyle w:val="11"/>
        <w:jc w:val="center"/>
        <w:rPr>
          <w:b/>
          <w:i/>
          <w:sz w:val="24"/>
        </w:rPr>
      </w:pPr>
      <w:r>
        <w:rPr>
          <w:b/>
          <w:i/>
          <w:sz w:val="24"/>
        </w:rPr>
        <w:t>к проекту закона Волгоградской области «Об областном бюджете на 201</w:t>
      </w:r>
      <w:r w:rsidR="00A633D6">
        <w:rPr>
          <w:b/>
          <w:i/>
          <w:sz w:val="24"/>
        </w:rPr>
        <w:t>8</w:t>
      </w:r>
      <w:r>
        <w:rPr>
          <w:b/>
          <w:i/>
          <w:sz w:val="24"/>
        </w:rPr>
        <w:t xml:space="preserve"> год и на плановый период 201</w:t>
      </w:r>
      <w:r w:rsidR="00A633D6">
        <w:rPr>
          <w:b/>
          <w:i/>
          <w:sz w:val="24"/>
        </w:rPr>
        <w:t>9</w:t>
      </w:r>
      <w:r>
        <w:rPr>
          <w:b/>
          <w:i/>
          <w:sz w:val="24"/>
        </w:rPr>
        <w:t xml:space="preserve"> и 20</w:t>
      </w:r>
      <w:r w:rsidR="00A633D6">
        <w:rPr>
          <w:b/>
          <w:i/>
          <w:sz w:val="24"/>
        </w:rPr>
        <w:t>20</w:t>
      </w:r>
      <w:r>
        <w:rPr>
          <w:b/>
          <w:i/>
          <w:sz w:val="24"/>
        </w:rPr>
        <w:t xml:space="preserve"> годов», представленному в Волгоградскую областную Думу на второе чтение. </w:t>
      </w:r>
    </w:p>
    <w:p w:rsidR="00EA2C21" w:rsidRDefault="00EA2C21" w:rsidP="00EA2C21"/>
    <w:p w:rsidR="00EA2C21" w:rsidRDefault="00EA2C21" w:rsidP="00EA2C21">
      <w:pPr>
        <w:pStyle w:val="3"/>
      </w:pPr>
      <w:r>
        <w:t>Настоящее заключение на проект закона «Об областном бюджете на 201</w:t>
      </w:r>
      <w:r w:rsidR="00A633D6">
        <w:t>8</w:t>
      </w:r>
      <w:r>
        <w:t xml:space="preserve"> год и на плановый период 201</w:t>
      </w:r>
      <w:r w:rsidR="00A633D6">
        <w:t>9</w:t>
      </w:r>
      <w:r>
        <w:t xml:space="preserve"> и 20</w:t>
      </w:r>
      <w:r w:rsidR="00A633D6">
        <w:t>20</w:t>
      </w:r>
      <w:r>
        <w:t xml:space="preserve"> годов» подготовлено с учетом требований Бюджетного кодекса РФ (далее БК РФ), Законов Волгоградской области от 11.06.2008 №1694-ОД «О бюджетном процессе в Волгоградской области» и от 17.12.1999 №344-ОД «О контрольно-счетной палате Волгоградской области». </w:t>
      </w:r>
    </w:p>
    <w:p w:rsidR="00EA2C21" w:rsidRDefault="00EA2C21" w:rsidP="00EA2C21">
      <w:pPr>
        <w:pStyle w:val="3"/>
      </w:pPr>
      <w:r>
        <w:t>В соответствии со статьей 33 Закона Волгоградской области «О бюджетном процессе в Волгоградской области» областная Дума при рассмотрении проекта закона об областном бюджете на очередной финансовый год и плановый период во втором чтении утверждает:</w:t>
      </w:r>
    </w:p>
    <w:p w:rsidR="00EA2C21" w:rsidRDefault="00EA2C21" w:rsidP="00EA2C21">
      <w:pPr>
        <w:pStyle w:val="3"/>
      </w:pPr>
      <w:r>
        <w:t>-общий объем бюджетных ассигнований, направляемых на исполнение публичных нормативных обязательств;</w:t>
      </w:r>
    </w:p>
    <w:p w:rsidR="00EA2C21" w:rsidRDefault="00EA2C21" w:rsidP="00EA2C21">
      <w:pPr>
        <w:ind w:firstLine="708"/>
        <w:jc w:val="both"/>
      </w:pPr>
      <w:r>
        <w:t>-распределение бюджетных ассигнований по разделам, подразделам классификации расходов областного бюджета в пределах общего объема бюджетных ассигнований по расходам, утвержденных в первом чтении;</w:t>
      </w:r>
    </w:p>
    <w:p w:rsidR="00EA2C21" w:rsidRDefault="00EA2C21" w:rsidP="00EA2C21">
      <w:pPr>
        <w:ind w:firstLine="708"/>
        <w:jc w:val="both"/>
      </w:pPr>
      <w:r>
        <w:t>-распределение бюджетных ассигнований по разделам, подразделам, целевым статьям и видам расходов бюджета в составе ведомственной структуры расходов бюджета;</w:t>
      </w:r>
    </w:p>
    <w:p w:rsidR="00EA2C21" w:rsidRDefault="00EA2C21" w:rsidP="00EA2C21">
      <w:pPr>
        <w:ind w:firstLine="708"/>
        <w:jc w:val="both"/>
      </w:pPr>
      <w:r>
        <w:t>-программу государственных внутренних заимствований Волгоградской области;</w:t>
      </w:r>
    </w:p>
    <w:p w:rsidR="00EA2C21" w:rsidRDefault="00EA2C21" w:rsidP="00EA2C21">
      <w:pPr>
        <w:ind w:firstLine="708"/>
      </w:pPr>
      <w:r>
        <w:t>-программу государственных гарантий Волгоградской области;</w:t>
      </w:r>
    </w:p>
    <w:p w:rsidR="00EA2C21" w:rsidRDefault="00EA2C21" w:rsidP="00EA2C21">
      <w:pPr>
        <w:ind w:firstLine="708"/>
        <w:jc w:val="both"/>
      </w:pPr>
      <w:r>
        <w:t>-распределение ассигнований на реализацию государственных и ведомственных целевых программ;</w:t>
      </w:r>
    </w:p>
    <w:p w:rsidR="00EA2C21" w:rsidRDefault="00EA2C21" w:rsidP="00EA2C21">
      <w:pPr>
        <w:ind w:firstLine="708"/>
        <w:jc w:val="both"/>
      </w:pPr>
      <w:r>
        <w:t>-перечень строек и объектов строительства, реконструкции и технического перевооружения для областных государственных нужд;</w:t>
      </w:r>
    </w:p>
    <w:p w:rsidR="00EA2C21" w:rsidRDefault="00EA2C21" w:rsidP="00EA2C21">
      <w:pPr>
        <w:autoSpaceDE w:val="0"/>
        <w:autoSpaceDN w:val="0"/>
        <w:adjustRightInd w:val="0"/>
        <w:ind w:firstLine="720"/>
        <w:jc w:val="both"/>
      </w:pPr>
      <w:r w:rsidRPr="00631462">
        <w:t>-</w:t>
      </w:r>
      <w:bookmarkStart w:id="0" w:name="sub_330213"/>
      <w:r w:rsidRPr="00631462">
        <w:t>распределение средств областных фондов</w:t>
      </w:r>
      <w:r>
        <w:t xml:space="preserve"> </w:t>
      </w:r>
      <w:r w:rsidRPr="00631462">
        <w:t xml:space="preserve">финансовой поддержки поселений, </w:t>
      </w:r>
      <w:r>
        <w:t>м</w:t>
      </w:r>
      <w:r w:rsidRPr="00631462">
        <w:t>униципальных районов (городских округов), иных дотаций, субвенций и субсидий из областного бюджета</w:t>
      </w:r>
      <w:r>
        <w:t>;</w:t>
      </w:r>
    </w:p>
    <w:p w:rsidR="00E42B72" w:rsidRPr="00631462" w:rsidRDefault="00E42B72" w:rsidP="00EA2C21">
      <w:pPr>
        <w:autoSpaceDE w:val="0"/>
        <w:autoSpaceDN w:val="0"/>
        <w:adjustRightInd w:val="0"/>
        <w:ind w:firstLine="720"/>
        <w:jc w:val="both"/>
      </w:pPr>
      <w:r>
        <w:t>-программ</w:t>
      </w:r>
      <w:r w:rsidR="005A68A2">
        <w:t>у</w:t>
      </w:r>
      <w:r>
        <w:t xml:space="preserve"> приватизации государственного имущества Волгоградской области;</w:t>
      </w:r>
    </w:p>
    <w:bookmarkEnd w:id="0"/>
    <w:p w:rsidR="00EA2C21" w:rsidRDefault="00EA2C21" w:rsidP="00EA2C21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C9300A">
        <w:rPr>
          <w:rFonts w:eastAsiaTheme="minorHAnsi"/>
          <w:lang w:eastAsia="en-US"/>
        </w:rPr>
        <w:t>-предельную штатную численность государственных служащих Волгоградской области, содержание которых осуществляется за счет средств областного бюджета, по главным распорядителям бюджетных средств на очередной финансовый год</w:t>
      </w:r>
      <w:r>
        <w:rPr>
          <w:rFonts w:eastAsiaTheme="minorHAnsi"/>
          <w:lang w:eastAsia="en-US"/>
        </w:rPr>
        <w:t>.</w:t>
      </w:r>
    </w:p>
    <w:p w:rsidR="00EA2C21" w:rsidRDefault="00EA2C21" w:rsidP="00EA2C21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</w:p>
    <w:p w:rsidR="00EA2C21" w:rsidRPr="00713F75" w:rsidRDefault="00EA2C21" w:rsidP="00EA2C21">
      <w:pPr>
        <w:pStyle w:val="3"/>
        <w:numPr>
          <w:ilvl w:val="0"/>
          <w:numId w:val="30"/>
        </w:numPr>
        <w:jc w:val="center"/>
        <w:rPr>
          <w:b/>
          <w:i/>
        </w:rPr>
      </w:pPr>
      <w:r w:rsidRPr="00713F75">
        <w:rPr>
          <w:b/>
          <w:i/>
        </w:rPr>
        <w:t>Общий объем бюджетных ассигнований, направляемых на исполнение публичных нормативных обязательств.</w:t>
      </w:r>
    </w:p>
    <w:p w:rsidR="00EA2C21" w:rsidRDefault="00EA2C21" w:rsidP="00B360C5">
      <w:pPr>
        <w:pStyle w:val="Con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5CC" w:rsidRPr="009845CC" w:rsidRDefault="009845CC" w:rsidP="009845CC">
      <w:pPr>
        <w:ind w:firstLine="709"/>
        <w:jc w:val="both"/>
      </w:pPr>
      <w:r w:rsidRPr="009845CC">
        <w:t>Во внес</w:t>
      </w:r>
      <w:r>
        <w:t>е</w:t>
      </w:r>
      <w:r w:rsidRPr="009845CC">
        <w:t xml:space="preserve">нном в Волгоградскую областную Думу законопроекте отмечается недостаток средств на исполнение публичных нормативных обязательств (далее ПНО). Так, согласно уточненным расчетам, представленным </w:t>
      </w:r>
      <w:r>
        <w:t>главными распорядителями бюджетных средств</w:t>
      </w:r>
      <w:r w:rsidRPr="009845CC">
        <w:t xml:space="preserve">, потребность в ассигнованиях на ПНО на 2018 </w:t>
      </w:r>
      <w:r>
        <w:t xml:space="preserve">год составляет 9706 млн. руб., </w:t>
      </w:r>
      <w:r w:rsidRPr="009845CC">
        <w:t>законопроект</w:t>
      </w:r>
      <w:r>
        <w:t>ом</w:t>
      </w:r>
      <w:r w:rsidRPr="009845CC">
        <w:t xml:space="preserve"> соответствующие ассигнования предусмотрены в размере 7126,6 млн. руб., что на 2579,4 млн. руб.</w:t>
      </w:r>
      <w:r w:rsidR="001B4008">
        <w:t>,</w:t>
      </w:r>
      <w:r w:rsidRPr="009845CC">
        <w:t xml:space="preserve"> или на 26,6% меньше, в том числе:</w:t>
      </w:r>
    </w:p>
    <w:p w:rsidR="009845CC" w:rsidRPr="009845CC" w:rsidRDefault="009845CC" w:rsidP="009845CC">
      <w:pPr>
        <w:ind w:firstLine="708"/>
        <w:jc w:val="both"/>
      </w:pPr>
      <w:r w:rsidRPr="009845CC">
        <w:t xml:space="preserve">-на ПНО, </w:t>
      </w:r>
      <w:proofErr w:type="gramStart"/>
      <w:r w:rsidRPr="009845CC">
        <w:t>исполняемые</w:t>
      </w:r>
      <w:proofErr w:type="gramEnd"/>
      <w:r w:rsidRPr="009845CC">
        <w:t xml:space="preserve"> за счет </w:t>
      </w:r>
      <w:r>
        <w:t xml:space="preserve">средств </w:t>
      </w:r>
      <w:r w:rsidRPr="009845CC">
        <w:t xml:space="preserve">областного бюджета, потребность составляет 5941,5 млн. руб., законопроектом предусмотрено 3362,1 млн. руб. </w:t>
      </w:r>
      <w:r>
        <w:t>(</w:t>
      </w:r>
      <w:r w:rsidRPr="009845CC">
        <w:t xml:space="preserve">недостаток составляет 2579,4 млн. руб. или 43,4%);      </w:t>
      </w:r>
    </w:p>
    <w:p w:rsidR="009845CC" w:rsidRPr="009845CC" w:rsidRDefault="009845CC" w:rsidP="009845CC">
      <w:pPr>
        <w:ind w:firstLine="709"/>
        <w:jc w:val="both"/>
      </w:pPr>
      <w:r w:rsidRPr="009845CC">
        <w:lastRenderedPageBreak/>
        <w:t>-на ПНО, исполняемые за счет</w:t>
      </w:r>
      <w:r>
        <w:t xml:space="preserve"> средств</w:t>
      </w:r>
      <w:r w:rsidRPr="009845CC">
        <w:t xml:space="preserve"> федерального бюджета, потребность составляет 3764,5 млн. руб., соответствующие ассигнования предусмотрены законопроектом в полном объеме от потребности.</w:t>
      </w:r>
    </w:p>
    <w:p w:rsidR="009845CC" w:rsidRPr="00C2042B" w:rsidRDefault="009845CC" w:rsidP="009845CC">
      <w:pPr>
        <w:autoSpaceDE w:val="0"/>
        <w:autoSpaceDN w:val="0"/>
        <w:adjustRightInd w:val="0"/>
        <w:ind w:firstLine="709"/>
        <w:jc w:val="both"/>
        <w:rPr>
          <w:u w:val="single"/>
        </w:rPr>
      </w:pPr>
      <w:r w:rsidRPr="00C2042B">
        <w:rPr>
          <w:u w:val="single"/>
        </w:rPr>
        <w:t xml:space="preserve">При этом информация об отмене (приостановке) </w:t>
      </w:r>
      <w:proofErr w:type="gramStart"/>
      <w:r w:rsidRPr="00C2042B">
        <w:rPr>
          <w:u w:val="single"/>
        </w:rPr>
        <w:t>каких-либо</w:t>
      </w:r>
      <w:proofErr w:type="gramEnd"/>
      <w:r w:rsidRPr="00C2042B">
        <w:rPr>
          <w:u w:val="single"/>
        </w:rPr>
        <w:t xml:space="preserve"> ПНО не представлена.</w:t>
      </w:r>
    </w:p>
    <w:p w:rsidR="009845CC" w:rsidRPr="009845CC" w:rsidRDefault="009845CC" w:rsidP="009845CC">
      <w:pPr>
        <w:ind w:firstLine="709"/>
        <w:jc w:val="both"/>
      </w:pPr>
      <w:r w:rsidRPr="009845CC">
        <w:t xml:space="preserve">Согласно представленным расчетам наибольшую долю расходов на ПНО исполняет комитет социальной защиты населения </w:t>
      </w:r>
      <w:r>
        <w:t>Волгоградской области -</w:t>
      </w:r>
      <w:r w:rsidRPr="009845CC">
        <w:t xml:space="preserve"> 9188,8</w:t>
      </w:r>
      <w:r>
        <w:t xml:space="preserve"> млн. руб., которые обеспечены ассигнованиями согласно законопроекту</w:t>
      </w:r>
      <w:r w:rsidRPr="009845CC">
        <w:t xml:space="preserve"> на 6620,9 млн. руб. или на 72,1%, недостаток </w:t>
      </w:r>
      <w:r>
        <w:t xml:space="preserve">средств </w:t>
      </w:r>
      <w:r w:rsidRPr="009845CC">
        <w:t xml:space="preserve">составляет 2567,9 млн. руб., или 99,6% от общего </w:t>
      </w:r>
      <w:r>
        <w:t>объема</w:t>
      </w:r>
      <w:r w:rsidRPr="009845CC">
        <w:t>.</w:t>
      </w:r>
    </w:p>
    <w:p w:rsidR="009845CC" w:rsidRPr="009845CC" w:rsidRDefault="009845CC" w:rsidP="009845CC">
      <w:pPr>
        <w:ind w:firstLine="709"/>
        <w:jc w:val="both"/>
      </w:pPr>
      <w:r w:rsidRPr="009845CC">
        <w:t>Поправками</w:t>
      </w:r>
      <w:r>
        <w:t>, внесенными Администрацией Волгоградской области при рассмотрении законопроекта в 1 чтении,</w:t>
      </w:r>
      <w:r w:rsidRPr="009845CC">
        <w:t xml:space="preserve"> предусмотрено увеличение ассигнований комитету социальной защиты населения на предоставление мер социальной поддержки на 756,9 млн. руб., однако в </w:t>
      </w:r>
      <w:r w:rsidR="00EC2F9E">
        <w:t>представленных комитетом финансов материалах</w:t>
      </w:r>
      <w:r w:rsidRPr="009845CC">
        <w:t xml:space="preserve"> не </w:t>
      </w:r>
      <w:proofErr w:type="gramStart"/>
      <w:r w:rsidRPr="009845CC">
        <w:t>указано</w:t>
      </w:r>
      <w:proofErr w:type="gramEnd"/>
      <w:r w:rsidRPr="009845CC">
        <w:t xml:space="preserve"> сколько из этих ассигнований будет направлено на исполнение ПНО.</w:t>
      </w:r>
    </w:p>
    <w:p w:rsidR="0033665D" w:rsidRPr="0033665D" w:rsidRDefault="0033665D" w:rsidP="0033665D">
      <w:pPr>
        <w:ind w:firstLine="709"/>
        <w:jc w:val="both"/>
      </w:pPr>
      <w:r>
        <w:t xml:space="preserve">Если предположить, что дополнительные ассигнования </w:t>
      </w:r>
      <w:r w:rsidR="00386C4E">
        <w:t xml:space="preserve">будут направлены на ПНО </w:t>
      </w:r>
      <w:r>
        <w:t>в полном объеме (</w:t>
      </w:r>
      <w:r w:rsidR="00386C4E">
        <w:t xml:space="preserve">в размере </w:t>
      </w:r>
      <w:r>
        <w:t xml:space="preserve">756,9 млн. руб.), </w:t>
      </w:r>
      <w:r w:rsidR="00386C4E">
        <w:t xml:space="preserve">то </w:t>
      </w:r>
      <w:r w:rsidRPr="0033665D">
        <w:t>недостаток средств на их исполнение составит</w:t>
      </w:r>
      <w:r w:rsidR="00100004">
        <w:t xml:space="preserve"> на 2018 год</w:t>
      </w:r>
      <w:r w:rsidRPr="0033665D">
        <w:t xml:space="preserve"> 1822,5 млн. рублей. </w:t>
      </w:r>
    </w:p>
    <w:p w:rsidR="009845CC" w:rsidRPr="009845CC" w:rsidRDefault="0033665D" w:rsidP="009845CC">
      <w:pPr>
        <w:autoSpaceDE w:val="0"/>
        <w:autoSpaceDN w:val="0"/>
        <w:adjustRightInd w:val="0"/>
        <w:ind w:firstLine="540"/>
        <w:jc w:val="both"/>
      </w:pPr>
      <w:r>
        <w:t xml:space="preserve"> </w:t>
      </w:r>
      <w:r w:rsidR="00EE7539">
        <w:tab/>
      </w:r>
      <w:proofErr w:type="gramStart"/>
      <w:r w:rsidR="00EE7539">
        <w:t xml:space="preserve">На основании изложенного </w:t>
      </w:r>
      <w:r w:rsidR="00EE7539" w:rsidRPr="00EE7539">
        <w:rPr>
          <w:b/>
          <w:i/>
        </w:rPr>
        <w:t xml:space="preserve">требуется </w:t>
      </w:r>
      <w:r w:rsidR="009845CC" w:rsidRPr="00EE7539">
        <w:rPr>
          <w:b/>
          <w:i/>
        </w:rPr>
        <w:t>поправка по внесению изменений в часть 3 статьи 6 законопроекта, содержащую общий объем ассигнований, направляемых на исполнение ПНО</w:t>
      </w:r>
      <w:r w:rsidR="00C2042B">
        <w:rPr>
          <w:b/>
          <w:i/>
        </w:rPr>
        <w:t>,</w:t>
      </w:r>
      <w:r w:rsidR="009845CC" w:rsidRPr="00EE7539">
        <w:rPr>
          <w:b/>
          <w:i/>
        </w:rPr>
        <w:t xml:space="preserve"> от соответствующих органов исполнительной власти</w:t>
      </w:r>
      <w:r w:rsidR="009845CC" w:rsidRPr="009845CC">
        <w:t xml:space="preserve">. </w:t>
      </w:r>
      <w:proofErr w:type="gramEnd"/>
    </w:p>
    <w:p w:rsidR="009845CC" w:rsidRDefault="009845CC" w:rsidP="00B360C5">
      <w:pPr>
        <w:pStyle w:val="Con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2C21" w:rsidRDefault="00EA2C21" w:rsidP="00EA2C21">
      <w:pPr>
        <w:ind w:firstLine="708"/>
        <w:jc w:val="center"/>
        <w:rPr>
          <w:b/>
          <w:i/>
        </w:rPr>
      </w:pPr>
      <w:r>
        <w:rPr>
          <w:b/>
          <w:i/>
        </w:rPr>
        <w:t>2</w:t>
      </w:r>
      <w:r w:rsidRPr="00A5667C">
        <w:rPr>
          <w:b/>
          <w:i/>
        </w:rPr>
        <w:t xml:space="preserve">. Распределение бюджетных ассигнований по разделам, подразделам, </w:t>
      </w:r>
    </w:p>
    <w:p w:rsidR="00EA2C21" w:rsidRDefault="00EA2C21" w:rsidP="00EA2C21">
      <w:pPr>
        <w:ind w:firstLine="708"/>
        <w:jc w:val="center"/>
        <w:rPr>
          <w:b/>
          <w:i/>
        </w:rPr>
      </w:pPr>
      <w:r w:rsidRPr="00A5667C">
        <w:rPr>
          <w:b/>
          <w:i/>
        </w:rPr>
        <w:t>целевым статьям и видам расходов бюджета в составе ведомственной структуры расходов областного бюджета.</w:t>
      </w:r>
    </w:p>
    <w:p w:rsidR="00EA2C21" w:rsidRDefault="00EA2C21" w:rsidP="00EA2C21">
      <w:pPr>
        <w:ind w:firstLine="708"/>
        <w:jc w:val="center"/>
      </w:pPr>
    </w:p>
    <w:p w:rsidR="004E4DBD" w:rsidRDefault="004E4DBD" w:rsidP="004E4DBD">
      <w:pPr>
        <w:ind w:firstLine="708"/>
        <w:jc w:val="both"/>
      </w:pPr>
      <w:proofErr w:type="gramStart"/>
      <w:r>
        <w:t>Анализ достаточности бюджетных ассигнований, предусмотренных в законопроекте на расходы, проведен КСП с учетом предоставления Волгоградской области дополнительной дотации из федерального бюджета на частичную компенсацию расходов на оплату труда работников бюджетной сферы в сумме 4958,</w:t>
      </w:r>
      <w:r w:rsidR="008E78EE">
        <w:t>3</w:t>
      </w:r>
      <w:r>
        <w:t xml:space="preserve"> млн. руб., что было учтено поправками, внесенными Администрацией Волгоградской области при рассмотрении проекта областного бюджета на 2018-2020 годы в первом чтении. </w:t>
      </w:r>
      <w:proofErr w:type="gramEnd"/>
    </w:p>
    <w:p w:rsidR="007A110C" w:rsidRDefault="007A110C" w:rsidP="004E4DBD">
      <w:pPr>
        <w:ind w:firstLine="708"/>
        <w:jc w:val="both"/>
      </w:pPr>
      <w:r>
        <w:t>Дополнительные федеральные средства в основном распределены на фонд оплаты труда работников государственных учреждений (2216,7 млн. руб.), фонд оплаты труда работников государственных органов Волгоградской области (1143,7 млн. руб.)</w:t>
      </w:r>
      <w:r w:rsidR="008E78EE">
        <w:t>, а также на субвенции муниципальным образованиям (798,9 млн. руб.), предоставление мер социальной поддержки населени</w:t>
      </w:r>
      <w:r w:rsidR="00327C82">
        <w:t>ю</w:t>
      </w:r>
      <w:r w:rsidR="008E78EE">
        <w:t xml:space="preserve"> (756,9 млн. руб.) и некоторые иные вопросы.</w:t>
      </w:r>
    </w:p>
    <w:p w:rsidR="004E4DBD" w:rsidRDefault="00D642D9" w:rsidP="004E4DBD">
      <w:pPr>
        <w:ind w:firstLine="708"/>
        <w:jc w:val="both"/>
        <w:rPr>
          <w:b/>
          <w:i/>
          <w:u w:val="single"/>
        </w:rPr>
      </w:pPr>
      <w:r>
        <w:t xml:space="preserve">Сравнительный анализ показателей законопроекта (с вышеуказанными поправками) с показателями закона о бюджете на 2017 год (с учетом поправок, находящихся </w:t>
      </w:r>
      <w:r w:rsidR="00B11BE2">
        <w:t xml:space="preserve">в настоящее время </w:t>
      </w:r>
      <w:r>
        <w:t>на рассмотрении Волгоградской областной Думы) в разрезе главных распорядителей бюджетных сре</w:t>
      </w:r>
      <w:proofErr w:type="gramStart"/>
      <w:r>
        <w:t>дств пр</w:t>
      </w:r>
      <w:proofErr w:type="gramEnd"/>
      <w:r>
        <w:t xml:space="preserve">иведен </w:t>
      </w:r>
      <w:r w:rsidRPr="00D642D9">
        <w:rPr>
          <w:b/>
          <w:i/>
          <w:u w:val="single"/>
        </w:rPr>
        <w:t>в приложении №1.</w:t>
      </w:r>
    </w:p>
    <w:p w:rsidR="00196973" w:rsidRPr="00196973" w:rsidRDefault="00196973" w:rsidP="004E4DBD">
      <w:pPr>
        <w:ind w:firstLine="708"/>
        <w:jc w:val="both"/>
      </w:pPr>
      <w:r>
        <w:t xml:space="preserve">Из </w:t>
      </w:r>
      <w:r w:rsidR="006D2F73">
        <w:t>приложения видно</w:t>
      </w:r>
      <w:r>
        <w:t xml:space="preserve">, что из 35 ГРБС по 20 ассигнования на 2018 год увеличены относительно текущего года, </w:t>
      </w:r>
      <w:r w:rsidRPr="00196973">
        <w:rPr>
          <w:b/>
          <w:i/>
        </w:rPr>
        <w:t xml:space="preserve">по 15 </w:t>
      </w:r>
      <w:r>
        <w:rPr>
          <w:b/>
          <w:i/>
        </w:rPr>
        <w:t>ГРБС они</w:t>
      </w:r>
      <w:r w:rsidRPr="00196973">
        <w:rPr>
          <w:b/>
          <w:i/>
        </w:rPr>
        <w:t xml:space="preserve"> сокращены</w:t>
      </w:r>
      <w:r>
        <w:t>, в том числе:</w:t>
      </w:r>
    </w:p>
    <w:p w:rsidR="00D642D9" w:rsidRDefault="00196973" w:rsidP="004E4DBD">
      <w:pPr>
        <w:ind w:firstLine="708"/>
        <w:jc w:val="both"/>
      </w:pPr>
      <w:r>
        <w:t>-</w:t>
      </w:r>
      <w:r w:rsidR="00810FC2">
        <w:t>А</w:t>
      </w:r>
      <w:r>
        <w:t>ппарату Губернатора Волгоградской области - на 609,3 млн. руб. (</w:t>
      </w:r>
      <w:r w:rsidR="00810FC2">
        <w:t>-</w:t>
      </w:r>
      <w:r>
        <w:t>68,1%)</w:t>
      </w:r>
      <w:r w:rsidR="00810FC2">
        <w:t>;</w:t>
      </w:r>
    </w:p>
    <w:p w:rsidR="00810FC2" w:rsidRDefault="00810FC2" w:rsidP="004E4DBD">
      <w:pPr>
        <w:ind w:firstLine="708"/>
        <w:jc w:val="both"/>
      </w:pPr>
      <w:r>
        <w:t>-комитету строительства – на 1639,8 млн. руб. (-36,5%);</w:t>
      </w:r>
    </w:p>
    <w:p w:rsidR="00810FC2" w:rsidRDefault="00810FC2" w:rsidP="004E4DBD">
      <w:pPr>
        <w:ind w:firstLine="708"/>
        <w:jc w:val="both"/>
      </w:pPr>
      <w:r>
        <w:t>-комитету по делам национальностей и казачества – на 99,4 млн. руб. (-42,6%);</w:t>
      </w:r>
    </w:p>
    <w:p w:rsidR="00810FC2" w:rsidRDefault="00810FC2" w:rsidP="004E4DBD">
      <w:pPr>
        <w:ind w:firstLine="708"/>
        <w:jc w:val="both"/>
      </w:pPr>
      <w:r>
        <w:t>-комитету природных ресурсов, лесного хозяйства и экологии – на 815,3 млн. руб.</w:t>
      </w:r>
      <w:r w:rsidR="006D2F73">
        <w:t>, или на</w:t>
      </w:r>
      <w:r>
        <w:t xml:space="preserve"> </w:t>
      </w:r>
      <w:r w:rsidR="006D2F73">
        <w:t>3</w:t>
      </w:r>
      <w:r>
        <w:t>6,6%;</w:t>
      </w:r>
    </w:p>
    <w:p w:rsidR="006D2F73" w:rsidRDefault="006D2F73" w:rsidP="004E4DBD">
      <w:pPr>
        <w:ind w:firstLine="708"/>
        <w:jc w:val="both"/>
      </w:pPr>
      <w:r>
        <w:t>-комитету сельского хозяйства – на 349,8 млн. руб. (-9,9%);</w:t>
      </w:r>
    </w:p>
    <w:p w:rsidR="006D2F73" w:rsidRDefault="006D2F73" w:rsidP="004E4DBD">
      <w:pPr>
        <w:ind w:firstLine="708"/>
        <w:jc w:val="both"/>
      </w:pPr>
      <w:r>
        <w:t>-комитету жилищно-коммунального хозяйства и топливно-энергетического комплекса – на 916,3 млн. руб. (-44,2%);</w:t>
      </w:r>
    </w:p>
    <w:p w:rsidR="006D2F73" w:rsidRDefault="006D2F73" w:rsidP="004E4DBD">
      <w:pPr>
        <w:ind w:firstLine="708"/>
        <w:jc w:val="both"/>
      </w:pPr>
      <w:r>
        <w:t>-Представительству Волгоградской области в Москве – на 9,4 млн. руб. (-26,8%);</w:t>
      </w:r>
    </w:p>
    <w:p w:rsidR="006D2F73" w:rsidRDefault="006D2F73" w:rsidP="004E4DBD">
      <w:pPr>
        <w:ind w:firstLine="708"/>
        <w:jc w:val="both"/>
      </w:pPr>
      <w:r>
        <w:t>-комитету социальной защиты населения – на 928,3 млн. руб. (-6,5%);</w:t>
      </w:r>
    </w:p>
    <w:p w:rsidR="00241A99" w:rsidRDefault="00241A99" w:rsidP="004E4DBD">
      <w:pPr>
        <w:ind w:firstLine="708"/>
        <w:jc w:val="both"/>
      </w:pPr>
      <w:r>
        <w:t>-комитету транспорта и дорожного хозяйства – на 4914,1 млн. руб. (-45%);</w:t>
      </w:r>
    </w:p>
    <w:p w:rsidR="00241A99" w:rsidRDefault="00241A99" w:rsidP="004E4DBD">
      <w:pPr>
        <w:ind w:firstLine="708"/>
        <w:jc w:val="both"/>
      </w:pPr>
      <w:r>
        <w:t>-контрольно-счетной палате Волгоградской области – на 5 млн. руб. (-6%);</w:t>
      </w:r>
    </w:p>
    <w:p w:rsidR="00241A99" w:rsidRDefault="00241A99" w:rsidP="004E4DBD">
      <w:pPr>
        <w:ind w:firstLine="708"/>
        <w:jc w:val="both"/>
      </w:pPr>
      <w:r>
        <w:t>-комитету архитектуры и градостроительства – на 1,2 млн. руб. (-3,8%);</w:t>
      </w:r>
    </w:p>
    <w:p w:rsidR="00241A99" w:rsidRDefault="00241A99" w:rsidP="004E4DBD">
      <w:pPr>
        <w:ind w:firstLine="708"/>
        <w:jc w:val="both"/>
      </w:pPr>
      <w:r>
        <w:lastRenderedPageBreak/>
        <w:t>-комитету промышленности и торговли – на 2,4 млн. руб. (-1,6%);</w:t>
      </w:r>
    </w:p>
    <w:p w:rsidR="00241A99" w:rsidRDefault="00241A99" w:rsidP="004E4DBD">
      <w:pPr>
        <w:ind w:firstLine="708"/>
        <w:jc w:val="both"/>
      </w:pPr>
      <w:r>
        <w:t>-комитету по подготовке и проведению матчей чемпионата мира по футболу 2018 года – на 255,6 млн. руб. (-53,5%);</w:t>
      </w:r>
    </w:p>
    <w:p w:rsidR="00241A99" w:rsidRDefault="00241A99" w:rsidP="004E4DBD">
      <w:pPr>
        <w:ind w:firstLine="708"/>
        <w:jc w:val="both"/>
      </w:pPr>
      <w:r>
        <w:t>-комитету по делам территориальных образований, внутренней и информационной политики – на 108,5 млн. руб. (-11,1%);</w:t>
      </w:r>
    </w:p>
    <w:p w:rsidR="00241A99" w:rsidRDefault="00241A99" w:rsidP="004E4DBD">
      <w:pPr>
        <w:ind w:firstLine="708"/>
        <w:jc w:val="both"/>
      </w:pPr>
      <w:r>
        <w:t>-комитету молодежной политики – на 68,1 млн. руб. (-12,5%).</w:t>
      </w:r>
    </w:p>
    <w:p w:rsidR="00241A99" w:rsidRDefault="00241A99" w:rsidP="004E4DBD">
      <w:pPr>
        <w:ind w:firstLine="708"/>
        <w:jc w:val="both"/>
      </w:pPr>
      <w:r>
        <w:t>Причины сокращени</w:t>
      </w:r>
      <w:r w:rsidR="00327C82">
        <w:t>я</w:t>
      </w:r>
      <w:r>
        <w:t xml:space="preserve"> бюджетных ассигнований на 2018 год по </w:t>
      </w:r>
      <w:proofErr w:type="gramStart"/>
      <w:r>
        <w:t>вышеназванным</w:t>
      </w:r>
      <w:proofErr w:type="gramEnd"/>
      <w:r>
        <w:t xml:space="preserve"> ГРБС указаны в соответствующих разделах настоящего заключения. </w:t>
      </w:r>
    </w:p>
    <w:p w:rsidR="00196973" w:rsidRDefault="00196973" w:rsidP="004E4DBD">
      <w:pPr>
        <w:ind w:firstLine="708"/>
        <w:jc w:val="both"/>
      </w:pPr>
    </w:p>
    <w:p w:rsidR="005221E8" w:rsidRDefault="00EA2C21" w:rsidP="00EA2C21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Ра</w:t>
      </w:r>
      <w:r w:rsidRPr="00790D98">
        <w:rPr>
          <w:b/>
          <w:i/>
          <w:u w:val="single"/>
        </w:rPr>
        <w:t>сходы по разделу 0100 «Общегосу</w:t>
      </w:r>
      <w:r>
        <w:rPr>
          <w:b/>
          <w:i/>
          <w:u w:val="single"/>
        </w:rPr>
        <w:t>дарственные вопросы»</w:t>
      </w:r>
    </w:p>
    <w:p w:rsidR="00EA2C21" w:rsidRDefault="00EA2C21" w:rsidP="00EA2C21">
      <w:pPr>
        <w:jc w:val="center"/>
        <w:rPr>
          <w:b/>
          <w:i/>
          <w:u w:val="single"/>
        </w:rPr>
      </w:pPr>
    </w:p>
    <w:p w:rsidR="00CA7BBB" w:rsidRDefault="00CA7BBB" w:rsidP="00CA7BBB">
      <w:pPr>
        <w:ind w:firstLine="709"/>
        <w:jc w:val="both"/>
      </w:pPr>
      <w:r w:rsidRPr="004707D3">
        <w:t xml:space="preserve">Законопроектом ассигнования по разделу 0100 «Общегосударственные вопросы» на 2018 год предусмотрены в </w:t>
      </w:r>
      <w:r w:rsidRPr="00B2701C">
        <w:t>сумме</w:t>
      </w:r>
      <w:r>
        <w:t xml:space="preserve"> 3698</w:t>
      </w:r>
      <w:r w:rsidRPr="00B2701C">
        <w:t>,</w:t>
      </w:r>
      <w:r>
        <w:t>9</w:t>
      </w:r>
      <w:r w:rsidRPr="004707D3">
        <w:t xml:space="preserve"> млн. руб., что на</w:t>
      </w:r>
      <w:r w:rsidR="00504B54">
        <w:t xml:space="preserve"> 225,8 млн. руб., или на</w:t>
      </w:r>
      <w:r w:rsidRPr="004707D3">
        <w:t xml:space="preserve"> </w:t>
      </w:r>
      <w:r>
        <w:t>6,5</w:t>
      </w:r>
      <w:r w:rsidRPr="004707D3">
        <w:t>%</w:t>
      </w:r>
      <w:r w:rsidRPr="004707D3">
        <w:rPr>
          <w:color w:val="365F91" w:themeColor="accent1" w:themeShade="BF"/>
        </w:rPr>
        <w:t xml:space="preserve"> </w:t>
      </w:r>
      <w:r w:rsidRPr="00B32152">
        <w:t>боль</w:t>
      </w:r>
      <w:r w:rsidRPr="004707D3">
        <w:t>ше планового показателя 2017 года (</w:t>
      </w:r>
      <w:r w:rsidRPr="00B32152">
        <w:t>3473,1</w:t>
      </w:r>
      <w:r w:rsidRPr="004707D3">
        <w:t xml:space="preserve"> млн. руб.). </w:t>
      </w:r>
    </w:p>
    <w:p w:rsidR="00EE3BF1" w:rsidRDefault="00EE3BF1" w:rsidP="00CA7BBB">
      <w:pPr>
        <w:ind w:firstLine="709"/>
        <w:jc w:val="both"/>
      </w:pPr>
      <w:r>
        <w:t>В основном увеличение ассигнований по разделу объясняется следующим:</w:t>
      </w:r>
    </w:p>
    <w:p w:rsidR="00EE3BF1" w:rsidRDefault="00EE3BF1" w:rsidP="00EE3BF1">
      <w:pPr>
        <w:ind w:firstLine="709"/>
        <w:jc w:val="both"/>
      </w:pPr>
      <w:r w:rsidRPr="00EE3BF1">
        <w:t xml:space="preserve">-увеличением </w:t>
      </w:r>
      <w:r>
        <w:t xml:space="preserve">ассигнований </w:t>
      </w:r>
      <w:r w:rsidRPr="00EE3BF1">
        <w:t>на обеспечение</w:t>
      </w:r>
      <w:r>
        <w:t xml:space="preserve"> функций ГКУ «Многофункциональный центр предоставления государственных и муниципальных услуг</w:t>
      </w:r>
      <w:r w:rsidRPr="004707D3">
        <w:t>»</w:t>
      </w:r>
      <w:r>
        <w:t xml:space="preserve"> в связи с проводимой централизацией сети МФ</w:t>
      </w:r>
      <w:r w:rsidR="0019068E">
        <w:t>Ц</w:t>
      </w:r>
      <w:r>
        <w:t xml:space="preserve"> в Волгоградской области на </w:t>
      </w:r>
      <w:r w:rsidR="006C75C2">
        <w:t>420</w:t>
      </w:r>
      <w:r>
        <w:t xml:space="preserve"> млн. руб.;</w:t>
      </w:r>
    </w:p>
    <w:p w:rsidR="00EE3BF1" w:rsidRDefault="00EE3BF1" w:rsidP="00EE3BF1">
      <w:pPr>
        <w:ind w:firstLine="709"/>
        <w:jc w:val="both"/>
      </w:pPr>
      <w:r>
        <w:t>-увеличением расходов на оплату труда работников государственных учреждений</w:t>
      </w:r>
      <w:r w:rsidR="006C75C2">
        <w:t xml:space="preserve"> на 47,8 млн. руб.</w:t>
      </w:r>
      <w:r>
        <w:t>;</w:t>
      </w:r>
    </w:p>
    <w:p w:rsidR="00EE3BF1" w:rsidRDefault="00EE3BF1" w:rsidP="00EE3BF1">
      <w:pPr>
        <w:ind w:firstLine="709"/>
        <w:jc w:val="both"/>
      </w:pPr>
      <w:r>
        <w:t>-</w:t>
      </w:r>
      <w:r w:rsidR="006C75C2">
        <w:t>планированием расходов</w:t>
      </w:r>
      <w:r>
        <w:t xml:space="preserve"> на проведение референдума </w:t>
      </w:r>
      <w:r w:rsidR="0019068E">
        <w:t xml:space="preserve">в </w:t>
      </w:r>
      <w:r>
        <w:t xml:space="preserve">Волгоградской области на </w:t>
      </w:r>
      <w:r w:rsidR="006C75C2">
        <w:t>69,5</w:t>
      </w:r>
      <w:r>
        <w:t xml:space="preserve"> млн.</w:t>
      </w:r>
      <w:r w:rsidR="00B1750C">
        <w:t xml:space="preserve"> </w:t>
      </w:r>
      <w:r>
        <w:t>руб.</w:t>
      </w:r>
      <w:r w:rsidR="00B1750C">
        <w:t>;</w:t>
      </w:r>
    </w:p>
    <w:p w:rsidR="00EE3BF1" w:rsidRPr="001014D9" w:rsidRDefault="00EE3BF1" w:rsidP="00EE3BF1">
      <w:pPr>
        <w:ind w:firstLine="709"/>
        <w:jc w:val="both"/>
      </w:pPr>
      <w:r>
        <w:t>-</w:t>
      </w:r>
      <w:r w:rsidR="00B1750C">
        <w:t>уменьшением</w:t>
      </w:r>
      <w:r>
        <w:t xml:space="preserve"> резервного фонда на 127,5 млн.</w:t>
      </w:r>
      <w:r w:rsidR="00B1750C">
        <w:t xml:space="preserve"> </w:t>
      </w:r>
      <w:r>
        <w:t>рублей.</w:t>
      </w:r>
    </w:p>
    <w:p w:rsidR="00EE3BF1" w:rsidRDefault="006C75C2" w:rsidP="00CA7BBB">
      <w:pPr>
        <w:ind w:firstLine="709"/>
        <w:jc w:val="both"/>
      </w:pPr>
      <w:r>
        <w:t>-уменьшением расходов на материально-техническое и иное обеспечение деятельности органов власти и государственных органов Волгоградской области на 185,2 млн. руб. в связи с недостаточностью бюджетных средств.</w:t>
      </w:r>
    </w:p>
    <w:p w:rsidR="00CA7BBB" w:rsidRDefault="00CA7BBB" w:rsidP="00CA7BBB">
      <w:pPr>
        <w:ind w:firstLine="720"/>
        <w:jc w:val="both"/>
      </w:pPr>
      <w:r w:rsidRPr="004707D3">
        <w:t>Распределение ассигнований раздела по главным распорядителям средств обл</w:t>
      </w:r>
      <w:r>
        <w:t>астного бюджета представлено в т</w:t>
      </w:r>
      <w:r w:rsidRPr="004707D3">
        <w:t>аблице.</w:t>
      </w:r>
    </w:p>
    <w:p w:rsidR="00CA7BBB" w:rsidRPr="00E94F0A" w:rsidRDefault="00CA7BBB" w:rsidP="00CA7BBB">
      <w:pPr>
        <w:ind w:firstLine="720"/>
        <w:jc w:val="right"/>
        <w:rPr>
          <w:i/>
        </w:rPr>
      </w:pPr>
      <w:r w:rsidRPr="00EE3BF1">
        <w:rPr>
          <w:sz w:val="20"/>
          <w:szCs w:val="20"/>
        </w:rPr>
        <w:t>млн</w:t>
      </w:r>
      <w:proofErr w:type="gramStart"/>
      <w:r w:rsidRPr="00EE3BF1">
        <w:rPr>
          <w:sz w:val="20"/>
          <w:szCs w:val="20"/>
        </w:rPr>
        <w:t>.р</w:t>
      </w:r>
      <w:proofErr w:type="gramEnd"/>
      <w:r w:rsidRPr="00EE3BF1">
        <w:rPr>
          <w:sz w:val="20"/>
          <w:szCs w:val="20"/>
        </w:rPr>
        <w:t>уб</w:t>
      </w:r>
      <w:r w:rsidRPr="00E94F0A">
        <w:rPr>
          <w:i/>
        </w:rPr>
        <w:t>.</w:t>
      </w:r>
    </w:p>
    <w:tbl>
      <w:tblPr>
        <w:tblW w:w="9652" w:type="dxa"/>
        <w:tblInd w:w="9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833"/>
        <w:gridCol w:w="1276"/>
        <w:gridCol w:w="1275"/>
        <w:gridCol w:w="1276"/>
        <w:gridCol w:w="992"/>
      </w:tblGrid>
      <w:tr w:rsidR="00CA7BBB" w:rsidRPr="00E94F0A" w:rsidTr="00504B54">
        <w:trPr>
          <w:trHeight w:val="20"/>
        </w:trPr>
        <w:tc>
          <w:tcPr>
            <w:tcW w:w="4833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4F0A">
              <w:rPr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4F0A">
              <w:rPr>
                <w:b/>
                <w:bCs/>
                <w:color w:val="000000"/>
                <w:sz w:val="20"/>
                <w:szCs w:val="20"/>
              </w:rPr>
              <w:t>Закон о бюджете на 2017 год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4F0A">
              <w:rPr>
                <w:b/>
                <w:bCs/>
                <w:color w:val="000000"/>
                <w:sz w:val="20"/>
                <w:szCs w:val="20"/>
              </w:rPr>
              <w:t>Проект на 2018 год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4F0A">
              <w:rPr>
                <w:b/>
                <w:bCs/>
                <w:color w:val="000000"/>
                <w:sz w:val="20"/>
                <w:szCs w:val="20"/>
              </w:rPr>
              <w:t>Изменение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  <w:hideMark/>
          </w:tcPr>
          <w:p w:rsidR="00CA7BBB" w:rsidRPr="00E94F0A" w:rsidRDefault="00CA7BBB" w:rsidP="00504B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  <w:hideMark/>
          </w:tcPr>
          <w:p w:rsidR="00CA7BBB" w:rsidRPr="00E94F0A" w:rsidRDefault="00CA7BBB" w:rsidP="00504B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  <w:hideMark/>
          </w:tcPr>
          <w:p w:rsidR="00CA7BBB" w:rsidRPr="00E94F0A" w:rsidRDefault="00CA7BBB" w:rsidP="00504B5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4F0A">
              <w:rPr>
                <w:b/>
                <w:bCs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4F0A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tcBorders>
              <w:top w:val="double" w:sz="4" w:space="0" w:color="auto"/>
            </w:tcBorders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Волгоградская областная Дума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246,8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255,1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8,3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3,3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Аппарат Губернатора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885,7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276,4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-60</w:t>
            </w:r>
            <w:r>
              <w:rPr>
                <w:color w:val="000000"/>
                <w:sz w:val="20"/>
                <w:szCs w:val="20"/>
              </w:rPr>
              <w:t>9</w:t>
            </w:r>
            <w:r w:rsidRPr="00E94F0A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-68,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Комитет юстиции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464,2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7</w:t>
            </w:r>
            <w:r w:rsidRPr="00E94F0A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2,2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Комитет строительства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Комитет по делам национальностей и казачества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45,7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-3,0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Комитет культуры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65,7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75,6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15,1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Комитет образования и науки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25,9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-12,8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-49,4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Комитет по управлению государственным имуществом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242,6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242,1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-0,2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Комитет экономической политики и развития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419,9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836,6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416,7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99,2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Представительство Волгоградской области в городе Москве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25,6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-26,8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Комитет финансов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494,4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397,4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-9</w:t>
            </w:r>
            <w:r>
              <w:rPr>
                <w:color w:val="000000"/>
                <w:sz w:val="20"/>
                <w:szCs w:val="20"/>
              </w:rPr>
              <w:t>7</w:t>
            </w:r>
            <w:r w:rsidRPr="00E94F0A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-19,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Контрольно-счетная палата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84,4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79,3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-6,0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Избирательная комиссия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118,2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191,2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73,0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61,7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Комитет информационных технологий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93,9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25,5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37,2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Комитет по делам территориальных образований, внутренней и информационной политики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56,4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132,8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76,4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135,4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Комитет по регулированию контрактной системы в сфере закупок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75,3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88,4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17,4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Управление делами Администрации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472,8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412,0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677,6</w:t>
            </w:r>
          </w:p>
        </w:tc>
      </w:tr>
      <w:tr w:rsidR="00CA7BBB" w:rsidRPr="00E94F0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 xml:space="preserve">Комитет информационной политики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-83,0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color w:val="000000"/>
                <w:sz w:val="20"/>
                <w:szCs w:val="20"/>
              </w:rPr>
            </w:pPr>
            <w:r w:rsidRPr="00E94F0A"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CA7BBB" w:rsidRPr="004B2EBA" w:rsidTr="00504B54">
        <w:trPr>
          <w:trHeight w:val="20"/>
        </w:trPr>
        <w:tc>
          <w:tcPr>
            <w:tcW w:w="4833" w:type="dxa"/>
            <w:shd w:val="clear" w:color="auto" w:fill="auto"/>
            <w:vAlign w:val="bottom"/>
            <w:hideMark/>
          </w:tcPr>
          <w:p w:rsidR="00CA7BBB" w:rsidRPr="00E94F0A" w:rsidRDefault="00CA7BBB" w:rsidP="00504B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94F0A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E94F0A" w:rsidRDefault="00CA7BBB" w:rsidP="00504B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4F0A">
              <w:rPr>
                <w:b/>
                <w:bCs/>
                <w:color w:val="000000"/>
                <w:sz w:val="20"/>
                <w:szCs w:val="20"/>
              </w:rPr>
              <w:t>3473,1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A7BBB" w:rsidRPr="004B2EBA" w:rsidRDefault="00CA7BBB" w:rsidP="00504B54">
            <w:pPr>
              <w:jc w:val="center"/>
              <w:rPr>
                <w:b/>
                <w:bCs/>
                <w:sz w:val="20"/>
                <w:szCs w:val="20"/>
              </w:rPr>
            </w:pPr>
            <w:r w:rsidRPr="004B2EBA">
              <w:rPr>
                <w:b/>
                <w:bCs/>
                <w:sz w:val="20"/>
                <w:szCs w:val="20"/>
              </w:rPr>
              <w:t>3698,9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7BBB" w:rsidRPr="004B2EBA" w:rsidRDefault="00CA7BBB" w:rsidP="00504B54">
            <w:pPr>
              <w:jc w:val="center"/>
              <w:rPr>
                <w:b/>
                <w:bCs/>
                <w:sz w:val="20"/>
                <w:szCs w:val="20"/>
              </w:rPr>
            </w:pPr>
            <w:r w:rsidRPr="004B2EBA">
              <w:rPr>
                <w:b/>
                <w:bCs/>
                <w:sz w:val="20"/>
                <w:szCs w:val="20"/>
              </w:rPr>
              <w:t>225,8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7BBB" w:rsidRPr="004B2EBA" w:rsidRDefault="00CA7BBB" w:rsidP="00504B54">
            <w:pPr>
              <w:jc w:val="center"/>
              <w:rPr>
                <w:b/>
                <w:bCs/>
                <w:sz w:val="20"/>
                <w:szCs w:val="20"/>
              </w:rPr>
            </w:pPr>
            <w:r w:rsidRPr="004B2EBA">
              <w:rPr>
                <w:b/>
                <w:bCs/>
                <w:sz w:val="20"/>
                <w:szCs w:val="20"/>
              </w:rPr>
              <w:t>6,5</w:t>
            </w:r>
          </w:p>
        </w:tc>
      </w:tr>
    </w:tbl>
    <w:p w:rsidR="00CA7BBB" w:rsidRDefault="00CA7BBB" w:rsidP="00CA7BBB">
      <w:pPr>
        <w:jc w:val="both"/>
      </w:pPr>
    </w:p>
    <w:p w:rsidR="00CA7BBB" w:rsidRPr="004707D3" w:rsidRDefault="005A09EC" w:rsidP="00CA7BBB">
      <w:pPr>
        <w:tabs>
          <w:tab w:val="left" w:pos="0"/>
        </w:tabs>
        <w:ind w:firstLine="709"/>
        <w:jc w:val="both"/>
      </w:pPr>
      <w:r>
        <w:lastRenderedPageBreak/>
        <w:t>И</w:t>
      </w:r>
      <w:r w:rsidR="00CA7BBB" w:rsidRPr="004707D3">
        <w:t xml:space="preserve">зменение ассигнований </w:t>
      </w:r>
      <w:r>
        <w:t xml:space="preserve">по главным распорядителям средств областного бюджета </w:t>
      </w:r>
      <w:r w:rsidR="00CA7BBB" w:rsidRPr="004707D3">
        <w:t>обусловлено провед</w:t>
      </w:r>
      <w:r>
        <w:t>е</w:t>
      </w:r>
      <w:r w:rsidR="00CA7BBB" w:rsidRPr="004707D3">
        <w:t xml:space="preserve">нной </w:t>
      </w:r>
      <w:r>
        <w:t xml:space="preserve">с 01.03.2017 </w:t>
      </w:r>
      <w:r w:rsidR="00CA7BBB" w:rsidRPr="004707D3">
        <w:t xml:space="preserve">реорганизацией </w:t>
      </w:r>
      <w:r>
        <w:t xml:space="preserve">органов исполнительной власти Волгоградской области с соответствующим </w:t>
      </w:r>
      <w:r w:rsidR="00CA7BBB" w:rsidRPr="004707D3">
        <w:t>перераспределением полномочий</w:t>
      </w:r>
      <w:r>
        <w:t>,</w:t>
      </w:r>
      <w:r w:rsidR="00CA7BBB" w:rsidRPr="004707D3">
        <w:t xml:space="preserve"> </w:t>
      </w:r>
      <w:r>
        <w:t>а</w:t>
      </w:r>
      <w:r w:rsidR="00CA7BBB" w:rsidRPr="004707D3">
        <w:t xml:space="preserve"> именно:</w:t>
      </w:r>
    </w:p>
    <w:p w:rsidR="005A09EC" w:rsidRDefault="00CA7BBB" w:rsidP="005A09EC">
      <w:pPr>
        <w:tabs>
          <w:tab w:val="left" w:pos="0"/>
        </w:tabs>
        <w:ind w:firstLine="709"/>
        <w:jc w:val="both"/>
      </w:pPr>
      <w:r>
        <w:t>-</w:t>
      </w:r>
      <w:r w:rsidRPr="00795C67">
        <w:rPr>
          <w:u w:val="single"/>
        </w:rPr>
        <w:t>уменьшение ассигнований</w:t>
      </w:r>
      <w:r w:rsidRPr="004707D3">
        <w:t xml:space="preserve"> Аппарату Губернатора Волгоградской области связано:</w:t>
      </w:r>
    </w:p>
    <w:p w:rsidR="005A09EC" w:rsidRDefault="00CA7BBB" w:rsidP="005A09EC">
      <w:pPr>
        <w:tabs>
          <w:tab w:val="left" w:pos="0"/>
        </w:tabs>
        <w:ind w:firstLine="709"/>
        <w:jc w:val="both"/>
      </w:pPr>
      <w:r w:rsidRPr="004707D3">
        <w:t xml:space="preserve">с передачей полномочий по материально-техническому и иному обеспечению деятельности Администрации Волгоградской области </w:t>
      </w:r>
      <w:r w:rsidR="005A09EC" w:rsidRPr="004707D3">
        <w:t>Управлению делами Администрации Волгоградской области</w:t>
      </w:r>
      <w:r w:rsidR="005A09EC">
        <w:t>;</w:t>
      </w:r>
    </w:p>
    <w:p w:rsidR="005A09EC" w:rsidRDefault="005A09EC" w:rsidP="005A09EC">
      <w:pPr>
        <w:tabs>
          <w:tab w:val="left" w:pos="0"/>
        </w:tabs>
        <w:ind w:firstLine="709"/>
        <w:jc w:val="both"/>
      </w:pPr>
      <w:r>
        <w:t xml:space="preserve">с </w:t>
      </w:r>
      <w:r w:rsidR="00CA7BBB" w:rsidRPr="004707D3">
        <w:t>изменением подведомственности ГБУ «Исполнительная дирекция администрации Волгоградской области», ГКУ «Дирекция по обеспечению деятельности общественной палаты и института уполномоченных в Волгоградской области»</w:t>
      </w:r>
      <w:r w:rsidR="00CA7BBB">
        <w:t xml:space="preserve"> и ГКУ «Общепит»</w:t>
      </w:r>
      <w:r w:rsidR="00CA7BBB" w:rsidRPr="004707D3">
        <w:t>;</w:t>
      </w:r>
    </w:p>
    <w:p w:rsidR="005A09EC" w:rsidRDefault="00CA7BBB" w:rsidP="005A09EC">
      <w:pPr>
        <w:tabs>
          <w:tab w:val="left" w:pos="0"/>
        </w:tabs>
        <w:ind w:firstLine="709"/>
        <w:jc w:val="both"/>
      </w:pPr>
      <w:r w:rsidRPr="0006411A">
        <w:t>с передачей полномочий в сфере организации деятельности по государственной регистрации актов гражданского состояния на территории Волгоградской области</w:t>
      </w:r>
      <w:r w:rsidR="005A09EC">
        <w:t xml:space="preserve"> </w:t>
      </w:r>
      <w:r w:rsidR="005A09EC" w:rsidRPr="0006411A">
        <w:t>комитету юстиции Волгоградской области</w:t>
      </w:r>
      <w:r w:rsidRPr="0006411A">
        <w:t xml:space="preserve">; </w:t>
      </w:r>
    </w:p>
    <w:p w:rsidR="00CA7BBB" w:rsidRPr="0006411A" w:rsidRDefault="005A09EC" w:rsidP="005A09EC">
      <w:pPr>
        <w:tabs>
          <w:tab w:val="left" w:pos="0"/>
        </w:tabs>
        <w:ind w:firstLine="709"/>
        <w:jc w:val="both"/>
      </w:pPr>
      <w:r>
        <w:t>-</w:t>
      </w:r>
      <w:r w:rsidR="00CA7BBB" w:rsidRPr="00795C67">
        <w:rPr>
          <w:u w:val="single"/>
        </w:rPr>
        <w:t>увеличение ассигнований</w:t>
      </w:r>
      <w:r w:rsidR="00CA7BBB" w:rsidRPr="0006411A">
        <w:t xml:space="preserve"> комитету по делам территориальных образований, внутренней и информационной политики Волгоградской области </w:t>
      </w:r>
      <w:r w:rsidR="00383D7F">
        <w:t>обусловлено ликвидацией</w:t>
      </w:r>
      <w:r w:rsidR="00CA7BBB" w:rsidRPr="0006411A">
        <w:t xml:space="preserve"> </w:t>
      </w:r>
      <w:r w:rsidR="00383D7F">
        <w:t xml:space="preserve">комитета информационной политики Волгоградской области с соответствующим </w:t>
      </w:r>
      <w:r w:rsidR="00CA7BBB" w:rsidRPr="0006411A">
        <w:t>исключение</w:t>
      </w:r>
      <w:r w:rsidR="00383D7F">
        <w:t>м</w:t>
      </w:r>
      <w:r w:rsidR="00CA7BBB" w:rsidRPr="0006411A">
        <w:t xml:space="preserve"> ассигнований </w:t>
      </w:r>
      <w:r w:rsidR="00383D7F">
        <w:t>на его функционирование</w:t>
      </w:r>
      <w:r w:rsidR="00CA7BBB" w:rsidRPr="0006411A">
        <w:t xml:space="preserve">. </w:t>
      </w:r>
    </w:p>
    <w:p w:rsidR="00327C82" w:rsidRDefault="00327C82" w:rsidP="00A2313A">
      <w:pPr>
        <w:jc w:val="both"/>
      </w:pPr>
    </w:p>
    <w:p w:rsidR="00EA2C21" w:rsidRPr="0068415A" w:rsidRDefault="00EA2C21" w:rsidP="00EA2C21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Расходы по р</w:t>
      </w:r>
      <w:r w:rsidRPr="0068415A">
        <w:rPr>
          <w:b/>
          <w:i/>
          <w:u w:val="single"/>
        </w:rPr>
        <w:t>аздел</w:t>
      </w:r>
      <w:r>
        <w:rPr>
          <w:b/>
          <w:i/>
          <w:u w:val="single"/>
        </w:rPr>
        <w:t>у</w:t>
      </w:r>
      <w:r w:rsidRPr="0068415A">
        <w:rPr>
          <w:b/>
          <w:i/>
          <w:u w:val="single"/>
        </w:rPr>
        <w:t xml:space="preserve"> 02</w:t>
      </w:r>
      <w:r>
        <w:rPr>
          <w:b/>
          <w:i/>
          <w:u w:val="single"/>
        </w:rPr>
        <w:t>00</w:t>
      </w:r>
      <w:r w:rsidRPr="0068415A">
        <w:rPr>
          <w:b/>
          <w:i/>
          <w:u w:val="single"/>
        </w:rPr>
        <w:t xml:space="preserve"> «Национальная оборона»</w:t>
      </w:r>
      <w:r>
        <w:rPr>
          <w:b/>
          <w:i/>
          <w:u w:val="single"/>
        </w:rPr>
        <w:t>.</w:t>
      </w:r>
    </w:p>
    <w:p w:rsidR="0027399F" w:rsidRDefault="0027399F" w:rsidP="0027399F">
      <w:pPr>
        <w:ind w:firstLine="709"/>
        <w:jc w:val="both"/>
        <w:rPr>
          <w:color w:val="548DD4"/>
        </w:rPr>
      </w:pPr>
    </w:p>
    <w:p w:rsidR="00AB0987" w:rsidRPr="005A130B" w:rsidRDefault="00AB0987" w:rsidP="00AB0987">
      <w:pPr>
        <w:ind w:firstLine="709"/>
        <w:jc w:val="both"/>
      </w:pPr>
      <w:r w:rsidRPr="005A130B">
        <w:t>По разделу «Национальная оборона» на 201</w:t>
      </w:r>
      <w:r>
        <w:t>8</w:t>
      </w:r>
      <w:r w:rsidRPr="005A130B">
        <w:t xml:space="preserve"> год предусмотрены расходы в сумме </w:t>
      </w:r>
      <w:r>
        <w:t>47,9</w:t>
      </w:r>
      <w:r w:rsidRPr="005A130B">
        <w:t xml:space="preserve"> млн. руб., что </w:t>
      </w:r>
      <w:r>
        <w:t>на 5,3</w:t>
      </w:r>
      <w:r w:rsidRPr="005A130B">
        <w:t xml:space="preserve">% </w:t>
      </w:r>
      <w:r>
        <w:t>больше</w:t>
      </w:r>
      <w:r w:rsidRPr="005A130B">
        <w:t xml:space="preserve"> плановых ассигнований 201</w:t>
      </w:r>
      <w:r>
        <w:t>7 года</w:t>
      </w:r>
      <w:r w:rsidR="006C5EC9">
        <w:t xml:space="preserve"> (45,5 млн. руб.)</w:t>
      </w:r>
      <w:r w:rsidRPr="005A130B">
        <w:t xml:space="preserve">. </w:t>
      </w:r>
    </w:p>
    <w:p w:rsidR="00AB0987" w:rsidRDefault="00AB0987" w:rsidP="00AB0987">
      <w:pPr>
        <w:ind w:firstLine="709"/>
        <w:jc w:val="both"/>
      </w:pPr>
      <w:r>
        <w:t>Увелич</w:t>
      </w:r>
      <w:r w:rsidRPr="005A130B">
        <w:t xml:space="preserve">ение ассигнований связано </w:t>
      </w:r>
      <w:proofErr w:type="gramStart"/>
      <w:r w:rsidRPr="005A130B">
        <w:t>в основном с у</w:t>
      </w:r>
      <w:r>
        <w:t>величе</w:t>
      </w:r>
      <w:r w:rsidRPr="005A130B">
        <w:t xml:space="preserve">нием </w:t>
      </w:r>
      <w:r>
        <w:t>субвенций из федерального бюджета на осуществление переданных государственных полномочий РФ по ведению</w:t>
      </w:r>
      <w:proofErr w:type="gramEnd"/>
      <w:r>
        <w:t xml:space="preserve"> первичного воинского уч</w:t>
      </w:r>
      <w:r w:rsidR="00AD380C">
        <w:t>е</w:t>
      </w:r>
      <w:r>
        <w:t>та.</w:t>
      </w:r>
    </w:p>
    <w:p w:rsidR="00327C82" w:rsidRDefault="00327C82" w:rsidP="0027399F">
      <w:pPr>
        <w:ind w:firstLine="709"/>
        <w:jc w:val="both"/>
        <w:rPr>
          <w:color w:val="548DD4"/>
        </w:rPr>
      </w:pPr>
    </w:p>
    <w:p w:rsidR="00EA2C21" w:rsidRPr="009C4241" w:rsidRDefault="00EA2C21" w:rsidP="00EA2C21">
      <w:pPr>
        <w:jc w:val="center"/>
        <w:rPr>
          <w:b/>
          <w:i/>
          <w:u w:val="single"/>
        </w:rPr>
      </w:pPr>
      <w:r w:rsidRPr="009C4241">
        <w:rPr>
          <w:b/>
          <w:i/>
          <w:u w:val="single"/>
        </w:rPr>
        <w:t xml:space="preserve">Расходы по разделу 0300 «Национальная безопасность </w:t>
      </w:r>
    </w:p>
    <w:p w:rsidR="00EA2C21" w:rsidRDefault="00EA2C21" w:rsidP="00EA2C21">
      <w:pPr>
        <w:jc w:val="center"/>
        <w:rPr>
          <w:b/>
          <w:i/>
          <w:u w:val="single"/>
        </w:rPr>
      </w:pPr>
      <w:r w:rsidRPr="009C4241">
        <w:rPr>
          <w:b/>
          <w:i/>
          <w:u w:val="single"/>
        </w:rPr>
        <w:t>и правоохранительная деятельность».</w:t>
      </w:r>
    </w:p>
    <w:p w:rsidR="00327C82" w:rsidRDefault="00327C82" w:rsidP="00EA2C21">
      <w:pPr>
        <w:jc w:val="center"/>
        <w:rPr>
          <w:b/>
          <w:i/>
          <w:u w:val="single"/>
        </w:rPr>
      </w:pPr>
    </w:p>
    <w:p w:rsidR="00614FD3" w:rsidRPr="005A130B" w:rsidRDefault="00614FD3" w:rsidP="00614FD3">
      <w:pPr>
        <w:ind w:firstLine="720"/>
        <w:jc w:val="both"/>
      </w:pPr>
      <w:r w:rsidRPr="005A130B">
        <w:t>По разделу 0300 «Национальная безопасность и правоохранительная деятельность» на 201</w:t>
      </w:r>
      <w:r>
        <w:t>8</w:t>
      </w:r>
      <w:r w:rsidRPr="005A130B">
        <w:t xml:space="preserve"> год предусмотрены ассигнования в сумме </w:t>
      </w:r>
      <w:r>
        <w:t>738,6</w:t>
      </w:r>
      <w:r w:rsidRPr="005A130B">
        <w:t xml:space="preserve"> млн. руб., что на </w:t>
      </w:r>
      <w:r>
        <w:t>3</w:t>
      </w:r>
      <w:r w:rsidRPr="005A130B">
        <w:t xml:space="preserve">% </w:t>
      </w:r>
      <w:r>
        <w:t>больше пл</w:t>
      </w:r>
      <w:r w:rsidRPr="005A130B">
        <w:t>ановых ассигнований 201</w:t>
      </w:r>
      <w:r>
        <w:t>7</w:t>
      </w:r>
      <w:r w:rsidRPr="005A130B">
        <w:t xml:space="preserve"> года (</w:t>
      </w:r>
      <w:r>
        <w:t>717,3</w:t>
      </w:r>
      <w:r w:rsidRPr="005A130B">
        <w:t xml:space="preserve"> млн. руб.).</w:t>
      </w:r>
    </w:p>
    <w:p w:rsidR="00614FD3" w:rsidRPr="005A130B" w:rsidRDefault="00614FD3" w:rsidP="00614FD3">
      <w:pPr>
        <w:autoSpaceDE w:val="0"/>
        <w:autoSpaceDN w:val="0"/>
        <w:adjustRightInd w:val="0"/>
        <w:ind w:firstLine="709"/>
        <w:jc w:val="both"/>
      </w:pPr>
      <w:r>
        <w:t xml:space="preserve">Отсутствие в законопроекте по данному разделу ассигнований комитету по строительству Волгоградской области, которые в текущем году предусматривались в сумме 102,5 млн. руб., обусловлено планируемым завершением в </w:t>
      </w:r>
      <w:r w:rsidR="00C2042B">
        <w:t>текущем</w:t>
      </w:r>
      <w:r>
        <w:t xml:space="preserve"> году строительства трех</w:t>
      </w:r>
      <w:r w:rsidRPr="005A130B">
        <w:t xml:space="preserve"> пожарных депо в районах области, пострадавших от пожаров 2-3 сентября 2010 года.</w:t>
      </w:r>
    </w:p>
    <w:p w:rsidR="00614FD3" w:rsidRPr="009C4241" w:rsidRDefault="00614FD3" w:rsidP="00EA2C21">
      <w:pPr>
        <w:jc w:val="center"/>
        <w:rPr>
          <w:b/>
          <w:i/>
          <w:u w:val="single"/>
        </w:rPr>
      </w:pPr>
    </w:p>
    <w:p w:rsidR="00EA2C21" w:rsidRDefault="00EA2C21" w:rsidP="00EA2C21">
      <w:pPr>
        <w:jc w:val="center"/>
        <w:rPr>
          <w:b/>
          <w:i/>
          <w:u w:val="single"/>
        </w:rPr>
      </w:pPr>
      <w:r w:rsidRPr="00F44375">
        <w:rPr>
          <w:b/>
          <w:i/>
          <w:u w:val="single"/>
        </w:rPr>
        <w:t>Расходы по разделу 0400 «Национальная экономика»</w:t>
      </w:r>
      <w:r>
        <w:rPr>
          <w:b/>
          <w:i/>
          <w:u w:val="single"/>
        </w:rPr>
        <w:t>.</w:t>
      </w:r>
    </w:p>
    <w:p w:rsidR="007F18E7" w:rsidRDefault="007F18E7" w:rsidP="00EA2C21">
      <w:pPr>
        <w:jc w:val="center"/>
        <w:rPr>
          <w:b/>
          <w:i/>
          <w:u w:val="single"/>
        </w:rPr>
      </w:pPr>
    </w:p>
    <w:p w:rsidR="00C80517" w:rsidRPr="00C80517" w:rsidRDefault="00C80517" w:rsidP="00C80517">
      <w:pPr>
        <w:ind w:firstLine="708"/>
        <w:jc w:val="both"/>
      </w:pPr>
      <w:r w:rsidRPr="00C61D2B">
        <w:rPr>
          <w:b/>
          <w:i/>
        </w:rPr>
        <w:t xml:space="preserve">По подразделу 0401 </w:t>
      </w:r>
      <w:r w:rsidR="00C61D2B" w:rsidRPr="00C61D2B">
        <w:rPr>
          <w:b/>
          <w:i/>
        </w:rPr>
        <w:t>«Общеэкономические вопросы»</w:t>
      </w:r>
      <w:r w:rsidR="00C61D2B">
        <w:t xml:space="preserve"> п</w:t>
      </w:r>
      <w:r w:rsidRPr="00C80517">
        <w:t>ервоначально представленным законопроектом предусм</w:t>
      </w:r>
      <w:r w:rsidR="00C61D2B">
        <w:t>атривалось</w:t>
      </w:r>
      <w:r w:rsidRPr="00C80517">
        <w:t xml:space="preserve"> сокращение расходов </w:t>
      </w:r>
      <w:r w:rsidR="00C61D2B">
        <w:t>по</w:t>
      </w:r>
      <w:r w:rsidRPr="00C80517">
        <w:t xml:space="preserve"> комитет</w:t>
      </w:r>
      <w:r w:rsidR="00C61D2B">
        <w:t>у</w:t>
      </w:r>
      <w:r w:rsidRPr="00C80517">
        <w:t xml:space="preserve"> по труду и занятости населения Волгоградской области </w:t>
      </w:r>
      <w:r w:rsidR="00AB159F">
        <w:t xml:space="preserve">относительно текущего года </w:t>
      </w:r>
      <w:r w:rsidRPr="00C80517">
        <w:t>на 19,8 млн. руб., или на 7,1%</w:t>
      </w:r>
      <w:r w:rsidR="005D4308">
        <w:t>, в том числе</w:t>
      </w:r>
      <w:r w:rsidRPr="00C80517">
        <w:t>:</w:t>
      </w:r>
    </w:p>
    <w:p w:rsidR="00C80517" w:rsidRPr="00C80517" w:rsidRDefault="005D4308" w:rsidP="00C80517">
      <w:pPr>
        <w:ind w:firstLine="708"/>
        <w:jc w:val="both"/>
      </w:pPr>
      <w:r>
        <w:t>-</w:t>
      </w:r>
      <w:r w:rsidR="00C80517" w:rsidRPr="00C80517">
        <w:t xml:space="preserve">на </w:t>
      </w:r>
      <w:r w:rsidR="00AB159F">
        <w:t xml:space="preserve">функционирование </w:t>
      </w:r>
      <w:r w:rsidR="00C80517" w:rsidRPr="00C80517">
        <w:t>аппарат</w:t>
      </w:r>
      <w:r w:rsidR="00AB159F">
        <w:t>а</w:t>
      </w:r>
      <w:r w:rsidR="00C80517" w:rsidRPr="00C80517">
        <w:t xml:space="preserve"> комитета </w:t>
      </w:r>
      <w:r>
        <w:t>-</w:t>
      </w:r>
      <w:r w:rsidR="00C80517" w:rsidRPr="00C80517">
        <w:t xml:space="preserve"> на 22,5 млн. руб., или на 48,4%;</w:t>
      </w:r>
    </w:p>
    <w:p w:rsidR="00C80517" w:rsidRDefault="005D4308" w:rsidP="00C80517">
      <w:pPr>
        <w:ind w:firstLine="708"/>
        <w:jc w:val="both"/>
      </w:pPr>
      <w:r>
        <w:t>-</w:t>
      </w:r>
      <w:r w:rsidR="00C80517" w:rsidRPr="00C80517">
        <w:t xml:space="preserve">на реализацию мероприятий госпрограмм «Социальная поддержка и защита населения Волгоградской области» и «Развитие рынка труда и обеспечение занятости </w:t>
      </w:r>
      <w:r w:rsidR="00FD0100">
        <w:t xml:space="preserve">населения </w:t>
      </w:r>
      <w:r w:rsidR="00C80517" w:rsidRPr="00C80517">
        <w:t xml:space="preserve">в Волгоградской области» </w:t>
      </w:r>
      <w:r>
        <w:t xml:space="preserve">- </w:t>
      </w:r>
      <w:r w:rsidR="00C80517" w:rsidRPr="00C80517">
        <w:t>на 16,6 млн. руб., или на 39,5 процента.</w:t>
      </w:r>
    </w:p>
    <w:p w:rsidR="005D4308" w:rsidRPr="00C80517" w:rsidRDefault="005D4308" w:rsidP="005D4308">
      <w:pPr>
        <w:ind w:firstLine="708"/>
        <w:jc w:val="both"/>
      </w:pPr>
      <w:r>
        <w:t>При этом</w:t>
      </w:r>
      <w:r w:rsidRPr="00C80517">
        <w:t xml:space="preserve"> расход</w:t>
      </w:r>
      <w:r>
        <w:t>ы</w:t>
      </w:r>
      <w:r w:rsidRPr="00C80517">
        <w:t xml:space="preserve"> на обеспечение деятельности подведомственных</w:t>
      </w:r>
      <w:r>
        <w:t xml:space="preserve"> комитету по труду и занятости населения</w:t>
      </w:r>
      <w:r w:rsidRPr="00C80517">
        <w:t xml:space="preserve"> государственных учреждений</w:t>
      </w:r>
      <w:r>
        <w:t xml:space="preserve"> предлагалось увеличить</w:t>
      </w:r>
      <w:r w:rsidRPr="00C80517">
        <w:t xml:space="preserve"> на 19,3 млн. руб., или на 10,2</w:t>
      </w:r>
      <w:r>
        <w:t xml:space="preserve"> процента</w:t>
      </w:r>
      <w:r w:rsidRPr="00C80517">
        <w:t xml:space="preserve">. </w:t>
      </w:r>
    </w:p>
    <w:p w:rsidR="00C80517" w:rsidRPr="00C80517" w:rsidRDefault="00C80517" w:rsidP="00C80517">
      <w:pPr>
        <w:ind w:firstLine="708"/>
        <w:jc w:val="both"/>
      </w:pPr>
      <w:r w:rsidRPr="00C80517">
        <w:t>Поправками</w:t>
      </w:r>
      <w:r w:rsidR="005D4308">
        <w:t>, внесенными Администрацией Волгоградской области при рассмотрении законопроекта в 1 чтении,</w:t>
      </w:r>
      <w:r w:rsidRPr="00C80517">
        <w:t xml:space="preserve"> предусмотрено увеличение ассигнований комитету по труду  </w:t>
      </w:r>
      <w:r w:rsidR="005D4308">
        <w:t xml:space="preserve">и занятости населения на </w:t>
      </w:r>
      <w:r w:rsidRPr="00C80517">
        <w:t xml:space="preserve">29,3 млн. руб., в том числе на оплату труда работников </w:t>
      </w:r>
      <w:r w:rsidRPr="00C80517">
        <w:lastRenderedPageBreak/>
        <w:t xml:space="preserve">подведомственных государственных учреждений </w:t>
      </w:r>
      <w:r w:rsidR="00AB159F">
        <w:t xml:space="preserve">- </w:t>
      </w:r>
      <w:r w:rsidRPr="00C80517">
        <w:t xml:space="preserve">на 8,7 млн. руб., государственных </w:t>
      </w:r>
      <w:r w:rsidR="00AB159F">
        <w:t xml:space="preserve">гражданских </w:t>
      </w:r>
      <w:r w:rsidRPr="00C80517">
        <w:t>служащих комитета</w:t>
      </w:r>
      <w:r w:rsidR="00AB159F">
        <w:t xml:space="preserve"> -</w:t>
      </w:r>
      <w:r w:rsidRPr="00C80517">
        <w:t xml:space="preserve"> на 20,6 млн. рублей. </w:t>
      </w:r>
    </w:p>
    <w:p w:rsidR="00C80517" w:rsidRDefault="00C80517" w:rsidP="00C80517">
      <w:pPr>
        <w:ind w:firstLine="708"/>
        <w:jc w:val="both"/>
      </w:pPr>
      <w:proofErr w:type="gramStart"/>
      <w:r w:rsidRPr="00C80517">
        <w:t xml:space="preserve">Следует </w:t>
      </w:r>
      <w:r w:rsidR="00EC330E">
        <w:t xml:space="preserve">также </w:t>
      </w:r>
      <w:r w:rsidRPr="00C80517">
        <w:t xml:space="preserve">отметить, что законопроектом </w:t>
      </w:r>
      <w:r w:rsidR="00EC330E">
        <w:t>(</w:t>
      </w:r>
      <w:r w:rsidRPr="00C80517">
        <w:t>с уч</w:t>
      </w:r>
      <w:r w:rsidR="00EC330E">
        <w:t>е</w:t>
      </w:r>
      <w:r w:rsidRPr="00C80517">
        <w:t>том поправок</w:t>
      </w:r>
      <w:r w:rsidR="00EC330E">
        <w:t>)</w:t>
      </w:r>
      <w:r w:rsidRPr="00C80517">
        <w:t xml:space="preserve"> предусмотрены </w:t>
      </w:r>
      <w:r w:rsidR="00EC330E">
        <w:t>ассигнования на реализацию подпрограммы</w:t>
      </w:r>
      <w:r w:rsidRPr="00C80517">
        <w:t xml:space="preserve"> «Сопровождение инвалидов молодого возраста при трудоустройстве» госпрограммы «Развитие рынка труда и обеспечение занятости </w:t>
      </w:r>
      <w:r w:rsidR="00FD0100">
        <w:t xml:space="preserve">населения </w:t>
      </w:r>
      <w:r w:rsidRPr="00C80517">
        <w:t xml:space="preserve">в Волгоградской области» в сумме 0,35 млн. руб. </w:t>
      </w:r>
      <w:r w:rsidRPr="00EC330E">
        <w:rPr>
          <w:u w:val="single"/>
        </w:rPr>
        <w:t>в отсутствии такой подпрограммы в действующей редакции госпрограммы</w:t>
      </w:r>
      <w:r w:rsidRPr="00C80517">
        <w:t xml:space="preserve"> «Развитие рынка труда и обеспечение занятости </w:t>
      </w:r>
      <w:r w:rsidR="00FD0100">
        <w:t xml:space="preserve">населения </w:t>
      </w:r>
      <w:r w:rsidRPr="00C80517">
        <w:t>в Волгоградской области», утвержденной постановлением Администрации Волгоградской области от 25.09.2017</w:t>
      </w:r>
      <w:proofErr w:type="gramEnd"/>
      <w:r w:rsidRPr="00C80517">
        <w:t xml:space="preserve"> №503-п.</w:t>
      </w:r>
    </w:p>
    <w:p w:rsidR="00AD578B" w:rsidRPr="00C80517" w:rsidRDefault="00AD578B" w:rsidP="00C80517">
      <w:pPr>
        <w:ind w:firstLine="708"/>
        <w:jc w:val="both"/>
      </w:pPr>
    </w:p>
    <w:p w:rsidR="00B32060" w:rsidRDefault="00B32060" w:rsidP="00B32060">
      <w:pPr>
        <w:ind w:firstLine="709"/>
        <w:jc w:val="both"/>
      </w:pPr>
      <w:r>
        <w:rPr>
          <w:b/>
          <w:i/>
        </w:rPr>
        <w:t>По подразделу 0405 «Сельское хозяйство и рыболовство»</w:t>
      </w:r>
      <w:r>
        <w:t xml:space="preserve"> бюджетные ассигнования на 2018 год предусмотрены в размере 3472,1 млн. руб., что составляет 92,8% к бюджетным ассигнованиям 2017 года (3741,2 млн. руб.).</w:t>
      </w:r>
    </w:p>
    <w:p w:rsidR="00B32060" w:rsidRDefault="00B32060" w:rsidP="00B32060">
      <w:pPr>
        <w:ind w:firstLine="709"/>
        <w:jc w:val="both"/>
      </w:pPr>
      <w:r>
        <w:t>Программные мероприятия по данному подразделу на 2018 год составили 3321,9 млн. руб., или 95,7% в общих расходах, в том числе в рамках:</w:t>
      </w:r>
    </w:p>
    <w:p w:rsidR="00C17C3C" w:rsidRDefault="00B32060" w:rsidP="00C17C3C">
      <w:pPr>
        <w:ind w:firstLine="709"/>
        <w:jc w:val="both"/>
      </w:pPr>
      <w:proofErr w:type="gramStart"/>
      <w:r>
        <w:t>-госпрограммы «Развитие сельского хозяйства и регулирование рынков сельскохозяйственной продукции, сырья и продовольствия» - 2801,9 млн. руб.</w:t>
      </w:r>
      <w:r w:rsidR="00DF5A03">
        <w:t>, что на 332,4 млн. руб. меньше 2017 года (3134,3 млн. руб.), из них средства федерал</w:t>
      </w:r>
      <w:r w:rsidR="00C17C3C">
        <w:t>ьного бюджета - 2050,4 млн. рублей.</w:t>
      </w:r>
      <w:proofErr w:type="gramEnd"/>
      <w:r w:rsidR="00C17C3C">
        <w:t xml:space="preserve"> Субсидии из федерального бюджета на государственную поддержку сельскохозяйственных товаропроизводителей на 2018 год предусмотрены в соответствии с распределением средств федерального бюджета и закреплены проектами соглашений, которые будут заключены Администрацией Волгоградской области с Минсельхозом РФ. Так, в рамках реализации в 2018 году 13 мероприятий данной государственной программы для согласования по объему финансирования и целевым показателям в Минсельхоз РФ направлено 6 соглашений. Еще по одному </w:t>
      </w:r>
      <w:r w:rsidR="00C17C3C" w:rsidRPr="0019662B">
        <w:t>мероприятию</w:t>
      </w:r>
      <w:r w:rsidR="00C17C3C" w:rsidRPr="004353C9">
        <w:rPr>
          <w:b/>
        </w:rPr>
        <w:t xml:space="preserve"> </w:t>
      </w:r>
      <w:r w:rsidR="00C17C3C">
        <w:t xml:space="preserve">«Поддержка строительства и модернизации объектов агропромышленного комплекса» средства федерального бюджета законопроектом не предусмотрены, так как соглашение с Минсельхозом РФ будет подготовлено и заключено только в 2018 году (по итогам конкурсного отбора). </w:t>
      </w:r>
      <w:r w:rsidR="005D3AFF">
        <w:t>При этом о</w:t>
      </w:r>
      <w:r w:rsidR="00C17C3C">
        <w:t xml:space="preserve">бъем финансирования за счет средств областного бюджета на указанные цели предусмотрен </w:t>
      </w:r>
      <w:r w:rsidR="00D632D1">
        <w:t xml:space="preserve">законопроектом </w:t>
      </w:r>
      <w:r w:rsidR="00C17C3C">
        <w:t>в размере 147,5 млн. руб.</w:t>
      </w:r>
      <w:r w:rsidR="005D3AFF">
        <w:t>;</w:t>
      </w:r>
    </w:p>
    <w:p w:rsidR="00B32060" w:rsidRDefault="00B32060" w:rsidP="00B32060">
      <w:pPr>
        <w:ind w:firstLine="709"/>
        <w:jc w:val="both"/>
      </w:pPr>
      <w:r>
        <w:t xml:space="preserve">-госпрограммы «Устойчивое развитие сельских территорий» </w:t>
      </w:r>
      <w:r w:rsidR="005B25BE">
        <w:t xml:space="preserve">- 8,6 млн. руб. (предусматривается финансирование расходов на </w:t>
      </w:r>
      <w:proofErr w:type="spellStart"/>
      <w:r w:rsidR="005B25BE">
        <w:t>грантовую</w:t>
      </w:r>
      <w:proofErr w:type="spellEnd"/>
      <w:r w:rsidR="005B25BE">
        <w:t xml:space="preserve"> поддержку инициатив граждан, проживающих в сельской местности)</w:t>
      </w:r>
      <w:r>
        <w:t>;</w:t>
      </w:r>
    </w:p>
    <w:p w:rsidR="00B32060" w:rsidRDefault="00B32060" w:rsidP="00B32060">
      <w:pPr>
        <w:ind w:firstLine="709"/>
        <w:jc w:val="both"/>
      </w:pPr>
      <w:r>
        <w:t>-ведомственной целевой программы «Обеспечение эпизоотического и ветеринарно-санитарного благополучия территории Волгоградской области» - 511,4 млн. рублей.</w:t>
      </w:r>
    </w:p>
    <w:p w:rsidR="00B32060" w:rsidRDefault="00B32060" w:rsidP="00B32060">
      <w:pPr>
        <w:ind w:firstLine="709"/>
        <w:jc w:val="both"/>
      </w:pPr>
      <w:r>
        <w:t xml:space="preserve">Следует отметить, что </w:t>
      </w:r>
      <w:r w:rsidR="007A786A">
        <w:t>законопроектом, как и в 2016-2017 годах, не предусматривается г</w:t>
      </w:r>
      <w:r>
        <w:t>осударственная поддержка рыбной отрасли.</w:t>
      </w:r>
      <w:r w:rsidR="007A786A">
        <w:t xml:space="preserve"> </w:t>
      </w:r>
      <w:r>
        <w:t xml:space="preserve">Вместе с тем в структуре комитета сельского хозяйства Волгоградской области </w:t>
      </w:r>
      <w:r w:rsidR="007A786A">
        <w:t>продолжает о</w:t>
      </w:r>
      <w:r>
        <w:t>существ</w:t>
      </w:r>
      <w:r w:rsidR="007A786A">
        <w:t>лять свою деятельность</w:t>
      </w:r>
      <w:r>
        <w:t xml:space="preserve"> отдел рыбного хозяйства, штатная численность которого при </w:t>
      </w:r>
      <w:r w:rsidR="007A786A">
        <w:t>существенном сокращении</w:t>
      </w:r>
      <w:r>
        <w:t xml:space="preserve"> возложенных на него задач не изменилась и составляет 4 единицы.</w:t>
      </w:r>
    </w:p>
    <w:p w:rsidR="001A20BE" w:rsidRDefault="00F56839" w:rsidP="00B32060">
      <w:pPr>
        <w:ind w:firstLine="720"/>
        <w:jc w:val="both"/>
      </w:pPr>
      <w:r>
        <w:t xml:space="preserve">Из подпрограммы «Развитие рыбного хозяйства» госпрограммы «Развитие сельского хозяйства и регулирование рынков сельскохозяйственной продукции, сырья и продовольствия» средства областного бюджета на оказание государственной поддержки рыбной отрасли в 2018-2020 годах и соответствующий целевой показатель исключены. </w:t>
      </w:r>
      <w:r w:rsidR="001A20BE">
        <w:t>В</w:t>
      </w:r>
      <w:r w:rsidR="007A786A">
        <w:t xml:space="preserve"> рамках </w:t>
      </w:r>
      <w:r w:rsidR="005D649F">
        <w:t xml:space="preserve">указанной </w:t>
      </w:r>
      <w:r w:rsidR="007A786A">
        <w:t xml:space="preserve">подпрограммы предусмотрены средства </w:t>
      </w:r>
      <w:r w:rsidR="007A786A" w:rsidRPr="001A20BE">
        <w:rPr>
          <w:u w:val="single"/>
        </w:rPr>
        <w:t>только на осуществление переданных органам государственной власти субъектов РФ полномочий Российской Федерации</w:t>
      </w:r>
      <w:r w:rsidR="007A786A">
        <w:t xml:space="preserve"> в области организации, регулирования и охраны водных биологических ресурсов за счет субвенций из федерального бюджета</w:t>
      </w:r>
      <w:r w:rsidR="001A20BE">
        <w:t>, которые</w:t>
      </w:r>
      <w:r w:rsidR="007A786A">
        <w:t xml:space="preserve"> </w:t>
      </w:r>
      <w:r w:rsidR="001A20BE">
        <w:t xml:space="preserve">на 2018 год составляют </w:t>
      </w:r>
      <w:r w:rsidR="007A786A">
        <w:t>1,3 млн. руб.</w:t>
      </w:r>
      <w:r w:rsidR="001A20BE">
        <w:t>, на 2019-2020 годы</w:t>
      </w:r>
      <w:r w:rsidR="007A786A">
        <w:t xml:space="preserve"> </w:t>
      </w:r>
      <w:r w:rsidR="001A20BE">
        <w:t>-</w:t>
      </w:r>
      <w:r w:rsidR="007A786A">
        <w:t xml:space="preserve"> по 1,4 млн. руб</w:t>
      </w:r>
      <w:r w:rsidR="001A20BE">
        <w:t>лей</w:t>
      </w:r>
      <w:r w:rsidR="007A786A">
        <w:t>.</w:t>
      </w:r>
      <w:r>
        <w:t xml:space="preserve"> </w:t>
      </w:r>
    </w:p>
    <w:p w:rsidR="000C2286" w:rsidRDefault="00B32060" w:rsidP="00B32060">
      <w:pPr>
        <w:ind w:firstLine="720"/>
        <w:jc w:val="both"/>
      </w:pPr>
      <w:r>
        <w:t xml:space="preserve">Бюджетные ассигнования на реализацию </w:t>
      </w:r>
      <w:r w:rsidRPr="008D3725">
        <w:t xml:space="preserve">ведомственной целевой программы «Обеспечение эпизоотического и ветеринарно-санитарного благополучия территории Волгоградской области» </w:t>
      </w:r>
      <w:r w:rsidRPr="005079B9">
        <w:t>на</w:t>
      </w:r>
      <w:r>
        <w:rPr>
          <w:b/>
        </w:rPr>
        <w:t xml:space="preserve"> </w:t>
      </w:r>
      <w:r>
        <w:t xml:space="preserve">2018 год увеличены </w:t>
      </w:r>
      <w:r w:rsidR="00FA7451">
        <w:t xml:space="preserve">по </w:t>
      </w:r>
      <w:r>
        <w:t>сравнению с 2017 год</w:t>
      </w:r>
      <w:r w:rsidR="00FA7451">
        <w:t>ом</w:t>
      </w:r>
      <w:r>
        <w:t xml:space="preserve"> на 97,9 млн. руб., </w:t>
      </w:r>
      <w:r w:rsidR="000C2286">
        <w:t>в том числе</w:t>
      </w:r>
      <w:r>
        <w:t xml:space="preserve"> субсидии подведомственным бюджетным учреждениям - на 74 млн. руб., или на 18 процентов. </w:t>
      </w:r>
    </w:p>
    <w:p w:rsidR="00B32060" w:rsidRDefault="00B32060" w:rsidP="00B32060">
      <w:pPr>
        <w:ind w:firstLine="720"/>
        <w:jc w:val="both"/>
      </w:pPr>
      <w:r>
        <w:lastRenderedPageBreak/>
        <w:t xml:space="preserve">Объем субвенций муниципальным образованиям на реализацию переданных полномочий по предупреждению и ликвидации болезней животных, их лечению, защите населения от болезней, общих для человека и животных законопроектом предусмотрено увеличить на 23,9 млн. руб., или в 9 раз. </w:t>
      </w:r>
      <w:r w:rsidR="000C2286">
        <w:t>Данные с</w:t>
      </w:r>
      <w:r>
        <w:t xml:space="preserve">убвенции в 2018 году предусмотрены на следующие мероприятия: </w:t>
      </w:r>
    </w:p>
    <w:p w:rsidR="00B32060" w:rsidRDefault="00B32060" w:rsidP="00B32060">
      <w:pPr>
        <w:ind w:firstLine="720"/>
        <w:jc w:val="both"/>
      </w:pPr>
      <w:r>
        <w:t>-отлов, содержание и уничтожение безнадзорных животных - 9,9 млн. руб., или в 3,3 раза выше плана 2017 года (3 млн. руб.);</w:t>
      </w:r>
    </w:p>
    <w:p w:rsidR="00B32060" w:rsidRDefault="00B32060" w:rsidP="00B32060">
      <w:pPr>
        <w:ind w:firstLine="720"/>
        <w:jc w:val="both"/>
      </w:pPr>
      <w:r>
        <w:t>-реконструкцию и содержание скотомогильников поселениям, расположенным на территории 20 муниципальных районов, и городскому округу г</w:t>
      </w:r>
      <w:proofErr w:type="gramStart"/>
      <w:r>
        <w:t>.К</w:t>
      </w:r>
      <w:proofErr w:type="gramEnd"/>
      <w:r>
        <w:t xml:space="preserve">амышин - 17 млн. руб. (новые расходы).  </w:t>
      </w:r>
    </w:p>
    <w:p w:rsidR="00B32060" w:rsidRDefault="00B32060" w:rsidP="00B32060">
      <w:pPr>
        <w:ind w:firstLine="720"/>
        <w:jc w:val="both"/>
      </w:pPr>
      <w:r>
        <w:t xml:space="preserve">Кроме того, комитету ветеринарии </w:t>
      </w:r>
      <w:r w:rsidR="000C2286">
        <w:t xml:space="preserve">Волгоградской области </w:t>
      </w:r>
      <w:r>
        <w:t>в 2018 году предусмотрен</w:t>
      </w:r>
      <w:r w:rsidR="000C2286">
        <w:t>ы</w:t>
      </w:r>
      <w:r>
        <w:t xml:space="preserve"> 1,9 млн. руб. на разработку проектной документации по строительству (реконструкции) скотомогильников. </w:t>
      </w:r>
    </w:p>
    <w:p w:rsidR="00D632D1" w:rsidRDefault="00D632D1" w:rsidP="00B32060">
      <w:pPr>
        <w:ind w:firstLine="720"/>
        <w:jc w:val="both"/>
      </w:pPr>
    </w:p>
    <w:p w:rsidR="009D5173" w:rsidRDefault="009D5173" w:rsidP="009D5173">
      <w:pPr>
        <w:autoSpaceDE w:val="0"/>
        <w:autoSpaceDN w:val="0"/>
        <w:adjustRightInd w:val="0"/>
        <w:ind w:firstLine="709"/>
        <w:jc w:val="both"/>
        <w:outlineLvl w:val="0"/>
      </w:pPr>
      <w:proofErr w:type="gramStart"/>
      <w:r>
        <w:rPr>
          <w:b/>
          <w:bCs/>
          <w:i/>
        </w:rPr>
        <w:t>По подразделу 0406 «Водное хозяйство»</w:t>
      </w:r>
      <w:r>
        <w:rPr>
          <w:bCs/>
        </w:rPr>
        <w:t xml:space="preserve"> бюджетные ассигнования предусмотрены комитету природных ресурсов, лесного хозяйства и экологии Волгоградской области</w:t>
      </w:r>
      <w:r>
        <w:t xml:space="preserve"> в рамках госпрограммы «Использование и охрана водных объектов, предотвращение негативного воздействия вод на территории Волгоградской области» на 2018 год в размере</w:t>
      </w:r>
      <w:r>
        <w:rPr>
          <w:bCs/>
        </w:rPr>
        <w:t xml:space="preserve"> 413,4 млн. руб., что составляет 38,6% от бюджетных ассигнований 2017 года (1071 млн. руб.).</w:t>
      </w:r>
      <w:proofErr w:type="gramEnd"/>
      <w:r>
        <w:rPr>
          <w:bCs/>
        </w:rPr>
        <w:t xml:space="preserve"> Уменьшение расходов связано с </w:t>
      </w:r>
      <w:r>
        <w:t xml:space="preserve">завершением в 2017 году строительства объекта </w:t>
      </w:r>
      <w:r w:rsidRPr="009D5173">
        <w:t>«</w:t>
      </w:r>
      <w:proofErr w:type="spellStart"/>
      <w:r w:rsidRPr="009D5173">
        <w:t>Берегоукрепление</w:t>
      </w:r>
      <w:proofErr w:type="spellEnd"/>
      <w:r w:rsidRPr="009D5173">
        <w:t xml:space="preserve"> правого берега р. Волга в </w:t>
      </w:r>
      <w:proofErr w:type="gramStart"/>
      <w:r w:rsidRPr="009D5173">
        <w:t>г</w:t>
      </w:r>
      <w:proofErr w:type="gramEnd"/>
      <w:r w:rsidRPr="009D5173">
        <w:t>. Волгограде»,</w:t>
      </w:r>
      <w:r>
        <w:t xml:space="preserve"> на который предусматривались значительные средства федерального и областного бюджетов (более 660 млн. руб.).</w:t>
      </w:r>
    </w:p>
    <w:p w:rsidR="009D5173" w:rsidRDefault="009D5173" w:rsidP="009D5173">
      <w:pPr>
        <w:autoSpaceDE w:val="0"/>
        <w:autoSpaceDN w:val="0"/>
        <w:adjustRightInd w:val="0"/>
        <w:ind w:firstLine="709"/>
        <w:jc w:val="both"/>
        <w:outlineLvl w:val="0"/>
        <w:rPr>
          <w:kern w:val="2"/>
        </w:rPr>
      </w:pPr>
      <w:r>
        <w:rPr>
          <w:kern w:val="2"/>
        </w:rPr>
        <w:t>Бюджетные ассигнования на 2018 год распределены по следующим направлениям:</w:t>
      </w:r>
    </w:p>
    <w:p w:rsidR="009D5173" w:rsidRPr="00931C18" w:rsidRDefault="00FB7843" w:rsidP="00FB7843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  <w:r>
        <w:rPr>
          <w:kern w:val="2"/>
        </w:rPr>
        <w:t>-о</w:t>
      </w:r>
      <w:r w:rsidR="009D5173" w:rsidRPr="00931C18">
        <w:rPr>
          <w:kern w:val="2"/>
        </w:rPr>
        <w:t xml:space="preserve">беспечение водными ресурсами </w:t>
      </w:r>
      <w:proofErr w:type="spellStart"/>
      <w:r w:rsidR="009D5173" w:rsidRPr="00931C18">
        <w:rPr>
          <w:kern w:val="2"/>
        </w:rPr>
        <w:t>Волго-Ахтубинской</w:t>
      </w:r>
      <w:proofErr w:type="spellEnd"/>
      <w:r w:rsidR="009D5173" w:rsidRPr="00931C18">
        <w:rPr>
          <w:kern w:val="2"/>
        </w:rPr>
        <w:t xml:space="preserve"> поймы – 2</w:t>
      </w:r>
      <w:r w:rsidR="009D5173">
        <w:rPr>
          <w:kern w:val="2"/>
        </w:rPr>
        <w:t>9,1</w:t>
      </w:r>
      <w:r w:rsidR="009D5173" w:rsidRPr="00931C18">
        <w:rPr>
          <w:kern w:val="2"/>
        </w:rPr>
        <w:t xml:space="preserve"> млн. руб., из них</w:t>
      </w:r>
      <w:r>
        <w:rPr>
          <w:kern w:val="2"/>
        </w:rPr>
        <w:t xml:space="preserve"> 24,4 млн. руб. средств областного бюджета планируется направить </w:t>
      </w:r>
      <w:r w:rsidR="009D5173" w:rsidRPr="00931C18">
        <w:rPr>
          <w:kern w:val="2"/>
        </w:rPr>
        <w:t>на проектирование, строительство и реконструкцию 3 объектов</w:t>
      </w:r>
      <w:r w:rsidR="009D5173" w:rsidRPr="00931C18">
        <w:t xml:space="preserve"> </w:t>
      </w:r>
      <w:r w:rsidR="009D5173">
        <w:t xml:space="preserve">в рамках реализации </w:t>
      </w:r>
      <w:r w:rsidR="009D5173" w:rsidRPr="00FB7843">
        <w:t>приоритетного проекта «Сохранение и предотвращение загрязнения реки Волга</w:t>
      </w:r>
      <w:proofErr w:type="gramStart"/>
      <w:r w:rsidR="009D5173" w:rsidRPr="00FB7843">
        <w:t>»</w:t>
      </w:r>
      <w:r>
        <w:t>;</w:t>
      </w:r>
      <w:r w:rsidR="009D5173">
        <w:rPr>
          <w:bCs/>
        </w:rPr>
        <w:t xml:space="preserve">. </w:t>
      </w:r>
      <w:proofErr w:type="gramEnd"/>
    </w:p>
    <w:p w:rsidR="009D5173" w:rsidRDefault="00FB7843" w:rsidP="00FB7843">
      <w:pPr>
        <w:autoSpaceDE w:val="0"/>
        <w:autoSpaceDN w:val="0"/>
        <w:adjustRightInd w:val="0"/>
        <w:jc w:val="both"/>
        <w:outlineLvl w:val="0"/>
        <w:rPr>
          <w:i/>
        </w:rPr>
      </w:pPr>
      <w:r>
        <w:rPr>
          <w:kern w:val="2"/>
        </w:rPr>
        <w:tab/>
        <w:t>-з</w:t>
      </w:r>
      <w:r w:rsidR="009D5173" w:rsidRPr="00931C18">
        <w:rPr>
          <w:kern w:val="2"/>
        </w:rPr>
        <w:t xml:space="preserve">ащита от негативного воздействия вод населения и объектов экономики – 236,4 млн. руб., </w:t>
      </w:r>
      <w:r>
        <w:rPr>
          <w:kern w:val="2"/>
        </w:rPr>
        <w:t xml:space="preserve">в том числе </w:t>
      </w:r>
      <w:r w:rsidR="009D5173" w:rsidRPr="006A10B6">
        <w:rPr>
          <w:kern w:val="2"/>
        </w:rPr>
        <w:t xml:space="preserve">на строительство </w:t>
      </w:r>
      <w:r w:rsidR="009D5173" w:rsidRPr="006A10B6">
        <w:t xml:space="preserve">объекта </w:t>
      </w:r>
      <w:r w:rsidR="009D5173" w:rsidRPr="00FB7843">
        <w:t>«</w:t>
      </w:r>
      <w:proofErr w:type="spellStart"/>
      <w:r w:rsidR="009D5173" w:rsidRPr="00FB7843">
        <w:t>Берегоукрепление</w:t>
      </w:r>
      <w:proofErr w:type="spellEnd"/>
      <w:r w:rsidR="009D5173" w:rsidRPr="00FB7843">
        <w:t xml:space="preserve"> правого берега р. Волга в г</w:t>
      </w:r>
      <w:proofErr w:type="gramStart"/>
      <w:r w:rsidR="009D5173" w:rsidRPr="00FB7843">
        <w:t>.В</w:t>
      </w:r>
      <w:proofErr w:type="gramEnd"/>
      <w:r w:rsidR="009D5173" w:rsidRPr="00FB7843">
        <w:t>олгограде» (в районе жилой застройки ул. им.Маршала Чуйкова и ул. Химической)</w:t>
      </w:r>
      <w:r w:rsidR="009D5173" w:rsidRPr="006A10B6">
        <w:t xml:space="preserve"> - 102,9 млн. руб.</w:t>
      </w:r>
      <w:r>
        <w:t xml:space="preserve">, </w:t>
      </w:r>
      <w:r w:rsidR="009D5173">
        <w:t xml:space="preserve">на капитальный ремонт ГТС, </w:t>
      </w:r>
      <w:r w:rsidR="009D5173" w:rsidRPr="00781376">
        <w:t xml:space="preserve">расчистку русел рек, определение и установление границ </w:t>
      </w:r>
      <w:proofErr w:type="spellStart"/>
      <w:r w:rsidR="009D5173" w:rsidRPr="00781376">
        <w:t>водоохранных</w:t>
      </w:r>
      <w:proofErr w:type="spellEnd"/>
      <w:r w:rsidR="009D5173" w:rsidRPr="00781376">
        <w:t xml:space="preserve"> зон и прибрежных защитных полос, охрану и восстановление водных объектов</w:t>
      </w:r>
      <w:r w:rsidR="009D5173">
        <w:t xml:space="preserve"> </w:t>
      </w:r>
      <w:r w:rsidR="00C46E32">
        <w:t>-</w:t>
      </w:r>
      <w:r w:rsidR="009D5173">
        <w:t xml:space="preserve"> 116,9 млн. руб. </w:t>
      </w:r>
      <w:r>
        <w:t>(</w:t>
      </w:r>
      <w:r w:rsidR="009D5173">
        <w:t xml:space="preserve">в том числе за счет средств федерального бюджета </w:t>
      </w:r>
      <w:r w:rsidR="00C46E32">
        <w:t>-</w:t>
      </w:r>
      <w:r w:rsidR="009D5173">
        <w:t xml:space="preserve"> 76,4 млн. руб.</w:t>
      </w:r>
      <w:r>
        <w:t>) и др</w:t>
      </w:r>
      <w:r w:rsidR="009D5173">
        <w:t>.</w:t>
      </w:r>
      <w:r>
        <w:t>;</w:t>
      </w:r>
    </w:p>
    <w:p w:rsidR="009D5173" w:rsidRDefault="00FB7843" w:rsidP="009D5173">
      <w:pPr>
        <w:autoSpaceDE w:val="0"/>
        <w:autoSpaceDN w:val="0"/>
        <w:adjustRightInd w:val="0"/>
        <w:ind w:firstLine="709"/>
        <w:jc w:val="both"/>
        <w:outlineLvl w:val="0"/>
        <w:rPr>
          <w:i/>
        </w:rPr>
      </w:pPr>
      <w:proofErr w:type="gramStart"/>
      <w:r>
        <w:t>-о</w:t>
      </w:r>
      <w:r w:rsidR="009D5173">
        <w:t xml:space="preserve">храна, восстановление и экологическая реабилитация водных объектов </w:t>
      </w:r>
      <w:r w:rsidR="00C46E32">
        <w:t>-</w:t>
      </w:r>
      <w:r w:rsidR="009D5173">
        <w:t xml:space="preserve"> 147,9 млн. руб., из них</w:t>
      </w:r>
      <w:r>
        <w:t xml:space="preserve"> </w:t>
      </w:r>
      <w:r w:rsidR="009D5173" w:rsidRPr="00781376">
        <w:t xml:space="preserve">на разработку проектной документации на восстановление и экологическую реабилитацию водных объектов, утративших способность к самоочищению, </w:t>
      </w:r>
      <w:r w:rsidR="009D5173" w:rsidRPr="00781376">
        <w:rPr>
          <w:i/>
        </w:rPr>
        <w:t xml:space="preserve">- </w:t>
      </w:r>
      <w:r w:rsidR="009D5173" w:rsidRPr="00781376">
        <w:t>42,5 млн. руб.</w:t>
      </w:r>
      <w:r>
        <w:t xml:space="preserve">, </w:t>
      </w:r>
      <w:r w:rsidR="009D5173" w:rsidRPr="00781376">
        <w:t xml:space="preserve">на восстановление и экологическую реабилитацию водных объектов, утративших способность к самоочищению, предотвращение истощения водных объектов, ликвидацию их засорения и загрязнения </w:t>
      </w:r>
      <w:r w:rsidR="00C46E32">
        <w:t>-</w:t>
      </w:r>
      <w:r w:rsidR="009D5173" w:rsidRPr="00781376">
        <w:t xml:space="preserve"> 89,9 млн. руб. </w:t>
      </w:r>
      <w:r>
        <w:t>(</w:t>
      </w:r>
      <w:r w:rsidR="009D5173" w:rsidRPr="00781376">
        <w:t>в том числе за счет федеральной субсидии</w:t>
      </w:r>
      <w:proofErr w:type="gramEnd"/>
      <w:r w:rsidR="009D5173" w:rsidRPr="00781376">
        <w:t xml:space="preserve">  - </w:t>
      </w:r>
      <w:proofErr w:type="gramStart"/>
      <w:r w:rsidR="009D5173" w:rsidRPr="00781376">
        <w:t>67,6 млн. руб</w:t>
      </w:r>
      <w:r w:rsidR="009D5173">
        <w:t>.</w:t>
      </w:r>
      <w:r>
        <w:t>) и др.</w:t>
      </w:r>
      <w:proofErr w:type="gramEnd"/>
    </w:p>
    <w:p w:rsidR="009D5173" w:rsidRDefault="00F7489F" w:rsidP="009D5173">
      <w:pPr>
        <w:ind w:firstLine="567"/>
        <w:jc w:val="both"/>
        <w:rPr>
          <w:bCs/>
        </w:rPr>
      </w:pPr>
      <w:r>
        <w:tab/>
      </w:r>
      <w:r w:rsidR="009D5173" w:rsidRPr="006E387C">
        <w:t xml:space="preserve">Расходы на проектирование </w:t>
      </w:r>
      <w:r w:rsidR="009D5173" w:rsidRPr="00C75F4D">
        <w:t>объекта</w:t>
      </w:r>
      <w:r w:rsidR="009D5173" w:rsidRPr="00C75F4D">
        <w:rPr>
          <w:i/>
        </w:rPr>
        <w:t xml:space="preserve"> </w:t>
      </w:r>
      <w:r w:rsidR="009D5173" w:rsidRPr="00F7489F">
        <w:t>«</w:t>
      </w:r>
      <w:proofErr w:type="spellStart"/>
      <w:r w:rsidR="009D5173" w:rsidRPr="00F7489F">
        <w:t>Берегоукрепление</w:t>
      </w:r>
      <w:proofErr w:type="spellEnd"/>
      <w:r w:rsidR="009D5173" w:rsidRPr="00F7489F">
        <w:t xml:space="preserve"> правого берега р. Волга в г</w:t>
      </w:r>
      <w:proofErr w:type="gramStart"/>
      <w:r w:rsidR="009D5173" w:rsidRPr="00F7489F">
        <w:t>.В</w:t>
      </w:r>
      <w:proofErr w:type="gramEnd"/>
      <w:r w:rsidR="009D5173" w:rsidRPr="00F7489F">
        <w:t>олгограде» (в районе жилой застройки ул. им.Маршала Чуйкова и ул. Химической)</w:t>
      </w:r>
      <w:r w:rsidR="009D5173" w:rsidRPr="00931C18">
        <w:rPr>
          <w:b/>
        </w:rPr>
        <w:t xml:space="preserve"> </w:t>
      </w:r>
      <w:r w:rsidR="009D5173" w:rsidRPr="006E387C">
        <w:t>за сч</w:t>
      </w:r>
      <w:r>
        <w:t>е</w:t>
      </w:r>
      <w:r w:rsidR="009D5173" w:rsidRPr="006E387C">
        <w:t xml:space="preserve">т средств областного бюджета в 2016 году составили 9 млн. рублей. </w:t>
      </w:r>
      <w:r w:rsidR="009D5173">
        <w:t xml:space="preserve">В 2017 году строительство данного объекта не осуществлялось </w:t>
      </w:r>
      <w:r>
        <w:t>в связи с отсутствием</w:t>
      </w:r>
      <w:r w:rsidR="009D5173">
        <w:t xml:space="preserve"> на эти цели средств федерального бюджета</w:t>
      </w:r>
      <w:r>
        <w:t xml:space="preserve"> </w:t>
      </w:r>
      <w:r w:rsidRPr="003B3916">
        <w:t>(сметная стоимость объекта составляет 1 млрд. руб.).</w:t>
      </w:r>
      <w:r w:rsidR="009D5173">
        <w:t xml:space="preserve"> </w:t>
      </w:r>
      <w:r w:rsidR="009D5173" w:rsidRPr="003B3916">
        <w:t xml:space="preserve">На 2018 год строительство объекта </w:t>
      </w:r>
      <w:r w:rsidR="009D5173">
        <w:t xml:space="preserve">также </w:t>
      </w:r>
      <w:r w:rsidR="009D5173" w:rsidRPr="003B3916">
        <w:t>предусмотрено только за сч</w:t>
      </w:r>
      <w:r>
        <w:t>ет средств областного бюджета</w:t>
      </w:r>
      <w:r w:rsidR="009D5173" w:rsidRPr="003B3916">
        <w:t xml:space="preserve">. </w:t>
      </w:r>
      <w:r w:rsidR="009D5173">
        <w:t xml:space="preserve">По информации </w:t>
      </w:r>
      <w:r w:rsidR="009D5173">
        <w:rPr>
          <w:bCs/>
        </w:rPr>
        <w:t>комитета природных ресурсов, лесного хозяйства и экологии Волгоградской области вопрос о привлечении федеральных сре</w:t>
      </w:r>
      <w:proofErr w:type="gramStart"/>
      <w:r w:rsidR="009D5173">
        <w:rPr>
          <w:bCs/>
        </w:rPr>
        <w:t>дств в 2</w:t>
      </w:r>
      <w:proofErr w:type="gramEnd"/>
      <w:r w:rsidR="009D5173">
        <w:rPr>
          <w:bCs/>
        </w:rPr>
        <w:t>018 году прорабатывается.</w:t>
      </w:r>
    </w:p>
    <w:p w:rsidR="00AD578B" w:rsidRPr="003B3916" w:rsidRDefault="00AD578B" w:rsidP="009D5173">
      <w:pPr>
        <w:ind w:firstLine="567"/>
        <w:jc w:val="both"/>
      </w:pPr>
    </w:p>
    <w:p w:rsidR="009D5173" w:rsidRPr="00577210" w:rsidRDefault="009D5173" w:rsidP="00E23953">
      <w:pPr>
        <w:pStyle w:val="aa"/>
        <w:spacing w:after="0"/>
        <w:ind w:left="0" w:firstLine="708"/>
        <w:jc w:val="both"/>
        <w:rPr>
          <w:i/>
        </w:rPr>
      </w:pPr>
      <w:r>
        <w:rPr>
          <w:b/>
          <w:i/>
        </w:rPr>
        <w:t xml:space="preserve">По подразделу 0407 «Лесное хозяйство» </w:t>
      </w:r>
      <w:r>
        <w:rPr>
          <w:bCs/>
        </w:rPr>
        <w:t>бюджетные ассигнования предусмотрены комитету природных ресурсов, лесного хозяйства и экологии Волгоградской области</w:t>
      </w:r>
      <w:r>
        <w:t xml:space="preserve"> на 2018 год </w:t>
      </w:r>
      <w:r w:rsidRPr="00577210">
        <w:t xml:space="preserve">в размере 386,6 млн. руб., </w:t>
      </w:r>
      <w:r w:rsidR="0077668D">
        <w:t>или</w:t>
      </w:r>
      <w:r w:rsidRPr="00577210">
        <w:t xml:space="preserve"> 117,3% </w:t>
      </w:r>
      <w:r w:rsidR="0077668D">
        <w:t>относительно</w:t>
      </w:r>
      <w:r>
        <w:t xml:space="preserve"> 2017 года (327,9 млн. руб.). </w:t>
      </w:r>
    </w:p>
    <w:p w:rsidR="009D5173" w:rsidRDefault="009D5173" w:rsidP="009D5173">
      <w:pPr>
        <w:pStyle w:val="aa"/>
        <w:spacing w:after="0"/>
        <w:ind w:left="0" w:firstLine="708"/>
        <w:jc w:val="both"/>
      </w:pPr>
      <w:r w:rsidRPr="00FF43F3">
        <w:lastRenderedPageBreak/>
        <w:t>В составе запланированных ассигнований субвенции из федерального бюджета на осуществление отдельных полномочий в области лесных отношений, переданных Волгоградской области, на 2018 год составляют 2</w:t>
      </w:r>
      <w:r>
        <w:t>57,6</w:t>
      </w:r>
      <w:r w:rsidRPr="00FF43F3">
        <w:t xml:space="preserve"> млн. руб., или </w:t>
      </w:r>
      <w:r>
        <w:t>7</w:t>
      </w:r>
      <w:r w:rsidRPr="00FF43F3">
        <w:t>6 процент</w:t>
      </w:r>
      <w:r>
        <w:t>ов</w:t>
      </w:r>
      <w:r w:rsidRPr="00FF43F3">
        <w:t xml:space="preserve">. </w:t>
      </w:r>
      <w:r w:rsidRPr="00EB56F2">
        <w:t>По сравнению с 2017 год</w:t>
      </w:r>
      <w:r w:rsidR="00E23953">
        <w:t>ом</w:t>
      </w:r>
      <w:r w:rsidRPr="00EB56F2">
        <w:t xml:space="preserve"> субвенции увеличены на 92,7 млн. руб., или в 1,6 раза</w:t>
      </w:r>
      <w:r w:rsidR="0077668D">
        <w:t xml:space="preserve">, что </w:t>
      </w:r>
      <w:r>
        <w:t xml:space="preserve">связано с </w:t>
      </w:r>
      <w:r w:rsidR="0077668D">
        <w:t xml:space="preserve">необходимостью </w:t>
      </w:r>
      <w:r>
        <w:t>обеспечени</w:t>
      </w:r>
      <w:r w:rsidR="0077668D">
        <w:t>я</w:t>
      </w:r>
      <w:r>
        <w:t xml:space="preserve"> численности государственных лесных инспекторов в соответствии с нормативами патрулирования лесов должностными лицами, осуществляющими федеральный государственный лесной надзор (лесную охрану). Такие указания даны пунктом 4 </w:t>
      </w:r>
      <w:r w:rsidR="0077668D">
        <w:t>П</w:t>
      </w:r>
      <w:r>
        <w:t xml:space="preserve">еречня </w:t>
      </w:r>
      <w:r w:rsidR="0077668D">
        <w:t>п</w:t>
      </w:r>
      <w:r>
        <w:t>оручений Президента РФ по итогам проверки, проведенной контрольным управлением Президента РФ по вопросам использования, охраны, защиты и воспроизводства лесов, а также оборота лесоматериалов</w:t>
      </w:r>
      <w:r w:rsidR="0077668D">
        <w:t>, от 31.01.2017</w:t>
      </w:r>
      <w:r>
        <w:t>.</w:t>
      </w:r>
    </w:p>
    <w:p w:rsidR="009D5173" w:rsidRDefault="009D5173" w:rsidP="009D5173">
      <w:pPr>
        <w:pStyle w:val="aa"/>
        <w:spacing w:after="0"/>
        <w:ind w:left="0" w:firstLine="708"/>
        <w:jc w:val="both"/>
      </w:pPr>
      <w:r>
        <w:t xml:space="preserve">Штатная численность работников государственных казенных учреждений (лесничеств), осуществляющих надзорные функции в лесах Волгоградской области, составляет 422 </w:t>
      </w:r>
      <w:proofErr w:type="gramStart"/>
      <w:r>
        <w:t>единицы</w:t>
      </w:r>
      <w:proofErr w:type="gramEnd"/>
      <w:r>
        <w:t xml:space="preserve"> </w:t>
      </w:r>
      <w:r w:rsidR="0077668D">
        <w:t xml:space="preserve">в то время как </w:t>
      </w:r>
      <w:r>
        <w:t xml:space="preserve">в соответствии с нормативами (площадь земель лесного фонда </w:t>
      </w:r>
      <w:r w:rsidR="0077668D">
        <w:t xml:space="preserve">составляет </w:t>
      </w:r>
      <w:r>
        <w:t>680,8 тыс. га) должна составлять 567 единиц. Дополнительные субвенции из федерального бюджета предусмотрены на увеличение численности государственных лесных инспекторов.</w:t>
      </w:r>
    </w:p>
    <w:p w:rsidR="00AD578B" w:rsidRDefault="00AD578B" w:rsidP="009D5173">
      <w:pPr>
        <w:pStyle w:val="aa"/>
        <w:spacing w:after="0"/>
        <w:ind w:left="0" w:firstLine="708"/>
        <w:jc w:val="both"/>
      </w:pPr>
    </w:p>
    <w:p w:rsidR="00FD689B" w:rsidRPr="004B2EBA" w:rsidRDefault="00FD689B" w:rsidP="00FD689B">
      <w:pPr>
        <w:ind w:firstLine="709"/>
        <w:jc w:val="both"/>
      </w:pPr>
      <w:r w:rsidRPr="00FD689B">
        <w:rPr>
          <w:b/>
          <w:i/>
        </w:rPr>
        <w:t>По подразделу 0408 «Транспорт»</w:t>
      </w:r>
      <w:r w:rsidRPr="004B2EBA">
        <w:t xml:space="preserve"> </w:t>
      </w:r>
      <w:r>
        <w:t>з</w:t>
      </w:r>
      <w:r w:rsidRPr="004B2EBA">
        <w:t xml:space="preserve">аконопроектом предусмотрены ассигнования комитету транспорта и дорожного хозяйства Волгоградской области в сумме 934,7 млн. руб., что меньше утвержденных бюджетных ассигнований </w:t>
      </w:r>
      <w:r w:rsidR="00C2042B">
        <w:t>текущего</w:t>
      </w:r>
      <w:r w:rsidRPr="004B2EBA">
        <w:t xml:space="preserve"> год</w:t>
      </w:r>
      <w:r w:rsidR="00C2042B">
        <w:t>а</w:t>
      </w:r>
      <w:r w:rsidRPr="004B2EBA">
        <w:t xml:space="preserve"> на 115,8 млн. руб., или на 11 процентов. Сравнительная информация по основным направлениям расходов </w:t>
      </w:r>
      <w:r w:rsidR="00C2042B">
        <w:t xml:space="preserve">подраздела </w:t>
      </w:r>
      <w:r w:rsidRPr="004B2EBA">
        <w:t>представлена в следующей таблице.</w:t>
      </w:r>
    </w:p>
    <w:p w:rsidR="00FD689B" w:rsidRPr="00FD689B" w:rsidRDefault="00FD689B" w:rsidP="00FD689B">
      <w:pPr>
        <w:ind w:firstLine="709"/>
        <w:jc w:val="right"/>
        <w:rPr>
          <w:sz w:val="20"/>
          <w:szCs w:val="20"/>
        </w:rPr>
      </w:pPr>
      <w:proofErr w:type="gramStart"/>
      <w:r w:rsidRPr="00FD689B">
        <w:rPr>
          <w:sz w:val="20"/>
          <w:szCs w:val="20"/>
        </w:rPr>
        <w:t>м</w:t>
      </w:r>
      <w:proofErr w:type="gramEnd"/>
      <w:r w:rsidRPr="00FD689B">
        <w:rPr>
          <w:sz w:val="20"/>
          <w:szCs w:val="20"/>
        </w:rPr>
        <w:t>лн. руб.</w:t>
      </w:r>
    </w:p>
    <w:tbl>
      <w:tblPr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5954"/>
        <w:gridCol w:w="992"/>
        <w:gridCol w:w="851"/>
        <w:gridCol w:w="850"/>
        <w:gridCol w:w="992"/>
      </w:tblGrid>
      <w:tr w:rsidR="00FD689B" w:rsidRPr="004B2EBA" w:rsidTr="00FD689B">
        <w:trPr>
          <w:trHeight w:val="345"/>
        </w:trPr>
        <w:tc>
          <w:tcPr>
            <w:tcW w:w="595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2EBA">
              <w:rPr>
                <w:b/>
                <w:bCs/>
                <w:color w:val="000000"/>
                <w:sz w:val="20"/>
                <w:szCs w:val="20"/>
              </w:rPr>
              <w:t>Наименование подпрограммы, основного мероприятия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2EBA">
              <w:rPr>
                <w:b/>
                <w:bCs/>
                <w:color w:val="000000"/>
                <w:sz w:val="20"/>
                <w:szCs w:val="20"/>
              </w:rPr>
              <w:t>Закон о бюджете 2017 год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ind w:left="-109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2EBA">
              <w:rPr>
                <w:b/>
                <w:bCs/>
                <w:color w:val="000000"/>
                <w:sz w:val="20"/>
                <w:szCs w:val="20"/>
              </w:rPr>
              <w:t xml:space="preserve">Проект </w:t>
            </w:r>
            <w:proofErr w:type="gramStart"/>
            <w:r w:rsidRPr="004B2EBA">
              <w:rPr>
                <w:b/>
                <w:bCs/>
                <w:color w:val="000000"/>
                <w:sz w:val="20"/>
                <w:szCs w:val="20"/>
              </w:rPr>
              <w:t>на</w:t>
            </w:r>
            <w:proofErr w:type="gramEnd"/>
          </w:p>
          <w:p w:rsidR="00FD689B" w:rsidRPr="004B2EBA" w:rsidRDefault="00FD689B" w:rsidP="00EE38F7">
            <w:pPr>
              <w:ind w:left="-109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2EBA">
              <w:rPr>
                <w:b/>
                <w:bCs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84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2EBA">
              <w:rPr>
                <w:b/>
                <w:bCs/>
                <w:color w:val="000000"/>
                <w:sz w:val="20"/>
                <w:szCs w:val="20"/>
              </w:rPr>
              <w:t>Изменение</w:t>
            </w:r>
          </w:p>
        </w:tc>
      </w:tr>
      <w:tr w:rsidR="00FD689B" w:rsidRPr="004B2EBA" w:rsidTr="00FD689B">
        <w:trPr>
          <w:trHeight w:val="345"/>
        </w:trPr>
        <w:tc>
          <w:tcPr>
            <w:tcW w:w="595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ind w:left="-108" w:right="-144"/>
              <w:jc w:val="center"/>
              <w:rPr>
                <w:bCs/>
                <w:color w:val="000000"/>
                <w:sz w:val="20"/>
                <w:szCs w:val="20"/>
              </w:rPr>
            </w:pPr>
            <w:r w:rsidRPr="004B2EBA">
              <w:rPr>
                <w:bCs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2EBA">
              <w:rPr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FD689B" w:rsidRPr="004B2EBA" w:rsidTr="00FD689B">
        <w:trPr>
          <w:trHeight w:val="20"/>
        </w:trPr>
        <w:tc>
          <w:tcPr>
            <w:tcW w:w="5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2EBA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2EBA">
              <w:rPr>
                <w:b/>
                <w:bCs/>
                <w:color w:val="000000"/>
                <w:sz w:val="20"/>
                <w:szCs w:val="20"/>
              </w:rPr>
              <w:t>1 050,5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2EBA">
              <w:rPr>
                <w:b/>
                <w:bCs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2EBA">
              <w:rPr>
                <w:b/>
                <w:bCs/>
                <w:color w:val="000000"/>
                <w:sz w:val="20"/>
                <w:szCs w:val="20"/>
              </w:rPr>
              <w:t>-115,8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2EBA">
              <w:rPr>
                <w:b/>
                <w:bCs/>
                <w:color w:val="000000"/>
                <w:sz w:val="20"/>
                <w:szCs w:val="20"/>
              </w:rPr>
              <w:t>-11,0%</w:t>
            </w:r>
          </w:p>
        </w:tc>
      </w:tr>
      <w:tr w:rsidR="00FD689B" w:rsidRPr="004B2EBA" w:rsidTr="00FD689B">
        <w:trPr>
          <w:trHeight w:val="20"/>
        </w:trPr>
        <w:tc>
          <w:tcPr>
            <w:tcW w:w="9639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2EBA">
              <w:rPr>
                <w:b/>
                <w:bCs/>
                <w:color w:val="000000"/>
                <w:sz w:val="20"/>
                <w:szCs w:val="20"/>
              </w:rPr>
              <w:t>ГП «Развитие транспортной системы</w:t>
            </w:r>
          </w:p>
          <w:p w:rsidR="00FD689B" w:rsidRPr="004B2EBA" w:rsidRDefault="00FD689B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2EBA">
              <w:rPr>
                <w:b/>
                <w:bCs/>
                <w:color w:val="000000"/>
                <w:sz w:val="20"/>
                <w:szCs w:val="20"/>
              </w:rPr>
              <w:t xml:space="preserve"> и обеспечение безопасности дорожного движения в Волгоградской области»</w:t>
            </w:r>
          </w:p>
        </w:tc>
      </w:tr>
      <w:tr w:rsidR="00FD689B" w:rsidRPr="004B2EBA" w:rsidTr="00FD689B">
        <w:trPr>
          <w:trHeight w:val="20"/>
        </w:trPr>
        <w:tc>
          <w:tcPr>
            <w:tcW w:w="595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FD689B" w:rsidRPr="00E54266" w:rsidRDefault="00FD689B" w:rsidP="00EE38F7">
            <w:pPr>
              <w:rPr>
                <w:iCs/>
                <w:sz w:val="20"/>
                <w:szCs w:val="20"/>
              </w:rPr>
            </w:pPr>
            <w:r w:rsidRPr="00E54266">
              <w:rPr>
                <w:iCs/>
                <w:sz w:val="20"/>
                <w:szCs w:val="20"/>
              </w:rPr>
              <w:t>Подпрограмма "Развитие системы общественного пассажирского транспорта в Волгоградской области"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D689B" w:rsidRPr="00E54266" w:rsidRDefault="00FD689B" w:rsidP="00EE38F7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E54266">
              <w:rPr>
                <w:i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D689B" w:rsidRPr="00E54266" w:rsidRDefault="00FD689B" w:rsidP="00EE38F7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E54266">
              <w:rPr>
                <w:iCs/>
                <w:color w:val="000000"/>
                <w:sz w:val="20"/>
                <w:szCs w:val="20"/>
              </w:rPr>
              <w:t>518,0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D689B" w:rsidRPr="00E54266" w:rsidRDefault="00FD689B" w:rsidP="00EE38F7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E54266">
              <w:rPr>
                <w:iCs/>
                <w:color w:val="000000"/>
                <w:sz w:val="20"/>
                <w:szCs w:val="20"/>
              </w:rPr>
              <w:t>-45,0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D689B" w:rsidRPr="00E54266" w:rsidRDefault="00FD689B" w:rsidP="00EE38F7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E54266">
              <w:rPr>
                <w:iCs/>
                <w:color w:val="000000"/>
                <w:sz w:val="20"/>
                <w:szCs w:val="20"/>
              </w:rPr>
              <w:t>-8,0%</w:t>
            </w:r>
          </w:p>
        </w:tc>
      </w:tr>
      <w:tr w:rsidR="00FD689B" w:rsidRPr="004B2EBA" w:rsidTr="00FD689B">
        <w:trPr>
          <w:trHeight w:val="20"/>
        </w:trPr>
        <w:tc>
          <w:tcPr>
            <w:tcW w:w="595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rPr>
                <w:sz w:val="20"/>
                <w:szCs w:val="20"/>
              </w:rPr>
            </w:pPr>
            <w:r w:rsidRPr="004B2EBA">
              <w:rPr>
                <w:sz w:val="20"/>
                <w:szCs w:val="20"/>
              </w:rPr>
              <w:t>Государственная поддержка общественного пассажирского транспорта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454,7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518,0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D689B" w:rsidRPr="004B2EBA" w:rsidRDefault="00D40D0F" w:rsidP="00EE38F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FD689B" w:rsidRPr="004B2EBA">
              <w:rPr>
                <w:color w:val="000000"/>
                <w:sz w:val="20"/>
                <w:szCs w:val="20"/>
              </w:rPr>
              <w:t>63,3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+13,9%</w:t>
            </w:r>
          </w:p>
        </w:tc>
      </w:tr>
      <w:tr w:rsidR="00FD689B" w:rsidRPr="004B2EBA" w:rsidTr="00FD689B">
        <w:trPr>
          <w:trHeight w:val="20"/>
        </w:trPr>
        <w:tc>
          <w:tcPr>
            <w:tcW w:w="595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rPr>
                <w:sz w:val="20"/>
                <w:szCs w:val="20"/>
              </w:rPr>
            </w:pPr>
            <w:r w:rsidRPr="004B2EBA">
              <w:rPr>
                <w:sz w:val="20"/>
                <w:szCs w:val="20"/>
              </w:rPr>
              <w:t xml:space="preserve">Проектирование и строительство линии скоростного трамвая в </w:t>
            </w:r>
            <w:proofErr w:type="gramStart"/>
            <w:r w:rsidRPr="004B2EBA">
              <w:rPr>
                <w:sz w:val="20"/>
                <w:szCs w:val="20"/>
              </w:rPr>
              <w:t>г</w:t>
            </w:r>
            <w:proofErr w:type="gramEnd"/>
            <w:r w:rsidRPr="004B2EBA">
              <w:rPr>
                <w:sz w:val="20"/>
                <w:szCs w:val="20"/>
              </w:rPr>
              <w:t xml:space="preserve">. Волгограде 3-я очередь «ст. </w:t>
            </w:r>
            <w:proofErr w:type="spellStart"/>
            <w:r w:rsidRPr="004B2EBA">
              <w:rPr>
                <w:sz w:val="20"/>
                <w:szCs w:val="20"/>
              </w:rPr>
              <w:t>Ельшанка</w:t>
            </w:r>
            <w:proofErr w:type="spellEnd"/>
            <w:r w:rsidRPr="004B2EBA">
              <w:rPr>
                <w:sz w:val="20"/>
                <w:szCs w:val="20"/>
              </w:rPr>
              <w:t xml:space="preserve"> - ст. Госуниверситет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-38,3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FD689B" w:rsidRPr="004B2EBA" w:rsidTr="00FD689B">
        <w:trPr>
          <w:trHeight w:val="20"/>
        </w:trPr>
        <w:tc>
          <w:tcPr>
            <w:tcW w:w="595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rPr>
                <w:sz w:val="20"/>
                <w:szCs w:val="20"/>
              </w:rPr>
            </w:pPr>
            <w:r w:rsidRPr="004B2EBA">
              <w:rPr>
                <w:sz w:val="20"/>
                <w:szCs w:val="20"/>
              </w:rPr>
              <w:t>Предоставление межбюджетных трансфертов бюджетам муниципальных образований Волгоградской области на организацию транспортного обслуживания населения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70,0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-70,0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FD689B" w:rsidRPr="004B2EBA" w:rsidTr="00FD689B">
        <w:trPr>
          <w:trHeight w:val="20"/>
        </w:trPr>
        <w:tc>
          <w:tcPr>
            <w:tcW w:w="9639" w:type="dxa"/>
            <w:gridSpan w:val="5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2EBA">
              <w:rPr>
                <w:b/>
                <w:bCs/>
                <w:color w:val="000000"/>
                <w:sz w:val="20"/>
                <w:szCs w:val="20"/>
              </w:rPr>
              <w:t>ГП «Энергосбережение и повышение энергетической эффективности в Волгоградской области»</w:t>
            </w:r>
          </w:p>
        </w:tc>
      </w:tr>
      <w:tr w:rsidR="00FD689B" w:rsidRPr="004B2EBA" w:rsidTr="00FD689B">
        <w:trPr>
          <w:trHeight w:val="20"/>
        </w:trPr>
        <w:tc>
          <w:tcPr>
            <w:tcW w:w="595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rPr>
                <w:sz w:val="20"/>
                <w:szCs w:val="20"/>
              </w:rPr>
            </w:pPr>
            <w:r w:rsidRPr="004B2EBA">
              <w:rPr>
                <w:sz w:val="20"/>
                <w:szCs w:val="20"/>
              </w:rPr>
              <w:t>Приобретение новых автобусов и техники для жилищно-коммунального хозяйства, работающих на газомоторном топливе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391,6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350,8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-40,8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-10,4%</w:t>
            </w:r>
          </w:p>
        </w:tc>
      </w:tr>
      <w:tr w:rsidR="00FD689B" w:rsidRPr="004B2EBA" w:rsidTr="00FD689B">
        <w:trPr>
          <w:trHeight w:val="20"/>
        </w:trPr>
        <w:tc>
          <w:tcPr>
            <w:tcW w:w="9639" w:type="dxa"/>
            <w:gridSpan w:val="5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B2EBA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4B2EBA">
              <w:rPr>
                <w:b/>
                <w:bCs/>
                <w:color w:val="000000"/>
                <w:sz w:val="20"/>
                <w:szCs w:val="20"/>
              </w:rPr>
              <w:t xml:space="preserve"> направления обеспечения деятельности</w:t>
            </w:r>
          </w:p>
          <w:p w:rsidR="00FD689B" w:rsidRPr="004B2EBA" w:rsidRDefault="00FD689B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4B2EBA">
              <w:rPr>
                <w:b/>
                <w:bCs/>
                <w:color w:val="000000"/>
                <w:sz w:val="20"/>
                <w:szCs w:val="20"/>
              </w:rPr>
              <w:t>государственных органов Волгоградской области</w:t>
            </w:r>
          </w:p>
        </w:tc>
      </w:tr>
      <w:tr w:rsidR="00FD689B" w:rsidRPr="005C7158" w:rsidTr="00FD689B">
        <w:trPr>
          <w:trHeight w:val="20"/>
        </w:trPr>
        <w:tc>
          <w:tcPr>
            <w:tcW w:w="5954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FD689B" w:rsidRPr="004B2EBA" w:rsidRDefault="00FD689B" w:rsidP="00EE38F7">
            <w:pPr>
              <w:rPr>
                <w:sz w:val="20"/>
                <w:szCs w:val="20"/>
              </w:rPr>
            </w:pPr>
            <w:proofErr w:type="spellStart"/>
            <w:r w:rsidRPr="004B2EBA">
              <w:rPr>
                <w:sz w:val="20"/>
                <w:szCs w:val="20"/>
              </w:rPr>
              <w:t>Непрограммные</w:t>
            </w:r>
            <w:proofErr w:type="spellEnd"/>
            <w:r w:rsidRPr="004B2EBA">
              <w:rPr>
                <w:sz w:val="20"/>
                <w:szCs w:val="20"/>
              </w:rPr>
              <w:t xml:space="preserve"> направления обеспечения деятельности и </w:t>
            </w:r>
            <w:proofErr w:type="spellStart"/>
            <w:r w:rsidRPr="004B2EBA">
              <w:rPr>
                <w:sz w:val="20"/>
                <w:szCs w:val="20"/>
              </w:rPr>
              <w:t>непрограммные</w:t>
            </w:r>
            <w:proofErr w:type="spellEnd"/>
            <w:r w:rsidRPr="004B2EBA">
              <w:rPr>
                <w:sz w:val="20"/>
                <w:szCs w:val="20"/>
              </w:rPr>
              <w:t xml:space="preserve"> расходы государственных органов Волгоградской области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bCs/>
                <w:sz w:val="20"/>
                <w:szCs w:val="20"/>
              </w:rPr>
            </w:pPr>
            <w:r w:rsidRPr="004B2EBA">
              <w:rPr>
                <w:bCs/>
                <w:sz w:val="20"/>
                <w:szCs w:val="20"/>
              </w:rPr>
              <w:t>95,9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bCs/>
                <w:sz w:val="20"/>
                <w:szCs w:val="20"/>
              </w:rPr>
            </w:pPr>
            <w:r w:rsidRPr="004B2EBA">
              <w:rPr>
                <w:bCs/>
                <w:sz w:val="20"/>
                <w:szCs w:val="20"/>
              </w:rPr>
              <w:t>65,9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D689B" w:rsidRPr="004B2EBA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-30,0</w:t>
            </w:r>
          </w:p>
        </w:tc>
        <w:tc>
          <w:tcPr>
            <w:tcW w:w="99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FD689B" w:rsidRPr="00101CDE" w:rsidRDefault="00FD689B" w:rsidP="00EE38F7">
            <w:pPr>
              <w:jc w:val="right"/>
              <w:rPr>
                <w:color w:val="000000"/>
                <w:sz w:val="20"/>
                <w:szCs w:val="20"/>
              </w:rPr>
            </w:pPr>
            <w:r w:rsidRPr="004B2EBA">
              <w:rPr>
                <w:color w:val="000000"/>
                <w:sz w:val="20"/>
                <w:szCs w:val="20"/>
              </w:rPr>
              <w:t>-31,3%</w:t>
            </w:r>
          </w:p>
        </w:tc>
      </w:tr>
    </w:tbl>
    <w:p w:rsidR="00FD689B" w:rsidRDefault="00FD689B" w:rsidP="00FD689B">
      <w:pPr>
        <w:ind w:firstLine="709"/>
        <w:jc w:val="both"/>
      </w:pPr>
    </w:p>
    <w:p w:rsidR="00667D2C" w:rsidRDefault="00667D2C" w:rsidP="00667D2C">
      <w:pPr>
        <w:ind w:firstLine="709"/>
        <w:jc w:val="both"/>
      </w:pPr>
      <w:proofErr w:type="gramStart"/>
      <w:r w:rsidRPr="00667D2C">
        <w:rPr>
          <w:b/>
          <w:i/>
        </w:rPr>
        <w:t>По подразделу 0409 «Дорожное хозяйство (дорожные фонды)</w:t>
      </w:r>
      <w:r>
        <w:rPr>
          <w:b/>
          <w:i/>
        </w:rPr>
        <w:t>»</w:t>
      </w:r>
      <w:r>
        <w:t xml:space="preserve"> </w:t>
      </w:r>
      <w:r w:rsidR="009B6B76">
        <w:t>з</w:t>
      </w:r>
      <w:r>
        <w:t xml:space="preserve">аконопроектом предусмотрены бюджетные ассигнования в сумме 5562,4 млн. руб., </w:t>
      </w:r>
      <w:r w:rsidR="009B6B76">
        <w:t>т. е.</w:t>
      </w:r>
      <w:r>
        <w:t xml:space="preserve"> в объеме утвержденных ассигнований дорожного фонда Волгоградской области на 2018 год (5564,4 млн. руб.) без учета расходов на </w:t>
      </w:r>
      <w:r w:rsidRPr="00017D1B">
        <w:t>обслуживание долговых обязательств, связанных с использованием бюджетных кредитов, полученных Волгоградской областью на строительство, реконструкцию, капитальный ремонт, ремонт и содержание автомобильных дорог общего пользования</w:t>
      </w:r>
      <w:r>
        <w:t xml:space="preserve"> в</w:t>
      </w:r>
      <w:proofErr w:type="gramEnd"/>
      <w:r>
        <w:t xml:space="preserve"> сумме 2 млн. рублей.</w:t>
      </w:r>
    </w:p>
    <w:p w:rsidR="00667D2C" w:rsidRDefault="00667D2C" w:rsidP="00D632D1">
      <w:pPr>
        <w:ind w:firstLine="709"/>
        <w:jc w:val="both"/>
      </w:pPr>
      <w:r>
        <w:t>Распределение бюджетных ассигнований дорожного фонда Волгоградской области представлено в следующей таблице.</w:t>
      </w:r>
    </w:p>
    <w:p w:rsidR="002E7DDE" w:rsidRDefault="002E7DDE" w:rsidP="00D632D1">
      <w:pPr>
        <w:ind w:firstLine="709"/>
        <w:jc w:val="both"/>
      </w:pPr>
    </w:p>
    <w:p w:rsidR="002E7DDE" w:rsidRDefault="002E7DDE" w:rsidP="00D632D1">
      <w:pPr>
        <w:ind w:firstLine="709"/>
        <w:jc w:val="both"/>
      </w:pPr>
      <w:r>
        <w:t xml:space="preserve">                                                                                                                     </w:t>
      </w:r>
    </w:p>
    <w:p w:rsidR="002E7DDE" w:rsidRPr="002E7DDE" w:rsidRDefault="002E7DDE" w:rsidP="00D632D1">
      <w:pPr>
        <w:ind w:firstLine="709"/>
        <w:jc w:val="both"/>
        <w:rPr>
          <w:sz w:val="22"/>
          <w:szCs w:val="22"/>
        </w:rPr>
      </w:pPr>
      <w:r>
        <w:lastRenderedPageBreak/>
        <w:t xml:space="preserve">                                                                                                                    </w:t>
      </w:r>
      <w:r w:rsidRPr="002E7DDE">
        <w:rPr>
          <w:sz w:val="22"/>
          <w:szCs w:val="22"/>
        </w:rPr>
        <w:t>млн. руб.</w:t>
      </w:r>
    </w:p>
    <w:tbl>
      <w:tblPr>
        <w:tblW w:w="10348" w:type="dxa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5104"/>
        <w:gridCol w:w="1134"/>
        <w:gridCol w:w="1417"/>
        <w:gridCol w:w="992"/>
        <w:gridCol w:w="851"/>
        <w:gridCol w:w="850"/>
      </w:tblGrid>
      <w:tr w:rsidR="00667D2C" w:rsidRPr="00E64FB0" w:rsidTr="00D632D1">
        <w:trPr>
          <w:trHeight w:val="20"/>
        </w:trPr>
        <w:tc>
          <w:tcPr>
            <w:tcW w:w="510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64FB0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64FB0">
              <w:rPr>
                <w:b/>
                <w:bCs/>
                <w:color w:val="000000"/>
                <w:sz w:val="20"/>
                <w:szCs w:val="20"/>
              </w:rPr>
              <w:t>Закон о бюджете на 2017 год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67D2C" w:rsidRPr="008A7214" w:rsidRDefault="00667D2C" w:rsidP="00D632D1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D4422C">
              <w:rPr>
                <w:b/>
                <w:bCs/>
                <w:color w:val="000000"/>
                <w:sz w:val="20"/>
                <w:szCs w:val="20"/>
              </w:rPr>
              <w:t>Госпрограмма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64FB0">
              <w:rPr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на 2018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67D2C" w:rsidRPr="00D4422C" w:rsidRDefault="00667D2C" w:rsidP="00667D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4422C">
              <w:rPr>
                <w:b/>
                <w:bCs/>
                <w:color w:val="000000"/>
                <w:sz w:val="20"/>
                <w:szCs w:val="20"/>
              </w:rPr>
              <w:t>Отклонение от госпрограмм</w:t>
            </w:r>
          </w:p>
        </w:tc>
      </w:tr>
      <w:tr w:rsidR="00667D2C" w:rsidRPr="00E64FB0" w:rsidTr="00D632D1">
        <w:trPr>
          <w:trHeight w:val="20"/>
        </w:trPr>
        <w:tc>
          <w:tcPr>
            <w:tcW w:w="510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67D2C" w:rsidRPr="008A7214" w:rsidRDefault="00667D2C" w:rsidP="00EE38F7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67D2C" w:rsidRPr="00D632D1" w:rsidRDefault="00667D2C" w:rsidP="00EE38F7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D632D1">
              <w:rPr>
                <w:bCs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85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67D2C" w:rsidRPr="00D632D1" w:rsidRDefault="00667D2C" w:rsidP="00EE38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632D1">
              <w:rPr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667D2C" w:rsidRPr="00E64FB0" w:rsidTr="00D632D1">
        <w:trPr>
          <w:trHeight w:val="20"/>
        </w:trPr>
        <w:tc>
          <w:tcPr>
            <w:tcW w:w="51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67D2C" w:rsidRPr="000C33BD" w:rsidRDefault="00667D2C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33BD">
              <w:rPr>
                <w:b/>
                <w:bCs/>
                <w:color w:val="000000"/>
                <w:sz w:val="20"/>
                <w:szCs w:val="20"/>
              </w:rPr>
              <w:t>10 132,0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1B87">
              <w:rPr>
                <w:b/>
                <w:bCs/>
                <w:color w:val="000000"/>
                <w:sz w:val="20"/>
                <w:szCs w:val="20"/>
              </w:rPr>
              <w:t>6 850,</w:t>
            </w: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1B87">
              <w:rPr>
                <w:b/>
                <w:bCs/>
                <w:color w:val="000000"/>
                <w:sz w:val="20"/>
                <w:szCs w:val="20"/>
              </w:rPr>
              <w:t>5 562,4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ind w:lef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1B87">
              <w:rPr>
                <w:b/>
                <w:bCs/>
                <w:color w:val="000000"/>
                <w:sz w:val="20"/>
                <w:szCs w:val="20"/>
              </w:rPr>
              <w:t>-1 288,4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1B87">
              <w:rPr>
                <w:b/>
                <w:bCs/>
                <w:color w:val="000000"/>
                <w:sz w:val="20"/>
                <w:szCs w:val="20"/>
              </w:rPr>
              <w:t>-18,8%</w:t>
            </w:r>
          </w:p>
        </w:tc>
      </w:tr>
      <w:tr w:rsidR="00667D2C" w:rsidRPr="00E64FB0" w:rsidTr="00EE38F7">
        <w:trPr>
          <w:trHeight w:val="20"/>
        </w:trPr>
        <w:tc>
          <w:tcPr>
            <w:tcW w:w="10348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67D2C" w:rsidRPr="000C33BD" w:rsidRDefault="00667D2C" w:rsidP="00EE38F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C33BD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Государственная программа Волгоградской области «Развитие транспортной системы </w:t>
            </w:r>
          </w:p>
          <w:p w:rsidR="00667D2C" w:rsidRPr="000C33BD" w:rsidRDefault="00667D2C" w:rsidP="00EE38F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C33BD">
              <w:rPr>
                <w:b/>
                <w:bCs/>
                <w:i/>
                <w:iCs/>
                <w:color w:val="000000"/>
                <w:sz w:val="20"/>
                <w:szCs w:val="20"/>
              </w:rPr>
              <w:t>и обеспечение безопасности дорожного движения в Волгоградской области»</w:t>
            </w:r>
          </w:p>
        </w:tc>
      </w:tr>
      <w:tr w:rsidR="00667D2C" w:rsidRPr="00E64FB0" w:rsidTr="00D632D1">
        <w:trPr>
          <w:trHeight w:val="20"/>
        </w:trPr>
        <w:tc>
          <w:tcPr>
            <w:tcW w:w="510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67D2C" w:rsidRPr="00E64FB0" w:rsidRDefault="00667D2C" w:rsidP="00EE38F7">
            <w:pPr>
              <w:rPr>
                <w:i/>
                <w:iCs/>
                <w:sz w:val="20"/>
                <w:szCs w:val="20"/>
              </w:rPr>
            </w:pPr>
            <w:r w:rsidRPr="00E64FB0">
              <w:rPr>
                <w:i/>
                <w:iCs/>
                <w:sz w:val="20"/>
                <w:szCs w:val="20"/>
              </w:rPr>
              <w:t xml:space="preserve">Подпрограмма "Совершенствование и развитие сети автомобильных дорог </w:t>
            </w:r>
            <w:r>
              <w:rPr>
                <w:i/>
                <w:iCs/>
                <w:sz w:val="20"/>
                <w:szCs w:val="20"/>
              </w:rPr>
              <w:t>…</w:t>
            </w:r>
            <w:r w:rsidRPr="00E64FB0"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7D2C" w:rsidRPr="000C33BD" w:rsidRDefault="00667D2C" w:rsidP="00EE38F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0C33BD">
              <w:rPr>
                <w:i/>
                <w:iCs/>
                <w:color w:val="000000"/>
                <w:sz w:val="20"/>
                <w:szCs w:val="20"/>
              </w:rPr>
              <w:t>8 912,9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81B87">
              <w:rPr>
                <w:i/>
                <w:iCs/>
                <w:color w:val="000000"/>
                <w:sz w:val="20"/>
                <w:szCs w:val="20"/>
              </w:rPr>
              <w:t>5 813,0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81B87">
              <w:rPr>
                <w:i/>
                <w:iCs/>
                <w:color w:val="000000"/>
                <w:sz w:val="20"/>
                <w:szCs w:val="20"/>
              </w:rPr>
              <w:t>4 171,4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ind w:left="-108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381B87">
              <w:rPr>
                <w:i/>
                <w:iCs/>
                <w:color w:val="000000"/>
                <w:sz w:val="20"/>
                <w:szCs w:val="20"/>
              </w:rPr>
              <w:t>-1 641,6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81B87">
              <w:rPr>
                <w:i/>
                <w:iCs/>
                <w:color w:val="000000"/>
                <w:sz w:val="20"/>
                <w:szCs w:val="20"/>
              </w:rPr>
              <w:t>-28,2%</w:t>
            </w:r>
          </w:p>
        </w:tc>
      </w:tr>
      <w:tr w:rsidR="00667D2C" w:rsidRPr="00E64FB0" w:rsidTr="00D632D1">
        <w:trPr>
          <w:trHeight w:val="20"/>
        </w:trPr>
        <w:tc>
          <w:tcPr>
            <w:tcW w:w="510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67D2C" w:rsidRPr="00E64FB0" w:rsidRDefault="00667D2C" w:rsidP="00EE38F7">
            <w:pPr>
              <w:rPr>
                <w:sz w:val="20"/>
                <w:szCs w:val="20"/>
              </w:rPr>
            </w:pPr>
            <w:r w:rsidRPr="00E64FB0">
              <w:rPr>
                <w:sz w:val="20"/>
                <w:szCs w:val="20"/>
              </w:rPr>
              <w:t>Капитальный ремонт, ремонт автомобильных дорог…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7D2C" w:rsidRPr="000C33B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0C33BD">
              <w:rPr>
                <w:color w:val="000000"/>
                <w:sz w:val="20"/>
                <w:szCs w:val="20"/>
              </w:rPr>
              <w:t>401,8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381B87">
              <w:rPr>
                <w:color w:val="000000"/>
                <w:sz w:val="20"/>
                <w:szCs w:val="20"/>
              </w:rPr>
              <w:t>1 375,7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381B87">
              <w:rPr>
                <w:color w:val="000000"/>
                <w:sz w:val="20"/>
                <w:szCs w:val="20"/>
              </w:rPr>
              <w:t>553,1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ind w:left="-108"/>
              <w:jc w:val="right"/>
              <w:rPr>
                <w:color w:val="000000"/>
                <w:sz w:val="20"/>
                <w:szCs w:val="20"/>
              </w:rPr>
            </w:pPr>
            <w:r w:rsidRPr="00381B87">
              <w:rPr>
                <w:color w:val="000000"/>
                <w:sz w:val="20"/>
                <w:szCs w:val="20"/>
              </w:rPr>
              <w:t>-822,6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381B87">
              <w:rPr>
                <w:color w:val="000000"/>
                <w:sz w:val="20"/>
                <w:szCs w:val="20"/>
              </w:rPr>
              <w:t>-59,8%</w:t>
            </w:r>
          </w:p>
        </w:tc>
      </w:tr>
      <w:tr w:rsidR="00667D2C" w:rsidRPr="00E64FB0" w:rsidTr="00D632D1">
        <w:trPr>
          <w:trHeight w:val="20"/>
        </w:trPr>
        <w:tc>
          <w:tcPr>
            <w:tcW w:w="510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67D2C" w:rsidRPr="00E64FB0" w:rsidRDefault="00667D2C" w:rsidP="00EE38F7">
            <w:pPr>
              <w:rPr>
                <w:sz w:val="20"/>
                <w:szCs w:val="20"/>
              </w:rPr>
            </w:pPr>
            <w:r w:rsidRPr="00E64FB0">
              <w:rPr>
                <w:sz w:val="20"/>
                <w:szCs w:val="20"/>
              </w:rPr>
              <w:t>Содержание автомобильных дорог…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7D2C" w:rsidRPr="000C33B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0C33BD">
              <w:rPr>
                <w:color w:val="000000"/>
                <w:sz w:val="20"/>
                <w:szCs w:val="20"/>
              </w:rPr>
              <w:t>2 275,9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381B87">
              <w:rPr>
                <w:color w:val="000000"/>
                <w:sz w:val="20"/>
                <w:szCs w:val="20"/>
              </w:rPr>
              <w:t>2 339,3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381B87">
              <w:rPr>
                <w:color w:val="000000"/>
                <w:sz w:val="20"/>
                <w:szCs w:val="20"/>
              </w:rPr>
              <w:t>1 136,2</w:t>
            </w:r>
            <w:r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ind w:left="-108"/>
              <w:jc w:val="right"/>
              <w:rPr>
                <w:color w:val="000000"/>
                <w:sz w:val="20"/>
                <w:szCs w:val="20"/>
              </w:rPr>
            </w:pPr>
            <w:r w:rsidRPr="00381B87">
              <w:rPr>
                <w:color w:val="000000"/>
                <w:sz w:val="20"/>
                <w:szCs w:val="20"/>
              </w:rPr>
              <w:t>-1 203,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381B87">
              <w:rPr>
                <w:color w:val="000000"/>
                <w:sz w:val="20"/>
                <w:szCs w:val="20"/>
              </w:rPr>
              <w:t>-51,4%</w:t>
            </w:r>
          </w:p>
        </w:tc>
      </w:tr>
      <w:tr w:rsidR="00667D2C" w:rsidRPr="00E64FB0" w:rsidTr="00D632D1">
        <w:trPr>
          <w:trHeight w:val="20"/>
        </w:trPr>
        <w:tc>
          <w:tcPr>
            <w:tcW w:w="510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67D2C" w:rsidRPr="00E64FB0" w:rsidRDefault="00667D2C" w:rsidP="00EE38F7">
            <w:pPr>
              <w:rPr>
                <w:sz w:val="20"/>
                <w:szCs w:val="20"/>
              </w:rPr>
            </w:pPr>
            <w:r w:rsidRPr="00E64FB0">
              <w:rPr>
                <w:sz w:val="20"/>
                <w:szCs w:val="20"/>
              </w:rPr>
              <w:t>Строительство и реконструкция автомобильных дорог…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7D2C" w:rsidRPr="000C33B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0C33BD">
              <w:rPr>
                <w:color w:val="000000"/>
                <w:sz w:val="20"/>
                <w:szCs w:val="20"/>
              </w:rPr>
              <w:t>3 498,1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381B87">
              <w:rPr>
                <w:color w:val="000000"/>
                <w:sz w:val="20"/>
                <w:szCs w:val="20"/>
              </w:rPr>
              <w:t>1 108,4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381B87">
              <w:rPr>
                <w:color w:val="000000"/>
                <w:sz w:val="20"/>
                <w:szCs w:val="20"/>
              </w:rPr>
              <w:t>431,2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ind w:left="-108"/>
              <w:jc w:val="right"/>
              <w:rPr>
                <w:color w:val="000000"/>
                <w:sz w:val="20"/>
                <w:szCs w:val="20"/>
              </w:rPr>
            </w:pPr>
            <w:r w:rsidRPr="00381B87">
              <w:rPr>
                <w:color w:val="000000"/>
                <w:sz w:val="20"/>
                <w:szCs w:val="20"/>
              </w:rPr>
              <w:t>-677,2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381B87">
              <w:rPr>
                <w:color w:val="000000"/>
                <w:sz w:val="20"/>
                <w:szCs w:val="20"/>
              </w:rPr>
              <w:t>-61,1%</w:t>
            </w:r>
          </w:p>
        </w:tc>
      </w:tr>
      <w:tr w:rsidR="00667D2C" w:rsidRPr="00E64FB0" w:rsidTr="00D632D1">
        <w:trPr>
          <w:trHeight w:val="20"/>
        </w:trPr>
        <w:tc>
          <w:tcPr>
            <w:tcW w:w="510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67D2C" w:rsidRPr="00E64FB0" w:rsidRDefault="00667D2C" w:rsidP="00EE38F7">
            <w:pPr>
              <w:rPr>
                <w:sz w:val="20"/>
                <w:szCs w:val="20"/>
              </w:rPr>
            </w:pPr>
            <w:r w:rsidRPr="00E64FB0">
              <w:rPr>
                <w:sz w:val="20"/>
                <w:szCs w:val="20"/>
              </w:rPr>
              <w:t>Предоставление межбюджетных трансфертов бюджетам муниципальных образований Волгоградской области на дорожную деятельность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7D2C" w:rsidRPr="000C33B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0C33BD">
              <w:rPr>
                <w:color w:val="000000"/>
                <w:sz w:val="20"/>
                <w:szCs w:val="20"/>
              </w:rPr>
              <w:t>2 737,1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381B87">
              <w:rPr>
                <w:color w:val="000000"/>
                <w:sz w:val="20"/>
                <w:szCs w:val="20"/>
              </w:rPr>
              <w:t>989,6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381B87">
              <w:rPr>
                <w:color w:val="000000"/>
                <w:sz w:val="20"/>
                <w:szCs w:val="20"/>
              </w:rPr>
              <w:t>2 051,0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ind w:left="-108"/>
              <w:jc w:val="right"/>
              <w:rPr>
                <w:color w:val="000000"/>
                <w:sz w:val="20"/>
                <w:szCs w:val="20"/>
              </w:rPr>
            </w:pPr>
            <w:r w:rsidRPr="00381B87">
              <w:rPr>
                <w:color w:val="000000"/>
                <w:sz w:val="20"/>
                <w:szCs w:val="20"/>
              </w:rPr>
              <w:t>1 061,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381B87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2,1 раза</w:t>
            </w:r>
          </w:p>
        </w:tc>
      </w:tr>
      <w:tr w:rsidR="00667D2C" w:rsidRPr="00E64FB0" w:rsidTr="00D632D1">
        <w:trPr>
          <w:trHeight w:val="20"/>
        </w:trPr>
        <w:tc>
          <w:tcPr>
            <w:tcW w:w="510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67D2C" w:rsidRPr="00E64FB0" w:rsidRDefault="00667D2C" w:rsidP="00EE38F7">
            <w:pPr>
              <w:rPr>
                <w:i/>
                <w:iCs/>
                <w:sz w:val="20"/>
                <w:szCs w:val="20"/>
              </w:rPr>
            </w:pPr>
            <w:r w:rsidRPr="00E64FB0">
              <w:rPr>
                <w:i/>
                <w:iCs/>
                <w:sz w:val="20"/>
                <w:szCs w:val="20"/>
              </w:rPr>
              <w:t>Подпрограмма "Повышение безопасности дорожного движения в Волгоградской области"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7D2C" w:rsidRPr="000C33BD" w:rsidRDefault="00667D2C" w:rsidP="00EE38F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0C33BD">
              <w:rPr>
                <w:i/>
                <w:iCs/>
                <w:color w:val="000000"/>
                <w:sz w:val="20"/>
                <w:szCs w:val="20"/>
              </w:rPr>
              <w:t>413,6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64FB0">
              <w:rPr>
                <w:i/>
                <w:iCs/>
                <w:color w:val="000000"/>
                <w:sz w:val="20"/>
                <w:szCs w:val="20"/>
              </w:rPr>
              <w:t>152,4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64FB0">
              <w:rPr>
                <w:i/>
                <w:iCs/>
                <w:color w:val="000000"/>
                <w:sz w:val="20"/>
                <w:szCs w:val="20"/>
              </w:rPr>
              <w:t>57,8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ind w:left="-108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E64FB0">
              <w:rPr>
                <w:i/>
                <w:iCs/>
                <w:color w:val="000000"/>
                <w:sz w:val="20"/>
                <w:szCs w:val="20"/>
              </w:rPr>
              <w:t>-94,7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64FB0">
              <w:rPr>
                <w:i/>
                <w:iCs/>
                <w:color w:val="000000"/>
                <w:sz w:val="20"/>
                <w:szCs w:val="20"/>
              </w:rPr>
              <w:t>-62,1%</w:t>
            </w:r>
          </w:p>
        </w:tc>
      </w:tr>
      <w:tr w:rsidR="00667D2C" w:rsidRPr="00E64FB0" w:rsidTr="00EE38F7">
        <w:trPr>
          <w:trHeight w:val="20"/>
        </w:trPr>
        <w:tc>
          <w:tcPr>
            <w:tcW w:w="10348" w:type="dxa"/>
            <w:gridSpan w:val="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67D2C" w:rsidRPr="000C33BD" w:rsidRDefault="00667D2C" w:rsidP="00EE38F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33BD">
              <w:rPr>
                <w:b/>
                <w:bCs/>
                <w:i/>
                <w:iCs/>
                <w:sz w:val="20"/>
                <w:szCs w:val="20"/>
              </w:rPr>
              <w:t>Государственная программа Волгоградской области «Устойчивое развитие сельских территорий»</w:t>
            </w:r>
          </w:p>
        </w:tc>
      </w:tr>
      <w:tr w:rsidR="00667D2C" w:rsidRPr="00E64FB0" w:rsidTr="00D632D1">
        <w:trPr>
          <w:trHeight w:val="20"/>
        </w:trPr>
        <w:tc>
          <w:tcPr>
            <w:tcW w:w="510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67D2C" w:rsidRPr="00E64FB0" w:rsidRDefault="00667D2C" w:rsidP="00EE38F7">
            <w:pPr>
              <w:rPr>
                <w:color w:val="000000"/>
                <w:sz w:val="20"/>
                <w:szCs w:val="20"/>
              </w:rPr>
            </w:pPr>
            <w:r w:rsidRPr="00E64FB0">
              <w:rPr>
                <w:color w:val="000000"/>
                <w:sz w:val="20"/>
                <w:szCs w:val="20"/>
              </w:rPr>
              <w:t xml:space="preserve">Строительство и реконструкция </w:t>
            </w:r>
            <w:r>
              <w:rPr>
                <w:color w:val="000000"/>
                <w:sz w:val="20"/>
                <w:szCs w:val="20"/>
              </w:rPr>
              <w:t>автодорог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7D2C" w:rsidRPr="000C33B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0C33BD">
              <w:rPr>
                <w:color w:val="000000"/>
                <w:sz w:val="20"/>
                <w:szCs w:val="20"/>
              </w:rPr>
              <w:t>532,5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E64FB0">
              <w:rPr>
                <w:color w:val="000000"/>
                <w:sz w:val="20"/>
                <w:szCs w:val="20"/>
              </w:rPr>
              <w:t>383,7</w:t>
            </w:r>
            <w:r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E64FB0">
              <w:rPr>
                <w:color w:val="000000"/>
                <w:sz w:val="20"/>
                <w:szCs w:val="20"/>
              </w:rPr>
              <w:t>831,6</w:t>
            </w:r>
            <w:r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E64FB0">
              <w:rPr>
                <w:color w:val="000000"/>
                <w:sz w:val="20"/>
                <w:szCs w:val="20"/>
              </w:rPr>
              <w:t>447,9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E64FB0">
              <w:rPr>
                <w:color w:val="000000"/>
                <w:sz w:val="20"/>
                <w:szCs w:val="20"/>
              </w:rPr>
              <w:t>116,7%</w:t>
            </w:r>
          </w:p>
        </w:tc>
      </w:tr>
      <w:tr w:rsidR="00667D2C" w:rsidRPr="00E64FB0" w:rsidTr="00EE38F7">
        <w:trPr>
          <w:trHeight w:val="20"/>
        </w:trPr>
        <w:tc>
          <w:tcPr>
            <w:tcW w:w="10348" w:type="dxa"/>
            <w:gridSpan w:val="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67D2C" w:rsidRPr="000C33BD" w:rsidRDefault="00667D2C" w:rsidP="00EE38F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C33BD">
              <w:rPr>
                <w:b/>
                <w:bCs/>
                <w:i/>
                <w:iCs/>
                <w:sz w:val="20"/>
                <w:szCs w:val="20"/>
              </w:rPr>
              <w:t xml:space="preserve">Государственная программа Волгоградской области </w:t>
            </w:r>
            <w:r w:rsidRPr="000C33BD">
              <w:rPr>
                <w:b/>
                <w:bCs/>
                <w:i/>
                <w:iCs/>
                <w:sz w:val="20"/>
                <w:szCs w:val="20"/>
              </w:rPr>
              <w:br/>
              <w:t>«Обеспечение безопасности жизнедеятельности на территории Волгоградской области»</w:t>
            </w:r>
          </w:p>
        </w:tc>
      </w:tr>
      <w:tr w:rsidR="00667D2C" w:rsidRPr="00E64FB0" w:rsidTr="00D632D1">
        <w:trPr>
          <w:trHeight w:val="20"/>
        </w:trPr>
        <w:tc>
          <w:tcPr>
            <w:tcW w:w="510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67D2C" w:rsidRPr="00E64FB0" w:rsidRDefault="00667D2C" w:rsidP="00EE38F7">
            <w:pPr>
              <w:rPr>
                <w:i/>
                <w:iCs/>
                <w:sz w:val="20"/>
                <w:szCs w:val="20"/>
              </w:rPr>
            </w:pPr>
            <w:r w:rsidRPr="00E64FB0">
              <w:rPr>
                <w:i/>
                <w:iCs/>
                <w:sz w:val="20"/>
                <w:szCs w:val="20"/>
              </w:rPr>
              <w:t xml:space="preserve">Подпрограмма "Создание, развитие и обеспечение </w:t>
            </w:r>
            <w:proofErr w:type="gramStart"/>
            <w:r w:rsidRPr="00E64FB0">
              <w:rPr>
                <w:i/>
                <w:iCs/>
                <w:sz w:val="20"/>
                <w:szCs w:val="20"/>
              </w:rPr>
              <w:t>функционирования средств автоматизации комплексной системы обеспечения безопасности жизнедеятельности населения</w:t>
            </w:r>
            <w:proofErr w:type="gramEnd"/>
            <w:r w:rsidRPr="00E64FB0">
              <w:rPr>
                <w:i/>
                <w:iCs/>
                <w:sz w:val="20"/>
                <w:szCs w:val="20"/>
              </w:rPr>
              <w:t xml:space="preserve"> на территории Волгоградской области"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7D2C" w:rsidRPr="000C33BD" w:rsidRDefault="00667D2C" w:rsidP="00EE38F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0C33BD">
              <w:rPr>
                <w:i/>
                <w:iCs/>
                <w:color w:val="000000"/>
                <w:sz w:val="20"/>
                <w:szCs w:val="20"/>
              </w:rPr>
              <w:t>273,0***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501,7***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64FB0">
              <w:rPr>
                <w:i/>
                <w:iCs/>
                <w:color w:val="000000"/>
                <w:sz w:val="20"/>
                <w:szCs w:val="20"/>
              </w:rPr>
              <w:t>501,7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0,0%</w:t>
            </w:r>
          </w:p>
        </w:tc>
      </w:tr>
      <w:tr w:rsidR="00667D2C" w:rsidRPr="00E64FB0" w:rsidTr="00D632D1">
        <w:trPr>
          <w:trHeight w:val="20"/>
        </w:trPr>
        <w:tc>
          <w:tcPr>
            <w:tcW w:w="510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67D2C" w:rsidRPr="00E64FB0" w:rsidRDefault="00667D2C" w:rsidP="00EE38F7">
            <w:pPr>
              <w:rPr>
                <w:sz w:val="20"/>
                <w:szCs w:val="20"/>
              </w:rPr>
            </w:pPr>
            <w:r w:rsidRPr="00F40769">
              <w:rPr>
                <w:sz w:val="20"/>
                <w:szCs w:val="20"/>
              </w:rPr>
              <w:t xml:space="preserve">Развитие и обеспечение функционирования подсистем контроля и выявления нарушений </w:t>
            </w:r>
            <w:r>
              <w:rPr>
                <w:sz w:val="20"/>
                <w:szCs w:val="20"/>
              </w:rPr>
              <w:t>ПДД</w:t>
            </w:r>
            <w:r w:rsidRPr="00F407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КИС</w:t>
            </w:r>
            <w:r w:rsidRPr="00F40769">
              <w:rPr>
                <w:sz w:val="20"/>
                <w:szCs w:val="20"/>
              </w:rPr>
              <w:t xml:space="preserve"> видеонаблюдения Волгоградской области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7D2C" w:rsidRPr="000C33B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0C33BD">
              <w:rPr>
                <w:color w:val="000000"/>
                <w:sz w:val="20"/>
                <w:szCs w:val="20"/>
              </w:rPr>
              <w:t>173,1***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451,7***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E64FB0">
              <w:rPr>
                <w:color w:val="000000"/>
                <w:sz w:val="20"/>
                <w:szCs w:val="20"/>
              </w:rPr>
              <w:t>451,7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667D2C" w:rsidRPr="00E64FB0" w:rsidTr="00D632D1">
        <w:trPr>
          <w:trHeight w:val="20"/>
        </w:trPr>
        <w:tc>
          <w:tcPr>
            <w:tcW w:w="5104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67D2C" w:rsidRPr="00E64FB0" w:rsidRDefault="00667D2C" w:rsidP="00EE38F7">
            <w:pPr>
              <w:rPr>
                <w:sz w:val="20"/>
                <w:szCs w:val="20"/>
              </w:rPr>
            </w:pPr>
            <w:r w:rsidRPr="00F40769">
              <w:rPr>
                <w:sz w:val="20"/>
                <w:szCs w:val="20"/>
              </w:rPr>
              <w:t xml:space="preserve">Предоставление субсидий на создание и обеспечение внедрения системы адаптивного управления светофорными объектами на маршрутах движения </w:t>
            </w:r>
            <w:r>
              <w:rPr>
                <w:sz w:val="20"/>
                <w:szCs w:val="20"/>
              </w:rPr>
              <w:t>…</w:t>
            </w:r>
            <w:r w:rsidRPr="00F40769">
              <w:rPr>
                <w:sz w:val="20"/>
                <w:szCs w:val="20"/>
              </w:rPr>
              <w:t xml:space="preserve"> в период проведения чемпионата мира по футболу 2018 года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0C33B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0C33BD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E64FB0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E64FB0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E64FB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E64FB0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E64FB0">
              <w:rPr>
                <w:color w:val="000000"/>
                <w:sz w:val="20"/>
                <w:szCs w:val="20"/>
              </w:rPr>
              <w:t>0,0%</w:t>
            </w:r>
          </w:p>
        </w:tc>
      </w:tr>
    </w:tbl>
    <w:p w:rsidR="00667D2C" w:rsidRPr="004D7E30" w:rsidRDefault="00667D2C" w:rsidP="00667D2C">
      <w:pPr>
        <w:ind w:left="-426" w:hanging="283"/>
        <w:jc w:val="both"/>
        <w:rPr>
          <w:i/>
          <w:sz w:val="20"/>
          <w:szCs w:val="20"/>
        </w:rPr>
      </w:pPr>
      <w:r w:rsidRPr="004D7E30">
        <w:rPr>
          <w:i/>
          <w:sz w:val="20"/>
          <w:szCs w:val="20"/>
        </w:rPr>
        <w:t xml:space="preserve">* - без учета средств федерального бюджета в сумме 210,4 млн. руб., включенных в государственную программу и не предусмотренных </w:t>
      </w:r>
      <w:r w:rsidR="009B6B76">
        <w:rPr>
          <w:i/>
          <w:sz w:val="20"/>
          <w:szCs w:val="20"/>
        </w:rPr>
        <w:t>з</w:t>
      </w:r>
      <w:r w:rsidRPr="004D7E30">
        <w:rPr>
          <w:i/>
          <w:sz w:val="20"/>
          <w:szCs w:val="20"/>
        </w:rPr>
        <w:t>аконопроектом.</w:t>
      </w:r>
    </w:p>
    <w:p w:rsidR="00667D2C" w:rsidRPr="004D7E30" w:rsidRDefault="00667D2C" w:rsidP="00667D2C">
      <w:pPr>
        <w:ind w:left="-426" w:hanging="283"/>
        <w:jc w:val="both"/>
        <w:rPr>
          <w:i/>
          <w:sz w:val="20"/>
          <w:szCs w:val="20"/>
        </w:rPr>
      </w:pPr>
      <w:r w:rsidRPr="004D7E30">
        <w:rPr>
          <w:i/>
          <w:sz w:val="20"/>
          <w:szCs w:val="20"/>
        </w:rPr>
        <w:t xml:space="preserve">** - в госпрограмме не учтены средства федерального бюджета, которые запланированы </w:t>
      </w:r>
      <w:r w:rsidR="009B6B76">
        <w:rPr>
          <w:i/>
          <w:sz w:val="20"/>
          <w:szCs w:val="20"/>
        </w:rPr>
        <w:t>з</w:t>
      </w:r>
      <w:r w:rsidRPr="004D7E30">
        <w:rPr>
          <w:i/>
          <w:sz w:val="20"/>
          <w:szCs w:val="20"/>
        </w:rPr>
        <w:t>аконопроектом в сумме 403,9 млн. рублей.</w:t>
      </w:r>
    </w:p>
    <w:p w:rsidR="00667D2C" w:rsidRDefault="00667D2C" w:rsidP="00667D2C">
      <w:pPr>
        <w:ind w:left="-426" w:hanging="283"/>
        <w:jc w:val="both"/>
        <w:rPr>
          <w:i/>
          <w:sz w:val="20"/>
          <w:szCs w:val="20"/>
        </w:rPr>
      </w:pPr>
      <w:r w:rsidRPr="004D7E30">
        <w:rPr>
          <w:i/>
          <w:sz w:val="20"/>
          <w:szCs w:val="20"/>
        </w:rPr>
        <w:t xml:space="preserve">*** - в части обеспечения функционирования непосредственно комплексов </w:t>
      </w:r>
      <w:proofErr w:type="spellStart"/>
      <w:r w:rsidRPr="004D7E30">
        <w:rPr>
          <w:i/>
          <w:sz w:val="20"/>
          <w:szCs w:val="20"/>
        </w:rPr>
        <w:t>фотовидеофиксации</w:t>
      </w:r>
      <w:proofErr w:type="spellEnd"/>
      <w:r w:rsidRPr="004D7E30">
        <w:rPr>
          <w:i/>
          <w:sz w:val="20"/>
          <w:szCs w:val="20"/>
        </w:rPr>
        <w:t>.</w:t>
      </w:r>
    </w:p>
    <w:p w:rsidR="00667D2C" w:rsidRPr="00184F2B" w:rsidRDefault="00667D2C" w:rsidP="00667D2C">
      <w:pPr>
        <w:ind w:left="-426" w:hanging="283"/>
        <w:jc w:val="both"/>
        <w:rPr>
          <w:i/>
          <w:sz w:val="20"/>
          <w:szCs w:val="20"/>
        </w:rPr>
      </w:pPr>
    </w:p>
    <w:p w:rsidR="00667D2C" w:rsidRPr="009B6B76" w:rsidRDefault="00667D2C" w:rsidP="00667D2C">
      <w:pPr>
        <w:ind w:firstLine="709"/>
        <w:jc w:val="both"/>
        <w:rPr>
          <w:b/>
          <w:i/>
        </w:rPr>
      </w:pPr>
      <w:r w:rsidRPr="009B6B76">
        <w:rPr>
          <w:b/>
          <w:i/>
        </w:rPr>
        <w:t>Бюджетные ассигнования дорожного фонда Волгоградской области на 2018 год меньше ассигнований 2017 года на 4569,6 млн. руб., или в 1,8 раза.</w:t>
      </w:r>
    </w:p>
    <w:p w:rsidR="00667D2C" w:rsidRPr="004D7E30" w:rsidRDefault="009D2DCA" w:rsidP="00667D2C">
      <w:pPr>
        <w:ind w:firstLine="709"/>
        <w:jc w:val="both"/>
      </w:pPr>
      <w:r>
        <w:t>У</w:t>
      </w:r>
      <w:r w:rsidR="00667D2C" w:rsidRPr="000C33BD">
        <w:t xml:space="preserve">меньшение ассигнований на 2018 год частично связано с запланированным в </w:t>
      </w:r>
      <w:r>
        <w:t>текущем</w:t>
      </w:r>
      <w:r w:rsidR="00667D2C" w:rsidRPr="000C33BD">
        <w:t xml:space="preserve"> году окончанием</w:t>
      </w:r>
      <w:r w:rsidR="00667D2C" w:rsidRPr="004D7E30">
        <w:t xml:space="preserve"> строительства (реконструкции) объектов дорожного хозяйства в рамках подготовки к проведению чемпионата мира по футболу (план 2017 года – </w:t>
      </w:r>
      <w:r w:rsidR="00667D2C" w:rsidRPr="005D76F0">
        <w:t>2214,8 млн. руб.</w:t>
      </w:r>
      <w:r w:rsidR="009B6B76">
        <w:t>). Вместе с тем</w:t>
      </w:r>
      <w:r w:rsidR="00667D2C" w:rsidRPr="004D7E30">
        <w:t xml:space="preserve"> предлагаемые </w:t>
      </w:r>
      <w:r w:rsidR="009B6B76">
        <w:t>з</w:t>
      </w:r>
      <w:r w:rsidR="00667D2C" w:rsidRPr="004D7E30">
        <w:t>аконопроектом объ</w:t>
      </w:r>
      <w:r w:rsidR="009B6B76">
        <w:t>е</w:t>
      </w:r>
      <w:r w:rsidR="00667D2C" w:rsidRPr="004D7E30">
        <w:t xml:space="preserve">мы ассигнований на 2018 год меньше </w:t>
      </w:r>
      <w:r>
        <w:t>расходов</w:t>
      </w:r>
      <w:r w:rsidR="00667D2C" w:rsidRPr="004D7E30">
        <w:t>, утвержд</w:t>
      </w:r>
      <w:r w:rsidR="009B6B76">
        <w:t>е</w:t>
      </w:r>
      <w:r w:rsidR="00667D2C" w:rsidRPr="004D7E30">
        <w:t>нных госпрограммами, на 1288,4 млн. руб., или на 18,8 процента.</w:t>
      </w:r>
    </w:p>
    <w:p w:rsidR="00667D2C" w:rsidRPr="00BA673C" w:rsidRDefault="00667D2C" w:rsidP="00667D2C">
      <w:pPr>
        <w:ind w:firstLine="709"/>
        <w:jc w:val="both"/>
      </w:pPr>
      <w:r w:rsidRPr="000218A5">
        <w:t>На фоне сокращения расходов на содержание, ремонт и строительство региональных дорог в 2,3 раза (на 2702,9 млн. руб.) увеличены в 2,1 раза (на 1061,3 млн. руб.) расходы на дорожную деятельность в отношении дорог местного значения</w:t>
      </w:r>
      <w:r w:rsidRPr="001F611D">
        <w:rPr>
          <w:b/>
          <w:i/>
        </w:rPr>
        <w:t xml:space="preserve"> </w:t>
      </w:r>
      <w:r w:rsidRPr="001F611D">
        <w:t>ч</w:t>
      </w:r>
      <w:r w:rsidRPr="004D7E30">
        <w:t>ерез предоставление межбюджетных трансфертов. Комитет транспорта и дорожного хозяйства объясняет такое перераспределение необходимостью выделения дополнительных средств Волгограду в связи с подготовкой к проведению чемпионата мира по футболу 2018 года.</w:t>
      </w:r>
    </w:p>
    <w:p w:rsidR="002E7DDE" w:rsidRDefault="00667D2C" w:rsidP="00667D2C">
      <w:pPr>
        <w:ind w:firstLine="709"/>
        <w:jc w:val="both"/>
        <w:rPr>
          <w:iCs/>
          <w:sz w:val="20"/>
          <w:szCs w:val="20"/>
        </w:rPr>
      </w:pPr>
      <w:r w:rsidRPr="00B11101">
        <w:t xml:space="preserve">Перечень объектов строительства и </w:t>
      </w:r>
      <w:proofErr w:type="gramStart"/>
      <w:r w:rsidRPr="00B11101">
        <w:t>реконструкции</w:t>
      </w:r>
      <w:proofErr w:type="gramEnd"/>
      <w:r w:rsidRPr="00B11101">
        <w:t xml:space="preserve"> автомобильных дорог общего пользования для областных государственных нужд на 2018 год (</w:t>
      </w:r>
      <w:r w:rsidR="00EE38F7">
        <w:t>п</w:t>
      </w:r>
      <w:r w:rsidRPr="00B11101">
        <w:t xml:space="preserve">риложение 13 к </w:t>
      </w:r>
      <w:r w:rsidR="00EE38F7">
        <w:t>з</w:t>
      </w:r>
      <w:r w:rsidRPr="00B11101">
        <w:t xml:space="preserve">аконопроекту) не включает </w:t>
      </w:r>
      <w:r w:rsidRPr="004D7E30">
        <w:t>4 из 7</w:t>
      </w:r>
      <w:r w:rsidRPr="00B11101">
        <w:t xml:space="preserve"> объектов, утвержд</w:t>
      </w:r>
      <w:r w:rsidR="00EE38F7">
        <w:t>е</w:t>
      </w:r>
      <w:r w:rsidRPr="00B11101">
        <w:t xml:space="preserve">нных на 2018 год </w:t>
      </w:r>
      <w:r w:rsidRPr="00B11101">
        <w:rPr>
          <w:iCs/>
        </w:rPr>
        <w:t>подпрограммой «Совершенствование и развитие сети автомобильных дорог общего пользования</w:t>
      </w:r>
      <w:r w:rsidRPr="00997CA0">
        <w:rPr>
          <w:iCs/>
        </w:rPr>
        <w:t xml:space="preserve"> Волгоградской области»</w:t>
      </w:r>
      <w:r w:rsidRPr="00997CA0">
        <w:t xml:space="preserve"> </w:t>
      </w:r>
      <w:r w:rsidRPr="00997CA0">
        <w:rPr>
          <w:iCs/>
        </w:rPr>
        <w:t>госпрограммы «Развитие транспортной системы и обеспечение безопасности дорожного движения в Волгоградской области»</w:t>
      </w:r>
      <w:r>
        <w:rPr>
          <w:iCs/>
        </w:rPr>
        <w:t xml:space="preserve"> (см. таблицу).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EE38F7" w:rsidRPr="00EE38F7">
        <w:rPr>
          <w:iCs/>
          <w:sz w:val="20"/>
          <w:szCs w:val="20"/>
        </w:rPr>
        <w:t xml:space="preserve">                                             </w:t>
      </w:r>
      <w:r w:rsidR="00EE38F7">
        <w:rPr>
          <w:iCs/>
          <w:sz w:val="20"/>
          <w:szCs w:val="20"/>
        </w:rPr>
        <w:t xml:space="preserve">           </w:t>
      </w:r>
    </w:p>
    <w:p w:rsidR="00667D2C" w:rsidRPr="00EE38F7" w:rsidRDefault="002E7DDE" w:rsidP="00667D2C">
      <w:pPr>
        <w:ind w:firstLine="709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</w:t>
      </w:r>
      <w:r w:rsidR="00667D2C" w:rsidRPr="00EE38F7">
        <w:rPr>
          <w:iCs/>
          <w:sz w:val="20"/>
          <w:szCs w:val="20"/>
        </w:rPr>
        <w:t>млн. руб.</w:t>
      </w:r>
    </w:p>
    <w:tbl>
      <w:tblPr>
        <w:tblW w:w="10282" w:type="dxa"/>
        <w:tblInd w:w="-601" w:type="dxa"/>
        <w:tblLook w:val="04A0"/>
      </w:tblPr>
      <w:tblGrid>
        <w:gridCol w:w="5982"/>
        <w:gridCol w:w="1533"/>
        <w:gridCol w:w="992"/>
        <w:gridCol w:w="851"/>
        <w:gridCol w:w="924"/>
      </w:tblGrid>
      <w:tr w:rsidR="00667D2C" w:rsidRPr="00C5488D" w:rsidTr="00EE38F7">
        <w:trPr>
          <w:trHeight w:val="20"/>
          <w:tblHeader/>
        </w:trPr>
        <w:tc>
          <w:tcPr>
            <w:tcW w:w="637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D2C" w:rsidRPr="00C5488D" w:rsidRDefault="00667D2C" w:rsidP="00EE38F7">
            <w:pPr>
              <w:jc w:val="center"/>
              <w:rPr>
                <w:b/>
                <w:sz w:val="20"/>
                <w:szCs w:val="20"/>
              </w:rPr>
            </w:pPr>
            <w:r w:rsidRPr="00C5488D">
              <w:rPr>
                <w:b/>
                <w:sz w:val="20"/>
                <w:szCs w:val="20"/>
              </w:rPr>
              <w:t>Наименование объектов</w:t>
            </w:r>
          </w:p>
        </w:tc>
        <w:tc>
          <w:tcPr>
            <w:tcW w:w="1136" w:type="dxa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D2C" w:rsidRPr="00C5488D" w:rsidRDefault="00667D2C" w:rsidP="00EE38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5488D">
              <w:rPr>
                <w:b/>
                <w:color w:val="000000"/>
                <w:sz w:val="20"/>
                <w:szCs w:val="20"/>
              </w:rPr>
              <w:t>Госпрограмма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D2C" w:rsidRPr="00C5488D" w:rsidRDefault="00667D2C" w:rsidP="00EE38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5488D">
              <w:rPr>
                <w:b/>
                <w:color w:val="000000"/>
                <w:sz w:val="20"/>
                <w:szCs w:val="20"/>
              </w:rPr>
              <w:t>Проект на 2018 год</w:t>
            </w:r>
          </w:p>
        </w:tc>
        <w:tc>
          <w:tcPr>
            <w:tcW w:w="177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667D2C" w:rsidRPr="00C5488D" w:rsidRDefault="00667D2C" w:rsidP="00EE38F7">
            <w:pPr>
              <w:jc w:val="center"/>
              <w:rPr>
                <w:b/>
                <w:iCs/>
                <w:color w:val="000000"/>
                <w:sz w:val="20"/>
                <w:szCs w:val="20"/>
              </w:rPr>
            </w:pPr>
            <w:r w:rsidRPr="00C5488D">
              <w:rPr>
                <w:b/>
                <w:iCs/>
                <w:color w:val="000000"/>
                <w:sz w:val="20"/>
                <w:szCs w:val="20"/>
              </w:rPr>
              <w:t>Отклонение</w:t>
            </w:r>
          </w:p>
        </w:tc>
      </w:tr>
      <w:tr w:rsidR="00667D2C" w:rsidRPr="00C5488D" w:rsidTr="00EE38F7">
        <w:trPr>
          <w:trHeight w:val="20"/>
          <w:tblHeader/>
        </w:trPr>
        <w:tc>
          <w:tcPr>
            <w:tcW w:w="637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D2C" w:rsidRPr="00C5488D" w:rsidRDefault="00667D2C" w:rsidP="00EE38F7">
            <w:pPr>
              <w:rPr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D2C" w:rsidRPr="00C5488D" w:rsidRDefault="00667D2C" w:rsidP="00EE38F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D2C" w:rsidRPr="00C5488D" w:rsidRDefault="00667D2C" w:rsidP="00EE38F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D2C" w:rsidRPr="00C5488D" w:rsidRDefault="00667D2C" w:rsidP="00EE38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5488D">
              <w:rPr>
                <w:b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667D2C" w:rsidRPr="00C5488D" w:rsidRDefault="00667D2C" w:rsidP="00EE38F7">
            <w:pPr>
              <w:jc w:val="center"/>
              <w:rPr>
                <w:b/>
                <w:iCs/>
                <w:color w:val="000000"/>
                <w:sz w:val="20"/>
                <w:szCs w:val="20"/>
              </w:rPr>
            </w:pPr>
            <w:r w:rsidRPr="00C5488D">
              <w:rPr>
                <w:b/>
                <w:iCs/>
                <w:color w:val="000000"/>
                <w:sz w:val="20"/>
                <w:szCs w:val="20"/>
              </w:rPr>
              <w:t>%</w:t>
            </w:r>
          </w:p>
        </w:tc>
      </w:tr>
      <w:tr w:rsidR="00667D2C" w:rsidRPr="00C5488D" w:rsidTr="00EE38F7">
        <w:trPr>
          <w:trHeight w:val="20"/>
        </w:trPr>
        <w:tc>
          <w:tcPr>
            <w:tcW w:w="637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D2C" w:rsidRPr="00C5488D" w:rsidRDefault="00667D2C" w:rsidP="00EE38F7">
            <w:pPr>
              <w:rPr>
                <w:b/>
                <w:sz w:val="20"/>
                <w:szCs w:val="20"/>
              </w:rPr>
            </w:pPr>
            <w:r w:rsidRPr="00C5488D">
              <w:rPr>
                <w:b/>
                <w:sz w:val="20"/>
                <w:szCs w:val="20"/>
              </w:rPr>
              <w:t>Основное мероприятие "Строительство и реконструкция автомобильных дорог общего пользования (за исключением автомобильных дорог федерального значения)"</w:t>
            </w:r>
          </w:p>
        </w:tc>
        <w:tc>
          <w:tcPr>
            <w:tcW w:w="113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5488D">
              <w:rPr>
                <w:b/>
                <w:color w:val="000000"/>
                <w:sz w:val="20"/>
                <w:szCs w:val="20"/>
              </w:rPr>
              <w:t>1 108,4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5488D">
              <w:rPr>
                <w:b/>
                <w:color w:val="000000"/>
                <w:sz w:val="20"/>
                <w:szCs w:val="20"/>
              </w:rPr>
              <w:t>431,2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5488D">
              <w:rPr>
                <w:b/>
                <w:color w:val="000000"/>
                <w:sz w:val="20"/>
                <w:szCs w:val="20"/>
              </w:rPr>
              <w:t>-677,2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b/>
                <w:iCs/>
                <w:color w:val="000000"/>
                <w:sz w:val="20"/>
                <w:szCs w:val="20"/>
              </w:rPr>
            </w:pPr>
            <w:r w:rsidRPr="00C5488D">
              <w:rPr>
                <w:b/>
                <w:iCs/>
                <w:color w:val="000000"/>
                <w:sz w:val="20"/>
                <w:szCs w:val="20"/>
              </w:rPr>
              <w:t>-61,1%</w:t>
            </w:r>
          </w:p>
        </w:tc>
      </w:tr>
      <w:tr w:rsidR="00667D2C" w:rsidRPr="00B11101" w:rsidTr="00EE38F7">
        <w:trPr>
          <w:trHeight w:val="20"/>
        </w:trPr>
        <w:tc>
          <w:tcPr>
            <w:tcW w:w="637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D2C" w:rsidRPr="00B11101" w:rsidRDefault="00667D2C" w:rsidP="00EE38F7">
            <w:pPr>
              <w:rPr>
                <w:sz w:val="20"/>
                <w:szCs w:val="20"/>
              </w:rPr>
            </w:pPr>
            <w:r w:rsidRPr="00B11101">
              <w:rPr>
                <w:sz w:val="20"/>
                <w:szCs w:val="20"/>
              </w:rPr>
              <w:t xml:space="preserve">Строительство автодорожных путепроводов на автомобильных дорогах общего пользования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C5488D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</w:tr>
      <w:tr w:rsidR="00667D2C" w:rsidRPr="00B11101" w:rsidTr="00EE38F7">
        <w:trPr>
          <w:trHeight w:val="20"/>
        </w:trPr>
        <w:tc>
          <w:tcPr>
            <w:tcW w:w="637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D2C" w:rsidRPr="00B11101" w:rsidRDefault="00667D2C" w:rsidP="00EE38F7">
            <w:pPr>
              <w:rPr>
                <w:sz w:val="20"/>
                <w:szCs w:val="20"/>
              </w:rPr>
            </w:pPr>
            <w:r w:rsidRPr="00B11101">
              <w:rPr>
                <w:sz w:val="20"/>
                <w:szCs w:val="20"/>
              </w:rPr>
              <w:t xml:space="preserve">Строительство второго, третьего и четвертого пусковых комплексов мостового перехода через реку Волга в </w:t>
            </w:r>
            <w:proofErr w:type="gramStart"/>
            <w:r w:rsidRPr="00B11101"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</w:t>
            </w:r>
            <w:r w:rsidRPr="00B11101">
              <w:rPr>
                <w:sz w:val="20"/>
                <w:szCs w:val="20"/>
              </w:rPr>
              <w:t xml:space="preserve"> Волгограде. Второй пусковой комплекс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189,6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C5488D">
              <w:rPr>
                <w:color w:val="000000"/>
                <w:sz w:val="20"/>
                <w:szCs w:val="20"/>
              </w:rPr>
              <w:t>-189,6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C5488D">
              <w:rPr>
                <w:iCs/>
                <w:color w:val="000000"/>
                <w:sz w:val="20"/>
                <w:szCs w:val="20"/>
              </w:rPr>
              <w:t>-100,0%</w:t>
            </w:r>
          </w:p>
        </w:tc>
      </w:tr>
      <w:tr w:rsidR="00667D2C" w:rsidRPr="00B11101" w:rsidTr="00EE38F7">
        <w:trPr>
          <w:trHeight w:val="20"/>
        </w:trPr>
        <w:tc>
          <w:tcPr>
            <w:tcW w:w="637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D2C" w:rsidRPr="00B11101" w:rsidRDefault="00667D2C" w:rsidP="00EE38F7">
            <w:pPr>
              <w:rPr>
                <w:sz w:val="20"/>
                <w:szCs w:val="20"/>
              </w:rPr>
            </w:pPr>
            <w:r w:rsidRPr="00B11101">
              <w:rPr>
                <w:sz w:val="20"/>
                <w:szCs w:val="20"/>
              </w:rPr>
              <w:t xml:space="preserve">Строительство автомобильной дороги "Верхний </w:t>
            </w:r>
            <w:proofErr w:type="spellStart"/>
            <w:r w:rsidRPr="00B11101">
              <w:rPr>
                <w:sz w:val="20"/>
                <w:szCs w:val="20"/>
              </w:rPr>
              <w:t>Еруслан</w:t>
            </w:r>
            <w:proofErr w:type="spellEnd"/>
            <w:r w:rsidRPr="00B11101">
              <w:rPr>
                <w:sz w:val="20"/>
                <w:szCs w:val="20"/>
              </w:rPr>
              <w:t xml:space="preserve"> - </w:t>
            </w:r>
            <w:proofErr w:type="spellStart"/>
            <w:r w:rsidRPr="00B11101">
              <w:rPr>
                <w:sz w:val="20"/>
                <w:szCs w:val="20"/>
              </w:rPr>
              <w:t>Салтово</w:t>
            </w:r>
            <w:proofErr w:type="spellEnd"/>
            <w:r w:rsidRPr="00B11101">
              <w:rPr>
                <w:sz w:val="20"/>
                <w:szCs w:val="20"/>
              </w:rPr>
              <w:t xml:space="preserve">" км 0+000 - км 10+000 в </w:t>
            </w:r>
            <w:proofErr w:type="spellStart"/>
            <w:r w:rsidRPr="00B11101">
              <w:rPr>
                <w:sz w:val="20"/>
                <w:szCs w:val="20"/>
              </w:rPr>
              <w:t>Старополтавском</w:t>
            </w:r>
            <w:proofErr w:type="spellEnd"/>
            <w:r w:rsidRPr="00B11101">
              <w:rPr>
                <w:sz w:val="20"/>
                <w:szCs w:val="20"/>
              </w:rPr>
              <w:t xml:space="preserve"> районе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219,2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113,6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C5488D">
              <w:rPr>
                <w:color w:val="000000"/>
                <w:sz w:val="20"/>
                <w:szCs w:val="20"/>
              </w:rPr>
              <w:t>-105,6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C5488D">
              <w:rPr>
                <w:iCs/>
                <w:color w:val="000000"/>
                <w:sz w:val="20"/>
                <w:szCs w:val="20"/>
              </w:rPr>
              <w:t>-48,2%</w:t>
            </w:r>
          </w:p>
        </w:tc>
      </w:tr>
      <w:tr w:rsidR="00667D2C" w:rsidRPr="00B11101" w:rsidTr="00EE38F7">
        <w:trPr>
          <w:trHeight w:val="20"/>
        </w:trPr>
        <w:tc>
          <w:tcPr>
            <w:tcW w:w="637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D2C" w:rsidRPr="00B11101" w:rsidRDefault="00667D2C" w:rsidP="00EE38F7">
            <w:pPr>
              <w:rPr>
                <w:sz w:val="20"/>
                <w:szCs w:val="20"/>
              </w:rPr>
            </w:pPr>
            <w:r w:rsidRPr="00B11101">
              <w:rPr>
                <w:sz w:val="20"/>
                <w:szCs w:val="20"/>
              </w:rPr>
              <w:t xml:space="preserve">Строительство автомобильной дороги "М-6 "Каспий" - Фролово - Ольховка - </w:t>
            </w:r>
            <w:proofErr w:type="spellStart"/>
            <w:r w:rsidRPr="00B11101">
              <w:rPr>
                <w:sz w:val="20"/>
                <w:szCs w:val="20"/>
              </w:rPr>
              <w:t>Липовка</w:t>
            </w:r>
            <w:proofErr w:type="spellEnd"/>
            <w:r w:rsidRPr="00B11101">
              <w:rPr>
                <w:sz w:val="20"/>
                <w:szCs w:val="20"/>
              </w:rPr>
              <w:t xml:space="preserve"> - автомобильная дорога 1 </w:t>
            </w:r>
            <w:proofErr w:type="gramStart"/>
            <w:r w:rsidRPr="00B11101">
              <w:rPr>
                <w:sz w:val="20"/>
                <w:szCs w:val="20"/>
              </w:rPr>
              <w:t>Р</w:t>
            </w:r>
            <w:proofErr w:type="gramEnd"/>
            <w:r w:rsidRPr="00B11101">
              <w:rPr>
                <w:sz w:val="20"/>
                <w:szCs w:val="20"/>
              </w:rPr>
              <w:t xml:space="preserve"> 228 "Сызрань - Саратов - Волгоград" км 132+330 - км 137+030 в Ольховском районе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67,1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C5488D">
              <w:rPr>
                <w:color w:val="000000"/>
                <w:sz w:val="20"/>
                <w:szCs w:val="20"/>
              </w:rPr>
              <w:t>-67,1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C5488D">
              <w:rPr>
                <w:iCs/>
                <w:color w:val="000000"/>
                <w:sz w:val="20"/>
                <w:szCs w:val="20"/>
              </w:rPr>
              <w:t>-100,0%</w:t>
            </w:r>
          </w:p>
        </w:tc>
      </w:tr>
      <w:tr w:rsidR="00667D2C" w:rsidRPr="00B11101" w:rsidTr="00EE38F7">
        <w:trPr>
          <w:trHeight w:val="20"/>
        </w:trPr>
        <w:tc>
          <w:tcPr>
            <w:tcW w:w="637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D2C" w:rsidRPr="00B11101" w:rsidRDefault="00667D2C" w:rsidP="00EE38F7">
            <w:pPr>
              <w:rPr>
                <w:sz w:val="20"/>
                <w:szCs w:val="20"/>
              </w:rPr>
            </w:pPr>
            <w:r w:rsidRPr="00B11101">
              <w:rPr>
                <w:sz w:val="20"/>
                <w:szCs w:val="20"/>
              </w:rPr>
              <w:t xml:space="preserve">Строительство автомобильной дороги "Обход х. </w:t>
            </w:r>
            <w:proofErr w:type="spellStart"/>
            <w:r w:rsidRPr="00B11101">
              <w:rPr>
                <w:sz w:val="20"/>
                <w:szCs w:val="20"/>
              </w:rPr>
              <w:t>Шарашенский</w:t>
            </w:r>
            <w:proofErr w:type="spellEnd"/>
            <w:r w:rsidRPr="00B11101">
              <w:rPr>
                <w:sz w:val="20"/>
                <w:szCs w:val="20"/>
              </w:rPr>
              <w:t xml:space="preserve">" в Алексеевском районе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C5488D">
              <w:rPr>
                <w:color w:val="000000"/>
                <w:sz w:val="20"/>
                <w:szCs w:val="20"/>
              </w:rPr>
              <w:t>-13,6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C5488D">
              <w:rPr>
                <w:iCs/>
                <w:color w:val="000000"/>
                <w:sz w:val="20"/>
                <w:szCs w:val="20"/>
              </w:rPr>
              <w:t>-25,9%</w:t>
            </w:r>
          </w:p>
        </w:tc>
      </w:tr>
      <w:tr w:rsidR="00667D2C" w:rsidRPr="00B11101" w:rsidTr="00EE38F7">
        <w:trPr>
          <w:trHeight w:val="20"/>
        </w:trPr>
        <w:tc>
          <w:tcPr>
            <w:tcW w:w="637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D2C" w:rsidRPr="00B11101" w:rsidRDefault="00667D2C" w:rsidP="00EE38F7">
            <w:pPr>
              <w:rPr>
                <w:sz w:val="20"/>
                <w:szCs w:val="20"/>
              </w:rPr>
            </w:pPr>
            <w:proofErr w:type="gramStart"/>
            <w:r w:rsidRPr="00B11101">
              <w:rPr>
                <w:sz w:val="20"/>
                <w:szCs w:val="20"/>
              </w:rPr>
              <w:t>Реконструкция</w:t>
            </w:r>
            <w:proofErr w:type="gramEnd"/>
            <w:r w:rsidRPr="00B11101">
              <w:rPr>
                <w:sz w:val="20"/>
                <w:szCs w:val="20"/>
              </w:rPr>
              <w:t xml:space="preserve"> а/</w:t>
            </w:r>
            <w:proofErr w:type="spellStart"/>
            <w:r w:rsidRPr="00B11101">
              <w:rPr>
                <w:sz w:val="20"/>
                <w:szCs w:val="20"/>
              </w:rPr>
              <w:t>д</w:t>
            </w:r>
            <w:proofErr w:type="spellEnd"/>
            <w:r w:rsidRPr="00B11101">
              <w:rPr>
                <w:sz w:val="20"/>
                <w:szCs w:val="20"/>
              </w:rPr>
              <w:t xml:space="preserve"> Волгоград - Краснослободск - Средняя Ахтуба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382,0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C5488D">
              <w:rPr>
                <w:color w:val="000000"/>
                <w:sz w:val="20"/>
                <w:szCs w:val="20"/>
              </w:rPr>
              <w:t>-382,0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C5488D">
              <w:rPr>
                <w:iCs/>
                <w:color w:val="000000"/>
                <w:sz w:val="20"/>
                <w:szCs w:val="20"/>
              </w:rPr>
              <w:t>-100,0%</w:t>
            </w:r>
          </w:p>
        </w:tc>
      </w:tr>
      <w:tr w:rsidR="00667D2C" w:rsidRPr="00B11101" w:rsidTr="00EE38F7">
        <w:trPr>
          <w:trHeight w:val="20"/>
        </w:trPr>
        <w:tc>
          <w:tcPr>
            <w:tcW w:w="637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D2C" w:rsidRPr="00B11101" w:rsidRDefault="00667D2C" w:rsidP="00EE38F7">
            <w:pPr>
              <w:rPr>
                <w:sz w:val="20"/>
                <w:szCs w:val="20"/>
              </w:rPr>
            </w:pPr>
            <w:r w:rsidRPr="00B11101">
              <w:rPr>
                <w:sz w:val="20"/>
                <w:szCs w:val="20"/>
              </w:rPr>
              <w:t xml:space="preserve">Строительство автомобильной дороги "Урюпинск - </w:t>
            </w:r>
            <w:proofErr w:type="spellStart"/>
            <w:r w:rsidRPr="00B11101">
              <w:rPr>
                <w:sz w:val="20"/>
                <w:szCs w:val="20"/>
              </w:rPr>
              <w:t>Дубовский</w:t>
            </w:r>
            <w:proofErr w:type="spellEnd"/>
            <w:r w:rsidRPr="00B11101">
              <w:rPr>
                <w:sz w:val="20"/>
                <w:szCs w:val="20"/>
              </w:rPr>
              <w:t xml:space="preserve"> - </w:t>
            </w:r>
            <w:proofErr w:type="gramStart"/>
            <w:r w:rsidRPr="00B11101">
              <w:rPr>
                <w:sz w:val="20"/>
                <w:szCs w:val="20"/>
              </w:rPr>
              <w:t>Алексеевская</w:t>
            </w:r>
            <w:proofErr w:type="gramEnd"/>
            <w:r w:rsidRPr="00B11101">
              <w:rPr>
                <w:sz w:val="20"/>
                <w:szCs w:val="20"/>
              </w:rPr>
              <w:t xml:space="preserve">" на участке х. </w:t>
            </w:r>
            <w:proofErr w:type="spellStart"/>
            <w:r w:rsidRPr="00B11101">
              <w:rPr>
                <w:sz w:val="20"/>
                <w:szCs w:val="20"/>
              </w:rPr>
              <w:t>Дубовский</w:t>
            </w:r>
            <w:proofErr w:type="spellEnd"/>
            <w:r w:rsidRPr="00B11101">
              <w:rPr>
                <w:sz w:val="20"/>
                <w:szCs w:val="20"/>
              </w:rPr>
              <w:t xml:space="preserve"> - х. </w:t>
            </w:r>
            <w:proofErr w:type="spellStart"/>
            <w:r w:rsidRPr="00B11101">
              <w:rPr>
                <w:sz w:val="20"/>
                <w:szCs w:val="20"/>
              </w:rPr>
              <w:t>Пимкинский</w:t>
            </w:r>
            <w:proofErr w:type="spellEnd"/>
            <w:r w:rsidRPr="00B11101">
              <w:rPr>
                <w:sz w:val="20"/>
                <w:szCs w:val="20"/>
              </w:rPr>
              <w:t xml:space="preserve"> в Урюпинском и Алексеевском районах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248,7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C5488D">
              <w:rPr>
                <w:color w:val="000000"/>
                <w:sz w:val="20"/>
                <w:szCs w:val="20"/>
              </w:rPr>
              <w:t>198,7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C5488D">
              <w:rPr>
                <w:iCs/>
                <w:color w:val="000000"/>
                <w:sz w:val="20"/>
                <w:szCs w:val="20"/>
              </w:rPr>
              <w:t>397,3%</w:t>
            </w:r>
          </w:p>
        </w:tc>
      </w:tr>
      <w:tr w:rsidR="00667D2C" w:rsidRPr="00B11101" w:rsidTr="00EE38F7">
        <w:trPr>
          <w:trHeight w:val="20"/>
        </w:trPr>
        <w:tc>
          <w:tcPr>
            <w:tcW w:w="637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D2C" w:rsidRPr="00B11101" w:rsidRDefault="00667D2C" w:rsidP="00EE38F7">
            <w:pPr>
              <w:rPr>
                <w:sz w:val="20"/>
                <w:szCs w:val="20"/>
              </w:rPr>
            </w:pPr>
            <w:r w:rsidRPr="00B11101">
              <w:rPr>
                <w:sz w:val="20"/>
                <w:szCs w:val="20"/>
              </w:rPr>
              <w:t>Проектно-изыскательские работы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C5488D">
              <w:rPr>
                <w:color w:val="000000"/>
                <w:sz w:val="20"/>
                <w:szCs w:val="20"/>
              </w:rPr>
              <w:t>-100,0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C5488D">
              <w:rPr>
                <w:iCs/>
                <w:color w:val="000000"/>
                <w:sz w:val="20"/>
                <w:szCs w:val="20"/>
              </w:rPr>
              <w:t>-100,0%</w:t>
            </w:r>
          </w:p>
        </w:tc>
      </w:tr>
      <w:tr w:rsidR="00667D2C" w:rsidRPr="00B11101" w:rsidTr="00EE38F7">
        <w:trPr>
          <w:trHeight w:val="20"/>
        </w:trPr>
        <w:tc>
          <w:tcPr>
            <w:tcW w:w="6379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D2C" w:rsidRPr="00B11101" w:rsidRDefault="00667D2C" w:rsidP="00EE38F7">
            <w:pPr>
              <w:rPr>
                <w:sz w:val="20"/>
                <w:szCs w:val="20"/>
              </w:rPr>
            </w:pPr>
            <w:r w:rsidRPr="00B11101">
              <w:rPr>
                <w:sz w:val="20"/>
                <w:szCs w:val="20"/>
              </w:rPr>
              <w:t xml:space="preserve">Строительство автомобильной дороги "Новоаннинский - Красный Октябрь - </w:t>
            </w:r>
            <w:proofErr w:type="gramStart"/>
            <w:r w:rsidRPr="00B11101">
              <w:rPr>
                <w:sz w:val="20"/>
                <w:szCs w:val="20"/>
              </w:rPr>
              <w:t>Алексеевская</w:t>
            </w:r>
            <w:proofErr w:type="gramEnd"/>
            <w:r w:rsidRPr="00B11101">
              <w:rPr>
                <w:sz w:val="20"/>
                <w:szCs w:val="20"/>
              </w:rPr>
              <w:t xml:space="preserve">" в Алексеевском районе </w:t>
            </w:r>
          </w:p>
        </w:tc>
        <w:tc>
          <w:tcPr>
            <w:tcW w:w="113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B11101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B11101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color w:val="000000"/>
                <w:sz w:val="20"/>
                <w:szCs w:val="20"/>
              </w:rPr>
            </w:pPr>
            <w:r w:rsidRPr="00C5488D">
              <w:rPr>
                <w:color w:val="000000"/>
                <w:sz w:val="20"/>
                <w:szCs w:val="20"/>
              </w:rPr>
              <w:t>-48,0</w:t>
            </w:r>
          </w:p>
        </w:tc>
        <w:tc>
          <w:tcPr>
            <w:tcW w:w="92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7D2C" w:rsidRPr="00C5488D" w:rsidRDefault="00667D2C" w:rsidP="00EE38F7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C5488D">
              <w:rPr>
                <w:iCs/>
                <w:color w:val="000000"/>
                <w:sz w:val="20"/>
                <w:szCs w:val="20"/>
              </w:rPr>
              <w:t>-100,0%</w:t>
            </w:r>
          </w:p>
        </w:tc>
      </w:tr>
    </w:tbl>
    <w:p w:rsidR="00667D2C" w:rsidRDefault="00667D2C" w:rsidP="00667D2C">
      <w:pPr>
        <w:ind w:firstLine="709"/>
        <w:jc w:val="both"/>
        <w:rPr>
          <w:iCs/>
        </w:rPr>
      </w:pPr>
    </w:p>
    <w:p w:rsidR="00667D2C" w:rsidRDefault="00667D2C" w:rsidP="00667D2C">
      <w:pPr>
        <w:ind w:firstLine="709"/>
        <w:jc w:val="both"/>
        <w:rPr>
          <w:iCs/>
        </w:rPr>
      </w:pPr>
      <w:r>
        <w:rPr>
          <w:iCs/>
        </w:rPr>
        <w:t xml:space="preserve"> Из таблицы видно, что </w:t>
      </w:r>
      <w:r w:rsidR="00A400DC">
        <w:rPr>
          <w:iCs/>
        </w:rPr>
        <w:t xml:space="preserve">также законопроектом </w:t>
      </w:r>
      <w:r>
        <w:rPr>
          <w:iCs/>
        </w:rPr>
        <w:t>н</w:t>
      </w:r>
      <w:r w:rsidRPr="004D7E30">
        <w:rPr>
          <w:iCs/>
        </w:rPr>
        <w:t>е предусмотрены расходы на проектно-изыскательские работы, что сделает невозможным строительство дорог в последующие годы.</w:t>
      </w:r>
    </w:p>
    <w:p w:rsidR="00667D2C" w:rsidRDefault="00667D2C" w:rsidP="00667D2C">
      <w:pPr>
        <w:ind w:firstLine="709"/>
        <w:jc w:val="both"/>
      </w:pPr>
      <w:proofErr w:type="gramStart"/>
      <w:r w:rsidRPr="00865740">
        <w:t>Предлагаемый к утверждению на 2018 год объ</w:t>
      </w:r>
      <w:r w:rsidR="00A400DC">
        <w:t>е</w:t>
      </w:r>
      <w:r w:rsidRPr="00865740">
        <w:t>м ассигнований областного бюджета на капитальный ремонт, ремонт и содержание автомобильных дорог регионального или межмуниципального значения Волгоградской области (1689,3 млн. руб</w:t>
      </w:r>
      <w:r w:rsidRPr="00D4760D">
        <w:t>.) в 2,2 раза меньше объ</w:t>
      </w:r>
      <w:r w:rsidR="00A400DC">
        <w:t>е</w:t>
      </w:r>
      <w:r w:rsidRPr="00D4760D">
        <w:t>ма расходов, утвержд</w:t>
      </w:r>
      <w:r w:rsidR="00A400DC">
        <w:t>е</w:t>
      </w:r>
      <w:r w:rsidRPr="00D4760D">
        <w:t>нного госпрограммой (3715 млн. руб.)</w:t>
      </w:r>
      <w:r>
        <w:t xml:space="preserve"> и </w:t>
      </w:r>
      <w:r w:rsidRPr="00795DBC">
        <w:t xml:space="preserve">почти в 23 раза </w:t>
      </w:r>
      <w:r>
        <w:t xml:space="preserve">меньше </w:t>
      </w:r>
      <w:r w:rsidRPr="00865740">
        <w:t>нормативной потребности, рассчитанной в соответствии с постановлением Администрации Волгоградской области от 25.04.2011 №178-п «Об установлении нормативов</w:t>
      </w:r>
      <w:proofErr w:type="gramEnd"/>
      <w:r w:rsidRPr="00865740">
        <w:t xml:space="preserve"> денежных затрат на капитальный ремонт, ремонт и содержание автомобильных дорог регионального или межмуниципального значения Волгоградской области и утверждении Правил расчета денежных затрат на капитальный ремонт, ремонт и содержание автодорог регионального или межмуниципального значения Волгоградской области при определении размера ассигнований из областного бюджета, предусматриваемых на эти цели» (</w:t>
      </w:r>
      <w:proofErr w:type="gramStart"/>
      <w:r w:rsidRPr="00865740">
        <w:t>см</w:t>
      </w:r>
      <w:proofErr w:type="gramEnd"/>
      <w:r w:rsidRPr="00865740">
        <w:t>. таблицу).</w:t>
      </w:r>
    </w:p>
    <w:p w:rsidR="00667D2C" w:rsidRPr="00EE38F7" w:rsidRDefault="00667D2C" w:rsidP="00667D2C">
      <w:pPr>
        <w:ind w:firstLine="709"/>
        <w:jc w:val="right"/>
        <w:rPr>
          <w:sz w:val="20"/>
          <w:szCs w:val="20"/>
        </w:rPr>
      </w:pPr>
      <w:r w:rsidRPr="00EE38F7">
        <w:rPr>
          <w:sz w:val="20"/>
          <w:szCs w:val="20"/>
        </w:rPr>
        <w:t>млн. руб.</w:t>
      </w:r>
    </w:p>
    <w:tbl>
      <w:tblPr>
        <w:tblStyle w:val="af7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843"/>
        <w:gridCol w:w="1411"/>
        <w:gridCol w:w="1390"/>
        <w:gridCol w:w="1145"/>
        <w:gridCol w:w="1850"/>
      </w:tblGrid>
      <w:tr w:rsidR="00667D2C" w:rsidRPr="00865740" w:rsidTr="00EE38F7">
        <w:tc>
          <w:tcPr>
            <w:tcW w:w="407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center"/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Направление расходов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center"/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Нормативная потребность</w:t>
            </w:r>
          </w:p>
        </w:tc>
        <w:tc>
          <w:tcPr>
            <w:tcW w:w="1027" w:type="dxa"/>
            <w:vMerge w:val="restart"/>
            <w:tcBorders>
              <w:top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center"/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Законопроект</w:t>
            </w:r>
          </w:p>
        </w:tc>
        <w:tc>
          <w:tcPr>
            <w:tcW w:w="3118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center"/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Отклонение</w:t>
            </w:r>
          </w:p>
        </w:tc>
      </w:tr>
      <w:tr w:rsidR="00667D2C" w:rsidRPr="00865740" w:rsidTr="00EE38F7">
        <w:tc>
          <w:tcPr>
            <w:tcW w:w="4077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bottom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bottom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center"/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млн. руб.</w:t>
            </w:r>
          </w:p>
        </w:tc>
        <w:tc>
          <w:tcPr>
            <w:tcW w:w="195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center"/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%</w:t>
            </w:r>
          </w:p>
        </w:tc>
      </w:tr>
      <w:tr w:rsidR="00667D2C" w:rsidRPr="00865740" w:rsidTr="00EE38F7">
        <w:tc>
          <w:tcPr>
            <w:tcW w:w="407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67D2C" w:rsidRPr="00865740" w:rsidRDefault="00667D2C" w:rsidP="00EE38F7">
            <w:pPr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Капитальный ремонт автомобильных дорог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right"/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23 122,7</w:t>
            </w:r>
          </w:p>
        </w:tc>
        <w:tc>
          <w:tcPr>
            <w:tcW w:w="1027" w:type="dxa"/>
            <w:vMerge w:val="restart"/>
            <w:tcBorders>
              <w:top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right"/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553,1</w:t>
            </w:r>
          </w:p>
        </w:tc>
        <w:tc>
          <w:tcPr>
            <w:tcW w:w="1168" w:type="dxa"/>
            <w:vMerge w:val="restart"/>
            <w:tcBorders>
              <w:top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right"/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- 29 570,0</w:t>
            </w:r>
          </w:p>
        </w:tc>
        <w:tc>
          <w:tcPr>
            <w:tcW w:w="195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865740">
              <w:rPr>
                <w:sz w:val="20"/>
                <w:szCs w:val="20"/>
              </w:rPr>
              <w:t>еньше</w:t>
            </w:r>
            <w:r>
              <w:rPr>
                <w:sz w:val="20"/>
                <w:szCs w:val="20"/>
              </w:rPr>
              <w:t xml:space="preserve"> </w:t>
            </w:r>
            <w:r w:rsidRPr="00865740">
              <w:rPr>
                <w:sz w:val="20"/>
                <w:szCs w:val="20"/>
              </w:rPr>
              <w:t>в 54,5 раза</w:t>
            </w:r>
          </w:p>
        </w:tc>
      </w:tr>
      <w:tr w:rsidR="00667D2C" w:rsidRPr="00865740" w:rsidTr="00EE38F7">
        <w:tc>
          <w:tcPr>
            <w:tcW w:w="4077" w:type="dxa"/>
            <w:tcBorders>
              <w:left w:val="double" w:sz="4" w:space="0" w:color="auto"/>
            </w:tcBorders>
            <w:vAlign w:val="center"/>
          </w:tcPr>
          <w:p w:rsidR="00667D2C" w:rsidRPr="00865740" w:rsidRDefault="00667D2C" w:rsidP="00EE38F7">
            <w:pPr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Ремонт автомобильных дорог</w:t>
            </w:r>
          </w:p>
        </w:tc>
        <w:tc>
          <w:tcPr>
            <w:tcW w:w="1417" w:type="dxa"/>
            <w:vAlign w:val="center"/>
          </w:tcPr>
          <w:p w:rsidR="00667D2C" w:rsidRPr="00865740" w:rsidRDefault="00667D2C" w:rsidP="00EE38F7">
            <w:pPr>
              <w:jc w:val="right"/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7 000,4</w:t>
            </w:r>
          </w:p>
        </w:tc>
        <w:tc>
          <w:tcPr>
            <w:tcW w:w="1027" w:type="dxa"/>
            <w:vMerge/>
            <w:vAlign w:val="center"/>
          </w:tcPr>
          <w:p w:rsidR="00667D2C" w:rsidRPr="00865740" w:rsidRDefault="00667D2C" w:rsidP="00EE38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8" w:type="dxa"/>
            <w:vMerge/>
            <w:vAlign w:val="center"/>
          </w:tcPr>
          <w:p w:rsidR="00667D2C" w:rsidRPr="00865740" w:rsidRDefault="00667D2C" w:rsidP="00EE38F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  <w:tcBorders>
              <w:right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center"/>
              <w:rPr>
                <w:sz w:val="20"/>
                <w:szCs w:val="20"/>
              </w:rPr>
            </w:pPr>
          </w:p>
        </w:tc>
      </w:tr>
      <w:tr w:rsidR="00667D2C" w:rsidRPr="00865740" w:rsidTr="00EE38F7">
        <w:tc>
          <w:tcPr>
            <w:tcW w:w="407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67D2C" w:rsidRPr="00865740" w:rsidRDefault="00667D2C" w:rsidP="00EE38F7">
            <w:pPr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Содержание автомобильных дорог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right"/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8 674,2</w:t>
            </w:r>
          </w:p>
        </w:tc>
        <w:tc>
          <w:tcPr>
            <w:tcW w:w="1027" w:type="dxa"/>
            <w:tcBorders>
              <w:bottom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right"/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1 136,2</w:t>
            </w:r>
          </w:p>
        </w:tc>
        <w:tc>
          <w:tcPr>
            <w:tcW w:w="1168" w:type="dxa"/>
            <w:tcBorders>
              <w:bottom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right"/>
              <w:rPr>
                <w:sz w:val="20"/>
                <w:szCs w:val="20"/>
              </w:rPr>
            </w:pPr>
            <w:r w:rsidRPr="00865740">
              <w:rPr>
                <w:sz w:val="20"/>
                <w:szCs w:val="20"/>
              </w:rPr>
              <w:t>- 7 538,0</w:t>
            </w:r>
          </w:p>
        </w:tc>
        <w:tc>
          <w:tcPr>
            <w:tcW w:w="195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67D2C" w:rsidRPr="00865740" w:rsidRDefault="00667D2C" w:rsidP="00EE38F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865740">
              <w:rPr>
                <w:sz w:val="20"/>
                <w:szCs w:val="20"/>
              </w:rPr>
              <w:t>еньше</w:t>
            </w:r>
            <w:r>
              <w:rPr>
                <w:sz w:val="20"/>
                <w:szCs w:val="20"/>
              </w:rPr>
              <w:t xml:space="preserve"> </w:t>
            </w:r>
            <w:r w:rsidRPr="00865740">
              <w:rPr>
                <w:sz w:val="20"/>
                <w:szCs w:val="20"/>
              </w:rPr>
              <w:t>в 7,6 раза</w:t>
            </w:r>
          </w:p>
        </w:tc>
      </w:tr>
    </w:tbl>
    <w:p w:rsidR="00667D2C" w:rsidRDefault="00667D2C" w:rsidP="00667D2C">
      <w:pPr>
        <w:ind w:firstLine="709"/>
        <w:jc w:val="both"/>
      </w:pPr>
    </w:p>
    <w:p w:rsidR="00667D2C" w:rsidRDefault="00667D2C" w:rsidP="00667D2C">
      <w:pPr>
        <w:ind w:firstLine="709"/>
        <w:jc w:val="both"/>
      </w:pPr>
      <w:r>
        <w:t>С 2017 года в рамках подпрограмм госпрограммы «Развитие транспортной системы и обеспечение безопасности дорожного движения в Волгоградской области» реализуется программа комплексного развития транспортной инфраструктуры Волгоградской городской агломерации (далее ПКРТИ), осуществляемая в рамках приоритетного проекта «Безопасные и качественные дороги».</w:t>
      </w:r>
    </w:p>
    <w:p w:rsidR="00667D2C" w:rsidRDefault="00667D2C" w:rsidP="00667D2C">
      <w:pPr>
        <w:ind w:firstLine="709"/>
        <w:jc w:val="both"/>
      </w:pPr>
      <w:r>
        <w:t>По рекомендации КСП постановлением Администрации Волгоградской области от 28.09.2017 №517-п в указанную государственную программу Волгоградской области внесены изменения, предусматривающие обособление мероприятий ПКРТИ.</w:t>
      </w:r>
    </w:p>
    <w:p w:rsidR="00667D2C" w:rsidRDefault="00667D2C" w:rsidP="00667D2C">
      <w:pPr>
        <w:ind w:firstLine="709"/>
        <w:jc w:val="both"/>
      </w:pPr>
      <w:r>
        <w:lastRenderedPageBreak/>
        <w:t>Однако законом об областном бюджете на 2017 год объем средств на мероприятия ПКРТИ отдельно не был предусмотрен в связи со сложным механизмом введения новых целевых статей в текущем финансовом году.</w:t>
      </w:r>
    </w:p>
    <w:p w:rsidR="00667D2C" w:rsidRDefault="00667D2C" w:rsidP="00667D2C">
      <w:pPr>
        <w:ind w:firstLine="709"/>
        <w:jc w:val="both"/>
      </w:pPr>
      <w:r>
        <w:t>В результате бюджетная отч</w:t>
      </w:r>
      <w:r w:rsidR="00B92A63">
        <w:t>е</w:t>
      </w:r>
      <w:r>
        <w:t>тность не содержит обособленной информации о реализации ПКРТИ по объ</w:t>
      </w:r>
      <w:r w:rsidR="00B92A63">
        <w:t>е</w:t>
      </w:r>
      <w:r>
        <w:t xml:space="preserve">мам </w:t>
      </w:r>
      <w:proofErr w:type="gramStart"/>
      <w:r>
        <w:t>расходов</w:t>
      </w:r>
      <w:proofErr w:type="gramEnd"/>
      <w:r>
        <w:t xml:space="preserve"> и текущий контроль осуществляется на основе программных документов и текущей аналитической информации.</w:t>
      </w:r>
    </w:p>
    <w:p w:rsidR="00667D2C" w:rsidRPr="00B92A63" w:rsidRDefault="00667D2C" w:rsidP="00667D2C">
      <w:pPr>
        <w:ind w:firstLine="709"/>
        <w:jc w:val="both"/>
        <w:rPr>
          <w:b/>
          <w:i/>
        </w:rPr>
      </w:pPr>
      <w:proofErr w:type="gramStart"/>
      <w:r w:rsidRPr="00B92A63">
        <w:rPr>
          <w:b/>
          <w:i/>
        </w:rPr>
        <w:t xml:space="preserve">Отсутствие отдельных специальных целевых статьей расходов </w:t>
      </w:r>
      <w:r w:rsidRPr="000218A5">
        <w:rPr>
          <w:b/>
          <w:i/>
        </w:rPr>
        <w:t>в областном бюджете и соответственно в бюджетной отч</w:t>
      </w:r>
      <w:r w:rsidR="00B92A63" w:rsidRPr="000218A5">
        <w:rPr>
          <w:b/>
          <w:i/>
        </w:rPr>
        <w:t>е</w:t>
      </w:r>
      <w:r w:rsidRPr="000218A5">
        <w:rPr>
          <w:b/>
          <w:i/>
        </w:rPr>
        <w:t>тности</w:t>
      </w:r>
      <w:r w:rsidRPr="000218A5">
        <w:t>, отражающих ассигнования и кассовые расходы на реализацию значимой и масштабной программы, осуществляемой в рамках федерального приоритетного проекта «Безопасные и качественные дороги»,</w:t>
      </w:r>
      <w:r w:rsidRPr="00B92A63">
        <w:rPr>
          <w:b/>
          <w:i/>
        </w:rPr>
        <w:t xml:space="preserve"> может оказать негативное влияние на качество и прозрачность бюджетного планирования, исполнения областного бюджета, формирования отч</w:t>
      </w:r>
      <w:r w:rsidR="00B92A63">
        <w:rPr>
          <w:b/>
          <w:i/>
        </w:rPr>
        <w:t>е</w:t>
      </w:r>
      <w:r w:rsidRPr="00B92A63">
        <w:rPr>
          <w:b/>
          <w:i/>
        </w:rPr>
        <w:t>тности, мониторинга и контроля за реализацией ПКРТИ.</w:t>
      </w:r>
      <w:proofErr w:type="gramEnd"/>
    </w:p>
    <w:p w:rsidR="00667D2C" w:rsidRDefault="00667D2C" w:rsidP="00667D2C">
      <w:pPr>
        <w:ind w:firstLine="709"/>
        <w:jc w:val="both"/>
      </w:pPr>
      <w:r>
        <w:t>П</w:t>
      </w:r>
      <w:r w:rsidR="00B92A63">
        <w:t>о мнению КСП</w:t>
      </w:r>
      <w:r>
        <w:t>, указанный недостаток может быть устран</w:t>
      </w:r>
      <w:r w:rsidR="00B92A63">
        <w:t>е</w:t>
      </w:r>
      <w:r>
        <w:t>н пут</w:t>
      </w:r>
      <w:r w:rsidR="00B92A63">
        <w:t>е</w:t>
      </w:r>
      <w:r>
        <w:t>м выделения мероприятий ПКРТИ в основное мероприятие подпрограммы «Совершенствование и развитие сети автомобильных дорог общего пользования Волгоградской области».</w:t>
      </w:r>
    </w:p>
    <w:p w:rsidR="00667D2C" w:rsidRDefault="00667D2C" w:rsidP="00667D2C">
      <w:pPr>
        <w:ind w:firstLine="709"/>
        <w:jc w:val="both"/>
      </w:pPr>
    </w:p>
    <w:p w:rsidR="00667D2C" w:rsidRDefault="00667D2C" w:rsidP="00667D2C">
      <w:pPr>
        <w:ind w:firstLine="709"/>
        <w:jc w:val="both"/>
      </w:pPr>
      <w:r>
        <w:t>Законопроектом предлагается направить на строительство и реконструкцию автомобильных дорог в рамках госпрограммы «Устойчивое развитие сельских территорий» 831,6 млн. руб. (в т</w:t>
      </w:r>
      <w:r w:rsidR="009F71F4">
        <w:t>ом</w:t>
      </w:r>
      <w:r>
        <w:t xml:space="preserve"> ч</w:t>
      </w:r>
      <w:r w:rsidR="009F71F4">
        <w:t>исле</w:t>
      </w:r>
      <w:r>
        <w:t xml:space="preserve"> 403,9 млн. руб.</w:t>
      </w:r>
      <w:r w:rsidR="009F71F4">
        <w:t xml:space="preserve"> -</w:t>
      </w:r>
      <w:r>
        <w:t xml:space="preserve"> за сч</w:t>
      </w:r>
      <w:r w:rsidR="009F71F4">
        <w:t>е</w:t>
      </w:r>
      <w:r>
        <w:t xml:space="preserve">т </w:t>
      </w:r>
      <w:r w:rsidR="009F71F4">
        <w:t xml:space="preserve">средств </w:t>
      </w:r>
      <w:r>
        <w:t>федерального бюджета), что превышает ассигнования 2017 года на 299,1 млн. руб. (56,2%). К строительству предлагается 6 дорог</w:t>
      </w:r>
      <w:r w:rsidR="007F3386">
        <w:t>,</w:t>
      </w:r>
      <w:r>
        <w:t xml:space="preserve"> ведущих от сети автомобильных дорог общего пользования к ближайшим общественно значимым объектам сельских населенных пунктов, а также 2 дороги к объектам производства и переработки сельскохозяйственной продукции общей протяж</w:t>
      </w:r>
      <w:r w:rsidR="007F3386">
        <w:t>е</w:t>
      </w:r>
      <w:r>
        <w:t xml:space="preserve">нностью 30,2 км. (Приложения 13,14 к </w:t>
      </w:r>
      <w:r w:rsidR="007F3386">
        <w:t>з</w:t>
      </w:r>
      <w:r>
        <w:t>аконопроекту).</w:t>
      </w:r>
    </w:p>
    <w:p w:rsidR="00667D2C" w:rsidRDefault="00667D2C" w:rsidP="00667D2C">
      <w:pPr>
        <w:ind w:firstLine="709"/>
        <w:jc w:val="both"/>
      </w:pPr>
      <w:r>
        <w:t>В своем заключении на проект постановления Администрации Волгоградской области «Об утверждении государственной программы Волгоградской области «Устойчивое развитие сельских территорий Волгоградской области» (№ 01КСП-02-02/122 от 03.08.2017) КСП отмечала неоднозначность подходов к формированию перечня объектов строительства указанных объектов.</w:t>
      </w:r>
    </w:p>
    <w:p w:rsidR="00667D2C" w:rsidRDefault="00667D2C" w:rsidP="00667D2C">
      <w:pPr>
        <w:ind w:firstLine="709"/>
        <w:jc w:val="both"/>
        <w:rPr>
          <w:rFonts w:eastAsia="Calibri"/>
        </w:rPr>
      </w:pPr>
      <w:proofErr w:type="spellStart"/>
      <w:r>
        <w:rPr>
          <w:rFonts w:eastAsia="Calibri"/>
        </w:rPr>
        <w:t>Общесоциальными</w:t>
      </w:r>
      <w:proofErr w:type="spellEnd"/>
      <w:r>
        <w:rPr>
          <w:rFonts w:eastAsia="Calibri"/>
        </w:rPr>
        <w:t xml:space="preserve"> итогами реализации Транспортной стратегии РФ, утвержд</w:t>
      </w:r>
      <w:r w:rsidR="00286EAE">
        <w:rPr>
          <w:rFonts w:eastAsia="Calibri"/>
        </w:rPr>
        <w:t>е</w:t>
      </w:r>
      <w:r>
        <w:rPr>
          <w:rFonts w:eastAsia="Calibri"/>
        </w:rPr>
        <w:t xml:space="preserve">нной распоряжением Правительства РФ от 22.11.2008 №1734-р, является, в том числе обеспечение постоянной круглогодичной связи всех сельских населенных пунктов, </w:t>
      </w:r>
      <w:r>
        <w:rPr>
          <w:rFonts w:eastAsia="Calibri"/>
          <w:u w:val="single"/>
        </w:rPr>
        <w:t>имеющих перспективы развития</w:t>
      </w:r>
      <w:r>
        <w:rPr>
          <w:rFonts w:eastAsia="Calibri"/>
        </w:rPr>
        <w:t>, по дорогам с твердым покрытием с сетью автомобильных дорог общего пользования.</w:t>
      </w:r>
    </w:p>
    <w:p w:rsidR="00667D2C" w:rsidRDefault="00667D2C" w:rsidP="00667D2C">
      <w:pPr>
        <w:ind w:firstLine="709"/>
        <w:jc w:val="both"/>
        <w:rPr>
          <w:rFonts w:eastAsia="Calibri"/>
        </w:rPr>
      </w:pPr>
      <w:r>
        <w:rPr>
          <w:rFonts w:eastAsia="Calibri"/>
        </w:rPr>
        <w:t>Так, например, не ясны перспективы развития х. Андреевский Новониколаевского муниципального района Волгоградской области с населением 81 человек. На строительство дороги к нему протяженностью 5,9 км планируется направить 187 млн. руб., или по 2,3 млн. руб. на человека.</w:t>
      </w:r>
    </w:p>
    <w:p w:rsidR="00667D2C" w:rsidRDefault="00667D2C" w:rsidP="00667D2C">
      <w:pPr>
        <w:ind w:firstLine="709"/>
        <w:jc w:val="both"/>
        <w:rPr>
          <w:rFonts w:eastAsia="Calibri"/>
        </w:rPr>
      </w:pPr>
      <w:r>
        <w:rPr>
          <w:rFonts w:eastAsia="Calibri"/>
        </w:rPr>
        <w:t>Представляется, что боле</w:t>
      </w:r>
      <w:r w:rsidR="00286EAE">
        <w:rPr>
          <w:rFonts w:eastAsia="Calibri"/>
        </w:rPr>
        <w:t>е перспективными являются населе</w:t>
      </w:r>
      <w:r>
        <w:rPr>
          <w:rFonts w:eastAsia="Calibri"/>
        </w:rPr>
        <w:t xml:space="preserve">нные пункты с большей численностью населения и при строительстве дорог к ним будет получен больший социально-экономический эффект. </w:t>
      </w:r>
    </w:p>
    <w:p w:rsidR="00667D2C" w:rsidRDefault="00667D2C" w:rsidP="00667D2C">
      <w:pPr>
        <w:ind w:firstLine="709"/>
        <w:jc w:val="both"/>
        <w:rPr>
          <w:rFonts w:eastAsia="Calibri"/>
        </w:rPr>
      </w:pPr>
      <w:r>
        <w:rPr>
          <w:rFonts w:eastAsia="Calibri"/>
        </w:rPr>
        <w:t>Предлагаемый подход к формированию перечня объектов строительства дорог на селе не позволяет обеспечить максимально возможную степень эффективности использования бюджетных средств и приводит к их распылению.</w:t>
      </w:r>
    </w:p>
    <w:p w:rsidR="00667D2C" w:rsidRDefault="00667D2C" w:rsidP="00667D2C">
      <w:pPr>
        <w:ind w:firstLine="709"/>
        <w:jc w:val="both"/>
      </w:pPr>
    </w:p>
    <w:p w:rsidR="00667D2C" w:rsidRDefault="00667D2C" w:rsidP="00667D2C">
      <w:pPr>
        <w:ind w:firstLine="709"/>
        <w:jc w:val="both"/>
      </w:pPr>
      <w:proofErr w:type="gramStart"/>
      <w:r>
        <w:t>Законопроектом предлагается включение в расходы за счет бюджетных ассигнований дорожного фонда Волгоградской области части мероприятий по созданию, развитию и обеспечению функционирования средств автоматизации комплексной системы обеспечения безопасности жизнедеятельности населения (далее «АПК «Безопасный город») - расходы на приобретение и обеспечение функционирования комплексов фиксации нарушений скоростного режима (</w:t>
      </w:r>
      <w:r w:rsidRPr="00992529">
        <w:t>в 2018 году 451,7 млн. руб.),</w:t>
      </w:r>
      <w:r>
        <w:t xml:space="preserve"> комплексов управления дорожным движением («Умные светофоры») (</w:t>
      </w:r>
      <w:r w:rsidRPr="00992529">
        <w:t>50 млн. руб.).</w:t>
      </w:r>
      <w:proofErr w:type="gramEnd"/>
    </w:p>
    <w:p w:rsidR="00667D2C" w:rsidRDefault="00667D2C" w:rsidP="00667D2C">
      <w:pPr>
        <w:ind w:firstLine="709"/>
        <w:jc w:val="both"/>
      </w:pPr>
      <w:r>
        <w:t>В связи с этим необходимо отметить следующее.</w:t>
      </w:r>
    </w:p>
    <w:p w:rsidR="00667D2C" w:rsidRDefault="00286EAE" w:rsidP="00667D2C">
      <w:pPr>
        <w:ind w:firstLine="709"/>
        <w:jc w:val="both"/>
      </w:pPr>
      <w:r>
        <w:lastRenderedPageBreak/>
        <w:t>В</w:t>
      </w:r>
      <w:r w:rsidR="00667D2C">
        <w:t xml:space="preserve"> соответствии с п</w:t>
      </w:r>
      <w:r>
        <w:t xml:space="preserve">унктами </w:t>
      </w:r>
      <w:r w:rsidR="00667D2C">
        <w:t xml:space="preserve">1, 2 </w:t>
      </w:r>
      <w:r>
        <w:t xml:space="preserve">Закона Волгоградской области от 07.11.2011 №2246-ОД «О дорожном фонде Волгоградской области» </w:t>
      </w:r>
      <w:r w:rsidR="00667D2C">
        <w:t xml:space="preserve">дорожный фонд Волгоградской области - часть средств областного бюджета, подлежащая использованию в целях финансового обеспечения дорожной деятельности </w:t>
      </w:r>
      <w:r w:rsidR="00667D2C">
        <w:rPr>
          <w:u w:val="single"/>
        </w:rPr>
        <w:t>в отношении автомобильных дорог общего пользования (за исключением автомобильных дорог федерального значения)</w:t>
      </w:r>
      <w:r w:rsidR="00667D2C">
        <w:t xml:space="preserve">. Средства дорожного фонда имеют специальное назначение и </w:t>
      </w:r>
      <w:r w:rsidR="00667D2C">
        <w:rPr>
          <w:u w:val="single"/>
        </w:rPr>
        <w:t>не подлежат изъятию или расходованию на нужды, не связанные</w:t>
      </w:r>
      <w:r w:rsidR="00667D2C">
        <w:t xml:space="preserve"> с финансовым обеспечением дорожной деятельности и дорожного хозяйства в отношении автомобильных дорог общего пользования </w:t>
      </w:r>
      <w:r w:rsidR="00667D2C">
        <w:rPr>
          <w:u w:val="single"/>
        </w:rPr>
        <w:t>регионального или межмуниципального</w:t>
      </w:r>
      <w:r w:rsidR="00667D2C">
        <w:t xml:space="preserve"> значения Волгоградской области.</w:t>
      </w:r>
    </w:p>
    <w:p w:rsidR="00667D2C" w:rsidRDefault="00667D2C" w:rsidP="00667D2C">
      <w:pPr>
        <w:ind w:firstLine="709"/>
        <w:jc w:val="both"/>
      </w:pPr>
      <w:r>
        <w:t>Порядком формирования и использования бюджетных ассигнований дорожного фонда Волгоградской области, утвержд</w:t>
      </w:r>
      <w:r w:rsidR="00286EAE">
        <w:t>е</w:t>
      </w:r>
      <w:r>
        <w:t xml:space="preserve">нным постановлением Администрации Волгоградской области от 26.12.2011 №887-п </w:t>
      </w:r>
      <w:r w:rsidR="00286EAE">
        <w:t xml:space="preserve">(далее Порядок №887-п) </w:t>
      </w:r>
      <w:r>
        <w:t>в соответствии с п</w:t>
      </w:r>
      <w:r w:rsidR="00286EAE">
        <w:t>унктом</w:t>
      </w:r>
      <w:r>
        <w:t xml:space="preserve"> 4 ст</w:t>
      </w:r>
      <w:r w:rsidR="00286EAE">
        <w:t>атьи</w:t>
      </w:r>
      <w:r>
        <w:t xml:space="preserve"> 179.4 БК РФ, установлен закрытый перечень направлений расходов ассигнований дорожного фонда (п</w:t>
      </w:r>
      <w:r w:rsidR="00286EAE">
        <w:t>ункт</w:t>
      </w:r>
      <w:r>
        <w:t xml:space="preserve"> 8). Эти расходы можно условно разделить на прямые расходы в отношении автомобильных дорог общего пользования </w:t>
      </w:r>
      <w:r>
        <w:rPr>
          <w:u w:val="single"/>
        </w:rPr>
        <w:t>регионального или межмуниципального</w:t>
      </w:r>
      <w:r>
        <w:t xml:space="preserve"> значения и расходы по финансовому обеспечению дорожной деятельности и дорожного хозяйства в отношении автомобильных дорог </w:t>
      </w:r>
      <w:r>
        <w:rPr>
          <w:u w:val="single"/>
        </w:rPr>
        <w:t>местного значения</w:t>
      </w:r>
      <w:r>
        <w:t xml:space="preserve"> путем предоставления межбюджетных трансфертов муниципальны</w:t>
      </w:r>
      <w:r w:rsidR="00286EAE">
        <w:t>м</w:t>
      </w:r>
      <w:r>
        <w:t xml:space="preserve"> образовани</w:t>
      </w:r>
      <w:r w:rsidR="00286EAE">
        <w:t>ям</w:t>
      </w:r>
      <w:r>
        <w:t>.</w:t>
      </w:r>
    </w:p>
    <w:p w:rsidR="00667D2C" w:rsidRDefault="00667D2C" w:rsidP="00667D2C">
      <w:pPr>
        <w:ind w:firstLine="709"/>
        <w:jc w:val="both"/>
      </w:pPr>
      <w:proofErr w:type="gramStart"/>
      <w:r>
        <w:t>Согласно ст</w:t>
      </w:r>
      <w:r w:rsidR="00286EAE">
        <w:t>атье</w:t>
      </w:r>
      <w:r>
        <w:t xml:space="preserve"> 3 Федерального закона от 08.11.2007 </w:t>
      </w:r>
      <w:r w:rsidR="00286EAE">
        <w:t>№</w:t>
      </w:r>
      <w: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светофоры, устройства для регулирования дорожного движения, работающие в автоматическом режиме специальные технические средства, имеющие функции фото- и киносъемки, видеозаписи для фиксации нарушений правил дорожного движения, являются элементами обустройства автомобильных дорог, которые входят</w:t>
      </w:r>
      <w:proofErr w:type="gramEnd"/>
      <w:r>
        <w:t xml:space="preserve"> в их состав.</w:t>
      </w:r>
    </w:p>
    <w:p w:rsidR="00667D2C" w:rsidRPr="00286EAE" w:rsidRDefault="00667D2C" w:rsidP="00667D2C">
      <w:pPr>
        <w:ind w:firstLine="709"/>
        <w:jc w:val="both"/>
        <w:rPr>
          <w:b/>
          <w:i/>
          <w:u w:val="single"/>
        </w:rPr>
      </w:pPr>
      <w:r>
        <w:t>Комплексы фиксации нарушений скоростного режима, расходы на приобретение и обеспечение функционирования которых предлагается осуществлять с 2018 года за сч</w:t>
      </w:r>
      <w:r w:rsidR="00286EAE">
        <w:t>е</w:t>
      </w:r>
      <w:r>
        <w:t>т ассигнований дорожного фонда Волгоградской области, расположены в основном на автомобильных дорогах местного значения</w:t>
      </w:r>
      <w:r w:rsidRPr="00992529">
        <w:t>, а также на региональных участках федеральных дорог.</w:t>
      </w:r>
      <w:r>
        <w:t xml:space="preserve"> </w:t>
      </w:r>
      <w:proofErr w:type="gramStart"/>
      <w:r w:rsidRPr="00286EAE">
        <w:rPr>
          <w:b/>
          <w:i/>
        </w:rPr>
        <w:t>Порядком №887-п не предусмотрена возможность осуществления за сч</w:t>
      </w:r>
      <w:r w:rsidR="00286EAE" w:rsidRPr="00286EAE">
        <w:rPr>
          <w:b/>
          <w:i/>
        </w:rPr>
        <w:t>е</w:t>
      </w:r>
      <w:r w:rsidRPr="00286EAE">
        <w:rPr>
          <w:b/>
          <w:i/>
        </w:rPr>
        <w:t xml:space="preserve">т ассигнований дорожного фонда Волгоградской области прямых расходов на дорожную деятельности и дорожное хозяйство в отношении автомобильных дорог </w:t>
      </w:r>
      <w:r w:rsidRPr="00286EAE">
        <w:rPr>
          <w:b/>
          <w:i/>
          <w:u w:val="single"/>
        </w:rPr>
        <w:t>местного и федерального значения.</w:t>
      </w:r>
      <w:proofErr w:type="gramEnd"/>
    </w:p>
    <w:p w:rsidR="00667D2C" w:rsidRDefault="00667D2C" w:rsidP="00667D2C">
      <w:pPr>
        <w:ind w:firstLine="709"/>
        <w:jc w:val="both"/>
      </w:pPr>
      <w:r>
        <w:t>В ряде регионов (Ульяновская, Амурская, Нижегор</w:t>
      </w:r>
      <w:r w:rsidR="00286EAE">
        <w:t>о</w:t>
      </w:r>
      <w:r>
        <w:t>дская области) рассматриваемое направление расходов предусмотрено порядком формирования и использования бюджетных ассигнований дорожного фонда.</w:t>
      </w:r>
    </w:p>
    <w:p w:rsidR="00667D2C" w:rsidRDefault="00667D2C" w:rsidP="00667D2C">
      <w:pPr>
        <w:ind w:firstLine="709"/>
        <w:jc w:val="both"/>
      </w:pPr>
      <w:r w:rsidRPr="00992529">
        <w:t xml:space="preserve">В целях </w:t>
      </w:r>
      <w:proofErr w:type="gramStart"/>
      <w:r w:rsidRPr="00992529">
        <w:t>обеспечения законности использования ассигнований дорожного фонда</w:t>
      </w:r>
      <w:proofErr w:type="gramEnd"/>
      <w:r w:rsidRPr="00992529">
        <w:t xml:space="preserve"> полагаем целесообразным усовершенствовать Порядок №</w:t>
      </w:r>
      <w:r w:rsidR="00460A07">
        <w:t>8</w:t>
      </w:r>
      <w:r w:rsidRPr="00992529">
        <w:t>87-п в части закрепления возможности осуществления расходов</w:t>
      </w:r>
      <w:r w:rsidR="00460A07">
        <w:t xml:space="preserve"> </w:t>
      </w:r>
      <w:r w:rsidRPr="00992529">
        <w:t>на приобретение и содержание работающих в автоматическом режиме специальных технических средства, имеющих функции фото- и киносъемки, видеозаписи для фиксации нарушений правил дорожного движения.</w:t>
      </w:r>
    </w:p>
    <w:p w:rsidR="00AD578B" w:rsidRDefault="00AD578B" w:rsidP="00667D2C">
      <w:pPr>
        <w:ind w:firstLine="709"/>
        <w:jc w:val="both"/>
      </w:pPr>
    </w:p>
    <w:p w:rsidR="00AD578B" w:rsidRPr="004B2EBA" w:rsidRDefault="00AD578B" w:rsidP="00AD578B">
      <w:pPr>
        <w:ind w:firstLine="720"/>
        <w:jc w:val="both"/>
      </w:pPr>
      <w:r w:rsidRPr="004B2EBA">
        <w:rPr>
          <w:b/>
          <w:i/>
        </w:rPr>
        <w:t>По подразделу 0410 «Связь и информатика»</w:t>
      </w:r>
      <w:r w:rsidRPr="004B2EBA">
        <w:t xml:space="preserve"> на 2018 год предусмотрены ассигнования в сумме 585,1 млн. руб., что на 26,7% больше</w:t>
      </w:r>
      <w:r w:rsidR="00F862E0">
        <w:t xml:space="preserve"> </w:t>
      </w:r>
      <w:r w:rsidRPr="004B2EBA">
        <w:t>2017 года (461,6 млн. руб.).</w:t>
      </w:r>
    </w:p>
    <w:p w:rsidR="00AD578B" w:rsidRPr="004B2EBA" w:rsidRDefault="00AD578B" w:rsidP="00AD578B">
      <w:pPr>
        <w:autoSpaceDE w:val="0"/>
        <w:autoSpaceDN w:val="0"/>
        <w:adjustRightInd w:val="0"/>
        <w:ind w:firstLine="709"/>
        <w:jc w:val="both"/>
      </w:pPr>
      <w:r w:rsidRPr="004B2EBA">
        <w:t xml:space="preserve">Увеличение ассигнований комитету информационных технологий Волгоградской области на 108,7 млн. руб., или в 1,4 раза обусловлено в основном увеличением расходов </w:t>
      </w:r>
      <w:proofErr w:type="gramStart"/>
      <w:r w:rsidRPr="004B2EBA">
        <w:t>на</w:t>
      </w:r>
      <w:proofErr w:type="gramEnd"/>
      <w:r w:rsidRPr="004B2EBA">
        <w:t>:</w:t>
      </w:r>
    </w:p>
    <w:p w:rsidR="00AD578B" w:rsidRPr="004B2EBA" w:rsidRDefault="00AD578B" w:rsidP="00AD578B">
      <w:pPr>
        <w:autoSpaceDE w:val="0"/>
        <w:autoSpaceDN w:val="0"/>
        <w:adjustRightInd w:val="0"/>
        <w:ind w:firstLine="709"/>
        <w:jc w:val="both"/>
      </w:pPr>
      <w:r w:rsidRPr="004B2EBA">
        <w:t>-31 млн. руб. – создание ситуационного центра Губернатора Волгоградской области в рамках АПК «Безопасный город»;</w:t>
      </w:r>
    </w:p>
    <w:p w:rsidR="00AD578B" w:rsidRPr="004B2EBA" w:rsidRDefault="00AD578B" w:rsidP="00AD578B">
      <w:pPr>
        <w:autoSpaceDE w:val="0"/>
        <w:autoSpaceDN w:val="0"/>
        <w:adjustRightInd w:val="0"/>
        <w:ind w:firstLine="709"/>
        <w:jc w:val="both"/>
      </w:pPr>
      <w:r w:rsidRPr="004B2EBA">
        <w:t>-20 млн. руб. – создание Единого центра обработки данных органов исполнительной власти Волгоградской области (приобретение в государственную собственность недвижимого имущества на условиях лизинга) в рамках АПК «Безопасный город»;</w:t>
      </w:r>
    </w:p>
    <w:p w:rsidR="00AD578B" w:rsidRPr="004B2EBA" w:rsidRDefault="00AD578B" w:rsidP="00AD578B">
      <w:pPr>
        <w:autoSpaceDE w:val="0"/>
        <w:autoSpaceDN w:val="0"/>
        <w:adjustRightInd w:val="0"/>
        <w:ind w:firstLine="709"/>
        <w:jc w:val="both"/>
      </w:pPr>
      <w:r w:rsidRPr="004B2EBA">
        <w:t xml:space="preserve">-31 млн. руб. – </w:t>
      </w:r>
      <w:r w:rsidR="00FE7AD4">
        <w:t xml:space="preserve">проведение работы в рамках госпрограммы «Развитие информационного общества Волгоградской области» по </w:t>
      </w:r>
      <w:r w:rsidRPr="004B2EBA">
        <w:t>приведени</w:t>
      </w:r>
      <w:r w:rsidR="00FE7AD4">
        <w:t>ю</w:t>
      </w:r>
      <w:r w:rsidRPr="004B2EBA">
        <w:t xml:space="preserve"> 1200 автоматизированных рабочих мест в образовательных учреждениях Волгоградской области, </w:t>
      </w:r>
      <w:r w:rsidRPr="004B2EBA">
        <w:lastRenderedPageBreak/>
        <w:t>на которых осуществляется работа с персональными данными</w:t>
      </w:r>
      <w:r w:rsidR="00676374">
        <w:t>,</w:t>
      </w:r>
      <w:r w:rsidRPr="004B2EBA">
        <w:t xml:space="preserve"> в соответствие с требованиями по безопасности конфиденциальной информации.</w:t>
      </w:r>
    </w:p>
    <w:p w:rsidR="00AD578B" w:rsidRDefault="00AD578B" w:rsidP="00667D2C">
      <w:pPr>
        <w:ind w:firstLine="709"/>
        <w:jc w:val="both"/>
      </w:pPr>
    </w:p>
    <w:p w:rsidR="00DA1D6D" w:rsidRPr="004B2EBA" w:rsidRDefault="00DA1D6D" w:rsidP="00DA1D6D">
      <w:pPr>
        <w:ind w:firstLine="709"/>
        <w:jc w:val="both"/>
      </w:pPr>
      <w:r>
        <w:rPr>
          <w:b/>
          <w:i/>
        </w:rPr>
        <w:t>По подразделу 0412 «Другие вопросы в области национальной экономики»</w:t>
      </w:r>
      <w:r>
        <w:t xml:space="preserve"> </w:t>
      </w:r>
      <w:r w:rsidRPr="004B2EBA">
        <w:t>на 2018 год предусмотрены ассигнования в сумме 719,8 млн. руб., что 31,8% меньше ассигнований 2017 года (1055,5 млн. руб.).</w:t>
      </w:r>
    </w:p>
    <w:p w:rsidR="00DA1D6D" w:rsidRPr="00DA1D6D" w:rsidRDefault="00DA1D6D" w:rsidP="00DA1D6D">
      <w:pPr>
        <w:ind w:firstLine="709"/>
        <w:jc w:val="both"/>
      </w:pPr>
      <w:r>
        <w:t>При этом к</w:t>
      </w:r>
      <w:r w:rsidRPr="004B2EBA">
        <w:t xml:space="preserve">омитету информационных технологий Волгоградской области предусмотрено уменьшение ассигнований по подразделу на 180,3 млн. руб., что обусловлено уменьшением потребности и в связи с окончанием реализации мероприятий по подготовке к </w:t>
      </w:r>
      <w:r>
        <w:t>чемпионату мира по футболу</w:t>
      </w:r>
      <w:r w:rsidRPr="004B2EBA">
        <w:t>.</w:t>
      </w:r>
    </w:p>
    <w:p w:rsidR="00DA1D6D" w:rsidRDefault="00DA1D6D" w:rsidP="00DA1D6D">
      <w:pPr>
        <w:pStyle w:val="af"/>
        <w:spacing w:after="0"/>
        <w:ind w:firstLine="567"/>
        <w:jc w:val="both"/>
        <w:rPr>
          <w:b/>
          <w:i/>
        </w:rPr>
      </w:pPr>
      <w:proofErr w:type="gramStart"/>
      <w:r>
        <w:t xml:space="preserve">Комитету экономической политики и развития Волгоградской области на реализацию </w:t>
      </w:r>
      <w:r w:rsidRPr="002971A3">
        <w:t>государственной программы «Экономическое развитие и инновационная экономика</w:t>
      </w:r>
      <w:r>
        <w:t>»</w:t>
      </w:r>
      <w:r w:rsidRPr="002971A3">
        <w:t xml:space="preserve"> </w:t>
      </w:r>
      <w:r>
        <w:t>по подпрограмме «</w:t>
      </w:r>
      <w:r w:rsidRPr="002971A3">
        <w:t xml:space="preserve">Развитие и поддержка малого и </w:t>
      </w:r>
      <w:r w:rsidRPr="003C3557">
        <w:t xml:space="preserve">среднего предпринимательства в Волгоградской области» </w:t>
      </w:r>
      <w:r>
        <w:t>на 2018 год предусмотрены бюджетные ассигнования в сумме 54,4 млн. руб., что ниже на 112,7 млн. руб. утвержденных ассигнований текущего года (167,1 млн. руб.).</w:t>
      </w:r>
      <w:proofErr w:type="gramEnd"/>
      <w:r>
        <w:t xml:space="preserve"> Это связано с тем, что в прогнозном показателе на 2018 год не учтена </w:t>
      </w:r>
      <w:r w:rsidRPr="0046683E">
        <w:t>федеральн</w:t>
      </w:r>
      <w:r>
        <w:t>ая субсидия</w:t>
      </w:r>
      <w:r w:rsidRPr="0046683E">
        <w:t xml:space="preserve"> на государственную поддержку малого и среднего предпринимательства, включая крестьянские (фермерские) хозяйства</w:t>
      </w:r>
      <w:r>
        <w:t>, поскольку ее привлечение планируется п</w:t>
      </w:r>
      <w:r w:rsidRPr="0046683E">
        <w:t>о результатам конкурсного отбора субъектов РФ</w:t>
      </w:r>
      <w:r>
        <w:t>.</w:t>
      </w:r>
    </w:p>
    <w:p w:rsidR="00DA1D6D" w:rsidRPr="00895B3F" w:rsidRDefault="00DA1D6D" w:rsidP="00DA1D6D">
      <w:pPr>
        <w:pStyle w:val="af"/>
        <w:spacing w:after="0"/>
        <w:ind w:firstLine="567"/>
        <w:jc w:val="both"/>
        <w:rPr>
          <w:b/>
          <w:i/>
        </w:rPr>
      </w:pPr>
      <w:r>
        <w:rPr>
          <w:iCs/>
        </w:rPr>
        <w:t>Р</w:t>
      </w:r>
      <w:r w:rsidRPr="00895B3F">
        <w:rPr>
          <w:iCs/>
        </w:rPr>
        <w:t xml:space="preserve">асходы по подпрограмме «Развитие и поддержка малого и среднего предпринимательства в Волгоградской области» </w:t>
      </w:r>
      <w:r w:rsidRPr="00895B3F">
        <w:t>в 2018 году в сумме 5</w:t>
      </w:r>
      <w:r>
        <w:t>4</w:t>
      </w:r>
      <w:r w:rsidRPr="00895B3F">
        <w:t>,4 млн.</w:t>
      </w:r>
      <w:r>
        <w:t xml:space="preserve"> </w:t>
      </w:r>
      <w:r w:rsidRPr="00895B3F">
        <w:t>руб.</w:t>
      </w:r>
      <w:r>
        <w:t xml:space="preserve"> запланированы на следующие мероприятия</w:t>
      </w:r>
      <w:r w:rsidRPr="00895B3F">
        <w:t xml:space="preserve">: </w:t>
      </w:r>
    </w:p>
    <w:p w:rsidR="00DA1D6D" w:rsidRPr="00895B3F" w:rsidRDefault="00DA1D6D" w:rsidP="00DA1D6D">
      <w:pPr>
        <w:pStyle w:val="af"/>
        <w:spacing w:after="0"/>
        <w:ind w:firstLine="567"/>
        <w:jc w:val="both"/>
        <w:rPr>
          <w:b/>
          <w:i/>
        </w:rPr>
      </w:pPr>
      <w:r>
        <w:t>-</w:t>
      </w:r>
      <w:r w:rsidRPr="00895B3F">
        <w:t>создание, оборудование и организацию деятельности окон обслуживания на базе многофункциональных центров субъектов МСП в сумме по 4,2 млн. руб</w:t>
      </w:r>
      <w:r>
        <w:t>.</w:t>
      </w:r>
      <w:r w:rsidRPr="00895B3F">
        <w:t xml:space="preserve">; </w:t>
      </w:r>
    </w:p>
    <w:p w:rsidR="00DA1D6D" w:rsidRPr="00895B3F" w:rsidRDefault="00DA1D6D" w:rsidP="00DA1D6D">
      <w:pPr>
        <w:pStyle w:val="af"/>
        <w:spacing w:after="0"/>
        <w:ind w:firstLine="567"/>
        <w:jc w:val="both"/>
        <w:rPr>
          <w:b/>
          <w:i/>
        </w:rPr>
      </w:pPr>
      <w:r>
        <w:t>-</w:t>
      </w:r>
      <w:r w:rsidRPr="00895B3F">
        <w:t xml:space="preserve">поддержку молодежного предпринимательства в </w:t>
      </w:r>
      <w:proofErr w:type="spellStart"/>
      <w:r>
        <w:t>м</w:t>
      </w:r>
      <w:r w:rsidRPr="00895B3F">
        <w:t>онопрофильных</w:t>
      </w:r>
      <w:proofErr w:type="spellEnd"/>
      <w:r w:rsidRPr="00895B3F">
        <w:t xml:space="preserve"> муниципальных образованиях в сумме 4,2 млн. руб</w:t>
      </w:r>
      <w:r>
        <w:t>.</w:t>
      </w:r>
      <w:r w:rsidRPr="00895B3F">
        <w:t xml:space="preserve">; </w:t>
      </w:r>
    </w:p>
    <w:p w:rsidR="00DA1D6D" w:rsidRPr="00895B3F" w:rsidRDefault="00DA1D6D" w:rsidP="00DA1D6D">
      <w:pPr>
        <w:pStyle w:val="af"/>
        <w:spacing w:after="0"/>
        <w:ind w:firstLine="567"/>
        <w:jc w:val="both"/>
        <w:rPr>
          <w:b/>
          <w:i/>
        </w:rPr>
      </w:pPr>
      <w:r>
        <w:t>-</w:t>
      </w:r>
      <w:r w:rsidRPr="00895B3F">
        <w:t>создание и (или) развитие инфраструктуры поддержки субъектов малого и среднего предпринимательства в сумме 2</w:t>
      </w:r>
      <w:r>
        <w:t>2</w:t>
      </w:r>
      <w:r w:rsidRPr="00895B3F">
        <w:t>,7 млн. руб</w:t>
      </w:r>
      <w:r>
        <w:t>.</w:t>
      </w:r>
      <w:r w:rsidRPr="00895B3F">
        <w:t xml:space="preserve">; </w:t>
      </w:r>
    </w:p>
    <w:p w:rsidR="00DA1D6D" w:rsidRPr="00895B3F" w:rsidRDefault="00DA1D6D" w:rsidP="00DA1D6D">
      <w:pPr>
        <w:pStyle w:val="af"/>
        <w:spacing w:after="0"/>
        <w:ind w:firstLine="567"/>
        <w:jc w:val="both"/>
        <w:rPr>
          <w:b/>
          <w:i/>
        </w:rPr>
      </w:pPr>
      <w:r>
        <w:t>-</w:t>
      </w:r>
      <w:r w:rsidRPr="00895B3F">
        <w:t>развитие системы кредитования малого и среднего предпринимательства в сумме 22,2 млн. руб</w:t>
      </w:r>
      <w:r>
        <w:t>.</w:t>
      </w:r>
      <w:r w:rsidRPr="007E53AA">
        <w:t xml:space="preserve"> </w:t>
      </w:r>
      <w:r>
        <w:t xml:space="preserve">(субсидия в виде имущественного взноса Фонду </w:t>
      </w:r>
      <w:proofErr w:type="spellStart"/>
      <w:r>
        <w:t>микрофинансирования</w:t>
      </w:r>
      <w:proofErr w:type="spellEnd"/>
      <w:r>
        <w:t xml:space="preserve"> предпринимательства Волгоградской области)</w:t>
      </w:r>
      <w:r w:rsidRPr="00895B3F">
        <w:t xml:space="preserve">; </w:t>
      </w:r>
    </w:p>
    <w:p w:rsidR="00DA1D6D" w:rsidRPr="00446DDD" w:rsidRDefault="00DA1D6D" w:rsidP="00DA1D6D">
      <w:pPr>
        <w:pStyle w:val="af"/>
        <w:spacing w:after="0"/>
        <w:ind w:firstLine="567"/>
        <w:jc w:val="both"/>
        <w:rPr>
          <w:b/>
          <w:i/>
        </w:rPr>
      </w:pPr>
      <w:r>
        <w:t>-</w:t>
      </w:r>
      <w:r w:rsidRPr="00895B3F">
        <w:t>предоставление субсидий субъектам малого и среднего предпринима</w:t>
      </w:r>
      <w:r>
        <w:t>тельства в сумме 1,1 млн. рублей</w:t>
      </w:r>
      <w:r w:rsidRPr="00895B3F">
        <w:t>.</w:t>
      </w:r>
    </w:p>
    <w:p w:rsidR="009D5173" w:rsidRDefault="00DA1D6D" w:rsidP="0096719D">
      <w:pPr>
        <w:ind w:firstLine="708"/>
        <w:jc w:val="both"/>
      </w:pPr>
      <w:r>
        <w:t>К</w:t>
      </w:r>
      <w:r w:rsidR="009D5173" w:rsidRPr="00B849E0">
        <w:t xml:space="preserve">омитету строительства </w:t>
      </w:r>
      <w:r>
        <w:t xml:space="preserve">Волгоградской области по данному подразделу </w:t>
      </w:r>
      <w:r w:rsidR="009D5173" w:rsidRPr="00B849E0">
        <w:t>предусмотрен</w:t>
      </w:r>
      <w:r w:rsidR="00B849E0">
        <w:t>ы ассигнования в сумме</w:t>
      </w:r>
      <w:r w:rsidR="009D5173" w:rsidRPr="00B849E0">
        <w:t xml:space="preserve"> 281,4 млн. руб.</w:t>
      </w:r>
      <w:r w:rsidR="009D5173">
        <w:rPr>
          <w:color w:val="000000"/>
        </w:rPr>
        <w:t xml:space="preserve"> на реализацию мероприятий </w:t>
      </w:r>
      <w:r w:rsidR="009D5173">
        <w:t>подпрограммы «Стимулирование развития жилищного строительства в Волгоградской области» гос</w:t>
      </w:r>
      <w:r w:rsidR="0096719D">
        <w:t>программы</w:t>
      </w:r>
      <w:r w:rsidR="009D5173">
        <w:t xml:space="preserve"> </w:t>
      </w:r>
      <w:r w:rsidR="009D5173">
        <w:rPr>
          <w:color w:val="000000"/>
        </w:rPr>
        <w:t>«Обеспечение доступным и комфортным жильем и коммунальными услугами жителей Волгоградской области»</w:t>
      </w:r>
      <w:r w:rsidR="0096719D">
        <w:rPr>
          <w:color w:val="000000"/>
        </w:rPr>
        <w:t xml:space="preserve">. </w:t>
      </w:r>
      <w:proofErr w:type="gramStart"/>
      <w:r w:rsidR="0096719D">
        <w:rPr>
          <w:color w:val="000000"/>
        </w:rPr>
        <w:t>В состав</w:t>
      </w:r>
      <w:r>
        <w:rPr>
          <w:color w:val="000000"/>
        </w:rPr>
        <w:t>е запланированных</w:t>
      </w:r>
      <w:r w:rsidR="0096719D">
        <w:rPr>
          <w:color w:val="000000"/>
        </w:rPr>
        <w:t xml:space="preserve"> расходов</w:t>
      </w:r>
      <w:r w:rsidR="009D5173">
        <w:t xml:space="preserve"> субсидии г. Волгограду на </w:t>
      </w:r>
      <w:proofErr w:type="spellStart"/>
      <w:r w:rsidR="009D5173">
        <w:t>софинансирование</w:t>
      </w:r>
      <w:proofErr w:type="spellEnd"/>
      <w:r w:rsidR="009D5173">
        <w:t xml:space="preserve"> капитальных вложений в объект муниципальной собственности «Обустройство территории Центральной набережной Волгограда имени 62-ой Армии»</w:t>
      </w:r>
      <w:r w:rsidR="0096719D">
        <w:t xml:space="preserve"> в размере 126 млн. руб. (</w:t>
      </w:r>
      <w:r w:rsidR="009D5173">
        <w:t xml:space="preserve">из них за счет средств федерального бюджета </w:t>
      </w:r>
      <w:r>
        <w:t xml:space="preserve">- </w:t>
      </w:r>
      <w:r w:rsidR="009D5173">
        <w:t>108,4 млн. руб.</w:t>
      </w:r>
      <w:r w:rsidR="0096719D">
        <w:t xml:space="preserve">), </w:t>
      </w:r>
      <w:r w:rsidR="009D5173">
        <w:t>субсидии в виде имущественного взноса некоммерческой организации «Волгоградский областной фонд жилья и ипотеки» для предоставления гражданам компенсации части расходов по оплате процентов</w:t>
      </w:r>
      <w:proofErr w:type="gramEnd"/>
      <w:r w:rsidR="009D5173">
        <w:t xml:space="preserve"> по ипотечным жилищным кредитам (займам), использованным гражданами для приобретения на территории Волгоградской области жилого помещения</w:t>
      </w:r>
      <w:r w:rsidR="0096719D">
        <w:t>… в сумме 70,4 млн. руб. и др.</w:t>
      </w:r>
    </w:p>
    <w:p w:rsidR="009D5173" w:rsidRDefault="009D5173" w:rsidP="009D5173">
      <w:pPr>
        <w:autoSpaceDE w:val="0"/>
        <w:autoSpaceDN w:val="0"/>
        <w:adjustRightInd w:val="0"/>
        <w:ind w:firstLine="709"/>
        <w:jc w:val="both"/>
        <w:outlineLvl w:val="0"/>
        <w:rPr>
          <w:kern w:val="2"/>
        </w:rPr>
      </w:pPr>
    </w:p>
    <w:p w:rsidR="00EA2C21" w:rsidRDefault="00EA2C21" w:rsidP="00EA2C21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Расходы по разделу 0500 «Жилищно-коммунальное хозяйство».</w:t>
      </w:r>
    </w:p>
    <w:p w:rsidR="006F0E09" w:rsidRDefault="006F0E09" w:rsidP="00EA2C21">
      <w:pPr>
        <w:rPr>
          <w:color w:val="FF0000"/>
        </w:rPr>
      </w:pPr>
    </w:p>
    <w:p w:rsidR="001702B4" w:rsidRDefault="001702B4" w:rsidP="001702B4">
      <w:pPr>
        <w:ind w:firstLine="708"/>
        <w:jc w:val="both"/>
      </w:pPr>
      <w:r>
        <w:t>Законопроектом бюджетные ассигнования</w:t>
      </w:r>
      <w:r w:rsidRPr="00B96BCC">
        <w:t xml:space="preserve"> </w:t>
      </w:r>
      <w:r w:rsidRPr="001702B4">
        <w:t>по разделу</w:t>
      </w:r>
      <w:r w:rsidRPr="00B96BCC">
        <w:t xml:space="preserve"> на 201</w:t>
      </w:r>
      <w:r>
        <w:t>8</w:t>
      </w:r>
      <w:r w:rsidRPr="00B96BCC">
        <w:t xml:space="preserve"> год </w:t>
      </w:r>
      <w:r>
        <w:t xml:space="preserve">первоначально </w:t>
      </w:r>
      <w:r w:rsidR="00B77ED7">
        <w:t xml:space="preserve">были </w:t>
      </w:r>
      <w:r>
        <w:t xml:space="preserve">предусмотрены </w:t>
      </w:r>
      <w:r w:rsidRPr="00B96BCC">
        <w:t xml:space="preserve">в размере </w:t>
      </w:r>
      <w:r>
        <w:t>2283,7</w:t>
      </w:r>
      <w:r w:rsidRPr="00B96BCC">
        <w:t xml:space="preserve"> млн. руб., </w:t>
      </w:r>
      <w:r w:rsidR="00B77ED7">
        <w:t>п</w:t>
      </w:r>
      <w:r>
        <w:t>оправками</w:t>
      </w:r>
      <w:r w:rsidR="00B77ED7">
        <w:t xml:space="preserve">, внесенными </w:t>
      </w:r>
      <w:r w:rsidR="00663678">
        <w:t xml:space="preserve">Администрацией Волгоградской области </w:t>
      </w:r>
      <w:r w:rsidR="00B77ED7">
        <w:t xml:space="preserve">к 1 чтению, </w:t>
      </w:r>
      <w:r>
        <w:t xml:space="preserve"> расходы увеличены на 152,9 млн. руб.</w:t>
      </w:r>
      <w:r w:rsidR="00B77ED7">
        <w:t xml:space="preserve">, т. е. </w:t>
      </w:r>
      <w:r>
        <w:t xml:space="preserve">составили 2436,6 млн. руб., </w:t>
      </w:r>
      <w:r w:rsidR="00663678">
        <w:t>что</w:t>
      </w:r>
      <w:r>
        <w:t xml:space="preserve"> на 37,8% меньше плана 2017 года.</w:t>
      </w:r>
      <w:r w:rsidRPr="00B96BCC">
        <w:t xml:space="preserve"> </w:t>
      </w:r>
    </w:p>
    <w:p w:rsidR="001702B4" w:rsidRDefault="001702B4" w:rsidP="001702B4">
      <w:pPr>
        <w:ind w:firstLine="708"/>
        <w:jc w:val="both"/>
      </w:pPr>
      <w:proofErr w:type="gramStart"/>
      <w:r w:rsidRPr="00E158F3">
        <w:lastRenderedPageBreak/>
        <w:t>Значительное сокращение бюджетных ассигнований на 2018 год по сравнению с 2017 годом (около 1,4 млрд. руб.)</w:t>
      </w:r>
      <w:r>
        <w:t xml:space="preserve"> в основном связано с завершением строительства объектов к чемпионату мира по футболу 2018 года по подпрограмме «Чистая вода» (на 825,6 млн. руб.), завершением в 2017 году региональной программы переселения</w:t>
      </w:r>
      <w:r w:rsidRPr="00B96BCC">
        <w:t xml:space="preserve"> </w:t>
      </w:r>
      <w:r>
        <w:t xml:space="preserve">граждан из аварийного жилья с привлечением </w:t>
      </w:r>
      <w:r w:rsidRPr="00B6779B">
        <w:t xml:space="preserve">средств Государственной корпорации - </w:t>
      </w:r>
      <w:r w:rsidRPr="00B6779B">
        <w:rPr>
          <w:bCs/>
        </w:rPr>
        <w:t>Фонда</w:t>
      </w:r>
      <w:r w:rsidRPr="00B6779B">
        <w:t xml:space="preserve"> содействия </w:t>
      </w:r>
      <w:r w:rsidRPr="00B6779B">
        <w:rPr>
          <w:bCs/>
        </w:rPr>
        <w:t>реформированию</w:t>
      </w:r>
      <w:r w:rsidRPr="00B6779B">
        <w:t xml:space="preserve"> </w:t>
      </w:r>
      <w:r w:rsidRPr="00B6779B">
        <w:rPr>
          <w:bCs/>
        </w:rPr>
        <w:t>жилищно</w:t>
      </w:r>
      <w:r w:rsidRPr="00B6779B">
        <w:t>-</w:t>
      </w:r>
      <w:r w:rsidRPr="00B6779B">
        <w:rPr>
          <w:bCs/>
        </w:rPr>
        <w:t>коммунального</w:t>
      </w:r>
      <w:r w:rsidRPr="00B6779B">
        <w:t xml:space="preserve"> </w:t>
      </w:r>
      <w:r w:rsidRPr="00B6779B">
        <w:rPr>
          <w:bCs/>
        </w:rPr>
        <w:t>хозяйства</w:t>
      </w:r>
      <w:r>
        <w:rPr>
          <w:bCs/>
        </w:rPr>
        <w:t xml:space="preserve"> (на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343,7 млн. руб.), а также </w:t>
      </w:r>
      <w:r w:rsidR="00E158F3">
        <w:rPr>
          <w:bCs/>
        </w:rPr>
        <w:t xml:space="preserve">с </w:t>
      </w:r>
      <w:r>
        <w:rPr>
          <w:bCs/>
        </w:rPr>
        <w:t>уменьшением расходов на реализацию подпрограммы «Газификация Волгоградской области» (на 344,6 млн. руб.).</w:t>
      </w:r>
      <w:r w:rsidRPr="00BC6C86">
        <w:t xml:space="preserve"> </w:t>
      </w:r>
      <w:proofErr w:type="gramEnd"/>
    </w:p>
    <w:p w:rsidR="00663678" w:rsidRPr="00663678" w:rsidRDefault="00663678" w:rsidP="00663678">
      <w:pPr>
        <w:ind w:firstLine="708"/>
        <w:jc w:val="both"/>
      </w:pPr>
      <w:r w:rsidRPr="00663678">
        <w:t>Программные мероприятия по разделу 0500 «Жилищно-коммунальное хозяйство» на 2018 год составляют 1387,6 млн. руб., или 56,9% в общей сумме расходов.</w:t>
      </w:r>
    </w:p>
    <w:p w:rsidR="001702B4" w:rsidRPr="00EA2F9A" w:rsidRDefault="001702B4" w:rsidP="001702B4">
      <w:pPr>
        <w:ind w:firstLine="708"/>
        <w:jc w:val="both"/>
        <w:rPr>
          <w:u w:val="single"/>
        </w:rPr>
      </w:pPr>
      <w:r>
        <w:rPr>
          <w:b/>
          <w:i/>
        </w:rPr>
        <w:t>По п</w:t>
      </w:r>
      <w:r w:rsidRPr="00B96BCC">
        <w:rPr>
          <w:b/>
          <w:i/>
        </w:rPr>
        <w:t>одраздел</w:t>
      </w:r>
      <w:r>
        <w:rPr>
          <w:b/>
          <w:i/>
        </w:rPr>
        <w:t>у</w:t>
      </w:r>
      <w:r w:rsidRPr="00B96BCC">
        <w:rPr>
          <w:b/>
          <w:i/>
        </w:rPr>
        <w:t xml:space="preserve"> 0501 «Жилищное хозяйство» </w:t>
      </w:r>
      <w:r w:rsidRPr="00B96BCC">
        <w:t xml:space="preserve">бюджетные </w:t>
      </w:r>
      <w:r>
        <w:t>ассигнования на 2018 год предусмотрены в размере 90,6</w:t>
      </w:r>
      <w:r w:rsidRPr="00B96BCC">
        <w:t xml:space="preserve"> млн. руб</w:t>
      </w:r>
      <w:r>
        <w:t xml:space="preserve">., или </w:t>
      </w:r>
      <w:r w:rsidRPr="00B96BCC">
        <w:t xml:space="preserve">уменьшены </w:t>
      </w:r>
      <w:r w:rsidR="00413473">
        <w:t xml:space="preserve">по сравнению с 2017 годом </w:t>
      </w:r>
      <w:r w:rsidRPr="00B96BCC">
        <w:t xml:space="preserve">в </w:t>
      </w:r>
      <w:r>
        <w:t xml:space="preserve">5 </w:t>
      </w:r>
      <w:r w:rsidRPr="00B96BCC">
        <w:t>раз.</w:t>
      </w:r>
      <w:r>
        <w:t xml:space="preserve"> Средства предусмотрены </w:t>
      </w:r>
      <w:r w:rsidRPr="0088423A">
        <w:t>комитету ЖКХ и ТЭК</w:t>
      </w:r>
      <w:r>
        <w:t xml:space="preserve"> </w:t>
      </w:r>
      <w:r w:rsidRPr="00B96BCC">
        <w:t>на субсидию в виде имущественного взноса на обеспечение деятельно</w:t>
      </w:r>
      <w:r>
        <w:t>сти</w:t>
      </w:r>
      <w:r w:rsidR="009F52EE">
        <w:t xml:space="preserve"> УНО «Региональный оператор»</w:t>
      </w:r>
      <w:r w:rsidRPr="00B96BCC">
        <w:t>.</w:t>
      </w:r>
      <w:r w:rsidR="009F52EE">
        <w:t xml:space="preserve"> </w:t>
      </w:r>
    </w:p>
    <w:p w:rsidR="00675EFA" w:rsidRDefault="001702B4" w:rsidP="00675EFA">
      <w:pPr>
        <w:ind w:firstLine="708"/>
        <w:jc w:val="both"/>
      </w:pPr>
      <w:r w:rsidRPr="00B96BCC">
        <w:rPr>
          <w:b/>
          <w:i/>
        </w:rPr>
        <w:t>По</w:t>
      </w:r>
      <w:r>
        <w:rPr>
          <w:b/>
          <w:i/>
        </w:rPr>
        <w:t xml:space="preserve"> по</w:t>
      </w:r>
      <w:r w:rsidRPr="00B96BCC">
        <w:rPr>
          <w:b/>
          <w:i/>
        </w:rPr>
        <w:t>драздел</w:t>
      </w:r>
      <w:r>
        <w:rPr>
          <w:b/>
          <w:i/>
        </w:rPr>
        <w:t>у</w:t>
      </w:r>
      <w:r w:rsidRPr="00B96BCC">
        <w:rPr>
          <w:b/>
          <w:i/>
        </w:rPr>
        <w:t xml:space="preserve"> 0502 «Коммунальное </w:t>
      </w:r>
      <w:r>
        <w:rPr>
          <w:b/>
          <w:i/>
        </w:rPr>
        <w:t xml:space="preserve"> </w:t>
      </w:r>
      <w:r w:rsidRPr="00B96BCC">
        <w:rPr>
          <w:b/>
          <w:i/>
        </w:rPr>
        <w:t xml:space="preserve">хозяйство» </w:t>
      </w:r>
      <w:r w:rsidRPr="00B96BCC">
        <w:t xml:space="preserve">бюджетные </w:t>
      </w:r>
      <w:r>
        <w:t xml:space="preserve">ассигнования на 2018 год предусмотрены в </w:t>
      </w:r>
      <w:r w:rsidRPr="00C65AA6">
        <w:t>размере 11</w:t>
      </w:r>
      <w:r>
        <w:t>23,6</w:t>
      </w:r>
      <w:r w:rsidRPr="00C65AA6">
        <w:t xml:space="preserve"> млн. руб.,</w:t>
      </w:r>
      <w:r w:rsidRPr="00B96BCC">
        <w:t xml:space="preserve"> </w:t>
      </w:r>
      <w:r w:rsidR="003000D1">
        <w:t>т. е. уменьшены</w:t>
      </w:r>
      <w:r>
        <w:t xml:space="preserve"> по сравнению с 2017 год</w:t>
      </w:r>
      <w:r w:rsidR="003000D1">
        <w:t>ом</w:t>
      </w:r>
      <w:r>
        <w:t xml:space="preserve"> почти в 2 раза (2141,3 млн. руб.),</w:t>
      </w:r>
      <w:r w:rsidRPr="00B96BCC">
        <w:t xml:space="preserve"> в том числе:</w:t>
      </w:r>
    </w:p>
    <w:p w:rsidR="00343F8F" w:rsidRDefault="00675EFA" w:rsidP="00AB7BC4">
      <w:pPr>
        <w:ind w:firstLine="708"/>
        <w:jc w:val="both"/>
      </w:pPr>
      <w:r>
        <w:t>-</w:t>
      </w:r>
      <w:r w:rsidR="001702B4" w:rsidRPr="00343F8F">
        <w:rPr>
          <w:u w:val="single"/>
        </w:rPr>
        <w:t>комитету строительства</w:t>
      </w:r>
      <w:r w:rsidR="001702B4" w:rsidRPr="00B96BCC">
        <w:rPr>
          <w:i/>
        </w:rPr>
        <w:t xml:space="preserve"> – </w:t>
      </w:r>
      <w:r>
        <w:t xml:space="preserve"> </w:t>
      </w:r>
      <w:r w:rsidR="001702B4" w:rsidRPr="00675EFA">
        <w:t>341,5 млн. руб</w:t>
      </w:r>
      <w:proofErr w:type="gramStart"/>
      <w:r w:rsidR="001702B4" w:rsidRPr="00675EFA">
        <w:t>.</w:t>
      </w:r>
      <w:r w:rsidR="00343F8F">
        <w:t xml:space="preserve">. </w:t>
      </w:r>
      <w:proofErr w:type="gramEnd"/>
      <w:r w:rsidR="00343F8F">
        <w:t>из них:</w:t>
      </w:r>
    </w:p>
    <w:p w:rsidR="00250968" w:rsidRPr="008A4078" w:rsidRDefault="001702B4" w:rsidP="00250968">
      <w:pPr>
        <w:ind w:firstLine="708"/>
        <w:jc w:val="both"/>
        <w:rPr>
          <w:b/>
        </w:rPr>
      </w:pPr>
      <w:r w:rsidRPr="00A8306F">
        <w:t xml:space="preserve">на </w:t>
      </w:r>
      <w:r>
        <w:t>выплату</w:t>
      </w:r>
      <w:r w:rsidRPr="00A8306F">
        <w:t xml:space="preserve"> субсидии в виде имущественного взноса НО «Волгоградский областной фонд жилья и ипотеки» </w:t>
      </w:r>
      <w:r w:rsidRPr="00437E15">
        <w:t>для предоставления средств на возвратных условиях на реализацию мероприятий модернизации и энергосбережения систем коммунальной инфраструктуры</w:t>
      </w:r>
      <w:r w:rsidR="00250968">
        <w:t xml:space="preserve">, </w:t>
      </w:r>
      <w:r w:rsidR="00250968" w:rsidRPr="00437E15">
        <w:t>порядок определении объема которой утвержден постановлением Администрации Волгоградской области от 29.03.2017 №169-п</w:t>
      </w:r>
      <w:r w:rsidR="00250968">
        <w:t xml:space="preserve">, </w:t>
      </w:r>
      <w:r w:rsidR="00343F8F">
        <w:t xml:space="preserve">- </w:t>
      </w:r>
      <w:r w:rsidR="00250968">
        <w:t>50 млн. руб.</w:t>
      </w:r>
      <w:r w:rsidR="00276F34">
        <w:t>;</w:t>
      </w:r>
      <w:r w:rsidR="00250968">
        <w:t xml:space="preserve"> </w:t>
      </w:r>
    </w:p>
    <w:p w:rsidR="00343F8F" w:rsidRDefault="001702B4" w:rsidP="00AB7BC4">
      <w:pPr>
        <w:ind w:firstLine="708"/>
        <w:jc w:val="both"/>
      </w:pPr>
      <w:r>
        <w:t xml:space="preserve">на строительство и техническое перевооружение </w:t>
      </w:r>
      <w:r w:rsidR="00E43497">
        <w:t xml:space="preserve">в рамках </w:t>
      </w:r>
      <w:r w:rsidR="00250968">
        <w:t xml:space="preserve">подпрограммы «Газификация Волгоградской области» </w:t>
      </w:r>
      <w:r>
        <w:t>126 объектов</w:t>
      </w:r>
      <w:r w:rsidR="00881D7B">
        <w:t xml:space="preserve"> (газовых котельных</w:t>
      </w:r>
      <w:r>
        <w:t>,</w:t>
      </w:r>
      <w:r w:rsidR="00881D7B">
        <w:t xml:space="preserve"> </w:t>
      </w:r>
      <w:proofErr w:type="spellStart"/>
      <w:r w:rsidR="00AB7BC4">
        <w:t>внутрипоселковых</w:t>
      </w:r>
      <w:proofErr w:type="spellEnd"/>
      <w:r w:rsidR="00AB7BC4">
        <w:t xml:space="preserve"> газопроводов),</w:t>
      </w:r>
      <w:r>
        <w:t xml:space="preserve"> включенных в приложение 15 </w:t>
      </w:r>
      <w:r w:rsidR="00881D7B">
        <w:t>з</w:t>
      </w:r>
      <w:r>
        <w:t>аконопроекта «</w:t>
      </w:r>
      <w:r w:rsidRPr="00E95C4B">
        <w:rPr>
          <w:bCs/>
          <w:color w:val="000000"/>
        </w:rPr>
        <w:t>Перечень объектов строительства (реконструкции, в том числе с элементами реставрации, технического перевооружения) для областных государственных нужд</w:t>
      </w:r>
      <w:r w:rsidR="00881D7B">
        <w:rPr>
          <w:bCs/>
          <w:color w:val="000000"/>
        </w:rPr>
        <w:t xml:space="preserve">» </w:t>
      </w:r>
      <w:r w:rsidR="00343F8F">
        <w:rPr>
          <w:bCs/>
          <w:color w:val="000000"/>
        </w:rPr>
        <w:t xml:space="preserve"> - </w:t>
      </w:r>
      <w:r w:rsidR="00881D7B" w:rsidRPr="00881D7B">
        <w:t>165,5</w:t>
      </w:r>
      <w:r w:rsidR="00AB7BC4">
        <w:t xml:space="preserve"> </w:t>
      </w:r>
      <w:r w:rsidR="00881D7B" w:rsidRPr="00881D7B">
        <w:t>млн. руб.</w:t>
      </w:r>
      <w:r w:rsidR="00343F8F">
        <w:t>;</w:t>
      </w:r>
    </w:p>
    <w:p w:rsidR="00AB7BC4" w:rsidRDefault="00AB7BC4" w:rsidP="00AB7BC4">
      <w:pPr>
        <w:ind w:firstLine="708"/>
        <w:jc w:val="both"/>
      </w:pPr>
      <w:proofErr w:type="gramStart"/>
      <w:r>
        <w:t xml:space="preserve">на </w:t>
      </w:r>
      <w:r w:rsidR="001702B4" w:rsidRPr="00C02964">
        <w:t>предоставлени</w:t>
      </w:r>
      <w:r>
        <w:t>е</w:t>
      </w:r>
      <w:r w:rsidR="001702B4" w:rsidRPr="00C02964">
        <w:t xml:space="preserve"> субсидий юридическим лицам на подключение к сетям инженерно-технического обеспечения многоквартирных домов, строящихся с привлечением участников долевого строительства, сведения о которых содержатся в реестре граждан, чьи денежные средства привлечены для строительства и чьи права нарушены</w:t>
      </w:r>
      <w:r w:rsidR="00E43497">
        <w:t>, в рамках</w:t>
      </w:r>
      <w:r>
        <w:t xml:space="preserve"> </w:t>
      </w:r>
      <w:r w:rsidR="00E43497">
        <w:rPr>
          <w:color w:val="000000"/>
        </w:rPr>
        <w:t>подпрограммы «Стимулирование жилищного строительства в Волгоградской области» госпрограммы «Обеспечение доступным и комфортным жильем и коммунальными услугами жителей Волгоградской области»</w:t>
      </w:r>
      <w:r w:rsidR="00E43497">
        <w:t xml:space="preserve"> - </w:t>
      </w:r>
      <w:r>
        <w:t>126 млн. руб</w:t>
      </w:r>
      <w:r w:rsidR="00E43497">
        <w:t>.</w:t>
      </w:r>
      <w:r w:rsidR="006D7E35">
        <w:t>;</w:t>
      </w:r>
      <w:r w:rsidR="001702B4" w:rsidRPr="00C02964">
        <w:t xml:space="preserve"> </w:t>
      </w:r>
      <w:proofErr w:type="gramEnd"/>
    </w:p>
    <w:p w:rsidR="00396EF3" w:rsidRPr="00C02964" w:rsidRDefault="00ED7E01" w:rsidP="00396EF3">
      <w:pPr>
        <w:autoSpaceDE w:val="0"/>
        <w:autoSpaceDN w:val="0"/>
        <w:adjustRightInd w:val="0"/>
        <w:ind w:firstLine="708"/>
        <w:jc w:val="both"/>
        <w:rPr>
          <w:bCs/>
        </w:rPr>
      </w:pPr>
      <w:r>
        <w:t>-</w:t>
      </w:r>
      <w:r w:rsidR="001702B4" w:rsidRPr="00343F8F">
        <w:rPr>
          <w:u w:val="single"/>
        </w:rPr>
        <w:t>комитету тарифного регулирования</w:t>
      </w:r>
      <w:r w:rsidR="001702B4" w:rsidRPr="00C02964">
        <w:t xml:space="preserve"> – </w:t>
      </w:r>
      <w:r w:rsidR="001702B4" w:rsidRPr="00ED7E01">
        <w:t>654,1 млн. руб.</w:t>
      </w:r>
      <w:r>
        <w:t xml:space="preserve"> </w:t>
      </w:r>
      <w:r w:rsidR="001702B4" w:rsidRPr="00C02964">
        <w:t xml:space="preserve">на предоставление поселениям Волгоградской области межбюджетных трансфертов в форме субвенций на компенсацию (возмещение) выпадающих доходов </w:t>
      </w:r>
      <w:proofErr w:type="spellStart"/>
      <w:r w:rsidR="001702B4" w:rsidRPr="00C02964">
        <w:t>ресурсоснабжающих</w:t>
      </w:r>
      <w:proofErr w:type="spellEnd"/>
      <w:r w:rsidR="001702B4" w:rsidRPr="00C02964">
        <w:t xml:space="preserve"> организаций, связанных с применением ими льготных тарифов (цен) на коммунальные ресурсы (услуги) и техническу</w:t>
      </w:r>
      <w:r w:rsidR="001702B4">
        <w:t>ю воду, поставляемые населению.</w:t>
      </w:r>
      <w:r w:rsidR="00C87BBF">
        <w:t xml:space="preserve"> </w:t>
      </w:r>
      <w:r w:rsidR="001702B4" w:rsidRPr="00C02964">
        <w:rPr>
          <w:bCs/>
        </w:rPr>
        <w:t xml:space="preserve">Бюджетные </w:t>
      </w:r>
      <w:r w:rsidR="001702B4">
        <w:rPr>
          <w:bCs/>
        </w:rPr>
        <w:t>ассигнования</w:t>
      </w:r>
      <w:r w:rsidR="001702B4" w:rsidRPr="00C02964">
        <w:rPr>
          <w:bCs/>
        </w:rPr>
        <w:t xml:space="preserve"> соответствуют расчетной потребности в средствах областного бюджета на 2018 год, представленной комитетом тарифного регулирования.</w:t>
      </w:r>
      <w:r w:rsidR="00C87BBF">
        <w:rPr>
          <w:bCs/>
        </w:rPr>
        <w:t xml:space="preserve"> </w:t>
      </w:r>
      <w:r w:rsidR="001702B4" w:rsidRPr="00C02964">
        <w:rPr>
          <w:bCs/>
        </w:rPr>
        <w:t xml:space="preserve">Однако в данный расчет включена потребность в средствах на предоставление субвенции муниципальным образованиям </w:t>
      </w:r>
      <w:r w:rsidR="00396EF3">
        <w:rPr>
          <w:bCs/>
        </w:rPr>
        <w:t>з</w:t>
      </w:r>
      <w:r w:rsidR="001702B4" w:rsidRPr="00C02964">
        <w:rPr>
          <w:bCs/>
        </w:rPr>
        <w:t xml:space="preserve">а 3 квартал 2017 года (120 млн. руб.), </w:t>
      </w:r>
      <w:r w:rsidR="00396EF3">
        <w:rPr>
          <w:bCs/>
        </w:rPr>
        <w:t xml:space="preserve">которая, по сути, является кредиторской задолженностью областного бюджета перед муниципальными образованиями, за </w:t>
      </w:r>
      <w:r w:rsidR="001702B4" w:rsidRPr="00C02964">
        <w:rPr>
          <w:bCs/>
        </w:rPr>
        <w:t xml:space="preserve">4 квартал 2017 года (196,3 млн. руб.), а также </w:t>
      </w:r>
      <w:r w:rsidR="00396EF3">
        <w:rPr>
          <w:bCs/>
        </w:rPr>
        <w:t xml:space="preserve">за </w:t>
      </w:r>
      <w:r w:rsidR="001702B4" w:rsidRPr="00C02964">
        <w:rPr>
          <w:bCs/>
        </w:rPr>
        <w:t xml:space="preserve">1 и 2 кварталы 2018 года. </w:t>
      </w:r>
      <w:proofErr w:type="gramStart"/>
      <w:r w:rsidR="00396EF3">
        <w:rPr>
          <w:bCs/>
        </w:rPr>
        <w:t>С</w:t>
      </w:r>
      <w:r w:rsidR="00396EF3" w:rsidRPr="00C02964">
        <w:rPr>
          <w:bCs/>
        </w:rPr>
        <w:t xml:space="preserve">огласно </w:t>
      </w:r>
      <w:r w:rsidR="00396EF3">
        <w:rPr>
          <w:bCs/>
        </w:rPr>
        <w:t xml:space="preserve">Порядку </w:t>
      </w:r>
      <w:r w:rsidR="00396EF3" w:rsidRPr="00396EF3">
        <w:rPr>
          <w:bCs/>
        </w:rPr>
        <w:t xml:space="preserve">предоставления субвенций бюджетам муниципальных районов и городских округов Волгоградской области из областного бюджета на осуществление переданных полномочий Волгоградской области на компенсацию (возмещение) выпадающих доходов </w:t>
      </w:r>
      <w:proofErr w:type="spellStart"/>
      <w:r w:rsidR="00396EF3" w:rsidRPr="00396EF3">
        <w:rPr>
          <w:bCs/>
        </w:rPr>
        <w:t>ресурсоснабжающих</w:t>
      </w:r>
      <w:proofErr w:type="spellEnd"/>
      <w:r w:rsidR="00396EF3" w:rsidRPr="00396EF3">
        <w:rPr>
          <w:bCs/>
        </w:rPr>
        <w:t xml:space="preserve"> организаций, возникших в 2017-2018 годах, связанных с применением льготных тарифов на коммунальные ресурсы (услуги) и техничес</w:t>
      </w:r>
      <w:r w:rsidR="00396EF3">
        <w:rPr>
          <w:bCs/>
        </w:rPr>
        <w:t xml:space="preserve">кую воду, поставляемую населению, </w:t>
      </w:r>
      <w:r w:rsidR="00396EF3" w:rsidRPr="00C02964">
        <w:rPr>
          <w:bCs/>
        </w:rPr>
        <w:t>утвержденному постановлением Администрации Волгоградской области от 22.05.2017 №261-п</w:t>
      </w:r>
      <w:r w:rsidR="00396EF3">
        <w:rPr>
          <w:bCs/>
        </w:rPr>
        <w:t>,</w:t>
      </w:r>
      <w:r w:rsidR="00396EF3" w:rsidRPr="00C02964">
        <w:rPr>
          <w:bCs/>
          <w:i/>
        </w:rPr>
        <w:t xml:space="preserve"> </w:t>
      </w:r>
      <w:r w:rsidR="00396EF3" w:rsidRPr="00C02964">
        <w:rPr>
          <w:bCs/>
        </w:rPr>
        <w:t xml:space="preserve">перечисление субвенций предусмотрено </w:t>
      </w:r>
      <w:r w:rsidR="00396EF3" w:rsidRPr="00396EF3">
        <w:rPr>
          <w:bCs/>
          <w:u w:val="single"/>
        </w:rPr>
        <w:t>ежеквартально в течение</w:t>
      </w:r>
      <w:proofErr w:type="gramEnd"/>
      <w:r w:rsidR="00396EF3" w:rsidRPr="00396EF3">
        <w:rPr>
          <w:bCs/>
          <w:u w:val="single"/>
        </w:rPr>
        <w:t xml:space="preserve"> текущего финансового года,</w:t>
      </w:r>
      <w:r w:rsidR="00396EF3" w:rsidRPr="00C02964">
        <w:rPr>
          <w:bCs/>
        </w:rPr>
        <w:t xml:space="preserve"> исходя из планового объема реализации коммунальных услуг, </w:t>
      </w:r>
      <w:r w:rsidR="00396EF3" w:rsidRPr="00396EF3">
        <w:rPr>
          <w:bCs/>
          <w:u w:val="single"/>
        </w:rPr>
        <w:t xml:space="preserve">за </w:t>
      </w:r>
      <w:r w:rsidR="00396EF3" w:rsidRPr="00396EF3">
        <w:rPr>
          <w:bCs/>
          <w:u w:val="single"/>
        </w:rPr>
        <w:lastRenderedPageBreak/>
        <w:t>исключением 4 квартала,</w:t>
      </w:r>
      <w:r w:rsidR="00396EF3" w:rsidRPr="00C02964">
        <w:rPr>
          <w:bCs/>
        </w:rPr>
        <w:t xml:space="preserve"> корректировка средств по которому (в соответстви</w:t>
      </w:r>
      <w:r w:rsidR="00396EF3">
        <w:rPr>
          <w:bCs/>
        </w:rPr>
        <w:t>и</w:t>
      </w:r>
      <w:r w:rsidR="00396EF3" w:rsidRPr="00C02964">
        <w:rPr>
          <w:bCs/>
        </w:rPr>
        <w:t xml:space="preserve"> с фактической реализацией) предусмотрена в очередном году.</w:t>
      </w:r>
      <w:r w:rsidR="00396EF3">
        <w:rPr>
          <w:bCs/>
        </w:rPr>
        <w:t xml:space="preserve"> Учитывая это, </w:t>
      </w:r>
      <w:r w:rsidR="00396EF3" w:rsidRPr="00396EF3">
        <w:rPr>
          <w:bCs/>
          <w:u w:val="single"/>
        </w:rPr>
        <w:t>законопроектом не предусмотрена потребность в указанных субвенциях за 3 квартал 2018 года</w:t>
      </w:r>
      <w:r w:rsidR="00396EF3">
        <w:rPr>
          <w:bCs/>
        </w:rPr>
        <w:t xml:space="preserve">. </w:t>
      </w:r>
    </w:p>
    <w:p w:rsidR="00323EEC" w:rsidRDefault="00533627" w:rsidP="00323EEC">
      <w:pPr>
        <w:ind w:firstLine="708"/>
        <w:jc w:val="both"/>
        <w:rPr>
          <w:color w:val="000000"/>
        </w:rPr>
      </w:pPr>
      <w:r>
        <w:rPr>
          <w:bCs/>
        </w:rPr>
        <w:t>-</w:t>
      </w:r>
      <w:r w:rsidR="001702B4" w:rsidRPr="00343F8F">
        <w:rPr>
          <w:u w:val="single"/>
        </w:rPr>
        <w:t>комитету сельского хозяйства</w:t>
      </w:r>
      <w:r w:rsidR="001702B4" w:rsidRPr="00B96BCC">
        <w:rPr>
          <w:i/>
        </w:rPr>
        <w:t xml:space="preserve"> – </w:t>
      </w:r>
      <w:r w:rsidR="001702B4" w:rsidRPr="00533627">
        <w:t>48,6 млн. руб.</w:t>
      </w:r>
      <w:r w:rsidR="001702B4" w:rsidRPr="00C02964">
        <w:t xml:space="preserve"> </w:t>
      </w:r>
      <w:r w:rsidR="001702B4" w:rsidRPr="00B96BCC">
        <w:t xml:space="preserve">на </w:t>
      </w:r>
      <w:r w:rsidR="001702B4">
        <w:t>строительство и реконструкцию 3 объектов газоснабжения</w:t>
      </w:r>
      <w:r w:rsidR="001702B4" w:rsidRPr="00B96BCC">
        <w:t xml:space="preserve"> в рамках </w:t>
      </w:r>
      <w:r w:rsidR="001702B4" w:rsidRPr="00B96BCC">
        <w:rPr>
          <w:color w:val="000000"/>
        </w:rPr>
        <w:t xml:space="preserve">госпрограммы </w:t>
      </w:r>
      <w:r w:rsidR="001702B4">
        <w:rPr>
          <w:color w:val="000000"/>
        </w:rPr>
        <w:t>«</w:t>
      </w:r>
      <w:r w:rsidR="001702B4" w:rsidRPr="00B96BCC">
        <w:rPr>
          <w:color w:val="000000"/>
        </w:rPr>
        <w:t>Устойчивое развитие сельских территорий</w:t>
      </w:r>
      <w:r w:rsidR="001702B4">
        <w:rPr>
          <w:color w:val="000000"/>
        </w:rPr>
        <w:t>», в том числе за счет средств федерального бюджета – 28 млн. руб.</w:t>
      </w:r>
      <w:r w:rsidR="00323EEC">
        <w:rPr>
          <w:color w:val="000000"/>
        </w:rPr>
        <w:t>;</w:t>
      </w:r>
    </w:p>
    <w:p w:rsidR="001702B4" w:rsidRPr="00437E15" w:rsidRDefault="00323EEC" w:rsidP="001702B4">
      <w:pPr>
        <w:ind w:firstLine="708"/>
        <w:jc w:val="both"/>
        <w:rPr>
          <w:rFonts w:eastAsia="Calibri"/>
        </w:rPr>
      </w:pPr>
      <w:proofErr w:type="gramStart"/>
      <w:r>
        <w:rPr>
          <w:color w:val="000000"/>
        </w:rPr>
        <w:t>-</w:t>
      </w:r>
      <w:r w:rsidR="001702B4" w:rsidRPr="00343F8F">
        <w:rPr>
          <w:u w:val="single"/>
        </w:rPr>
        <w:t>комитету ЖКХ и ТЭК</w:t>
      </w:r>
      <w:r w:rsidR="001702B4">
        <w:rPr>
          <w:i/>
        </w:rPr>
        <w:t xml:space="preserve"> </w:t>
      </w:r>
      <w:r w:rsidR="001702B4" w:rsidRPr="00C02964">
        <w:rPr>
          <w:i/>
        </w:rPr>
        <w:t xml:space="preserve">– </w:t>
      </w:r>
      <w:r w:rsidR="001702B4" w:rsidRPr="00323EEC">
        <w:t>79,4 млн. руб.</w:t>
      </w:r>
      <w:r>
        <w:t xml:space="preserve"> </w:t>
      </w:r>
      <w:r w:rsidR="001702B4" w:rsidRPr="00B96BCC">
        <w:t xml:space="preserve">на предоставление субсидий бюджетам муниципальных образований </w:t>
      </w:r>
      <w:r w:rsidR="001702B4" w:rsidRPr="008217E8">
        <w:t>на обводнение населенных пунктов</w:t>
      </w:r>
      <w:r>
        <w:t xml:space="preserve"> (28,1 млн. руб.), </w:t>
      </w:r>
      <w:r w:rsidR="001702B4" w:rsidRPr="00B96BCC">
        <w:rPr>
          <w:bCs/>
        </w:rPr>
        <w:t xml:space="preserve">на финансирование </w:t>
      </w:r>
      <w:r w:rsidR="001702B4" w:rsidRPr="00B96BCC">
        <w:rPr>
          <w:rFonts w:eastAsia="Calibri"/>
        </w:rPr>
        <w:t xml:space="preserve">подпрограммы «Чистая вода» </w:t>
      </w:r>
      <w:r w:rsidR="001702B4">
        <w:rPr>
          <w:rFonts w:eastAsia="Calibri"/>
        </w:rPr>
        <w:t>г</w:t>
      </w:r>
      <w:r w:rsidR="001702B4" w:rsidRPr="00B96BCC">
        <w:rPr>
          <w:rFonts w:eastAsia="Calibri"/>
        </w:rPr>
        <w:t>ос</w:t>
      </w:r>
      <w:r>
        <w:rPr>
          <w:rFonts w:eastAsia="Calibri"/>
        </w:rPr>
        <w:t>п</w:t>
      </w:r>
      <w:r w:rsidR="001702B4" w:rsidRPr="00B96BCC">
        <w:rPr>
          <w:rFonts w:eastAsia="Calibri"/>
        </w:rPr>
        <w:t>рограммы «Обеспечение доступным и комфортным жильем и коммунальными услугами</w:t>
      </w:r>
      <w:r w:rsidR="001702B4">
        <w:rPr>
          <w:rFonts w:eastAsia="Calibri"/>
        </w:rPr>
        <w:t xml:space="preserve"> жителей Волгоградской области» </w:t>
      </w:r>
      <w:r>
        <w:rPr>
          <w:rFonts w:eastAsia="Calibri"/>
        </w:rPr>
        <w:t xml:space="preserve">(40,4 млн. руб.), </w:t>
      </w:r>
      <w:r w:rsidR="001702B4">
        <w:rPr>
          <w:rFonts w:eastAsia="Calibri"/>
        </w:rPr>
        <w:t xml:space="preserve">на выполнение </w:t>
      </w:r>
      <w:proofErr w:type="spellStart"/>
      <w:r w:rsidR="001702B4">
        <w:rPr>
          <w:rFonts w:eastAsia="Calibri"/>
        </w:rPr>
        <w:t>госзадания</w:t>
      </w:r>
      <w:proofErr w:type="spellEnd"/>
      <w:r w:rsidR="001702B4">
        <w:rPr>
          <w:rFonts w:eastAsia="Calibri"/>
        </w:rPr>
        <w:t xml:space="preserve"> ГБУ «Волгоградский центр </w:t>
      </w:r>
      <w:proofErr w:type="spellStart"/>
      <w:r w:rsidR="001702B4">
        <w:rPr>
          <w:rFonts w:eastAsia="Calibri"/>
        </w:rPr>
        <w:t>энергоэффективности</w:t>
      </w:r>
      <w:proofErr w:type="spellEnd"/>
      <w:r w:rsidR="001702B4">
        <w:rPr>
          <w:rFonts w:eastAsia="Calibri"/>
        </w:rPr>
        <w:t>» по содержанию, эксплуатации и техническому обслуживанию газораспределительных сетей Волгоградской области</w:t>
      </w:r>
      <w:r>
        <w:rPr>
          <w:rFonts w:eastAsia="Calibri"/>
        </w:rPr>
        <w:t xml:space="preserve"> (10,9 млн. руб</w:t>
      </w:r>
      <w:proofErr w:type="gramEnd"/>
      <w:r>
        <w:rPr>
          <w:rFonts w:eastAsia="Calibri"/>
        </w:rPr>
        <w:t>.)</w:t>
      </w:r>
      <w:r w:rsidR="001702B4">
        <w:rPr>
          <w:rFonts w:eastAsia="Calibri"/>
        </w:rPr>
        <w:t xml:space="preserve">. </w:t>
      </w:r>
    </w:p>
    <w:p w:rsidR="00323EEC" w:rsidRPr="00E14A89" w:rsidRDefault="00536148" w:rsidP="00323EEC">
      <w:pPr>
        <w:ind w:firstLine="709"/>
        <w:jc w:val="both"/>
        <w:rPr>
          <w:b/>
          <w:i/>
        </w:rPr>
      </w:pPr>
      <w:r>
        <w:t>Относительно субсидий муниципальным образованиям на обводнение населенных пунктов необходимо отметить, что указанные субсидии ежегодно</w:t>
      </w:r>
      <w:r w:rsidR="00323EEC" w:rsidRPr="008217E8">
        <w:t xml:space="preserve"> предоставляются из областного бюджета в целях </w:t>
      </w:r>
      <w:proofErr w:type="spellStart"/>
      <w:r w:rsidR="00323EEC" w:rsidRPr="008217E8">
        <w:t>софинансирования</w:t>
      </w:r>
      <w:proofErr w:type="spellEnd"/>
      <w:r w:rsidR="00323EEC" w:rsidRPr="008217E8">
        <w:t xml:space="preserve"> расходов органов местного самоуправления на осуществление полномочий по организации водоснабжения населения.</w:t>
      </w:r>
      <w:r>
        <w:t xml:space="preserve"> При этом </w:t>
      </w:r>
      <w:r w:rsidR="00323EEC" w:rsidRPr="00E14A89">
        <w:rPr>
          <w:b/>
          <w:i/>
        </w:rPr>
        <w:t>в нарушение требований ст</w:t>
      </w:r>
      <w:r w:rsidRPr="00E14A89">
        <w:rPr>
          <w:b/>
          <w:i/>
        </w:rPr>
        <w:t xml:space="preserve">атьи </w:t>
      </w:r>
      <w:r w:rsidR="00323EEC" w:rsidRPr="00E14A89">
        <w:rPr>
          <w:b/>
          <w:i/>
        </w:rPr>
        <w:t>85 БК РФ нормативный правовой акт, являющийся основанием возникновения данного расходного обязательства области</w:t>
      </w:r>
      <w:r w:rsidR="00E14A89">
        <w:rPr>
          <w:b/>
          <w:i/>
        </w:rPr>
        <w:t>,</w:t>
      </w:r>
      <w:r w:rsidR="00323EEC" w:rsidRPr="00E14A89">
        <w:rPr>
          <w:b/>
          <w:i/>
        </w:rPr>
        <w:t xml:space="preserve"> отсутствует.</w:t>
      </w:r>
    </w:p>
    <w:p w:rsidR="00323EEC" w:rsidRPr="008217E8" w:rsidRDefault="00323EEC" w:rsidP="00323EEC">
      <w:pPr>
        <w:ind w:firstLine="709"/>
        <w:jc w:val="both"/>
      </w:pPr>
      <w:r w:rsidRPr="008217E8">
        <w:t xml:space="preserve">Данное нарушение </w:t>
      </w:r>
      <w:r w:rsidR="00536148">
        <w:t xml:space="preserve">КСП </w:t>
      </w:r>
      <w:r w:rsidRPr="008217E8">
        <w:t>неоднократно отмечал</w:t>
      </w:r>
      <w:r w:rsidR="00536148">
        <w:t>а</w:t>
      </w:r>
      <w:r w:rsidRPr="008217E8">
        <w:t xml:space="preserve"> в своих заключениях, а также в отчете по результатам проверки эффективности и целевого использования субсидий из областного бюджета, предоставленных комитетом жилищно-коммунального хозяйства и топливно-энергетического комплекса Волгоградской области муниципальным образованиям на обводнение населенных пунктов в 2015-2016 годах и истекшем периоде 2017 год.</w:t>
      </w:r>
    </w:p>
    <w:p w:rsidR="00CD5936" w:rsidRDefault="001702B4" w:rsidP="00CD5936">
      <w:pPr>
        <w:pStyle w:val="a9"/>
        <w:autoSpaceDE w:val="0"/>
        <w:autoSpaceDN w:val="0"/>
        <w:adjustRightInd w:val="0"/>
        <w:ind w:left="0" w:firstLine="708"/>
        <w:jc w:val="both"/>
      </w:pPr>
      <w:r w:rsidRPr="00B96BCC">
        <w:rPr>
          <w:b/>
          <w:i/>
        </w:rPr>
        <w:t>По</w:t>
      </w:r>
      <w:r>
        <w:rPr>
          <w:b/>
          <w:i/>
        </w:rPr>
        <w:t xml:space="preserve"> по</w:t>
      </w:r>
      <w:r w:rsidRPr="00B96BCC">
        <w:rPr>
          <w:b/>
          <w:i/>
        </w:rPr>
        <w:t>драздел</w:t>
      </w:r>
      <w:r>
        <w:rPr>
          <w:b/>
          <w:i/>
        </w:rPr>
        <w:t>у</w:t>
      </w:r>
      <w:r w:rsidRPr="00B96BCC">
        <w:rPr>
          <w:b/>
          <w:i/>
        </w:rPr>
        <w:t xml:space="preserve"> 0503 «Благоустройство» </w:t>
      </w:r>
      <w:r w:rsidRPr="00B96BCC">
        <w:t xml:space="preserve">бюджетные </w:t>
      </w:r>
      <w:r>
        <w:t>ассигнования на 2018 год предусмотрены в размере  946,2</w:t>
      </w:r>
      <w:r w:rsidRPr="00B96BCC">
        <w:t xml:space="preserve"> млн. руб., </w:t>
      </w:r>
      <w:r w:rsidR="00CD5936">
        <w:t>что составляет</w:t>
      </w:r>
      <w:r w:rsidRPr="00B96BCC">
        <w:t xml:space="preserve"> </w:t>
      </w:r>
      <w:r>
        <w:t>95</w:t>
      </w:r>
      <w:r w:rsidRPr="00B96BCC">
        <w:t xml:space="preserve">% </w:t>
      </w:r>
      <w:r>
        <w:t>к 2017</w:t>
      </w:r>
      <w:r w:rsidRPr="00B96BCC">
        <w:t xml:space="preserve"> год</w:t>
      </w:r>
      <w:r w:rsidR="00CD5936">
        <w:t>у, в том числе:</w:t>
      </w:r>
    </w:p>
    <w:p w:rsidR="00CD5936" w:rsidRDefault="00CD5936" w:rsidP="00CD5936">
      <w:pPr>
        <w:pStyle w:val="a9"/>
        <w:autoSpaceDE w:val="0"/>
        <w:autoSpaceDN w:val="0"/>
        <w:adjustRightInd w:val="0"/>
        <w:ind w:left="0" w:firstLine="708"/>
        <w:jc w:val="both"/>
      </w:pPr>
      <w:r>
        <w:t>-</w:t>
      </w:r>
      <w:r w:rsidR="001702B4" w:rsidRPr="00CD5936">
        <w:t>комитету ЖКХ и ТЭК</w:t>
      </w:r>
      <w:r w:rsidR="001702B4" w:rsidRPr="00AE1FB8">
        <w:rPr>
          <w:i/>
        </w:rPr>
        <w:t xml:space="preserve"> – </w:t>
      </w:r>
      <w:r w:rsidR="001702B4" w:rsidRPr="00AE1FB8">
        <w:t>921 млн. руб. на реализацию мероприятий по благоустройству территорий в рамках г</w:t>
      </w:r>
      <w:r w:rsidR="001702B4" w:rsidRPr="00AE1FB8">
        <w:rPr>
          <w:bCs/>
        </w:rPr>
        <w:t>оспрограммы «Формирование современной городской среды»</w:t>
      </w:r>
      <w:r w:rsidR="001702B4">
        <w:rPr>
          <w:bCs/>
        </w:rPr>
        <w:t>, в том числе</w:t>
      </w:r>
      <w:r w:rsidR="001702B4" w:rsidRPr="00AE1FB8">
        <w:t xml:space="preserve"> за счет средств </w:t>
      </w:r>
      <w:r w:rsidR="001702B4">
        <w:t xml:space="preserve">федерального </w:t>
      </w:r>
      <w:r w:rsidR="001702B4" w:rsidRPr="00AE1FB8">
        <w:t>бюджета</w:t>
      </w:r>
      <w:r w:rsidR="001702B4">
        <w:t xml:space="preserve"> – 508,3 тыс. руб.</w:t>
      </w:r>
      <w:r>
        <w:t>;</w:t>
      </w:r>
    </w:p>
    <w:p w:rsidR="00CD5936" w:rsidRPr="00CD5936" w:rsidRDefault="00CD5936" w:rsidP="00CD5936">
      <w:pPr>
        <w:pStyle w:val="a9"/>
        <w:autoSpaceDE w:val="0"/>
        <w:autoSpaceDN w:val="0"/>
        <w:adjustRightInd w:val="0"/>
        <w:ind w:left="0" w:firstLine="708"/>
        <w:jc w:val="both"/>
      </w:pPr>
      <w:r>
        <w:t>-</w:t>
      </w:r>
      <w:r w:rsidRPr="00CD5936">
        <w:t>комитету строительства</w:t>
      </w:r>
      <w:r w:rsidRPr="00EB291D">
        <w:t xml:space="preserve"> – 25,2 млн. руб. на реализацию мероприятий подпрограммы </w:t>
      </w:r>
      <w:r>
        <w:t>«</w:t>
      </w:r>
      <w:r w:rsidRPr="00EB291D">
        <w:t>Стимулирование развития жилищного строительства в Волгоградской области</w:t>
      </w:r>
      <w:r>
        <w:t>»</w:t>
      </w:r>
      <w:r w:rsidRPr="00EB291D">
        <w:t xml:space="preserve"> </w:t>
      </w:r>
      <w:r>
        <w:rPr>
          <w:rFonts w:eastAsia="Calibri"/>
        </w:rPr>
        <w:t>г</w:t>
      </w:r>
      <w:r w:rsidRPr="00B96BCC">
        <w:rPr>
          <w:rFonts w:eastAsia="Calibri"/>
        </w:rPr>
        <w:t>ос</w:t>
      </w:r>
      <w:r>
        <w:rPr>
          <w:rFonts w:eastAsia="Calibri"/>
        </w:rPr>
        <w:t>п</w:t>
      </w:r>
      <w:r w:rsidRPr="00B96BCC">
        <w:rPr>
          <w:rFonts w:eastAsia="Calibri"/>
        </w:rPr>
        <w:t>рограммы «Обеспечение доступным и комфортным жильем и коммунальными услугами</w:t>
      </w:r>
      <w:r>
        <w:rPr>
          <w:rFonts w:eastAsia="Calibri"/>
        </w:rPr>
        <w:t xml:space="preserve"> жителей Волгоградской области».</w:t>
      </w:r>
      <w:r w:rsidRPr="00EB291D">
        <w:t xml:space="preserve"> </w:t>
      </w:r>
    </w:p>
    <w:p w:rsidR="001702B4" w:rsidRPr="00537D29" w:rsidRDefault="001702B4" w:rsidP="001702B4">
      <w:pPr>
        <w:ind w:firstLine="708"/>
        <w:jc w:val="both"/>
      </w:pPr>
      <w:r>
        <w:rPr>
          <w:b/>
          <w:i/>
        </w:rPr>
        <w:t>По п</w:t>
      </w:r>
      <w:r w:rsidRPr="00B96BCC">
        <w:rPr>
          <w:b/>
          <w:i/>
        </w:rPr>
        <w:t>одраздел</w:t>
      </w:r>
      <w:r>
        <w:rPr>
          <w:b/>
          <w:i/>
        </w:rPr>
        <w:t>у</w:t>
      </w:r>
      <w:r w:rsidRPr="00B96BCC">
        <w:rPr>
          <w:b/>
          <w:i/>
        </w:rPr>
        <w:t xml:space="preserve"> 0505 «Другие вопросы в области жилищно-коммунального хозяйства» </w:t>
      </w:r>
      <w:r w:rsidRPr="00B96BCC">
        <w:t xml:space="preserve">бюджетные </w:t>
      </w:r>
      <w:r>
        <w:t>ассигнования на 2018 год предусмотрены в размере 276,2</w:t>
      </w:r>
      <w:r w:rsidRPr="00B96BCC">
        <w:t xml:space="preserve"> млн. руб., </w:t>
      </w:r>
      <w:r>
        <w:t>или</w:t>
      </w:r>
      <w:r w:rsidRPr="00B96BCC">
        <w:t xml:space="preserve"> на </w:t>
      </w:r>
      <w:r>
        <w:t>118,2</w:t>
      </w:r>
      <w:r w:rsidRPr="00B96BCC">
        <w:t xml:space="preserve">% </w:t>
      </w:r>
      <w:r>
        <w:t>к плану</w:t>
      </w:r>
      <w:r w:rsidRPr="00B96BCC">
        <w:t xml:space="preserve"> </w:t>
      </w:r>
      <w:r>
        <w:t>2017</w:t>
      </w:r>
      <w:r w:rsidRPr="00B96BCC">
        <w:t xml:space="preserve"> год</w:t>
      </w:r>
      <w:r>
        <w:t>а (233,6 млн. руб.),</w:t>
      </w:r>
      <w:r w:rsidRPr="00B96BCC">
        <w:t xml:space="preserve"> в том числе</w:t>
      </w:r>
      <w:r>
        <w:t xml:space="preserve"> на</w:t>
      </w:r>
      <w:r w:rsidRPr="00B96BCC">
        <w:t xml:space="preserve"> обеспечени</w:t>
      </w:r>
      <w:r>
        <w:t>е</w:t>
      </w:r>
      <w:r w:rsidRPr="00B96BCC">
        <w:t xml:space="preserve"> деятельности </w:t>
      </w:r>
      <w:r>
        <w:t>главных распорядителей бюджетных средств</w:t>
      </w:r>
      <w:r w:rsidRPr="00537D29">
        <w:t xml:space="preserve"> – </w:t>
      </w:r>
      <w:r>
        <w:t>251,1</w:t>
      </w:r>
      <w:r w:rsidRPr="00537D29">
        <w:t xml:space="preserve"> млн. руб</w:t>
      </w:r>
      <w:r w:rsidR="008453AF">
        <w:t>лей</w:t>
      </w:r>
      <w:r w:rsidRPr="00537D29">
        <w:t>.</w:t>
      </w:r>
    </w:p>
    <w:p w:rsidR="001702B4" w:rsidRDefault="001702B4" w:rsidP="001702B4">
      <w:pPr>
        <w:ind w:firstLine="708"/>
        <w:jc w:val="both"/>
      </w:pPr>
      <w:r>
        <w:t xml:space="preserve">Увеличение ассигнований в 2018 году по сравнению с 2017 годом на обеспечение деятельности комитета строительства и комитета ЖКХ и ТЭК </w:t>
      </w:r>
      <w:r w:rsidR="00937A0D">
        <w:t xml:space="preserve">в основном </w:t>
      </w:r>
      <w:r>
        <w:t>обусловлено тем, что в 2017 году был ликвидирован комитет топливно-энергетического комплекса, а его полномочия были переданы этим двум комитетам.</w:t>
      </w:r>
    </w:p>
    <w:p w:rsidR="00B03521" w:rsidRDefault="00B03521" w:rsidP="00EA2C21">
      <w:pPr>
        <w:rPr>
          <w:color w:val="FF0000"/>
        </w:rPr>
      </w:pPr>
    </w:p>
    <w:p w:rsidR="00EA2C21" w:rsidRDefault="00EA2C21" w:rsidP="00EA2C21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Расходы по разделу 0600 «Охрана окружающей среды».</w:t>
      </w:r>
    </w:p>
    <w:p w:rsidR="00EA2C21" w:rsidRDefault="00EA2C21" w:rsidP="00EA2C21">
      <w:pPr>
        <w:jc w:val="center"/>
        <w:rPr>
          <w:b/>
          <w:i/>
          <w:u w:val="single"/>
        </w:rPr>
      </w:pPr>
    </w:p>
    <w:p w:rsidR="00880490" w:rsidRDefault="00880490" w:rsidP="00880490">
      <w:pPr>
        <w:ind w:firstLine="720"/>
        <w:jc w:val="both"/>
        <w:rPr>
          <w:bCs/>
          <w:iCs/>
          <w:color w:val="000000"/>
          <w:spacing w:val="-1"/>
        </w:rPr>
      </w:pPr>
      <w:r w:rsidRPr="00880490">
        <w:t>По разделу 0600 «Охрана окружающей среды»</w:t>
      </w:r>
      <w:r w:rsidRPr="00A67049">
        <w:rPr>
          <w:b/>
          <w:i/>
        </w:rPr>
        <w:t xml:space="preserve"> </w:t>
      </w:r>
      <w:r>
        <w:t>комитету</w:t>
      </w:r>
      <w:r w:rsidRPr="00196AC5">
        <w:t xml:space="preserve"> природных ресурсов</w:t>
      </w:r>
      <w:r>
        <w:t>, лесного хозяйства</w:t>
      </w:r>
      <w:r w:rsidRPr="00196AC5">
        <w:t xml:space="preserve"> и экологии Волгоградской области </w:t>
      </w:r>
      <w:r w:rsidRPr="00A67049">
        <w:t xml:space="preserve">предусмотрены </w:t>
      </w:r>
      <w:r>
        <w:t>а</w:t>
      </w:r>
      <w:r w:rsidRPr="00196AC5">
        <w:t>ссигнования на 201</w:t>
      </w:r>
      <w:r>
        <w:t>8</w:t>
      </w:r>
      <w:r w:rsidRPr="00196AC5">
        <w:t xml:space="preserve"> год в размере </w:t>
      </w:r>
      <w:r>
        <w:t>610,4</w:t>
      </w:r>
      <w:r w:rsidRPr="00423EAE">
        <w:rPr>
          <w:b/>
        </w:rPr>
        <w:t xml:space="preserve"> </w:t>
      </w:r>
      <w:r w:rsidRPr="00B74325">
        <w:t>млн. руб., что составляет 73,8%</w:t>
      </w:r>
      <w:r>
        <w:t xml:space="preserve"> от </w:t>
      </w:r>
      <w:r w:rsidR="00FE6646">
        <w:t>бюджета</w:t>
      </w:r>
      <w:r w:rsidRPr="00B74325">
        <w:t xml:space="preserve"> 2017 года (826,9 млн. руб.)</w:t>
      </w:r>
      <w:r w:rsidR="00396EF3">
        <w:t>.</w:t>
      </w:r>
      <w:r w:rsidRPr="00B74325">
        <w:t xml:space="preserve"> </w:t>
      </w:r>
      <w:r w:rsidR="00396EF3">
        <w:tab/>
      </w:r>
      <w:r>
        <w:t xml:space="preserve">Расходы на реализацию госпрограммы </w:t>
      </w:r>
      <w:r w:rsidRPr="00196AC5">
        <w:t>«Охрана окружающей среды на территории Волгоградской области»</w:t>
      </w:r>
      <w:r>
        <w:t xml:space="preserve"> на 2018 год предусмотрены в размере 479,2 млн. руб., т. е. уменьшены по сравнению с </w:t>
      </w:r>
      <w:r w:rsidR="0021234F">
        <w:t>текущим</w:t>
      </w:r>
      <w:r>
        <w:t xml:space="preserve"> год</w:t>
      </w:r>
      <w:r w:rsidR="0021234F">
        <w:t>ом</w:t>
      </w:r>
      <w:r>
        <w:t xml:space="preserve"> на 217,7 млн. рублей. Сокращение расходов обусловлено тем, что на 2017 год была предусмотрена значительная доля</w:t>
      </w:r>
      <w:r>
        <w:rPr>
          <w:bCs/>
          <w:iCs/>
          <w:color w:val="000000"/>
          <w:spacing w:val="-1"/>
        </w:rPr>
        <w:t xml:space="preserve"> оплаты (603,6 млн. руб.) государственного контракта на выполнение работ по обеспечению экологической безопасности территории, занятой свалкой отходов в Кировском районе Волгограда, общей стоимостью 812,9 тыс. рублей. </w:t>
      </w:r>
    </w:p>
    <w:p w:rsidR="00880490" w:rsidRPr="00DB7B78" w:rsidRDefault="00880490" w:rsidP="00880490">
      <w:pPr>
        <w:ind w:firstLine="720"/>
        <w:jc w:val="both"/>
      </w:pPr>
      <w:r>
        <w:lastRenderedPageBreak/>
        <w:t xml:space="preserve">Расходы по подпрограмме «Обращение с твердыми коммунальными отходами на территории Волгоградской области» предусмотрены на 2018 год </w:t>
      </w:r>
      <w:r w:rsidRPr="00DB7B78">
        <w:t xml:space="preserve">в сумме 383,2 млн. руб., из них средства федерального бюджета – 313,2 млн. рублей. </w:t>
      </w:r>
    </w:p>
    <w:p w:rsidR="00880490" w:rsidRDefault="00880490" w:rsidP="00880490">
      <w:pPr>
        <w:ind w:firstLine="720"/>
        <w:jc w:val="both"/>
        <w:rPr>
          <w:bCs/>
          <w:iCs/>
          <w:color w:val="000000"/>
          <w:spacing w:val="-1"/>
        </w:rPr>
      </w:pPr>
      <w:r>
        <w:rPr>
          <w:bCs/>
          <w:iCs/>
          <w:color w:val="000000"/>
          <w:spacing w:val="-1"/>
        </w:rPr>
        <w:t xml:space="preserve">По информации </w:t>
      </w:r>
      <w:r>
        <w:t>комитета</w:t>
      </w:r>
      <w:r w:rsidRPr="00196AC5">
        <w:t xml:space="preserve"> природных ресурсов</w:t>
      </w:r>
      <w:r>
        <w:t>, лесного хозяйства</w:t>
      </w:r>
      <w:r w:rsidRPr="00196AC5">
        <w:t xml:space="preserve"> и экологии Волгоградской </w:t>
      </w:r>
      <w:proofErr w:type="gramStart"/>
      <w:r w:rsidRPr="00196AC5">
        <w:t>области</w:t>
      </w:r>
      <w:proofErr w:type="gramEnd"/>
      <w:r>
        <w:t xml:space="preserve"> данные средства предусмотрено направить на следующие мероприятия:</w:t>
      </w:r>
    </w:p>
    <w:p w:rsidR="00880490" w:rsidRPr="007F13AB" w:rsidRDefault="00880490" w:rsidP="00880490">
      <w:pPr>
        <w:ind w:firstLine="708"/>
        <w:jc w:val="both"/>
        <w:rPr>
          <w:bCs/>
          <w:iCs/>
          <w:color w:val="000000"/>
          <w:spacing w:val="-1"/>
          <w:u w:val="single"/>
        </w:rPr>
      </w:pPr>
      <w:r w:rsidRPr="007F13AB">
        <w:rPr>
          <w:bCs/>
          <w:iCs/>
          <w:color w:val="000000"/>
          <w:spacing w:val="-1"/>
          <w:u w:val="single"/>
        </w:rPr>
        <w:t>в размере 364,1 млн. руб.:</w:t>
      </w:r>
    </w:p>
    <w:p w:rsidR="00880490" w:rsidRPr="00E6368E" w:rsidRDefault="00880490" w:rsidP="00880490">
      <w:pPr>
        <w:ind w:firstLine="708"/>
        <w:jc w:val="both"/>
        <w:rPr>
          <w:b/>
        </w:rPr>
      </w:pPr>
      <w:r>
        <w:rPr>
          <w:bCs/>
          <w:iCs/>
          <w:color w:val="000000"/>
          <w:spacing w:val="-1"/>
        </w:rPr>
        <w:t xml:space="preserve">-обеспечение экологической безопасности территории, занятой свалкой отходов в Кировском районе Волгограда; </w:t>
      </w:r>
    </w:p>
    <w:p w:rsidR="00880490" w:rsidRDefault="00880490" w:rsidP="00880490">
      <w:pPr>
        <w:ind w:firstLine="720"/>
        <w:jc w:val="both"/>
        <w:rPr>
          <w:bCs/>
          <w:iCs/>
          <w:color w:val="000000"/>
          <w:spacing w:val="-1"/>
        </w:rPr>
      </w:pPr>
      <w:r>
        <w:rPr>
          <w:bCs/>
          <w:iCs/>
          <w:color w:val="000000"/>
          <w:spacing w:val="-1"/>
        </w:rPr>
        <w:t>-ликвидацию негативного воздействия на окружающую среду накопленных отходов, включая р</w:t>
      </w:r>
      <w:r w:rsidR="0019781A">
        <w:rPr>
          <w:bCs/>
          <w:iCs/>
          <w:color w:val="000000"/>
          <w:spacing w:val="-1"/>
        </w:rPr>
        <w:t>екультивацию земельных участков</w:t>
      </w:r>
      <w:r>
        <w:rPr>
          <w:bCs/>
          <w:iCs/>
          <w:color w:val="000000"/>
          <w:spacing w:val="-1"/>
        </w:rPr>
        <w:t xml:space="preserve"> на территории </w:t>
      </w:r>
      <w:proofErr w:type="spellStart"/>
      <w:r>
        <w:rPr>
          <w:bCs/>
          <w:iCs/>
          <w:color w:val="000000"/>
          <w:spacing w:val="-1"/>
        </w:rPr>
        <w:t>Среднеахтубинского</w:t>
      </w:r>
      <w:proofErr w:type="spellEnd"/>
      <w:r>
        <w:rPr>
          <w:bCs/>
          <w:iCs/>
          <w:color w:val="000000"/>
          <w:spacing w:val="-1"/>
        </w:rPr>
        <w:t xml:space="preserve"> муниципального района. </w:t>
      </w:r>
    </w:p>
    <w:p w:rsidR="00022897" w:rsidRDefault="00022897" w:rsidP="00022897">
      <w:pPr>
        <w:ind w:firstLine="720"/>
        <w:jc w:val="both"/>
        <w:rPr>
          <w:bCs/>
          <w:iCs/>
          <w:color w:val="000000"/>
          <w:spacing w:val="-1"/>
        </w:rPr>
      </w:pPr>
      <w:r>
        <w:rPr>
          <w:bCs/>
          <w:iCs/>
          <w:color w:val="000000"/>
          <w:spacing w:val="-1"/>
        </w:rPr>
        <w:t>В 2017 году 4 муниципальным образованиям (г</w:t>
      </w:r>
      <w:proofErr w:type="gramStart"/>
      <w:r>
        <w:rPr>
          <w:bCs/>
          <w:iCs/>
          <w:color w:val="000000"/>
          <w:spacing w:val="-1"/>
        </w:rPr>
        <w:t>.К</w:t>
      </w:r>
      <w:proofErr w:type="gramEnd"/>
      <w:r>
        <w:rPr>
          <w:bCs/>
          <w:iCs/>
          <w:color w:val="000000"/>
          <w:spacing w:val="-1"/>
        </w:rPr>
        <w:t xml:space="preserve">амышин, г.Урюпинск, </w:t>
      </w:r>
      <w:proofErr w:type="spellStart"/>
      <w:r>
        <w:rPr>
          <w:bCs/>
          <w:iCs/>
          <w:color w:val="000000"/>
          <w:spacing w:val="-1"/>
        </w:rPr>
        <w:t>Среднеахтубинский</w:t>
      </w:r>
      <w:proofErr w:type="spellEnd"/>
      <w:r>
        <w:rPr>
          <w:bCs/>
          <w:iCs/>
          <w:color w:val="000000"/>
          <w:spacing w:val="-1"/>
        </w:rPr>
        <w:t xml:space="preserve"> и </w:t>
      </w:r>
      <w:proofErr w:type="spellStart"/>
      <w:r>
        <w:rPr>
          <w:bCs/>
          <w:iCs/>
          <w:color w:val="000000"/>
          <w:spacing w:val="-1"/>
        </w:rPr>
        <w:t>Дубовский</w:t>
      </w:r>
      <w:proofErr w:type="spellEnd"/>
      <w:r>
        <w:rPr>
          <w:bCs/>
          <w:iCs/>
          <w:color w:val="000000"/>
          <w:spacing w:val="-1"/>
        </w:rPr>
        <w:t xml:space="preserve"> муниципальные районы) за счет средств областного бюджета были выделены субсидии на общую сумму 22,5 млн.руб. на подготовку проектной документации по ликвидации негативного воздействия на окружающую среду накопленных отходов производства и потребления, а также рекультивацию земельных участков, загрязненных в результате хозяйственной и иной деятельности. По информации комитета </w:t>
      </w:r>
      <w:r w:rsidR="000D2765" w:rsidRPr="00196AC5">
        <w:t>природных ресурсов</w:t>
      </w:r>
      <w:r w:rsidR="000D2765">
        <w:t>, лесного хозяйства</w:t>
      </w:r>
      <w:r w:rsidR="000D2765" w:rsidRPr="00196AC5">
        <w:t xml:space="preserve"> и экологии </w:t>
      </w:r>
      <w:r>
        <w:rPr>
          <w:bCs/>
          <w:iCs/>
          <w:color w:val="000000"/>
          <w:spacing w:val="-1"/>
        </w:rPr>
        <w:t>реализация мероприятий по ликвидации накопленного экологического ущерба в городах Камышин, Урюпинск, а также в Дубовском муниципальном районе запланирована на последующие годы;</w:t>
      </w:r>
    </w:p>
    <w:p w:rsidR="00880490" w:rsidRPr="007F13AB" w:rsidRDefault="00880490" w:rsidP="00880490">
      <w:pPr>
        <w:ind w:firstLine="708"/>
        <w:jc w:val="both"/>
        <w:rPr>
          <w:bCs/>
          <w:iCs/>
          <w:color w:val="000000"/>
          <w:spacing w:val="-1"/>
          <w:u w:val="single"/>
        </w:rPr>
      </w:pPr>
      <w:r w:rsidRPr="007F13AB">
        <w:rPr>
          <w:bCs/>
          <w:iCs/>
          <w:color w:val="000000"/>
          <w:spacing w:val="-1"/>
          <w:u w:val="single"/>
        </w:rPr>
        <w:t>в размере 19,1 млн. руб.:</w:t>
      </w:r>
    </w:p>
    <w:p w:rsidR="00880490" w:rsidRDefault="00880490" w:rsidP="00880490">
      <w:pPr>
        <w:autoSpaceDE w:val="0"/>
        <w:autoSpaceDN w:val="0"/>
        <w:adjustRightInd w:val="0"/>
        <w:ind w:firstLine="709"/>
        <w:jc w:val="both"/>
      </w:pPr>
      <w:r>
        <w:t>-поправками</w:t>
      </w:r>
      <w:r w:rsidR="0019781A">
        <w:t>, внесенными Администрацией</w:t>
      </w:r>
      <w:r>
        <w:t xml:space="preserve"> Волгоградской области </w:t>
      </w:r>
      <w:r w:rsidR="0019781A">
        <w:t xml:space="preserve">к 1 чтению, </w:t>
      </w:r>
      <w:r>
        <w:t>предусмотрено у</w:t>
      </w:r>
      <w:r w:rsidRPr="004E0819">
        <w:t xml:space="preserve">величение расходов </w:t>
      </w:r>
      <w:r>
        <w:t>за счет средств областного бюджета на 19,</w:t>
      </w:r>
      <w:r w:rsidRPr="004E0819">
        <w:t>1</w:t>
      </w:r>
      <w:r>
        <w:t xml:space="preserve"> млн</w:t>
      </w:r>
      <w:r w:rsidRPr="004E0819">
        <w:t>.</w:t>
      </w:r>
      <w:r>
        <w:t xml:space="preserve"> руб.</w:t>
      </w:r>
      <w:r w:rsidRPr="004E0819">
        <w:t xml:space="preserve"> для обеспечения доли </w:t>
      </w:r>
      <w:proofErr w:type="spellStart"/>
      <w:r w:rsidRPr="004E0819">
        <w:t>софинансирования</w:t>
      </w:r>
      <w:proofErr w:type="spellEnd"/>
      <w:r>
        <w:t xml:space="preserve"> (14%)</w:t>
      </w:r>
      <w:r w:rsidRPr="004E0819">
        <w:t xml:space="preserve"> расходных обязательств Волгоградской области </w:t>
      </w:r>
      <w:r>
        <w:t>на строительство объекта «</w:t>
      </w:r>
      <w:r w:rsidRPr="004E0819">
        <w:t>Создание мусороперерабатывающего комплекса, включая создание системы сбора, транспортирования, обработки и утилизации отходов от использования т</w:t>
      </w:r>
      <w:r>
        <w:t>оваров на территории Волгограда». На строительство данного объекта в 2018 году п</w:t>
      </w:r>
      <w:r w:rsidRPr="004E0819">
        <w:t xml:space="preserve">ланируется </w:t>
      </w:r>
      <w:r>
        <w:t>привлечение средств</w:t>
      </w:r>
      <w:r w:rsidRPr="004E0819">
        <w:t xml:space="preserve"> федерального</w:t>
      </w:r>
      <w:r>
        <w:t xml:space="preserve"> бюджета в размере 117,3 млн. руб. (86%).</w:t>
      </w:r>
      <w:r w:rsidRPr="004E0819">
        <w:t xml:space="preserve"> </w:t>
      </w:r>
      <w:r>
        <w:t xml:space="preserve">По расчетам </w:t>
      </w:r>
      <w:r w:rsidRPr="004E0819">
        <w:t xml:space="preserve">комитета </w:t>
      </w:r>
      <w:r w:rsidR="0019781A" w:rsidRPr="00196AC5">
        <w:t>природных ресурсов</w:t>
      </w:r>
      <w:r w:rsidR="0019781A">
        <w:t>, лесного хозяйства</w:t>
      </w:r>
      <w:r w:rsidR="0019781A" w:rsidRPr="00196AC5">
        <w:t xml:space="preserve"> и экологии </w:t>
      </w:r>
      <w:r>
        <w:t xml:space="preserve">предварительная стоимость строительства объекта </w:t>
      </w:r>
      <w:r w:rsidR="0019781A">
        <w:t>составляет</w:t>
      </w:r>
      <w:r>
        <w:t xml:space="preserve"> 516 млн. рублей. </w:t>
      </w:r>
    </w:p>
    <w:p w:rsidR="0060592E" w:rsidRPr="004E0819" w:rsidRDefault="0060592E" w:rsidP="0060592E">
      <w:pPr>
        <w:autoSpaceDE w:val="0"/>
        <w:autoSpaceDN w:val="0"/>
        <w:adjustRightInd w:val="0"/>
        <w:ind w:firstLine="709"/>
        <w:jc w:val="both"/>
      </w:pPr>
      <w:r>
        <w:t>Данный мусороперерабатывающий комплекс мощностью 1500 тыс. куб</w:t>
      </w:r>
      <w:proofErr w:type="gramStart"/>
      <w:r>
        <w:t>.м</w:t>
      </w:r>
      <w:proofErr w:type="gramEnd"/>
      <w:r>
        <w:t xml:space="preserve">/год 01.11.2017 включен в территориальную схему обращения с отходами, в том числе с твердыми коммунальными отходами, Волгоградской области. Вместе с тем подпрограммой «Обращение с твердыми коммунальными отходами на территории Волгоградской области» строительство объекта не предусмотрено, соответственно определить предполагаемые сроки </w:t>
      </w:r>
      <w:r w:rsidR="00B22E8C">
        <w:t>завершения</w:t>
      </w:r>
      <w:r>
        <w:t xml:space="preserve"> строительства и источники </w:t>
      </w:r>
      <w:r w:rsidR="00B22E8C">
        <w:t xml:space="preserve">его </w:t>
      </w:r>
      <w:r>
        <w:t>финансирования на последующие годы не представляется возможным.</w:t>
      </w:r>
    </w:p>
    <w:p w:rsidR="00880490" w:rsidRDefault="00880490" w:rsidP="00EA2C21">
      <w:pPr>
        <w:jc w:val="center"/>
        <w:rPr>
          <w:b/>
          <w:i/>
          <w:u w:val="single"/>
        </w:rPr>
      </w:pPr>
    </w:p>
    <w:p w:rsidR="00EA2C21" w:rsidRDefault="00EA2C21" w:rsidP="00EA2C21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Расходы по разделу 0700 «Образование.</w:t>
      </w:r>
    </w:p>
    <w:p w:rsidR="00EA2C21" w:rsidRDefault="00EA2C21" w:rsidP="00EA2C21">
      <w:pPr>
        <w:jc w:val="center"/>
      </w:pPr>
    </w:p>
    <w:p w:rsidR="00DF19BC" w:rsidRPr="000D15A1" w:rsidRDefault="00DF19BC" w:rsidP="00DF19B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Pr="0085481B">
        <w:rPr>
          <w:rFonts w:ascii="Times New Roman" w:hAnsi="Times New Roman" w:cs="Times New Roman"/>
          <w:sz w:val="24"/>
          <w:szCs w:val="24"/>
        </w:rPr>
        <w:t>о разделу 0700 «Образование»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5481B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бюджетные ассигнования первоначально были </w:t>
      </w:r>
      <w:r w:rsidRPr="0085481B">
        <w:rPr>
          <w:rFonts w:ascii="Times New Roman" w:hAnsi="Times New Roman" w:cs="Times New Roman"/>
          <w:sz w:val="24"/>
          <w:szCs w:val="24"/>
        </w:rPr>
        <w:t xml:space="preserve">предусмотрены </w:t>
      </w:r>
      <w:r>
        <w:rPr>
          <w:rFonts w:ascii="Times New Roman" w:hAnsi="Times New Roman" w:cs="Times New Roman"/>
          <w:sz w:val="24"/>
          <w:szCs w:val="24"/>
        </w:rPr>
        <w:t>законопроектом</w:t>
      </w:r>
      <w:r w:rsidRPr="0085481B">
        <w:rPr>
          <w:rFonts w:ascii="Times New Roman" w:hAnsi="Times New Roman" w:cs="Times New Roman"/>
          <w:sz w:val="24"/>
          <w:szCs w:val="24"/>
        </w:rPr>
        <w:t xml:space="preserve"> в </w:t>
      </w:r>
      <w:r w:rsidRPr="002020ED">
        <w:rPr>
          <w:rFonts w:ascii="Times New Roman" w:hAnsi="Times New Roman" w:cs="Times New Roman"/>
          <w:sz w:val="24"/>
          <w:szCs w:val="24"/>
        </w:rPr>
        <w:t xml:space="preserve">сумме 20320 млн. руб., что больше </w:t>
      </w:r>
      <w:r>
        <w:rPr>
          <w:rFonts w:ascii="Times New Roman" w:hAnsi="Times New Roman" w:cs="Times New Roman"/>
          <w:sz w:val="24"/>
          <w:szCs w:val="24"/>
        </w:rPr>
        <w:t>бюджетных ассигнований</w:t>
      </w:r>
      <w:r w:rsidRPr="002020ED">
        <w:rPr>
          <w:rFonts w:ascii="Times New Roman" w:hAnsi="Times New Roman" w:cs="Times New Roman"/>
          <w:sz w:val="24"/>
          <w:szCs w:val="24"/>
        </w:rPr>
        <w:t xml:space="preserve"> 2017 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020ED">
        <w:rPr>
          <w:rFonts w:ascii="Times New Roman" w:hAnsi="Times New Roman" w:cs="Times New Roman"/>
          <w:sz w:val="24"/>
          <w:szCs w:val="24"/>
        </w:rPr>
        <w:t xml:space="preserve"> </w:t>
      </w:r>
      <w:r w:rsidR="005C74C6">
        <w:rPr>
          <w:rFonts w:ascii="Times New Roman" w:hAnsi="Times New Roman" w:cs="Times New Roman"/>
          <w:sz w:val="24"/>
          <w:szCs w:val="24"/>
        </w:rPr>
        <w:t xml:space="preserve">(с учетом поправок, находящихся в настоящее время на рассмотрении областной Думы) </w:t>
      </w:r>
      <w:r w:rsidRPr="002020ED">
        <w:rPr>
          <w:rFonts w:ascii="Times New Roman" w:hAnsi="Times New Roman" w:cs="Times New Roman"/>
          <w:sz w:val="24"/>
          <w:szCs w:val="24"/>
        </w:rPr>
        <w:t>на 2806,7 млн. руб., или на 16 процентов.</w:t>
      </w:r>
      <w:r w:rsidRPr="00DC6139">
        <w:rPr>
          <w:rFonts w:ascii="Times New Roman" w:hAnsi="Times New Roman" w:cs="Times New Roman"/>
          <w:sz w:val="24"/>
          <w:szCs w:val="24"/>
        </w:rPr>
        <w:t xml:space="preserve"> Поправками</w:t>
      </w:r>
      <w:r w:rsidR="005C74C6">
        <w:rPr>
          <w:rFonts w:ascii="Times New Roman" w:hAnsi="Times New Roman" w:cs="Times New Roman"/>
          <w:sz w:val="24"/>
          <w:szCs w:val="24"/>
        </w:rPr>
        <w:t>, внесенными Администрацией Волгоградской области</w:t>
      </w:r>
      <w:r w:rsidRPr="00DC6139">
        <w:rPr>
          <w:rFonts w:ascii="Times New Roman" w:hAnsi="Times New Roman" w:cs="Times New Roman"/>
          <w:sz w:val="24"/>
          <w:szCs w:val="24"/>
        </w:rPr>
        <w:t xml:space="preserve"> </w:t>
      </w:r>
      <w:r w:rsidR="005C74C6">
        <w:rPr>
          <w:rFonts w:ascii="Times New Roman" w:hAnsi="Times New Roman" w:cs="Times New Roman"/>
          <w:sz w:val="24"/>
          <w:szCs w:val="24"/>
        </w:rPr>
        <w:t xml:space="preserve">при рассмотрении законопроекта в 1 чтении, </w:t>
      </w:r>
      <w:r w:rsidRPr="00DC6139">
        <w:rPr>
          <w:rFonts w:ascii="Times New Roman" w:hAnsi="Times New Roman" w:cs="Times New Roman"/>
          <w:sz w:val="24"/>
          <w:szCs w:val="24"/>
        </w:rPr>
        <w:t xml:space="preserve">по разделу </w:t>
      </w:r>
      <w:r>
        <w:rPr>
          <w:rFonts w:ascii="Times New Roman" w:hAnsi="Times New Roman" w:cs="Times New Roman"/>
          <w:sz w:val="24"/>
          <w:szCs w:val="24"/>
        </w:rPr>
        <w:t>планируется</w:t>
      </w:r>
      <w:r w:rsidRPr="00DC6139">
        <w:rPr>
          <w:rFonts w:ascii="Times New Roman" w:hAnsi="Times New Roman" w:cs="Times New Roman"/>
          <w:sz w:val="24"/>
          <w:szCs w:val="24"/>
        </w:rPr>
        <w:t xml:space="preserve"> увеличение ассигнований </w:t>
      </w:r>
      <w:r w:rsidRPr="000D15A1">
        <w:rPr>
          <w:rFonts w:ascii="Times New Roman" w:hAnsi="Times New Roman" w:cs="Times New Roman"/>
          <w:sz w:val="24"/>
          <w:szCs w:val="24"/>
        </w:rPr>
        <w:t>на 697,1 млн.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5A1">
        <w:rPr>
          <w:rFonts w:ascii="Times New Roman" w:hAnsi="Times New Roman" w:cs="Times New Roman"/>
          <w:sz w:val="24"/>
          <w:szCs w:val="24"/>
        </w:rPr>
        <w:t>руб., в том числе:</w:t>
      </w:r>
    </w:p>
    <w:p w:rsidR="00DF19BC" w:rsidRPr="000D15A1" w:rsidRDefault="00BA04E1" w:rsidP="00DF19B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19BC" w:rsidRPr="000D15A1">
        <w:rPr>
          <w:rFonts w:ascii="Times New Roman" w:hAnsi="Times New Roman" w:cs="Times New Roman"/>
          <w:sz w:val="24"/>
          <w:szCs w:val="24"/>
        </w:rPr>
        <w:t xml:space="preserve">-на субвенции бюджетам муниципальных образований на осуществление образовательного процесса </w:t>
      </w:r>
      <w:r w:rsidR="00DF19BC">
        <w:rPr>
          <w:rFonts w:ascii="Times New Roman" w:hAnsi="Times New Roman" w:cs="Times New Roman"/>
          <w:sz w:val="24"/>
          <w:szCs w:val="24"/>
        </w:rPr>
        <w:t xml:space="preserve">- </w:t>
      </w:r>
      <w:r w:rsidR="00DF19BC" w:rsidRPr="000D15A1">
        <w:rPr>
          <w:rFonts w:ascii="Times New Roman" w:hAnsi="Times New Roman" w:cs="Times New Roman"/>
          <w:sz w:val="24"/>
          <w:szCs w:val="24"/>
        </w:rPr>
        <w:t>500 млн. руб.;</w:t>
      </w:r>
    </w:p>
    <w:p w:rsidR="00DF19BC" w:rsidRDefault="00BA04E1" w:rsidP="00DF19B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F19BC" w:rsidRPr="000D15A1">
        <w:rPr>
          <w:rFonts w:ascii="Times New Roman" w:hAnsi="Times New Roman" w:cs="Times New Roman"/>
          <w:sz w:val="24"/>
          <w:szCs w:val="24"/>
        </w:rPr>
        <w:t>-на субвенции на реализацию Закона Волгоградской области от 10</w:t>
      </w:r>
      <w:r w:rsidR="00BE07FF">
        <w:rPr>
          <w:rFonts w:ascii="Times New Roman" w:hAnsi="Times New Roman" w:cs="Times New Roman"/>
          <w:sz w:val="24"/>
          <w:szCs w:val="24"/>
        </w:rPr>
        <w:t>.11.</w:t>
      </w:r>
      <w:r w:rsidR="00DF19BC" w:rsidRPr="000D15A1">
        <w:rPr>
          <w:rFonts w:ascii="Times New Roman" w:hAnsi="Times New Roman" w:cs="Times New Roman"/>
          <w:sz w:val="24"/>
          <w:szCs w:val="24"/>
        </w:rPr>
        <w:t>2005</w:t>
      </w:r>
      <w:r w:rsidR="00DF19BC" w:rsidRPr="00DC6139">
        <w:rPr>
          <w:rFonts w:ascii="Times New Roman" w:hAnsi="Times New Roman" w:cs="Times New Roman"/>
          <w:sz w:val="24"/>
          <w:szCs w:val="24"/>
        </w:rPr>
        <w:t xml:space="preserve"> №1111-ОД «Об организации питания обучающихся (1-11 классы) в общеобразовательных организациях Волгоградской области» </w:t>
      </w:r>
      <w:r w:rsidR="00DF19BC">
        <w:rPr>
          <w:rFonts w:ascii="Times New Roman" w:hAnsi="Times New Roman" w:cs="Times New Roman"/>
          <w:sz w:val="24"/>
          <w:szCs w:val="24"/>
        </w:rPr>
        <w:t xml:space="preserve">- </w:t>
      </w:r>
      <w:r w:rsidR="00DF19BC" w:rsidRPr="00DC6139">
        <w:rPr>
          <w:rFonts w:ascii="Times New Roman" w:hAnsi="Times New Roman" w:cs="Times New Roman"/>
          <w:sz w:val="24"/>
          <w:szCs w:val="24"/>
        </w:rPr>
        <w:t>44,6 млн. руб.</w:t>
      </w:r>
      <w:r w:rsidR="00DF19B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F19BC" w:rsidRDefault="00BA04E1" w:rsidP="00DF19B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F19BC">
        <w:rPr>
          <w:rFonts w:ascii="Times New Roman" w:hAnsi="Times New Roman" w:cs="Times New Roman"/>
          <w:sz w:val="24"/>
          <w:szCs w:val="24"/>
        </w:rPr>
        <w:t>-</w:t>
      </w:r>
      <w:r w:rsidR="00DF19BC" w:rsidRPr="00DC6139">
        <w:rPr>
          <w:rFonts w:ascii="Times New Roman" w:hAnsi="Times New Roman" w:cs="Times New Roman"/>
          <w:sz w:val="24"/>
          <w:szCs w:val="24"/>
        </w:rPr>
        <w:t>на фонд оплаты труда работников государственных учреждений</w:t>
      </w:r>
      <w:r w:rsidR="00DF19BC">
        <w:rPr>
          <w:rFonts w:ascii="Times New Roman" w:hAnsi="Times New Roman" w:cs="Times New Roman"/>
          <w:sz w:val="24"/>
          <w:szCs w:val="24"/>
        </w:rPr>
        <w:t xml:space="preserve"> - 127,6 млн. руб.</w:t>
      </w:r>
      <w:r w:rsidR="00DF19BC" w:rsidRPr="00DC6139">
        <w:rPr>
          <w:rFonts w:ascii="Times New Roman" w:hAnsi="Times New Roman" w:cs="Times New Roman"/>
          <w:sz w:val="24"/>
          <w:szCs w:val="24"/>
        </w:rPr>
        <w:t>, в том числе</w:t>
      </w:r>
      <w:r w:rsidR="00D53B27">
        <w:rPr>
          <w:rFonts w:ascii="Times New Roman" w:hAnsi="Times New Roman" w:cs="Times New Roman"/>
          <w:sz w:val="24"/>
          <w:szCs w:val="24"/>
        </w:rPr>
        <w:t>:</w:t>
      </w:r>
      <w:r w:rsidR="00DF19BC" w:rsidRPr="00DC6139">
        <w:rPr>
          <w:rFonts w:ascii="Times New Roman" w:hAnsi="Times New Roman" w:cs="Times New Roman"/>
          <w:sz w:val="24"/>
          <w:szCs w:val="24"/>
        </w:rPr>
        <w:t xml:space="preserve"> подведомственных комитету образования и науки </w:t>
      </w:r>
      <w:r w:rsidR="00DF19BC">
        <w:rPr>
          <w:rFonts w:ascii="Times New Roman" w:hAnsi="Times New Roman" w:cs="Times New Roman"/>
          <w:sz w:val="24"/>
          <w:szCs w:val="24"/>
        </w:rPr>
        <w:t>(</w:t>
      </w:r>
      <w:r w:rsidR="00DF19BC" w:rsidRPr="00DC6139">
        <w:rPr>
          <w:rFonts w:ascii="Times New Roman" w:hAnsi="Times New Roman" w:cs="Times New Roman"/>
          <w:sz w:val="24"/>
          <w:szCs w:val="24"/>
        </w:rPr>
        <w:t>126,3 млн. руб.)</w:t>
      </w:r>
      <w:r w:rsidR="00DF19BC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DF19BC" w:rsidRPr="000D15A1">
        <w:rPr>
          <w:rFonts w:ascii="Times New Roman" w:hAnsi="Times New Roman" w:cs="Times New Roman"/>
          <w:sz w:val="24"/>
          <w:szCs w:val="24"/>
        </w:rPr>
        <w:lastRenderedPageBreak/>
        <w:t>подведомственны</w:t>
      </w:r>
      <w:r w:rsidR="00DF19BC">
        <w:rPr>
          <w:rFonts w:ascii="Times New Roman" w:hAnsi="Times New Roman" w:cs="Times New Roman"/>
          <w:sz w:val="24"/>
          <w:szCs w:val="24"/>
        </w:rPr>
        <w:t>м</w:t>
      </w:r>
      <w:r w:rsidR="00DF19BC" w:rsidRPr="000D15A1">
        <w:rPr>
          <w:rFonts w:ascii="Times New Roman" w:hAnsi="Times New Roman" w:cs="Times New Roman"/>
          <w:sz w:val="24"/>
          <w:szCs w:val="24"/>
        </w:rPr>
        <w:t xml:space="preserve"> казенны</w:t>
      </w:r>
      <w:r w:rsidR="00DF19BC">
        <w:rPr>
          <w:rFonts w:ascii="Times New Roman" w:hAnsi="Times New Roman" w:cs="Times New Roman"/>
          <w:sz w:val="24"/>
          <w:szCs w:val="24"/>
        </w:rPr>
        <w:t>м</w:t>
      </w:r>
      <w:r w:rsidR="00DF19BC" w:rsidRPr="000D15A1">
        <w:rPr>
          <w:rFonts w:ascii="Times New Roman" w:hAnsi="Times New Roman" w:cs="Times New Roman"/>
          <w:sz w:val="24"/>
          <w:szCs w:val="24"/>
        </w:rPr>
        <w:t xml:space="preserve"> коррекционны</w:t>
      </w:r>
      <w:r w:rsidR="00DF19BC">
        <w:rPr>
          <w:rFonts w:ascii="Times New Roman" w:hAnsi="Times New Roman" w:cs="Times New Roman"/>
          <w:sz w:val="24"/>
          <w:szCs w:val="24"/>
        </w:rPr>
        <w:t>м</w:t>
      </w:r>
      <w:r w:rsidR="00DF19BC" w:rsidRPr="000D15A1">
        <w:rPr>
          <w:rFonts w:ascii="Times New Roman" w:hAnsi="Times New Roman" w:cs="Times New Roman"/>
          <w:sz w:val="24"/>
          <w:szCs w:val="24"/>
        </w:rPr>
        <w:t xml:space="preserve"> образовательны</w:t>
      </w:r>
      <w:r w:rsidR="00DF19BC">
        <w:rPr>
          <w:rFonts w:ascii="Times New Roman" w:hAnsi="Times New Roman" w:cs="Times New Roman"/>
          <w:sz w:val="24"/>
          <w:szCs w:val="24"/>
        </w:rPr>
        <w:t>м организациям</w:t>
      </w:r>
      <w:r w:rsidR="00DF19BC" w:rsidRPr="000D15A1">
        <w:rPr>
          <w:rFonts w:ascii="Times New Roman" w:hAnsi="Times New Roman" w:cs="Times New Roman"/>
          <w:sz w:val="24"/>
          <w:szCs w:val="24"/>
        </w:rPr>
        <w:t>, образовательны</w:t>
      </w:r>
      <w:r w:rsidR="00DF19BC">
        <w:rPr>
          <w:rFonts w:ascii="Times New Roman" w:hAnsi="Times New Roman" w:cs="Times New Roman"/>
          <w:sz w:val="24"/>
          <w:szCs w:val="24"/>
        </w:rPr>
        <w:t>м</w:t>
      </w:r>
      <w:r w:rsidR="00DF19BC" w:rsidRPr="000D15A1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DF19BC">
        <w:rPr>
          <w:rFonts w:ascii="Times New Roman" w:hAnsi="Times New Roman" w:cs="Times New Roman"/>
          <w:sz w:val="24"/>
          <w:szCs w:val="24"/>
        </w:rPr>
        <w:t>ям</w:t>
      </w:r>
      <w:r w:rsidR="00DF19BC" w:rsidRPr="000D15A1">
        <w:rPr>
          <w:rFonts w:ascii="Times New Roman" w:hAnsi="Times New Roman" w:cs="Times New Roman"/>
          <w:sz w:val="24"/>
          <w:szCs w:val="24"/>
        </w:rPr>
        <w:t xml:space="preserve"> для детей-сирот и детей, оставшихся без попечения родителей, кадетски</w:t>
      </w:r>
      <w:r w:rsidR="00DF19BC">
        <w:rPr>
          <w:rFonts w:ascii="Times New Roman" w:hAnsi="Times New Roman" w:cs="Times New Roman"/>
          <w:sz w:val="24"/>
          <w:szCs w:val="24"/>
        </w:rPr>
        <w:t xml:space="preserve">м </w:t>
      </w:r>
      <w:r w:rsidR="00DF19BC" w:rsidRPr="000D15A1">
        <w:rPr>
          <w:rFonts w:ascii="Times New Roman" w:hAnsi="Times New Roman" w:cs="Times New Roman"/>
          <w:sz w:val="24"/>
          <w:szCs w:val="24"/>
        </w:rPr>
        <w:t>образовательны</w:t>
      </w:r>
      <w:r w:rsidR="00DF19BC">
        <w:rPr>
          <w:rFonts w:ascii="Times New Roman" w:hAnsi="Times New Roman" w:cs="Times New Roman"/>
          <w:sz w:val="24"/>
          <w:szCs w:val="24"/>
        </w:rPr>
        <w:t>м</w:t>
      </w:r>
      <w:r w:rsidR="00DF19BC" w:rsidRPr="000D15A1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DF19BC">
        <w:rPr>
          <w:rFonts w:ascii="Times New Roman" w:hAnsi="Times New Roman" w:cs="Times New Roman"/>
          <w:sz w:val="24"/>
          <w:szCs w:val="24"/>
        </w:rPr>
        <w:t>ям (</w:t>
      </w:r>
      <w:r w:rsidR="00DF19BC" w:rsidRPr="000D15A1">
        <w:rPr>
          <w:rFonts w:ascii="Times New Roman" w:hAnsi="Times New Roman" w:cs="Times New Roman"/>
          <w:sz w:val="24"/>
          <w:szCs w:val="24"/>
        </w:rPr>
        <w:t>46,1 млн. руб.</w:t>
      </w:r>
      <w:r w:rsidR="00DF19BC">
        <w:rPr>
          <w:rFonts w:ascii="Times New Roman" w:hAnsi="Times New Roman" w:cs="Times New Roman"/>
          <w:sz w:val="24"/>
          <w:szCs w:val="24"/>
        </w:rPr>
        <w:t>),</w:t>
      </w:r>
      <w:r w:rsidR="00DF19BC" w:rsidRPr="000D15A1">
        <w:rPr>
          <w:rFonts w:ascii="Times New Roman" w:hAnsi="Times New Roman" w:cs="Times New Roman"/>
          <w:sz w:val="24"/>
          <w:szCs w:val="24"/>
        </w:rPr>
        <w:t xml:space="preserve"> подведомственным организациям среднего и дополнительного профессионального образования (80,2 млн.</w:t>
      </w:r>
      <w:r w:rsidR="00DF19BC">
        <w:rPr>
          <w:rFonts w:ascii="Times New Roman" w:hAnsi="Times New Roman" w:cs="Times New Roman"/>
          <w:sz w:val="24"/>
          <w:szCs w:val="24"/>
        </w:rPr>
        <w:t xml:space="preserve"> </w:t>
      </w:r>
      <w:r w:rsidR="00DF19BC" w:rsidRPr="000D15A1">
        <w:rPr>
          <w:rFonts w:ascii="Times New Roman" w:hAnsi="Times New Roman" w:cs="Times New Roman"/>
          <w:sz w:val="24"/>
          <w:szCs w:val="24"/>
        </w:rPr>
        <w:t>руб.),</w:t>
      </w:r>
      <w:r w:rsidR="00D53B27">
        <w:rPr>
          <w:rFonts w:ascii="Times New Roman" w:hAnsi="Times New Roman" w:cs="Times New Roman"/>
          <w:sz w:val="24"/>
          <w:szCs w:val="24"/>
        </w:rPr>
        <w:t xml:space="preserve">; подведомственных </w:t>
      </w:r>
      <w:r w:rsidR="00DF19BC">
        <w:rPr>
          <w:rFonts w:ascii="Times New Roman" w:hAnsi="Times New Roman" w:cs="Times New Roman"/>
          <w:sz w:val="24"/>
          <w:szCs w:val="24"/>
        </w:rPr>
        <w:t>комитету культуры (1,3 млн. руб.);</w:t>
      </w:r>
      <w:proofErr w:type="gramEnd"/>
    </w:p>
    <w:p w:rsidR="00DF19BC" w:rsidRDefault="00BA04E1" w:rsidP="00DF19B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19BC">
        <w:rPr>
          <w:rFonts w:ascii="Times New Roman" w:hAnsi="Times New Roman" w:cs="Times New Roman"/>
          <w:sz w:val="24"/>
          <w:szCs w:val="24"/>
        </w:rPr>
        <w:t>-</w:t>
      </w:r>
      <w:r w:rsidR="00DF19BC" w:rsidRPr="00DC6139">
        <w:rPr>
          <w:rFonts w:ascii="Times New Roman" w:hAnsi="Times New Roman" w:cs="Times New Roman"/>
          <w:sz w:val="24"/>
          <w:szCs w:val="24"/>
        </w:rPr>
        <w:t xml:space="preserve">на фонд оплаты труда работников государственных органов Волгоградской области </w:t>
      </w:r>
      <w:r w:rsidR="00DF19BC">
        <w:rPr>
          <w:rFonts w:ascii="Times New Roman" w:hAnsi="Times New Roman" w:cs="Times New Roman"/>
          <w:sz w:val="24"/>
          <w:szCs w:val="24"/>
        </w:rPr>
        <w:t xml:space="preserve">- </w:t>
      </w:r>
      <w:r w:rsidR="00DF19BC" w:rsidRPr="00DC6139">
        <w:rPr>
          <w:rFonts w:ascii="Times New Roman" w:hAnsi="Times New Roman" w:cs="Times New Roman"/>
          <w:sz w:val="24"/>
          <w:szCs w:val="24"/>
        </w:rPr>
        <w:t>24,9 млн. руб. (комитету образования и науки -17,5 млн. руб., комитету молодежной политики -7,4 млн. руб.)</w:t>
      </w:r>
      <w:r w:rsidR="00DF19BC">
        <w:rPr>
          <w:rFonts w:ascii="Times New Roman" w:hAnsi="Times New Roman" w:cs="Times New Roman"/>
          <w:sz w:val="24"/>
          <w:szCs w:val="24"/>
        </w:rPr>
        <w:t>.</w:t>
      </w:r>
    </w:p>
    <w:p w:rsidR="006B7941" w:rsidRDefault="00BA04E1" w:rsidP="006B79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19BC" w:rsidRPr="0095045D">
        <w:rPr>
          <w:rFonts w:ascii="Times New Roman" w:hAnsi="Times New Roman" w:cs="Times New Roman"/>
          <w:sz w:val="24"/>
          <w:szCs w:val="24"/>
        </w:rPr>
        <w:t xml:space="preserve">Основное увеличение ассигнований по подразделу 0700 </w:t>
      </w:r>
      <w:r w:rsidR="00D33F48">
        <w:rPr>
          <w:rFonts w:ascii="Times New Roman" w:hAnsi="Times New Roman" w:cs="Times New Roman"/>
          <w:sz w:val="24"/>
          <w:szCs w:val="24"/>
        </w:rPr>
        <w:t xml:space="preserve">«Образование» </w:t>
      </w:r>
      <w:r w:rsidR="00DF19BC" w:rsidRPr="0095045D">
        <w:rPr>
          <w:rFonts w:ascii="Times New Roman" w:hAnsi="Times New Roman" w:cs="Times New Roman"/>
          <w:sz w:val="24"/>
          <w:szCs w:val="24"/>
        </w:rPr>
        <w:t xml:space="preserve">по сравнению с ассигнованиями 2017 года </w:t>
      </w:r>
      <w:r w:rsidR="00D33F48">
        <w:rPr>
          <w:rFonts w:ascii="Times New Roman" w:hAnsi="Times New Roman" w:cs="Times New Roman"/>
          <w:sz w:val="24"/>
          <w:szCs w:val="24"/>
        </w:rPr>
        <w:t xml:space="preserve">(с учетом поправок) </w:t>
      </w:r>
      <w:r w:rsidR="00DF19BC" w:rsidRPr="0095045D">
        <w:rPr>
          <w:rFonts w:ascii="Times New Roman" w:hAnsi="Times New Roman" w:cs="Times New Roman"/>
          <w:sz w:val="24"/>
          <w:szCs w:val="24"/>
        </w:rPr>
        <w:t>сложилось по комитету образования и науки</w:t>
      </w:r>
      <w:r w:rsidR="00D33F48">
        <w:rPr>
          <w:rFonts w:ascii="Times New Roman" w:hAnsi="Times New Roman" w:cs="Times New Roman"/>
          <w:sz w:val="24"/>
          <w:szCs w:val="24"/>
        </w:rPr>
        <w:t xml:space="preserve"> -</w:t>
      </w:r>
      <w:r w:rsidR="00DF19BC" w:rsidRPr="0095045D">
        <w:rPr>
          <w:rFonts w:ascii="Times New Roman" w:hAnsi="Times New Roman" w:cs="Times New Roman"/>
          <w:sz w:val="24"/>
          <w:szCs w:val="24"/>
        </w:rPr>
        <w:t xml:space="preserve"> на 4308,3 млн. руб., или </w:t>
      </w:r>
      <w:r w:rsidR="00D33F48">
        <w:rPr>
          <w:rFonts w:ascii="Times New Roman" w:hAnsi="Times New Roman" w:cs="Times New Roman"/>
          <w:sz w:val="24"/>
          <w:szCs w:val="24"/>
        </w:rPr>
        <w:t xml:space="preserve">на </w:t>
      </w:r>
      <w:r w:rsidR="00DF19BC" w:rsidRPr="0095045D">
        <w:rPr>
          <w:rFonts w:ascii="Times New Roman" w:hAnsi="Times New Roman" w:cs="Times New Roman"/>
          <w:sz w:val="24"/>
          <w:szCs w:val="24"/>
        </w:rPr>
        <w:t xml:space="preserve">29,1 процент. </w:t>
      </w:r>
      <w:r w:rsidR="00D33F48">
        <w:rPr>
          <w:rFonts w:ascii="Times New Roman" w:hAnsi="Times New Roman" w:cs="Times New Roman"/>
          <w:sz w:val="24"/>
          <w:szCs w:val="24"/>
        </w:rPr>
        <w:t>При этом н</w:t>
      </w:r>
      <w:r w:rsidR="00DF19BC" w:rsidRPr="0095045D">
        <w:rPr>
          <w:rFonts w:ascii="Times New Roman" w:hAnsi="Times New Roman" w:cs="Times New Roman"/>
          <w:sz w:val="24"/>
          <w:szCs w:val="24"/>
        </w:rPr>
        <w:t xml:space="preserve">аибольшая сумма увеличения </w:t>
      </w:r>
      <w:r w:rsidR="00D33F48">
        <w:rPr>
          <w:rFonts w:ascii="Times New Roman" w:hAnsi="Times New Roman" w:cs="Times New Roman"/>
          <w:sz w:val="24"/>
          <w:szCs w:val="24"/>
        </w:rPr>
        <w:t>предусмотрена</w:t>
      </w:r>
      <w:r w:rsidR="00DF19BC" w:rsidRPr="0095045D">
        <w:rPr>
          <w:rFonts w:ascii="Times New Roman" w:hAnsi="Times New Roman" w:cs="Times New Roman"/>
          <w:sz w:val="24"/>
          <w:szCs w:val="24"/>
        </w:rPr>
        <w:t xml:space="preserve"> по субвенции на осуществление образовательного процесса </w:t>
      </w:r>
      <w:r w:rsidR="00D33F48">
        <w:rPr>
          <w:rFonts w:ascii="Times New Roman" w:hAnsi="Times New Roman" w:cs="Times New Roman"/>
          <w:sz w:val="24"/>
          <w:szCs w:val="24"/>
        </w:rPr>
        <w:t xml:space="preserve">- </w:t>
      </w:r>
      <w:r w:rsidR="00DF19BC" w:rsidRPr="0095045D">
        <w:rPr>
          <w:rFonts w:ascii="Times New Roman" w:hAnsi="Times New Roman" w:cs="Times New Roman"/>
          <w:sz w:val="24"/>
          <w:szCs w:val="24"/>
        </w:rPr>
        <w:t>на 3836,1 млн. руб. в связи с не</w:t>
      </w:r>
      <w:r w:rsidR="00226EB4">
        <w:rPr>
          <w:rFonts w:ascii="Times New Roman" w:hAnsi="Times New Roman" w:cs="Times New Roman"/>
          <w:sz w:val="24"/>
          <w:szCs w:val="24"/>
        </w:rPr>
        <w:t>достаточным объемом ассигнований, утвержденных</w:t>
      </w:r>
      <w:r w:rsidR="00DF19BC" w:rsidRPr="0095045D">
        <w:rPr>
          <w:rFonts w:ascii="Times New Roman" w:hAnsi="Times New Roman" w:cs="Times New Roman"/>
          <w:sz w:val="24"/>
          <w:szCs w:val="24"/>
        </w:rPr>
        <w:t xml:space="preserve"> в </w:t>
      </w:r>
      <w:r w:rsidR="00226EB4">
        <w:rPr>
          <w:rFonts w:ascii="Times New Roman" w:hAnsi="Times New Roman" w:cs="Times New Roman"/>
          <w:sz w:val="24"/>
          <w:szCs w:val="24"/>
        </w:rPr>
        <w:t>з</w:t>
      </w:r>
      <w:r w:rsidR="00DF19BC" w:rsidRPr="0095045D">
        <w:rPr>
          <w:rFonts w:ascii="Times New Roman" w:hAnsi="Times New Roman" w:cs="Times New Roman"/>
          <w:sz w:val="24"/>
          <w:szCs w:val="24"/>
        </w:rPr>
        <w:t xml:space="preserve">аконе об областном бюджете на 2017 год ассигнований на обеспечение образовательного процесса. </w:t>
      </w:r>
      <w:proofErr w:type="gramStart"/>
      <w:r w:rsidR="00DF19BC" w:rsidRPr="0095045D">
        <w:rPr>
          <w:rFonts w:ascii="Times New Roman" w:hAnsi="Times New Roman" w:cs="Times New Roman"/>
          <w:sz w:val="24"/>
          <w:szCs w:val="24"/>
        </w:rPr>
        <w:t>Кроме того, при расчете потребности в субвенци</w:t>
      </w:r>
      <w:r w:rsidR="00DF19BC">
        <w:rPr>
          <w:rFonts w:ascii="Times New Roman" w:hAnsi="Times New Roman" w:cs="Times New Roman"/>
          <w:sz w:val="24"/>
          <w:szCs w:val="24"/>
        </w:rPr>
        <w:t>ях</w:t>
      </w:r>
      <w:r w:rsidR="00DF19BC" w:rsidRPr="0095045D">
        <w:rPr>
          <w:rFonts w:ascii="Times New Roman" w:hAnsi="Times New Roman" w:cs="Times New Roman"/>
          <w:sz w:val="24"/>
          <w:szCs w:val="24"/>
        </w:rPr>
        <w:t xml:space="preserve"> на 2018 год применены коэффициенты индексации, учитывающие доведение средней заработной платы педагогических работников в сфер</w:t>
      </w:r>
      <w:r w:rsidR="00301512">
        <w:rPr>
          <w:rFonts w:ascii="Times New Roman" w:hAnsi="Times New Roman" w:cs="Times New Roman"/>
          <w:sz w:val="24"/>
          <w:szCs w:val="24"/>
        </w:rPr>
        <w:t>е дошкольного образования (6,3) и</w:t>
      </w:r>
      <w:r w:rsidR="00DF19BC" w:rsidRPr="0095045D">
        <w:rPr>
          <w:rFonts w:ascii="Times New Roman" w:hAnsi="Times New Roman" w:cs="Times New Roman"/>
          <w:sz w:val="24"/>
          <w:szCs w:val="24"/>
        </w:rPr>
        <w:t xml:space="preserve"> в сфере общего образования (3,4) </w:t>
      </w:r>
      <w:r w:rsidR="00301512">
        <w:rPr>
          <w:rFonts w:ascii="Times New Roman" w:hAnsi="Times New Roman" w:cs="Times New Roman"/>
          <w:sz w:val="24"/>
          <w:szCs w:val="24"/>
        </w:rPr>
        <w:t xml:space="preserve">до необходимых величин </w:t>
      </w:r>
      <w:r w:rsidR="00DF19BC" w:rsidRPr="0095045D">
        <w:rPr>
          <w:rFonts w:ascii="Times New Roman" w:hAnsi="Times New Roman" w:cs="Times New Roman"/>
          <w:sz w:val="24"/>
          <w:szCs w:val="24"/>
        </w:rPr>
        <w:t xml:space="preserve">(с учетом прогнозируемого комитетом экономической политики и развития Волгоградской области </w:t>
      </w:r>
      <w:r w:rsidR="00DF19BC">
        <w:rPr>
          <w:rFonts w:ascii="Times New Roman" w:hAnsi="Times New Roman" w:cs="Times New Roman"/>
          <w:sz w:val="24"/>
          <w:szCs w:val="24"/>
        </w:rPr>
        <w:t>роста среднего уровня</w:t>
      </w:r>
      <w:r w:rsidR="00DF19BC" w:rsidRPr="0095045D">
        <w:rPr>
          <w:rFonts w:ascii="Times New Roman" w:hAnsi="Times New Roman" w:cs="Times New Roman"/>
          <w:sz w:val="24"/>
          <w:szCs w:val="24"/>
        </w:rPr>
        <w:t xml:space="preserve"> заработной платы </w:t>
      </w:r>
      <w:r w:rsidR="00DF19BC">
        <w:rPr>
          <w:rFonts w:ascii="Times New Roman" w:hAnsi="Times New Roman" w:cs="Times New Roman"/>
          <w:sz w:val="24"/>
          <w:szCs w:val="24"/>
        </w:rPr>
        <w:t xml:space="preserve">по экономике </w:t>
      </w:r>
      <w:r w:rsidR="00DF19BC" w:rsidRPr="0095045D">
        <w:rPr>
          <w:rFonts w:ascii="Times New Roman" w:hAnsi="Times New Roman" w:cs="Times New Roman"/>
          <w:sz w:val="24"/>
          <w:szCs w:val="24"/>
        </w:rPr>
        <w:t>на 2018 год)</w:t>
      </w:r>
      <w:r w:rsidR="003015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F19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01512">
        <w:rPr>
          <w:rFonts w:ascii="Times New Roman" w:hAnsi="Times New Roman" w:cs="Times New Roman"/>
          <w:sz w:val="24"/>
          <w:szCs w:val="24"/>
        </w:rPr>
        <w:t>В</w:t>
      </w:r>
      <w:r w:rsidR="00DF19BC">
        <w:rPr>
          <w:rFonts w:ascii="Times New Roman" w:hAnsi="Times New Roman" w:cs="Times New Roman"/>
          <w:sz w:val="24"/>
          <w:szCs w:val="24"/>
        </w:rPr>
        <w:t xml:space="preserve"> результате </w:t>
      </w:r>
      <w:r w:rsidR="00301512">
        <w:rPr>
          <w:rFonts w:ascii="Times New Roman" w:hAnsi="Times New Roman" w:cs="Times New Roman"/>
          <w:sz w:val="24"/>
          <w:szCs w:val="24"/>
        </w:rPr>
        <w:t xml:space="preserve">после внесения поправок к 1 чтению </w:t>
      </w:r>
      <w:r w:rsidR="006B7941">
        <w:rPr>
          <w:rFonts w:ascii="Times New Roman" w:hAnsi="Times New Roman" w:cs="Times New Roman"/>
          <w:sz w:val="24"/>
          <w:szCs w:val="24"/>
        </w:rPr>
        <w:t>о</w:t>
      </w:r>
      <w:r w:rsidR="00DF19BC" w:rsidRPr="006B7941">
        <w:rPr>
          <w:rFonts w:ascii="Times New Roman" w:hAnsi="Times New Roman" w:cs="Times New Roman"/>
          <w:sz w:val="24"/>
          <w:szCs w:val="24"/>
        </w:rPr>
        <w:t xml:space="preserve">бъем субвенции на финансовое обеспечение образовательного процесса в муниципальных учреждениях </w:t>
      </w:r>
      <w:r w:rsidR="006B7941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DF19BC" w:rsidRPr="006B7941">
        <w:rPr>
          <w:rFonts w:ascii="Times New Roman" w:hAnsi="Times New Roman" w:cs="Times New Roman"/>
          <w:sz w:val="24"/>
          <w:szCs w:val="24"/>
        </w:rPr>
        <w:t xml:space="preserve">на 2018 год предусмотрен </w:t>
      </w:r>
      <w:r w:rsidR="006B7941">
        <w:rPr>
          <w:rFonts w:ascii="Times New Roman" w:hAnsi="Times New Roman" w:cs="Times New Roman"/>
          <w:sz w:val="24"/>
          <w:szCs w:val="24"/>
        </w:rPr>
        <w:t>к</w:t>
      </w:r>
      <w:r w:rsidR="00DF19BC" w:rsidRPr="006B7941">
        <w:rPr>
          <w:rFonts w:ascii="Times New Roman" w:hAnsi="Times New Roman" w:cs="Times New Roman"/>
          <w:sz w:val="24"/>
          <w:szCs w:val="24"/>
        </w:rPr>
        <w:t xml:space="preserve">омитету образования и науки Волгоградской области в сумме 14497,9 млн. руб. (на осуществление программ дошкольного образования - 4981,8 млн. руб., программ общего образования </w:t>
      </w:r>
      <w:r w:rsidR="006B7941">
        <w:rPr>
          <w:rFonts w:ascii="Times New Roman" w:hAnsi="Times New Roman" w:cs="Times New Roman"/>
          <w:sz w:val="24"/>
          <w:szCs w:val="24"/>
        </w:rPr>
        <w:t>-</w:t>
      </w:r>
      <w:r w:rsidR="00DF19BC" w:rsidRPr="006B7941">
        <w:rPr>
          <w:rFonts w:ascii="Times New Roman" w:hAnsi="Times New Roman" w:cs="Times New Roman"/>
          <w:sz w:val="24"/>
          <w:szCs w:val="24"/>
        </w:rPr>
        <w:t xml:space="preserve"> 9516,1 млн. руб.), </w:t>
      </w:r>
      <w:r w:rsidR="006B7941" w:rsidRPr="006B7941">
        <w:rPr>
          <w:rFonts w:ascii="Times New Roman" w:hAnsi="Times New Roman" w:cs="Times New Roman"/>
          <w:b/>
          <w:i/>
          <w:sz w:val="24"/>
          <w:szCs w:val="24"/>
        </w:rPr>
        <w:t>что</w:t>
      </w:r>
      <w:r w:rsidR="00DF19BC" w:rsidRPr="006B7941">
        <w:rPr>
          <w:rFonts w:ascii="Times New Roman" w:hAnsi="Times New Roman" w:cs="Times New Roman"/>
          <w:b/>
          <w:i/>
          <w:sz w:val="24"/>
          <w:szCs w:val="24"/>
        </w:rPr>
        <w:t xml:space="preserve"> меньше нормативной потребности, рассчитанной в соответствии с утвержденными нормативами финансового обеспечения</w:t>
      </w:r>
      <w:proofErr w:type="gramEnd"/>
      <w:r w:rsidR="00DF19BC" w:rsidRPr="006B7941">
        <w:rPr>
          <w:rFonts w:ascii="Times New Roman" w:hAnsi="Times New Roman" w:cs="Times New Roman"/>
          <w:b/>
          <w:i/>
          <w:sz w:val="24"/>
          <w:szCs w:val="24"/>
        </w:rPr>
        <w:t>, на 833,3 млн. руб., или на 5,4%</w:t>
      </w:r>
      <w:r w:rsidR="00DF19BC" w:rsidRPr="006B7941">
        <w:rPr>
          <w:rFonts w:ascii="Times New Roman" w:hAnsi="Times New Roman" w:cs="Times New Roman"/>
          <w:sz w:val="24"/>
          <w:szCs w:val="24"/>
        </w:rPr>
        <w:t xml:space="preserve"> (потребность 15331,2 млн. руб.)</w:t>
      </w:r>
      <w:r w:rsidR="006B7941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6B7941" w:rsidRPr="0095045D">
        <w:rPr>
          <w:rFonts w:ascii="Times New Roman" w:hAnsi="Times New Roman" w:cs="Times New Roman"/>
          <w:sz w:val="24"/>
          <w:szCs w:val="24"/>
        </w:rPr>
        <w:t xml:space="preserve">на осуществление программ дошкольного образования </w:t>
      </w:r>
      <w:r w:rsidR="006B7941">
        <w:rPr>
          <w:rFonts w:ascii="Times New Roman" w:hAnsi="Times New Roman" w:cs="Times New Roman"/>
          <w:sz w:val="24"/>
          <w:szCs w:val="24"/>
        </w:rPr>
        <w:t xml:space="preserve">- </w:t>
      </w:r>
      <w:r w:rsidR="006B7941" w:rsidRPr="0095045D">
        <w:rPr>
          <w:rFonts w:ascii="Times New Roman" w:hAnsi="Times New Roman" w:cs="Times New Roman"/>
          <w:sz w:val="24"/>
          <w:szCs w:val="24"/>
        </w:rPr>
        <w:t xml:space="preserve">192,4 млн. руб., программ общего образования </w:t>
      </w:r>
      <w:r w:rsidR="006B7941">
        <w:rPr>
          <w:rFonts w:ascii="Times New Roman" w:hAnsi="Times New Roman" w:cs="Times New Roman"/>
          <w:sz w:val="24"/>
          <w:szCs w:val="24"/>
        </w:rPr>
        <w:t xml:space="preserve">- </w:t>
      </w:r>
      <w:r w:rsidR="006B7941" w:rsidRPr="0095045D">
        <w:rPr>
          <w:rFonts w:ascii="Times New Roman" w:hAnsi="Times New Roman" w:cs="Times New Roman"/>
          <w:sz w:val="24"/>
          <w:szCs w:val="24"/>
        </w:rPr>
        <w:t>640,9 млн. руб</w:t>
      </w:r>
      <w:r w:rsidR="006B7941">
        <w:rPr>
          <w:rFonts w:ascii="Times New Roman" w:hAnsi="Times New Roman" w:cs="Times New Roman"/>
          <w:sz w:val="24"/>
          <w:szCs w:val="24"/>
        </w:rPr>
        <w:t>лей</w:t>
      </w:r>
      <w:r w:rsidR="006B7941" w:rsidRPr="0095045D">
        <w:rPr>
          <w:rFonts w:ascii="Times New Roman" w:hAnsi="Times New Roman" w:cs="Times New Roman"/>
          <w:sz w:val="24"/>
          <w:szCs w:val="24"/>
        </w:rPr>
        <w:t>.</w:t>
      </w:r>
      <w:r w:rsidR="006B7941">
        <w:rPr>
          <w:rFonts w:ascii="Times New Roman" w:hAnsi="Times New Roman" w:cs="Times New Roman"/>
          <w:sz w:val="24"/>
          <w:szCs w:val="24"/>
        </w:rPr>
        <w:t xml:space="preserve"> </w:t>
      </w:r>
      <w:r w:rsidR="00D632D1">
        <w:rPr>
          <w:rFonts w:ascii="Times New Roman" w:hAnsi="Times New Roman" w:cs="Times New Roman"/>
          <w:sz w:val="24"/>
          <w:szCs w:val="24"/>
        </w:rPr>
        <w:t>Указанный недостаток средств касается учебно-методических расходов</w:t>
      </w:r>
      <w:r w:rsidR="00855010">
        <w:rPr>
          <w:rFonts w:ascii="Times New Roman" w:hAnsi="Times New Roman" w:cs="Times New Roman"/>
          <w:sz w:val="24"/>
          <w:szCs w:val="24"/>
        </w:rPr>
        <w:t xml:space="preserve"> образовательных учреждений</w:t>
      </w:r>
      <w:r w:rsidR="00F57E87">
        <w:rPr>
          <w:rFonts w:ascii="Times New Roman" w:hAnsi="Times New Roman" w:cs="Times New Roman"/>
          <w:sz w:val="24"/>
          <w:szCs w:val="24"/>
        </w:rPr>
        <w:t>.</w:t>
      </w:r>
    </w:p>
    <w:p w:rsidR="00DF19BC" w:rsidRPr="006B7941" w:rsidRDefault="00DF19BC" w:rsidP="006B79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B7941">
        <w:rPr>
          <w:rFonts w:ascii="Times New Roman" w:hAnsi="Times New Roman" w:cs="Times New Roman"/>
          <w:sz w:val="24"/>
          <w:szCs w:val="24"/>
        </w:rPr>
        <w:t xml:space="preserve"> </w:t>
      </w:r>
      <w:r w:rsidR="009877ED">
        <w:rPr>
          <w:rFonts w:ascii="Times New Roman" w:hAnsi="Times New Roman" w:cs="Times New Roman"/>
          <w:sz w:val="24"/>
          <w:szCs w:val="24"/>
        </w:rPr>
        <w:tab/>
      </w:r>
      <w:r w:rsidRPr="006B7941">
        <w:rPr>
          <w:rFonts w:ascii="Times New Roman" w:hAnsi="Times New Roman" w:cs="Times New Roman"/>
          <w:sz w:val="24"/>
          <w:szCs w:val="24"/>
        </w:rPr>
        <w:t>Предусмотренные ассигнования позволят обеспечить в полном объеме расходы на оплату труда педагогическим работникам муниципальных дошкольных и общеобразовательных организаций, относящимся к категориям работников, предусмотренных Указом Президента Р</w:t>
      </w:r>
      <w:r w:rsidR="009877ED">
        <w:rPr>
          <w:rFonts w:ascii="Times New Roman" w:hAnsi="Times New Roman" w:cs="Times New Roman"/>
          <w:sz w:val="24"/>
          <w:szCs w:val="24"/>
        </w:rPr>
        <w:t>Ф</w:t>
      </w:r>
      <w:r w:rsidRPr="006B7941">
        <w:rPr>
          <w:rFonts w:ascii="Times New Roman" w:hAnsi="Times New Roman" w:cs="Times New Roman"/>
          <w:sz w:val="24"/>
          <w:szCs w:val="24"/>
        </w:rPr>
        <w:t xml:space="preserve"> от 07.05.2012 №597 «О мероприятиях по реализации государственной социальной политики», а также прочим работникам организаций. На учебные расходы могут быть направлены ассигнования в размере 78,2 млн. руб. (на осуществление программ дошкольного образования – 1,8 млн. руб., или 1% от потребности</w:t>
      </w:r>
      <w:r w:rsidR="009877ED">
        <w:rPr>
          <w:rFonts w:ascii="Times New Roman" w:hAnsi="Times New Roman" w:cs="Times New Roman"/>
          <w:sz w:val="24"/>
          <w:szCs w:val="24"/>
        </w:rPr>
        <w:t xml:space="preserve">, которая составляет </w:t>
      </w:r>
      <w:r w:rsidRPr="006B7941">
        <w:rPr>
          <w:rFonts w:ascii="Times New Roman" w:hAnsi="Times New Roman" w:cs="Times New Roman"/>
          <w:sz w:val="24"/>
          <w:szCs w:val="24"/>
        </w:rPr>
        <w:t>194,1 млн. руб., программ общего образования – 76,4 млн. руб., или 10% от потребности 717,3 млн. руб.).</w:t>
      </w:r>
    </w:p>
    <w:p w:rsidR="006B7941" w:rsidRPr="00E913E2" w:rsidRDefault="00BA04E1" w:rsidP="006B79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4"/>
      <w:r>
        <w:rPr>
          <w:iCs/>
        </w:rPr>
        <w:tab/>
      </w:r>
      <w:proofErr w:type="gramStart"/>
      <w:r w:rsidR="006B7941" w:rsidRPr="0095045D">
        <w:rPr>
          <w:rFonts w:ascii="Times New Roman" w:hAnsi="Times New Roman" w:cs="Times New Roman"/>
          <w:sz w:val="24"/>
          <w:szCs w:val="24"/>
        </w:rPr>
        <w:t xml:space="preserve">Помимо этого увеличены ассигнования на обеспечение деятельности подведомственных казенных учреждений в связи с передачей с 01.09.2017 в ведомственное подчинение комитета </w:t>
      </w:r>
      <w:r w:rsidR="006B7941">
        <w:rPr>
          <w:rFonts w:ascii="Times New Roman" w:hAnsi="Times New Roman" w:cs="Times New Roman"/>
          <w:sz w:val="24"/>
          <w:szCs w:val="24"/>
        </w:rPr>
        <w:t xml:space="preserve">образования и науки </w:t>
      </w:r>
      <w:r w:rsidR="006B7941" w:rsidRPr="0095045D">
        <w:rPr>
          <w:rFonts w:ascii="Times New Roman" w:hAnsi="Times New Roman" w:cs="Times New Roman"/>
          <w:sz w:val="24"/>
          <w:szCs w:val="24"/>
        </w:rPr>
        <w:t xml:space="preserve">от комитета </w:t>
      </w:r>
      <w:r w:rsidR="006B7941">
        <w:rPr>
          <w:rFonts w:ascii="Times New Roman" w:hAnsi="Times New Roman" w:cs="Times New Roman"/>
          <w:sz w:val="24"/>
          <w:szCs w:val="24"/>
        </w:rPr>
        <w:t xml:space="preserve">по </w:t>
      </w:r>
      <w:r w:rsidR="006B7941" w:rsidRPr="0095045D">
        <w:rPr>
          <w:rFonts w:ascii="Times New Roman" w:hAnsi="Times New Roman" w:cs="Times New Roman"/>
          <w:sz w:val="24"/>
          <w:szCs w:val="24"/>
        </w:rPr>
        <w:t>делам национальностей и казачества трех кадетских образовательных организаций</w:t>
      </w:r>
      <w:r w:rsidR="006B7941">
        <w:rPr>
          <w:rFonts w:ascii="Times New Roman" w:hAnsi="Times New Roman" w:cs="Times New Roman"/>
          <w:sz w:val="24"/>
          <w:szCs w:val="24"/>
        </w:rPr>
        <w:t>, а также</w:t>
      </w:r>
      <w:r w:rsidR="006B7941" w:rsidRPr="00E913E2">
        <w:rPr>
          <w:rFonts w:ascii="Times New Roman" w:hAnsi="Times New Roman" w:cs="Times New Roman"/>
          <w:sz w:val="24"/>
          <w:szCs w:val="24"/>
        </w:rPr>
        <w:t xml:space="preserve"> </w:t>
      </w:r>
      <w:r w:rsidR="006B7941" w:rsidRPr="0095045D">
        <w:rPr>
          <w:rFonts w:ascii="Times New Roman" w:hAnsi="Times New Roman" w:cs="Times New Roman"/>
          <w:sz w:val="24"/>
          <w:szCs w:val="24"/>
        </w:rPr>
        <w:t xml:space="preserve">увеличены ассигнования </w:t>
      </w:r>
      <w:r w:rsidR="006B7941" w:rsidRPr="00E913E2">
        <w:rPr>
          <w:rFonts w:ascii="Times New Roman" w:hAnsi="Times New Roman" w:cs="Times New Roman"/>
          <w:sz w:val="24"/>
          <w:szCs w:val="24"/>
        </w:rPr>
        <w:t>на 97,5 млн. руб</w:t>
      </w:r>
      <w:r w:rsidR="006B7941">
        <w:rPr>
          <w:rFonts w:ascii="Times New Roman" w:hAnsi="Times New Roman" w:cs="Times New Roman"/>
          <w:sz w:val="24"/>
          <w:szCs w:val="24"/>
        </w:rPr>
        <w:t xml:space="preserve">. </w:t>
      </w:r>
      <w:r w:rsidR="006B7941" w:rsidRPr="00E913E2">
        <w:rPr>
          <w:rFonts w:ascii="Times New Roman" w:hAnsi="Times New Roman" w:cs="Times New Roman"/>
          <w:sz w:val="24"/>
          <w:szCs w:val="24"/>
        </w:rPr>
        <w:t xml:space="preserve">в связи с выделением средств из федерального бюджета на реализацию мероприятий Федеральной целевой программы </w:t>
      </w:r>
      <w:r w:rsidR="006B7941">
        <w:rPr>
          <w:rFonts w:ascii="Times New Roman" w:hAnsi="Times New Roman" w:cs="Times New Roman"/>
          <w:sz w:val="24"/>
          <w:szCs w:val="24"/>
        </w:rPr>
        <w:t>р</w:t>
      </w:r>
      <w:r w:rsidR="006B7941" w:rsidRPr="00E913E2">
        <w:rPr>
          <w:rFonts w:ascii="Times New Roman" w:hAnsi="Times New Roman" w:cs="Times New Roman"/>
          <w:sz w:val="24"/>
          <w:szCs w:val="24"/>
        </w:rPr>
        <w:t>азвития образования на 2016-2020</w:t>
      </w:r>
      <w:proofErr w:type="gramEnd"/>
      <w:r w:rsidR="006B7941" w:rsidRPr="00E913E2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9076C4" w:rsidRDefault="00C54C62" w:rsidP="00BA04E1">
      <w:pPr>
        <w:autoSpaceDE w:val="0"/>
        <w:autoSpaceDN w:val="0"/>
        <w:adjustRightInd w:val="0"/>
        <w:ind w:firstLine="539"/>
        <w:jc w:val="both"/>
      </w:pPr>
      <w:r>
        <w:rPr>
          <w:iCs/>
        </w:rPr>
        <w:tab/>
      </w:r>
      <w:r w:rsidR="00DF19BC" w:rsidRPr="002E28D8">
        <w:rPr>
          <w:iCs/>
        </w:rPr>
        <w:t>Субвенция на организацию питания детей из малоимущих семей и детей, находящихся</w:t>
      </w:r>
      <w:r w:rsidR="00DF19BC" w:rsidRPr="00D642E2">
        <w:rPr>
          <w:iCs/>
        </w:rPr>
        <w:t xml:space="preserve"> на учете у фтизиатра, обучающихся в общеобразовательных организациях, </w:t>
      </w:r>
      <w:r>
        <w:rPr>
          <w:iCs/>
        </w:rPr>
        <w:t xml:space="preserve">первоначально </w:t>
      </w:r>
      <w:r w:rsidR="00DF19BC" w:rsidRPr="00D642E2">
        <w:rPr>
          <w:iCs/>
        </w:rPr>
        <w:t xml:space="preserve">предусмотрена </w:t>
      </w:r>
      <w:r>
        <w:rPr>
          <w:iCs/>
        </w:rPr>
        <w:t xml:space="preserve">на 2018 год </w:t>
      </w:r>
      <w:r w:rsidR="00DF19BC" w:rsidRPr="00D642E2">
        <w:rPr>
          <w:iCs/>
        </w:rPr>
        <w:t>в сумме 133,9 млн. руб.</w:t>
      </w:r>
      <w:r w:rsidR="00DF19BC" w:rsidRPr="00D642E2">
        <w:t xml:space="preserve"> (37,5% от потребности</w:t>
      </w:r>
      <w:r>
        <w:t xml:space="preserve">, которая составляет </w:t>
      </w:r>
      <w:r w:rsidR="00DF19BC" w:rsidRPr="00D642E2">
        <w:t xml:space="preserve">356,3 млн. руб.). Поправками размер субвенции увеличен на 44,6 млн. руб. и составил 178,5 млн. руб., </w:t>
      </w:r>
      <w:r>
        <w:t>т. е.</w:t>
      </w:r>
      <w:r w:rsidR="00DF19BC" w:rsidRPr="00D642E2">
        <w:t xml:space="preserve"> 50% от потребности</w:t>
      </w:r>
      <w:bookmarkEnd w:id="1"/>
      <w:r w:rsidR="009076C4">
        <w:t>.</w:t>
      </w:r>
    </w:p>
    <w:p w:rsidR="00DF19BC" w:rsidRPr="000917B7" w:rsidRDefault="00BA04E1" w:rsidP="00BA04E1">
      <w:pPr>
        <w:autoSpaceDE w:val="0"/>
        <w:autoSpaceDN w:val="0"/>
        <w:adjustRightInd w:val="0"/>
        <w:ind w:firstLine="539"/>
        <w:jc w:val="both"/>
        <w:rPr>
          <w:iCs/>
        </w:rPr>
      </w:pPr>
      <w:r>
        <w:rPr>
          <w:rFonts w:eastAsia="Calibri"/>
        </w:rPr>
        <w:tab/>
      </w:r>
      <w:proofErr w:type="gramStart"/>
      <w:r w:rsidR="00DF19BC" w:rsidRPr="00BA04E1">
        <w:rPr>
          <w:rFonts w:eastAsia="Calibri"/>
          <w:b/>
          <w:i/>
        </w:rPr>
        <w:t>По подразделу 0704 «Среднее профессиональное образование»</w:t>
      </w:r>
      <w:r w:rsidR="00DF19BC" w:rsidRPr="003138FD">
        <w:rPr>
          <w:rFonts w:eastAsia="Calibri"/>
        </w:rPr>
        <w:t xml:space="preserve"> на 201</w:t>
      </w:r>
      <w:r w:rsidR="00DF19BC">
        <w:rPr>
          <w:rFonts w:eastAsia="Calibri"/>
        </w:rPr>
        <w:t>8</w:t>
      </w:r>
      <w:r w:rsidR="00DF19BC" w:rsidRPr="003138FD">
        <w:rPr>
          <w:rFonts w:eastAsia="Calibri"/>
        </w:rPr>
        <w:t xml:space="preserve"> год законопроектом предусмотрены ассигнования </w:t>
      </w:r>
      <w:r w:rsidR="00DF19BC" w:rsidRPr="000917B7">
        <w:t xml:space="preserve">на социальное обеспечение и иные выплаты в соответствии с Федеральным законом РФ от 21.12.1996 №159-ФЗ «О дополнительных гарантиях по социальной поддержке детей-сирот…» и Законом Волгоградской области от 19.12.2013 №172-ОД «О стипендиях и мерах социальной поддержки обучающихся в </w:t>
      </w:r>
      <w:r w:rsidR="00DF19BC" w:rsidRPr="000917B7">
        <w:lastRenderedPageBreak/>
        <w:t xml:space="preserve">Волгоградской области» в сумме </w:t>
      </w:r>
      <w:r w:rsidR="00DF19BC">
        <w:t>195,7</w:t>
      </w:r>
      <w:r w:rsidR="00DF19BC" w:rsidRPr="000917B7">
        <w:t xml:space="preserve"> млн. руб., </w:t>
      </w:r>
      <w:r w:rsidR="009076C4">
        <w:t>что составляет 48,7% от</w:t>
      </w:r>
      <w:proofErr w:type="gramEnd"/>
      <w:r w:rsidR="009076C4">
        <w:t xml:space="preserve"> </w:t>
      </w:r>
      <w:r w:rsidR="00DF19BC" w:rsidRPr="000917B7">
        <w:t>потребност</w:t>
      </w:r>
      <w:r w:rsidR="009076C4">
        <w:t>и, определенной комитетом образования и науки в размере</w:t>
      </w:r>
      <w:r w:rsidR="00DF19BC">
        <w:t xml:space="preserve"> 401,7</w:t>
      </w:r>
      <w:r w:rsidR="00DF19BC" w:rsidRPr="000917B7">
        <w:t xml:space="preserve"> млн.</w:t>
      </w:r>
      <w:r w:rsidR="00DF19BC">
        <w:t xml:space="preserve"> </w:t>
      </w:r>
      <w:r w:rsidR="00DF19BC" w:rsidRPr="000917B7">
        <w:t>руб</w:t>
      </w:r>
      <w:r w:rsidR="009076C4">
        <w:t>лей</w:t>
      </w:r>
      <w:r w:rsidR="00702ABA">
        <w:t xml:space="preserve"> </w:t>
      </w:r>
      <w:r w:rsidR="00DF19BC" w:rsidRPr="000917B7">
        <w:rPr>
          <w:iCs/>
        </w:rPr>
        <w:t xml:space="preserve"> </w:t>
      </w:r>
    </w:p>
    <w:p w:rsidR="00940EAB" w:rsidRPr="00940EAB" w:rsidRDefault="00940EAB" w:rsidP="00940EAB">
      <w:pPr>
        <w:jc w:val="both"/>
        <w:rPr>
          <w:bCs/>
        </w:rPr>
      </w:pPr>
      <w:r>
        <w:rPr>
          <w:b/>
          <w:i/>
        </w:rPr>
        <w:tab/>
      </w:r>
      <w:proofErr w:type="gramStart"/>
      <w:r w:rsidR="00DF19BC" w:rsidRPr="00BA04E1">
        <w:rPr>
          <w:b/>
          <w:i/>
        </w:rPr>
        <w:t>По подразделу 0707 «Молодежная политика и оздоровление детей»</w:t>
      </w:r>
      <w:r w:rsidR="00DF19BC" w:rsidRPr="005C3D5E">
        <w:t xml:space="preserve"> </w:t>
      </w:r>
      <w:r w:rsidR="00DF19BC" w:rsidRPr="003138FD">
        <w:t>на 201</w:t>
      </w:r>
      <w:r w:rsidR="00DF19BC">
        <w:t>8</w:t>
      </w:r>
      <w:r w:rsidR="00DF19BC" w:rsidRPr="003138FD">
        <w:t xml:space="preserve"> год </w:t>
      </w:r>
      <w:r w:rsidR="00DF19BC">
        <w:rPr>
          <w:rFonts w:eastAsia="Calibri"/>
        </w:rPr>
        <w:t>н</w:t>
      </w:r>
      <w:r w:rsidR="00DF19BC" w:rsidRPr="003138FD">
        <w:t xml:space="preserve">а отдых и оздоровление детей </w:t>
      </w:r>
      <w:r w:rsidR="00DF19BC">
        <w:t xml:space="preserve">предусмотрены </w:t>
      </w:r>
      <w:r w:rsidR="00EA1769">
        <w:rPr>
          <w:rFonts w:eastAsia="Calibri"/>
        </w:rPr>
        <w:t>а</w:t>
      </w:r>
      <w:r w:rsidR="00EA1769" w:rsidRPr="003138FD">
        <w:t xml:space="preserve">ссигнования </w:t>
      </w:r>
      <w:r w:rsidR="00DF19BC">
        <w:t>на уровне 2017</w:t>
      </w:r>
      <w:r w:rsidR="00DF19BC" w:rsidRPr="003138FD">
        <w:t xml:space="preserve"> года </w:t>
      </w:r>
      <w:r w:rsidR="00EA1769">
        <w:t xml:space="preserve">- </w:t>
      </w:r>
      <w:r w:rsidR="00DF19BC">
        <w:t>543,</w:t>
      </w:r>
      <w:r>
        <w:t>3</w:t>
      </w:r>
      <w:r w:rsidR="00DF19BC" w:rsidRPr="003138FD">
        <w:t xml:space="preserve"> млн. руб.</w:t>
      </w:r>
      <w:r>
        <w:t xml:space="preserve"> (в 2017 году – 543 млн. руб.), в том числе комитету образования и науки  - 92,2 млн. руб., комитету молодежной политики </w:t>
      </w:r>
      <w:r w:rsidR="00754BE2">
        <w:t>-</w:t>
      </w:r>
      <w:r>
        <w:rPr>
          <w:b/>
          <w:bCs/>
          <w:sz w:val="20"/>
          <w:szCs w:val="20"/>
        </w:rPr>
        <w:t xml:space="preserve"> </w:t>
      </w:r>
      <w:r w:rsidRPr="00940EAB">
        <w:rPr>
          <w:bCs/>
        </w:rPr>
        <w:t>269 млн. руб.</w:t>
      </w:r>
      <w:r>
        <w:rPr>
          <w:bCs/>
        </w:rPr>
        <w:t>, комитету социальной защиты населения</w:t>
      </w:r>
      <w:r w:rsidR="00754BE2">
        <w:rPr>
          <w:bCs/>
        </w:rPr>
        <w:t xml:space="preserve"> </w:t>
      </w:r>
      <w:r w:rsidR="00624DD3">
        <w:rPr>
          <w:bCs/>
        </w:rPr>
        <w:t>-</w:t>
      </w:r>
      <w:r>
        <w:rPr>
          <w:bCs/>
        </w:rPr>
        <w:t xml:space="preserve"> 182,1 млн. рублей.</w:t>
      </w:r>
      <w:proofErr w:type="gramEnd"/>
    </w:p>
    <w:p w:rsidR="00DF19BC" w:rsidRPr="00B02FAA" w:rsidRDefault="00754BE2" w:rsidP="00DF19BC">
      <w:pPr>
        <w:ind w:firstLine="709"/>
        <w:jc w:val="both"/>
        <w:rPr>
          <w:rFonts w:eastAsia="Calibri"/>
        </w:rPr>
      </w:pPr>
      <w:r>
        <w:t>В этой связи необходимо отметить, что в</w:t>
      </w:r>
      <w:r w:rsidR="00DF19BC" w:rsidRPr="007A5F8A">
        <w:t xml:space="preserve">  2017 году расходы на отдых и оздоровление детей осуществлялись </w:t>
      </w:r>
      <w:r w:rsidR="004209E0">
        <w:t xml:space="preserve">тремя </w:t>
      </w:r>
      <w:r w:rsidR="004209E0" w:rsidRPr="007A5F8A">
        <w:t xml:space="preserve">органами исполнительной власти </w:t>
      </w:r>
      <w:r w:rsidR="00DF19BC" w:rsidRPr="007A5F8A">
        <w:t>в рамках единой государственной программы «Организация отдыха и оздоровления детей, проживающих в Волгоградской области».</w:t>
      </w:r>
      <w:r w:rsidR="00DF19BC">
        <w:t xml:space="preserve"> </w:t>
      </w:r>
      <w:r w:rsidR="00DF19BC">
        <w:rPr>
          <w:rFonts w:eastAsia="Calibri"/>
        </w:rPr>
        <w:t>С 2018 года реализация мероприятий н</w:t>
      </w:r>
      <w:r w:rsidR="00DF19BC" w:rsidRPr="003138FD">
        <w:t>а отдых и оздоровление детей</w:t>
      </w:r>
      <w:r w:rsidR="00DF19BC">
        <w:t xml:space="preserve"> планируется органами исполнительной власти в отсутствие единой региональной программы, что</w:t>
      </w:r>
      <w:r w:rsidR="00940EAB">
        <w:t>,</w:t>
      </w:r>
      <w:r w:rsidR="00DF19BC">
        <w:t xml:space="preserve"> по мнению КСП</w:t>
      </w:r>
      <w:r w:rsidR="00940EAB">
        <w:t>,</w:t>
      </w:r>
      <w:r w:rsidR="002C4CED">
        <w:t xml:space="preserve"> затруднит </w:t>
      </w:r>
      <w:r w:rsidR="00DF19BC">
        <w:t>организаци</w:t>
      </w:r>
      <w:r w:rsidR="002C4CED">
        <w:t>ю</w:t>
      </w:r>
      <w:r w:rsidR="00DF19BC">
        <w:t xml:space="preserve"> летней оздоровительной кампании.</w:t>
      </w:r>
    </w:p>
    <w:p w:rsidR="00DF19BC" w:rsidRDefault="00DF19BC" w:rsidP="00FD3A0E">
      <w:pPr>
        <w:jc w:val="center"/>
        <w:rPr>
          <w:b/>
          <w:i/>
          <w:u w:val="single"/>
        </w:rPr>
      </w:pPr>
    </w:p>
    <w:p w:rsidR="00EA2C21" w:rsidRDefault="00EA2C21" w:rsidP="00FD3A0E">
      <w:pPr>
        <w:jc w:val="center"/>
        <w:rPr>
          <w:b/>
          <w:i/>
          <w:u w:val="single"/>
        </w:rPr>
      </w:pPr>
      <w:r w:rsidRPr="002E1765">
        <w:rPr>
          <w:b/>
          <w:i/>
          <w:u w:val="single"/>
        </w:rPr>
        <w:t>Расходы по разделу 0800 «Культура и кинематография».</w:t>
      </w:r>
    </w:p>
    <w:p w:rsidR="00FD3A0E" w:rsidRDefault="00FD3A0E" w:rsidP="00FD3A0E">
      <w:pPr>
        <w:jc w:val="center"/>
        <w:rPr>
          <w:b/>
          <w:i/>
          <w:u w:val="single"/>
        </w:rPr>
      </w:pPr>
    </w:p>
    <w:p w:rsidR="0023349F" w:rsidRDefault="0023349F" w:rsidP="002334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D6755">
        <w:rPr>
          <w:rFonts w:ascii="Times New Roman" w:hAnsi="Times New Roman" w:cs="Times New Roman"/>
          <w:sz w:val="24"/>
          <w:szCs w:val="24"/>
        </w:rPr>
        <w:t>По разделу 0800 «К</w:t>
      </w:r>
      <w:r>
        <w:rPr>
          <w:rFonts w:ascii="Times New Roman" w:hAnsi="Times New Roman" w:cs="Times New Roman"/>
          <w:sz w:val="24"/>
          <w:szCs w:val="24"/>
        </w:rPr>
        <w:t>ультура, кинематография» на 2018</w:t>
      </w:r>
      <w:r w:rsidRPr="00CD6755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законопроектом с учетом поправок, внесенных Администрацией Волгоградской области к 1 чтению, </w:t>
      </w:r>
      <w:r w:rsidRPr="00CD6755">
        <w:rPr>
          <w:rFonts w:ascii="Times New Roman" w:hAnsi="Times New Roman" w:cs="Times New Roman"/>
          <w:sz w:val="24"/>
          <w:szCs w:val="24"/>
        </w:rPr>
        <w:t>предус</w:t>
      </w:r>
      <w:r>
        <w:rPr>
          <w:rFonts w:ascii="Times New Roman" w:hAnsi="Times New Roman" w:cs="Times New Roman"/>
          <w:sz w:val="24"/>
          <w:szCs w:val="24"/>
        </w:rPr>
        <w:t xml:space="preserve">мотрены ассигнования в сумме </w:t>
      </w:r>
      <w:r w:rsidRPr="00581BFF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70,2</w:t>
      </w:r>
      <w:r w:rsidRPr="00CD6755">
        <w:rPr>
          <w:rFonts w:ascii="Times New Roman" w:hAnsi="Times New Roman" w:cs="Times New Roman"/>
          <w:sz w:val="24"/>
          <w:szCs w:val="24"/>
        </w:rPr>
        <w:t xml:space="preserve"> млн</w:t>
      </w:r>
      <w:r>
        <w:rPr>
          <w:rFonts w:ascii="Times New Roman" w:hAnsi="Times New Roman" w:cs="Times New Roman"/>
          <w:sz w:val="24"/>
          <w:szCs w:val="24"/>
        </w:rPr>
        <w:t xml:space="preserve">. руб., что больше ассигнований 2017 года (с учетом поправок) </w:t>
      </w:r>
      <w:r w:rsidRPr="00CD6755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978,8 </w:t>
      </w:r>
      <w:r w:rsidRPr="00CD6755">
        <w:rPr>
          <w:rFonts w:ascii="Times New Roman" w:hAnsi="Times New Roman" w:cs="Times New Roman"/>
          <w:sz w:val="24"/>
          <w:szCs w:val="24"/>
        </w:rPr>
        <w:t xml:space="preserve">млн. руб., или </w:t>
      </w:r>
      <w:r>
        <w:rPr>
          <w:rFonts w:ascii="Times New Roman" w:hAnsi="Times New Roman" w:cs="Times New Roman"/>
          <w:sz w:val="24"/>
          <w:szCs w:val="24"/>
        </w:rPr>
        <w:t>в 2 раза</w:t>
      </w:r>
      <w:r w:rsidRPr="00CD6755">
        <w:rPr>
          <w:rFonts w:ascii="Times New Roman" w:hAnsi="Times New Roman" w:cs="Times New Roman"/>
          <w:sz w:val="24"/>
          <w:szCs w:val="24"/>
        </w:rPr>
        <w:t>.</w:t>
      </w:r>
    </w:p>
    <w:p w:rsidR="0023349F" w:rsidRDefault="0023349F" w:rsidP="0023349F">
      <w:pPr>
        <w:ind w:firstLine="708"/>
        <w:jc w:val="both"/>
      </w:pPr>
      <w:r>
        <w:t xml:space="preserve">Наибольшая сумма увеличения ассигнований </w:t>
      </w:r>
      <w:r w:rsidR="003F1326">
        <w:t>запланирована</w:t>
      </w:r>
      <w:r>
        <w:t xml:space="preserve"> по комитету культуры Волгоградской области – на 517,9 млн. руб. </w:t>
      </w:r>
      <w:r w:rsidR="003F1326">
        <w:t>(</w:t>
      </w:r>
      <w:r w:rsidR="00A46064">
        <w:t>с</w:t>
      </w:r>
      <w:r>
        <w:t xml:space="preserve"> 848,5 млн. руб. до 1366,4 млн. руб.</w:t>
      </w:r>
      <w:r w:rsidR="003F1326">
        <w:t>)</w:t>
      </w:r>
      <w:r>
        <w:t xml:space="preserve">, или на 61 процент. Основная доля увеличенных ассигнований приходится на подготовку и проведение мероприятий в рамках </w:t>
      </w:r>
      <w:r w:rsidR="003F1326">
        <w:t>ч</w:t>
      </w:r>
      <w:r>
        <w:t>емпионата мира по футболу, а также на проведение мероприятий в рамках празднования 75-летия победы в Сталинградской битве, на которые предусмотрено 300 млн. руб. и 77,2 млн. руб. соответственно. Кроме того, увеличены ассигнования государственным учреждениям культуры на 140 млн. руб. на доведение оплаты труда работников до уровня, установленного Указом Президента РФ от 07.05.2012 №597.</w:t>
      </w:r>
    </w:p>
    <w:p w:rsidR="0023349F" w:rsidRDefault="0023349F" w:rsidP="0023349F">
      <w:pPr>
        <w:ind w:firstLine="708"/>
        <w:jc w:val="both"/>
      </w:pPr>
      <w:r>
        <w:t xml:space="preserve">Значительное увеличение </w:t>
      </w:r>
      <w:r w:rsidR="00B15F0C">
        <w:t>предусмотрено</w:t>
      </w:r>
      <w:r>
        <w:t xml:space="preserve"> также по комитету строительства Волгоградской области – на 437,6 млн. руб. </w:t>
      </w:r>
      <w:r w:rsidR="003F1326">
        <w:t xml:space="preserve">(со 116,3 млн. руб. до 553,9 млн. руб.), т. е. </w:t>
      </w:r>
      <w:r>
        <w:t>в 4,8 раза</w:t>
      </w:r>
      <w:r w:rsidR="003F1326">
        <w:t>, в том числе</w:t>
      </w:r>
      <w:r w:rsidR="005D68C2">
        <w:t xml:space="preserve"> на следующие направления</w:t>
      </w:r>
      <w:r>
        <w:t>:</w:t>
      </w:r>
    </w:p>
    <w:p w:rsidR="0023349F" w:rsidRDefault="0023349F" w:rsidP="0023349F">
      <w:pPr>
        <w:ind w:firstLine="708"/>
        <w:jc w:val="both"/>
      </w:pPr>
      <w:r>
        <w:t xml:space="preserve">-275,8 млн. руб. - на реставрацию и приспособление под здание музея объекта культурного значения регионального значения: </w:t>
      </w:r>
      <w:proofErr w:type="gramStart"/>
      <w:r>
        <w:t>«Пожарная часть «Общество «Труд», расположенного по адресу: г. Волгоград, ул. Коммунистическая, 5;</w:t>
      </w:r>
      <w:proofErr w:type="gramEnd"/>
    </w:p>
    <w:p w:rsidR="0023349F" w:rsidRDefault="0023349F" w:rsidP="0023349F">
      <w:pPr>
        <w:ind w:firstLine="708"/>
        <w:jc w:val="both"/>
      </w:pPr>
      <w:r>
        <w:t xml:space="preserve">-190,3 млн. руб. - на строительство центра культурного развития в </w:t>
      </w:r>
      <w:proofErr w:type="gramStart"/>
      <w:r>
        <w:t>г</w:t>
      </w:r>
      <w:proofErr w:type="gramEnd"/>
      <w:r>
        <w:t>. Урюпинск Волгоградской области;</w:t>
      </w:r>
    </w:p>
    <w:p w:rsidR="0023349F" w:rsidRDefault="0023349F" w:rsidP="0023349F">
      <w:pPr>
        <w:ind w:firstLine="708"/>
        <w:jc w:val="both"/>
      </w:pPr>
      <w:r>
        <w:t xml:space="preserve">-83,1 млн. руб. - на строительство объектов для областных государственных нужд в целях ликвидации </w:t>
      </w:r>
      <w:r w:rsidR="003F1326">
        <w:t xml:space="preserve">последствий </w:t>
      </w:r>
      <w:r>
        <w:t>природных пожаров 2-3 сентября 2010 года</w:t>
      </w:r>
      <w:r w:rsidR="003F1326">
        <w:t>;</w:t>
      </w:r>
    </w:p>
    <w:p w:rsidR="003F1326" w:rsidRDefault="003F1326" w:rsidP="003F1326">
      <w:pPr>
        <w:ind w:firstLine="708"/>
        <w:jc w:val="both"/>
      </w:pPr>
      <w:r>
        <w:t xml:space="preserve">-3 млн. руб. </w:t>
      </w:r>
      <w:r w:rsidR="00B15F0C">
        <w:t>–</w:t>
      </w:r>
      <w:r>
        <w:t xml:space="preserve"> </w:t>
      </w:r>
      <w:r w:rsidR="00B15F0C">
        <w:t>на проведение работ, необходимых для показа спектаклей</w:t>
      </w:r>
      <w:r>
        <w:t xml:space="preserve"> театр</w:t>
      </w:r>
      <w:r w:rsidR="00B15F0C">
        <w:t>а</w:t>
      </w:r>
      <w:r>
        <w:t xml:space="preserve"> кукол </w:t>
      </w:r>
      <w:r w:rsidR="00B15F0C">
        <w:t>в помещениях к</w:t>
      </w:r>
      <w:r>
        <w:t>инотеатр</w:t>
      </w:r>
      <w:r w:rsidR="00B15F0C">
        <w:t>а</w:t>
      </w:r>
      <w:r>
        <w:t xml:space="preserve"> «Победа»</w:t>
      </w:r>
      <w:r w:rsidR="00B15F0C">
        <w:t>.</w:t>
      </w:r>
    </w:p>
    <w:p w:rsidR="0023349F" w:rsidRDefault="0023349F" w:rsidP="0023349F">
      <w:pPr>
        <w:ind w:firstLine="708"/>
        <w:jc w:val="both"/>
      </w:pPr>
      <w:r>
        <w:t>Комитету по делам национальностей и казачества Волгоградской области ассигнования увеличены на 5,6 млн. руб. с целью доведения оплаты труда работников ГБУК «Государственный ансамбль песни и пляски «Казачья воля» до уровня, установленного Указом Президента РФ от 07.05.2012 №597.</w:t>
      </w:r>
    </w:p>
    <w:p w:rsidR="0023349F" w:rsidRDefault="0023349F" w:rsidP="0023349F">
      <w:pPr>
        <w:jc w:val="both"/>
      </w:pPr>
      <w:r>
        <w:tab/>
        <w:t xml:space="preserve">Комитету государственной охраны объектов культурного наследия Волгоградской области увеличены ассигнования на 17,7 млн. руб., из них на </w:t>
      </w:r>
      <w:r w:rsidR="00FC5EA7">
        <w:t xml:space="preserve">содержание аппарата управления </w:t>
      </w:r>
      <w:r>
        <w:t xml:space="preserve">комитета </w:t>
      </w:r>
      <w:r w:rsidR="00FC5EA7">
        <w:t xml:space="preserve">- </w:t>
      </w:r>
      <w:r>
        <w:t>на 15,1 млн. рублей. Увеличение ассигнований на 2018 год связано с образованием указанного комитета только в марте 2017 года.</w:t>
      </w:r>
    </w:p>
    <w:p w:rsidR="00B15F0C" w:rsidRDefault="00B15F0C" w:rsidP="00FD3A0E">
      <w:pPr>
        <w:jc w:val="center"/>
        <w:rPr>
          <w:b/>
          <w:i/>
          <w:u w:val="single"/>
        </w:rPr>
      </w:pPr>
    </w:p>
    <w:p w:rsidR="00EA2C21" w:rsidRDefault="00EA2C21" w:rsidP="00EA2C21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Расходы по разделу 0900 «Здравоохранение».</w:t>
      </w:r>
    </w:p>
    <w:p w:rsidR="00327C82" w:rsidRDefault="00327C82" w:rsidP="00EA2C21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03B6" w:rsidRPr="000803B6" w:rsidRDefault="000803B6" w:rsidP="000803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03B6">
        <w:rPr>
          <w:rFonts w:ascii="Times New Roman" w:hAnsi="Times New Roman" w:cs="Times New Roman"/>
          <w:sz w:val="24"/>
          <w:szCs w:val="24"/>
        </w:rPr>
        <w:t xml:space="preserve">Первоначально представленным в КСП законопроектом бюджетные ассигнования по разделу 0900 «Здравоохранение» на 2018 год предусмотрены в сумме 4959,5 млн. руб., что </w:t>
      </w:r>
      <w:r w:rsidRPr="000803B6">
        <w:rPr>
          <w:rFonts w:ascii="Times New Roman" w:hAnsi="Times New Roman" w:cs="Times New Roman"/>
          <w:sz w:val="24"/>
          <w:szCs w:val="24"/>
        </w:rPr>
        <w:lastRenderedPageBreak/>
        <w:t xml:space="preserve">меньше ассигнований, </w:t>
      </w:r>
      <w:r>
        <w:rPr>
          <w:rFonts w:ascii="Times New Roman" w:hAnsi="Times New Roman" w:cs="Times New Roman"/>
          <w:sz w:val="24"/>
          <w:szCs w:val="24"/>
        </w:rPr>
        <w:t>утвержденных</w:t>
      </w:r>
      <w:r w:rsidRPr="000803B6">
        <w:rPr>
          <w:rFonts w:ascii="Times New Roman" w:hAnsi="Times New Roman" w:cs="Times New Roman"/>
          <w:sz w:val="24"/>
          <w:szCs w:val="24"/>
        </w:rPr>
        <w:t xml:space="preserve"> законом об областном бюджете </w:t>
      </w:r>
      <w:r>
        <w:rPr>
          <w:rFonts w:ascii="Times New Roman" w:hAnsi="Times New Roman" w:cs="Times New Roman"/>
          <w:sz w:val="24"/>
          <w:szCs w:val="24"/>
        </w:rPr>
        <w:t xml:space="preserve">на 2017 год </w:t>
      </w:r>
      <w:r w:rsidRPr="000803B6">
        <w:rPr>
          <w:rFonts w:ascii="Times New Roman" w:hAnsi="Times New Roman" w:cs="Times New Roman"/>
          <w:sz w:val="24"/>
          <w:szCs w:val="24"/>
        </w:rPr>
        <w:t xml:space="preserve">(с </w:t>
      </w:r>
      <w:r>
        <w:rPr>
          <w:rFonts w:ascii="Times New Roman" w:hAnsi="Times New Roman" w:cs="Times New Roman"/>
          <w:sz w:val="24"/>
          <w:szCs w:val="24"/>
        </w:rPr>
        <w:t>учетом</w:t>
      </w:r>
      <w:r w:rsidRPr="000803B6">
        <w:rPr>
          <w:rFonts w:ascii="Times New Roman" w:hAnsi="Times New Roman" w:cs="Times New Roman"/>
          <w:sz w:val="24"/>
          <w:szCs w:val="24"/>
        </w:rPr>
        <w:t xml:space="preserve"> поправ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803B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, находящихся в настоящее время на рассмотрении </w:t>
      </w:r>
      <w:r w:rsidR="006A2B24">
        <w:rPr>
          <w:rFonts w:ascii="Times New Roman" w:hAnsi="Times New Roman" w:cs="Times New Roman"/>
          <w:sz w:val="24"/>
          <w:szCs w:val="24"/>
        </w:rPr>
        <w:t xml:space="preserve">Волгоградской </w:t>
      </w:r>
      <w:r>
        <w:rPr>
          <w:rFonts w:ascii="Times New Roman" w:hAnsi="Times New Roman" w:cs="Times New Roman"/>
          <w:sz w:val="24"/>
          <w:szCs w:val="24"/>
        </w:rPr>
        <w:t>областной Думы</w:t>
      </w:r>
      <w:r w:rsidRPr="000803B6">
        <w:rPr>
          <w:rFonts w:ascii="Times New Roman" w:hAnsi="Times New Roman" w:cs="Times New Roman"/>
          <w:sz w:val="24"/>
          <w:szCs w:val="24"/>
        </w:rPr>
        <w:t>) на 1246,2 млн. руб., или на 20,1 процента.</w:t>
      </w:r>
      <w:proofErr w:type="gramEnd"/>
    </w:p>
    <w:p w:rsidR="000803B6" w:rsidRPr="000803B6" w:rsidRDefault="000803B6" w:rsidP="000803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3B6">
        <w:rPr>
          <w:rFonts w:ascii="Times New Roman" w:hAnsi="Times New Roman" w:cs="Times New Roman"/>
          <w:sz w:val="24"/>
          <w:szCs w:val="24"/>
        </w:rPr>
        <w:t>Поправками</w:t>
      </w:r>
      <w:r w:rsidR="00EB01B0">
        <w:rPr>
          <w:rFonts w:ascii="Times New Roman" w:hAnsi="Times New Roman" w:cs="Times New Roman"/>
          <w:sz w:val="24"/>
          <w:szCs w:val="24"/>
        </w:rPr>
        <w:t>, внесенными Администрацией</w:t>
      </w:r>
      <w:r w:rsidRPr="000803B6">
        <w:rPr>
          <w:rFonts w:ascii="Times New Roman" w:hAnsi="Times New Roman" w:cs="Times New Roman"/>
          <w:sz w:val="24"/>
          <w:szCs w:val="24"/>
        </w:rPr>
        <w:t xml:space="preserve"> Волгоградской </w:t>
      </w:r>
      <w:r w:rsidR="00A372E4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Pr="000803B6">
        <w:rPr>
          <w:rFonts w:ascii="Times New Roman" w:hAnsi="Times New Roman" w:cs="Times New Roman"/>
          <w:sz w:val="24"/>
          <w:szCs w:val="24"/>
        </w:rPr>
        <w:t>к 1 чтени</w:t>
      </w:r>
      <w:r w:rsidR="00EB01B0">
        <w:rPr>
          <w:rFonts w:ascii="Times New Roman" w:hAnsi="Times New Roman" w:cs="Times New Roman"/>
          <w:sz w:val="24"/>
          <w:szCs w:val="24"/>
        </w:rPr>
        <w:t>ю</w:t>
      </w:r>
      <w:r w:rsidRPr="000803B6">
        <w:rPr>
          <w:rFonts w:ascii="Times New Roman" w:hAnsi="Times New Roman" w:cs="Times New Roman"/>
          <w:sz w:val="24"/>
          <w:szCs w:val="24"/>
        </w:rPr>
        <w:t>, комитету здравоохранения ассигнования на 2018 год увеличены на 894,7 млн. руб., в том числе</w:t>
      </w:r>
      <w:r w:rsidR="00A372E4">
        <w:rPr>
          <w:rFonts w:ascii="Times New Roman" w:hAnsi="Times New Roman" w:cs="Times New Roman"/>
          <w:sz w:val="24"/>
          <w:szCs w:val="24"/>
        </w:rPr>
        <w:t xml:space="preserve"> на следующие цели</w:t>
      </w:r>
      <w:r w:rsidRPr="000803B6">
        <w:rPr>
          <w:rFonts w:ascii="Times New Roman" w:hAnsi="Times New Roman" w:cs="Times New Roman"/>
          <w:sz w:val="24"/>
          <w:szCs w:val="24"/>
        </w:rPr>
        <w:t>:</w:t>
      </w:r>
    </w:p>
    <w:p w:rsidR="000803B6" w:rsidRPr="000803B6" w:rsidRDefault="006E6CFE" w:rsidP="000803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03B6" w:rsidRPr="000803B6">
        <w:rPr>
          <w:rFonts w:ascii="Times New Roman" w:hAnsi="Times New Roman" w:cs="Times New Roman"/>
          <w:sz w:val="24"/>
          <w:szCs w:val="24"/>
        </w:rPr>
        <w:t xml:space="preserve">на лекарственное обеспечение отдельных категорий граждан за счет </w:t>
      </w:r>
      <w:r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0803B6" w:rsidRPr="000803B6">
        <w:rPr>
          <w:rFonts w:ascii="Times New Roman" w:hAnsi="Times New Roman" w:cs="Times New Roman"/>
          <w:sz w:val="24"/>
          <w:szCs w:val="24"/>
        </w:rPr>
        <w:t xml:space="preserve">областного бюджета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03B6" w:rsidRPr="000803B6">
        <w:rPr>
          <w:rFonts w:ascii="Times New Roman" w:hAnsi="Times New Roman" w:cs="Times New Roman"/>
          <w:sz w:val="24"/>
          <w:szCs w:val="24"/>
        </w:rPr>
        <w:t>на 100 млн. рублей. В результате ассигнования на эти цели состав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0803B6" w:rsidRPr="000803B6">
        <w:rPr>
          <w:rFonts w:ascii="Times New Roman" w:hAnsi="Times New Roman" w:cs="Times New Roman"/>
          <w:sz w:val="24"/>
          <w:szCs w:val="24"/>
        </w:rPr>
        <w:t xml:space="preserve"> 750 млн. руб.,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0803B6" w:rsidRPr="000803B6">
        <w:rPr>
          <w:rFonts w:ascii="Times New Roman" w:hAnsi="Times New Roman" w:cs="Times New Roman"/>
          <w:sz w:val="24"/>
          <w:szCs w:val="24"/>
        </w:rPr>
        <w:t xml:space="preserve"> на 100 млн. руб. больше ассигнований 2017</w:t>
      </w:r>
      <w:r w:rsidR="000803B6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0803B6" w:rsidRPr="000803B6">
        <w:rPr>
          <w:rFonts w:ascii="Times New Roman" w:hAnsi="Times New Roman" w:cs="Times New Roman"/>
          <w:sz w:val="24"/>
          <w:szCs w:val="24"/>
        </w:rPr>
        <w:t xml:space="preserve">но на 68,3% меньше потребности, составляющей по данным </w:t>
      </w:r>
      <w:r>
        <w:rPr>
          <w:rFonts w:ascii="Times New Roman" w:hAnsi="Times New Roman" w:cs="Times New Roman"/>
          <w:sz w:val="24"/>
          <w:szCs w:val="24"/>
        </w:rPr>
        <w:t>ком</w:t>
      </w:r>
      <w:r w:rsidR="00A372E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тета здравоохранения</w:t>
      </w:r>
      <w:r w:rsidR="000803B6" w:rsidRPr="000803B6">
        <w:rPr>
          <w:rFonts w:ascii="Times New Roman" w:hAnsi="Times New Roman" w:cs="Times New Roman"/>
          <w:sz w:val="24"/>
          <w:szCs w:val="24"/>
        </w:rPr>
        <w:t xml:space="preserve"> 2365,6 млн. руб.;</w:t>
      </w:r>
    </w:p>
    <w:p w:rsidR="000803B6" w:rsidRPr="000803B6" w:rsidRDefault="00A372E4" w:rsidP="000803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03B6" w:rsidRPr="000803B6">
        <w:rPr>
          <w:rFonts w:ascii="Times New Roman" w:hAnsi="Times New Roman" w:cs="Times New Roman"/>
          <w:sz w:val="24"/>
          <w:szCs w:val="24"/>
        </w:rPr>
        <w:t>на приобретение диагностического оборудования в целях раннего выявления онкологических заболеван</w:t>
      </w:r>
      <w:r>
        <w:rPr>
          <w:rFonts w:ascii="Times New Roman" w:hAnsi="Times New Roman" w:cs="Times New Roman"/>
          <w:sz w:val="24"/>
          <w:szCs w:val="24"/>
        </w:rPr>
        <w:t>ий внутренних органов человека - на</w:t>
      </w:r>
      <w:r w:rsidR="000803B6" w:rsidRPr="000803B6">
        <w:rPr>
          <w:rFonts w:ascii="Times New Roman" w:hAnsi="Times New Roman" w:cs="Times New Roman"/>
          <w:sz w:val="24"/>
          <w:szCs w:val="24"/>
        </w:rPr>
        <w:t xml:space="preserve"> 28 млн</w:t>
      </w:r>
      <w:proofErr w:type="gramStart"/>
      <w:r w:rsidR="000803B6" w:rsidRPr="000803B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803B6" w:rsidRPr="000803B6">
        <w:rPr>
          <w:rFonts w:ascii="Times New Roman" w:hAnsi="Times New Roman" w:cs="Times New Roman"/>
          <w:sz w:val="24"/>
          <w:szCs w:val="24"/>
        </w:rPr>
        <w:t>уб.;</w:t>
      </w:r>
    </w:p>
    <w:p w:rsidR="000803B6" w:rsidRPr="000803B6" w:rsidRDefault="00A372E4" w:rsidP="000803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803B6" w:rsidRPr="000803B6">
        <w:rPr>
          <w:rFonts w:ascii="Times New Roman" w:hAnsi="Times New Roman" w:cs="Times New Roman"/>
          <w:sz w:val="24"/>
          <w:szCs w:val="24"/>
        </w:rPr>
        <w:t xml:space="preserve">на оплату труда работников государственных учреждений здравоохранения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803B6">
        <w:rPr>
          <w:rFonts w:ascii="Times New Roman" w:hAnsi="Times New Roman" w:cs="Times New Roman"/>
          <w:sz w:val="24"/>
          <w:szCs w:val="24"/>
        </w:rPr>
        <w:t xml:space="preserve">на оплату труда государственных служащих </w:t>
      </w:r>
      <w:r>
        <w:rPr>
          <w:rFonts w:ascii="Times New Roman" w:hAnsi="Times New Roman" w:cs="Times New Roman"/>
          <w:sz w:val="24"/>
          <w:szCs w:val="24"/>
        </w:rPr>
        <w:t>комитета здравоохранения</w:t>
      </w:r>
      <w:r w:rsidRPr="000803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03B6" w:rsidRPr="000803B6">
        <w:rPr>
          <w:rFonts w:ascii="Times New Roman" w:hAnsi="Times New Roman" w:cs="Times New Roman"/>
          <w:sz w:val="24"/>
          <w:szCs w:val="24"/>
        </w:rPr>
        <w:t>на 744 млн. руб.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0803B6" w:rsidRPr="000803B6">
        <w:rPr>
          <w:rFonts w:ascii="Times New Roman" w:hAnsi="Times New Roman" w:cs="Times New Roman"/>
          <w:sz w:val="24"/>
          <w:szCs w:val="24"/>
        </w:rPr>
        <w:t>22,7 млн. руб</w:t>
      </w:r>
      <w:r>
        <w:rPr>
          <w:rFonts w:ascii="Times New Roman" w:hAnsi="Times New Roman" w:cs="Times New Roman"/>
          <w:sz w:val="24"/>
          <w:szCs w:val="24"/>
        </w:rPr>
        <w:t>. соответственно</w:t>
      </w:r>
      <w:r w:rsidR="000803B6" w:rsidRPr="000803B6">
        <w:rPr>
          <w:rFonts w:ascii="Times New Roman" w:hAnsi="Times New Roman" w:cs="Times New Roman"/>
          <w:sz w:val="24"/>
          <w:szCs w:val="24"/>
        </w:rPr>
        <w:t>.</w:t>
      </w:r>
    </w:p>
    <w:p w:rsidR="000803B6" w:rsidRPr="000803B6" w:rsidRDefault="00A372E4" w:rsidP="000803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803B6" w:rsidRPr="000803B6">
        <w:rPr>
          <w:rFonts w:ascii="Times New Roman" w:hAnsi="Times New Roman" w:cs="Times New Roman"/>
          <w:sz w:val="24"/>
          <w:szCs w:val="24"/>
        </w:rPr>
        <w:t xml:space="preserve">а обеспечение полноценным питанием беременных женщин, кормящих матерей и детей в возрасте до 3 лет </w:t>
      </w:r>
      <w:r w:rsidRPr="000803B6">
        <w:rPr>
          <w:rFonts w:ascii="Times New Roman" w:hAnsi="Times New Roman" w:cs="Times New Roman"/>
          <w:sz w:val="24"/>
          <w:szCs w:val="24"/>
        </w:rPr>
        <w:t xml:space="preserve">законопроектом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0803B6">
        <w:rPr>
          <w:rFonts w:ascii="Times New Roman" w:hAnsi="Times New Roman" w:cs="Times New Roman"/>
          <w:sz w:val="24"/>
          <w:szCs w:val="24"/>
        </w:rPr>
        <w:t>с уч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803B6">
        <w:rPr>
          <w:rFonts w:ascii="Times New Roman" w:hAnsi="Times New Roman" w:cs="Times New Roman"/>
          <w:sz w:val="24"/>
          <w:szCs w:val="24"/>
        </w:rPr>
        <w:t>том поправок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0803B6" w:rsidRPr="000803B6">
        <w:rPr>
          <w:rFonts w:ascii="Times New Roman" w:hAnsi="Times New Roman" w:cs="Times New Roman"/>
          <w:sz w:val="24"/>
          <w:szCs w:val="24"/>
        </w:rPr>
        <w:t xml:space="preserve">предусмотрено на 2018 год 17,5 млн. руб., что составляет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="000803B6" w:rsidRPr="000803B6">
        <w:rPr>
          <w:rFonts w:ascii="Times New Roman" w:hAnsi="Times New Roman" w:cs="Times New Roman"/>
          <w:sz w:val="24"/>
          <w:szCs w:val="24"/>
        </w:rPr>
        <w:t xml:space="preserve">35% от потребности, составляющей по данным </w:t>
      </w:r>
      <w:r>
        <w:rPr>
          <w:rFonts w:ascii="Times New Roman" w:hAnsi="Times New Roman" w:cs="Times New Roman"/>
          <w:sz w:val="24"/>
          <w:szCs w:val="24"/>
        </w:rPr>
        <w:t>комитета здравоохранения</w:t>
      </w:r>
      <w:r w:rsidR="000803B6" w:rsidRPr="000803B6">
        <w:rPr>
          <w:rFonts w:ascii="Times New Roman" w:hAnsi="Times New Roman" w:cs="Times New Roman"/>
          <w:sz w:val="24"/>
          <w:szCs w:val="24"/>
        </w:rPr>
        <w:t xml:space="preserve"> 50,1 млн. рублей. </w:t>
      </w:r>
    </w:p>
    <w:p w:rsidR="000803B6" w:rsidRPr="009E4E6F" w:rsidRDefault="000803B6" w:rsidP="000803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3B6">
        <w:rPr>
          <w:rFonts w:ascii="Times New Roman" w:hAnsi="Times New Roman" w:cs="Times New Roman"/>
          <w:sz w:val="24"/>
          <w:szCs w:val="24"/>
        </w:rPr>
        <w:t xml:space="preserve">На высокотехнологичную медицинскую помощь </w:t>
      </w:r>
      <w:r w:rsidR="00A372E4">
        <w:rPr>
          <w:rFonts w:ascii="Times New Roman" w:hAnsi="Times New Roman" w:cs="Times New Roman"/>
          <w:sz w:val="24"/>
          <w:szCs w:val="24"/>
        </w:rPr>
        <w:t>п</w:t>
      </w:r>
      <w:r w:rsidRPr="000803B6">
        <w:rPr>
          <w:rFonts w:ascii="Times New Roman" w:hAnsi="Times New Roman" w:cs="Times New Roman"/>
          <w:sz w:val="24"/>
          <w:szCs w:val="24"/>
        </w:rPr>
        <w:t xml:space="preserve">редусмотрено 205 млн. руб., что соответствует ассигнованиям </w:t>
      </w:r>
      <w:r w:rsidR="000400AE"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0803B6">
        <w:rPr>
          <w:rFonts w:ascii="Times New Roman" w:hAnsi="Times New Roman" w:cs="Times New Roman"/>
          <w:sz w:val="24"/>
          <w:szCs w:val="24"/>
        </w:rPr>
        <w:t xml:space="preserve">областного бюджета </w:t>
      </w:r>
      <w:r w:rsidR="000400AE">
        <w:rPr>
          <w:rFonts w:ascii="Times New Roman" w:hAnsi="Times New Roman" w:cs="Times New Roman"/>
          <w:sz w:val="24"/>
          <w:szCs w:val="24"/>
        </w:rPr>
        <w:t xml:space="preserve">на </w:t>
      </w:r>
      <w:r w:rsidRPr="000803B6">
        <w:rPr>
          <w:rFonts w:ascii="Times New Roman" w:hAnsi="Times New Roman" w:cs="Times New Roman"/>
          <w:sz w:val="24"/>
          <w:szCs w:val="24"/>
        </w:rPr>
        <w:t>2017 год (без уч</w:t>
      </w:r>
      <w:r w:rsidR="000400AE">
        <w:rPr>
          <w:rFonts w:ascii="Times New Roman" w:hAnsi="Times New Roman" w:cs="Times New Roman"/>
          <w:sz w:val="24"/>
          <w:szCs w:val="24"/>
        </w:rPr>
        <w:t>е</w:t>
      </w:r>
      <w:r w:rsidRPr="000803B6">
        <w:rPr>
          <w:rFonts w:ascii="Times New Roman" w:hAnsi="Times New Roman" w:cs="Times New Roman"/>
          <w:sz w:val="24"/>
          <w:szCs w:val="24"/>
        </w:rPr>
        <w:t>та средств федерального бюджета, объ</w:t>
      </w:r>
      <w:r w:rsidR="000400AE">
        <w:rPr>
          <w:rFonts w:ascii="Times New Roman" w:hAnsi="Times New Roman" w:cs="Times New Roman"/>
          <w:sz w:val="24"/>
          <w:szCs w:val="24"/>
        </w:rPr>
        <w:t>е</w:t>
      </w:r>
      <w:r w:rsidRPr="000803B6">
        <w:rPr>
          <w:rFonts w:ascii="Times New Roman" w:hAnsi="Times New Roman" w:cs="Times New Roman"/>
          <w:sz w:val="24"/>
          <w:szCs w:val="24"/>
        </w:rPr>
        <w:t xml:space="preserve">м которых в </w:t>
      </w:r>
      <w:r w:rsidR="000400AE">
        <w:rPr>
          <w:rFonts w:ascii="Times New Roman" w:hAnsi="Times New Roman" w:cs="Times New Roman"/>
          <w:sz w:val="24"/>
          <w:szCs w:val="24"/>
        </w:rPr>
        <w:t>текущем</w:t>
      </w:r>
      <w:r w:rsidRPr="000803B6">
        <w:rPr>
          <w:rFonts w:ascii="Times New Roman" w:hAnsi="Times New Roman" w:cs="Times New Roman"/>
          <w:sz w:val="24"/>
          <w:szCs w:val="24"/>
        </w:rPr>
        <w:t xml:space="preserve"> году составляет 57,9 млн. руб.). </w:t>
      </w:r>
      <w:r w:rsidR="009E4E6F">
        <w:rPr>
          <w:rFonts w:ascii="Times New Roman" w:hAnsi="Times New Roman" w:cs="Times New Roman"/>
          <w:sz w:val="24"/>
          <w:szCs w:val="24"/>
        </w:rPr>
        <w:t>При этом с</w:t>
      </w:r>
      <w:r w:rsidRPr="009E4E6F">
        <w:rPr>
          <w:rFonts w:ascii="Times New Roman" w:hAnsi="Times New Roman" w:cs="Times New Roman"/>
          <w:sz w:val="24"/>
          <w:szCs w:val="24"/>
        </w:rPr>
        <w:t xml:space="preserve">огласно проекту закона Волгоградской области «О территориальной программе государственных гарантий бесплатного оказания гражданам медицинской помощи в Волгоградской области на 2018 год и плановый период 2019 и 2020 годов» потребность в средствах областного бюджета на эти цели </w:t>
      </w:r>
      <w:r w:rsidR="009E4E6F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Pr="009E4E6F">
        <w:rPr>
          <w:rFonts w:ascii="Times New Roman" w:hAnsi="Times New Roman" w:cs="Times New Roman"/>
          <w:sz w:val="24"/>
          <w:szCs w:val="24"/>
        </w:rPr>
        <w:t>составляет 360 млн. рублей.</w:t>
      </w:r>
    </w:p>
    <w:p w:rsidR="000803B6" w:rsidRDefault="000803B6" w:rsidP="000803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C21" w:rsidRDefault="00EA2C21" w:rsidP="00EA2C21">
      <w:pPr>
        <w:jc w:val="center"/>
        <w:rPr>
          <w:b/>
          <w:i/>
          <w:u w:val="single"/>
        </w:rPr>
      </w:pPr>
      <w:r w:rsidRPr="002E1765">
        <w:rPr>
          <w:b/>
          <w:i/>
          <w:u w:val="single"/>
        </w:rPr>
        <w:t>Расходы по разделу 1000 «Социальная политика»</w:t>
      </w:r>
      <w:r>
        <w:rPr>
          <w:b/>
          <w:i/>
          <w:u w:val="single"/>
        </w:rPr>
        <w:t>.</w:t>
      </w:r>
    </w:p>
    <w:p w:rsidR="00BF73BF" w:rsidRDefault="00BF73BF" w:rsidP="00BF73BF">
      <w:pPr>
        <w:autoSpaceDE w:val="0"/>
        <w:autoSpaceDN w:val="0"/>
        <w:adjustRightInd w:val="0"/>
        <w:ind w:firstLine="709"/>
        <w:jc w:val="both"/>
      </w:pPr>
    </w:p>
    <w:p w:rsidR="00DA4098" w:rsidRPr="00DA4098" w:rsidRDefault="00DA4098" w:rsidP="00DA409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4098">
        <w:rPr>
          <w:rFonts w:ascii="Times New Roman" w:hAnsi="Times New Roman" w:cs="Times New Roman"/>
          <w:sz w:val="24"/>
          <w:szCs w:val="24"/>
        </w:rPr>
        <w:t>Первоначально представленным законопроектом бюджетные ассигнования по разделу 1000 «Социальная политика» на 2018 год предусм</w:t>
      </w:r>
      <w:r>
        <w:rPr>
          <w:rFonts w:ascii="Times New Roman" w:hAnsi="Times New Roman" w:cs="Times New Roman"/>
          <w:sz w:val="24"/>
          <w:szCs w:val="24"/>
        </w:rPr>
        <w:t>атривались</w:t>
      </w:r>
      <w:r w:rsidRPr="00DA4098">
        <w:rPr>
          <w:rFonts w:ascii="Times New Roman" w:hAnsi="Times New Roman" w:cs="Times New Roman"/>
          <w:sz w:val="24"/>
          <w:szCs w:val="24"/>
        </w:rPr>
        <w:t xml:space="preserve"> ассигнования в сумме 24911,5 млн. руб., что меньше </w:t>
      </w:r>
      <w:r>
        <w:rPr>
          <w:rFonts w:ascii="Times New Roman" w:hAnsi="Times New Roman" w:cs="Times New Roman"/>
          <w:sz w:val="24"/>
          <w:szCs w:val="24"/>
        </w:rPr>
        <w:t>утвержденных ассигнований</w:t>
      </w:r>
      <w:r w:rsidRPr="00DA4098">
        <w:rPr>
          <w:rFonts w:ascii="Times New Roman" w:hAnsi="Times New Roman" w:cs="Times New Roman"/>
          <w:sz w:val="24"/>
          <w:szCs w:val="24"/>
        </w:rPr>
        <w:t xml:space="preserve"> 2017 года на 1709,5 млн. руб., или на 6,4 процента.</w:t>
      </w:r>
    </w:p>
    <w:p w:rsidR="00DA4098" w:rsidRPr="00DA4098" w:rsidRDefault="00DA4098" w:rsidP="00DA4098">
      <w:pPr>
        <w:autoSpaceDE w:val="0"/>
        <w:autoSpaceDN w:val="0"/>
        <w:adjustRightInd w:val="0"/>
        <w:ind w:firstLine="709"/>
        <w:jc w:val="both"/>
      </w:pPr>
      <w:proofErr w:type="gramStart"/>
      <w:r w:rsidRPr="00DA4098">
        <w:t xml:space="preserve">В разделе задействовано 13 распорядителей бюджетных средств, из которых ассигнования на 2018 год увеличены только комитету здравоохранения </w:t>
      </w:r>
      <w:r>
        <w:t xml:space="preserve">- </w:t>
      </w:r>
      <w:r w:rsidRPr="00DA4098">
        <w:t xml:space="preserve">на 674,2 млн. руб. по подразделу 1003 «Социальное обеспечение населения» в связи с увеличением размера страхового взноса на ОМС неработающего населения на 757,7 млн. руб. и уменьшением расходов </w:t>
      </w:r>
      <w:r>
        <w:t>комитета</w:t>
      </w:r>
      <w:r w:rsidRPr="00DA4098">
        <w:t xml:space="preserve"> на другие меры социальной поддержки на сумму 83,5 млн. рублей.</w:t>
      </w:r>
      <w:proofErr w:type="gramEnd"/>
    </w:p>
    <w:p w:rsidR="00DA4098" w:rsidRPr="00DA4098" w:rsidRDefault="00DA4098" w:rsidP="00DA4098">
      <w:pPr>
        <w:autoSpaceDE w:val="0"/>
        <w:autoSpaceDN w:val="0"/>
        <w:adjustRightInd w:val="0"/>
        <w:ind w:firstLine="709"/>
        <w:jc w:val="both"/>
      </w:pPr>
      <w:r w:rsidRPr="00DA4098">
        <w:t xml:space="preserve">Наибольшее сокращение расходов </w:t>
      </w:r>
      <w:proofErr w:type="gramStart"/>
      <w:r w:rsidRPr="00DA4098">
        <w:t>о</w:t>
      </w:r>
      <w:proofErr w:type="gramEnd"/>
      <w:r w:rsidRPr="00DA4098">
        <w:t xml:space="preserve"> </w:t>
      </w:r>
      <w:proofErr w:type="gramStart"/>
      <w:r w:rsidRPr="00DA4098">
        <w:t>подразделу</w:t>
      </w:r>
      <w:proofErr w:type="gramEnd"/>
      <w:r w:rsidRPr="00DA4098">
        <w:t xml:space="preserve"> 1003 </w:t>
      </w:r>
      <w:r w:rsidR="0008513C">
        <w:t>«</w:t>
      </w:r>
      <w:r w:rsidR="0008513C" w:rsidRPr="00DA4098">
        <w:t>Социальное обеспечение населения»</w:t>
      </w:r>
      <w:r w:rsidR="0008513C">
        <w:t xml:space="preserve"> на 2018 год </w:t>
      </w:r>
      <w:r w:rsidRPr="00DA4098">
        <w:t xml:space="preserve">отмечается главным образом по комитету социальной защиты населения </w:t>
      </w:r>
      <w:r w:rsidR="0008513C">
        <w:t xml:space="preserve">- </w:t>
      </w:r>
      <w:r w:rsidRPr="00DA4098">
        <w:t xml:space="preserve">на 1656,3 млн. руб., или на 20,9% </w:t>
      </w:r>
      <w:r w:rsidR="0008513C">
        <w:t>и главным образом</w:t>
      </w:r>
      <w:r w:rsidRPr="00DA4098">
        <w:t xml:space="preserve"> на предоставление мер социальной помощи и поддержки.</w:t>
      </w:r>
    </w:p>
    <w:p w:rsidR="00DA4098" w:rsidRPr="00DA4098" w:rsidRDefault="00DA4098" w:rsidP="00DA4098">
      <w:pPr>
        <w:pStyle w:val="a9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DA4098">
        <w:t xml:space="preserve">По информации комитета социальной защиты населения расчетная потребность на меры социальной помощи и поддержки, оказываемые за счет средств областного бюджета, по </w:t>
      </w:r>
      <w:r w:rsidR="0008513C">
        <w:t xml:space="preserve">данному </w:t>
      </w:r>
      <w:r w:rsidRPr="00DA4098">
        <w:t>подразделу составляет 6198,7 млн. рублей. Во внес</w:t>
      </w:r>
      <w:r w:rsidR="0008513C">
        <w:t>е</w:t>
      </w:r>
      <w:r w:rsidRPr="00DA4098">
        <w:t>нном в Волгоградскую областную Думу законопроекте комитету социальной защиты населения на эти цели предусмотрено 3036,7 млн. руб., что меньше потребности на 3162 млн. руб.</w:t>
      </w:r>
      <w:r w:rsidR="0008513C">
        <w:t xml:space="preserve">, </w:t>
      </w:r>
      <w:r w:rsidRPr="00DA4098">
        <w:t>или</w:t>
      </w:r>
      <w:r w:rsidR="0008513C">
        <w:t xml:space="preserve"> на</w:t>
      </w:r>
      <w:r w:rsidRPr="00DA4098">
        <w:t xml:space="preserve"> 51</w:t>
      </w:r>
      <w:r w:rsidR="0008513C">
        <w:t xml:space="preserve"> процента.</w:t>
      </w:r>
      <w:r w:rsidRPr="00DA4098">
        <w:t xml:space="preserve"> </w:t>
      </w:r>
      <w:r w:rsidR="0008513C" w:rsidRPr="003C1AFB">
        <w:rPr>
          <w:b/>
          <w:i/>
        </w:rPr>
        <w:t>С</w:t>
      </w:r>
      <w:r w:rsidRPr="003C1AFB">
        <w:rPr>
          <w:b/>
          <w:i/>
        </w:rPr>
        <w:t xml:space="preserve"> уч</w:t>
      </w:r>
      <w:r w:rsidR="0008513C" w:rsidRPr="003C1AFB">
        <w:rPr>
          <w:b/>
          <w:i/>
        </w:rPr>
        <w:t>е</w:t>
      </w:r>
      <w:r w:rsidRPr="003C1AFB">
        <w:rPr>
          <w:b/>
          <w:i/>
        </w:rPr>
        <w:t>том поправок</w:t>
      </w:r>
      <w:r w:rsidR="0008513C" w:rsidRPr="003C1AFB">
        <w:rPr>
          <w:b/>
          <w:i/>
        </w:rPr>
        <w:t>, внесенных Администрацией Волгоградской области к 1 чтению,</w:t>
      </w:r>
      <w:r w:rsidRPr="003C1AFB">
        <w:rPr>
          <w:b/>
          <w:i/>
        </w:rPr>
        <w:t xml:space="preserve"> недостаток средств составит 2405,1 млн. руб.</w:t>
      </w:r>
      <w:r w:rsidR="0008513C" w:rsidRPr="003C1AFB">
        <w:rPr>
          <w:b/>
          <w:i/>
        </w:rPr>
        <w:t xml:space="preserve"> (3162 млн. руб. - 756,9 млн. руб.)</w:t>
      </w:r>
      <w:r w:rsidRPr="003C1AFB">
        <w:rPr>
          <w:b/>
          <w:i/>
        </w:rPr>
        <w:t>, или 38,8% от потребности.</w:t>
      </w:r>
      <w:r w:rsidRPr="00DA4098">
        <w:t xml:space="preserve"> </w:t>
      </w:r>
    </w:p>
    <w:p w:rsidR="003C1AFB" w:rsidRDefault="00DA4098" w:rsidP="003C1AFB">
      <w:pPr>
        <w:autoSpaceDE w:val="0"/>
        <w:autoSpaceDN w:val="0"/>
        <w:adjustRightInd w:val="0"/>
        <w:ind w:firstLine="709"/>
        <w:jc w:val="both"/>
      </w:pPr>
      <w:r w:rsidRPr="00DA4098">
        <w:t xml:space="preserve">Также отмечается существенное сокращение </w:t>
      </w:r>
      <w:r w:rsidR="004F3943">
        <w:t xml:space="preserve">относительно 2017 года </w:t>
      </w:r>
      <w:r w:rsidRPr="00DA4098">
        <w:t xml:space="preserve">расходов по подразделу 1004 «Охрана семьи и детства» </w:t>
      </w:r>
      <w:r w:rsidR="003C1AFB">
        <w:t xml:space="preserve">- </w:t>
      </w:r>
      <w:r w:rsidR="00657A7C">
        <w:t xml:space="preserve">в целом </w:t>
      </w:r>
      <w:r w:rsidRPr="00DA4098">
        <w:t>на 839,4 млн. руб.</w:t>
      </w:r>
      <w:r w:rsidR="003C1AFB">
        <w:t>, или на</w:t>
      </w:r>
      <w:r w:rsidRPr="00DA4098">
        <w:t xml:space="preserve"> 29,1%</w:t>
      </w:r>
      <w:r w:rsidR="003C1AFB">
        <w:t>, в том числе</w:t>
      </w:r>
      <w:r w:rsidRPr="00DA4098">
        <w:t xml:space="preserve"> по ГРБС:</w:t>
      </w:r>
    </w:p>
    <w:p w:rsidR="00657A7C" w:rsidRDefault="003C1AFB" w:rsidP="00657A7C">
      <w:pPr>
        <w:autoSpaceDE w:val="0"/>
        <w:autoSpaceDN w:val="0"/>
        <w:adjustRightInd w:val="0"/>
        <w:ind w:firstLine="709"/>
        <w:jc w:val="both"/>
      </w:pPr>
      <w:proofErr w:type="gramStart"/>
      <w:r>
        <w:lastRenderedPageBreak/>
        <w:t>-</w:t>
      </w:r>
      <w:r w:rsidR="00DA4098" w:rsidRPr="003C1AFB">
        <w:t>комитет социальной защиты населения</w:t>
      </w:r>
      <w:r w:rsidR="00DA4098" w:rsidRPr="00DA4098">
        <w:t xml:space="preserve"> </w:t>
      </w:r>
      <w:r>
        <w:t xml:space="preserve">- </w:t>
      </w:r>
      <w:r w:rsidR="00DA4098" w:rsidRPr="00DA4098">
        <w:t xml:space="preserve">на 461,8 млн. руб., или на 30,3% в связи с отсутствием в законопроекте о федеральном бюджете на 2018-2020 </w:t>
      </w:r>
      <w:r>
        <w:t>годы</w:t>
      </w:r>
      <w:r w:rsidR="00DA4098" w:rsidRPr="00DA4098">
        <w:t xml:space="preserve"> данных о распределении субсидий на ежемесячную денежную выплату, назначаемую в случае рождения третьего ребенка или последующих детей до достижения ребенком возраста трех лет, бюджетам субъектов РФ на 2018 год.</w:t>
      </w:r>
      <w:proofErr w:type="gramEnd"/>
      <w:r w:rsidR="00DA4098" w:rsidRPr="00DA4098">
        <w:t xml:space="preserve"> В законопроекте о федеральном бюджете на 2018 год на эти цели предусмотрено 17586,6 млн. руб., что больше </w:t>
      </w:r>
      <w:proofErr w:type="gramStart"/>
      <w:r w:rsidR="00DA4098" w:rsidRPr="00DA4098">
        <w:t>предусмотренных</w:t>
      </w:r>
      <w:proofErr w:type="gramEnd"/>
      <w:r w:rsidR="00DA4098" w:rsidRPr="00DA4098">
        <w:t xml:space="preserve"> в федеральном бюджете на 2017 год </w:t>
      </w:r>
      <w:r w:rsidR="00657A7C">
        <w:t>(</w:t>
      </w:r>
      <w:r w:rsidR="00DA4098" w:rsidRPr="00DA4098">
        <w:t>15825,4 млн. руб.</w:t>
      </w:r>
      <w:r w:rsidR="00657A7C">
        <w:t>)</w:t>
      </w:r>
      <w:r w:rsidR="00DA4098" w:rsidRPr="00DA4098">
        <w:t xml:space="preserve">, в том числе для Волгоградской области </w:t>
      </w:r>
      <w:r w:rsidR="00657A7C">
        <w:t xml:space="preserve">- </w:t>
      </w:r>
      <w:r w:rsidR="00DA4098" w:rsidRPr="00DA4098">
        <w:t>652,1 млн. руб.</w:t>
      </w:r>
      <w:r w:rsidR="00657A7C">
        <w:t>;</w:t>
      </w:r>
      <w:r w:rsidR="00DA4098" w:rsidRPr="00DA4098">
        <w:t xml:space="preserve"> </w:t>
      </w:r>
    </w:p>
    <w:p w:rsidR="00657A7C" w:rsidRDefault="00657A7C" w:rsidP="00657A7C">
      <w:pPr>
        <w:autoSpaceDE w:val="0"/>
        <w:autoSpaceDN w:val="0"/>
        <w:adjustRightInd w:val="0"/>
        <w:ind w:firstLine="709"/>
        <w:jc w:val="both"/>
      </w:pPr>
      <w:proofErr w:type="gramStart"/>
      <w:r>
        <w:t>-</w:t>
      </w:r>
      <w:r w:rsidR="00DA4098" w:rsidRPr="00657A7C">
        <w:t>комитет строительства</w:t>
      </w:r>
      <w:r w:rsidR="00DA4098" w:rsidRPr="00DA4098">
        <w:t xml:space="preserve"> </w:t>
      </w:r>
      <w:r>
        <w:t xml:space="preserve">- </w:t>
      </w:r>
      <w:r w:rsidR="00DA4098" w:rsidRPr="00DA4098">
        <w:t>на 248,9 млн. руб., или на 48,3% на капитальные вложения в объекты государственной собственности, а именно на строительство жилых домов и приобретение квартир за счет средств областного бюджета в целях обеспечения детей-сирот, детей, оставшихся без попечения родителей, и лиц из их числа жилыми помещениями специализированного жилищного фонда Волгоградской области</w:t>
      </w:r>
      <w:r>
        <w:t>;</w:t>
      </w:r>
      <w:proofErr w:type="gramEnd"/>
    </w:p>
    <w:p w:rsidR="00DA4098" w:rsidRPr="00DA4098" w:rsidRDefault="00657A7C" w:rsidP="00657A7C">
      <w:pPr>
        <w:autoSpaceDE w:val="0"/>
        <w:autoSpaceDN w:val="0"/>
        <w:adjustRightInd w:val="0"/>
        <w:ind w:firstLine="709"/>
        <w:jc w:val="both"/>
      </w:pPr>
      <w:r>
        <w:t>-</w:t>
      </w:r>
      <w:r w:rsidR="00DA4098" w:rsidRPr="00657A7C">
        <w:t>комитет образования и науки</w:t>
      </w:r>
      <w:r w:rsidR="00DA4098" w:rsidRPr="00DA4098">
        <w:rPr>
          <w:i/>
        </w:rPr>
        <w:t xml:space="preserve"> </w:t>
      </w:r>
      <w:r>
        <w:rPr>
          <w:i/>
        </w:rPr>
        <w:t xml:space="preserve">- </w:t>
      </w:r>
      <w:r w:rsidR="00DA4098" w:rsidRPr="00DA4098">
        <w:t>на 128,7 млн. руб., или на 15,2%</w:t>
      </w:r>
      <w:r w:rsidR="004F3943">
        <w:t>, из них:</w:t>
      </w:r>
      <w:r w:rsidR="00DA4098" w:rsidRPr="00DA4098">
        <w:t xml:space="preserve"> </w:t>
      </w:r>
    </w:p>
    <w:p w:rsidR="00DA4098" w:rsidRPr="00DA4098" w:rsidRDefault="00DA4098" w:rsidP="00DA4098">
      <w:pPr>
        <w:ind w:firstLine="709"/>
        <w:jc w:val="both"/>
        <w:rPr>
          <w:rFonts w:eastAsia="Calibri"/>
        </w:rPr>
      </w:pPr>
      <w:r w:rsidRPr="00DA4098">
        <w:rPr>
          <w:rFonts w:eastAsia="Calibri"/>
        </w:rPr>
        <w:t xml:space="preserve">на предоставление субвенций муниципальным образованиям на выплату компенсации части родительской платы за содержание ребенка (присмотр и уход за ребенком) в муниципальных образовательных организациях, реализующих основную общеобразовательную программу дошкольного образования </w:t>
      </w:r>
      <w:r w:rsidR="00657A7C">
        <w:rPr>
          <w:rFonts w:eastAsia="Calibri"/>
        </w:rPr>
        <w:t xml:space="preserve">- </w:t>
      </w:r>
      <w:r w:rsidRPr="004F3943">
        <w:rPr>
          <w:rFonts w:eastAsia="Calibri"/>
        </w:rPr>
        <w:t>на 49,7 млн. руб</w:t>
      </w:r>
      <w:r w:rsidRPr="00DA4098">
        <w:rPr>
          <w:rFonts w:eastAsia="Calibri"/>
        </w:rPr>
        <w:t xml:space="preserve">. </w:t>
      </w:r>
      <w:r w:rsidR="004F3943">
        <w:rPr>
          <w:rFonts w:eastAsia="Calibri"/>
        </w:rPr>
        <w:t>(-</w:t>
      </w:r>
      <w:r w:rsidRPr="00DA4098">
        <w:rPr>
          <w:rFonts w:eastAsia="Calibri"/>
        </w:rPr>
        <w:t>33,3%</w:t>
      </w:r>
      <w:r w:rsidR="004F3943">
        <w:rPr>
          <w:rFonts w:eastAsia="Calibri"/>
        </w:rPr>
        <w:t>)</w:t>
      </w:r>
      <w:r w:rsidRPr="00657A7C">
        <w:rPr>
          <w:rFonts w:eastAsia="Calibri"/>
        </w:rPr>
        <w:t>;</w:t>
      </w:r>
    </w:p>
    <w:p w:rsidR="004F3943" w:rsidRDefault="00DA4098" w:rsidP="00DA4098">
      <w:pPr>
        <w:ind w:firstLine="709"/>
        <w:jc w:val="both"/>
      </w:pPr>
      <w:r w:rsidRPr="00DA4098">
        <w:rPr>
          <w:rFonts w:eastAsia="Calibri"/>
        </w:rPr>
        <w:t xml:space="preserve">на </w:t>
      </w:r>
      <w:r w:rsidRPr="00DA4098">
        <w:t xml:space="preserve">субвенции </w:t>
      </w:r>
      <w:r w:rsidRPr="00DA4098">
        <w:rPr>
          <w:rFonts w:eastAsia="Calibri"/>
        </w:rPr>
        <w:t xml:space="preserve">муниципальным образованиям </w:t>
      </w:r>
      <w:r w:rsidRPr="00DA4098">
        <w:t xml:space="preserve">на выплату пособий по опеке и попечительству </w:t>
      </w:r>
      <w:r w:rsidR="00657A7C">
        <w:t xml:space="preserve">- </w:t>
      </w:r>
      <w:r w:rsidRPr="004F3943">
        <w:t>на 56,4 млн. руб</w:t>
      </w:r>
      <w:r w:rsidRPr="00DA4098">
        <w:t>., или на 11,4%</w:t>
      </w:r>
      <w:r w:rsidR="004F3943">
        <w:t>;</w:t>
      </w:r>
      <w:r w:rsidRPr="00DA4098">
        <w:t xml:space="preserve"> </w:t>
      </w:r>
    </w:p>
    <w:p w:rsidR="00DA4098" w:rsidRPr="00DA4098" w:rsidRDefault="00DA4098" w:rsidP="00DA4098">
      <w:pPr>
        <w:ind w:firstLine="709"/>
        <w:jc w:val="both"/>
        <w:rPr>
          <w:rFonts w:eastAsia="Calibri"/>
        </w:rPr>
      </w:pPr>
      <w:r w:rsidRPr="00DA4098">
        <w:rPr>
          <w:rFonts w:eastAsia="Calibri"/>
        </w:rPr>
        <w:t xml:space="preserve">на </w:t>
      </w:r>
      <w:r w:rsidRPr="00DA4098">
        <w:t xml:space="preserve">субвенции </w:t>
      </w:r>
      <w:r w:rsidRPr="00DA4098">
        <w:rPr>
          <w:rFonts w:eastAsia="Calibri"/>
        </w:rPr>
        <w:t xml:space="preserve">муниципальным образованиям на </w:t>
      </w:r>
      <w:r w:rsidRPr="00DA4098">
        <w:t xml:space="preserve">вознаграждение за труд приемным родителям (патронатному воспитателю) и предоставление им мер социальной поддержки </w:t>
      </w:r>
      <w:r w:rsidR="007B6B07">
        <w:t xml:space="preserve">- </w:t>
      </w:r>
      <w:r w:rsidRPr="004F3943">
        <w:t>на 22,6 млн. руб.,</w:t>
      </w:r>
      <w:r w:rsidR="004F3943">
        <w:t xml:space="preserve"> или на 11,2 процента.</w:t>
      </w:r>
    </w:p>
    <w:p w:rsidR="00DA4098" w:rsidRPr="00DA4098" w:rsidRDefault="00DA4098" w:rsidP="00DA4098">
      <w:pPr>
        <w:ind w:firstLine="708"/>
        <w:jc w:val="both"/>
      </w:pPr>
      <w:r w:rsidRPr="00DA4098">
        <w:t xml:space="preserve">Также поправками предусмотрено увеличение ассигнований комитету социальной защиты населения на оплату труда его работников на 49 млн. руб. и работников подведомственных государственных учреждений на 131,1 млн. рублей. </w:t>
      </w:r>
    </w:p>
    <w:p w:rsidR="00DA4098" w:rsidRPr="00DA4098" w:rsidRDefault="00DA4098" w:rsidP="00DA4098">
      <w:pPr>
        <w:ind w:firstLine="709"/>
        <w:jc w:val="both"/>
      </w:pPr>
    </w:p>
    <w:p w:rsidR="00EA2C21" w:rsidRDefault="00EA2C21" w:rsidP="00EA2C21">
      <w:pPr>
        <w:jc w:val="center"/>
        <w:rPr>
          <w:b/>
          <w:i/>
          <w:u w:val="single"/>
        </w:rPr>
      </w:pPr>
      <w:r w:rsidRPr="002E1765">
        <w:rPr>
          <w:b/>
          <w:i/>
          <w:u w:val="single"/>
        </w:rPr>
        <w:t>Расходы по разделу 1100 «Физическая культура и спорт»</w:t>
      </w:r>
      <w:r>
        <w:rPr>
          <w:b/>
          <w:i/>
          <w:u w:val="single"/>
        </w:rPr>
        <w:t>.</w:t>
      </w:r>
    </w:p>
    <w:p w:rsidR="006F0E09" w:rsidRDefault="006F0E09" w:rsidP="00EA2C21">
      <w:pPr>
        <w:jc w:val="center"/>
      </w:pPr>
    </w:p>
    <w:p w:rsidR="00C430D8" w:rsidRPr="00C430D8" w:rsidRDefault="00C66E08" w:rsidP="00C430D8">
      <w:pPr>
        <w:ind w:firstLine="708"/>
        <w:jc w:val="both"/>
      </w:pPr>
      <w:r>
        <w:t xml:space="preserve">Первоначально представленным </w:t>
      </w:r>
      <w:r w:rsidR="00C430D8" w:rsidRPr="00C430D8">
        <w:t xml:space="preserve">законопроектом бюджетные ассигнования по разделу 1100 «Физическая культура и спорт» на 2018 год предусмотрены в сумме 1206,8 млн. руб., что больше ассигнований 2017 года на 153,6 млн. руб. (или на 14,6%). </w:t>
      </w:r>
    </w:p>
    <w:p w:rsidR="00C430D8" w:rsidRPr="00C430D8" w:rsidRDefault="00C430D8" w:rsidP="00C430D8">
      <w:pPr>
        <w:ind w:firstLine="720"/>
        <w:jc w:val="both"/>
      </w:pPr>
      <w:r w:rsidRPr="00C66E08">
        <w:rPr>
          <w:b/>
          <w:i/>
        </w:rPr>
        <w:t>По подразделу 1101 «Физическая культура»</w:t>
      </w:r>
      <w:r w:rsidRPr="00C430D8">
        <w:t xml:space="preserve"> ассигнования увеличены на 4,4 млн. руб. (на 52,6%) по государственной программе «Устойчивое развитие сельских территорий» на капитальные вложения в объекты спортивной инфраструктуры (межбюджетные трансферты муниципальным образованиям области). Средства в сумме 12,6 млн. руб. предусмотрены комитету сельского хозяйства на установку в 2018 году 4 универсальных спортивных площадок в </w:t>
      </w:r>
      <w:proofErr w:type="spellStart"/>
      <w:r w:rsidRPr="00C430D8">
        <w:t>Городищенском</w:t>
      </w:r>
      <w:proofErr w:type="spellEnd"/>
      <w:r w:rsidRPr="00C430D8">
        <w:t xml:space="preserve">, Нехаевском, Урюпинском, </w:t>
      </w:r>
      <w:proofErr w:type="spellStart"/>
      <w:r w:rsidRPr="00C430D8">
        <w:t>Серафимовичском</w:t>
      </w:r>
      <w:proofErr w:type="spellEnd"/>
      <w:r w:rsidRPr="00C430D8">
        <w:t xml:space="preserve"> муниципальных районах и на устройство покрытия существующей хоккейной площадки плоскостного сооружения в х</w:t>
      </w:r>
      <w:r w:rsidR="00C66E08" w:rsidRPr="00C430D8">
        <w:t xml:space="preserve">. </w:t>
      </w:r>
      <w:proofErr w:type="spellStart"/>
      <w:r w:rsidR="00C66E08" w:rsidRPr="00C430D8">
        <w:t>Б</w:t>
      </w:r>
      <w:r w:rsidRPr="00C430D8">
        <w:t>очаровский</w:t>
      </w:r>
      <w:proofErr w:type="spellEnd"/>
      <w:r w:rsidRPr="00C430D8">
        <w:t>.</w:t>
      </w:r>
    </w:p>
    <w:p w:rsidR="00C430D8" w:rsidRPr="00C430D8" w:rsidRDefault="00C430D8" w:rsidP="00C430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6E08">
        <w:rPr>
          <w:rFonts w:ascii="Times New Roman" w:hAnsi="Times New Roman" w:cs="Times New Roman"/>
          <w:b/>
          <w:i/>
          <w:sz w:val="24"/>
          <w:szCs w:val="24"/>
        </w:rPr>
        <w:t>По подразделу 1102 «Массовый спорт»</w:t>
      </w:r>
      <w:r w:rsidRPr="00C430D8">
        <w:rPr>
          <w:rFonts w:ascii="Times New Roman" w:hAnsi="Times New Roman" w:cs="Times New Roman"/>
          <w:sz w:val="24"/>
          <w:szCs w:val="24"/>
        </w:rPr>
        <w:t xml:space="preserve"> увеличение ассигнований предусматривается по расходам на капитальные вложения в объекты спортивной инфраструктуры на 145,5 млн. руб. (на 65,9%) в рамках государственной программы «Развитие физической культуры и </w:t>
      </w:r>
      <w:r w:rsidR="00C66E08">
        <w:rPr>
          <w:rFonts w:ascii="Times New Roman" w:hAnsi="Times New Roman" w:cs="Times New Roman"/>
          <w:sz w:val="24"/>
          <w:szCs w:val="24"/>
        </w:rPr>
        <w:t>спорта в Волгоградской области»</w:t>
      </w:r>
      <w:r w:rsidRPr="00C430D8">
        <w:rPr>
          <w:rFonts w:ascii="Times New Roman" w:hAnsi="Times New Roman" w:cs="Times New Roman"/>
          <w:sz w:val="24"/>
          <w:szCs w:val="24"/>
        </w:rPr>
        <w:t xml:space="preserve"> главным образом за счет увеличения ассигнований комитету строительства </w:t>
      </w:r>
      <w:r w:rsidR="00C66E08">
        <w:rPr>
          <w:rFonts w:ascii="Times New Roman" w:hAnsi="Times New Roman" w:cs="Times New Roman"/>
          <w:sz w:val="24"/>
          <w:szCs w:val="24"/>
        </w:rPr>
        <w:t xml:space="preserve">- </w:t>
      </w:r>
      <w:r w:rsidRPr="00C430D8">
        <w:rPr>
          <w:rFonts w:ascii="Times New Roman" w:hAnsi="Times New Roman" w:cs="Times New Roman"/>
          <w:sz w:val="24"/>
          <w:szCs w:val="24"/>
        </w:rPr>
        <w:t>на 177,6 млн. руб. (на 137,4%) и уменьшения ассигнований комитету физической культуры и спорта</w:t>
      </w:r>
      <w:r w:rsidR="00C66E08">
        <w:rPr>
          <w:rFonts w:ascii="Times New Roman" w:hAnsi="Times New Roman" w:cs="Times New Roman"/>
          <w:sz w:val="24"/>
          <w:szCs w:val="24"/>
        </w:rPr>
        <w:t xml:space="preserve"> -</w:t>
      </w:r>
      <w:r w:rsidRPr="00C430D8">
        <w:rPr>
          <w:rFonts w:ascii="Times New Roman" w:hAnsi="Times New Roman" w:cs="Times New Roman"/>
          <w:sz w:val="24"/>
          <w:szCs w:val="24"/>
        </w:rPr>
        <w:t xml:space="preserve"> на 32,1 млн</w:t>
      </w:r>
      <w:proofErr w:type="gramEnd"/>
      <w:r w:rsidRPr="00C430D8">
        <w:rPr>
          <w:rFonts w:ascii="Times New Roman" w:hAnsi="Times New Roman" w:cs="Times New Roman"/>
          <w:sz w:val="24"/>
          <w:szCs w:val="24"/>
        </w:rPr>
        <w:t>. руб. (</w:t>
      </w:r>
      <w:r w:rsidR="00C66E08">
        <w:rPr>
          <w:rFonts w:ascii="Times New Roman" w:hAnsi="Times New Roman" w:cs="Times New Roman"/>
          <w:sz w:val="24"/>
          <w:szCs w:val="24"/>
        </w:rPr>
        <w:t xml:space="preserve">на </w:t>
      </w:r>
      <w:r w:rsidRPr="00C430D8">
        <w:rPr>
          <w:rFonts w:ascii="Times New Roman" w:hAnsi="Times New Roman" w:cs="Times New Roman"/>
          <w:sz w:val="24"/>
          <w:szCs w:val="24"/>
        </w:rPr>
        <w:t>35%). В результате расходы на 2018 год по подразделу составят 366,4 млн. руб., в том числе:</w:t>
      </w:r>
    </w:p>
    <w:p w:rsidR="00C430D8" w:rsidRPr="00C430D8" w:rsidRDefault="00C430D8" w:rsidP="00C430D8">
      <w:pPr>
        <w:pStyle w:val="Default"/>
        <w:ind w:firstLine="708"/>
        <w:jc w:val="both"/>
        <w:rPr>
          <w:rFonts w:eastAsia="Times New Roman"/>
          <w:color w:val="auto"/>
        </w:rPr>
      </w:pPr>
      <w:proofErr w:type="gramStart"/>
      <w:r w:rsidRPr="00C430D8">
        <w:rPr>
          <w:rFonts w:eastAsia="Times New Roman"/>
          <w:color w:val="auto"/>
        </w:rPr>
        <w:t>-комитету строительства</w:t>
      </w:r>
      <w:r w:rsidR="00C66E08">
        <w:rPr>
          <w:rFonts w:eastAsia="Times New Roman"/>
          <w:color w:val="auto"/>
        </w:rPr>
        <w:t xml:space="preserve"> - </w:t>
      </w:r>
      <w:r w:rsidR="00C66E08" w:rsidRPr="00C430D8">
        <w:rPr>
          <w:rFonts w:eastAsia="Times New Roman"/>
          <w:color w:val="auto"/>
        </w:rPr>
        <w:t>306,9 млн. руб.</w:t>
      </w:r>
      <w:r w:rsidRPr="00C430D8">
        <w:rPr>
          <w:rFonts w:eastAsia="Times New Roman"/>
          <w:color w:val="auto"/>
        </w:rPr>
        <w:t xml:space="preserve">, из них 235 млн. руб. </w:t>
      </w:r>
      <w:r w:rsidR="00C66E08">
        <w:rPr>
          <w:rFonts w:eastAsia="Times New Roman"/>
          <w:color w:val="auto"/>
        </w:rPr>
        <w:t xml:space="preserve">- </w:t>
      </w:r>
      <w:r w:rsidRPr="00C430D8">
        <w:rPr>
          <w:rFonts w:eastAsia="Times New Roman"/>
          <w:color w:val="auto"/>
        </w:rPr>
        <w:t xml:space="preserve">на строительство универсальных спортивных залов в </w:t>
      </w:r>
      <w:proofErr w:type="spellStart"/>
      <w:r w:rsidRPr="00C430D8">
        <w:rPr>
          <w:rFonts w:eastAsia="Times New Roman"/>
          <w:color w:val="auto"/>
        </w:rPr>
        <w:t>Калачевском</w:t>
      </w:r>
      <w:proofErr w:type="spellEnd"/>
      <w:r w:rsidRPr="00C430D8">
        <w:rPr>
          <w:rFonts w:eastAsia="Times New Roman"/>
          <w:color w:val="auto"/>
        </w:rPr>
        <w:t xml:space="preserve"> и Николаевском муниципальных районах и завершение строительства физкультурно-оздоровительного центра в </w:t>
      </w:r>
      <w:proofErr w:type="spellStart"/>
      <w:r w:rsidRPr="00C430D8">
        <w:rPr>
          <w:rFonts w:eastAsia="Times New Roman"/>
          <w:color w:val="auto"/>
        </w:rPr>
        <w:t>Котельниковском</w:t>
      </w:r>
      <w:proofErr w:type="spellEnd"/>
      <w:r w:rsidRPr="00C430D8">
        <w:rPr>
          <w:rFonts w:eastAsia="Times New Roman"/>
          <w:color w:val="auto"/>
        </w:rPr>
        <w:t xml:space="preserve"> районе</w:t>
      </w:r>
      <w:r w:rsidR="00C66E08">
        <w:rPr>
          <w:rFonts w:eastAsia="Times New Roman"/>
          <w:color w:val="auto"/>
        </w:rPr>
        <w:t>;</w:t>
      </w:r>
      <w:r w:rsidRPr="00C430D8">
        <w:rPr>
          <w:rFonts w:eastAsia="Times New Roman"/>
          <w:color w:val="auto"/>
        </w:rPr>
        <w:t xml:space="preserve"> 71,9 млн. руб. </w:t>
      </w:r>
      <w:r w:rsidR="00C66E08">
        <w:rPr>
          <w:rFonts w:eastAsia="Times New Roman"/>
          <w:color w:val="auto"/>
        </w:rPr>
        <w:t xml:space="preserve">- </w:t>
      </w:r>
      <w:r w:rsidRPr="00C430D8">
        <w:rPr>
          <w:rFonts w:eastAsia="Times New Roman"/>
          <w:color w:val="auto"/>
        </w:rPr>
        <w:t xml:space="preserve">на завершение строительства физкультурно-оздоровительного комплекса в с. Александровка </w:t>
      </w:r>
      <w:proofErr w:type="spellStart"/>
      <w:r w:rsidRPr="00C430D8">
        <w:rPr>
          <w:rFonts w:eastAsia="Times New Roman"/>
          <w:color w:val="auto"/>
        </w:rPr>
        <w:t>Жирновского</w:t>
      </w:r>
      <w:proofErr w:type="spellEnd"/>
      <w:r w:rsidRPr="00C430D8">
        <w:rPr>
          <w:rFonts w:eastAsia="Times New Roman"/>
          <w:color w:val="auto"/>
        </w:rPr>
        <w:t xml:space="preserve"> муниципального района Волгоградской области, начатого в целях ликвидации последствий природных пожаров</w:t>
      </w:r>
      <w:r w:rsidR="00C66E08">
        <w:rPr>
          <w:rFonts w:eastAsia="Times New Roman"/>
          <w:color w:val="auto"/>
        </w:rPr>
        <w:t>;</w:t>
      </w:r>
      <w:proofErr w:type="gramEnd"/>
    </w:p>
    <w:p w:rsidR="00C430D8" w:rsidRPr="00C430D8" w:rsidRDefault="00C66E08" w:rsidP="00C430D8">
      <w:pPr>
        <w:pStyle w:val="Default"/>
        <w:ind w:firstLine="708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lastRenderedPageBreak/>
        <w:t>-</w:t>
      </w:r>
      <w:r w:rsidR="00C430D8" w:rsidRPr="00C430D8">
        <w:rPr>
          <w:rFonts w:eastAsia="Times New Roman"/>
          <w:color w:val="auto"/>
        </w:rPr>
        <w:t xml:space="preserve">комитету </w:t>
      </w:r>
      <w:r>
        <w:rPr>
          <w:rFonts w:eastAsia="Times New Roman"/>
          <w:color w:val="auto"/>
        </w:rPr>
        <w:t xml:space="preserve">физкультуры и </w:t>
      </w:r>
      <w:r w:rsidR="00C430D8" w:rsidRPr="00C430D8">
        <w:rPr>
          <w:rFonts w:eastAsia="Times New Roman"/>
          <w:color w:val="auto"/>
        </w:rPr>
        <w:t>спорта</w:t>
      </w:r>
      <w:r>
        <w:rPr>
          <w:rFonts w:eastAsia="Times New Roman"/>
          <w:color w:val="auto"/>
        </w:rPr>
        <w:t xml:space="preserve"> - </w:t>
      </w:r>
      <w:r w:rsidRPr="00C430D8">
        <w:rPr>
          <w:rFonts w:eastAsia="Times New Roman"/>
          <w:color w:val="auto"/>
        </w:rPr>
        <w:t>59,5 млн. руб.</w:t>
      </w:r>
      <w:r w:rsidR="00C430D8" w:rsidRPr="00C430D8">
        <w:rPr>
          <w:rFonts w:eastAsia="Times New Roman"/>
          <w:color w:val="auto"/>
        </w:rPr>
        <w:t xml:space="preserve">, из них 30,2 млн. руб. </w:t>
      </w:r>
      <w:r>
        <w:rPr>
          <w:rFonts w:eastAsia="Times New Roman"/>
          <w:color w:val="auto"/>
        </w:rPr>
        <w:t xml:space="preserve">- </w:t>
      </w:r>
      <w:r w:rsidR="00C430D8" w:rsidRPr="00C430D8">
        <w:rPr>
          <w:rFonts w:eastAsia="Times New Roman"/>
          <w:color w:val="auto"/>
        </w:rPr>
        <w:t>на строительство 10 многофункциональных игровых площадок (</w:t>
      </w:r>
      <w:proofErr w:type="spellStart"/>
      <w:r w:rsidR="00C430D8" w:rsidRPr="00C430D8">
        <w:rPr>
          <w:rFonts w:eastAsia="Times New Roman"/>
          <w:color w:val="auto"/>
        </w:rPr>
        <w:t>Суровикинскому</w:t>
      </w:r>
      <w:proofErr w:type="spellEnd"/>
      <w:r w:rsidR="00C430D8" w:rsidRPr="00C430D8">
        <w:rPr>
          <w:rFonts w:eastAsia="Times New Roman"/>
          <w:color w:val="auto"/>
        </w:rPr>
        <w:t xml:space="preserve">, </w:t>
      </w:r>
      <w:proofErr w:type="spellStart"/>
      <w:r w:rsidR="00C430D8" w:rsidRPr="00C430D8">
        <w:rPr>
          <w:rFonts w:eastAsia="Times New Roman"/>
          <w:color w:val="auto"/>
        </w:rPr>
        <w:t>Городищенскому</w:t>
      </w:r>
      <w:proofErr w:type="spellEnd"/>
      <w:r w:rsidR="00C430D8" w:rsidRPr="00C430D8">
        <w:rPr>
          <w:rFonts w:eastAsia="Times New Roman"/>
          <w:color w:val="auto"/>
        </w:rPr>
        <w:t xml:space="preserve">, </w:t>
      </w:r>
      <w:proofErr w:type="spellStart"/>
      <w:r w:rsidR="00C430D8" w:rsidRPr="00C430D8">
        <w:rPr>
          <w:rFonts w:eastAsia="Times New Roman"/>
          <w:color w:val="auto"/>
        </w:rPr>
        <w:t>Светлоярскому</w:t>
      </w:r>
      <w:proofErr w:type="spellEnd"/>
      <w:r w:rsidR="00C430D8" w:rsidRPr="00C430D8">
        <w:rPr>
          <w:rFonts w:eastAsia="Times New Roman"/>
          <w:color w:val="auto"/>
        </w:rPr>
        <w:t xml:space="preserve">, </w:t>
      </w:r>
      <w:proofErr w:type="spellStart"/>
      <w:r w:rsidR="00C430D8" w:rsidRPr="00C430D8">
        <w:rPr>
          <w:rFonts w:eastAsia="Times New Roman"/>
          <w:color w:val="auto"/>
        </w:rPr>
        <w:t>Серафимовичскому</w:t>
      </w:r>
      <w:proofErr w:type="spellEnd"/>
      <w:r w:rsidR="00C430D8" w:rsidRPr="00C430D8">
        <w:rPr>
          <w:rFonts w:eastAsia="Times New Roman"/>
          <w:color w:val="auto"/>
        </w:rPr>
        <w:t xml:space="preserve"> муниципальным районам и городским округам г</w:t>
      </w:r>
      <w:proofErr w:type="gramStart"/>
      <w:r w:rsidR="00C430D8" w:rsidRPr="00C430D8">
        <w:rPr>
          <w:rFonts w:eastAsia="Times New Roman"/>
          <w:color w:val="auto"/>
        </w:rPr>
        <w:t>.В</w:t>
      </w:r>
      <w:proofErr w:type="gramEnd"/>
      <w:r w:rsidR="00C430D8" w:rsidRPr="00C430D8">
        <w:rPr>
          <w:rFonts w:eastAsia="Times New Roman"/>
          <w:color w:val="auto"/>
        </w:rPr>
        <w:t>олгоград, г.Волжский, г.Михайловка), 29,</w:t>
      </w:r>
      <w:r>
        <w:rPr>
          <w:rFonts w:eastAsia="Times New Roman"/>
          <w:color w:val="auto"/>
        </w:rPr>
        <w:t>3</w:t>
      </w:r>
      <w:r w:rsidR="00C430D8" w:rsidRPr="00C430D8">
        <w:rPr>
          <w:rFonts w:eastAsia="Times New Roman"/>
          <w:color w:val="auto"/>
        </w:rPr>
        <w:t xml:space="preserve"> млн. руб. </w:t>
      </w:r>
      <w:r>
        <w:rPr>
          <w:rFonts w:eastAsia="Times New Roman"/>
          <w:color w:val="auto"/>
        </w:rPr>
        <w:t xml:space="preserve">- </w:t>
      </w:r>
      <w:r w:rsidR="00C430D8" w:rsidRPr="00C430D8">
        <w:rPr>
          <w:rFonts w:eastAsia="Times New Roman"/>
          <w:color w:val="auto"/>
        </w:rPr>
        <w:t>на обеспечение деятельности каз</w:t>
      </w:r>
      <w:r>
        <w:rPr>
          <w:rFonts w:eastAsia="Times New Roman"/>
          <w:color w:val="auto"/>
        </w:rPr>
        <w:t>е</w:t>
      </w:r>
      <w:r w:rsidR="00C430D8" w:rsidRPr="00C430D8">
        <w:rPr>
          <w:rFonts w:eastAsia="Times New Roman"/>
          <w:color w:val="auto"/>
        </w:rPr>
        <w:t>нных учреждений и предоставление субсидий бюджетным, автономным учреждениям и иным некоммерческим организациям.</w:t>
      </w:r>
    </w:p>
    <w:p w:rsidR="00C430D8" w:rsidRPr="00C430D8" w:rsidRDefault="00C430D8" w:rsidP="00C430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100">
        <w:rPr>
          <w:rFonts w:ascii="Times New Roman" w:hAnsi="Times New Roman" w:cs="Times New Roman"/>
          <w:b/>
          <w:i/>
          <w:sz w:val="24"/>
          <w:szCs w:val="24"/>
        </w:rPr>
        <w:t>По подразделу 1103 «Спорт высших достижений»</w:t>
      </w:r>
      <w:r w:rsidRPr="00C430D8">
        <w:rPr>
          <w:rFonts w:ascii="Times New Roman" w:hAnsi="Times New Roman" w:cs="Times New Roman"/>
          <w:sz w:val="24"/>
          <w:szCs w:val="24"/>
        </w:rPr>
        <w:t xml:space="preserve"> ассигнования увеличены на 22,8 млн. руб. (на 2,9%) по </w:t>
      </w:r>
      <w:r w:rsidR="00420100">
        <w:rPr>
          <w:rFonts w:ascii="Times New Roman" w:hAnsi="Times New Roman" w:cs="Times New Roman"/>
          <w:sz w:val="24"/>
          <w:szCs w:val="24"/>
        </w:rPr>
        <w:t xml:space="preserve">следующим </w:t>
      </w:r>
      <w:r w:rsidRPr="00C430D8">
        <w:rPr>
          <w:rFonts w:ascii="Times New Roman" w:hAnsi="Times New Roman" w:cs="Times New Roman"/>
          <w:sz w:val="24"/>
          <w:szCs w:val="24"/>
        </w:rPr>
        <w:t>причинам:</w:t>
      </w:r>
    </w:p>
    <w:p w:rsidR="00C430D8" w:rsidRPr="00C430D8" w:rsidRDefault="00420100" w:rsidP="00C430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430D8" w:rsidRPr="00C430D8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CD03A1">
        <w:rPr>
          <w:rFonts w:ascii="Times New Roman" w:hAnsi="Times New Roman" w:cs="Times New Roman"/>
          <w:sz w:val="24"/>
          <w:szCs w:val="24"/>
        </w:rPr>
        <w:t xml:space="preserve">перемещением расходов </w:t>
      </w:r>
      <w:r w:rsidR="00C430D8" w:rsidRPr="00C430D8">
        <w:rPr>
          <w:rFonts w:ascii="Times New Roman" w:hAnsi="Times New Roman" w:cs="Times New Roman"/>
          <w:sz w:val="24"/>
          <w:szCs w:val="24"/>
        </w:rPr>
        <w:t>государственных учреждений</w:t>
      </w:r>
      <w:r w:rsidR="00CD03A1">
        <w:rPr>
          <w:rFonts w:ascii="Times New Roman" w:hAnsi="Times New Roman" w:cs="Times New Roman"/>
          <w:sz w:val="24"/>
          <w:szCs w:val="24"/>
        </w:rPr>
        <w:t xml:space="preserve">, </w:t>
      </w:r>
      <w:r w:rsidR="00CD03A1" w:rsidRPr="00C430D8">
        <w:rPr>
          <w:rFonts w:ascii="Times New Roman" w:hAnsi="Times New Roman" w:cs="Times New Roman"/>
          <w:sz w:val="24"/>
          <w:szCs w:val="24"/>
        </w:rPr>
        <w:t xml:space="preserve">подведомственных комитету </w:t>
      </w:r>
      <w:r w:rsidR="00CD03A1">
        <w:rPr>
          <w:rFonts w:ascii="Times New Roman" w:hAnsi="Times New Roman" w:cs="Times New Roman"/>
          <w:sz w:val="24"/>
          <w:szCs w:val="24"/>
        </w:rPr>
        <w:t xml:space="preserve">физкультуры и </w:t>
      </w:r>
      <w:r w:rsidR="00CD03A1" w:rsidRPr="00C430D8">
        <w:rPr>
          <w:rFonts w:ascii="Times New Roman" w:hAnsi="Times New Roman" w:cs="Times New Roman"/>
          <w:sz w:val="24"/>
          <w:szCs w:val="24"/>
        </w:rPr>
        <w:t>спорта</w:t>
      </w:r>
      <w:r w:rsidR="00CD03A1">
        <w:rPr>
          <w:rFonts w:ascii="Times New Roman" w:hAnsi="Times New Roman" w:cs="Times New Roman"/>
          <w:sz w:val="24"/>
          <w:szCs w:val="24"/>
        </w:rPr>
        <w:t>,</w:t>
      </w:r>
      <w:r w:rsidR="00C430D8" w:rsidRPr="00C430D8">
        <w:rPr>
          <w:rFonts w:ascii="Times New Roman" w:hAnsi="Times New Roman" w:cs="Times New Roman"/>
          <w:sz w:val="24"/>
          <w:szCs w:val="24"/>
        </w:rPr>
        <w:t xml:space="preserve"> на реализацию программ спортивной подготовки </w:t>
      </w:r>
      <w:r w:rsidR="00CD03A1">
        <w:rPr>
          <w:rFonts w:ascii="Times New Roman" w:hAnsi="Times New Roman" w:cs="Times New Roman"/>
          <w:sz w:val="24"/>
          <w:szCs w:val="24"/>
        </w:rPr>
        <w:t xml:space="preserve">с </w:t>
      </w:r>
      <w:r w:rsidR="00CD03A1" w:rsidRPr="00C430D8">
        <w:rPr>
          <w:rFonts w:ascii="Times New Roman" w:hAnsi="Times New Roman" w:cs="Times New Roman"/>
          <w:sz w:val="24"/>
          <w:szCs w:val="24"/>
        </w:rPr>
        <w:t>подраздел</w:t>
      </w:r>
      <w:r w:rsidR="00CD03A1">
        <w:rPr>
          <w:rFonts w:ascii="Times New Roman" w:hAnsi="Times New Roman" w:cs="Times New Roman"/>
          <w:sz w:val="24"/>
          <w:szCs w:val="24"/>
        </w:rPr>
        <w:t>а</w:t>
      </w:r>
      <w:r w:rsidR="00CD03A1" w:rsidRPr="00C430D8">
        <w:rPr>
          <w:rFonts w:ascii="Times New Roman" w:hAnsi="Times New Roman" w:cs="Times New Roman"/>
          <w:sz w:val="24"/>
          <w:szCs w:val="24"/>
        </w:rPr>
        <w:t xml:space="preserve"> 0703 «Дополнительное образование детей»</w:t>
      </w:r>
      <w:r w:rsidR="00CD03A1">
        <w:rPr>
          <w:rFonts w:ascii="Times New Roman" w:hAnsi="Times New Roman" w:cs="Times New Roman"/>
          <w:sz w:val="24"/>
          <w:szCs w:val="24"/>
        </w:rPr>
        <w:t xml:space="preserve"> на раздел 1103 «Спорт высших достижений»</w:t>
      </w:r>
      <w:r w:rsidR="00C430D8" w:rsidRPr="00C430D8">
        <w:rPr>
          <w:rFonts w:ascii="Times New Roman" w:hAnsi="Times New Roman" w:cs="Times New Roman"/>
          <w:sz w:val="24"/>
          <w:szCs w:val="24"/>
        </w:rPr>
        <w:t xml:space="preserve"> </w:t>
      </w:r>
      <w:r w:rsidR="00CD03A1">
        <w:rPr>
          <w:rFonts w:ascii="Times New Roman" w:hAnsi="Times New Roman" w:cs="Times New Roman"/>
          <w:sz w:val="24"/>
          <w:szCs w:val="24"/>
        </w:rPr>
        <w:t>(</w:t>
      </w:r>
      <w:r w:rsidR="00C430D8" w:rsidRPr="00C430D8">
        <w:rPr>
          <w:rFonts w:ascii="Times New Roman" w:hAnsi="Times New Roman" w:cs="Times New Roman"/>
          <w:sz w:val="24"/>
          <w:szCs w:val="24"/>
        </w:rPr>
        <w:t>280,8 млн. руб.</w:t>
      </w:r>
      <w:r w:rsidR="00CD03A1">
        <w:rPr>
          <w:rFonts w:ascii="Times New Roman" w:hAnsi="Times New Roman" w:cs="Times New Roman"/>
          <w:sz w:val="24"/>
          <w:szCs w:val="24"/>
        </w:rPr>
        <w:t>).</w:t>
      </w:r>
      <w:r w:rsidR="00C430D8" w:rsidRPr="00C430D8">
        <w:rPr>
          <w:rFonts w:ascii="Times New Roman" w:hAnsi="Times New Roman" w:cs="Times New Roman"/>
          <w:sz w:val="24"/>
          <w:szCs w:val="24"/>
        </w:rPr>
        <w:t xml:space="preserve"> </w:t>
      </w:r>
      <w:r w:rsidR="003906E2">
        <w:rPr>
          <w:rFonts w:ascii="Times New Roman" w:hAnsi="Times New Roman" w:cs="Times New Roman"/>
          <w:sz w:val="24"/>
          <w:szCs w:val="24"/>
        </w:rPr>
        <w:t>О</w:t>
      </w:r>
      <w:r w:rsidR="00CD03A1">
        <w:rPr>
          <w:rFonts w:ascii="Times New Roman" w:hAnsi="Times New Roman" w:cs="Times New Roman"/>
          <w:sz w:val="24"/>
          <w:szCs w:val="24"/>
        </w:rPr>
        <w:t>снованием для такого перемещения явился</w:t>
      </w:r>
      <w:r w:rsidR="00C430D8" w:rsidRPr="00C430D8">
        <w:rPr>
          <w:rFonts w:ascii="Times New Roman" w:hAnsi="Times New Roman" w:cs="Times New Roman"/>
          <w:sz w:val="24"/>
          <w:szCs w:val="24"/>
        </w:rPr>
        <w:t xml:space="preserve"> приказ </w:t>
      </w:r>
      <w:proofErr w:type="spellStart"/>
      <w:r w:rsidR="00C430D8" w:rsidRPr="00C430D8">
        <w:rPr>
          <w:rFonts w:ascii="Times New Roman" w:hAnsi="Times New Roman" w:cs="Times New Roman"/>
          <w:sz w:val="24"/>
          <w:szCs w:val="24"/>
        </w:rPr>
        <w:t>Минспорта</w:t>
      </w:r>
      <w:proofErr w:type="spellEnd"/>
      <w:r w:rsidR="00C430D8" w:rsidRPr="00C430D8">
        <w:rPr>
          <w:rFonts w:ascii="Times New Roman" w:hAnsi="Times New Roman" w:cs="Times New Roman"/>
          <w:sz w:val="24"/>
          <w:szCs w:val="24"/>
        </w:rPr>
        <w:t xml:space="preserve"> Р</w:t>
      </w:r>
      <w:r w:rsidR="00CD03A1">
        <w:rPr>
          <w:rFonts w:ascii="Times New Roman" w:hAnsi="Times New Roman" w:cs="Times New Roman"/>
          <w:sz w:val="24"/>
          <w:szCs w:val="24"/>
        </w:rPr>
        <w:t>Ф</w:t>
      </w:r>
      <w:r w:rsidR="00C430D8" w:rsidRPr="00C430D8">
        <w:rPr>
          <w:rFonts w:ascii="Times New Roman" w:hAnsi="Times New Roman" w:cs="Times New Roman"/>
          <w:sz w:val="24"/>
          <w:szCs w:val="24"/>
        </w:rPr>
        <w:t xml:space="preserve"> от 30.10.2015 №999 «Об утверждении требований к обеспечению подготовки спортивного резерва для спортивных сборных команд РФ»;</w:t>
      </w:r>
    </w:p>
    <w:p w:rsidR="00C430D8" w:rsidRPr="00C430D8" w:rsidRDefault="00420100" w:rsidP="00C430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430D8" w:rsidRPr="00C430D8">
        <w:rPr>
          <w:rFonts w:ascii="Times New Roman" w:hAnsi="Times New Roman" w:cs="Times New Roman"/>
          <w:sz w:val="24"/>
          <w:szCs w:val="24"/>
        </w:rPr>
        <w:t>в связи с завершением мероприятий по подготовке и проведению чемпионата мира по футболу в 2018 году расходы комитета по подготовке и проведению матчей чемпионата мира по футболу 2018 года уменьшены на 258 млн. руб. или на 55,8 процента.</w:t>
      </w:r>
    </w:p>
    <w:p w:rsidR="00C430D8" w:rsidRDefault="00C430D8" w:rsidP="00EA2C21">
      <w:pPr>
        <w:jc w:val="center"/>
      </w:pPr>
    </w:p>
    <w:p w:rsidR="00EA2C21" w:rsidRPr="00C430D8" w:rsidRDefault="00EA2C21" w:rsidP="00EA2C21">
      <w:pPr>
        <w:jc w:val="center"/>
        <w:rPr>
          <w:b/>
          <w:i/>
          <w:u w:val="single"/>
        </w:rPr>
      </w:pPr>
      <w:r w:rsidRPr="00C430D8">
        <w:rPr>
          <w:b/>
          <w:i/>
          <w:u w:val="single"/>
        </w:rPr>
        <w:t>Расходы по разделу 1200 «Средства массовой информации</w:t>
      </w:r>
      <w:proofErr w:type="gramStart"/>
      <w:r w:rsidRPr="00C430D8">
        <w:rPr>
          <w:b/>
          <w:i/>
          <w:u w:val="single"/>
        </w:rPr>
        <w:t>»..</w:t>
      </w:r>
      <w:proofErr w:type="gramEnd"/>
    </w:p>
    <w:p w:rsidR="00262B93" w:rsidRDefault="00262B93" w:rsidP="00262B93">
      <w:pPr>
        <w:ind w:firstLine="709"/>
        <w:jc w:val="both"/>
      </w:pPr>
    </w:p>
    <w:p w:rsidR="009C16C1" w:rsidRPr="00B65026" w:rsidRDefault="009C16C1" w:rsidP="009C16C1">
      <w:pPr>
        <w:ind w:firstLine="720"/>
        <w:jc w:val="both"/>
      </w:pPr>
      <w:r>
        <w:t>Н</w:t>
      </w:r>
      <w:r w:rsidRPr="00B65026">
        <w:t>а 2018 год ассигнования</w:t>
      </w:r>
      <w:r>
        <w:t xml:space="preserve"> с учетом поправок</w:t>
      </w:r>
      <w:r w:rsidRPr="00B65026">
        <w:t xml:space="preserve"> предусмотрены в сумме </w:t>
      </w:r>
      <w:r>
        <w:t xml:space="preserve">118,1 </w:t>
      </w:r>
      <w:r w:rsidRPr="00B65026">
        <w:t xml:space="preserve">млн. руб., что </w:t>
      </w:r>
      <w:r w:rsidRPr="001517EC">
        <w:t xml:space="preserve">на 28,2% больше плановых ассигнований 2017 года. </w:t>
      </w:r>
      <w:proofErr w:type="gramStart"/>
      <w:r w:rsidRPr="001517EC">
        <w:t xml:space="preserve">Основное увеличение </w:t>
      </w:r>
      <w:r>
        <w:t xml:space="preserve">в размере </w:t>
      </w:r>
      <w:r w:rsidRPr="001517EC">
        <w:t>23 млн.</w:t>
      </w:r>
      <w:r>
        <w:t xml:space="preserve"> </w:t>
      </w:r>
      <w:r w:rsidRPr="001517EC">
        <w:t xml:space="preserve">руб. сложилось на </w:t>
      </w:r>
      <w:r>
        <w:t xml:space="preserve">финансовое </w:t>
      </w:r>
      <w:r w:rsidRPr="001517EC">
        <w:t>обеспечение реализации мероприятий ведомственной целевой программы «Реализация государственной информационной политики на территории Волгоградской области в сфере средств массовой информации и массовых коммуникаций, развития информационных ресурсов, печати, издательской, полиграфической деятельности, распространения печатной продукции» на 2016</w:t>
      </w:r>
      <w:r w:rsidR="00592CD0">
        <w:t>-</w:t>
      </w:r>
      <w:r w:rsidRPr="001517EC">
        <w:t>2018 годы на информирование населения о реализации приоритетных направлений</w:t>
      </w:r>
      <w:r>
        <w:t xml:space="preserve"> социально-экономического развития Волгоградской области.</w:t>
      </w:r>
      <w:proofErr w:type="gramEnd"/>
    </w:p>
    <w:p w:rsidR="009C16C1" w:rsidRPr="00B65026" w:rsidRDefault="009C16C1" w:rsidP="009C16C1">
      <w:pPr>
        <w:ind w:firstLine="709"/>
        <w:jc w:val="both"/>
      </w:pPr>
      <w:r w:rsidRPr="00B65026">
        <w:t xml:space="preserve">Расходы </w:t>
      </w:r>
      <w:r>
        <w:t xml:space="preserve">по </w:t>
      </w:r>
      <w:r w:rsidRPr="00B65026">
        <w:t>раздел</w:t>
      </w:r>
      <w:r>
        <w:t>у</w:t>
      </w:r>
      <w:r w:rsidRPr="00B65026">
        <w:t xml:space="preserve"> предусмотрены комитету по делам национальностей и казачества Волгоградской области на обеспечение деятельности редакции и издание газеты «Казачий </w:t>
      </w:r>
      <w:proofErr w:type="spellStart"/>
      <w:r w:rsidRPr="00B65026">
        <w:t>кругъ</w:t>
      </w:r>
      <w:proofErr w:type="spellEnd"/>
      <w:r w:rsidRPr="00B65026">
        <w:t>» (</w:t>
      </w:r>
      <w:r>
        <w:t>2,5</w:t>
      </w:r>
      <w:r w:rsidRPr="00B65026">
        <w:t xml:space="preserve"> млн. руб.) и комитету по делам территориальных образований, внутренней и информационной политики Волгоградской области:</w:t>
      </w:r>
    </w:p>
    <w:p w:rsidR="009C16C1" w:rsidRPr="00B65026" w:rsidRDefault="009C16C1" w:rsidP="009C16C1">
      <w:pPr>
        <w:autoSpaceDE w:val="0"/>
        <w:autoSpaceDN w:val="0"/>
        <w:adjustRightInd w:val="0"/>
        <w:ind w:firstLine="709"/>
        <w:jc w:val="both"/>
      </w:pPr>
      <w:r w:rsidRPr="00B65026">
        <w:t>-</w:t>
      </w:r>
      <w:r>
        <w:t>49</w:t>
      </w:r>
      <w:r w:rsidRPr="00B65026">
        <w:t xml:space="preserve"> млн. руб. по подразделу 1202 «Периодическая печать и издания» на субсидии бюджетам муниципальных районов и городских округов на </w:t>
      </w:r>
      <w:proofErr w:type="spellStart"/>
      <w:r w:rsidRPr="00B65026">
        <w:t>софинансирование</w:t>
      </w:r>
      <w:proofErr w:type="spellEnd"/>
      <w:r w:rsidRPr="00B65026">
        <w:t xml:space="preserve"> расходных обязательств, возникающих в связи с доведением до сведения жителей официальной информации и субсидии по возмещению расходов связанных с финансовым обеспечением официальных публикаций;</w:t>
      </w:r>
    </w:p>
    <w:p w:rsidR="009C16C1" w:rsidRDefault="009C16C1" w:rsidP="009C16C1">
      <w:pPr>
        <w:ind w:firstLine="709"/>
        <w:jc w:val="both"/>
      </w:pPr>
      <w:r w:rsidRPr="00B65026">
        <w:t>-66,6 млн. руб. по подразделу 1204 «Другие вопросы в области средств массовой информации»  на предоставление грантов средствам массовой информации.</w:t>
      </w:r>
    </w:p>
    <w:p w:rsidR="009C16C1" w:rsidRDefault="009C16C1" w:rsidP="009C16C1"/>
    <w:p w:rsidR="00EA2C21" w:rsidRPr="00574291" w:rsidRDefault="00EA2C21" w:rsidP="00EA2C21">
      <w:pPr>
        <w:jc w:val="center"/>
        <w:rPr>
          <w:b/>
          <w:i/>
          <w:u w:val="single"/>
        </w:rPr>
      </w:pPr>
      <w:r w:rsidRPr="00574291">
        <w:rPr>
          <w:b/>
          <w:i/>
          <w:u w:val="single"/>
        </w:rPr>
        <w:t>Расходы по разделу 1300 «Обслуживание государственного долга»</w:t>
      </w:r>
      <w:r>
        <w:rPr>
          <w:b/>
          <w:i/>
          <w:u w:val="single"/>
        </w:rPr>
        <w:t>.</w:t>
      </w:r>
    </w:p>
    <w:p w:rsidR="00EA2C21" w:rsidRDefault="00EA2C21" w:rsidP="00EA2C21">
      <w:pPr>
        <w:ind w:firstLine="720"/>
        <w:jc w:val="both"/>
      </w:pPr>
    </w:p>
    <w:p w:rsidR="00024DDE" w:rsidRPr="009C00DE" w:rsidRDefault="00024DDE" w:rsidP="00024DDE">
      <w:pPr>
        <w:ind w:firstLine="708"/>
        <w:jc w:val="both"/>
        <w:rPr>
          <w:color w:val="0070C0"/>
        </w:rPr>
      </w:pPr>
      <w:r w:rsidRPr="00562BE5">
        <w:t xml:space="preserve">Статьей 2 законопроекта предлагается утвердить объем расходов на обслуживание государственного долга Волгоградской области на 2018 год в сумме 3559,4 млн. руб., на 2019 год </w:t>
      </w:r>
      <w:r>
        <w:t>-</w:t>
      </w:r>
      <w:r w:rsidRPr="00562BE5">
        <w:t xml:space="preserve"> 4193,8 млн. руб., на 2020 год </w:t>
      </w:r>
      <w:r>
        <w:t>-</w:t>
      </w:r>
      <w:r w:rsidRPr="00562BE5">
        <w:t xml:space="preserve"> 4452,8 млн. рублей. </w:t>
      </w:r>
      <w:r w:rsidRPr="00163082">
        <w:t>По сравнению с 2017 годом (</w:t>
      </w:r>
      <w:r w:rsidR="001C3B36">
        <w:t>3855,5</w:t>
      </w:r>
      <w:r w:rsidRPr="00163082">
        <w:t xml:space="preserve"> млн. руб.) расходы на обслуживание государственного долга</w:t>
      </w:r>
      <w:r>
        <w:t xml:space="preserve"> в 2018 году</w:t>
      </w:r>
      <w:r w:rsidRPr="00163082">
        <w:t xml:space="preserve"> сократятся на </w:t>
      </w:r>
      <w:r w:rsidR="001C3B36">
        <w:t>296,1</w:t>
      </w:r>
      <w:r w:rsidRPr="00163082">
        <w:t xml:space="preserve"> млн. руб., или на </w:t>
      </w:r>
      <w:r w:rsidR="001C3B36">
        <w:t>7,7</w:t>
      </w:r>
      <w:r w:rsidRPr="00163082">
        <w:t xml:space="preserve"> процента. Сокращение обусловлено замещением в конце 2017 года кредитов коммерческ</w:t>
      </w:r>
      <w:r>
        <w:t>их банков бюджетными кредитами на</w:t>
      </w:r>
      <w:r w:rsidRPr="00163082">
        <w:t xml:space="preserve"> 15756,4 </w:t>
      </w:r>
      <w:r>
        <w:t>млн</w:t>
      </w:r>
      <w:r w:rsidRPr="00163082">
        <w:t>. руб</w:t>
      </w:r>
      <w:r>
        <w:t>лей</w:t>
      </w:r>
      <w:r w:rsidRPr="00163082">
        <w:t>.</w:t>
      </w:r>
      <w:r>
        <w:t xml:space="preserve"> Рост расходов на обслуживание государственного долга в последующие годы связан с увеличением в течение 2019 года госдолга по кредитам кредитных организаций на 7900 млн. руб., в 2020 году </w:t>
      </w:r>
      <w:r w:rsidR="009E7D9B">
        <w:t>-</w:t>
      </w:r>
      <w:r>
        <w:t xml:space="preserve"> увеличением долга по ценным бумагам на 3750 млн. рублей.</w:t>
      </w:r>
      <w:r w:rsidR="00F206E3">
        <w:t xml:space="preserve"> </w:t>
      </w:r>
      <w:proofErr w:type="gramStart"/>
      <w:r w:rsidR="00F206E3">
        <w:t xml:space="preserve">При этом в связи с вводимой на федеральном уровне политикой реструктуризации бюджетных кредитов и снижения выдачи новых, а также дополнительно предполагаемым замещением в 2017 году </w:t>
      </w:r>
      <w:r w:rsidR="00F206E3">
        <w:lastRenderedPageBreak/>
        <w:t>кредитов коммерческих банков</w:t>
      </w:r>
      <w:r w:rsidR="00F208B2">
        <w:t>, привлеченных Волгоградской областью,</w:t>
      </w:r>
      <w:r w:rsidR="00F206E3">
        <w:t xml:space="preserve"> бюджетными кредитами на 4532,1 млн. руб. </w:t>
      </w:r>
      <w:r w:rsidR="00F206E3" w:rsidRPr="00226E22">
        <w:rPr>
          <w:u w:val="single"/>
        </w:rPr>
        <w:t xml:space="preserve">расходы по обслуживанию государственного долга должны быть скорректированы в сторону </w:t>
      </w:r>
      <w:r w:rsidR="00F208B2" w:rsidRPr="00226E22">
        <w:rPr>
          <w:u w:val="single"/>
        </w:rPr>
        <w:t xml:space="preserve">их </w:t>
      </w:r>
      <w:r w:rsidR="00F206E3" w:rsidRPr="00226E22">
        <w:rPr>
          <w:u w:val="single"/>
        </w:rPr>
        <w:t>снижения</w:t>
      </w:r>
      <w:r w:rsidR="00F206E3">
        <w:t xml:space="preserve">. </w:t>
      </w:r>
      <w:proofErr w:type="gramEnd"/>
    </w:p>
    <w:p w:rsidR="00024DDE" w:rsidRDefault="00024DDE" w:rsidP="00024DDE">
      <w:pPr>
        <w:widowControl w:val="0"/>
        <w:ind w:firstLine="709"/>
        <w:jc w:val="both"/>
      </w:pPr>
    </w:p>
    <w:p w:rsidR="00367882" w:rsidRDefault="00EA2C21" w:rsidP="00EA2C21">
      <w:pPr>
        <w:ind w:firstLine="708"/>
        <w:jc w:val="center"/>
        <w:rPr>
          <w:b/>
          <w:i/>
        </w:rPr>
      </w:pPr>
      <w:r>
        <w:rPr>
          <w:b/>
          <w:i/>
        </w:rPr>
        <w:t>4</w:t>
      </w:r>
      <w:r w:rsidRPr="00054893">
        <w:rPr>
          <w:b/>
          <w:i/>
        </w:rPr>
        <w:t xml:space="preserve">. </w:t>
      </w:r>
      <w:r>
        <w:rPr>
          <w:b/>
          <w:i/>
        </w:rPr>
        <w:t xml:space="preserve">Государственные и ведомственные целевые программы, </w:t>
      </w:r>
    </w:p>
    <w:p w:rsidR="00EA2C21" w:rsidRDefault="00367882" w:rsidP="00EA2C21">
      <w:pPr>
        <w:ind w:firstLine="708"/>
        <w:jc w:val="center"/>
        <w:rPr>
          <w:b/>
          <w:i/>
        </w:rPr>
      </w:pPr>
      <w:proofErr w:type="gramStart"/>
      <w:r>
        <w:rPr>
          <w:b/>
          <w:i/>
        </w:rPr>
        <w:t>п</w:t>
      </w:r>
      <w:r w:rsidR="00EA2C21">
        <w:rPr>
          <w:b/>
          <w:i/>
        </w:rPr>
        <w:t>редусмотренные</w:t>
      </w:r>
      <w:proofErr w:type="gramEnd"/>
      <w:r>
        <w:rPr>
          <w:b/>
          <w:i/>
        </w:rPr>
        <w:t xml:space="preserve"> </w:t>
      </w:r>
      <w:r w:rsidR="00EA2C21">
        <w:rPr>
          <w:b/>
          <w:i/>
        </w:rPr>
        <w:t>к финансированию в 201</w:t>
      </w:r>
      <w:r w:rsidR="006F0E09">
        <w:rPr>
          <w:b/>
          <w:i/>
        </w:rPr>
        <w:t>8</w:t>
      </w:r>
      <w:r w:rsidR="00EA2C21">
        <w:rPr>
          <w:b/>
          <w:i/>
        </w:rPr>
        <w:t xml:space="preserve"> году.</w:t>
      </w:r>
      <w:r w:rsidR="00EA2C21" w:rsidRPr="00054893">
        <w:rPr>
          <w:b/>
          <w:i/>
        </w:rPr>
        <w:t xml:space="preserve"> </w:t>
      </w:r>
    </w:p>
    <w:p w:rsidR="00FE0FEE" w:rsidRDefault="00FE0FEE" w:rsidP="000A1855">
      <w:pPr>
        <w:ind w:firstLine="708"/>
        <w:jc w:val="both"/>
      </w:pPr>
    </w:p>
    <w:p w:rsidR="007A6AB7" w:rsidRPr="009062B4" w:rsidRDefault="007A6AB7" w:rsidP="007A6AB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9062B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Основными направлениями бюджетной политики Волгоградской области на 201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8</w:t>
      </w:r>
      <w:r w:rsidRPr="009062B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-20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20</w:t>
      </w:r>
      <w:r w:rsidRPr="009062B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годы одной из основных задач определено </w:t>
      </w:r>
      <w:r w:rsidRPr="009062B4">
        <w:rPr>
          <w:rFonts w:ascii="Times New Roman" w:eastAsiaTheme="minorHAnsi" w:hAnsi="Times New Roman" w:cs="Times New Roman"/>
          <w:b/>
          <w:bCs/>
          <w:i/>
          <w:sz w:val="24"/>
          <w:szCs w:val="24"/>
          <w:lang w:eastAsia="en-US"/>
        </w:rPr>
        <w:t>повышение эффективности государственного управления, в том числе за счет  повышения эффективности и результативности реализуемых в Волгоградской области государственных программ</w:t>
      </w:r>
      <w:r w:rsidRPr="009062B4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.</w:t>
      </w:r>
    </w:p>
    <w:p w:rsidR="007A6AB7" w:rsidRDefault="007A6AB7" w:rsidP="007A6AB7">
      <w:pPr>
        <w:ind w:firstLine="709"/>
        <w:jc w:val="both"/>
        <w:rPr>
          <w:rFonts w:eastAsia="Calibri"/>
          <w:lang w:eastAsia="en-US"/>
        </w:rPr>
      </w:pPr>
      <w:r w:rsidRPr="00F73BB4">
        <w:rPr>
          <w:rFonts w:eastAsiaTheme="minorHAnsi"/>
          <w:bCs/>
          <w:lang w:eastAsia="en-US"/>
        </w:rPr>
        <w:t xml:space="preserve">В соответствии со статьей 3 Федерального закона от 28.06.2014 №172-ФЗ «О стратегическом планировании в Российской Федерации» </w:t>
      </w:r>
      <w:r w:rsidRPr="00F73BB4">
        <w:rPr>
          <w:rFonts w:eastAsiaTheme="minorHAnsi"/>
          <w:bCs/>
          <w:u w:val="single"/>
          <w:lang w:eastAsia="en-US"/>
        </w:rPr>
        <w:t>госпрограмма является документом стратегического планирования</w:t>
      </w:r>
      <w:r w:rsidRPr="00F73BB4">
        <w:rPr>
          <w:rFonts w:eastAsiaTheme="minorHAnsi"/>
          <w:bCs/>
          <w:lang w:eastAsia="en-US"/>
        </w:rPr>
        <w:t xml:space="preserve">, </w:t>
      </w:r>
      <w:r w:rsidRPr="00F73BB4">
        <w:rPr>
          <w:rFonts w:eastAsia="Calibri"/>
          <w:lang w:eastAsia="en-US"/>
        </w:rPr>
        <w:t>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субъекта РФ</w:t>
      </w:r>
      <w:r>
        <w:rPr>
          <w:rFonts w:eastAsia="Calibri"/>
          <w:lang w:eastAsia="en-US"/>
        </w:rPr>
        <w:t>.</w:t>
      </w:r>
    </w:p>
    <w:p w:rsidR="007A6AB7" w:rsidRDefault="007A6AB7" w:rsidP="007A6AB7">
      <w:pPr>
        <w:ind w:firstLine="709"/>
        <w:jc w:val="both"/>
        <w:rPr>
          <w:rFonts w:eastAsia="Calibri"/>
          <w:lang w:eastAsia="en-US"/>
        </w:rPr>
      </w:pPr>
      <w:r>
        <w:rPr>
          <w:color w:val="000000"/>
        </w:rPr>
        <w:t>В</w:t>
      </w:r>
      <w:r w:rsidRPr="008A15AC">
        <w:rPr>
          <w:color w:val="000000"/>
        </w:rPr>
        <w:t xml:space="preserve"> соответствии с пунктом 3.1. </w:t>
      </w:r>
      <w:r w:rsidRPr="008A15AC">
        <w:t>Порядк</w:t>
      </w:r>
      <w:r>
        <w:t xml:space="preserve">а </w:t>
      </w:r>
      <w:r w:rsidRPr="008A15AC">
        <w:t>разработки, реализации и оценки эффективности реализации государственных программ Волгоградской области</w:t>
      </w:r>
      <w:r>
        <w:t>, утвержденного постановлением Правительства Волгоградской области от 27.08.2013 №423-п (далее Порядок 423-п),</w:t>
      </w:r>
      <w:r w:rsidRPr="008A15AC">
        <w:t xml:space="preserve"> </w:t>
      </w:r>
      <w:r>
        <w:t>р</w:t>
      </w:r>
      <w:r w:rsidRPr="008A15AC">
        <w:t xml:space="preserve">азработка государственных программ осуществляется на основании </w:t>
      </w:r>
      <w:r>
        <w:t>п</w:t>
      </w:r>
      <w:r w:rsidRPr="008A15AC">
        <w:t>еречня государственных программ, утверждаемого постановлением Администрации Волгоградской области.</w:t>
      </w:r>
      <w:r>
        <w:t xml:space="preserve"> Такой перечень утвержден постановлением Администрации Волгоградской области от 11.10.2016 №557-п (в редакции от 30.08.2017) и содержит 22 государственные программы. В соответствии с пунктом 6 постановления 557-п указанный перечень применяется к отношениям, возникающим при составлении областного бюджета на 2018 год и на плановый период 2019 и 2020 годов.</w:t>
      </w:r>
    </w:p>
    <w:p w:rsidR="007A6AB7" w:rsidRDefault="007A6AB7" w:rsidP="007A6AB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Следует отметить, что приложением 9 к законопроекту «</w:t>
      </w:r>
      <w:r w:rsidRPr="009B4BB7">
        <w:t>Распределение бюджетных ассигнований на реализацию государственных программ Волгоградской области на 2018 год и на плановый период 2019 и 2020 годов</w:t>
      </w:r>
      <w:r>
        <w:t>» к финансированию предусмотрена 21 государственная программа (отсутствует госпрограмма «</w:t>
      </w:r>
      <w:r>
        <w:rPr>
          <w:rFonts w:eastAsia="Calibri"/>
          <w:lang w:eastAsia="en-US"/>
        </w:rPr>
        <w:t>Развитие промышленности Волгоградской области и повышение ее конкурентоспособности»).</w:t>
      </w:r>
    </w:p>
    <w:p w:rsidR="007A6AB7" w:rsidRPr="00782FF9" w:rsidRDefault="007A6AB7" w:rsidP="007A6AB7">
      <w:pPr>
        <w:pStyle w:val="Style6"/>
        <w:widowControl/>
        <w:spacing w:line="228" w:lineRule="auto"/>
        <w:ind w:firstLine="709"/>
        <w:rPr>
          <w:rFonts w:eastAsia="Calibri"/>
          <w:lang w:eastAsia="en-US"/>
        </w:rPr>
      </w:pPr>
      <w:r w:rsidRPr="00782FF9">
        <w:rPr>
          <w:rFonts w:eastAsia="Calibri"/>
          <w:lang w:eastAsia="en-US"/>
        </w:rPr>
        <w:t>Из 21 госпрограммы, финансирование которых предусмотрено,</w:t>
      </w:r>
      <w:r w:rsidR="0030755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одна программа</w:t>
      </w:r>
      <w:r w:rsidRPr="00782FF9">
        <w:rPr>
          <w:rFonts w:eastAsia="Calibri"/>
          <w:lang w:eastAsia="en-US"/>
        </w:rPr>
        <w:t xml:space="preserve"> заканчивает сво</w:t>
      </w:r>
      <w:r>
        <w:rPr>
          <w:rFonts w:eastAsia="Calibri"/>
          <w:lang w:eastAsia="en-US"/>
        </w:rPr>
        <w:t>е</w:t>
      </w:r>
      <w:r w:rsidRPr="00782FF9">
        <w:rPr>
          <w:rFonts w:eastAsia="Calibri"/>
          <w:lang w:eastAsia="en-US"/>
        </w:rPr>
        <w:t xml:space="preserve"> действие в 2018 году, </w:t>
      </w:r>
      <w:r>
        <w:rPr>
          <w:rFonts w:eastAsia="Calibri"/>
          <w:lang w:eastAsia="en-US"/>
        </w:rPr>
        <w:t>семь</w:t>
      </w:r>
      <w:r w:rsidRPr="00782FF9">
        <w:rPr>
          <w:rFonts w:eastAsia="Calibri"/>
          <w:lang w:eastAsia="en-US"/>
        </w:rPr>
        <w:t xml:space="preserve"> начинают реализовываться с 2018 года.</w:t>
      </w:r>
    </w:p>
    <w:p w:rsidR="007A6AB7" w:rsidRPr="00782FF9" w:rsidRDefault="007A6AB7" w:rsidP="007A6AB7">
      <w:pPr>
        <w:pStyle w:val="Default"/>
        <w:ind w:firstLine="709"/>
        <w:jc w:val="both"/>
        <w:rPr>
          <w:color w:val="auto"/>
        </w:rPr>
      </w:pPr>
      <w:r w:rsidRPr="00782FF9">
        <w:rPr>
          <w:color w:val="auto"/>
        </w:rPr>
        <w:t xml:space="preserve">В этой связи </w:t>
      </w:r>
      <w:r>
        <w:rPr>
          <w:color w:val="auto"/>
        </w:rPr>
        <w:t>следует</w:t>
      </w:r>
      <w:r w:rsidRPr="00782FF9">
        <w:rPr>
          <w:color w:val="auto"/>
        </w:rPr>
        <w:t xml:space="preserve"> отметить, что информаци</w:t>
      </w:r>
      <w:r w:rsidR="00307550">
        <w:rPr>
          <w:color w:val="auto"/>
        </w:rPr>
        <w:t>я</w:t>
      </w:r>
      <w:r w:rsidRPr="00782FF9">
        <w:rPr>
          <w:color w:val="auto"/>
        </w:rPr>
        <w:t xml:space="preserve"> о приостановлении действия или отмене двух гос</w:t>
      </w:r>
      <w:r w:rsidR="00307550">
        <w:rPr>
          <w:color w:val="auto"/>
        </w:rPr>
        <w:t xml:space="preserve">ударственных </w:t>
      </w:r>
      <w:r w:rsidRPr="00782FF9">
        <w:rPr>
          <w:color w:val="auto"/>
        </w:rPr>
        <w:t>программ, действие которых должно заканчиваться в 2018 году</w:t>
      </w:r>
      <w:r w:rsidR="00307550">
        <w:rPr>
          <w:color w:val="auto"/>
        </w:rPr>
        <w:t>, не представлена</w:t>
      </w:r>
      <w:r w:rsidRPr="00782FF9">
        <w:rPr>
          <w:color w:val="auto"/>
        </w:rPr>
        <w:t>:</w:t>
      </w:r>
    </w:p>
    <w:p w:rsidR="007A6AB7" w:rsidRPr="00782FF9" w:rsidRDefault="007A6AB7" w:rsidP="007A6AB7">
      <w:pPr>
        <w:pStyle w:val="Default"/>
        <w:ind w:firstLine="709"/>
        <w:jc w:val="both"/>
        <w:rPr>
          <w:color w:val="auto"/>
        </w:rPr>
      </w:pPr>
      <w:r w:rsidRPr="00782FF9">
        <w:rPr>
          <w:color w:val="auto"/>
        </w:rPr>
        <w:t>-</w:t>
      </w:r>
      <w:r w:rsidR="00307550">
        <w:rPr>
          <w:color w:val="auto"/>
        </w:rPr>
        <w:t>«</w:t>
      </w:r>
      <w:r w:rsidRPr="00782FF9">
        <w:rPr>
          <w:color w:val="auto"/>
        </w:rPr>
        <w:t>Использование результатов космической деятельности в интересах социально-экономического и инновационного развития Волгоградской области на 2014-2018 годы</w:t>
      </w:r>
      <w:r w:rsidR="00307550">
        <w:rPr>
          <w:color w:val="auto"/>
        </w:rPr>
        <w:t>»</w:t>
      </w:r>
      <w:r w:rsidRPr="00782FF9">
        <w:rPr>
          <w:color w:val="auto"/>
        </w:rPr>
        <w:t>;</w:t>
      </w:r>
    </w:p>
    <w:p w:rsidR="007A6AB7" w:rsidRPr="00782FF9" w:rsidRDefault="007A6AB7" w:rsidP="007A6AB7">
      <w:pPr>
        <w:pStyle w:val="Default"/>
        <w:ind w:firstLine="709"/>
        <w:jc w:val="both"/>
        <w:rPr>
          <w:color w:val="auto"/>
        </w:rPr>
      </w:pPr>
      <w:r w:rsidRPr="00782FF9">
        <w:rPr>
          <w:color w:val="auto"/>
        </w:rPr>
        <w:t>-</w:t>
      </w:r>
      <w:r w:rsidR="00307550">
        <w:rPr>
          <w:color w:val="auto"/>
        </w:rPr>
        <w:t>«</w:t>
      </w:r>
      <w:r w:rsidRPr="00782FF9">
        <w:rPr>
          <w:color w:val="auto"/>
        </w:rPr>
        <w:t>Организация отдыха и оздоровления детей, проживающих в Волгоградской области на 2016-2018 годы</w:t>
      </w:r>
      <w:r w:rsidR="00307550">
        <w:rPr>
          <w:color w:val="auto"/>
        </w:rPr>
        <w:t>»</w:t>
      </w:r>
      <w:r w:rsidRPr="00782FF9">
        <w:rPr>
          <w:color w:val="auto"/>
        </w:rPr>
        <w:t>.</w:t>
      </w:r>
    </w:p>
    <w:p w:rsidR="007A6AB7" w:rsidRPr="00782FF9" w:rsidRDefault="007A6AB7" w:rsidP="007A6AB7">
      <w:pPr>
        <w:pStyle w:val="af4"/>
        <w:spacing w:before="0" w:beforeAutospacing="0" w:after="0"/>
        <w:ind w:firstLine="709"/>
        <w:jc w:val="both"/>
        <w:rPr>
          <w:rFonts w:eastAsia="Calibri"/>
          <w:lang w:eastAsia="en-US"/>
        </w:rPr>
      </w:pPr>
      <w:proofErr w:type="gramStart"/>
      <w:r w:rsidRPr="00782FF9">
        <w:rPr>
          <w:rFonts w:eastAsia="Calibri"/>
          <w:lang w:eastAsia="en-US"/>
        </w:rPr>
        <w:t xml:space="preserve">И если последняя программа содержится в перечне нормативных правовых актов Волгоградской области, требующих внесения изменений или подлежащих отмене в связи с принятием проекта закона Волгоградской области </w:t>
      </w:r>
      <w:r w:rsidR="00307550">
        <w:rPr>
          <w:rFonts w:eastAsia="Calibri"/>
          <w:lang w:eastAsia="en-US"/>
        </w:rPr>
        <w:t>«</w:t>
      </w:r>
      <w:r w:rsidRPr="00782FF9">
        <w:rPr>
          <w:rFonts w:eastAsia="Calibri"/>
          <w:lang w:eastAsia="en-US"/>
        </w:rPr>
        <w:t>Об областном бюджете на 2018 год и плановый период 2019 и 2020 годов</w:t>
      </w:r>
      <w:r w:rsidR="00307550">
        <w:rPr>
          <w:rFonts w:eastAsia="Calibri"/>
          <w:lang w:eastAsia="en-US"/>
        </w:rPr>
        <w:t>»</w:t>
      </w:r>
      <w:r w:rsidRPr="00782FF9">
        <w:rPr>
          <w:rFonts w:eastAsia="Calibri"/>
          <w:lang w:eastAsia="en-US"/>
        </w:rPr>
        <w:t>, представленном с законопроектом, то госпрограмма «Использование результатов космической деятельности в интересах социально-экономического и инновационного развития Волгоградской области на 2014-2018 годы» в</w:t>
      </w:r>
      <w:proofErr w:type="gramEnd"/>
      <w:r w:rsidRPr="00782FF9">
        <w:rPr>
          <w:rFonts w:eastAsia="Calibri"/>
          <w:lang w:eastAsia="en-US"/>
        </w:rPr>
        <w:t xml:space="preserve"> </w:t>
      </w:r>
      <w:proofErr w:type="gramStart"/>
      <w:r w:rsidRPr="00782FF9">
        <w:rPr>
          <w:rFonts w:eastAsia="Calibri"/>
          <w:lang w:eastAsia="en-US"/>
        </w:rPr>
        <w:t>нем</w:t>
      </w:r>
      <w:proofErr w:type="gramEnd"/>
      <w:r w:rsidRPr="00782FF9">
        <w:rPr>
          <w:rFonts w:eastAsia="Calibri"/>
          <w:lang w:eastAsia="en-US"/>
        </w:rPr>
        <w:t xml:space="preserve"> отсутствует.</w:t>
      </w:r>
    </w:p>
    <w:p w:rsidR="001F5323" w:rsidRPr="00C430D8" w:rsidRDefault="001F5323" w:rsidP="001F5323">
      <w:pPr>
        <w:autoSpaceDE w:val="0"/>
        <w:autoSpaceDN w:val="0"/>
        <w:adjustRightInd w:val="0"/>
        <w:ind w:firstLine="709"/>
        <w:jc w:val="both"/>
      </w:pPr>
      <w:r w:rsidRPr="00C430D8">
        <w:t xml:space="preserve">В связи с окончанием в 2018 году действия государственной программы «Развитие физической культуры и спорта в Волгоградской области» расходы комитета физической культуры и спорта на 2019 и 2020 годы предусмотрены </w:t>
      </w:r>
      <w:r>
        <w:t>как</w:t>
      </w:r>
      <w:r w:rsidRPr="00C430D8">
        <w:t xml:space="preserve"> </w:t>
      </w:r>
      <w:proofErr w:type="spellStart"/>
      <w:r w:rsidRPr="00C430D8">
        <w:t>непрограммны</w:t>
      </w:r>
      <w:r>
        <w:t>е</w:t>
      </w:r>
      <w:proofErr w:type="spellEnd"/>
      <w:r w:rsidRPr="00C430D8">
        <w:t xml:space="preserve">. При этом наличие утвержденной госпрограммы субъекта РФ в сфере физической культуры и спорта является </w:t>
      </w:r>
      <w:r>
        <w:t xml:space="preserve">обязательным </w:t>
      </w:r>
      <w:r w:rsidRPr="00C430D8">
        <w:t xml:space="preserve">условием получения средств федерального бюджета в соответствии с Федеральной государственной программой «Развитие физической культуры и спорта в Российской Федерации на 2016-2020 годы», утвержденной </w:t>
      </w:r>
      <w:r>
        <w:t>п</w:t>
      </w:r>
      <w:r w:rsidRPr="00C430D8">
        <w:t xml:space="preserve">остановлением Правительства </w:t>
      </w:r>
      <w:r w:rsidRPr="00C430D8">
        <w:lastRenderedPageBreak/>
        <w:t>РФ от 21.01.2015 №30. Объ</w:t>
      </w:r>
      <w:r>
        <w:t>е</w:t>
      </w:r>
      <w:r w:rsidRPr="00C430D8">
        <w:t xml:space="preserve">м ежегодно получаемых в 2016-2017 годах комитетом </w:t>
      </w:r>
      <w:r>
        <w:t xml:space="preserve">физкультуры и </w:t>
      </w:r>
      <w:r w:rsidRPr="00C430D8">
        <w:t xml:space="preserve">спорта федеральных средств составляет порядка 40 млн. рублей.  </w:t>
      </w:r>
    </w:p>
    <w:p w:rsidR="007A6AB7" w:rsidRDefault="007A6AB7" w:rsidP="007A6AB7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С учетом поправок</w:t>
      </w:r>
      <w:r w:rsidR="00307550">
        <w:rPr>
          <w:color w:val="auto"/>
        </w:rPr>
        <w:t>, внесенных Администрацией Волгоградской области</w:t>
      </w:r>
      <w:r>
        <w:rPr>
          <w:color w:val="auto"/>
        </w:rPr>
        <w:t xml:space="preserve"> к </w:t>
      </w:r>
      <w:r w:rsidR="00307550">
        <w:rPr>
          <w:color w:val="auto"/>
        </w:rPr>
        <w:t>1</w:t>
      </w:r>
      <w:r>
        <w:rPr>
          <w:color w:val="auto"/>
        </w:rPr>
        <w:t xml:space="preserve"> чтению</w:t>
      </w:r>
      <w:r w:rsidR="00AB1C63">
        <w:rPr>
          <w:color w:val="auto"/>
        </w:rPr>
        <w:t xml:space="preserve"> </w:t>
      </w:r>
      <w:r w:rsidR="00AB1C63" w:rsidRPr="00AB1C63">
        <w:rPr>
          <w:b/>
          <w:i/>
          <w:color w:val="auto"/>
          <w:u w:val="single"/>
        </w:rPr>
        <w:t>(приложение №2)</w:t>
      </w:r>
      <w:r w:rsidR="00537B7A">
        <w:rPr>
          <w:color w:val="auto"/>
        </w:rPr>
        <w:t>,</w:t>
      </w:r>
      <w:r>
        <w:rPr>
          <w:color w:val="auto"/>
        </w:rPr>
        <w:t xml:space="preserve"> структура расходов областного бюджета выглядит следующим образом:</w:t>
      </w:r>
    </w:p>
    <w:p w:rsidR="007A6AB7" w:rsidRDefault="007A6AB7" w:rsidP="007A6AB7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-государственные программы – 74307,9 млн. руб., или 89% от общего объема расходов (в 2017 году с учетом поправок 91,8%);</w:t>
      </w:r>
    </w:p>
    <w:p w:rsidR="007A6AB7" w:rsidRDefault="007A6AB7" w:rsidP="007A6AB7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-ведомственные целевые программы – 1137,4 млн. руб., или 1,4% от общего объема (в 2017 году с учетом поправок 1,1%);</w:t>
      </w:r>
    </w:p>
    <w:p w:rsidR="007A6AB7" w:rsidRPr="00782FF9" w:rsidRDefault="007A6AB7" w:rsidP="007A6AB7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</w:t>
      </w:r>
      <w:proofErr w:type="spellStart"/>
      <w:r>
        <w:rPr>
          <w:color w:val="auto"/>
        </w:rPr>
        <w:t>непрограммные</w:t>
      </w:r>
      <w:proofErr w:type="spellEnd"/>
      <w:r>
        <w:rPr>
          <w:color w:val="auto"/>
        </w:rPr>
        <w:t xml:space="preserve"> расходы – 8025,4 млн., руб., или 9,6% от общего объема (в 2017 году с учетом поправок 7,1 процента).</w:t>
      </w:r>
    </w:p>
    <w:p w:rsidR="007A6AB7" w:rsidRDefault="007A6AB7" w:rsidP="007A6AB7">
      <w:pPr>
        <w:pStyle w:val="af4"/>
        <w:spacing w:before="0" w:beforeAutospacing="0" w:after="0"/>
        <w:ind w:firstLine="851"/>
        <w:jc w:val="both"/>
      </w:pPr>
      <w:r w:rsidRPr="00292613">
        <w:t>Согласно пояснительной записке</w:t>
      </w:r>
      <w:r w:rsidR="00537B7A">
        <w:t xml:space="preserve"> к законопроекту</w:t>
      </w:r>
      <w:r w:rsidRPr="00292613">
        <w:t xml:space="preserve"> проект</w:t>
      </w:r>
      <w:r w:rsidR="00537B7A">
        <w:t xml:space="preserve"> бюджета</w:t>
      </w:r>
      <w:r w:rsidRPr="00292613">
        <w:t xml:space="preserve"> составлен в программном формате. В соответствии со </w:t>
      </w:r>
      <w:r w:rsidRPr="000F57DF">
        <w:t xml:space="preserve">статьей 184.2 БК РФ  в случае утверждения законом (решением) о бюджете распределения бюджетных ассигнований по государственным (муниципальным) программам и </w:t>
      </w:r>
      <w:proofErr w:type="spellStart"/>
      <w:r w:rsidRPr="000F57DF">
        <w:t>непрограммным</w:t>
      </w:r>
      <w:proofErr w:type="spellEnd"/>
      <w:r w:rsidRPr="000F57DF">
        <w:t xml:space="preserve"> направлениям деятельности к проекту закона (решения) о бюджете представляются паспорта государственных (муниципальных) программ (проекты изменений в указанные паспорта)</w:t>
      </w:r>
      <w:r w:rsidRPr="003465BB">
        <w:t>. В составе документов к законопроекту паспорта госпрограмм</w:t>
      </w:r>
      <w:r w:rsidR="00537B7A">
        <w:t xml:space="preserve"> </w:t>
      </w:r>
      <w:r w:rsidR="00537B7A" w:rsidRPr="003465BB">
        <w:t>представлены</w:t>
      </w:r>
      <w:r w:rsidRPr="003465BB">
        <w:t xml:space="preserve">. </w:t>
      </w:r>
    </w:p>
    <w:p w:rsidR="007A6AB7" w:rsidRPr="00292613" w:rsidRDefault="007A6AB7" w:rsidP="007A6AB7">
      <w:pPr>
        <w:pStyle w:val="af4"/>
        <w:spacing w:before="0" w:beforeAutospacing="0" w:after="0"/>
        <w:ind w:firstLine="851"/>
        <w:jc w:val="both"/>
      </w:pPr>
      <w:proofErr w:type="gramStart"/>
      <w:r>
        <w:t xml:space="preserve">Учитывая, что в </w:t>
      </w:r>
      <w:r w:rsidR="00537B7A">
        <w:t>п</w:t>
      </w:r>
      <w:r w:rsidRPr="00292613">
        <w:t>еречень</w:t>
      </w:r>
      <w:r>
        <w:t xml:space="preserve"> </w:t>
      </w:r>
      <w:r w:rsidRPr="00292613">
        <w:t xml:space="preserve">нормативных правовых актов Волгоградской области, требующих внесения изменений или подлежащих отмене в связи с принятием проекта закона Волгоградской области </w:t>
      </w:r>
      <w:r w:rsidR="00537B7A">
        <w:t>«</w:t>
      </w:r>
      <w:r w:rsidRPr="00292613">
        <w:t>Об областном бюджете на 2018 год и плановый период 2019 и 2020 годов</w:t>
      </w:r>
      <w:r w:rsidR="00537B7A">
        <w:t>»,</w:t>
      </w:r>
      <w:r>
        <w:t xml:space="preserve"> включены практически все госпрограммы (за исключением госпрограммы «</w:t>
      </w:r>
      <w:r w:rsidRPr="00782FF9">
        <w:rPr>
          <w:rFonts w:eastAsia="Calibri"/>
          <w:lang w:eastAsia="en-US"/>
        </w:rPr>
        <w:t>Использование результатов космической деятельности в интересах социально-экономического и инновационного развития Волгоградской области на 2014-2018 годы</w:t>
      </w:r>
      <w:r w:rsidR="00537B7A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), проводить анализ</w:t>
      </w:r>
      <w:proofErr w:type="gramEnd"/>
      <w:r>
        <w:rPr>
          <w:rFonts w:eastAsia="Calibri"/>
          <w:lang w:eastAsia="en-US"/>
        </w:rPr>
        <w:t xml:space="preserve"> потребности в финансовых ресурсах, определенной самими госпрограммами либо представленными паспортами, </w:t>
      </w:r>
      <w:r w:rsidR="008D344B">
        <w:rPr>
          <w:rFonts w:eastAsia="Calibri"/>
          <w:lang w:eastAsia="en-US"/>
        </w:rPr>
        <w:t xml:space="preserve">в сравнении </w:t>
      </w:r>
      <w:r>
        <w:rPr>
          <w:rFonts w:eastAsia="Calibri"/>
          <w:lang w:eastAsia="en-US"/>
        </w:rPr>
        <w:t>с бюджетными проектировками нецелесообразно.</w:t>
      </w:r>
    </w:p>
    <w:p w:rsidR="007A6AB7" w:rsidRPr="00AB1C63" w:rsidRDefault="007A6AB7" w:rsidP="007A6AB7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proofErr w:type="gramStart"/>
      <w:r>
        <w:t>Несмотря на то, что  основными направлениями бюджетной политики Волгоградской области на 2018-2010 годы заявлено, что «</w:t>
      </w:r>
      <w:r w:rsidRPr="00CA4038">
        <w:t>приоритетность задач позволит сократить риск «размывания ресурсов», обеспечив достижение основных задач и стратегических целей государственных</w:t>
      </w:r>
      <w:r>
        <w:t xml:space="preserve"> программ Волгоградской области» можно сделать вывод, </w:t>
      </w:r>
      <w:r w:rsidRPr="00AB1C63">
        <w:t xml:space="preserve">что  </w:t>
      </w:r>
      <w:r w:rsidRPr="00AB1C63">
        <w:rPr>
          <w:b/>
          <w:i/>
        </w:rPr>
        <w:t>законопроект, а также материалы и документы, представленные одновременно с ним, не дают взаимоувязанную и комплексную оценку достижения приоритетов и целей государственной политики региона</w:t>
      </w:r>
      <w:proofErr w:type="gramEnd"/>
      <w:r w:rsidRPr="00AB1C63">
        <w:rPr>
          <w:b/>
          <w:i/>
        </w:rPr>
        <w:t xml:space="preserve"> в 2018</w:t>
      </w:r>
      <w:r w:rsidR="008D344B" w:rsidRPr="00AB1C63">
        <w:rPr>
          <w:b/>
          <w:i/>
        </w:rPr>
        <w:t>-</w:t>
      </w:r>
      <w:r w:rsidRPr="00AB1C63">
        <w:rPr>
          <w:b/>
          <w:i/>
        </w:rPr>
        <w:t>2020 годах.</w:t>
      </w:r>
    </w:p>
    <w:p w:rsidR="0060103C" w:rsidRDefault="0060103C" w:rsidP="000A1855">
      <w:pPr>
        <w:ind w:firstLine="708"/>
        <w:jc w:val="both"/>
      </w:pPr>
    </w:p>
    <w:p w:rsidR="00F9799D" w:rsidRPr="00D70A87" w:rsidRDefault="00C23F48" w:rsidP="00024DDE">
      <w:pPr>
        <w:ind w:firstLine="708"/>
        <w:jc w:val="center"/>
        <w:rPr>
          <w:b/>
          <w:i/>
        </w:rPr>
      </w:pPr>
      <w:r>
        <w:rPr>
          <w:b/>
          <w:i/>
        </w:rPr>
        <w:t>5</w:t>
      </w:r>
      <w:r w:rsidR="00EA2C21" w:rsidRPr="00054893">
        <w:rPr>
          <w:b/>
          <w:i/>
        </w:rPr>
        <w:t>. Программы государственных внутренних заимствований Волгоградской области, программы государственных гарантий</w:t>
      </w:r>
      <w:r>
        <w:rPr>
          <w:b/>
          <w:i/>
        </w:rPr>
        <w:t xml:space="preserve"> на 201</w:t>
      </w:r>
      <w:r w:rsidR="006F0E09">
        <w:rPr>
          <w:b/>
          <w:i/>
        </w:rPr>
        <w:t>8-2020</w:t>
      </w:r>
      <w:r>
        <w:rPr>
          <w:b/>
          <w:i/>
        </w:rPr>
        <w:t xml:space="preserve"> год</w:t>
      </w:r>
      <w:r w:rsidR="006F0E09">
        <w:rPr>
          <w:b/>
          <w:i/>
        </w:rPr>
        <w:t>ы</w:t>
      </w:r>
      <w:r w:rsidR="00EA2C21">
        <w:rPr>
          <w:b/>
          <w:i/>
        </w:rPr>
        <w:t>.</w:t>
      </w:r>
      <w:r w:rsidR="00024DDE">
        <w:rPr>
          <w:b/>
          <w:i/>
        </w:rPr>
        <w:t xml:space="preserve"> </w:t>
      </w:r>
      <w:r w:rsidR="00A85498">
        <w:rPr>
          <w:b/>
          <w:i/>
        </w:rPr>
        <w:t xml:space="preserve"> </w:t>
      </w:r>
      <w:r w:rsidR="00703ABF">
        <w:rPr>
          <w:b/>
          <w:i/>
        </w:rPr>
        <w:t xml:space="preserve">  </w:t>
      </w:r>
      <w:r w:rsidR="00F9799D" w:rsidRPr="00D70A87">
        <w:rPr>
          <w:b/>
          <w:i/>
        </w:rPr>
        <w:t>Бюджетные кредиты муниципальным образованиям Волгоградской области</w:t>
      </w:r>
    </w:p>
    <w:p w:rsidR="003B08CC" w:rsidRDefault="003B08CC" w:rsidP="00F9799D">
      <w:pPr>
        <w:widowControl w:val="0"/>
        <w:ind w:firstLine="709"/>
        <w:jc w:val="both"/>
      </w:pPr>
    </w:p>
    <w:p w:rsidR="00024DDE" w:rsidRPr="00AC48D4" w:rsidRDefault="00024DDE" w:rsidP="00024DDE">
      <w:pPr>
        <w:tabs>
          <w:tab w:val="left" w:pos="1035"/>
        </w:tabs>
        <w:ind w:firstLine="720"/>
        <w:jc w:val="both"/>
      </w:pPr>
      <w:r w:rsidRPr="009C00DE">
        <w:t xml:space="preserve">Программа государственных внутренних заимствований Волгоградской области на 2018 год и на плановый период 2019 и 2020 годов представлена в приложении 23 к </w:t>
      </w:r>
      <w:r w:rsidRPr="00AC48D4">
        <w:t>законопроекту.</w:t>
      </w:r>
    </w:p>
    <w:p w:rsidR="00024DDE" w:rsidRPr="00AC48D4" w:rsidRDefault="00024DDE" w:rsidP="00024DDE">
      <w:pPr>
        <w:tabs>
          <w:tab w:val="left" w:pos="0"/>
        </w:tabs>
        <w:ind w:firstLine="720"/>
        <w:jc w:val="both"/>
      </w:pPr>
      <w:r w:rsidRPr="00AC48D4">
        <w:t>В 2018-2020 годах заимствования планируется привлекать на погашение ранее принятых обязатель</w:t>
      </w:r>
      <w:proofErr w:type="gramStart"/>
      <w:r w:rsidRPr="00AC48D4">
        <w:t>ств в св</w:t>
      </w:r>
      <w:proofErr w:type="gramEnd"/>
      <w:r w:rsidRPr="00AC48D4">
        <w:t xml:space="preserve">язи с </w:t>
      </w:r>
      <w:proofErr w:type="spellStart"/>
      <w:r w:rsidRPr="00AC48D4">
        <w:t>бездефицитностью</w:t>
      </w:r>
      <w:proofErr w:type="spellEnd"/>
      <w:r w:rsidRPr="00AC48D4">
        <w:t xml:space="preserve"> областного бюджета.</w:t>
      </w:r>
    </w:p>
    <w:p w:rsidR="00024DDE" w:rsidRDefault="00024DDE" w:rsidP="00024DDE">
      <w:pPr>
        <w:tabs>
          <w:tab w:val="left" w:pos="1035"/>
        </w:tabs>
        <w:ind w:firstLine="720"/>
        <w:jc w:val="both"/>
      </w:pPr>
      <w:r w:rsidRPr="00AC48D4">
        <w:t>В целом показатели объемов привлечения и погашения по всем видам заимствований в 2018-2020 годах приведены в следующей таблице.</w:t>
      </w:r>
    </w:p>
    <w:p w:rsidR="007900D2" w:rsidRPr="00AC48D4" w:rsidRDefault="007900D2" w:rsidP="00024DDE">
      <w:pPr>
        <w:tabs>
          <w:tab w:val="left" w:pos="1035"/>
        </w:tabs>
        <w:ind w:firstLine="720"/>
        <w:jc w:val="both"/>
      </w:pPr>
    </w:p>
    <w:tbl>
      <w:tblPr>
        <w:tblW w:w="8341" w:type="dxa"/>
        <w:tblInd w:w="8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881"/>
        <w:gridCol w:w="1805"/>
        <w:gridCol w:w="1276"/>
        <w:gridCol w:w="1123"/>
        <w:gridCol w:w="1133"/>
        <w:gridCol w:w="1123"/>
      </w:tblGrid>
      <w:tr w:rsidR="00024DDE" w:rsidRPr="00A95921" w:rsidTr="00A95921">
        <w:trPr>
          <w:trHeight w:val="300"/>
        </w:trPr>
        <w:tc>
          <w:tcPr>
            <w:tcW w:w="1881" w:type="dxa"/>
            <w:vMerge w:val="restart"/>
            <w:tcBorders>
              <w:top w:val="double" w:sz="4" w:space="0" w:color="auto"/>
              <w:bottom w:val="single" w:sz="6" w:space="0" w:color="auto"/>
            </w:tcBorders>
          </w:tcPr>
          <w:p w:rsidR="00024DDE" w:rsidRPr="00A95921" w:rsidRDefault="00024DDE" w:rsidP="007A110C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Показатель</w:t>
            </w:r>
          </w:p>
        </w:tc>
        <w:tc>
          <w:tcPr>
            <w:tcW w:w="1805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24DDE" w:rsidRPr="00A95921" w:rsidRDefault="00024DDE" w:rsidP="007A110C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2018 год</w:t>
            </w:r>
          </w:p>
        </w:tc>
        <w:tc>
          <w:tcPr>
            <w:tcW w:w="2399" w:type="dxa"/>
            <w:gridSpan w:val="2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24DDE" w:rsidRPr="00A95921" w:rsidRDefault="00024DDE" w:rsidP="007A110C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2019 год</w:t>
            </w:r>
          </w:p>
        </w:tc>
        <w:tc>
          <w:tcPr>
            <w:tcW w:w="2256" w:type="dxa"/>
            <w:gridSpan w:val="2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024DDE" w:rsidRPr="00A95921" w:rsidRDefault="00024DDE" w:rsidP="007A110C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2020 год</w:t>
            </w:r>
          </w:p>
        </w:tc>
      </w:tr>
      <w:tr w:rsidR="00024DDE" w:rsidRPr="00A95921" w:rsidTr="00A95921">
        <w:trPr>
          <w:trHeight w:val="300"/>
        </w:trPr>
        <w:tc>
          <w:tcPr>
            <w:tcW w:w="1881" w:type="dxa"/>
            <w:vMerge/>
            <w:tcBorders>
              <w:top w:val="single" w:sz="6" w:space="0" w:color="auto"/>
              <w:bottom w:val="double" w:sz="4" w:space="0" w:color="auto"/>
            </w:tcBorders>
          </w:tcPr>
          <w:p w:rsidR="00024DDE" w:rsidRPr="00A95921" w:rsidRDefault="00024DDE" w:rsidP="007A11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24DDE" w:rsidRPr="00A95921" w:rsidRDefault="00024DDE" w:rsidP="007A110C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млн. руб.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24DDE" w:rsidRPr="00A95921" w:rsidRDefault="00024DDE" w:rsidP="007A110C">
            <w:pPr>
              <w:ind w:left="-108"/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млн. руб.</w:t>
            </w:r>
          </w:p>
        </w:tc>
        <w:tc>
          <w:tcPr>
            <w:tcW w:w="1123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24DDE" w:rsidRPr="00A95921" w:rsidRDefault="00024DDE" w:rsidP="007A110C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динамка</w:t>
            </w:r>
          </w:p>
        </w:tc>
        <w:tc>
          <w:tcPr>
            <w:tcW w:w="1133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24DDE" w:rsidRPr="00A95921" w:rsidRDefault="00024DDE" w:rsidP="007A110C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млн. руб.</w:t>
            </w:r>
          </w:p>
        </w:tc>
        <w:tc>
          <w:tcPr>
            <w:tcW w:w="1123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24DDE" w:rsidRPr="00A95921" w:rsidRDefault="00024DDE" w:rsidP="007A110C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динамика</w:t>
            </w:r>
          </w:p>
        </w:tc>
      </w:tr>
      <w:tr w:rsidR="00024DDE" w:rsidRPr="00A95921" w:rsidTr="00A95921">
        <w:trPr>
          <w:trHeight w:val="300"/>
        </w:trPr>
        <w:tc>
          <w:tcPr>
            <w:tcW w:w="1881" w:type="dxa"/>
            <w:tcBorders>
              <w:top w:val="double" w:sz="4" w:space="0" w:color="auto"/>
            </w:tcBorders>
          </w:tcPr>
          <w:p w:rsidR="00024DDE" w:rsidRPr="00A95921" w:rsidRDefault="00024DDE" w:rsidP="007A110C">
            <w:pPr>
              <w:jc w:val="both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Привлечение</w:t>
            </w:r>
          </w:p>
        </w:tc>
        <w:tc>
          <w:tcPr>
            <w:tcW w:w="1805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24DDE" w:rsidRPr="00A95921" w:rsidRDefault="00024DDE" w:rsidP="00A95921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15 500,0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24DDE" w:rsidRPr="00A95921" w:rsidRDefault="00024DDE" w:rsidP="00A95921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27 500,0</w:t>
            </w:r>
          </w:p>
        </w:tc>
        <w:tc>
          <w:tcPr>
            <w:tcW w:w="1123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24DDE" w:rsidRPr="00A95921" w:rsidRDefault="00024DDE" w:rsidP="00A95921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177,4%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24DDE" w:rsidRPr="00A95921" w:rsidRDefault="00024DDE" w:rsidP="00A95921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24 900,0</w:t>
            </w:r>
          </w:p>
        </w:tc>
        <w:tc>
          <w:tcPr>
            <w:tcW w:w="1123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024DDE" w:rsidRPr="00A95921" w:rsidRDefault="00024DDE" w:rsidP="00A95921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90,6%</w:t>
            </w:r>
          </w:p>
        </w:tc>
      </w:tr>
      <w:tr w:rsidR="00024DDE" w:rsidRPr="00A95921" w:rsidTr="00A95921">
        <w:trPr>
          <w:trHeight w:val="300"/>
        </w:trPr>
        <w:tc>
          <w:tcPr>
            <w:tcW w:w="1881" w:type="dxa"/>
          </w:tcPr>
          <w:p w:rsidR="00024DDE" w:rsidRPr="00A95921" w:rsidRDefault="00024DDE" w:rsidP="007A110C">
            <w:pPr>
              <w:jc w:val="both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 xml:space="preserve">Погашение 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024DDE" w:rsidRPr="00A95921" w:rsidRDefault="00024DDE" w:rsidP="00A95921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15 540,0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4DDE" w:rsidRPr="00A95921" w:rsidRDefault="00024DDE" w:rsidP="00A95921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27 552,4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24DDE" w:rsidRPr="00A95921" w:rsidRDefault="00024DDE" w:rsidP="00A95921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177,3%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024DDE" w:rsidRPr="00A95921" w:rsidRDefault="00024DDE" w:rsidP="00A95921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24 993,6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24DDE" w:rsidRPr="00A95921" w:rsidRDefault="00024DDE" w:rsidP="00A95921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90,7%</w:t>
            </w:r>
          </w:p>
        </w:tc>
      </w:tr>
      <w:tr w:rsidR="00024DDE" w:rsidRPr="00A95921" w:rsidTr="00A95921">
        <w:trPr>
          <w:trHeight w:val="300"/>
        </w:trPr>
        <w:tc>
          <w:tcPr>
            <w:tcW w:w="1881" w:type="dxa"/>
          </w:tcPr>
          <w:p w:rsidR="00024DDE" w:rsidRPr="00A95921" w:rsidRDefault="00024DDE" w:rsidP="007A110C">
            <w:pPr>
              <w:jc w:val="both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 xml:space="preserve">Разница 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:rsidR="00024DDE" w:rsidRPr="00A95921" w:rsidRDefault="00024DDE" w:rsidP="00A95921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-40,0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4DDE" w:rsidRPr="00A95921" w:rsidRDefault="00024DDE" w:rsidP="00A95921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-52,4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24DDE" w:rsidRPr="00A95921" w:rsidRDefault="00A95921" w:rsidP="00A9592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024DDE" w:rsidRPr="00A95921" w:rsidRDefault="00024DDE" w:rsidP="00A95921">
            <w:pPr>
              <w:jc w:val="center"/>
              <w:rPr>
                <w:sz w:val="20"/>
                <w:szCs w:val="20"/>
              </w:rPr>
            </w:pPr>
            <w:r w:rsidRPr="00A95921">
              <w:rPr>
                <w:sz w:val="20"/>
                <w:szCs w:val="20"/>
              </w:rPr>
              <w:t>-93,6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24DDE" w:rsidRPr="00A95921" w:rsidRDefault="00A95921" w:rsidP="00A9592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</w:tr>
    </w:tbl>
    <w:p w:rsidR="009076C4" w:rsidRDefault="009076C4" w:rsidP="00024DDE">
      <w:pPr>
        <w:tabs>
          <w:tab w:val="left" w:pos="1035"/>
        </w:tabs>
        <w:ind w:firstLine="720"/>
        <w:jc w:val="both"/>
      </w:pPr>
    </w:p>
    <w:p w:rsidR="00024DDE" w:rsidRPr="00AC48D4" w:rsidRDefault="00024DDE" w:rsidP="00024DDE">
      <w:pPr>
        <w:tabs>
          <w:tab w:val="left" w:pos="1035"/>
        </w:tabs>
        <w:ind w:firstLine="720"/>
        <w:jc w:val="both"/>
      </w:pPr>
      <w:r w:rsidRPr="00A27126">
        <w:t xml:space="preserve">Как видно из представленных данных, привлечение заимствований в 2019 году значительно превысит уровень 2018 года </w:t>
      </w:r>
      <w:r w:rsidR="00372EB1">
        <w:t>-</w:t>
      </w:r>
      <w:r w:rsidRPr="00A27126">
        <w:t xml:space="preserve"> планируется рост на 77,4 процента. Данное </w:t>
      </w:r>
      <w:r w:rsidRPr="00A27126">
        <w:lastRenderedPageBreak/>
        <w:t>обстоятельство обусловлено необходимостью погашения значительного объема обязательств, в том числе по бюджетному кредиту 2017 год</w:t>
      </w:r>
      <w:r>
        <w:t>а</w:t>
      </w:r>
      <w:r w:rsidRPr="00A27126">
        <w:t xml:space="preserve"> на сумму 11 млрд. рублей. В 2020 году сниж</w:t>
      </w:r>
      <w:r>
        <w:t>ение объемов заимствований</w:t>
      </w:r>
      <w:r w:rsidRPr="00A27126">
        <w:t xml:space="preserve"> </w:t>
      </w:r>
      <w:r w:rsidRPr="00AC48D4">
        <w:t>обусловлено сокращением необходимости погашения имеющихся обязательств.</w:t>
      </w:r>
    </w:p>
    <w:p w:rsidR="00024DDE" w:rsidRDefault="00024DDE" w:rsidP="00024DDE">
      <w:pPr>
        <w:tabs>
          <w:tab w:val="left" w:pos="0"/>
        </w:tabs>
        <w:ind w:firstLine="720"/>
        <w:jc w:val="both"/>
      </w:pPr>
      <w:r w:rsidRPr="00AC48D4">
        <w:t>Изменение структуры заимствований в 201</w:t>
      </w:r>
      <w:r>
        <w:t>8</w:t>
      </w:r>
      <w:r w:rsidRPr="00AC48D4">
        <w:t>-2020 годах представлено следующей диаграммой.</w:t>
      </w:r>
    </w:p>
    <w:p w:rsidR="009076C4" w:rsidRPr="00AC48D4" w:rsidRDefault="009076C4" w:rsidP="00024DDE">
      <w:pPr>
        <w:tabs>
          <w:tab w:val="left" w:pos="0"/>
        </w:tabs>
        <w:ind w:firstLine="720"/>
        <w:jc w:val="both"/>
      </w:pPr>
    </w:p>
    <w:p w:rsidR="00024DDE" w:rsidRPr="007470AE" w:rsidRDefault="00024DDE" w:rsidP="00024DDE">
      <w:pPr>
        <w:tabs>
          <w:tab w:val="left" w:pos="1035"/>
        </w:tabs>
        <w:ind w:firstLine="284"/>
        <w:jc w:val="both"/>
        <w:rPr>
          <w:color w:val="0070C0"/>
        </w:rPr>
      </w:pPr>
      <w:r w:rsidRPr="007470AE">
        <w:rPr>
          <w:noProof/>
          <w:color w:val="0070C0"/>
        </w:rPr>
        <w:drawing>
          <wp:inline distT="0" distB="0" distL="0" distR="0">
            <wp:extent cx="5788025" cy="240665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076C4" w:rsidRDefault="009076C4" w:rsidP="00024DDE">
      <w:pPr>
        <w:tabs>
          <w:tab w:val="left" w:pos="1035"/>
        </w:tabs>
        <w:ind w:firstLine="720"/>
        <w:jc w:val="both"/>
      </w:pPr>
    </w:p>
    <w:p w:rsidR="00024DDE" w:rsidRPr="002C087D" w:rsidRDefault="00024DDE" w:rsidP="00024DDE">
      <w:pPr>
        <w:tabs>
          <w:tab w:val="left" w:pos="1035"/>
        </w:tabs>
        <w:ind w:firstLine="720"/>
        <w:jc w:val="both"/>
      </w:pPr>
      <w:r w:rsidRPr="002C087D">
        <w:t>Как видно из диаграммы, в 2018-2020 годах</w:t>
      </w:r>
      <w:r w:rsidR="00372EB1">
        <w:t>,</w:t>
      </w:r>
      <w:r w:rsidRPr="002C087D">
        <w:t xml:space="preserve"> как и в предыдущие годы</w:t>
      </w:r>
      <w:r w:rsidR="00372EB1">
        <w:t>,</w:t>
      </w:r>
      <w:r w:rsidRPr="002C087D">
        <w:t xml:space="preserve"> значительная часть привлекаемых средств </w:t>
      </w:r>
      <w:r w:rsidR="00372EB1">
        <w:t>-</w:t>
      </w:r>
      <w:r w:rsidRPr="002C087D">
        <w:t xml:space="preserve"> кредиты коммерческих банков, доля которых составит от 67,7% в 2018 году до 59,8% в 2020 году. Привлечение средств от выпуска ценных бумаг в 2018 году не планируется, бюджетные кредиты в 2018 году составят 32,3% от общего объема привлекаемых заимствований. В 2019 году государственные ценные бумаги и бюджетные кредиты составят по 18,2%, в 2020 году – по 20,1 процента.</w:t>
      </w:r>
    </w:p>
    <w:p w:rsidR="00024DDE" w:rsidRDefault="00024DDE" w:rsidP="00024DDE">
      <w:pPr>
        <w:tabs>
          <w:tab w:val="left" w:pos="1035"/>
        </w:tabs>
        <w:ind w:firstLine="720"/>
        <w:jc w:val="both"/>
      </w:pPr>
      <w:r w:rsidRPr="002C087D">
        <w:t xml:space="preserve">В соответствии с рекомендациями Минфина России от 26.05.2014 №06-03-05/25362 по реализации субъектами </w:t>
      </w:r>
      <w:r>
        <w:t xml:space="preserve">РФ </w:t>
      </w:r>
      <w:r w:rsidRPr="002C087D">
        <w:t>планов мероприятий по сокращению государственного долга среди прочего в состав источников</w:t>
      </w:r>
      <w:r w:rsidRPr="00A42C8E">
        <w:t xml:space="preserve"> финансирования дефицита бюджета </w:t>
      </w:r>
      <w:r w:rsidR="00372EB1" w:rsidRPr="002C087D">
        <w:t>рекомендовано включать</w:t>
      </w:r>
      <w:r w:rsidR="00372EB1" w:rsidRPr="00A42C8E">
        <w:t xml:space="preserve"> </w:t>
      </w:r>
      <w:r w:rsidRPr="00A42C8E">
        <w:t xml:space="preserve">привлечение бюджетных кредитов </w:t>
      </w:r>
      <w:r w:rsidRPr="00372EB1">
        <w:rPr>
          <w:u w:val="single"/>
        </w:rPr>
        <w:t>после принятия соответствующего решения о его предоставлении</w:t>
      </w:r>
      <w:r w:rsidRPr="00A42C8E">
        <w:t>. В связи с этим</w:t>
      </w:r>
      <w:r w:rsidR="00372EB1">
        <w:t xml:space="preserve"> в</w:t>
      </w:r>
      <w:r w:rsidRPr="00A42C8E">
        <w:t xml:space="preserve"> </w:t>
      </w:r>
      <w:r w:rsidR="00372EB1">
        <w:t xml:space="preserve">законопроекте на </w:t>
      </w:r>
      <w:r w:rsidRPr="00A42C8E">
        <w:t>2018-2020 год</w:t>
      </w:r>
      <w:r w:rsidR="00372EB1">
        <w:t>ы</w:t>
      </w:r>
      <w:r w:rsidRPr="00A42C8E">
        <w:t xml:space="preserve"> </w:t>
      </w:r>
      <w:r w:rsidR="00372EB1">
        <w:t>запл</w:t>
      </w:r>
      <w:r w:rsidRPr="00A42C8E">
        <w:t xml:space="preserve">анировано привлечение бюджетных кредитов </w:t>
      </w:r>
      <w:r w:rsidR="00372EB1">
        <w:t xml:space="preserve">только </w:t>
      </w:r>
      <w:r w:rsidRPr="00A42C8E">
        <w:t xml:space="preserve">по 5000 млн. руб. </w:t>
      </w:r>
      <w:r w:rsidR="00372EB1">
        <w:t xml:space="preserve">ежегодно </w:t>
      </w:r>
      <w:r w:rsidRPr="00A42C8E">
        <w:t>на пополнение остатков средств на счетах бюджетов.</w:t>
      </w:r>
    </w:p>
    <w:p w:rsidR="00392BD7" w:rsidRPr="00A42C8E" w:rsidRDefault="00392BD7" w:rsidP="00024DDE">
      <w:pPr>
        <w:tabs>
          <w:tab w:val="left" w:pos="1035"/>
        </w:tabs>
        <w:ind w:firstLine="720"/>
        <w:jc w:val="both"/>
      </w:pPr>
      <w:r>
        <w:t xml:space="preserve">Следует отметить, что </w:t>
      </w:r>
      <w:r w:rsidRPr="00392BD7">
        <w:rPr>
          <w:u w:val="single"/>
        </w:rPr>
        <w:t>программа заимствований на 2018-2020 годы с высокой долей вероятности будет скорректирована.</w:t>
      </w:r>
      <w:r>
        <w:t xml:space="preserve"> По заявлению Президента РФ на заседании Президиума Госсовета</w:t>
      </w:r>
      <w:r w:rsidR="00394FF4">
        <w:t>,</w:t>
      </w:r>
      <w:r>
        <w:t xml:space="preserve"> с 01.01.2018 в России будет запущена программа реструктуризации бюджетных кредитов регионов, рассчитанная как минимум на семь лет. При этом для отдельных регионов программа может стать «еще более льготной» и может быть продлена на 12 лет. В первые два года по программе будут предоставляться «максимально льготные условия», когда регионам нужно будет выплачивать каждый год только 5% своего долга.</w:t>
      </w:r>
    </w:p>
    <w:p w:rsidR="00024DDE" w:rsidRPr="002E17DE" w:rsidRDefault="00024DDE" w:rsidP="00024DDE">
      <w:pPr>
        <w:tabs>
          <w:tab w:val="left" w:pos="1035"/>
        </w:tabs>
        <w:ind w:firstLine="720"/>
        <w:jc w:val="both"/>
        <w:rPr>
          <w:sz w:val="20"/>
          <w:szCs w:val="20"/>
        </w:rPr>
      </w:pPr>
      <w:r w:rsidRPr="002E17DE">
        <w:t>Общая информация об источниках финансирования дефицита бюджета на 2017-2020 годы приведена в следующей таблице.</w:t>
      </w:r>
    </w:p>
    <w:p w:rsidR="00024DDE" w:rsidRPr="002E17DE" w:rsidRDefault="00372EB1" w:rsidP="00024DDE">
      <w:pPr>
        <w:ind w:left="7788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024DDE" w:rsidRPr="002E17DE">
        <w:rPr>
          <w:sz w:val="20"/>
          <w:szCs w:val="20"/>
        </w:rPr>
        <w:t>млн. руб.</w:t>
      </w:r>
    </w:p>
    <w:tbl>
      <w:tblPr>
        <w:tblW w:w="9254" w:type="dxa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2991"/>
        <w:gridCol w:w="1687"/>
        <w:gridCol w:w="1741"/>
        <w:gridCol w:w="1418"/>
        <w:gridCol w:w="1417"/>
      </w:tblGrid>
      <w:tr w:rsidR="00024DDE" w:rsidRPr="00372EB1" w:rsidTr="007A110C">
        <w:trPr>
          <w:trHeight w:val="315"/>
        </w:trPr>
        <w:tc>
          <w:tcPr>
            <w:tcW w:w="2991" w:type="dxa"/>
            <w:vMerge w:val="restart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024DDE" w:rsidRPr="00372EB1" w:rsidRDefault="00024DDE" w:rsidP="007A11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2EB1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687" w:type="dxa"/>
            <w:tcBorders>
              <w:top w:val="double" w:sz="4" w:space="0" w:color="auto"/>
              <w:bottom w:val="single" w:sz="6" w:space="0" w:color="auto"/>
            </w:tcBorders>
          </w:tcPr>
          <w:p w:rsidR="00024DDE" w:rsidRPr="00372EB1" w:rsidRDefault="00024DDE" w:rsidP="007A110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76" w:type="dxa"/>
            <w:gridSpan w:val="3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024DDE" w:rsidRPr="00372EB1" w:rsidRDefault="00024DDE" w:rsidP="007A11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2EB1">
              <w:rPr>
                <w:b/>
                <w:bCs/>
                <w:sz w:val="20"/>
                <w:szCs w:val="20"/>
              </w:rPr>
              <w:t>Проект на 2018-2020 годы</w:t>
            </w:r>
          </w:p>
        </w:tc>
      </w:tr>
      <w:tr w:rsidR="00024DDE" w:rsidRPr="00372EB1" w:rsidTr="00372EB1">
        <w:trPr>
          <w:trHeight w:val="165"/>
        </w:trPr>
        <w:tc>
          <w:tcPr>
            <w:tcW w:w="2991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024DDE" w:rsidRPr="00372EB1" w:rsidRDefault="00024DDE" w:rsidP="007A110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024DDE" w:rsidRPr="00372EB1" w:rsidRDefault="00024DDE" w:rsidP="007A11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2EB1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741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024DDE" w:rsidRPr="00372EB1" w:rsidRDefault="00024DDE" w:rsidP="007A11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2EB1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024DDE" w:rsidRPr="00372EB1" w:rsidRDefault="00024DDE" w:rsidP="007A11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2EB1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024DDE" w:rsidRPr="00372EB1" w:rsidRDefault="00024DDE" w:rsidP="007A11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2EB1">
              <w:rPr>
                <w:b/>
                <w:bCs/>
                <w:sz w:val="20"/>
                <w:szCs w:val="20"/>
              </w:rPr>
              <w:t>2020</w:t>
            </w:r>
          </w:p>
        </w:tc>
      </w:tr>
      <w:tr w:rsidR="00024DDE" w:rsidRPr="00372EB1" w:rsidTr="007A110C">
        <w:trPr>
          <w:trHeight w:val="300"/>
        </w:trPr>
        <w:tc>
          <w:tcPr>
            <w:tcW w:w="2991" w:type="dxa"/>
            <w:tcBorders>
              <w:top w:val="double" w:sz="4" w:space="0" w:color="auto"/>
            </w:tcBorders>
            <w:vAlign w:val="center"/>
          </w:tcPr>
          <w:p w:rsidR="00024DDE" w:rsidRPr="00372EB1" w:rsidRDefault="00024DDE" w:rsidP="007A110C">
            <w:pPr>
              <w:rPr>
                <w:b/>
                <w:bCs/>
                <w:sz w:val="20"/>
                <w:szCs w:val="20"/>
              </w:rPr>
            </w:pPr>
            <w:r w:rsidRPr="00372EB1">
              <w:rPr>
                <w:b/>
                <w:bCs/>
                <w:sz w:val="20"/>
                <w:szCs w:val="20"/>
              </w:rPr>
              <w:t xml:space="preserve">Источники финансирования, </w:t>
            </w:r>
          </w:p>
        </w:tc>
        <w:tc>
          <w:tcPr>
            <w:tcW w:w="1687" w:type="dxa"/>
            <w:tcBorders>
              <w:top w:val="double" w:sz="4" w:space="0" w:color="auto"/>
            </w:tcBorders>
            <w:vAlign w:val="bottom"/>
          </w:tcPr>
          <w:p w:rsidR="00024DDE" w:rsidRPr="00372EB1" w:rsidRDefault="00024DDE" w:rsidP="00372EB1">
            <w:pPr>
              <w:jc w:val="center"/>
              <w:rPr>
                <w:b/>
                <w:bCs/>
                <w:sz w:val="20"/>
                <w:szCs w:val="20"/>
              </w:rPr>
            </w:pPr>
            <w:r w:rsidRPr="00372EB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741" w:type="dxa"/>
            <w:tcBorders>
              <w:top w:val="double" w:sz="4" w:space="0" w:color="auto"/>
            </w:tcBorders>
            <w:vAlign w:val="bottom"/>
          </w:tcPr>
          <w:p w:rsidR="00024DDE" w:rsidRPr="00372EB1" w:rsidRDefault="00024DDE" w:rsidP="00372EB1">
            <w:pPr>
              <w:jc w:val="center"/>
              <w:rPr>
                <w:b/>
                <w:bCs/>
                <w:sz w:val="20"/>
                <w:szCs w:val="20"/>
              </w:rPr>
            </w:pPr>
            <w:r w:rsidRPr="00372EB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bottom"/>
          </w:tcPr>
          <w:p w:rsidR="00024DDE" w:rsidRPr="00372EB1" w:rsidRDefault="00024DDE" w:rsidP="00372EB1">
            <w:pPr>
              <w:jc w:val="center"/>
              <w:rPr>
                <w:b/>
                <w:bCs/>
                <w:sz w:val="20"/>
                <w:szCs w:val="20"/>
              </w:rPr>
            </w:pPr>
            <w:r w:rsidRPr="00372EB1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bottom"/>
          </w:tcPr>
          <w:p w:rsidR="00024DDE" w:rsidRPr="00372EB1" w:rsidRDefault="00024DDE" w:rsidP="00372EB1">
            <w:pPr>
              <w:jc w:val="center"/>
              <w:rPr>
                <w:b/>
                <w:bCs/>
                <w:sz w:val="20"/>
                <w:szCs w:val="20"/>
              </w:rPr>
            </w:pPr>
            <w:r w:rsidRPr="00372EB1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024DDE" w:rsidRPr="00372EB1" w:rsidTr="00372EB1">
        <w:trPr>
          <w:trHeight w:val="173"/>
        </w:trPr>
        <w:tc>
          <w:tcPr>
            <w:tcW w:w="2991" w:type="dxa"/>
            <w:vAlign w:val="center"/>
          </w:tcPr>
          <w:p w:rsidR="00024DDE" w:rsidRPr="00372EB1" w:rsidRDefault="00024DDE" w:rsidP="007A110C">
            <w:pPr>
              <w:rPr>
                <w:b/>
                <w:bCs/>
                <w:sz w:val="20"/>
                <w:szCs w:val="20"/>
              </w:rPr>
            </w:pPr>
            <w:r w:rsidRPr="00372EB1">
              <w:rPr>
                <w:b/>
                <w:bCs/>
                <w:sz w:val="20"/>
                <w:szCs w:val="20"/>
              </w:rPr>
              <w:t xml:space="preserve">в т. ч. за счет: </w:t>
            </w:r>
          </w:p>
        </w:tc>
        <w:tc>
          <w:tcPr>
            <w:tcW w:w="1687" w:type="dxa"/>
            <w:vAlign w:val="bottom"/>
          </w:tcPr>
          <w:p w:rsidR="00024DDE" w:rsidRPr="00372EB1" w:rsidRDefault="00024DDE" w:rsidP="00372EB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1" w:type="dxa"/>
            <w:vAlign w:val="bottom"/>
          </w:tcPr>
          <w:p w:rsidR="00024DDE" w:rsidRPr="00372EB1" w:rsidRDefault="00024DDE" w:rsidP="00372EB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024DDE" w:rsidRPr="00372EB1" w:rsidRDefault="00024DDE" w:rsidP="00372EB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024DDE" w:rsidRPr="00372EB1" w:rsidRDefault="00024DDE" w:rsidP="00372EB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24DDE" w:rsidRPr="00372EB1" w:rsidTr="00372EB1">
        <w:trPr>
          <w:trHeight w:val="64"/>
        </w:trPr>
        <w:tc>
          <w:tcPr>
            <w:tcW w:w="2991" w:type="dxa"/>
            <w:vAlign w:val="bottom"/>
          </w:tcPr>
          <w:p w:rsidR="00024DDE" w:rsidRPr="00372EB1" w:rsidRDefault="00024DDE" w:rsidP="007A110C">
            <w:pPr>
              <w:rPr>
                <w:sz w:val="20"/>
                <w:szCs w:val="20"/>
              </w:rPr>
            </w:pPr>
            <w:r w:rsidRPr="00372EB1">
              <w:rPr>
                <w:sz w:val="20"/>
                <w:szCs w:val="20"/>
              </w:rPr>
              <w:t xml:space="preserve">-заимствований </w:t>
            </w:r>
          </w:p>
        </w:tc>
        <w:tc>
          <w:tcPr>
            <w:tcW w:w="1687" w:type="dxa"/>
            <w:vAlign w:val="bottom"/>
          </w:tcPr>
          <w:p w:rsidR="00024DDE" w:rsidRPr="00372EB1" w:rsidRDefault="00024DDE" w:rsidP="00372EB1">
            <w:pPr>
              <w:jc w:val="center"/>
              <w:rPr>
                <w:sz w:val="20"/>
                <w:szCs w:val="20"/>
              </w:rPr>
            </w:pPr>
            <w:r w:rsidRPr="00372EB1">
              <w:rPr>
                <w:sz w:val="20"/>
                <w:szCs w:val="20"/>
              </w:rPr>
              <w:t>-50,0</w:t>
            </w:r>
          </w:p>
        </w:tc>
        <w:tc>
          <w:tcPr>
            <w:tcW w:w="1741" w:type="dxa"/>
            <w:vAlign w:val="bottom"/>
          </w:tcPr>
          <w:p w:rsidR="00024DDE" w:rsidRPr="00372EB1" w:rsidRDefault="00024DDE" w:rsidP="00372EB1">
            <w:pPr>
              <w:jc w:val="center"/>
              <w:rPr>
                <w:sz w:val="20"/>
                <w:szCs w:val="20"/>
              </w:rPr>
            </w:pPr>
            <w:r w:rsidRPr="00372EB1">
              <w:rPr>
                <w:sz w:val="20"/>
                <w:szCs w:val="20"/>
              </w:rPr>
              <w:t>-40,0</w:t>
            </w:r>
          </w:p>
        </w:tc>
        <w:tc>
          <w:tcPr>
            <w:tcW w:w="1418" w:type="dxa"/>
            <w:vAlign w:val="bottom"/>
          </w:tcPr>
          <w:p w:rsidR="00024DDE" w:rsidRPr="00372EB1" w:rsidRDefault="00024DDE" w:rsidP="00372EB1">
            <w:pPr>
              <w:jc w:val="center"/>
              <w:rPr>
                <w:sz w:val="20"/>
                <w:szCs w:val="20"/>
              </w:rPr>
            </w:pPr>
            <w:r w:rsidRPr="00372EB1">
              <w:rPr>
                <w:sz w:val="20"/>
                <w:szCs w:val="20"/>
              </w:rPr>
              <w:t>-52,4</w:t>
            </w:r>
          </w:p>
        </w:tc>
        <w:tc>
          <w:tcPr>
            <w:tcW w:w="1417" w:type="dxa"/>
            <w:vAlign w:val="bottom"/>
          </w:tcPr>
          <w:p w:rsidR="00024DDE" w:rsidRPr="00372EB1" w:rsidRDefault="00024DDE" w:rsidP="00372EB1">
            <w:pPr>
              <w:jc w:val="center"/>
              <w:rPr>
                <w:sz w:val="20"/>
                <w:szCs w:val="20"/>
              </w:rPr>
            </w:pPr>
            <w:r w:rsidRPr="00372EB1">
              <w:rPr>
                <w:sz w:val="20"/>
                <w:szCs w:val="20"/>
              </w:rPr>
              <w:t>-93,6</w:t>
            </w:r>
          </w:p>
        </w:tc>
      </w:tr>
      <w:tr w:rsidR="00024DDE" w:rsidRPr="00372EB1" w:rsidTr="00372EB1">
        <w:trPr>
          <w:trHeight w:val="109"/>
        </w:trPr>
        <w:tc>
          <w:tcPr>
            <w:tcW w:w="2991" w:type="dxa"/>
            <w:vAlign w:val="bottom"/>
          </w:tcPr>
          <w:p w:rsidR="00024DDE" w:rsidRPr="00372EB1" w:rsidRDefault="00024DDE" w:rsidP="007A110C">
            <w:pPr>
              <w:rPr>
                <w:sz w:val="20"/>
                <w:szCs w:val="20"/>
              </w:rPr>
            </w:pPr>
            <w:r w:rsidRPr="00372EB1">
              <w:rPr>
                <w:sz w:val="20"/>
                <w:szCs w:val="20"/>
              </w:rPr>
              <w:t>-изменения  остатков</w:t>
            </w:r>
          </w:p>
        </w:tc>
        <w:tc>
          <w:tcPr>
            <w:tcW w:w="1687" w:type="dxa"/>
            <w:vAlign w:val="bottom"/>
          </w:tcPr>
          <w:p w:rsidR="00024DDE" w:rsidRPr="00372EB1" w:rsidRDefault="00024DDE" w:rsidP="00372EB1">
            <w:pPr>
              <w:jc w:val="center"/>
              <w:rPr>
                <w:sz w:val="20"/>
                <w:szCs w:val="20"/>
              </w:rPr>
            </w:pPr>
            <w:r w:rsidRPr="00372EB1">
              <w:rPr>
                <w:sz w:val="20"/>
                <w:szCs w:val="20"/>
              </w:rPr>
              <w:t>65,0</w:t>
            </w:r>
          </w:p>
        </w:tc>
        <w:tc>
          <w:tcPr>
            <w:tcW w:w="1741" w:type="dxa"/>
            <w:vAlign w:val="bottom"/>
          </w:tcPr>
          <w:p w:rsidR="00024DDE" w:rsidRPr="00372EB1" w:rsidRDefault="00024DDE" w:rsidP="00372EB1">
            <w:pPr>
              <w:jc w:val="center"/>
              <w:rPr>
                <w:sz w:val="20"/>
                <w:szCs w:val="20"/>
              </w:rPr>
            </w:pPr>
            <w:r w:rsidRPr="00372EB1">
              <w:rPr>
                <w:sz w:val="20"/>
                <w:szCs w:val="20"/>
              </w:rPr>
              <w:t>211,2</w:t>
            </w:r>
          </w:p>
        </w:tc>
        <w:tc>
          <w:tcPr>
            <w:tcW w:w="1418" w:type="dxa"/>
            <w:vAlign w:val="bottom"/>
          </w:tcPr>
          <w:p w:rsidR="00024DDE" w:rsidRPr="00372EB1" w:rsidRDefault="00024DDE" w:rsidP="00372EB1">
            <w:pPr>
              <w:jc w:val="center"/>
              <w:rPr>
                <w:sz w:val="20"/>
                <w:szCs w:val="20"/>
              </w:rPr>
            </w:pPr>
            <w:r w:rsidRPr="00372EB1">
              <w:rPr>
                <w:sz w:val="20"/>
                <w:szCs w:val="20"/>
              </w:rPr>
              <w:t>449,4</w:t>
            </w:r>
          </w:p>
        </w:tc>
        <w:tc>
          <w:tcPr>
            <w:tcW w:w="1417" w:type="dxa"/>
            <w:vAlign w:val="bottom"/>
          </w:tcPr>
          <w:p w:rsidR="00024DDE" w:rsidRPr="00372EB1" w:rsidRDefault="00024DDE" w:rsidP="00372EB1">
            <w:pPr>
              <w:jc w:val="center"/>
              <w:rPr>
                <w:sz w:val="20"/>
                <w:szCs w:val="20"/>
              </w:rPr>
            </w:pPr>
            <w:r w:rsidRPr="00372EB1">
              <w:rPr>
                <w:sz w:val="20"/>
                <w:szCs w:val="20"/>
              </w:rPr>
              <w:t>305,5</w:t>
            </w:r>
          </w:p>
        </w:tc>
      </w:tr>
      <w:tr w:rsidR="00024DDE" w:rsidRPr="00372EB1" w:rsidTr="00372EB1">
        <w:trPr>
          <w:trHeight w:val="284"/>
        </w:trPr>
        <w:tc>
          <w:tcPr>
            <w:tcW w:w="2991" w:type="dxa"/>
            <w:vAlign w:val="bottom"/>
          </w:tcPr>
          <w:p w:rsidR="00024DDE" w:rsidRPr="00372EB1" w:rsidRDefault="00024DDE" w:rsidP="007A110C">
            <w:pPr>
              <w:rPr>
                <w:sz w:val="20"/>
                <w:szCs w:val="20"/>
              </w:rPr>
            </w:pPr>
            <w:r w:rsidRPr="00372EB1">
              <w:rPr>
                <w:sz w:val="20"/>
                <w:szCs w:val="20"/>
              </w:rPr>
              <w:t>прочих источников (исполнение госгарантий, продажа акций и иных участий в капитале)</w:t>
            </w:r>
          </w:p>
        </w:tc>
        <w:tc>
          <w:tcPr>
            <w:tcW w:w="1687" w:type="dxa"/>
            <w:vAlign w:val="bottom"/>
          </w:tcPr>
          <w:p w:rsidR="00024DDE" w:rsidRPr="00372EB1" w:rsidRDefault="00024DDE" w:rsidP="00372EB1">
            <w:pPr>
              <w:jc w:val="center"/>
              <w:rPr>
                <w:sz w:val="20"/>
                <w:szCs w:val="20"/>
              </w:rPr>
            </w:pPr>
            <w:r w:rsidRPr="00372EB1">
              <w:rPr>
                <w:sz w:val="20"/>
                <w:szCs w:val="20"/>
              </w:rPr>
              <w:t>-15,0</w:t>
            </w:r>
          </w:p>
        </w:tc>
        <w:tc>
          <w:tcPr>
            <w:tcW w:w="1741" w:type="dxa"/>
            <w:vAlign w:val="bottom"/>
          </w:tcPr>
          <w:p w:rsidR="00024DDE" w:rsidRPr="00372EB1" w:rsidRDefault="00024DDE" w:rsidP="00372EB1">
            <w:pPr>
              <w:jc w:val="center"/>
              <w:rPr>
                <w:sz w:val="20"/>
                <w:szCs w:val="20"/>
              </w:rPr>
            </w:pPr>
            <w:r w:rsidRPr="00372EB1">
              <w:rPr>
                <w:sz w:val="20"/>
                <w:szCs w:val="20"/>
              </w:rPr>
              <w:t>-171,2</w:t>
            </w:r>
          </w:p>
        </w:tc>
        <w:tc>
          <w:tcPr>
            <w:tcW w:w="1418" w:type="dxa"/>
            <w:vAlign w:val="bottom"/>
          </w:tcPr>
          <w:p w:rsidR="00024DDE" w:rsidRPr="00372EB1" w:rsidRDefault="00024DDE" w:rsidP="00372EB1">
            <w:pPr>
              <w:jc w:val="center"/>
              <w:rPr>
                <w:sz w:val="20"/>
                <w:szCs w:val="20"/>
              </w:rPr>
            </w:pPr>
            <w:r w:rsidRPr="00372EB1">
              <w:rPr>
                <w:sz w:val="20"/>
                <w:szCs w:val="20"/>
              </w:rPr>
              <w:t>-397,0</w:t>
            </w:r>
          </w:p>
        </w:tc>
        <w:tc>
          <w:tcPr>
            <w:tcW w:w="1417" w:type="dxa"/>
            <w:vAlign w:val="bottom"/>
          </w:tcPr>
          <w:p w:rsidR="00024DDE" w:rsidRPr="00372EB1" w:rsidRDefault="00024DDE" w:rsidP="00372EB1">
            <w:pPr>
              <w:jc w:val="center"/>
              <w:rPr>
                <w:sz w:val="20"/>
                <w:szCs w:val="20"/>
              </w:rPr>
            </w:pPr>
            <w:r w:rsidRPr="00372EB1">
              <w:rPr>
                <w:sz w:val="20"/>
                <w:szCs w:val="20"/>
              </w:rPr>
              <w:t>-211,9</w:t>
            </w:r>
          </w:p>
        </w:tc>
      </w:tr>
    </w:tbl>
    <w:p w:rsidR="00024DDE" w:rsidRPr="009C00DE" w:rsidRDefault="00024DDE" w:rsidP="00024DDE">
      <w:pPr>
        <w:tabs>
          <w:tab w:val="left" w:pos="1035"/>
        </w:tabs>
        <w:ind w:firstLine="720"/>
        <w:jc w:val="both"/>
        <w:rPr>
          <w:color w:val="0070C0"/>
        </w:rPr>
      </w:pPr>
    </w:p>
    <w:p w:rsidR="00024DDE" w:rsidRPr="007637B0" w:rsidRDefault="00024DDE" w:rsidP="00024DDE">
      <w:pPr>
        <w:tabs>
          <w:tab w:val="left" w:pos="1035"/>
        </w:tabs>
        <w:ind w:firstLine="720"/>
        <w:jc w:val="both"/>
      </w:pPr>
      <w:r w:rsidRPr="007637B0">
        <w:rPr>
          <w:b/>
          <w:i/>
        </w:rPr>
        <w:lastRenderedPageBreak/>
        <w:t>Программа государственных гарантий Волгоградской области на 2018-2020 годы</w:t>
      </w:r>
      <w:r w:rsidRPr="007637B0">
        <w:t xml:space="preserve"> представлена в приложении 25 к законопроекту.</w:t>
      </w:r>
    </w:p>
    <w:p w:rsidR="00024DDE" w:rsidRPr="007637B0" w:rsidRDefault="00024DDE" w:rsidP="00024DDE">
      <w:pPr>
        <w:ind w:firstLine="720"/>
        <w:jc w:val="both"/>
      </w:pPr>
      <w:r w:rsidRPr="007637B0">
        <w:t>Законопроектом в 2018-2020 годах не предполагается предоставление государственных гарантий.</w:t>
      </w:r>
    </w:p>
    <w:p w:rsidR="00024DDE" w:rsidRPr="007637B0" w:rsidRDefault="00024DDE" w:rsidP="00024DDE">
      <w:pPr>
        <w:ind w:firstLine="708"/>
        <w:jc w:val="both"/>
      </w:pPr>
      <w:r w:rsidRPr="007637B0">
        <w:t xml:space="preserve">Возможное исполнение гарантийных случаев по гарантиям, предоставленным с правом регрессного требования, предусмотрено в источниках внутреннего финансирования дефицита  областного бюджета в размере 176,2 млн. руб. в 2018 году, 397 млн. руб. в 2019 году и 211,9 млн. руб. в 2020 году. Возможное исполнение гарантийных случаев предусмотрено в размере 100% от объема платежей по графикам исполнения заемщиками обязательств по кредитам, обеспеченным гарантиями Волгоградской области. </w:t>
      </w:r>
    </w:p>
    <w:p w:rsidR="00D45018" w:rsidRPr="007637B0" w:rsidRDefault="00D45018" w:rsidP="00024DDE">
      <w:pPr>
        <w:ind w:firstLine="708"/>
        <w:jc w:val="both"/>
      </w:pPr>
    </w:p>
    <w:p w:rsidR="00372EB1" w:rsidRDefault="00372EB1" w:rsidP="00372EB1">
      <w:pPr>
        <w:jc w:val="center"/>
        <w:rPr>
          <w:b/>
          <w:i/>
        </w:rPr>
      </w:pPr>
      <w:r>
        <w:rPr>
          <w:b/>
          <w:i/>
        </w:rPr>
        <w:tab/>
      </w:r>
      <w:r w:rsidR="00024DDE" w:rsidRPr="009C00DE">
        <w:rPr>
          <w:b/>
          <w:i/>
        </w:rPr>
        <w:t>Бюджетные кредиты муниципальным образованиям Волгоградской области</w:t>
      </w:r>
    </w:p>
    <w:p w:rsidR="00024DDE" w:rsidRPr="00372EB1" w:rsidRDefault="00372EB1" w:rsidP="00372EB1">
      <w:pPr>
        <w:jc w:val="both"/>
        <w:rPr>
          <w:b/>
          <w:i/>
        </w:rPr>
      </w:pPr>
      <w:r>
        <w:rPr>
          <w:b/>
          <w:i/>
        </w:rPr>
        <w:tab/>
      </w:r>
      <w:proofErr w:type="gramStart"/>
      <w:r w:rsidR="00024DDE" w:rsidRPr="001A4C9E">
        <w:t>Статьей 37 законопроекта в 2018 году предусмотрено предоставление бюджетных кредитов бюджетам муниципальных районов (городских округов) в сумме до 40 млн. руб. на срок, не выходящий за пределы 2018 года, для покрытия временных кассовых разрывов, возникающих при исполнении бюджетов муниципальных районов (городских округов), и осуществления мероприятий, связанных с ликвидацией последствий стихийных бедствий.</w:t>
      </w:r>
      <w:proofErr w:type="gramEnd"/>
    </w:p>
    <w:p w:rsidR="00024DDE" w:rsidRDefault="00024DDE" w:rsidP="00024DDE">
      <w:pPr>
        <w:ind w:firstLine="708"/>
        <w:jc w:val="both"/>
      </w:pPr>
    </w:p>
    <w:p w:rsidR="00F5716F" w:rsidRDefault="00C23F48" w:rsidP="00EA2C21">
      <w:pPr>
        <w:ind w:firstLine="708"/>
        <w:jc w:val="center"/>
        <w:rPr>
          <w:b/>
          <w:i/>
        </w:rPr>
      </w:pPr>
      <w:r>
        <w:rPr>
          <w:b/>
          <w:i/>
        </w:rPr>
        <w:t xml:space="preserve">6. Программа приватизации </w:t>
      </w:r>
      <w:r w:rsidR="00F5716F">
        <w:rPr>
          <w:b/>
          <w:i/>
        </w:rPr>
        <w:t xml:space="preserve">государственного имущества </w:t>
      </w:r>
    </w:p>
    <w:p w:rsidR="00C23F48" w:rsidRDefault="00C23F48" w:rsidP="00EA2C21">
      <w:pPr>
        <w:ind w:firstLine="708"/>
        <w:jc w:val="center"/>
        <w:rPr>
          <w:b/>
          <w:i/>
        </w:rPr>
      </w:pPr>
      <w:r>
        <w:rPr>
          <w:b/>
          <w:i/>
        </w:rPr>
        <w:t>Волгоградской области на 201</w:t>
      </w:r>
      <w:r w:rsidR="006F0E09">
        <w:rPr>
          <w:b/>
          <w:i/>
        </w:rPr>
        <w:t>8</w:t>
      </w:r>
      <w:r>
        <w:rPr>
          <w:b/>
          <w:i/>
        </w:rPr>
        <w:t xml:space="preserve"> год.</w:t>
      </w:r>
    </w:p>
    <w:p w:rsidR="006F0E09" w:rsidRDefault="006F0E09" w:rsidP="00EA2C21">
      <w:pPr>
        <w:ind w:firstLine="708"/>
        <w:jc w:val="center"/>
        <w:rPr>
          <w:b/>
          <w:i/>
        </w:rPr>
      </w:pPr>
    </w:p>
    <w:p w:rsidR="005E3C7D" w:rsidRPr="009E6D17" w:rsidRDefault="005E3C7D" w:rsidP="005E3C7D">
      <w:pPr>
        <w:pStyle w:val="af2"/>
        <w:ind w:firstLine="709"/>
        <w:jc w:val="both"/>
        <w:rPr>
          <w:szCs w:val="28"/>
        </w:rPr>
      </w:pPr>
      <w:proofErr w:type="gramStart"/>
      <w:r w:rsidRPr="009E6D17">
        <w:rPr>
          <w:szCs w:val="28"/>
        </w:rPr>
        <w:t xml:space="preserve">В приложении </w:t>
      </w:r>
      <w:r>
        <w:rPr>
          <w:szCs w:val="28"/>
        </w:rPr>
        <w:t>28</w:t>
      </w:r>
      <w:r w:rsidRPr="009E6D17">
        <w:rPr>
          <w:szCs w:val="28"/>
        </w:rPr>
        <w:t xml:space="preserve"> к </w:t>
      </w:r>
      <w:r>
        <w:rPr>
          <w:szCs w:val="28"/>
        </w:rPr>
        <w:t>з</w:t>
      </w:r>
      <w:r w:rsidRPr="009E6D17">
        <w:rPr>
          <w:szCs w:val="28"/>
        </w:rPr>
        <w:t>аконопроекту представлена программа приватизации (продажи) государственного имущества Волгоградской области на 201</w:t>
      </w:r>
      <w:r>
        <w:rPr>
          <w:szCs w:val="28"/>
        </w:rPr>
        <w:t>8</w:t>
      </w:r>
      <w:r w:rsidRPr="009E6D17">
        <w:rPr>
          <w:szCs w:val="28"/>
        </w:rPr>
        <w:t xml:space="preserve"> год и на плановый период 201</w:t>
      </w:r>
      <w:r>
        <w:rPr>
          <w:szCs w:val="28"/>
        </w:rPr>
        <w:t>9</w:t>
      </w:r>
      <w:r w:rsidRPr="009E6D17">
        <w:rPr>
          <w:szCs w:val="28"/>
        </w:rPr>
        <w:t xml:space="preserve"> и 20</w:t>
      </w:r>
      <w:r>
        <w:rPr>
          <w:szCs w:val="28"/>
        </w:rPr>
        <w:t>20</w:t>
      </w:r>
      <w:r w:rsidRPr="009E6D17">
        <w:rPr>
          <w:szCs w:val="28"/>
        </w:rPr>
        <w:t xml:space="preserve"> годов</w:t>
      </w:r>
      <w:r>
        <w:rPr>
          <w:szCs w:val="28"/>
        </w:rPr>
        <w:t xml:space="preserve"> (далее Программа приватизации)</w:t>
      </w:r>
      <w:r w:rsidRPr="009E6D17">
        <w:rPr>
          <w:szCs w:val="28"/>
        </w:rPr>
        <w:t>, которая содержит перечень объектов недвижимого имущества, подлежащих приватизации (таблица 1), перечень движимого имущества, подлежащего приватизации (таблица 2), перечень пакетов акций хозяйственных обществ, находящихся в государственной собственности Волгоградской области, подлежащих приватизации (таблица 3)</w:t>
      </w:r>
      <w:r>
        <w:rPr>
          <w:szCs w:val="28"/>
        </w:rPr>
        <w:t>, перечень</w:t>
      </w:r>
      <w:proofErr w:type="gramEnd"/>
      <w:r>
        <w:rPr>
          <w:szCs w:val="28"/>
        </w:rPr>
        <w:t xml:space="preserve"> государственных унитарных предприятий Волгоградской области, преобразуемых в хозяйственные общества (таблица 4)</w:t>
      </w:r>
      <w:r w:rsidRPr="009E6D17">
        <w:rPr>
          <w:szCs w:val="28"/>
        </w:rPr>
        <w:t>.</w:t>
      </w:r>
    </w:p>
    <w:p w:rsidR="005E3C7D" w:rsidRPr="005E3C7D" w:rsidRDefault="0031521E" w:rsidP="005E3C7D">
      <w:pPr>
        <w:ind w:firstLine="709"/>
        <w:jc w:val="both"/>
      </w:pPr>
      <w:r>
        <w:t>В Программу</w:t>
      </w:r>
      <w:r w:rsidR="005E3C7D" w:rsidRPr="005E3C7D">
        <w:t xml:space="preserve"> приватизации</w:t>
      </w:r>
      <w:r>
        <w:t xml:space="preserve"> на 2018 год включено следующее имущество</w:t>
      </w:r>
      <w:r w:rsidR="005E3C7D" w:rsidRPr="005E3C7D">
        <w:t>:</w:t>
      </w:r>
    </w:p>
    <w:p w:rsidR="005E3C7D" w:rsidRPr="005E3C7D" w:rsidRDefault="005E3C7D" w:rsidP="005E3C7D">
      <w:pPr>
        <w:ind w:firstLine="709"/>
        <w:jc w:val="both"/>
      </w:pPr>
      <w:r w:rsidRPr="005E3C7D">
        <w:t>-</w:t>
      </w:r>
      <w:r w:rsidR="003447E9">
        <w:t xml:space="preserve">пакеты акций </w:t>
      </w:r>
      <w:r w:rsidRPr="005E3C7D">
        <w:t>2-х акционерных обществ</w:t>
      </w:r>
      <w:r w:rsidR="0031521E">
        <w:t>а</w:t>
      </w:r>
      <w:r w:rsidRPr="005E3C7D">
        <w:t xml:space="preserve"> с долей государственной собственности Волгоградской области в уставном капитале номинальной стоимостью 35,180</w:t>
      </w:r>
      <w:r w:rsidRPr="005E3C7D">
        <w:rPr>
          <w:color w:val="000000"/>
        </w:rPr>
        <w:t xml:space="preserve"> млн</w:t>
      </w:r>
      <w:r w:rsidRPr="005E3C7D">
        <w:t>. руб. (ОАО «</w:t>
      </w:r>
      <w:proofErr w:type="spellStart"/>
      <w:r w:rsidRPr="005E3C7D">
        <w:t>Камышинский</w:t>
      </w:r>
      <w:proofErr w:type="spellEnd"/>
      <w:r w:rsidRPr="005E3C7D">
        <w:t xml:space="preserve"> </w:t>
      </w:r>
      <w:proofErr w:type="spellStart"/>
      <w:r w:rsidRPr="005E3C7D">
        <w:t>сортсемовощ</w:t>
      </w:r>
      <w:proofErr w:type="spellEnd"/>
      <w:r w:rsidRPr="005E3C7D">
        <w:t xml:space="preserve">» и ОАО «Альянс </w:t>
      </w:r>
      <w:r>
        <w:t>п</w:t>
      </w:r>
      <w:r w:rsidRPr="005E3C7D">
        <w:t>олиграфических предприятий «</w:t>
      </w:r>
      <w:proofErr w:type="spellStart"/>
      <w:r w:rsidRPr="005E3C7D">
        <w:t>Югполиграфиздат</w:t>
      </w:r>
      <w:proofErr w:type="spellEnd"/>
      <w:r w:rsidRPr="005E3C7D">
        <w:t>»);</w:t>
      </w:r>
    </w:p>
    <w:p w:rsidR="005E3C7D" w:rsidRDefault="005E3C7D" w:rsidP="005E3C7D">
      <w:pPr>
        <w:pStyle w:val="af2"/>
        <w:ind w:firstLine="709"/>
        <w:jc w:val="both"/>
        <w:rPr>
          <w:szCs w:val="28"/>
        </w:rPr>
      </w:pPr>
      <w:r w:rsidRPr="009E6D17">
        <w:rPr>
          <w:szCs w:val="28"/>
        </w:rPr>
        <w:t>-1</w:t>
      </w:r>
      <w:r>
        <w:rPr>
          <w:szCs w:val="28"/>
        </w:rPr>
        <w:t>4</w:t>
      </w:r>
      <w:r w:rsidRPr="009E6D17">
        <w:rPr>
          <w:szCs w:val="28"/>
        </w:rPr>
        <w:t>-ти объектов движимого имущества общей балансовой стоимостью</w:t>
      </w:r>
      <w:r w:rsidR="002A7F5D">
        <w:rPr>
          <w:szCs w:val="28"/>
        </w:rPr>
        <w:t xml:space="preserve"> </w:t>
      </w:r>
      <w:r w:rsidRPr="009E6D17">
        <w:rPr>
          <w:szCs w:val="28"/>
        </w:rPr>
        <w:t>17</w:t>
      </w:r>
      <w:r>
        <w:rPr>
          <w:szCs w:val="28"/>
        </w:rPr>
        <w:t>4</w:t>
      </w:r>
      <w:r w:rsidRPr="009E6D17">
        <w:rPr>
          <w:szCs w:val="28"/>
        </w:rPr>
        <w:t xml:space="preserve"> млн.</w:t>
      </w:r>
      <w:r>
        <w:rPr>
          <w:szCs w:val="28"/>
        </w:rPr>
        <w:t xml:space="preserve"> </w:t>
      </w:r>
      <w:r w:rsidRPr="009E6D17">
        <w:rPr>
          <w:szCs w:val="28"/>
        </w:rPr>
        <w:t>руб.</w:t>
      </w:r>
      <w:r>
        <w:rPr>
          <w:szCs w:val="28"/>
        </w:rPr>
        <w:t xml:space="preserve"> (автотранспортные средства </w:t>
      </w:r>
      <w:r w:rsidR="002A7F5D">
        <w:rPr>
          <w:szCs w:val="28"/>
        </w:rPr>
        <w:t>-</w:t>
      </w:r>
      <w:r>
        <w:rPr>
          <w:szCs w:val="28"/>
        </w:rPr>
        <w:t xml:space="preserve"> 11, электропоезд </w:t>
      </w:r>
      <w:r w:rsidR="002A7F5D">
        <w:rPr>
          <w:szCs w:val="28"/>
        </w:rPr>
        <w:t>-</w:t>
      </w:r>
      <w:r>
        <w:rPr>
          <w:szCs w:val="28"/>
        </w:rPr>
        <w:t xml:space="preserve"> 2, прачечная </w:t>
      </w:r>
      <w:r w:rsidR="002A7F5D">
        <w:rPr>
          <w:szCs w:val="28"/>
        </w:rPr>
        <w:t>-</w:t>
      </w:r>
      <w:r>
        <w:rPr>
          <w:szCs w:val="28"/>
        </w:rPr>
        <w:t xml:space="preserve"> 1)</w:t>
      </w:r>
      <w:r w:rsidRPr="009E6D17">
        <w:rPr>
          <w:szCs w:val="28"/>
        </w:rPr>
        <w:t>;</w:t>
      </w:r>
    </w:p>
    <w:p w:rsidR="002A7F5D" w:rsidRDefault="005E3C7D" w:rsidP="002A7F5D">
      <w:pPr>
        <w:pStyle w:val="af2"/>
        <w:ind w:firstLine="709"/>
        <w:jc w:val="both"/>
        <w:rPr>
          <w:szCs w:val="28"/>
        </w:rPr>
      </w:pPr>
      <w:r w:rsidRPr="005574D2">
        <w:rPr>
          <w:szCs w:val="28"/>
        </w:rPr>
        <w:t>-1771 объектов недвижимого имущества, в том числе:</w:t>
      </w:r>
    </w:p>
    <w:p w:rsidR="005E3C7D" w:rsidRPr="009E6D17" w:rsidRDefault="005E3C7D" w:rsidP="002A7F5D">
      <w:pPr>
        <w:pStyle w:val="af2"/>
        <w:ind w:firstLine="709"/>
        <w:jc w:val="both"/>
        <w:rPr>
          <w:szCs w:val="28"/>
        </w:rPr>
      </w:pPr>
      <w:proofErr w:type="gramStart"/>
      <w:r w:rsidRPr="009E6D17">
        <w:rPr>
          <w:szCs w:val="28"/>
        </w:rPr>
        <w:t>объекты газораспределительно</w:t>
      </w:r>
      <w:r>
        <w:rPr>
          <w:szCs w:val="28"/>
        </w:rPr>
        <w:t xml:space="preserve">й инфраструктуры </w:t>
      </w:r>
      <w:r w:rsidRPr="009E6D17">
        <w:rPr>
          <w:szCs w:val="28"/>
        </w:rPr>
        <w:t xml:space="preserve">в количестве </w:t>
      </w:r>
      <w:r>
        <w:rPr>
          <w:szCs w:val="28"/>
        </w:rPr>
        <w:t>1635</w:t>
      </w:r>
      <w:r w:rsidRPr="009E6D17">
        <w:rPr>
          <w:szCs w:val="28"/>
        </w:rPr>
        <w:t xml:space="preserve"> единиц, переданные в собственность Волгоградской области в </w:t>
      </w:r>
      <w:r w:rsidR="002A7F5D">
        <w:rPr>
          <w:szCs w:val="28"/>
        </w:rPr>
        <w:t>связи</w:t>
      </w:r>
      <w:r w:rsidRPr="009E6D17">
        <w:rPr>
          <w:szCs w:val="28"/>
        </w:rPr>
        <w:t xml:space="preserve"> со вступлением в силу с 01.01.2016 Закона Волгоградской области от 03.12.2015 №204-ОД «О перераспределении полномочий между органами местного самоуправления муниципальных образований Волгоградской области и органами государственной власти Волгоградской области по организации в границах муниципальных образований Волгоградской области газоснабжения в пределах полномочий, установленных законодательством Российской Федерации» (далее</w:t>
      </w:r>
      <w:proofErr w:type="gramEnd"/>
      <w:r w:rsidRPr="009E6D17">
        <w:rPr>
          <w:szCs w:val="28"/>
        </w:rPr>
        <w:t xml:space="preserve"> </w:t>
      </w:r>
      <w:proofErr w:type="gramStart"/>
      <w:r w:rsidRPr="009E6D17">
        <w:rPr>
          <w:szCs w:val="28"/>
        </w:rPr>
        <w:t>Закон №204-ОД).</w:t>
      </w:r>
      <w:proofErr w:type="gramEnd"/>
      <w:r>
        <w:rPr>
          <w:szCs w:val="28"/>
        </w:rPr>
        <w:t xml:space="preserve"> Следует отметить, что из указанного количества объ</w:t>
      </w:r>
      <w:r w:rsidR="002A7F5D">
        <w:rPr>
          <w:szCs w:val="28"/>
        </w:rPr>
        <w:t>ектов</w:t>
      </w:r>
      <w:r>
        <w:rPr>
          <w:szCs w:val="28"/>
        </w:rPr>
        <w:t>, подлежащих приватизации в 2018 году, 656 объектов</w:t>
      </w:r>
      <w:r w:rsidR="002A7F5D">
        <w:rPr>
          <w:szCs w:val="28"/>
        </w:rPr>
        <w:t xml:space="preserve"> -</w:t>
      </w:r>
      <w:r>
        <w:rPr>
          <w:szCs w:val="28"/>
        </w:rPr>
        <w:t xml:space="preserve"> продолжение программы приватизации 2017 года.</w:t>
      </w:r>
    </w:p>
    <w:p w:rsidR="005E3C7D" w:rsidRPr="005E3C7D" w:rsidRDefault="005E3C7D" w:rsidP="005E3C7D">
      <w:pPr>
        <w:autoSpaceDE w:val="0"/>
        <w:autoSpaceDN w:val="0"/>
        <w:adjustRightInd w:val="0"/>
        <w:ind w:firstLine="709"/>
        <w:jc w:val="both"/>
      </w:pPr>
      <w:r w:rsidRPr="005E3C7D">
        <w:t xml:space="preserve">В отношении объектов газораспределительной инфраструктуры необходимо отметить, что </w:t>
      </w:r>
      <w:r w:rsidRPr="00535697">
        <w:t>в Программе приватизации отсутствуют объекты, расположенные в Алексеевском муниципальном районе.</w:t>
      </w:r>
      <w:r w:rsidR="0031521E">
        <w:rPr>
          <w:b/>
          <w:i/>
        </w:rPr>
        <w:t xml:space="preserve"> </w:t>
      </w:r>
      <w:r w:rsidR="0031521E" w:rsidRPr="0031521E">
        <w:t>По информации</w:t>
      </w:r>
      <w:r w:rsidR="0031521E">
        <w:t xml:space="preserve"> комитета ЖКХ и ТЭК в настоящее время пакет документов на передачу </w:t>
      </w:r>
      <w:r w:rsidR="0031521E" w:rsidRPr="005E3C7D">
        <w:t>объектов газораспределительной инфраструктуры</w:t>
      </w:r>
      <w:r w:rsidR="0031521E">
        <w:t xml:space="preserve"> Алексеевского района в областную собственность находится на рассмотрении</w:t>
      </w:r>
      <w:r w:rsidR="007F7D00">
        <w:t>;</w:t>
      </w:r>
    </w:p>
    <w:p w:rsidR="002A7F5D" w:rsidRDefault="005E3C7D" w:rsidP="002A7F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20 объектов недвижимого имущества общей балансовой стоимостью 2,816 млн. руб., из которых по 13 объектам процесс приватизации </w:t>
      </w:r>
      <w:r w:rsidR="002A7F5D">
        <w:rPr>
          <w:szCs w:val="28"/>
        </w:rPr>
        <w:t xml:space="preserve">продолжается </w:t>
      </w:r>
      <w:r>
        <w:rPr>
          <w:szCs w:val="28"/>
        </w:rPr>
        <w:t>с 2017 года;</w:t>
      </w:r>
    </w:p>
    <w:p w:rsidR="002A7F5D" w:rsidRDefault="002A7F5D" w:rsidP="002A7F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5 </w:t>
      </w:r>
      <w:r w:rsidR="005E3C7D" w:rsidRPr="002A7F5D">
        <w:rPr>
          <w:szCs w:val="28"/>
        </w:rPr>
        <w:t>комплексов объектов, состоящих в общей сложности из 13 объектов недвижимого имущества общей балансовой стоимостью 11,929 млн. руб., из которых продолжение приватизации осуществляется по трем комплексам;</w:t>
      </w:r>
    </w:p>
    <w:p w:rsidR="002A7F5D" w:rsidRDefault="005E3C7D" w:rsidP="002A7F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A7F5D">
        <w:rPr>
          <w:szCs w:val="28"/>
        </w:rPr>
        <w:t>1 объект незавершенного строительством здания стоимостью 11,249 млн. руб.;</w:t>
      </w:r>
    </w:p>
    <w:p w:rsidR="005E3C7D" w:rsidRPr="002A7F5D" w:rsidRDefault="005E3C7D" w:rsidP="002A7F5D">
      <w:pPr>
        <w:autoSpaceDE w:val="0"/>
        <w:autoSpaceDN w:val="0"/>
        <w:adjustRightInd w:val="0"/>
        <w:ind w:firstLine="709"/>
        <w:jc w:val="both"/>
      </w:pPr>
      <w:proofErr w:type="gramStart"/>
      <w:r w:rsidRPr="007F22E2">
        <w:rPr>
          <w:szCs w:val="28"/>
        </w:rPr>
        <w:t>объект</w:t>
      </w:r>
      <w:r>
        <w:rPr>
          <w:szCs w:val="28"/>
        </w:rPr>
        <w:t>ы</w:t>
      </w:r>
      <w:r w:rsidRPr="007F22E2">
        <w:rPr>
          <w:szCs w:val="28"/>
        </w:rPr>
        <w:t xml:space="preserve"> </w:t>
      </w:r>
      <w:proofErr w:type="spellStart"/>
      <w:r w:rsidRPr="007F22E2">
        <w:rPr>
          <w:szCs w:val="28"/>
        </w:rPr>
        <w:t>электросетевого</w:t>
      </w:r>
      <w:proofErr w:type="spellEnd"/>
      <w:r w:rsidRPr="007F22E2">
        <w:rPr>
          <w:szCs w:val="28"/>
        </w:rPr>
        <w:t xml:space="preserve"> хозяйства</w:t>
      </w:r>
      <w:r>
        <w:rPr>
          <w:szCs w:val="28"/>
        </w:rPr>
        <w:t xml:space="preserve"> в количестве 115 единиц, </w:t>
      </w:r>
      <w:r w:rsidRPr="009E6D17">
        <w:rPr>
          <w:szCs w:val="28"/>
        </w:rPr>
        <w:t xml:space="preserve">переданные в собственность Волгоградской области в соответствии со вступлением в силу с 01.01.2016 Закона Волгоградской области от </w:t>
      </w:r>
      <w:r>
        <w:rPr>
          <w:szCs w:val="28"/>
        </w:rPr>
        <w:t>28</w:t>
      </w:r>
      <w:r w:rsidRPr="009E6D17">
        <w:rPr>
          <w:szCs w:val="28"/>
        </w:rPr>
        <w:t>.12.2015 №2</w:t>
      </w:r>
      <w:r>
        <w:rPr>
          <w:szCs w:val="28"/>
        </w:rPr>
        <w:t>23</w:t>
      </w:r>
      <w:r w:rsidRPr="009E6D17">
        <w:rPr>
          <w:szCs w:val="28"/>
        </w:rPr>
        <w:t xml:space="preserve">-ОД «О перераспределении полномочий между органами местного самоуправления муниципальных образований Волгоградской области и органами государственной власти Волгоградской области по организации в границах муниципальных образований Волгоградской области </w:t>
      </w:r>
      <w:r>
        <w:rPr>
          <w:szCs w:val="28"/>
        </w:rPr>
        <w:t>электро</w:t>
      </w:r>
      <w:r w:rsidRPr="009E6D17">
        <w:rPr>
          <w:szCs w:val="28"/>
        </w:rPr>
        <w:t>снабжения в пределах полномочий, установленных законодательством Российской Федерации» (далее</w:t>
      </w:r>
      <w:proofErr w:type="gramEnd"/>
      <w:r w:rsidRPr="009E6D17">
        <w:rPr>
          <w:szCs w:val="28"/>
        </w:rPr>
        <w:t xml:space="preserve"> </w:t>
      </w:r>
      <w:proofErr w:type="gramStart"/>
      <w:r w:rsidRPr="009E6D17">
        <w:rPr>
          <w:szCs w:val="28"/>
        </w:rPr>
        <w:t>Закон №2</w:t>
      </w:r>
      <w:r>
        <w:rPr>
          <w:szCs w:val="28"/>
        </w:rPr>
        <w:t>23</w:t>
      </w:r>
      <w:r w:rsidRPr="009E6D17">
        <w:rPr>
          <w:szCs w:val="28"/>
        </w:rPr>
        <w:t>-ОД).</w:t>
      </w:r>
      <w:proofErr w:type="gramEnd"/>
      <w:r>
        <w:rPr>
          <w:szCs w:val="28"/>
        </w:rPr>
        <w:t xml:space="preserve"> Следует отметить, что из вышеуказанного количества объектов, подлежащих приватизации в 2018 году, 100 объектов </w:t>
      </w:r>
      <w:r w:rsidR="00332088">
        <w:rPr>
          <w:szCs w:val="28"/>
        </w:rPr>
        <w:t>-</w:t>
      </w:r>
      <w:r>
        <w:rPr>
          <w:szCs w:val="28"/>
        </w:rPr>
        <w:t xml:space="preserve"> продолжение программы приватизации 2017 года.</w:t>
      </w:r>
    </w:p>
    <w:p w:rsidR="005E3C7D" w:rsidRPr="005E3C7D" w:rsidRDefault="005E3C7D" w:rsidP="005E3C7D">
      <w:pPr>
        <w:autoSpaceDE w:val="0"/>
        <w:autoSpaceDN w:val="0"/>
        <w:adjustRightInd w:val="0"/>
        <w:ind w:firstLine="709"/>
        <w:jc w:val="both"/>
      </w:pPr>
      <w:r w:rsidRPr="005E3C7D">
        <w:t xml:space="preserve">В отношении объектов </w:t>
      </w:r>
      <w:proofErr w:type="spellStart"/>
      <w:r w:rsidRPr="005E3C7D">
        <w:t>электросетевого</w:t>
      </w:r>
      <w:proofErr w:type="spellEnd"/>
      <w:r w:rsidRPr="005E3C7D">
        <w:t xml:space="preserve"> хозяйства необходимо отметить, что </w:t>
      </w:r>
      <w:r w:rsidRPr="00535697">
        <w:t>в Программе приватизации отсутствуют объекты, расположенные в 10-ти муниципальных районах (</w:t>
      </w:r>
      <w:proofErr w:type="spellStart"/>
      <w:r w:rsidRPr="00535697">
        <w:t>Серафимовичский</w:t>
      </w:r>
      <w:proofErr w:type="spellEnd"/>
      <w:r w:rsidRPr="00535697">
        <w:t xml:space="preserve">, </w:t>
      </w:r>
      <w:proofErr w:type="spellStart"/>
      <w:r w:rsidRPr="00535697">
        <w:t>Городищенский</w:t>
      </w:r>
      <w:proofErr w:type="spellEnd"/>
      <w:r w:rsidRPr="00535697">
        <w:t>, Октябрьский, Черны</w:t>
      </w:r>
      <w:r w:rsidR="00332088" w:rsidRPr="00535697">
        <w:t>ш</w:t>
      </w:r>
      <w:r w:rsidRPr="00535697">
        <w:t xml:space="preserve">ковский, </w:t>
      </w:r>
      <w:proofErr w:type="spellStart"/>
      <w:r w:rsidRPr="00535697">
        <w:t>Иловлинский</w:t>
      </w:r>
      <w:proofErr w:type="spellEnd"/>
      <w:r w:rsidRPr="00535697">
        <w:t xml:space="preserve">, </w:t>
      </w:r>
      <w:proofErr w:type="spellStart"/>
      <w:r w:rsidRPr="00535697">
        <w:t>Котельниковский</w:t>
      </w:r>
      <w:proofErr w:type="spellEnd"/>
      <w:r w:rsidRPr="00535697">
        <w:t xml:space="preserve">, </w:t>
      </w:r>
      <w:proofErr w:type="spellStart"/>
      <w:r w:rsidRPr="00535697">
        <w:t>Дубовский</w:t>
      </w:r>
      <w:proofErr w:type="spellEnd"/>
      <w:r w:rsidRPr="00535697">
        <w:t xml:space="preserve">, Ольховский, </w:t>
      </w:r>
      <w:proofErr w:type="spellStart"/>
      <w:r w:rsidRPr="00535697">
        <w:t>Жирновский</w:t>
      </w:r>
      <w:proofErr w:type="spellEnd"/>
      <w:r w:rsidRPr="00535697">
        <w:t xml:space="preserve">, </w:t>
      </w:r>
      <w:proofErr w:type="spellStart"/>
      <w:r w:rsidRPr="00535697">
        <w:t>Светлоярский</w:t>
      </w:r>
      <w:proofErr w:type="spellEnd"/>
      <w:r w:rsidRPr="00535697">
        <w:t xml:space="preserve">) и во всех городских округах. </w:t>
      </w:r>
      <w:r w:rsidR="00535697">
        <w:t>При этом в</w:t>
      </w:r>
      <w:r w:rsidRPr="005E3C7D">
        <w:t xml:space="preserve"> пояснительной записке к </w:t>
      </w:r>
      <w:r w:rsidR="00332088">
        <w:t>з</w:t>
      </w:r>
      <w:r w:rsidRPr="005E3C7D">
        <w:t xml:space="preserve">аконопроекту отсутствует информация о причинах, по которым органами местного самоуправления </w:t>
      </w:r>
      <w:r w:rsidR="00332088">
        <w:t>вышеперечисленных</w:t>
      </w:r>
      <w:r w:rsidRPr="005E3C7D">
        <w:t xml:space="preserve"> муниципальных районов и городских округов не были переданы в собственность Волгоградской области для осуществления указанных полномочий объектов </w:t>
      </w:r>
      <w:proofErr w:type="spellStart"/>
      <w:r w:rsidRPr="005E3C7D">
        <w:t>электросетевого</w:t>
      </w:r>
      <w:proofErr w:type="spellEnd"/>
      <w:r w:rsidRPr="005E3C7D">
        <w:t xml:space="preserve"> хозяйства, расположенных на их территории. Также отсутствует информация о том, каким способом планируется осуществление приватизации указанных в </w:t>
      </w:r>
      <w:r w:rsidR="00332088">
        <w:t>п</w:t>
      </w:r>
      <w:r w:rsidRPr="005E3C7D">
        <w:t xml:space="preserve">рограмме объектов </w:t>
      </w:r>
      <w:proofErr w:type="spellStart"/>
      <w:r w:rsidRPr="005E3C7D">
        <w:t>электросетевого</w:t>
      </w:r>
      <w:proofErr w:type="spellEnd"/>
      <w:r w:rsidRPr="005E3C7D">
        <w:t xml:space="preserve"> хозяйства;</w:t>
      </w:r>
    </w:p>
    <w:p w:rsidR="005E3C7D" w:rsidRPr="009E6D17" w:rsidRDefault="005E3C7D" w:rsidP="005E3C7D">
      <w:pPr>
        <w:pStyle w:val="af2"/>
        <w:ind w:firstLine="709"/>
        <w:jc w:val="both"/>
        <w:rPr>
          <w:szCs w:val="28"/>
        </w:rPr>
      </w:pPr>
      <w:r>
        <w:rPr>
          <w:szCs w:val="28"/>
        </w:rPr>
        <w:t>-создание трех обществ с ограниченной ответственностью путем преобразовании унитарных предприятий (ГУП «</w:t>
      </w:r>
      <w:proofErr w:type="spellStart"/>
      <w:r>
        <w:rPr>
          <w:szCs w:val="28"/>
        </w:rPr>
        <w:t>Волгофарм</w:t>
      </w:r>
      <w:proofErr w:type="spellEnd"/>
      <w:r>
        <w:rPr>
          <w:szCs w:val="28"/>
        </w:rPr>
        <w:t>», ГУП «</w:t>
      </w:r>
      <w:proofErr w:type="spellStart"/>
      <w:r>
        <w:rPr>
          <w:szCs w:val="28"/>
        </w:rPr>
        <w:t>Волгоградвзрывпром</w:t>
      </w:r>
      <w:proofErr w:type="spellEnd"/>
      <w:r>
        <w:rPr>
          <w:szCs w:val="28"/>
        </w:rPr>
        <w:t>» и ГУП «Волгоградское областное сельскохозяйственное предприятие «Заря» общей балансовой стоимостью 666, 7 млн. руб.).</w:t>
      </w:r>
    </w:p>
    <w:p w:rsidR="005E3C7D" w:rsidRDefault="005E3C7D" w:rsidP="00EA2C21">
      <w:pPr>
        <w:ind w:firstLine="708"/>
        <w:jc w:val="center"/>
        <w:rPr>
          <w:b/>
          <w:i/>
        </w:rPr>
      </w:pPr>
    </w:p>
    <w:p w:rsidR="00EA2C21" w:rsidRPr="00A17948" w:rsidRDefault="00666551" w:rsidP="00EA2C21">
      <w:pPr>
        <w:autoSpaceDE w:val="0"/>
        <w:autoSpaceDN w:val="0"/>
        <w:adjustRightInd w:val="0"/>
        <w:ind w:firstLine="720"/>
        <w:jc w:val="center"/>
        <w:rPr>
          <w:b/>
          <w:i/>
        </w:rPr>
      </w:pPr>
      <w:r>
        <w:rPr>
          <w:b/>
          <w:i/>
        </w:rPr>
        <w:t>7</w:t>
      </w:r>
      <w:r w:rsidR="00EA2C21">
        <w:rPr>
          <w:b/>
          <w:i/>
        </w:rPr>
        <w:t xml:space="preserve">. </w:t>
      </w:r>
      <w:r w:rsidR="00EA2C21" w:rsidRPr="00A17948">
        <w:rPr>
          <w:b/>
          <w:i/>
        </w:rPr>
        <w:t xml:space="preserve">Распределение средств областных фондов </w:t>
      </w:r>
    </w:p>
    <w:p w:rsidR="00EA2C21" w:rsidRPr="00A17948" w:rsidRDefault="00EA2C21" w:rsidP="00EA2C21">
      <w:pPr>
        <w:autoSpaceDE w:val="0"/>
        <w:autoSpaceDN w:val="0"/>
        <w:adjustRightInd w:val="0"/>
        <w:ind w:firstLine="720"/>
        <w:jc w:val="center"/>
        <w:rPr>
          <w:b/>
          <w:i/>
        </w:rPr>
      </w:pPr>
      <w:r w:rsidRPr="00A17948">
        <w:rPr>
          <w:b/>
          <w:i/>
        </w:rPr>
        <w:t>финансовой поддержки поселений, муниципальных районов (городских округов), иных дотаций, субвенций и субсидий из областного бюджета</w:t>
      </w:r>
      <w:r>
        <w:rPr>
          <w:b/>
          <w:i/>
        </w:rPr>
        <w:t>.</w:t>
      </w:r>
    </w:p>
    <w:p w:rsidR="00EA2C21" w:rsidRDefault="00EA2C21" w:rsidP="00EA2C21">
      <w:pPr>
        <w:autoSpaceDE w:val="0"/>
        <w:autoSpaceDN w:val="0"/>
        <w:adjustRightInd w:val="0"/>
        <w:ind w:firstLine="720"/>
        <w:jc w:val="both"/>
        <w:outlineLvl w:val="1"/>
      </w:pPr>
    </w:p>
    <w:p w:rsidR="007037B2" w:rsidRPr="00607C65" w:rsidRDefault="007037B2" w:rsidP="007037B2">
      <w:pPr>
        <w:ind w:firstLine="851"/>
        <w:jc w:val="both"/>
      </w:pPr>
      <w:r>
        <w:t xml:space="preserve">В соответствии с </w:t>
      </w:r>
      <w:r w:rsidR="00C05DDB">
        <w:t>п</w:t>
      </w:r>
      <w:r w:rsidRPr="003B63C8">
        <w:t xml:space="preserve">риложением 20 </w:t>
      </w:r>
      <w:r w:rsidRPr="007E3713">
        <w:t xml:space="preserve">к </w:t>
      </w:r>
      <w:r w:rsidR="00986867">
        <w:t>з</w:t>
      </w:r>
      <w:r w:rsidRPr="00D804F8">
        <w:t>аконопроекту (с учетом поправок</w:t>
      </w:r>
      <w:r w:rsidR="00986867">
        <w:t xml:space="preserve">, внесенных Администрацией Волгоградской области к 1 </w:t>
      </w:r>
      <w:r w:rsidRPr="00D804F8">
        <w:t>чтению)</w:t>
      </w:r>
      <w:r>
        <w:t xml:space="preserve"> </w:t>
      </w:r>
      <w:r w:rsidRPr="007E3713">
        <w:t>между бюджетами муниципальных о</w:t>
      </w:r>
      <w:r>
        <w:t xml:space="preserve">бразований распределены </w:t>
      </w:r>
      <w:r w:rsidRPr="00D804F8">
        <w:t>48 из 72</w:t>
      </w:r>
      <w:r w:rsidRPr="007E3713">
        <w:t xml:space="preserve"> видов межбюджетных трансфертов в общей </w:t>
      </w:r>
      <w:r w:rsidRPr="00B307C1">
        <w:t xml:space="preserve">сумме </w:t>
      </w:r>
      <w:r w:rsidRPr="00D804F8">
        <w:t>23420,2 млн. руб.,</w:t>
      </w:r>
      <w:r>
        <w:t xml:space="preserve"> что составляет 87,5</w:t>
      </w:r>
      <w:r w:rsidRPr="007E3713">
        <w:t xml:space="preserve">% от предусмотренного на 2018 год объема межбюджетных трансфертов </w:t>
      </w:r>
      <w:r w:rsidRPr="00607C65">
        <w:t>(</w:t>
      </w:r>
      <w:r w:rsidRPr="00D804F8">
        <w:t>26765,1 млн. руб.).</w:t>
      </w:r>
    </w:p>
    <w:p w:rsidR="007037B2" w:rsidRDefault="007037B2" w:rsidP="007037B2">
      <w:pPr>
        <w:ind w:firstLine="720"/>
        <w:jc w:val="both"/>
      </w:pPr>
    </w:p>
    <w:tbl>
      <w:tblPr>
        <w:tblStyle w:val="af7"/>
        <w:tblW w:w="0" w:type="auto"/>
        <w:jc w:val="center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229"/>
        <w:gridCol w:w="1729"/>
        <w:gridCol w:w="1157"/>
        <w:gridCol w:w="1188"/>
        <w:gridCol w:w="1225"/>
        <w:gridCol w:w="1077"/>
        <w:gridCol w:w="1151"/>
        <w:gridCol w:w="933"/>
      </w:tblGrid>
      <w:tr w:rsidR="007037B2" w:rsidRPr="00D804F8" w:rsidTr="007A110C">
        <w:trPr>
          <w:jc w:val="center"/>
        </w:trPr>
        <w:tc>
          <w:tcPr>
            <w:tcW w:w="29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b/>
                <w:sz w:val="20"/>
                <w:szCs w:val="20"/>
              </w:rPr>
            </w:pPr>
            <w:r w:rsidRPr="00D804F8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b/>
                <w:sz w:val="20"/>
                <w:szCs w:val="20"/>
              </w:rPr>
            </w:pPr>
            <w:r w:rsidRPr="00D804F8">
              <w:rPr>
                <w:b/>
                <w:sz w:val="20"/>
                <w:szCs w:val="20"/>
              </w:rPr>
              <w:t>Дотации</w:t>
            </w:r>
          </w:p>
        </w:tc>
        <w:tc>
          <w:tcPr>
            <w:tcW w:w="1191" w:type="dxa"/>
            <w:tcBorders>
              <w:top w:val="double" w:sz="4" w:space="0" w:color="auto"/>
              <w:bottom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b/>
                <w:sz w:val="20"/>
                <w:szCs w:val="20"/>
              </w:rPr>
            </w:pPr>
            <w:r w:rsidRPr="00D804F8">
              <w:rPr>
                <w:b/>
                <w:sz w:val="20"/>
                <w:szCs w:val="20"/>
              </w:rPr>
              <w:t>Субсидии</w:t>
            </w:r>
          </w:p>
        </w:tc>
        <w:tc>
          <w:tcPr>
            <w:tcW w:w="1225" w:type="dxa"/>
            <w:tcBorders>
              <w:top w:val="double" w:sz="4" w:space="0" w:color="auto"/>
              <w:bottom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b/>
                <w:sz w:val="20"/>
                <w:szCs w:val="20"/>
              </w:rPr>
            </w:pPr>
            <w:r w:rsidRPr="00D804F8">
              <w:rPr>
                <w:b/>
                <w:sz w:val="20"/>
                <w:szCs w:val="20"/>
              </w:rPr>
              <w:t>Субвенции</w:t>
            </w:r>
          </w:p>
        </w:tc>
        <w:tc>
          <w:tcPr>
            <w:tcW w:w="109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b/>
                <w:sz w:val="20"/>
                <w:szCs w:val="20"/>
              </w:rPr>
            </w:pPr>
            <w:r w:rsidRPr="00D804F8">
              <w:rPr>
                <w:b/>
                <w:sz w:val="20"/>
                <w:szCs w:val="20"/>
              </w:rPr>
              <w:t>Иные</w:t>
            </w:r>
          </w:p>
        </w:tc>
        <w:tc>
          <w:tcPr>
            <w:tcW w:w="11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b/>
                <w:sz w:val="20"/>
                <w:szCs w:val="20"/>
              </w:rPr>
            </w:pPr>
            <w:r w:rsidRPr="00D804F8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4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b/>
                <w:sz w:val="20"/>
                <w:szCs w:val="20"/>
              </w:rPr>
            </w:pPr>
            <w:r w:rsidRPr="00D804F8">
              <w:rPr>
                <w:b/>
                <w:sz w:val="20"/>
                <w:szCs w:val="20"/>
              </w:rPr>
              <w:t>%</w:t>
            </w:r>
          </w:p>
        </w:tc>
      </w:tr>
      <w:tr w:rsidR="007037B2" w:rsidRPr="00D804F8" w:rsidTr="007A110C">
        <w:trPr>
          <w:jc w:val="center"/>
        </w:trPr>
        <w:tc>
          <w:tcPr>
            <w:tcW w:w="123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 xml:space="preserve">Объем, </w:t>
            </w:r>
          </w:p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млн. руб.</w:t>
            </w:r>
          </w:p>
        </w:tc>
        <w:tc>
          <w:tcPr>
            <w:tcW w:w="1742" w:type="dxa"/>
            <w:tcBorders>
              <w:top w:val="double" w:sz="4" w:space="0" w:color="auto"/>
              <w:right w:val="double" w:sz="4" w:space="0" w:color="auto"/>
            </w:tcBorders>
          </w:tcPr>
          <w:p w:rsidR="007037B2" w:rsidRPr="00D804F8" w:rsidRDefault="00C05DDB" w:rsidP="007A110C">
            <w:pPr>
              <w:jc w:val="both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Р</w:t>
            </w:r>
            <w:r w:rsidR="007037B2" w:rsidRPr="00D804F8">
              <w:rPr>
                <w:sz w:val="20"/>
                <w:szCs w:val="20"/>
              </w:rPr>
              <w:t>аспределено</w:t>
            </w:r>
          </w:p>
        </w:tc>
        <w:tc>
          <w:tcPr>
            <w:tcW w:w="1163" w:type="dxa"/>
            <w:tcBorders>
              <w:top w:val="double" w:sz="4" w:space="0" w:color="auto"/>
              <w:lef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1 258,4</w:t>
            </w:r>
          </w:p>
        </w:tc>
        <w:tc>
          <w:tcPr>
            <w:tcW w:w="1191" w:type="dxa"/>
            <w:tcBorders>
              <w:top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4 267,7</w:t>
            </w:r>
          </w:p>
        </w:tc>
        <w:tc>
          <w:tcPr>
            <w:tcW w:w="1225" w:type="dxa"/>
            <w:tcBorders>
              <w:top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17 244,1</w:t>
            </w:r>
          </w:p>
        </w:tc>
        <w:tc>
          <w:tcPr>
            <w:tcW w:w="1090" w:type="dxa"/>
            <w:tcBorders>
              <w:top w:val="double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650,0</w:t>
            </w:r>
          </w:p>
        </w:tc>
        <w:tc>
          <w:tcPr>
            <w:tcW w:w="1158" w:type="dxa"/>
            <w:tcBorders>
              <w:top w:val="double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23 420,2</w:t>
            </w:r>
          </w:p>
        </w:tc>
        <w:tc>
          <w:tcPr>
            <w:tcW w:w="947" w:type="dxa"/>
            <w:tcBorders>
              <w:top w:val="double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87,5</w:t>
            </w:r>
          </w:p>
        </w:tc>
      </w:tr>
      <w:tr w:rsidR="007037B2" w:rsidRPr="00D804F8" w:rsidTr="007A110C">
        <w:trPr>
          <w:jc w:val="center"/>
        </w:trPr>
        <w:tc>
          <w:tcPr>
            <w:tcW w:w="1230" w:type="dxa"/>
            <w:vMerge/>
            <w:tcBorders>
              <w:left w:val="double" w:sz="4" w:space="0" w:color="auto"/>
            </w:tcBorders>
          </w:tcPr>
          <w:p w:rsidR="007037B2" w:rsidRPr="00D804F8" w:rsidRDefault="007037B2" w:rsidP="007A11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bottom w:val="dotted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both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1163" w:type="dxa"/>
            <w:tcBorders>
              <w:left w:val="double" w:sz="4" w:space="0" w:color="auto"/>
              <w:bottom w:val="dotted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685,0</w:t>
            </w:r>
          </w:p>
        </w:tc>
        <w:tc>
          <w:tcPr>
            <w:tcW w:w="1191" w:type="dxa"/>
            <w:tcBorders>
              <w:bottom w:val="dotted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2 622,3</w:t>
            </w:r>
          </w:p>
        </w:tc>
        <w:tc>
          <w:tcPr>
            <w:tcW w:w="1225" w:type="dxa"/>
            <w:tcBorders>
              <w:bottom w:val="dotted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35,4</w:t>
            </w:r>
          </w:p>
        </w:tc>
        <w:tc>
          <w:tcPr>
            <w:tcW w:w="1090" w:type="dxa"/>
            <w:tcBorders>
              <w:bottom w:val="dotted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2,2</w:t>
            </w:r>
          </w:p>
        </w:tc>
        <w:tc>
          <w:tcPr>
            <w:tcW w:w="1158" w:type="dxa"/>
            <w:tcBorders>
              <w:bottom w:val="dotted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3 344,9</w:t>
            </w:r>
          </w:p>
        </w:tc>
        <w:tc>
          <w:tcPr>
            <w:tcW w:w="947" w:type="dxa"/>
            <w:tcBorders>
              <w:bottom w:val="dotted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12,5</w:t>
            </w:r>
          </w:p>
        </w:tc>
      </w:tr>
      <w:tr w:rsidR="007037B2" w:rsidRPr="00D804F8" w:rsidTr="007A110C">
        <w:trPr>
          <w:jc w:val="center"/>
        </w:trPr>
        <w:tc>
          <w:tcPr>
            <w:tcW w:w="1230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:rsidR="007037B2" w:rsidRPr="00D804F8" w:rsidRDefault="007037B2" w:rsidP="007A11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bottom w:val="single" w:sz="4" w:space="0" w:color="auto"/>
              <w:right w:val="double" w:sz="4" w:space="0" w:color="auto"/>
            </w:tcBorders>
          </w:tcPr>
          <w:p w:rsidR="007037B2" w:rsidRPr="00D804F8" w:rsidRDefault="00C05DDB" w:rsidP="007A110C">
            <w:pPr>
              <w:jc w:val="both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В</w:t>
            </w:r>
            <w:r w:rsidR="007037B2" w:rsidRPr="00D804F8">
              <w:rPr>
                <w:sz w:val="20"/>
                <w:szCs w:val="20"/>
              </w:rPr>
              <w:t>сего</w:t>
            </w:r>
          </w:p>
        </w:tc>
        <w:tc>
          <w:tcPr>
            <w:tcW w:w="1163" w:type="dxa"/>
            <w:tcBorders>
              <w:left w:val="double" w:sz="4" w:space="0" w:color="auto"/>
              <w:bottom w:val="sing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1 943,4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6 890,0</w:t>
            </w:r>
          </w:p>
        </w:tc>
        <w:tc>
          <w:tcPr>
            <w:tcW w:w="1225" w:type="dxa"/>
            <w:tcBorders>
              <w:bottom w:val="sing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17 279,5</w:t>
            </w:r>
          </w:p>
        </w:tc>
        <w:tc>
          <w:tcPr>
            <w:tcW w:w="1090" w:type="dxa"/>
            <w:tcBorders>
              <w:bottom w:val="single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652,2</w:t>
            </w:r>
          </w:p>
        </w:tc>
        <w:tc>
          <w:tcPr>
            <w:tcW w:w="1158" w:type="dxa"/>
            <w:tcBorders>
              <w:bottom w:val="single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26 765,1</w:t>
            </w:r>
          </w:p>
        </w:tc>
        <w:tc>
          <w:tcPr>
            <w:tcW w:w="947" w:type="dxa"/>
            <w:tcBorders>
              <w:bottom w:val="single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100</w:t>
            </w:r>
          </w:p>
        </w:tc>
      </w:tr>
      <w:tr w:rsidR="007037B2" w:rsidRPr="00D804F8" w:rsidTr="007A110C">
        <w:trPr>
          <w:jc w:val="center"/>
        </w:trPr>
        <w:tc>
          <w:tcPr>
            <w:tcW w:w="1230" w:type="dxa"/>
            <w:vMerge w:val="restart"/>
            <w:tcBorders>
              <w:left w:val="double" w:sz="4" w:space="0" w:color="auto"/>
            </w:tcBorders>
            <w:vAlign w:val="center"/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Количество видов</w:t>
            </w:r>
          </w:p>
        </w:tc>
        <w:tc>
          <w:tcPr>
            <w:tcW w:w="1742" w:type="dxa"/>
            <w:tcBorders>
              <w:bottom w:val="dotted" w:sz="4" w:space="0" w:color="auto"/>
              <w:right w:val="double" w:sz="4" w:space="0" w:color="auto"/>
            </w:tcBorders>
          </w:tcPr>
          <w:p w:rsidR="007037B2" w:rsidRPr="00D804F8" w:rsidRDefault="00C05DDB" w:rsidP="007A110C">
            <w:pPr>
              <w:jc w:val="both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Р</w:t>
            </w:r>
            <w:r w:rsidR="007037B2" w:rsidRPr="00D804F8">
              <w:rPr>
                <w:sz w:val="20"/>
                <w:szCs w:val="20"/>
              </w:rPr>
              <w:t>аспределено</w:t>
            </w:r>
          </w:p>
        </w:tc>
        <w:tc>
          <w:tcPr>
            <w:tcW w:w="1163" w:type="dxa"/>
            <w:tcBorders>
              <w:left w:val="double" w:sz="4" w:space="0" w:color="auto"/>
              <w:bottom w:val="dotted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bottom w:val="dotted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18</w:t>
            </w:r>
          </w:p>
        </w:tc>
        <w:tc>
          <w:tcPr>
            <w:tcW w:w="1225" w:type="dxa"/>
            <w:tcBorders>
              <w:bottom w:val="dotted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27</w:t>
            </w:r>
          </w:p>
        </w:tc>
        <w:tc>
          <w:tcPr>
            <w:tcW w:w="1090" w:type="dxa"/>
            <w:tcBorders>
              <w:bottom w:val="dotted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1</w:t>
            </w:r>
          </w:p>
        </w:tc>
        <w:tc>
          <w:tcPr>
            <w:tcW w:w="1158" w:type="dxa"/>
            <w:tcBorders>
              <w:bottom w:val="dotted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48</w:t>
            </w:r>
          </w:p>
        </w:tc>
        <w:tc>
          <w:tcPr>
            <w:tcW w:w="947" w:type="dxa"/>
            <w:tcBorders>
              <w:bottom w:val="dotted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66,7</w:t>
            </w:r>
          </w:p>
        </w:tc>
      </w:tr>
      <w:tr w:rsidR="007037B2" w:rsidRPr="00D804F8" w:rsidTr="007A110C">
        <w:trPr>
          <w:jc w:val="center"/>
        </w:trPr>
        <w:tc>
          <w:tcPr>
            <w:tcW w:w="1230" w:type="dxa"/>
            <w:vMerge/>
            <w:tcBorders>
              <w:left w:val="double" w:sz="4" w:space="0" w:color="auto"/>
            </w:tcBorders>
          </w:tcPr>
          <w:p w:rsidR="007037B2" w:rsidRPr="00D804F8" w:rsidRDefault="007037B2" w:rsidP="007A11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bottom w:val="dotted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both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1163" w:type="dxa"/>
            <w:tcBorders>
              <w:left w:val="double" w:sz="4" w:space="0" w:color="auto"/>
              <w:bottom w:val="dotted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1</w:t>
            </w:r>
          </w:p>
        </w:tc>
        <w:tc>
          <w:tcPr>
            <w:tcW w:w="1191" w:type="dxa"/>
            <w:tcBorders>
              <w:bottom w:val="dotted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20</w:t>
            </w:r>
          </w:p>
        </w:tc>
        <w:tc>
          <w:tcPr>
            <w:tcW w:w="1225" w:type="dxa"/>
            <w:tcBorders>
              <w:bottom w:val="dotted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1</w:t>
            </w:r>
          </w:p>
        </w:tc>
        <w:tc>
          <w:tcPr>
            <w:tcW w:w="1090" w:type="dxa"/>
            <w:tcBorders>
              <w:bottom w:val="dotted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2</w:t>
            </w:r>
          </w:p>
        </w:tc>
        <w:tc>
          <w:tcPr>
            <w:tcW w:w="1158" w:type="dxa"/>
            <w:tcBorders>
              <w:bottom w:val="dotted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24</w:t>
            </w:r>
          </w:p>
        </w:tc>
        <w:tc>
          <w:tcPr>
            <w:tcW w:w="947" w:type="dxa"/>
            <w:tcBorders>
              <w:bottom w:val="dotted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33,3</w:t>
            </w:r>
          </w:p>
        </w:tc>
      </w:tr>
      <w:tr w:rsidR="007037B2" w:rsidRPr="00E02F9B" w:rsidTr="007A110C">
        <w:trPr>
          <w:jc w:val="center"/>
        </w:trPr>
        <w:tc>
          <w:tcPr>
            <w:tcW w:w="1230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7037B2" w:rsidRPr="00D804F8" w:rsidRDefault="007037B2" w:rsidP="007A11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bottom w:val="double" w:sz="4" w:space="0" w:color="auto"/>
              <w:right w:val="double" w:sz="4" w:space="0" w:color="auto"/>
            </w:tcBorders>
          </w:tcPr>
          <w:p w:rsidR="007037B2" w:rsidRPr="00D804F8" w:rsidRDefault="00C05DDB" w:rsidP="007A110C">
            <w:pPr>
              <w:jc w:val="both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В</w:t>
            </w:r>
            <w:r w:rsidR="007037B2" w:rsidRPr="00D804F8">
              <w:rPr>
                <w:sz w:val="20"/>
                <w:szCs w:val="20"/>
              </w:rPr>
              <w:t>сего</w:t>
            </w:r>
          </w:p>
        </w:tc>
        <w:tc>
          <w:tcPr>
            <w:tcW w:w="1163" w:type="dxa"/>
            <w:tcBorders>
              <w:left w:val="double" w:sz="4" w:space="0" w:color="auto"/>
              <w:bottom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38</w:t>
            </w:r>
          </w:p>
        </w:tc>
        <w:tc>
          <w:tcPr>
            <w:tcW w:w="1225" w:type="dxa"/>
            <w:tcBorders>
              <w:bottom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28</w:t>
            </w:r>
          </w:p>
        </w:tc>
        <w:tc>
          <w:tcPr>
            <w:tcW w:w="1090" w:type="dxa"/>
            <w:tcBorders>
              <w:bottom w:val="double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3</w:t>
            </w:r>
          </w:p>
        </w:tc>
        <w:tc>
          <w:tcPr>
            <w:tcW w:w="1158" w:type="dxa"/>
            <w:tcBorders>
              <w:bottom w:val="double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72</w:t>
            </w:r>
          </w:p>
        </w:tc>
        <w:tc>
          <w:tcPr>
            <w:tcW w:w="947" w:type="dxa"/>
            <w:tcBorders>
              <w:bottom w:val="double" w:sz="4" w:space="0" w:color="auto"/>
              <w:right w:val="double" w:sz="4" w:space="0" w:color="auto"/>
            </w:tcBorders>
          </w:tcPr>
          <w:p w:rsidR="007037B2" w:rsidRPr="00D804F8" w:rsidRDefault="007037B2" w:rsidP="007A110C">
            <w:pPr>
              <w:jc w:val="center"/>
              <w:rPr>
                <w:sz w:val="20"/>
                <w:szCs w:val="20"/>
              </w:rPr>
            </w:pPr>
            <w:r w:rsidRPr="00D804F8">
              <w:rPr>
                <w:sz w:val="20"/>
                <w:szCs w:val="20"/>
              </w:rPr>
              <w:t>100</w:t>
            </w:r>
          </w:p>
        </w:tc>
      </w:tr>
    </w:tbl>
    <w:p w:rsidR="007037B2" w:rsidRDefault="007037B2" w:rsidP="007037B2">
      <w:pPr>
        <w:ind w:firstLine="720"/>
        <w:jc w:val="both"/>
      </w:pPr>
    </w:p>
    <w:p w:rsidR="003F5E90" w:rsidRDefault="003F5E90" w:rsidP="007037B2">
      <w:pPr>
        <w:ind w:firstLine="720"/>
        <w:jc w:val="both"/>
      </w:pPr>
    </w:p>
    <w:p w:rsidR="007037B2" w:rsidRPr="007E3713" w:rsidRDefault="007037B2" w:rsidP="007037B2">
      <w:pPr>
        <w:autoSpaceDE w:val="0"/>
        <w:autoSpaceDN w:val="0"/>
        <w:adjustRightInd w:val="0"/>
        <w:ind w:firstLine="851"/>
        <w:jc w:val="both"/>
        <w:outlineLvl w:val="1"/>
        <w:rPr>
          <w:b/>
          <w:i/>
          <w:u w:val="single"/>
        </w:rPr>
      </w:pPr>
      <w:r w:rsidRPr="007E3713">
        <w:rPr>
          <w:b/>
          <w:i/>
          <w:u w:val="single"/>
        </w:rPr>
        <w:t>Дотации:</w:t>
      </w:r>
    </w:p>
    <w:p w:rsidR="007037B2" w:rsidRPr="007E3713" w:rsidRDefault="007037B2" w:rsidP="007037B2">
      <w:pPr>
        <w:autoSpaceDE w:val="0"/>
        <w:autoSpaceDN w:val="0"/>
        <w:adjustRightInd w:val="0"/>
        <w:ind w:firstLine="851"/>
        <w:jc w:val="both"/>
        <w:outlineLvl w:val="1"/>
      </w:pPr>
      <w:r w:rsidRPr="00D804F8">
        <w:t xml:space="preserve">Законопроектом объем дотаций </w:t>
      </w:r>
      <w:r w:rsidR="00A82040">
        <w:t xml:space="preserve">муниципальным образованиям </w:t>
      </w:r>
      <w:r w:rsidRPr="00D804F8">
        <w:t xml:space="preserve">на 2018 год предусмотрен в общей сумме 1943,4 млн. руб., из них 1258,4 млн. руб. </w:t>
      </w:r>
      <w:r w:rsidR="00A82040">
        <w:t>-</w:t>
      </w:r>
      <w:r w:rsidRPr="00D804F8">
        <w:t xml:space="preserve"> дотации на выравнивание бюджетной обеспеченности</w:t>
      </w:r>
      <w:r w:rsidR="00AF66C1">
        <w:t>;</w:t>
      </w:r>
      <w:r w:rsidRPr="00D804F8">
        <w:t xml:space="preserve"> 685 млн. руб. - дотации на поддержку мер по обеспечению сбалансированности местных бюджетов.</w:t>
      </w:r>
    </w:p>
    <w:p w:rsidR="007037B2" w:rsidRPr="007E3713" w:rsidRDefault="007037B2" w:rsidP="007037B2">
      <w:pPr>
        <w:autoSpaceDE w:val="0"/>
        <w:autoSpaceDN w:val="0"/>
        <w:adjustRightInd w:val="0"/>
        <w:ind w:firstLine="851"/>
        <w:jc w:val="both"/>
        <w:outlineLvl w:val="1"/>
      </w:pPr>
      <w:r w:rsidRPr="007E3713">
        <w:lastRenderedPageBreak/>
        <w:t>Распределение средств областных фондов финансовой поддержки поселений</w:t>
      </w:r>
      <w:r w:rsidRPr="007E3713">
        <w:rPr>
          <w:b/>
          <w:i/>
        </w:rPr>
        <w:t xml:space="preserve"> </w:t>
      </w:r>
      <w:r w:rsidRPr="007E3713">
        <w:t>(</w:t>
      </w:r>
      <w:r w:rsidRPr="007E3713">
        <w:rPr>
          <w:i/>
        </w:rPr>
        <w:t xml:space="preserve">ФФПП (в части городских округов), ФФПП (в части городских и сельских поселений)) </w:t>
      </w:r>
      <w:r w:rsidRPr="007E3713">
        <w:t>и муниципальных районов (городских округов) (</w:t>
      </w:r>
      <w:r w:rsidRPr="007E3713">
        <w:rPr>
          <w:i/>
        </w:rPr>
        <w:t>ФФП М</w:t>
      </w:r>
      <w:proofErr w:type="gramStart"/>
      <w:r w:rsidRPr="007E3713">
        <w:rPr>
          <w:i/>
        </w:rPr>
        <w:t>Р(</w:t>
      </w:r>
      <w:proofErr w:type="gramEnd"/>
      <w:r w:rsidRPr="007E3713">
        <w:rPr>
          <w:i/>
        </w:rPr>
        <w:t>ГО))</w:t>
      </w:r>
      <w:r w:rsidRPr="007E3713">
        <w:t xml:space="preserve"> осуществлялось по методикам, утвержденным Законом Волгоградской области </w:t>
      </w:r>
      <w:r w:rsidRPr="007E3713">
        <w:rPr>
          <w:bCs/>
        </w:rPr>
        <w:t xml:space="preserve">от 26.07.2005 №1093-ОД «О межбюджетных отношениях </w:t>
      </w:r>
      <w:r w:rsidRPr="007E3713">
        <w:t>в Волгоградской области»</w:t>
      </w:r>
      <w:r>
        <w:t xml:space="preserve"> (далее Закон </w:t>
      </w:r>
      <w:r w:rsidRPr="001925DA">
        <w:t>о межбюджетных отношениях №1093-ОД</w:t>
      </w:r>
      <w:r>
        <w:t>)</w:t>
      </w:r>
      <w:r w:rsidRPr="007E3713">
        <w:t>.</w:t>
      </w:r>
    </w:p>
    <w:p w:rsidR="007037B2" w:rsidRPr="007E3713" w:rsidRDefault="007037B2" w:rsidP="007037B2">
      <w:pPr>
        <w:ind w:firstLine="851"/>
        <w:jc w:val="both"/>
      </w:pPr>
      <w:r w:rsidRPr="007E3713">
        <w:t xml:space="preserve">Расчетные дотации из </w:t>
      </w:r>
      <w:r w:rsidRPr="007E3713">
        <w:rPr>
          <w:i/>
          <w:u w:val="single"/>
        </w:rPr>
        <w:t>ФФПП (в части городских округов)</w:t>
      </w:r>
      <w:r w:rsidRPr="007E3713">
        <w:t xml:space="preserve"> в 2018 году определены в общей сумме 692,2 млн. руб. (1150 руб. на одного жителя), что на 1170,5 млн. руб., или на 62,8% меньше показателя 2017 года, что обусловлено</w:t>
      </w:r>
      <w:r w:rsidRPr="001925DA">
        <w:t xml:space="preserve"> превышением в отчетном финансовом году расчетных налоговых доходов бюджета г</w:t>
      </w:r>
      <w:proofErr w:type="gramStart"/>
      <w:r w:rsidRPr="001925DA">
        <w:t>.В</w:t>
      </w:r>
      <w:proofErr w:type="gramEnd"/>
      <w:r w:rsidRPr="001925DA">
        <w:t>олгограда (без учета налоговых доходов по дополнительным нормативам отчислений) 1,3-кратного среднего уровня по муниципальным районам (городским окру</w:t>
      </w:r>
      <w:r>
        <w:t xml:space="preserve">гам) в расчете на одного жителя, установленного внесенными изменениями в Закон </w:t>
      </w:r>
      <w:r w:rsidRPr="001925DA">
        <w:t>о межбюджетных отношениях №1093-ОД</w:t>
      </w:r>
      <w:r>
        <w:t xml:space="preserve"> в октябре 2017 го</w:t>
      </w:r>
      <w:r w:rsidRPr="00474F88">
        <w:t>да.  Все</w:t>
      </w:r>
      <w:r w:rsidRPr="007E3713">
        <w:t xml:space="preserve"> расчетные дотации заменены дополнительными нормативами отчислений от налога на доходы физических лиц.</w:t>
      </w:r>
    </w:p>
    <w:p w:rsidR="00A82040" w:rsidRDefault="007037B2" w:rsidP="00A82040">
      <w:pPr>
        <w:ind w:firstLine="720"/>
        <w:jc w:val="both"/>
      </w:pPr>
      <w:r w:rsidRPr="002448C5">
        <w:t xml:space="preserve">Объем дотаций бюджетам поселений из </w:t>
      </w:r>
      <w:r w:rsidRPr="002448C5">
        <w:rPr>
          <w:i/>
          <w:u w:val="single"/>
        </w:rPr>
        <w:t>ФФПП (в части городских и сельских поселений)</w:t>
      </w:r>
      <w:r w:rsidRPr="002448C5">
        <w:t xml:space="preserve"> в 2018 году законопроектом предусмотрен в общей сумме 1068,7 млн. руб. из расчета 1150 руб. на одного жителя и превышает объем дотаций 2017 года на 2,2 млн. руб., или на 0,2 процента. Замена дотаций из ФФПП (в части городских и сельских поселений) на 2018 год и плановый период 2019 и 2020 годов дополнительными нормативами отчислений от налога на доходы физических лиц законопроектом не предусмотрена.</w:t>
      </w:r>
      <w:r w:rsidR="00A82040">
        <w:t xml:space="preserve"> </w:t>
      </w:r>
    </w:p>
    <w:p w:rsidR="007037B2" w:rsidRPr="00DB6FBD" w:rsidRDefault="007037B2" w:rsidP="00A82040">
      <w:pPr>
        <w:ind w:firstLine="720"/>
        <w:jc w:val="both"/>
      </w:pPr>
      <w:r w:rsidRPr="00796D34">
        <w:t>Расчетный объем дотаци</w:t>
      </w:r>
      <w:r w:rsidR="00A82040">
        <w:t>й</w:t>
      </w:r>
      <w:r w:rsidRPr="00796D34">
        <w:t xml:space="preserve"> на выравнивание бюджетной обеспеченности из </w:t>
      </w:r>
      <w:r w:rsidRPr="00796D34">
        <w:rPr>
          <w:i/>
          <w:u w:val="single"/>
        </w:rPr>
        <w:t>ФФП М</w:t>
      </w:r>
      <w:proofErr w:type="gramStart"/>
      <w:r w:rsidRPr="00796D34">
        <w:rPr>
          <w:i/>
          <w:u w:val="single"/>
        </w:rPr>
        <w:t>Р(</w:t>
      </w:r>
      <w:proofErr w:type="gramEnd"/>
      <w:r w:rsidRPr="00796D34">
        <w:rPr>
          <w:i/>
          <w:u w:val="single"/>
        </w:rPr>
        <w:t>ГО)</w:t>
      </w:r>
      <w:r w:rsidRPr="00796D34">
        <w:t xml:space="preserve"> на 2018 год определен в сумме 4452,3 млн. руб., что на 13,6 млн. руб. (0,3%) больше показателя 2017 года (4438,7 млн. руб.). </w:t>
      </w:r>
      <w:proofErr w:type="gramStart"/>
      <w:r w:rsidRPr="00796D34">
        <w:t>Увеличение объем</w:t>
      </w:r>
      <w:r w:rsidR="00A82040">
        <w:t>а</w:t>
      </w:r>
      <w:r w:rsidRPr="00796D34">
        <w:t xml:space="preserve"> дотаций сложилось по городским округам (в основном по г. Волгограду) за счет дотации, компенсирующей разницу между дотациями планируемого и текущего финансового года с учетом коэффициента 0,01 для муниципальных районов (городских округов),  у которых расчетные налоговые доходы бюджета (без учета налоговых доходов по дополнительным нормативам отчислений) превысили 1,3-кратный средний уровень по муниципальным районам (городским округам) в расчете на</w:t>
      </w:r>
      <w:proofErr w:type="gramEnd"/>
      <w:r w:rsidRPr="00796D34">
        <w:t xml:space="preserve"> одного жителя. </w:t>
      </w:r>
    </w:p>
    <w:p w:rsidR="007037B2" w:rsidRPr="00F4254E" w:rsidRDefault="007037B2" w:rsidP="007037B2">
      <w:pPr>
        <w:ind w:firstLine="851"/>
        <w:jc w:val="both"/>
      </w:pPr>
      <w:r>
        <w:t xml:space="preserve"> </w:t>
      </w:r>
      <w:r w:rsidRPr="001256E0">
        <w:t>Замена расчетных дотаций дополнительным нормативом отчислений от НДФЛ из ФФП М</w:t>
      </w:r>
      <w:proofErr w:type="gramStart"/>
      <w:r w:rsidRPr="001256E0">
        <w:t>Р(</w:t>
      </w:r>
      <w:proofErr w:type="gramEnd"/>
      <w:r w:rsidRPr="001256E0">
        <w:t>ГО) произведена по всем муниципальным районам и городским округам</w:t>
      </w:r>
      <w:r>
        <w:t>.</w:t>
      </w:r>
    </w:p>
    <w:p w:rsidR="007037B2" w:rsidRPr="007D0094" w:rsidRDefault="007037B2" w:rsidP="007037B2">
      <w:pPr>
        <w:ind w:firstLine="851"/>
        <w:jc w:val="both"/>
      </w:pPr>
      <w:r w:rsidRPr="007D0094">
        <w:t xml:space="preserve">Кроме дотаций из фондов финансовой поддержки законопроектом предусмотрен </w:t>
      </w:r>
      <w:r w:rsidRPr="007D0094">
        <w:rPr>
          <w:b/>
          <w:i/>
        </w:rPr>
        <w:t xml:space="preserve">нераспределенный объем дотаций муниципальным образованиям на поддержку мер по обеспечению сбалансированности местных бюджетов </w:t>
      </w:r>
      <w:r w:rsidRPr="000F04F0">
        <w:t>на</w:t>
      </w:r>
      <w:r>
        <w:rPr>
          <w:b/>
          <w:i/>
        </w:rPr>
        <w:t xml:space="preserve"> </w:t>
      </w:r>
      <w:r w:rsidRPr="007D0094">
        <w:t>201</w:t>
      </w:r>
      <w:r>
        <w:t xml:space="preserve">8 год в сумме </w:t>
      </w:r>
      <w:r w:rsidRPr="00D804F8">
        <w:t>685</w:t>
      </w:r>
      <w:r w:rsidRPr="007D0094">
        <w:t xml:space="preserve"> млн. рублей. Возможность предоставления </w:t>
      </w:r>
      <w:r w:rsidR="00A82040">
        <w:t xml:space="preserve">таких </w:t>
      </w:r>
      <w:r w:rsidRPr="007D0094">
        <w:t>дотаций предусмотрена Законом Волгоградской области от 09.02.2011 №2151-ОД «О дотациях бюджетам муниципальных образований Волгоградской области на поддержку мер по обеспечению сбалансированности местных бюджетов».</w:t>
      </w:r>
    </w:p>
    <w:p w:rsidR="007037B2" w:rsidRPr="007E3713" w:rsidRDefault="007037B2" w:rsidP="007037B2">
      <w:pPr>
        <w:ind w:firstLine="709"/>
        <w:jc w:val="both"/>
        <w:rPr>
          <w:highlight w:val="yellow"/>
        </w:rPr>
      </w:pPr>
    </w:p>
    <w:p w:rsidR="00756B53" w:rsidRDefault="007037B2" w:rsidP="00756B53">
      <w:pPr>
        <w:ind w:firstLine="709"/>
        <w:jc w:val="both"/>
        <w:rPr>
          <w:b/>
          <w:i/>
          <w:u w:val="single"/>
        </w:rPr>
      </w:pPr>
      <w:r w:rsidRPr="00301089">
        <w:rPr>
          <w:b/>
          <w:i/>
          <w:u w:val="single"/>
        </w:rPr>
        <w:t>Субсидии</w:t>
      </w:r>
    </w:p>
    <w:p w:rsidR="00756B53" w:rsidRDefault="007037B2" w:rsidP="00756B53">
      <w:pPr>
        <w:ind w:firstLine="709"/>
        <w:jc w:val="both"/>
        <w:rPr>
          <w:b/>
          <w:i/>
          <w:u w:val="single"/>
        </w:rPr>
      </w:pPr>
      <w:r w:rsidRPr="00301089">
        <w:t xml:space="preserve">Законопроектом объем субсидий на 2018 год предусмотрен в размере </w:t>
      </w:r>
      <w:r w:rsidRPr="00D804F8">
        <w:t>6890 млн. руб., что на 468,5 млн. руб., или на 6,4% меньше объема субсидий в 2017 году (7358,5 млн. руб.). Наибольшее уменьшение объемов субсидии в абсолютных величинах отмечается</w:t>
      </w:r>
      <w:r w:rsidRPr="00150672">
        <w:t xml:space="preserve"> </w:t>
      </w:r>
      <w:r>
        <w:t>по с</w:t>
      </w:r>
      <w:r w:rsidRPr="00C021EA">
        <w:t xml:space="preserve">убсидии местным бюджетам на </w:t>
      </w:r>
      <w:proofErr w:type="spellStart"/>
      <w:r w:rsidRPr="00C021EA">
        <w:t>софинансирование</w:t>
      </w:r>
      <w:proofErr w:type="spellEnd"/>
      <w:r w:rsidRPr="00C021EA">
        <w:t xml:space="preserve"> капитальных</w:t>
      </w:r>
      <w:r>
        <w:t xml:space="preserve"> </w:t>
      </w:r>
      <w:r w:rsidRPr="00C021EA">
        <w:t>вложений в объе</w:t>
      </w:r>
      <w:r>
        <w:t>кты муниципальной собственности</w:t>
      </w:r>
      <w:r w:rsidRPr="00C021EA">
        <w:t xml:space="preserve"> в рамках</w:t>
      </w:r>
      <w:r>
        <w:t xml:space="preserve"> </w:t>
      </w:r>
      <w:r w:rsidRPr="00C021EA">
        <w:t>реализации мероприятий по стимулированию программ развития</w:t>
      </w:r>
      <w:r>
        <w:t xml:space="preserve"> </w:t>
      </w:r>
      <w:r w:rsidRPr="00C021EA">
        <w:t>жилищного строительства, которые осуществляются из местных</w:t>
      </w:r>
      <w:r>
        <w:t xml:space="preserve"> </w:t>
      </w:r>
      <w:r w:rsidRPr="00C021EA">
        <w:t>бюджетов</w:t>
      </w:r>
      <w:r w:rsidR="00A3363A">
        <w:t>,</w:t>
      </w:r>
      <w:r w:rsidRPr="00150672">
        <w:rPr>
          <w:lang w:eastAsia="en-US"/>
        </w:rPr>
        <w:t xml:space="preserve"> - на </w:t>
      </w:r>
      <w:r>
        <w:rPr>
          <w:lang w:eastAsia="en-US"/>
        </w:rPr>
        <w:t xml:space="preserve"> 641,8 млн. руб. (с 712,5 до 70,7 млн. руб., или на 90,1%).</w:t>
      </w:r>
    </w:p>
    <w:p w:rsidR="00756B53" w:rsidRPr="00A3363A" w:rsidRDefault="007037B2" w:rsidP="00756B53">
      <w:pPr>
        <w:ind w:firstLine="709"/>
        <w:jc w:val="both"/>
        <w:rPr>
          <w:b/>
          <w:i/>
          <w:u w:val="single"/>
        </w:rPr>
      </w:pPr>
      <w:r w:rsidRPr="00A3363A">
        <w:rPr>
          <w:b/>
          <w:i/>
        </w:rPr>
        <w:t xml:space="preserve">Нераспределенный объем субсидий на 2018 год согласно информации, представленной комитетом финансов Волгоградской области, составляет 2622,3 млн. руб., или 38,1% от общего объема субсидий. </w:t>
      </w:r>
    </w:p>
    <w:p w:rsidR="007037B2" w:rsidRPr="00756B53" w:rsidRDefault="007037B2" w:rsidP="00756B53">
      <w:pPr>
        <w:ind w:firstLine="709"/>
        <w:jc w:val="both"/>
        <w:rPr>
          <w:b/>
          <w:i/>
          <w:u w:val="single"/>
        </w:rPr>
      </w:pPr>
      <w:r w:rsidRPr="00413576">
        <w:t xml:space="preserve">В суммовом выражении </w:t>
      </w:r>
      <w:r w:rsidRPr="006D352A">
        <w:t xml:space="preserve">наибольшие нераспределенные объемы </w:t>
      </w:r>
      <w:r w:rsidRPr="00413576">
        <w:t>сложились по следующим видам субсидий:</w:t>
      </w:r>
    </w:p>
    <w:p w:rsidR="007037B2" w:rsidRPr="00413576" w:rsidRDefault="007037B2" w:rsidP="007037B2">
      <w:pPr>
        <w:ind w:firstLine="720"/>
        <w:jc w:val="both"/>
      </w:pPr>
      <w:r w:rsidRPr="00413576">
        <w:lastRenderedPageBreak/>
        <w:t>-1108,4 млн. руб. - субсидии бюджетам муниципальных образований на формирование муниципальных дорожных</w:t>
      </w:r>
      <w:r>
        <w:t xml:space="preserve"> фондов</w:t>
      </w:r>
      <w:r w:rsidRPr="00413576">
        <w:t>;</w:t>
      </w:r>
    </w:p>
    <w:p w:rsidR="007037B2" w:rsidRPr="00413576" w:rsidRDefault="007037B2" w:rsidP="007037B2">
      <w:pPr>
        <w:ind w:firstLine="720"/>
        <w:jc w:val="both"/>
      </w:pPr>
      <w:r w:rsidRPr="00413576">
        <w:t xml:space="preserve">-921 млн. руб. </w:t>
      </w:r>
      <w:r w:rsidR="00A3363A">
        <w:t>-</w:t>
      </w:r>
      <w:r w:rsidRPr="00413576">
        <w:t xml:space="preserve"> субсидии из областного бюджета местным бюджетам в целях </w:t>
      </w:r>
      <w:proofErr w:type="spellStart"/>
      <w:r w:rsidRPr="00413576">
        <w:t>софинансирования</w:t>
      </w:r>
      <w:proofErr w:type="spellEnd"/>
      <w:r w:rsidRPr="00413576">
        <w:t xml:space="preserve"> муниципальных программ, направленных на реализацию мероприятий по благоустройству территории муниципальных образований;</w:t>
      </w:r>
    </w:p>
    <w:p w:rsidR="007037B2" w:rsidRPr="00413576" w:rsidRDefault="007037B2" w:rsidP="007037B2">
      <w:pPr>
        <w:ind w:firstLine="720"/>
        <w:jc w:val="both"/>
        <w:rPr>
          <w:highlight w:val="yellow"/>
        </w:rPr>
      </w:pPr>
      <w:r w:rsidRPr="00413576">
        <w:t xml:space="preserve">-150 млн. руб. </w:t>
      </w:r>
      <w:r w:rsidR="00C05DDB">
        <w:t>-</w:t>
      </w:r>
      <w:r w:rsidRPr="00413576">
        <w:t xml:space="preserve"> субсидии на приобретение и замену оконных </w:t>
      </w:r>
      <w:proofErr w:type="gramStart"/>
      <w:r w:rsidRPr="00413576">
        <w:t>блоков</w:t>
      </w:r>
      <w:proofErr w:type="gramEnd"/>
      <w:r w:rsidRPr="00413576">
        <w:t xml:space="preserve"> и выполнение необходимых для этого работ в зданиях муниципальных образовательных организаций Волгоградской области</w:t>
      </w:r>
      <w:r>
        <w:t>.</w:t>
      </w:r>
    </w:p>
    <w:p w:rsidR="007037B2" w:rsidRDefault="007037B2" w:rsidP="007037B2">
      <w:pPr>
        <w:ind w:firstLine="851"/>
        <w:jc w:val="both"/>
        <w:rPr>
          <w:bCs/>
        </w:rPr>
      </w:pPr>
      <w:r w:rsidRPr="00D958EC">
        <w:t xml:space="preserve">В составе субсидий местным бюджетам из областного бюджета </w:t>
      </w:r>
      <w:r w:rsidR="00C05DDB">
        <w:t>з</w:t>
      </w:r>
      <w:r w:rsidRPr="00D958EC">
        <w:t xml:space="preserve">аконопроектом предусмотрены субсидии на обеспечение сбалансированности местных бюджетов в общей сумме 712,5 млн. </w:t>
      </w:r>
      <w:r w:rsidRPr="00666249">
        <w:t>руб</w:t>
      </w:r>
      <w:r w:rsidRPr="00666249">
        <w:rPr>
          <w:rFonts w:eastAsia="TimesNewRomanPSMT"/>
        </w:rPr>
        <w:t>лей.</w:t>
      </w:r>
      <w:r w:rsidRPr="00666249">
        <w:t xml:space="preserve"> </w:t>
      </w:r>
      <w:r w:rsidRPr="00493D51">
        <w:t xml:space="preserve">С </w:t>
      </w:r>
      <w:r w:rsidR="00C05DDB">
        <w:t>з</w:t>
      </w:r>
      <w:r w:rsidRPr="00493D51">
        <w:t>аконопроектом представлен проект постановления Администрации Волгоградской области «</w:t>
      </w:r>
      <w:r w:rsidRPr="00493D51">
        <w:rPr>
          <w:bCs/>
        </w:rPr>
        <w:t>О предоставлении в 2018 году</w:t>
      </w:r>
      <w:r w:rsidRPr="00493D51">
        <w:rPr>
          <w:b/>
          <w:bCs/>
        </w:rPr>
        <w:t xml:space="preserve"> </w:t>
      </w:r>
      <w:r w:rsidRPr="00493D51">
        <w:rPr>
          <w:bCs/>
        </w:rPr>
        <w:t>из областного бюджета бюджетам муниципальных образований Волгоградской области субсидий на обеспечение сбалансированности местных бюджетов</w:t>
      </w:r>
      <w:r w:rsidRPr="00493D51">
        <w:t>».</w:t>
      </w:r>
      <w:r w:rsidRPr="00493D51">
        <w:rPr>
          <w:color w:val="FF0000"/>
        </w:rPr>
        <w:t xml:space="preserve"> </w:t>
      </w:r>
      <w:r w:rsidRPr="00493D51">
        <w:t xml:space="preserve">Проектом постановления предусмотрены порядок предоставления субсидий, методика распределения и методика оценки эффективности их предоставления. Право на получение субсидий в 2018 году предусмотрено муниципальным районам Волгоградской области, у которых отсутствуют обязательства по перечислению субсидий в областной бюджет в соответствии со статьей 142.2 БК РФ. </w:t>
      </w:r>
      <w:r>
        <w:t xml:space="preserve">Субсидии предоставляются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 муниципальных образований, </w:t>
      </w:r>
      <w:r w:rsidRPr="00493D51">
        <w:t xml:space="preserve">возникающих при выполнении полномочий органов местного самоуправления по </w:t>
      </w:r>
      <w:r w:rsidRPr="00493D51">
        <w:rPr>
          <w:bCs/>
        </w:rPr>
        <w:t xml:space="preserve">вопросам местного значения. </w:t>
      </w:r>
    </w:p>
    <w:p w:rsidR="007037B2" w:rsidRPr="00666249" w:rsidRDefault="007037B2" w:rsidP="007037B2">
      <w:pPr>
        <w:ind w:firstLine="851"/>
        <w:jc w:val="both"/>
        <w:rPr>
          <w:rFonts w:eastAsia="TimesNewRomanPSMT"/>
        </w:rPr>
      </w:pPr>
      <w:r w:rsidRPr="003B3C86">
        <w:t xml:space="preserve">Объем субсидии конкретному муниципальному образованию </w:t>
      </w:r>
      <w:r w:rsidRPr="009A422F">
        <w:t>предлагается формировать как сумму субсиди</w:t>
      </w:r>
      <w:r w:rsidR="00C05DDB">
        <w:t>й</w:t>
      </w:r>
      <w:r w:rsidRPr="009A422F">
        <w:t xml:space="preserve"> бюджетам поселений, входящих в состав соответствующих муниципальных районов, предусмотренной на 2017 год в соответствии с таблицей 3 приложения 26 к Закону Волгоградской области от 26.12.2016 №126-ОД «Об областном бюджете на 2017 год и плановый период 2018 и 2019 годов».</w:t>
      </w:r>
      <w:r>
        <w:t xml:space="preserve"> </w:t>
      </w:r>
    </w:p>
    <w:p w:rsidR="007037B2" w:rsidRDefault="007037B2" w:rsidP="007037B2">
      <w:pPr>
        <w:autoSpaceDE w:val="0"/>
        <w:autoSpaceDN w:val="0"/>
        <w:adjustRightInd w:val="0"/>
        <w:ind w:firstLine="851"/>
        <w:jc w:val="both"/>
      </w:pPr>
      <w:r w:rsidRPr="003E6EAC">
        <w:t>Объем финансовой пом</w:t>
      </w:r>
      <w:r>
        <w:t>ощи муниципальным районам в 2018</w:t>
      </w:r>
      <w:r w:rsidRPr="003E6EAC">
        <w:t xml:space="preserve"> году в связи с отсутствием субсидий на обеспечение сбалансированности складывается только из дотаций на выравнивание бюджетной обеспеченности из ФФП М</w:t>
      </w:r>
      <w:proofErr w:type="gramStart"/>
      <w:r w:rsidRPr="003E6EAC">
        <w:t>Р(</w:t>
      </w:r>
      <w:proofErr w:type="gramEnd"/>
      <w:r w:rsidRPr="003E6EAC">
        <w:t xml:space="preserve">ГО). Дотации на выравнивание бюджетной обеспеченности предусмотрены в объеме 3527,4 млн. руб., что </w:t>
      </w:r>
      <w:r w:rsidR="00DC1F33">
        <w:t>соответствует</w:t>
      </w:r>
      <w:r w:rsidRPr="003E6EAC">
        <w:t xml:space="preserve"> объему финансовой помощи в 2017 году. </w:t>
      </w:r>
    </w:p>
    <w:p w:rsidR="007037B2" w:rsidRPr="007E3713" w:rsidRDefault="007037B2" w:rsidP="007037B2">
      <w:pPr>
        <w:autoSpaceDE w:val="0"/>
        <w:autoSpaceDN w:val="0"/>
        <w:adjustRightInd w:val="0"/>
        <w:ind w:firstLine="851"/>
        <w:jc w:val="both"/>
        <w:rPr>
          <w:highlight w:val="yellow"/>
        </w:rPr>
      </w:pPr>
      <w:r w:rsidRPr="00213595">
        <w:t>Объем финансовой помощи бюджетам городских округов в 2018 году в виде дотаций из ФФПП и ФФП М</w:t>
      </w:r>
      <w:proofErr w:type="gramStart"/>
      <w:r w:rsidRPr="00213595">
        <w:t>Р(</w:t>
      </w:r>
      <w:proofErr w:type="gramEnd"/>
      <w:r w:rsidRPr="00213595">
        <w:t>ГО) меньше объема помощи 2017 года на 1156,9 млн. руб., или на 41,7</w:t>
      </w:r>
      <w:r>
        <w:t xml:space="preserve"> процента</w:t>
      </w:r>
      <w:r w:rsidRPr="00213595">
        <w:t xml:space="preserve">. Уменьшение сложилось </w:t>
      </w:r>
      <w:r w:rsidRPr="00213595">
        <w:rPr>
          <w:bCs/>
        </w:rPr>
        <w:t>по</w:t>
      </w:r>
      <w:r>
        <w:rPr>
          <w:bCs/>
        </w:rPr>
        <w:t xml:space="preserve"> причине </w:t>
      </w:r>
      <w:r>
        <w:t>превышения</w:t>
      </w:r>
      <w:r w:rsidRPr="006C61A3">
        <w:t xml:space="preserve"> в отчетном финансовом году расчетных налоговых доходов бюджета г</w:t>
      </w:r>
      <w:proofErr w:type="gramStart"/>
      <w:r w:rsidRPr="006C61A3">
        <w:t>.В</w:t>
      </w:r>
      <w:proofErr w:type="gramEnd"/>
      <w:r w:rsidRPr="006C61A3">
        <w:t>олгограда (без учета налоговых доходов по дополнительным нормативам отчислений) 1,3-кратного среднего уровня по муниципальным районам (городским округам) в расчете на одного жителя</w:t>
      </w:r>
      <w:r>
        <w:t>.</w:t>
      </w:r>
    </w:p>
    <w:p w:rsidR="007037B2" w:rsidRPr="003931F8" w:rsidRDefault="007037B2" w:rsidP="007037B2">
      <w:pPr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3931F8">
        <w:rPr>
          <w:sz w:val="20"/>
          <w:szCs w:val="20"/>
        </w:rPr>
        <w:t>млн. руб.</w:t>
      </w:r>
    </w:p>
    <w:tbl>
      <w:tblPr>
        <w:tblW w:w="9654" w:type="dxa"/>
        <w:tblInd w:w="9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129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9"/>
      </w:tblGrid>
      <w:tr w:rsidR="007037B2" w:rsidRPr="007E3713" w:rsidTr="007A110C">
        <w:trPr>
          <w:trHeight w:val="315"/>
        </w:trPr>
        <w:tc>
          <w:tcPr>
            <w:tcW w:w="129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jc w:val="center"/>
              <w:rPr>
                <w:b/>
                <w:bCs/>
                <w:sz w:val="18"/>
                <w:szCs w:val="18"/>
              </w:rPr>
            </w:pPr>
            <w:r w:rsidRPr="00CC73F0">
              <w:rPr>
                <w:b/>
                <w:bCs/>
                <w:sz w:val="18"/>
                <w:szCs w:val="18"/>
              </w:rPr>
              <w:t>Городской округ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jc w:val="center"/>
              <w:rPr>
                <w:b/>
                <w:bCs/>
                <w:sz w:val="18"/>
                <w:szCs w:val="18"/>
              </w:rPr>
            </w:pPr>
            <w:r w:rsidRPr="00CC73F0">
              <w:rPr>
                <w:b/>
                <w:bCs/>
                <w:sz w:val="18"/>
                <w:szCs w:val="18"/>
              </w:rPr>
              <w:t xml:space="preserve">Дотации </w:t>
            </w:r>
          </w:p>
          <w:p w:rsidR="007037B2" w:rsidRPr="00CC73F0" w:rsidRDefault="007037B2" w:rsidP="007A110C">
            <w:pPr>
              <w:jc w:val="center"/>
              <w:rPr>
                <w:b/>
                <w:bCs/>
                <w:sz w:val="18"/>
                <w:szCs w:val="18"/>
              </w:rPr>
            </w:pPr>
            <w:r w:rsidRPr="00CC73F0">
              <w:rPr>
                <w:b/>
                <w:bCs/>
                <w:sz w:val="18"/>
                <w:szCs w:val="18"/>
              </w:rPr>
              <w:t>из ФФПП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jc w:val="center"/>
              <w:rPr>
                <w:b/>
                <w:bCs/>
                <w:sz w:val="18"/>
                <w:szCs w:val="18"/>
              </w:rPr>
            </w:pPr>
            <w:r w:rsidRPr="00CC73F0">
              <w:rPr>
                <w:b/>
                <w:bCs/>
                <w:sz w:val="18"/>
                <w:szCs w:val="18"/>
              </w:rPr>
              <w:t xml:space="preserve">Дотации </w:t>
            </w:r>
          </w:p>
          <w:p w:rsidR="007037B2" w:rsidRPr="00CC73F0" w:rsidRDefault="007037B2" w:rsidP="007A110C">
            <w:pPr>
              <w:jc w:val="center"/>
              <w:rPr>
                <w:b/>
                <w:bCs/>
                <w:sz w:val="18"/>
                <w:szCs w:val="18"/>
              </w:rPr>
            </w:pPr>
            <w:r w:rsidRPr="00CC73F0">
              <w:rPr>
                <w:b/>
                <w:bCs/>
                <w:sz w:val="18"/>
                <w:szCs w:val="18"/>
              </w:rPr>
              <w:t>из ФФП МР (ГО)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CC73F0">
              <w:rPr>
                <w:b/>
                <w:bCs/>
                <w:sz w:val="18"/>
                <w:szCs w:val="18"/>
              </w:rPr>
              <w:t>Субсидии на сбалансированность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7037B2" w:rsidRPr="003931F8" w:rsidRDefault="007037B2" w:rsidP="007A110C">
            <w:pPr>
              <w:jc w:val="center"/>
              <w:rPr>
                <w:b/>
                <w:bCs/>
                <w:sz w:val="18"/>
                <w:szCs w:val="18"/>
              </w:rPr>
            </w:pPr>
            <w:r w:rsidRPr="003931F8">
              <w:rPr>
                <w:b/>
                <w:bCs/>
                <w:sz w:val="18"/>
                <w:szCs w:val="18"/>
              </w:rPr>
              <w:t>ВСЕГО</w:t>
            </w:r>
          </w:p>
          <w:p w:rsidR="007037B2" w:rsidRPr="003931F8" w:rsidRDefault="007037B2" w:rsidP="007A110C">
            <w:pPr>
              <w:jc w:val="center"/>
              <w:rPr>
                <w:b/>
                <w:bCs/>
                <w:sz w:val="18"/>
                <w:szCs w:val="18"/>
              </w:rPr>
            </w:pPr>
            <w:r w:rsidRPr="003931F8">
              <w:rPr>
                <w:b/>
                <w:bCs/>
                <w:sz w:val="18"/>
                <w:szCs w:val="18"/>
              </w:rPr>
              <w:t xml:space="preserve"> фин. помощь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7037B2" w:rsidRPr="003931F8" w:rsidRDefault="007037B2" w:rsidP="007A110C">
            <w:pPr>
              <w:jc w:val="center"/>
              <w:rPr>
                <w:b/>
                <w:bCs/>
                <w:sz w:val="18"/>
                <w:szCs w:val="18"/>
              </w:rPr>
            </w:pPr>
            <w:r w:rsidRPr="003931F8">
              <w:rPr>
                <w:b/>
                <w:bCs/>
                <w:sz w:val="18"/>
                <w:szCs w:val="18"/>
              </w:rPr>
              <w:t xml:space="preserve">Отклонение </w:t>
            </w:r>
          </w:p>
        </w:tc>
      </w:tr>
      <w:tr w:rsidR="007037B2" w:rsidRPr="007E3713" w:rsidTr="007A110C">
        <w:trPr>
          <w:trHeight w:val="240"/>
        </w:trPr>
        <w:tc>
          <w:tcPr>
            <w:tcW w:w="129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CC73F0">
              <w:rPr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CC73F0">
              <w:rPr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CC73F0">
              <w:rPr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CC73F0">
              <w:rPr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2017</w:t>
            </w:r>
            <w:r w:rsidRPr="00CC73F0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2018</w:t>
            </w:r>
            <w:r w:rsidRPr="00CC73F0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7037B2" w:rsidRPr="003931F8" w:rsidRDefault="007037B2" w:rsidP="007A110C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3931F8">
              <w:rPr>
                <w:b/>
                <w:bCs/>
                <w:sz w:val="18"/>
                <w:szCs w:val="18"/>
              </w:rPr>
              <w:t>2017 год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7037B2" w:rsidRPr="003931F8" w:rsidRDefault="007037B2" w:rsidP="007A110C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3931F8">
              <w:rPr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7037B2" w:rsidRPr="003931F8" w:rsidRDefault="007037B2" w:rsidP="007A110C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3931F8">
              <w:rPr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7037B2" w:rsidRPr="003931F8" w:rsidRDefault="007037B2" w:rsidP="007A110C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3931F8">
              <w:rPr>
                <w:b/>
                <w:bCs/>
                <w:sz w:val="18"/>
                <w:szCs w:val="18"/>
              </w:rPr>
              <w:t>%%</w:t>
            </w:r>
          </w:p>
        </w:tc>
      </w:tr>
      <w:tr w:rsidR="007037B2" w:rsidRPr="007E3713" w:rsidTr="007A110C">
        <w:trPr>
          <w:trHeight w:val="20"/>
        </w:trPr>
        <w:tc>
          <w:tcPr>
            <w:tcW w:w="12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rPr>
                <w:sz w:val="18"/>
                <w:szCs w:val="18"/>
              </w:rPr>
            </w:pPr>
            <w:r w:rsidRPr="00CC73F0">
              <w:rPr>
                <w:sz w:val="18"/>
                <w:szCs w:val="18"/>
              </w:rPr>
              <w:t>г</w:t>
            </w:r>
            <w:proofErr w:type="gramStart"/>
            <w:r w:rsidRPr="00CC73F0">
              <w:rPr>
                <w:sz w:val="18"/>
                <w:szCs w:val="18"/>
              </w:rPr>
              <w:t>.В</w:t>
            </w:r>
            <w:proofErr w:type="gramEnd"/>
            <w:r w:rsidRPr="00CC73F0">
              <w:rPr>
                <w:sz w:val="18"/>
                <w:szCs w:val="18"/>
              </w:rPr>
              <w:t>олгоград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1 168,6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11,7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3931F8">
              <w:rPr>
                <w:color w:val="000000"/>
                <w:sz w:val="18"/>
                <w:szCs w:val="18"/>
              </w:rPr>
              <w:t>1 168,6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3931F8">
              <w:rPr>
                <w:color w:val="000000"/>
                <w:sz w:val="18"/>
                <w:szCs w:val="18"/>
              </w:rPr>
              <w:t>11,7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3931F8">
              <w:rPr>
                <w:color w:val="000000"/>
                <w:sz w:val="18"/>
                <w:szCs w:val="18"/>
              </w:rPr>
              <w:t>-1 156,9</w:t>
            </w: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037B2" w:rsidRPr="003931F8" w:rsidRDefault="007037B2" w:rsidP="007A110C">
            <w:pPr>
              <w:ind w:left="-108"/>
              <w:jc w:val="center"/>
              <w:rPr>
                <w:sz w:val="18"/>
                <w:szCs w:val="18"/>
              </w:rPr>
            </w:pPr>
            <w:r w:rsidRPr="003931F8">
              <w:rPr>
                <w:sz w:val="18"/>
                <w:szCs w:val="18"/>
              </w:rPr>
              <w:t>-99,0</w:t>
            </w:r>
          </w:p>
        </w:tc>
      </w:tr>
      <w:tr w:rsidR="007037B2" w:rsidRPr="007E3713" w:rsidTr="007A110C">
        <w:trPr>
          <w:trHeight w:val="20"/>
        </w:trPr>
        <w:tc>
          <w:tcPr>
            <w:tcW w:w="129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rPr>
                <w:sz w:val="18"/>
                <w:szCs w:val="18"/>
              </w:rPr>
            </w:pPr>
            <w:r w:rsidRPr="00CC73F0">
              <w:rPr>
                <w:sz w:val="18"/>
                <w:szCs w:val="18"/>
              </w:rPr>
              <w:t>г</w:t>
            </w:r>
            <w:proofErr w:type="gramStart"/>
            <w:r w:rsidRPr="00CC73F0">
              <w:rPr>
                <w:sz w:val="18"/>
                <w:szCs w:val="18"/>
              </w:rPr>
              <w:t>.В</w:t>
            </w:r>
            <w:proofErr w:type="gramEnd"/>
            <w:r w:rsidRPr="00CC73F0">
              <w:rPr>
                <w:sz w:val="18"/>
                <w:szCs w:val="18"/>
              </w:rPr>
              <w:t>олжский</w:t>
            </w:r>
          </w:p>
        </w:tc>
        <w:tc>
          <w:tcPr>
            <w:tcW w:w="85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374,8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234,2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3931F8">
              <w:rPr>
                <w:color w:val="000000"/>
                <w:sz w:val="18"/>
                <w:szCs w:val="18"/>
              </w:rPr>
              <w:t>609,0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609,0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3931F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037B2" w:rsidRPr="003931F8" w:rsidRDefault="007037B2" w:rsidP="007A110C">
            <w:pPr>
              <w:ind w:left="-108"/>
              <w:jc w:val="center"/>
              <w:rPr>
                <w:sz w:val="18"/>
                <w:szCs w:val="18"/>
              </w:rPr>
            </w:pPr>
            <w:r w:rsidRPr="003931F8">
              <w:rPr>
                <w:sz w:val="18"/>
                <w:szCs w:val="18"/>
              </w:rPr>
              <w:t>0,0</w:t>
            </w:r>
          </w:p>
        </w:tc>
      </w:tr>
      <w:tr w:rsidR="007037B2" w:rsidRPr="007E3713" w:rsidTr="007A110C">
        <w:trPr>
          <w:trHeight w:val="20"/>
        </w:trPr>
        <w:tc>
          <w:tcPr>
            <w:tcW w:w="129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rPr>
                <w:sz w:val="18"/>
                <w:szCs w:val="18"/>
              </w:rPr>
            </w:pPr>
            <w:r w:rsidRPr="00CC73F0">
              <w:rPr>
                <w:sz w:val="18"/>
                <w:szCs w:val="18"/>
              </w:rPr>
              <w:t>г</w:t>
            </w:r>
            <w:proofErr w:type="gramStart"/>
            <w:r w:rsidRPr="00CC73F0">
              <w:rPr>
                <w:sz w:val="18"/>
                <w:szCs w:val="18"/>
              </w:rPr>
              <w:t>.К</w:t>
            </w:r>
            <w:proofErr w:type="gramEnd"/>
            <w:r w:rsidRPr="00CC73F0">
              <w:rPr>
                <w:sz w:val="18"/>
                <w:szCs w:val="18"/>
              </w:rPr>
              <w:t>амышин</w:t>
            </w:r>
          </w:p>
        </w:tc>
        <w:tc>
          <w:tcPr>
            <w:tcW w:w="85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129,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236,8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3931F8">
              <w:rPr>
                <w:color w:val="000000"/>
                <w:sz w:val="18"/>
                <w:szCs w:val="18"/>
              </w:rPr>
              <w:t>366,1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3931F8">
              <w:rPr>
                <w:color w:val="000000"/>
                <w:sz w:val="18"/>
                <w:szCs w:val="18"/>
              </w:rPr>
              <w:t>366,1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037B2" w:rsidRPr="003931F8" w:rsidRDefault="007037B2" w:rsidP="007A110C">
            <w:pPr>
              <w:ind w:left="-108"/>
              <w:jc w:val="center"/>
              <w:rPr>
                <w:sz w:val="18"/>
                <w:szCs w:val="18"/>
              </w:rPr>
            </w:pPr>
            <w:r w:rsidRPr="003931F8">
              <w:rPr>
                <w:sz w:val="18"/>
                <w:szCs w:val="18"/>
              </w:rPr>
              <w:t>0,0</w:t>
            </w:r>
          </w:p>
        </w:tc>
      </w:tr>
      <w:tr w:rsidR="007037B2" w:rsidRPr="007E3713" w:rsidTr="007A110C">
        <w:trPr>
          <w:trHeight w:val="20"/>
        </w:trPr>
        <w:tc>
          <w:tcPr>
            <w:tcW w:w="129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rPr>
                <w:sz w:val="18"/>
                <w:szCs w:val="18"/>
              </w:rPr>
            </w:pPr>
            <w:r w:rsidRPr="00CC73F0">
              <w:rPr>
                <w:sz w:val="18"/>
                <w:szCs w:val="18"/>
              </w:rPr>
              <w:t>г</w:t>
            </w:r>
            <w:proofErr w:type="gramStart"/>
            <w:r w:rsidRPr="00CC73F0">
              <w:rPr>
                <w:sz w:val="18"/>
                <w:szCs w:val="18"/>
              </w:rPr>
              <w:t>.М</w:t>
            </w:r>
            <w:proofErr w:type="gramEnd"/>
            <w:r w:rsidRPr="00CC73F0">
              <w:rPr>
                <w:sz w:val="18"/>
                <w:szCs w:val="18"/>
              </w:rPr>
              <w:t>ихайловка</w:t>
            </w:r>
          </w:p>
        </w:tc>
        <w:tc>
          <w:tcPr>
            <w:tcW w:w="851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102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101,7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192,1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3931F8">
              <w:rPr>
                <w:color w:val="000000"/>
                <w:sz w:val="18"/>
                <w:szCs w:val="18"/>
              </w:rPr>
              <w:t>294,1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3931F8">
              <w:rPr>
                <w:color w:val="000000"/>
                <w:sz w:val="18"/>
                <w:szCs w:val="18"/>
              </w:rPr>
              <w:t>294,1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037B2" w:rsidRPr="003931F8" w:rsidRDefault="007037B2" w:rsidP="007A110C">
            <w:pPr>
              <w:ind w:left="-108"/>
              <w:jc w:val="center"/>
              <w:rPr>
                <w:sz w:val="18"/>
                <w:szCs w:val="18"/>
              </w:rPr>
            </w:pPr>
            <w:r w:rsidRPr="003931F8">
              <w:rPr>
                <w:sz w:val="18"/>
                <w:szCs w:val="18"/>
              </w:rPr>
              <w:t>0,0</w:t>
            </w:r>
          </w:p>
        </w:tc>
      </w:tr>
      <w:tr w:rsidR="007037B2" w:rsidRPr="007E3713" w:rsidTr="007A110C">
        <w:trPr>
          <w:trHeight w:val="20"/>
        </w:trPr>
        <w:tc>
          <w:tcPr>
            <w:tcW w:w="129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rPr>
                <w:sz w:val="18"/>
                <w:szCs w:val="18"/>
              </w:rPr>
            </w:pPr>
            <w:r w:rsidRPr="00CC73F0">
              <w:rPr>
                <w:sz w:val="18"/>
                <w:szCs w:val="18"/>
              </w:rPr>
              <w:t>г</w:t>
            </w:r>
            <w:proofErr w:type="gramStart"/>
            <w:r w:rsidRPr="00CC73F0">
              <w:rPr>
                <w:sz w:val="18"/>
                <w:szCs w:val="18"/>
              </w:rPr>
              <w:t>.У</w:t>
            </w:r>
            <w:proofErr w:type="gramEnd"/>
            <w:r w:rsidRPr="00CC73F0">
              <w:rPr>
                <w:sz w:val="18"/>
                <w:szCs w:val="18"/>
              </w:rPr>
              <w:t>рюпинск</w:t>
            </w:r>
          </w:p>
        </w:tc>
        <w:tc>
          <w:tcPr>
            <w:tcW w:w="85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44,6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113,7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114,3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3931F8">
              <w:rPr>
                <w:color w:val="000000"/>
                <w:sz w:val="18"/>
                <w:szCs w:val="18"/>
              </w:rPr>
              <w:t>158,3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3931F8">
              <w:rPr>
                <w:color w:val="000000"/>
                <w:sz w:val="18"/>
                <w:szCs w:val="18"/>
              </w:rPr>
              <w:t>158,3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3931F8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037B2" w:rsidRPr="003931F8" w:rsidRDefault="007037B2" w:rsidP="007A110C">
            <w:pPr>
              <w:ind w:left="-108"/>
              <w:jc w:val="center"/>
              <w:rPr>
                <w:sz w:val="18"/>
                <w:szCs w:val="18"/>
              </w:rPr>
            </w:pPr>
            <w:r w:rsidRPr="003931F8">
              <w:rPr>
                <w:sz w:val="18"/>
                <w:szCs w:val="18"/>
              </w:rPr>
              <w:t>0,0</w:t>
            </w:r>
          </w:p>
        </w:tc>
      </w:tr>
      <w:tr w:rsidR="007037B2" w:rsidRPr="007E3713" w:rsidTr="007A110C">
        <w:trPr>
          <w:trHeight w:val="20"/>
        </w:trPr>
        <w:tc>
          <w:tcPr>
            <w:tcW w:w="129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rPr>
                <w:sz w:val="18"/>
                <w:szCs w:val="18"/>
              </w:rPr>
            </w:pPr>
            <w:r w:rsidRPr="00CC73F0">
              <w:rPr>
                <w:sz w:val="18"/>
                <w:szCs w:val="18"/>
              </w:rPr>
              <w:t>г</w:t>
            </w:r>
            <w:proofErr w:type="gramStart"/>
            <w:r w:rsidRPr="00CC73F0">
              <w:rPr>
                <w:sz w:val="18"/>
                <w:szCs w:val="18"/>
              </w:rPr>
              <w:t>.Ф</w:t>
            </w:r>
            <w:proofErr w:type="gramEnd"/>
            <w:r w:rsidRPr="00CC73F0">
              <w:rPr>
                <w:sz w:val="18"/>
                <w:szCs w:val="18"/>
              </w:rPr>
              <w:t>ролово</w:t>
            </w:r>
          </w:p>
        </w:tc>
        <w:tc>
          <w:tcPr>
            <w:tcW w:w="851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43,4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134,5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134,9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CC73F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3931F8">
              <w:rPr>
                <w:color w:val="000000"/>
                <w:sz w:val="18"/>
                <w:szCs w:val="18"/>
              </w:rPr>
              <w:t>177,9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3931F8">
              <w:rPr>
                <w:color w:val="000000"/>
                <w:sz w:val="18"/>
                <w:szCs w:val="18"/>
              </w:rPr>
              <w:t>177,9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color w:val="000000"/>
                <w:sz w:val="18"/>
                <w:szCs w:val="18"/>
              </w:rPr>
            </w:pPr>
            <w:r w:rsidRPr="003931F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037B2" w:rsidRPr="003931F8" w:rsidRDefault="007037B2" w:rsidP="007A110C">
            <w:pPr>
              <w:ind w:left="-108"/>
              <w:jc w:val="center"/>
              <w:rPr>
                <w:sz w:val="18"/>
                <w:szCs w:val="18"/>
              </w:rPr>
            </w:pPr>
            <w:r w:rsidRPr="003931F8">
              <w:rPr>
                <w:sz w:val="18"/>
                <w:szCs w:val="18"/>
              </w:rPr>
              <w:t>0,0</w:t>
            </w:r>
          </w:p>
        </w:tc>
      </w:tr>
      <w:tr w:rsidR="007037B2" w:rsidRPr="007E3713" w:rsidTr="007A110C">
        <w:trPr>
          <w:trHeight w:val="20"/>
        </w:trPr>
        <w:tc>
          <w:tcPr>
            <w:tcW w:w="12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7037B2" w:rsidRPr="00CC73F0" w:rsidRDefault="007037B2" w:rsidP="007A110C">
            <w:pPr>
              <w:rPr>
                <w:b/>
                <w:bCs/>
                <w:sz w:val="18"/>
                <w:szCs w:val="18"/>
              </w:rPr>
            </w:pPr>
            <w:r w:rsidRPr="00CC73F0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C73F0">
              <w:rPr>
                <w:b/>
                <w:color w:val="000000"/>
                <w:sz w:val="18"/>
                <w:szCs w:val="18"/>
              </w:rPr>
              <w:t>1 862,</w:t>
            </w:r>
            <w:r>
              <w:rPr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692,2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C73F0">
              <w:rPr>
                <w:b/>
                <w:color w:val="000000"/>
                <w:sz w:val="18"/>
                <w:szCs w:val="18"/>
              </w:rPr>
              <w:t>911,3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924,9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C73F0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CC73F0" w:rsidRDefault="007037B2" w:rsidP="007A110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C73F0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931F8">
              <w:rPr>
                <w:b/>
                <w:color w:val="000000"/>
                <w:sz w:val="18"/>
                <w:szCs w:val="18"/>
              </w:rPr>
              <w:t>2 774,0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931F8">
              <w:rPr>
                <w:b/>
                <w:color w:val="000000"/>
                <w:sz w:val="18"/>
                <w:szCs w:val="18"/>
              </w:rPr>
              <w:t>1 617,1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7037B2" w:rsidRPr="003931F8" w:rsidRDefault="007037B2" w:rsidP="007A110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931F8">
              <w:rPr>
                <w:b/>
                <w:color w:val="000000"/>
                <w:sz w:val="18"/>
                <w:szCs w:val="18"/>
              </w:rPr>
              <w:t>-1 156,9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037B2" w:rsidRPr="003931F8" w:rsidRDefault="007037B2" w:rsidP="007A110C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3931F8">
              <w:rPr>
                <w:b/>
                <w:bCs/>
                <w:sz w:val="18"/>
                <w:szCs w:val="18"/>
              </w:rPr>
              <w:t>-41,7</w:t>
            </w:r>
          </w:p>
        </w:tc>
      </w:tr>
    </w:tbl>
    <w:p w:rsidR="007037B2" w:rsidRDefault="007037B2" w:rsidP="007037B2">
      <w:pPr>
        <w:autoSpaceDE w:val="0"/>
        <w:autoSpaceDN w:val="0"/>
        <w:adjustRightInd w:val="0"/>
        <w:jc w:val="both"/>
        <w:rPr>
          <w:color w:val="FF0000"/>
          <w:highlight w:val="yellow"/>
        </w:rPr>
      </w:pPr>
    </w:p>
    <w:p w:rsidR="007037B2" w:rsidRPr="000F04F0" w:rsidRDefault="007037B2" w:rsidP="007037B2">
      <w:pPr>
        <w:autoSpaceDE w:val="0"/>
        <w:autoSpaceDN w:val="0"/>
        <w:adjustRightInd w:val="0"/>
        <w:ind w:firstLineChars="354" w:firstLine="850"/>
        <w:jc w:val="both"/>
      </w:pPr>
      <w:r w:rsidRPr="000F04F0">
        <w:t xml:space="preserve">С </w:t>
      </w:r>
      <w:r w:rsidR="006C4422">
        <w:t>з</w:t>
      </w:r>
      <w:r w:rsidRPr="000F04F0">
        <w:t>аконопроектом представлены проекты постановлений Администрации Волгоградской области по двум новым видам финансовой поддержки:</w:t>
      </w:r>
    </w:p>
    <w:p w:rsidR="007037B2" w:rsidRPr="000F04F0" w:rsidRDefault="007037B2" w:rsidP="007037B2">
      <w:pPr>
        <w:pStyle w:val="Default"/>
        <w:ind w:firstLine="708"/>
        <w:jc w:val="both"/>
      </w:pPr>
      <w:proofErr w:type="gramStart"/>
      <w:r w:rsidRPr="000F04F0">
        <w:t>-</w:t>
      </w:r>
      <w:r w:rsidRPr="006C4422">
        <w:t>дотации бюджетам муниципальных районов, городских округов Волгоградской области на поддержку мер по обеспечению сбалансированности местных бюджетов для решения отдельных вопросов местного значения в связи с проведением муниципальными районами (городскими округами) мероприятий по увеличению поступлений от налога на доходы физических лиц в бюджет Волгоградской области</w:t>
      </w:r>
      <w:r w:rsidR="006C4422">
        <w:t xml:space="preserve"> </w:t>
      </w:r>
      <w:r w:rsidRPr="000F04F0">
        <w:t xml:space="preserve">с целью стимулирования органов </w:t>
      </w:r>
      <w:r w:rsidRPr="000F04F0">
        <w:lastRenderedPageBreak/>
        <w:t>местного самоуправления по увеличению поступлений от НДФЛ в течени</w:t>
      </w:r>
      <w:r w:rsidR="006C4422">
        <w:t>е</w:t>
      </w:r>
      <w:r w:rsidRPr="000F04F0">
        <w:t xml:space="preserve"> финансового года.</w:t>
      </w:r>
      <w:proofErr w:type="gramEnd"/>
      <w:r w:rsidRPr="000F04F0">
        <w:t xml:space="preserve"> Инструментом стимулирования является предоставление в течени</w:t>
      </w:r>
      <w:r w:rsidR="006C4422">
        <w:t>е</w:t>
      </w:r>
      <w:r w:rsidRPr="000F04F0">
        <w:t xml:space="preserve"> финансового года муниципальным районам и городским округам дополнительной финансовой помощи </w:t>
      </w:r>
      <w:r w:rsidR="006C4422">
        <w:t>-</w:t>
      </w:r>
      <w:r w:rsidRPr="000F04F0">
        <w:t xml:space="preserve"> дотации на поддержку мер по обеспечению сбалансированности </w:t>
      </w:r>
      <w:r w:rsidR="006C4422">
        <w:t>-</w:t>
      </w:r>
      <w:r w:rsidRPr="000F04F0">
        <w:t xml:space="preserve"> при условии перевыполнения прогнозных показателей по НДФЛ, учитываемых при формировании бюджета, не менее чем на 5%; </w:t>
      </w:r>
    </w:p>
    <w:p w:rsidR="007037B2" w:rsidRPr="004B2AD5" w:rsidRDefault="007037B2" w:rsidP="007037B2">
      <w:pPr>
        <w:pStyle w:val="Default"/>
        <w:ind w:firstLine="708"/>
        <w:jc w:val="both"/>
      </w:pPr>
      <w:r w:rsidRPr="000F04F0">
        <w:t>-</w:t>
      </w:r>
      <w:r w:rsidRPr="005E6FCF">
        <w:t>субсидии бюджетам муниципальных районов, городских округов Волгоградской области на дорожную деятельность в связи с увеличением поступлений в областной бюджет по транспортному налогу</w:t>
      </w:r>
      <w:r w:rsidRPr="000F04F0">
        <w:t xml:space="preserve"> с целью стимулирования органов местного самоуправления по снижению на территории муниципального образования задолженности по транспортному налогу в течени</w:t>
      </w:r>
      <w:r>
        <w:t>е</w:t>
      </w:r>
      <w:r w:rsidRPr="000F04F0">
        <w:t xml:space="preserve"> финансового года. Инструментом стимулирования является предоставление в течени</w:t>
      </w:r>
      <w:r w:rsidR="005E6FCF">
        <w:t>е</w:t>
      </w:r>
      <w:r w:rsidRPr="000F04F0">
        <w:t xml:space="preserve"> финансового года муниципальным районам и городским округам дополнительной финансовой помощи </w:t>
      </w:r>
      <w:r w:rsidR="005E6FCF">
        <w:t>-</w:t>
      </w:r>
      <w:r w:rsidRPr="000F04F0">
        <w:t xml:space="preserve"> субсидии из дорожного фонда </w:t>
      </w:r>
      <w:r w:rsidR="005E6FCF">
        <w:t>-</w:t>
      </w:r>
      <w:r w:rsidRPr="000F04F0">
        <w:t xml:space="preserve"> при условии сокращения задолженности по транспортному налогу не менее</w:t>
      </w:r>
      <w:proofErr w:type="gramStart"/>
      <w:r w:rsidRPr="000F04F0">
        <w:t>,</w:t>
      </w:r>
      <w:proofErr w:type="gramEnd"/>
      <w:r w:rsidRPr="000F04F0">
        <w:t xml:space="preserve"> чем на 10 процентов.</w:t>
      </w:r>
      <w:r w:rsidRPr="004B2AD5">
        <w:t xml:space="preserve"> </w:t>
      </w:r>
    </w:p>
    <w:p w:rsidR="007037B2" w:rsidRDefault="007037B2" w:rsidP="007037B2">
      <w:pPr>
        <w:autoSpaceDE w:val="0"/>
        <w:autoSpaceDN w:val="0"/>
        <w:adjustRightInd w:val="0"/>
        <w:ind w:firstLine="851"/>
        <w:jc w:val="both"/>
      </w:pPr>
      <w:r w:rsidRPr="00D804F8">
        <w:t xml:space="preserve">Поправками к </w:t>
      </w:r>
      <w:r w:rsidR="005E6FCF">
        <w:t>1</w:t>
      </w:r>
      <w:r w:rsidRPr="00D804F8">
        <w:t xml:space="preserve"> чтению проект закона дополнен новой статьей 37 о представлении субсидии муниципальным образованиям Волгоградской области </w:t>
      </w:r>
      <w:r w:rsidR="005E6FCF">
        <w:t>-</w:t>
      </w:r>
      <w:r w:rsidRPr="00D804F8">
        <w:t xml:space="preserve"> победителям и призерам областного конкурса на лучшую организацию работы в представительных органах местного самоуправления Волгоградс</w:t>
      </w:r>
      <w:r>
        <w:t>кой области в 2018 году в  сумме</w:t>
      </w:r>
      <w:r w:rsidRPr="00D804F8">
        <w:t xml:space="preserve"> 3,1 млн. руб</w:t>
      </w:r>
      <w:r>
        <w:t>лей</w:t>
      </w:r>
      <w:r w:rsidRPr="00D804F8">
        <w:t>. Условием предоставления субсидии муниципальным образованиям Волгоградской области является присуждение представительным органам призовых мест в областном конкурсе на лучшую организацию работы в представительных органах, которые будут определяться Волгоградской областной Думой.</w:t>
      </w:r>
    </w:p>
    <w:p w:rsidR="005E6FCF" w:rsidRPr="00D804F8" w:rsidRDefault="005E6FCF" w:rsidP="007037B2">
      <w:pPr>
        <w:autoSpaceDE w:val="0"/>
        <w:autoSpaceDN w:val="0"/>
        <w:adjustRightInd w:val="0"/>
        <w:ind w:firstLine="851"/>
        <w:jc w:val="both"/>
      </w:pPr>
    </w:p>
    <w:p w:rsidR="005E6FCF" w:rsidRDefault="007037B2" w:rsidP="005E6FCF">
      <w:pPr>
        <w:autoSpaceDE w:val="0"/>
        <w:autoSpaceDN w:val="0"/>
        <w:adjustRightInd w:val="0"/>
        <w:ind w:firstLine="720"/>
        <w:jc w:val="both"/>
        <w:rPr>
          <w:b/>
          <w:i/>
          <w:u w:val="single"/>
        </w:rPr>
      </w:pPr>
      <w:r w:rsidRPr="00D804F8">
        <w:rPr>
          <w:b/>
          <w:i/>
          <w:u w:val="single"/>
        </w:rPr>
        <w:t>Субвенции:</w:t>
      </w:r>
    </w:p>
    <w:p w:rsidR="003F3AC0" w:rsidRDefault="005E6FCF" w:rsidP="003F3AC0">
      <w:pPr>
        <w:autoSpaceDE w:val="0"/>
        <w:autoSpaceDN w:val="0"/>
        <w:adjustRightInd w:val="0"/>
        <w:ind w:firstLine="720"/>
        <w:jc w:val="both"/>
        <w:rPr>
          <w:b/>
          <w:i/>
          <w:u w:val="single"/>
        </w:rPr>
      </w:pPr>
      <w:r>
        <w:t>О</w:t>
      </w:r>
      <w:r w:rsidR="007037B2" w:rsidRPr="00D804F8">
        <w:t>бщий объем субвенций на 2018 год предусмотрен в сумме 17279,5 млн. руб., что больше объема 2017 года на 3925,1 млн. руб., или на 29,4 процента.</w:t>
      </w:r>
      <w:r w:rsidR="007037B2" w:rsidRPr="00301089">
        <w:t xml:space="preserve"> </w:t>
      </w:r>
    </w:p>
    <w:p w:rsidR="007037B2" w:rsidRPr="003F3AC0" w:rsidRDefault="007037B2" w:rsidP="003F3AC0">
      <w:pPr>
        <w:autoSpaceDE w:val="0"/>
        <w:autoSpaceDN w:val="0"/>
        <w:adjustRightInd w:val="0"/>
        <w:ind w:firstLine="720"/>
        <w:jc w:val="both"/>
        <w:rPr>
          <w:b/>
          <w:i/>
          <w:u w:val="single"/>
        </w:rPr>
      </w:pPr>
      <w:r w:rsidRPr="00F12A47">
        <w:t>В 201</w:t>
      </w:r>
      <w:r>
        <w:t>8</w:t>
      </w:r>
      <w:r w:rsidRPr="00F12A47">
        <w:t xml:space="preserve"> году планируется </w:t>
      </w:r>
      <w:r w:rsidRPr="00931187">
        <w:t xml:space="preserve">финансирование 28 субвенций. По сравнению с 2017 годом (24 субвенции) их количество увеличилось на 4 за </w:t>
      </w:r>
      <w:r w:rsidRPr="007017B6">
        <w:t>счет включения нов</w:t>
      </w:r>
      <w:r w:rsidR="003F3AC0">
        <w:t>ых</w:t>
      </w:r>
      <w:r w:rsidRPr="007017B6">
        <w:t xml:space="preserve"> вид</w:t>
      </w:r>
      <w:r w:rsidR="003F3AC0">
        <w:t>ов</w:t>
      </w:r>
      <w:r w:rsidRPr="007017B6">
        <w:t xml:space="preserve"> субвенци</w:t>
      </w:r>
      <w:r>
        <w:t>й</w:t>
      </w:r>
      <w:r w:rsidRPr="007017B6">
        <w:t>:</w:t>
      </w:r>
    </w:p>
    <w:p w:rsidR="007037B2" w:rsidRPr="00150672" w:rsidRDefault="007037B2" w:rsidP="007037B2">
      <w:pPr>
        <w:ind w:firstLine="720"/>
        <w:jc w:val="both"/>
      </w:pPr>
      <w:r w:rsidRPr="00150672">
        <w:t>-на осуществление образовательного процесса по реализации образовательных программ дошкольного образования муниципальными</w:t>
      </w:r>
      <w:r>
        <w:t xml:space="preserve"> обще</w:t>
      </w:r>
      <w:r w:rsidRPr="00150672">
        <w:t>образователь</w:t>
      </w:r>
      <w:r>
        <w:t xml:space="preserve">ными организациями в сумме </w:t>
      </w:r>
      <w:r w:rsidRPr="00D804F8">
        <w:t>385,1 млн</w:t>
      </w:r>
      <w:proofErr w:type="gramStart"/>
      <w:r w:rsidRPr="00150672">
        <w:t>.р</w:t>
      </w:r>
      <w:proofErr w:type="gramEnd"/>
      <w:r w:rsidRPr="00150672">
        <w:t>уб.;</w:t>
      </w:r>
    </w:p>
    <w:p w:rsidR="007037B2" w:rsidRPr="00150672" w:rsidRDefault="007037B2" w:rsidP="007037B2">
      <w:pPr>
        <w:ind w:firstLine="708"/>
        <w:jc w:val="both"/>
      </w:pPr>
      <w:r w:rsidRPr="00150672">
        <w:t>-на осуществление образовательного процесса по реализации образовательных программ дошкольного образования частными общеобразовательными организациями, имеющими государственную аккредитацию</w:t>
      </w:r>
      <w:r w:rsidR="003F3AC0">
        <w:t>,</w:t>
      </w:r>
      <w:r w:rsidRPr="00150672">
        <w:t xml:space="preserve"> в сумме 11,6 млн</w:t>
      </w:r>
      <w:proofErr w:type="gramStart"/>
      <w:r w:rsidRPr="00150672">
        <w:t>.р</w:t>
      </w:r>
      <w:proofErr w:type="gramEnd"/>
      <w:r w:rsidRPr="00150672">
        <w:t>уб.;</w:t>
      </w:r>
    </w:p>
    <w:p w:rsidR="007037B2" w:rsidRPr="00150672" w:rsidRDefault="007037B2" w:rsidP="007037B2">
      <w:pPr>
        <w:ind w:firstLine="708"/>
        <w:jc w:val="both"/>
      </w:pPr>
      <w:r w:rsidRPr="00150672">
        <w:t>-на осуществление полномочий Волгоградской области, переданных органам местного самоуправления по предупреждению и ликвидации болезней животных, их лечению, защите населения от болезней, общих для человека и животных, в части реконструкции и содержания скотомогильников (биотермических ям) в сумме 17 млн</w:t>
      </w:r>
      <w:proofErr w:type="gramStart"/>
      <w:r w:rsidRPr="00150672">
        <w:t>.р</w:t>
      </w:r>
      <w:proofErr w:type="gramEnd"/>
      <w:r w:rsidRPr="00150672">
        <w:t>уб.;</w:t>
      </w:r>
    </w:p>
    <w:p w:rsidR="00B406EF" w:rsidRDefault="007037B2" w:rsidP="00B406EF">
      <w:pPr>
        <w:ind w:firstLine="708"/>
        <w:jc w:val="both"/>
      </w:pPr>
      <w:r w:rsidRPr="00150672">
        <w:t>-на осуществление полномочий по составлению (изменению) списков кандидатов в присяжные заседатели федеральных судов общей юрисдикции в Российской Фед</w:t>
      </w:r>
      <w:r w:rsidR="00B406EF">
        <w:t>ерации в сумме 14,2 млн. рублей.</w:t>
      </w:r>
    </w:p>
    <w:p w:rsidR="007037B2" w:rsidRPr="00B406EF" w:rsidRDefault="007037B2" w:rsidP="00B406EF">
      <w:pPr>
        <w:ind w:firstLine="708"/>
        <w:jc w:val="both"/>
      </w:pPr>
      <w:r w:rsidRPr="009B27D1">
        <w:rPr>
          <w:b/>
          <w:i/>
        </w:rPr>
        <w:t xml:space="preserve">Нераспределенный объем субвенций на 2018 год согласно </w:t>
      </w:r>
      <w:r w:rsidR="00B406EF" w:rsidRPr="009B27D1">
        <w:rPr>
          <w:b/>
          <w:i/>
        </w:rPr>
        <w:t>п</w:t>
      </w:r>
      <w:r w:rsidRPr="009B27D1">
        <w:rPr>
          <w:b/>
          <w:i/>
        </w:rPr>
        <w:t xml:space="preserve">риложению 20 к </w:t>
      </w:r>
      <w:r w:rsidR="00B406EF" w:rsidRPr="009B27D1">
        <w:rPr>
          <w:b/>
          <w:i/>
        </w:rPr>
        <w:t>з</w:t>
      </w:r>
      <w:r w:rsidRPr="009B27D1">
        <w:rPr>
          <w:b/>
          <w:i/>
        </w:rPr>
        <w:t>аконопроекту составляет 34,7 млн. руб., или 0,2% от общего объема субвенций</w:t>
      </w:r>
      <w:r w:rsidRPr="00150518">
        <w:t xml:space="preserve">. </w:t>
      </w:r>
      <w:proofErr w:type="gramStart"/>
      <w:r w:rsidRPr="00150518">
        <w:t xml:space="preserve">Весь нераспределенный объем субвенций приходится на субвенцию на предоставление субсидий гражданам на оплату жилья </w:t>
      </w:r>
      <w:r w:rsidRPr="004A4D3D">
        <w:t>и коммунальных услуг (30,7 млн. руб.) в связи с заявочным принципом расходования,  субвенцию на осуществление образовательного процесса по реализации общеобразовательных программ начального общего, основного общего, среднего общего образования муниципальными общеобразовательными организациями</w:t>
      </w:r>
      <w:r w:rsidRPr="00150518">
        <w:t xml:space="preserve"> (2,1 млн. р</w:t>
      </w:r>
      <w:r>
        <w:t>уб.), субвенцию</w:t>
      </w:r>
      <w:r w:rsidRPr="00150518">
        <w:t xml:space="preserve"> </w:t>
      </w:r>
      <w:r w:rsidRPr="006800C0">
        <w:t>на государственную регистрацию актов гражданского состояния</w:t>
      </w:r>
      <w:r>
        <w:t>, которую планируется направить</w:t>
      </w:r>
      <w:r w:rsidRPr="006800C0">
        <w:t xml:space="preserve"> на </w:t>
      </w:r>
      <w:r w:rsidRPr="006800C0">
        <w:rPr>
          <w:bCs/>
        </w:rPr>
        <w:t>приобретение</w:t>
      </w:r>
      <w:proofErr w:type="gramEnd"/>
      <w:r w:rsidRPr="006800C0">
        <w:rPr>
          <w:bCs/>
        </w:rPr>
        <w:t xml:space="preserve"> бланков свидетельств о государственной регистрации актов гражданского состояния</w:t>
      </w:r>
      <w:r>
        <w:rPr>
          <w:bCs/>
        </w:rPr>
        <w:t xml:space="preserve"> (1,9 млн.</w:t>
      </w:r>
      <w:r w:rsidR="00B406EF">
        <w:rPr>
          <w:bCs/>
        </w:rPr>
        <w:t xml:space="preserve"> </w:t>
      </w:r>
      <w:r>
        <w:rPr>
          <w:bCs/>
        </w:rPr>
        <w:t xml:space="preserve">руб.), </w:t>
      </w:r>
    </w:p>
    <w:p w:rsidR="007037B2" w:rsidRDefault="007037B2" w:rsidP="00EA2C21">
      <w:pPr>
        <w:autoSpaceDE w:val="0"/>
        <w:autoSpaceDN w:val="0"/>
        <w:adjustRightInd w:val="0"/>
        <w:ind w:firstLine="720"/>
        <w:jc w:val="both"/>
        <w:outlineLvl w:val="1"/>
      </w:pPr>
    </w:p>
    <w:p w:rsidR="00D15711" w:rsidRDefault="00D15711" w:rsidP="00EA2C21">
      <w:pPr>
        <w:autoSpaceDE w:val="0"/>
        <w:autoSpaceDN w:val="0"/>
        <w:adjustRightInd w:val="0"/>
        <w:ind w:firstLine="720"/>
        <w:jc w:val="both"/>
        <w:outlineLvl w:val="1"/>
      </w:pPr>
    </w:p>
    <w:p w:rsidR="00EA2C21" w:rsidRDefault="00666551" w:rsidP="00EA2C21">
      <w:pPr>
        <w:ind w:firstLine="720"/>
        <w:jc w:val="center"/>
        <w:rPr>
          <w:b/>
          <w:i/>
        </w:rPr>
      </w:pPr>
      <w:r>
        <w:rPr>
          <w:b/>
          <w:i/>
        </w:rPr>
        <w:lastRenderedPageBreak/>
        <w:t>8</w:t>
      </w:r>
      <w:r w:rsidR="00EA2C21">
        <w:rPr>
          <w:b/>
          <w:i/>
        </w:rPr>
        <w:t>. П</w:t>
      </w:r>
      <w:r w:rsidR="00EA2C21" w:rsidRPr="002725B9">
        <w:rPr>
          <w:b/>
          <w:i/>
        </w:rPr>
        <w:t>редельн</w:t>
      </w:r>
      <w:r w:rsidR="00EA2C21">
        <w:rPr>
          <w:b/>
          <w:i/>
        </w:rPr>
        <w:t>ая</w:t>
      </w:r>
      <w:r w:rsidR="00EA2C21" w:rsidRPr="002725B9">
        <w:rPr>
          <w:b/>
          <w:i/>
        </w:rPr>
        <w:t xml:space="preserve"> штатн</w:t>
      </w:r>
      <w:r w:rsidR="00EA2C21">
        <w:rPr>
          <w:b/>
          <w:i/>
        </w:rPr>
        <w:t>ая</w:t>
      </w:r>
      <w:r w:rsidR="00EA2C21" w:rsidRPr="002725B9">
        <w:rPr>
          <w:b/>
          <w:i/>
        </w:rPr>
        <w:t xml:space="preserve"> численность государственных гражданских служащих Волгоградской области</w:t>
      </w:r>
      <w:r w:rsidR="00EA2C21">
        <w:rPr>
          <w:b/>
          <w:i/>
        </w:rPr>
        <w:t>.</w:t>
      </w:r>
    </w:p>
    <w:p w:rsidR="00F833D5" w:rsidRDefault="00F833D5" w:rsidP="00EA2C21">
      <w:pPr>
        <w:ind w:firstLine="720"/>
        <w:jc w:val="center"/>
        <w:rPr>
          <w:b/>
          <w:i/>
        </w:rPr>
      </w:pPr>
    </w:p>
    <w:p w:rsidR="006F0E09" w:rsidRPr="007C731D" w:rsidRDefault="007C731D" w:rsidP="007C731D">
      <w:pPr>
        <w:ind w:firstLine="720"/>
        <w:jc w:val="both"/>
      </w:pPr>
      <w:r>
        <w:t>Законопроектом не предусматривается изменение предельной штатной численности государственных гражданских служащих Волгоградской области, которая остается на уровне текущего года в количестве 3047 единиц.</w:t>
      </w:r>
    </w:p>
    <w:p w:rsidR="007E08B3" w:rsidRDefault="007E08B3" w:rsidP="00EA2C21">
      <w:pPr>
        <w:ind w:firstLine="720"/>
        <w:jc w:val="center"/>
      </w:pPr>
    </w:p>
    <w:p w:rsidR="0023349F" w:rsidRPr="007C731D" w:rsidRDefault="0023349F" w:rsidP="00EA2C21">
      <w:pPr>
        <w:ind w:firstLine="720"/>
        <w:jc w:val="center"/>
      </w:pPr>
    </w:p>
    <w:p w:rsidR="00EA2C21" w:rsidRDefault="00EA2C21" w:rsidP="00EA2C21">
      <w:pPr>
        <w:ind w:firstLine="709"/>
        <w:jc w:val="center"/>
        <w:rPr>
          <w:b/>
          <w:i/>
        </w:rPr>
      </w:pPr>
      <w:r w:rsidRPr="005A19A6">
        <w:rPr>
          <w:b/>
          <w:i/>
        </w:rPr>
        <w:t>ВЫВОДЫ:</w:t>
      </w:r>
    </w:p>
    <w:p w:rsidR="00D2255B" w:rsidRDefault="00D2255B" w:rsidP="00D2255B">
      <w:pPr>
        <w:ind w:firstLine="709"/>
        <w:jc w:val="both"/>
      </w:pPr>
    </w:p>
    <w:p w:rsidR="004F3943" w:rsidRPr="009845CC" w:rsidRDefault="003A367D" w:rsidP="004F3943">
      <w:pPr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1. </w:t>
      </w:r>
      <w:r w:rsidRPr="003A367D">
        <w:t>Согласно</w:t>
      </w:r>
      <w:r w:rsidRPr="009845CC">
        <w:t xml:space="preserve"> уточненным расчетам, представленным </w:t>
      </w:r>
      <w:r>
        <w:t>главными распорядителями средств областного бюджета</w:t>
      </w:r>
      <w:r w:rsidRPr="009845CC">
        <w:t xml:space="preserve">, потребность в ассигнованиях на </w:t>
      </w:r>
      <w:r>
        <w:t>исполнение публичных нормативных обязательств</w:t>
      </w:r>
      <w:r w:rsidRPr="009845CC">
        <w:t xml:space="preserve"> </w:t>
      </w:r>
      <w:r w:rsidR="005750CA">
        <w:t xml:space="preserve">Волгоградской области </w:t>
      </w:r>
      <w:r w:rsidRPr="009845CC">
        <w:t xml:space="preserve">на 2018 </w:t>
      </w:r>
      <w:r>
        <w:t xml:space="preserve">год составляет 9706 млн. руб., </w:t>
      </w:r>
      <w:r w:rsidRPr="009845CC">
        <w:t>законопроект</w:t>
      </w:r>
      <w:r>
        <w:t>ом</w:t>
      </w:r>
      <w:r w:rsidRPr="009845CC">
        <w:t xml:space="preserve"> соответствующие ассигнования предусмотрены в размере 7126,6 млн. руб., </w:t>
      </w:r>
      <w:r w:rsidR="005750CA">
        <w:t>т. е.</w:t>
      </w:r>
      <w:r w:rsidRPr="009845CC">
        <w:t xml:space="preserve"> на 2579,4 млн. руб.</w:t>
      </w:r>
      <w:r>
        <w:t>,</w:t>
      </w:r>
      <w:r w:rsidRPr="009845CC">
        <w:t xml:space="preserve"> или на 26,6% меньше</w:t>
      </w:r>
      <w:r w:rsidR="00DA4098">
        <w:t>.</w:t>
      </w:r>
      <w:r w:rsidR="004F3943">
        <w:t xml:space="preserve"> </w:t>
      </w:r>
      <w:r w:rsidR="004F3943" w:rsidRPr="009845CC">
        <w:t xml:space="preserve">При этом информация об отмене (приостановке) каких-либо </w:t>
      </w:r>
      <w:r w:rsidR="004F3943">
        <w:t>публичных нормативных обязательств</w:t>
      </w:r>
      <w:r w:rsidR="004F3943" w:rsidRPr="009845CC">
        <w:t xml:space="preserve"> </w:t>
      </w:r>
      <w:r w:rsidR="004F3943">
        <w:t>не представлена</w:t>
      </w:r>
      <w:r w:rsidR="004F3943" w:rsidRPr="009845CC">
        <w:t>.</w:t>
      </w:r>
    </w:p>
    <w:p w:rsidR="003A367D" w:rsidRDefault="003A367D" w:rsidP="00D2255B">
      <w:pPr>
        <w:ind w:firstLine="708"/>
        <w:jc w:val="both"/>
      </w:pPr>
    </w:p>
    <w:p w:rsidR="00355EF4" w:rsidRDefault="00CA4D4E" w:rsidP="00CA4D4E">
      <w:pPr>
        <w:ind w:firstLine="709"/>
        <w:jc w:val="both"/>
      </w:pPr>
      <w:r w:rsidRPr="00CF5E88">
        <w:rPr>
          <w:b/>
        </w:rPr>
        <w:t>2.</w:t>
      </w:r>
      <w:r w:rsidRPr="00CF5E88">
        <w:t xml:space="preserve"> Законопроектом </w:t>
      </w:r>
      <w:r w:rsidR="00355EF4">
        <w:t xml:space="preserve">не </w:t>
      </w:r>
      <w:r w:rsidRPr="00CF5E88">
        <w:t xml:space="preserve">предусмотрены </w:t>
      </w:r>
      <w:r w:rsidR="00355EF4">
        <w:t xml:space="preserve">в необходимом размере </w:t>
      </w:r>
      <w:r w:rsidRPr="00CF5E88">
        <w:t xml:space="preserve">ассигнования </w:t>
      </w:r>
      <w:r w:rsidR="00140652">
        <w:t xml:space="preserve">на 2018 год </w:t>
      </w:r>
      <w:r w:rsidRPr="00CF5E88">
        <w:t xml:space="preserve">на </w:t>
      </w:r>
      <w:r w:rsidR="00355EF4">
        <w:t>следующие виды расходов:</w:t>
      </w:r>
    </w:p>
    <w:p w:rsidR="00CF5E88" w:rsidRDefault="00355EF4" w:rsidP="00CA4D4E">
      <w:pPr>
        <w:ind w:firstLine="709"/>
        <w:jc w:val="both"/>
      </w:pPr>
      <w:r>
        <w:t xml:space="preserve">-на </w:t>
      </w:r>
      <w:r w:rsidR="00CA4D4E" w:rsidRPr="00CF5E88">
        <w:t xml:space="preserve">обеспечение полноценным питанием беременных женщин, кормящих матерей и детей в возрасте до 3 лет </w:t>
      </w:r>
      <w:r>
        <w:t xml:space="preserve">(предусмотрено </w:t>
      </w:r>
      <w:r w:rsidR="00CF5E88">
        <w:t xml:space="preserve">17,5 млн. руб., что составляет 35% от потребности, </w:t>
      </w:r>
      <w:r w:rsidR="005750CA">
        <w:t>определенной</w:t>
      </w:r>
      <w:r w:rsidR="00CF5E88">
        <w:t xml:space="preserve"> комитет</w:t>
      </w:r>
      <w:r w:rsidR="005750CA">
        <w:t>ом</w:t>
      </w:r>
      <w:r w:rsidR="00CF5E88">
        <w:t xml:space="preserve"> здравоохранения Волгоградской области </w:t>
      </w:r>
      <w:r w:rsidR="005750CA">
        <w:t xml:space="preserve">в сумме </w:t>
      </w:r>
      <w:r w:rsidR="00CF5E88">
        <w:t>50,1 млн. руб.</w:t>
      </w:r>
      <w:r>
        <w:t>);</w:t>
      </w:r>
    </w:p>
    <w:p w:rsidR="00CF5E88" w:rsidRPr="00CF5E88" w:rsidRDefault="00355EF4" w:rsidP="00355EF4">
      <w:pPr>
        <w:ind w:firstLine="709"/>
        <w:jc w:val="both"/>
      </w:pPr>
      <w:r>
        <w:t>-на меры социальной поддержки</w:t>
      </w:r>
      <w:r w:rsidR="00CF5E88">
        <w:t xml:space="preserve"> </w:t>
      </w:r>
      <w:r>
        <w:t>и</w:t>
      </w:r>
      <w:r w:rsidR="00140652">
        <w:t xml:space="preserve"> помощи и поддержки </w:t>
      </w:r>
      <w:r w:rsidR="00CF5E88" w:rsidRPr="00CF5E88">
        <w:t xml:space="preserve"> </w:t>
      </w:r>
      <w:r>
        <w:t xml:space="preserve">населения (предусмотрено 3793,6 млн. руб., что </w:t>
      </w:r>
      <w:r w:rsidR="00CF5E88" w:rsidRPr="00CF5E88">
        <w:t>состав</w:t>
      </w:r>
      <w:r w:rsidR="00140652">
        <w:t>ляе</w:t>
      </w:r>
      <w:r w:rsidR="00CF5E88" w:rsidRPr="00CF5E88">
        <w:t xml:space="preserve">т </w:t>
      </w:r>
      <w:r>
        <w:t>61,2</w:t>
      </w:r>
      <w:r w:rsidR="00CF5E88" w:rsidRPr="00CF5E88">
        <w:t>% от потребности</w:t>
      </w:r>
      <w:r>
        <w:t>, определенной комитетом социальной защиты населения в размере 6198,7 млн. руб.);</w:t>
      </w:r>
      <w:r w:rsidR="00CF5E88" w:rsidRPr="00CF5E88">
        <w:t xml:space="preserve"> </w:t>
      </w:r>
    </w:p>
    <w:p w:rsidR="00563416" w:rsidRDefault="00355EF4" w:rsidP="00355EF4">
      <w:pPr>
        <w:ind w:firstLine="709"/>
        <w:jc w:val="both"/>
      </w:pPr>
      <w:r>
        <w:t xml:space="preserve">-на </w:t>
      </w:r>
      <w:r w:rsidR="00563416" w:rsidRPr="007F6549">
        <w:t xml:space="preserve">субвенции на финансовое обеспечение образовательного процесса в муниципальных дошкольных и общеобразовательных организациях </w:t>
      </w:r>
      <w:r>
        <w:t>в части учебно-методических расходов (предусмотрено 14497,9 млн. руб., или 94,6% от потребности, рассчитанной комитетом образования и науки</w:t>
      </w:r>
      <w:r w:rsidR="006B66B7">
        <w:t xml:space="preserve"> в размере 15331,2 млн. руб.);</w:t>
      </w:r>
    </w:p>
    <w:p w:rsidR="00563416" w:rsidRPr="00577060" w:rsidRDefault="007A3282" w:rsidP="00563416">
      <w:pPr>
        <w:ind w:firstLine="709"/>
        <w:jc w:val="both"/>
        <w:rPr>
          <w:iCs/>
        </w:rPr>
      </w:pPr>
      <w:r>
        <w:rPr>
          <w:iCs/>
        </w:rPr>
        <w:t xml:space="preserve">-на </w:t>
      </w:r>
      <w:r w:rsidR="00563416">
        <w:rPr>
          <w:iCs/>
        </w:rPr>
        <w:t>с</w:t>
      </w:r>
      <w:r w:rsidR="00563416" w:rsidRPr="005A6D0F">
        <w:rPr>
          <w:iCs/>
        </w:rPr>
        <w:t>убвенци</w:t>
      </w:r>
      <w:r w:rsidR="00563416">
        <w:rPr>
          <w:iCs/>
        </w:rPr>
        <w:t>и</w:t>
      </w:r>
      <w:r w:rsidR="00563416" w:rsidRPr="005A6D0F">
        <w:rPr>
          <w:iCs/>
        </w:rPr>
        <w:t xml:space="preserve"> </w:t>
      </w:r>
      <w:r w:rsidR="00DF0D4C">
        <w:rPr>
          <w:iCs/>
        </w:rPr>
        <w:t xml:space="preserve">на </w:t>
      </w:r>
      <w:r w:rsidR="00563416" w:rsidRPr="005A6D0F">
        <w:rPr>
          <w:iCs/>
        </w:rPr>
        <w:t>организацию питания детей из малоимущих семей и детей, находящихся на учете у фтизиатра, обучающихся в общеобразовательных организациях</w:t>
      </w:r>
      <w:r>
        <w:rPr>
          <w:iCs/>
        </w:rPr>
        <w:t xml:space="preserve"> (предусмотрено 178,5 млн. руб., или 50% от потребности, определенной комитетом образования и науки в размере 356,3 млн. руб.);</w:t>
      </w:r>
    </w:p>
    <w:p w:rsidR="00563416" w:rsidRPr="007F6549" w:rsidRDefault="007A3282" w:rsidP="00563416">
      <w:pPr>
        <w:autoSpaceDE w:val="0"/>
        <w:autoSpaceDN w:val="0"/>
        <w:adjustRightInd w:val="0"/>
        <w:ind w:firstLine="709"/>
        <w:jc w:val="both"/>
        <w:rPr>
          <w:iCs/>
        </w:rPr>
      </w:pPr>
      <w:r>
        <w:t>-</w:t>
      </w:r>
      <w:r w:rsidR="00563416" w:rsidRPr="003276E0">
        <w:t>на выплату стипендий, пособий и компенсаций по социальной поддержке детей-сирот, обучающихся в организациях профессионального образования Волгоградской области</w:t>
      </w:r>
      <w:r>
        <w:t xml:space="preserve"> (предусмотрено</w:t>
      </w:r>
      <w:r w:rsidR="00CD6A8A">
        <w:t xml:space="preserve"> 195,7</w:t>
      </w:r>
      <w:r w:rsidR="00CD6A8A" w:rsidRPr="003276E0">
        <w:t xml:space="preserve"> млн. руб.</w:t>
      </w:r>
      <w:r w:rsidR="00CD6A8A">
        <w:t>, что</w:t>
      </w:r>
      <w:r w:rsidR="00CD6A8A" w:rsidRPr="003276E0">
        <w:t xml:space="preserve"> </w:t>
      </w:r>
      <w:r>
        <w:t>составляет 48,7% от годовой потребности, рассчитанной комитетом образования и науки в сумме 401,7 млн. руб.).</w:t>
      </w:r>
    </w:p>
    <w:p w:rsidR="00DF0D4C" w:rsidRDefault="00DF0D4C" w:rsidP="00CA4D4E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A4D4E" w:rsidRDefault="00361B3D" w:rsidP="00CA4D4E">
      <w:pPr>
        <w:ind w:firstLine="709"/>
        <w:jc w:val="both"/>
      </w:pPr>
      <w:r>
        <w:rPr>
          <w:b/>
        </w:rPr>
        <w:t>3</w:t>
      </w:r>
      <w:r w:rsidR="0058753D" w:rsidRPr="00B31B23">
        <w:rPr>
          <w:b/>
        </w:rPr>
        <w:t>.</w:t>
      </w:r>
      <w:r w:rsidR="00CA4D4E" w:rsidRPr="00CA4D4E">
        <w:t> </w:t>
      </w:r>
      <w:proofErr w:type="gramStart"/>
      <w:r w:rsidR="00CA4D4E" w:rsidRPr="00CA4D4E">
        <w:t xml:space="preserve">Законопроектом предусмотрены ассигнования </w:t>
      </w:r>
      <w:r w:rsidR="0058753D">
        <w:t>к</w:t>
      </w:r>
      <w:r w:rsidR="00CA4D4E" w:rsidRPr="00CA4D4E">
        <w:t xml:space="preserve">омитету по труду </w:t>
      </w:r>
      <w:r w:rsidR="0058753D">
        <w:t xml:space="preserve">и занятости населения Волгоградской области </w:t>
      </w:r>
      <w:r w:rsidR="00CA4D4E" w:rsidRPr="00CA4D4E">
        <w:t xml:space="preserve">на реализацию подпрограммы «Сопровождение инвалидов молодого возраста при трудоустройстве» госпрограммы «Развитие рынка труда и обеспечение занятости в Волгоградской области» </w:t>
      </w:r>
      <w:r w:rsidR="001E2D04">
        <w:t xml:space="preserve">в размере 0,35 млн. руб. </w:t>
      </w:r>
      <w:r w:rsidR="00CA4D4E" w:rsidRPr="00CA4D4E">
        <w:t>в отсутствие такой подпрограммы в действующей редакции госпрограммы «Развитие рынка труда и обеспечение занятости в Волгоградской области», утвержденной постановлением Администрации Волгоградской области от 25.09.2017 №503-п.</w:t>
      </w:r>
      <w:proofErr w:type="gramEnd"/>
    </w:p>
    <w:p w:rsidR="00CA4D4E" w:rsidRPr="00CA4D4E" w:rsidRDefault="00CA4D4E" w:rsidP="00CA4D4E">
      <w:pPr>
        <w:ind w:firstLine="709"/>
        <w:jc w:val="both"/>
      </w:pPr>
    </w:p>
    <w:p w:rsidR="00B26EAE" w:rsidRDefault="006B168C" w:rsidP="00B26EAE">
      <w:pPr>
        <w:ind w:firstLine="709"/>
        <w:jc w:val="both"/>
      </w:pPr>
      <w:r>
        <w:rPr>
          <w:b/>
        </w:rPr>
        <w:t>4</w:t>
      </w:r>
      <w:r w:rsidR="00B26EAE" w:rsidRPr="00B26EAE">
        <w:rPr>
          <w:b/>
        </w:rPr>
        <w:t>.</w:t>
      </w:r>
      <w:r w:rsidR="00B26EAE">
        <w:t xml:space="preserve"> </w:t>
      </w:r>
      <w:r w:rsidR="00361B3D">
        <w:t>Законопроектом не предусмотрена, как и в 2016-2017 годах, не предусмотрена г</w:t>
      </w:r>
      <w:r w:rsidR="00B26EAE">
        <w:t>осударственная поддержка рыбной отрасли</w:t>
      </w:r>
      <w:r w:rsidR="00361B3D">
        <w:t>.</w:t>
      </w:r>
      <w:r w:rsidR="00B26EAE">
        <w:t xml:space="preserve"> </w:t>
      </w:r>
      <w:r w:rsidR="00361B3D">
        <w:t>Вмес</w:t>
      </w:r>
      <w:r w:rsidR="00B26EAE">
        <w:t xml:space="preserve">те с тем в структуре комитета сельского хозяйства Волгоградской области </w:t>
      </w:r>
      <w:r w:rsidR="00361B3D">
        <w:t>продолжает о</w:t>
      </w:r>
      <w:r w:rsidR="00B26EAE">
        <w:t>существ</w:t>
      </w:r>
      <w:r w:rsidR="00361B3D">
        <w:t>лять свою деятельность</w:t>
      </w:r>
      <w:r w:rsidR="00B26EAE">
        <w:t xml:space="preserve"> отдел рыбного хозяйства, штатная численность которого при </w:t>
      </w:r>
      <w:r w:rsidR="00232E02">
        <w:t xml:space="preserve">существенном </w:t>
      </w:r>
      <w:r w:rsidR="00361B3D">
        <w:t>сокращении</w:t>
      </w:r>
      <w:r w:rsidR="00B26EAE">
        <w:t xml:space="preserve"> возложенных на него задач не изменилась и составляет 4 единицы.</w:t>
      </w:r>
    </w:p>
    <w:p w:rsidR="00D2255B" w:rsidRPr="0006712A" w:rsidRDefault="00A63754" w:rsidP="00D2255B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ab/>
      </w:r>
      <w:r w:rsidR="006B168C" w:rsidRPr="006B168C">
        <w:rPr>
          <w:b/>
          <w:bCs/>
        </w:rPr>
        <w:t>5</w:t>
      </w:r>
      <w:r w:rsidRPr="006B168C">
        <w:rPr>
          <w:b/>
          <w:bCs/>
        </w:rPr>
        <w:t>.</w:t>
      </w:r>
      <w:r>
        <w:rPr>
          <w:bCs/>
        </w:rPr>
        <w:t xml:space="preserve"> </w:t>
      </w:r>
      <w:proofErr w:type="gramStart"/>
      <w:r w:rsidR="00D2255B" w:rsidRPr="00867544">
        <w:rPr>
          <w:bCs/>
        </w:rPr>
        <w:t>Средства областного бюджета на к</w:t>
      </w:r>
      <w:r w:rsidR="00D2255B" w:rsidRPr="00867544">
        <w:t xml:space="preserve">омпенсацию (возмещение) выпадающих доходов </w:t>
      </w:r>
      <w:proofErr w:type="spellStart"/>
      <w:r w:rsidR="00D2255B" w:rsidRPr="00867544">
        <w:t>ресурсоснабжающих</w:t>
      </w:r>
      <w:proofErr w:type="spellEnd"/>
      <w:r w:rsidR="00D2255B" w:rsidRPr="00867544">
        <w:t xml:space="preserve"> организаций, связанных с применением ими льготных тарифов (цен) на коммунальные ресу</w:t>
      </w:r>
      <w:r>
        <w:t xml:space="preserve">рсы (услуги) и техническую воду для населения, на </w:t>
      </w:r>
      <w:r>
        <w:lastRenderedPageBreak/>
        <w:t>2018 год</w:t>
      </w:r>
      <w:r w:rsidR="00D2255B" w:rsidRPr="00867544">
        <w:rPr>
          <w:bCs/>
        </w:rPr>
        <w:t xml:space="preserve"> предусмотрены в размере 654,1 млн. руб., из </w:t>
      </w:r>
      <w:r w:rsidR="00DB6691">
        <w:rPr>
          <w:bCs/>
        </w:rPr>
        <w:t>них</w:t>
      </w:r>
      <w:r w:rsidR="00D2255B" w:rsidRPr="00867544">
        <w:rPr>
          <w:bCs/>
        </w:rPr>
        <w:t xml:space="preserve"> 316,3 млн. руб.</w:t>
      </w:r>
      <w:r w:rsidR="001445CA">
        <w:rPr>
          <w:bCs/>
        </w:rPr>
        <w:t>,</w:t>
      </w:r>
      <w:r w:rsidR="00D2255B" w:rsidRPr="00867544">
        <w:rPr>
          <w:bCs/>
        </w:rPr>
        <w:t xml:space="preserve"> по сути</w:t>
      </w:r>
      <w:r w:rsidR="001445CA">
        <w:rPr>
          <w:bCs/>
        </w:rPr>
        <w:t>,</w:t>
      </w:r>
      <w:r w:rsidR="00D2255B" w:rsidRPr="00867544">
        <w:rPr>
          <w:bCs/>
        </w:rPr>
        <w:t xml:space="preserve"> </w:t>
      </w:r>
      <w:r w:rsidRPr="00867544">
        <w:rPr>
          <w:bCs/>
        </w:rPr>
        <w:t xml:space="preserve">являются </w:t>
      </w:r>
      <w:r w:rsidR="00D2255B" w:rsidRPr="00867544">
        <w:rPr>
          <w:bCs/>
        </w:rPr>
        <w:t>кредиторской задолженностью по обязательствам</w:t>
      </w:r>
      <w:r w:rsidR="006B168C">
        <w:rPr>
          <w:bCs/>
        </w:rPr>
        <w:t xml:space="preserve"> за 3 и 4 кварталы</w:t>
      </w:r>
      <w:r w:rsidR="00D2255B" w:rsidRPr="00867544">
        <w:rPr>
          <w:bCs/>
        </w:rPr>
        <w:t xml:space="preserve"> 2017 года.</w:t>
      </w:r>
      <w:proofErr w:type="gramEnd"/>
      <w:r w:rsidR="00D2255B" w:rsidRPr="00867544">
        <w:rPr>
          <w:bCs/>
        </w:rPr>
        <w:t xml:space="preserve"> </w:t>
      </w:r>
      <w:r w:rsidR="006B168C">
        <w:rPr>
          <w:bCs/>
        </w:rPr>
        <w:t>А</w:t>
      </w:r>
      <w:r w:rsidR="00D2255B" w:rsidRPr="0006712A">
        <w:rPr>
          <w:bCs/>
        </w:rPr>
        <w:t>ссигнования</w:t>
      </w:r>
      <w:r w:rsidR="006B168C">
        <w:rPr>
          <w:bCs/>
        </w:rPr>
        <w:t xml:space="preserve"> на 2018 год заложены </w:t>
      </w:r>
      <w:r w:rsidR="00BA10F4">
        <w:rPr>
          <w:bCs/>
        </w:rPr>
        <w:t>из расчета</w:t>
      </w:r>
      <w:r w:rsidR="006B168C">
        <w:rPr>
          <w:bCs/>
        </w:rPr>
        <w:t xml:space="preserve"> 1 и 2 квартал</w:t>
      </w:r>
      <w:r w:rsidR="00BA10F4">
        <w:rPr>
          <w:bCs/>
        </w:rPr>
        <w:t>ов</w:t>
      </w:r>
      <w:r w:rsidR="006B168C">
        <w:rPr>
          <w:bCs/>
        </w:rPr>
        <w:t>, на 3 квартал средства не предусмотрены.</w:t>
      </w:r>
      <w:r w:rsidR="00D2255B" w:rsidRPr="0006712A">
        <w:rPr>
          <w:bCs/>
        </w:rPr>
        <w:t xml:space="preserve"> </w:t>
      </w:r>
    </w:p>
    <w:p w:rsidR="00D2255B" w:rsidRDefault="00D2255B" w:rsidP="00D2255B">
      <w:pPr>
        <w:ind w:right="-1" w:firstLine="708"/>
        <w:jc w:val="both"/>
      </w:pPr>
    </w:p>
    <w:p w:rsidR="0011004D" w:rsidRDefault="00BA10F4" w:rsidP="0011004D">
      <w:pPr>
        <w:ind w:right="-1" w:firstLine="708"/>
        <w:jc w:val="both"/>
      </w:pPr>
      <w:r>
        <w:rPr>
          <w:b/>
        </w:rPr>
        <w:t>6</w:t>
      </w:r>
      <w:r w:rsidR="00DB6691" w:rsidRPr="00DB6691">
        <w:rPr>
          <w:b/>
        </w:rPr>
        <w:t>.</w:t>
      </w:r>
      <w:r w:rsidR="00DB6691">
        <w:t xml:space="preserve">  Законопроектом предусмотрены </w:t>
      </w:r>
      <w:r w:rsidR="00DB6691" w:rsidRPr="00B96BCC">
        <w:t>субсиди</w:t>
      </w:r>
      <w:r w:rsidR="00DB6691">
        <w:t>и</w:t>
      </w:r>
      <w:r w:rsidR="00DB6691" w:rsidRPr="00B96BCC">
        <w:t xml:space="preserve"> бюджетам муниципальных образований на </w:t>
      </w:r>
      <w:r w:rsidR="00DB6691" w:rsidRPr="008217E8">
        <w:t xml:space="preserve">обводнение </w:t>
      </w:r>
      <w:r w:rsidR="00DB6691">
        <w:t xml:space="preserve">в 2018 году </w:t>
      </w:r>
      <w:r w:rsidR="00DB6691" w:rsidRPr="008217E8">
        <w:t>маловодных населенных пунктов</w:t>
      </w:r>
      <w:r w:rsidR="00DB6691">
        <w:t xml:space="preserve"> в сумме 79,4 млн. руб. в отсутствие нормативного правового акта, являющего</w:t>
      </w:r>
      <w:r w:rsidR="00DB6691" w:rsidRPr="00867544">
        <w:t xml:space="preserve">ся основанием для возникновения расходного обязательства </w:t>
      </w:r>
      <w:r w:rsidR="00DB6691">
        <w:t xml:space="preserve">области </w:t>
      </w:r>
      <w:r w:rsidR="00DB6691" w:rsidRPr="00867544">
        <w:t xml:space="preserve">по </w:t>
      </w:r>
      <w:r w:rsidR="00DB6691" w:rsidRPr="00B96BCC">
        <w:t>предоставлени</w:t>
      </w:r>
      <w:r w:rsidR="00DB6691">
        <w:t>ю</w:t>
      </w:r>
      <w:r w:rsidR="00DB6691" w:rsidRPr="00B96BCC">
        <w:t xml:space="preserve"> </w:t>
      </w:r>
      <w:r w:rsidR="00DB6691">
        <w:t xml:space="preserve">таких </w:t>
      </w:r>
      <w:r w:rsidR="00DB6691" w:rsidRPr="00B96BCC">
        <w:t>субсидий</w:t>
      </w:r>
      <w:r w:rsidR="00DB6691">
        <w:t xml:space="preserve">, что является </w:t>
      </w:r>
      <w:r w:rsidR="00D2255B" w:rsidRPr="00867544">
        <w:t>нарушение</w:t>
      </w:r>
      <w:r w:rsidR="00DB6691">
        <w:t>м</w:t>
      </w:r>
      <w:r w:rsidR="00D2255B" w:rsidRPr="00867544">
        <w:t xml:space="preserve"> требований ст</w:t>
      </w:r>
      <w:r w:rsidR="00DB6691">
        <w:t>атьи 85 БК РФ</w:t>
      </w:r>
      <w:r w:rsidR="00D2255B">
        <w:t>.</w:t>
      </w:r>
      <w:r w:rsidR="00D2255B" w:rsidRPr="00867544">
        <w:t xml:space="preserve"> </w:t>
      </w:r>
      <w:r w:rsidR="005C38D4">
        <w:t xml:space="preserve">КСП неоднократно указывала в своих заключениях и отчетах на данное нарушение, однако </w:t>
      </w:r>
      <w:r>
        <w:t xml:space="preserve">и </w:t>
      </w:r>
      <w:r w:rsidR="005C38D4">
        <w:t>во внесенном законопроекте оно не устранено.</w:t>
      </w:r>
    </w:p>
    <w:p w:rsidR="0011004D" w:rsidRDefault="0011004D" w:rsidP="0011004D">
      <w:pPr>
        <w:ind w:right="-1" w:firstLine="708"/>
        <w:jc w:val="both"/>
      </w:pPr>
    </w:p>
    <w:p w:rsidR="0011004D" w:rsidRPr="0011004D" w:rsidRDefault="00BA10F4" w:rsidP="0011004D">
      <w:pPr>
        <w:ind w:right="-1" w:firstLine="708"/>
        <w:jc w:val="both"/>
      </w:pPr>
      <w:r>
        <w:rPr>
          <w:b/>
        </w:rPr>
        <w:t>7</w:t>
      </w:r>
      <w:r w:rsidR="0011004D" w:rsidRPr="0011004D">
        <w:rPr>
          <w:b/>
        </w:rPr>
        <w:t>.</w:t>
      </w:r>
      <w:r w:rsidR="0011004D">
        <w:t xml:space="preserve"> </w:t>
      </w:r>
      <w:r w:rsidR="0011004D" w:rsidRPr="000F78B5">
        <w:t>В соответствии с положениями бюджетного законодательства объем бюджетных ассигнований дорожного фонда Волгоградской области на 2018 год должен составлять не менее 9616,9 млн. руб., что на 4052,5 млн. руб., или более чем в 1,7 раза больше объема, предлагаемого к утверждению законопроектом (5564,4 млн. руб.)</w:t>
      </w:r>
      <w:r w:rsidR="000F78B5">
        <w:t>.</w:t>
      </w:r>
    </w:p>
    <w:p w:rsidR="0011004D" w:rsidRDefault="0011004D" w:rsidP="0011004D">
      <w:pPr>
        <w:pStyle w:val="a9"/>
        <w:ind w:left="0" w:firstLine="709"/>
        <w:jc w:val="both"/>
      </w:pPr>
    </w:p>
    <w:p w:rsidR="0011004D" w:rsidRDefault="00BA10F4" w:rsidP="0011004D">
      <w:pPr>
        <w:pStyle w:val="a9"/>
        <w:ind w:left="0" w:firstLine="709"/>
        <w:jc w:val="both"/>
      </w:pPr>
      <w:r>
        <w:rPr>
          <w:b/>
        </w:rPr>
        <w:t>8</w:t>
      </w:r>
      <w:r w:rsidR="0011004D" w:rsidRPr="0011004D">
        <w:rPr>
          <w:b/>
        </w:rPr>
        <w:t>.</w:t>
      </w:r>
      <w:r w:rsidR="0011004D">
        <w:t xml:space="preserve"> Бюджетные ассигнования на реализацию Программы комплексного развития транспортной инфраструктуры Волгоградской городской агломерации не нашли обособленного отражения в законопроекте, что может оказать негативное влияние на качество и прозрачность бюджетного планирования, исполнения областного бюджета, формирования отчетности, мониторинга и </w:t>
      </w:r>
      <w:proofErr w:type="gramStart"/>
      <w:r w:rsidR="0011004D">
        <w:t>контроля за</w:t>
      </w:r>
      <w:proofErr w:type="gramEnd"/>
      <w:r w:rsidR="0011004D">
        <w:t xml:space="preserve"> реализацией программы.</w:t>
      </w:r>
    </w:p>
    <w:p w:rsidR="0011004D" w:rsidRDefault="0011004D" w:rsidP="0011004D">
      <w:pPr>
        <w:pStyle w:val="a9"/>
        <w:ind w:left="0" w:firstLine="709"/>
        <w:jc w:val="both"/>
      </w:pPr>
    </w:p>
    <w:p w:rsidR="0011004D" w:rsidRDefault="00BA10F4" w:rsidP="0011004D">
      <w:pPr>
        <w:pStyle w:val="a9"/>
        <w:ind w:left="0" w:firstLine="709"/>
        <w:jc w:val="both"/>
      </w:pPr>
      <w:r>
        <w:rPr>
          <w:b/>
        </w:rPr>
        <w:t>9</w:t>
      </w:r>
      <w:r w:rsidR="0011004D" w:rsidRPr="0011004D">
        <w:rPr>
          <w:b/>
        </w:rPr>
        <w:t>.</w:t>
      </w:r>
      <w:r w:rsidR="0011004D">
        <w:t xml:space="preserve"> За счет ассигнований дорожного фонда Волгоградской области предлагается осуществлять расходы </w:t>
      </w:r>
      <w:r w:rsidR="0011004D" w:rsidRPr="00BB35F2">
        <w:t>на приобретение и обеспечение функционирования специальны</w:t>
      </w:r>
      <w:r w:rsidR="0011004D">
        <w:t>х</w:t>
      </w:r>
      <w:r w:rsidR="0011004D" w:rsidRPr="00BB35F2">
        <w:t xml:space="preserve"> технически</w:t>
      </w:r>
      <w:r w:rsidR="0011004D">
        <w:t>х средств</w:t>
      </w:r>
      <w:r w:rsidR="0011004D" w:rsidRPr="00BB35F2">
        <w:t>, имеющи</w:t>
      </w:r>
      <w:r w:rsidR="0011004D">
        <w:t>х</w:t>
      </w:r>
      <w:r w:rsidR="0011004D" w:rsidRPr="00BB35F2">
        <w:t xml:space="preserve"> функции фотосъемки для фиксации нарушений правил дорожного движения</w:t>
      </w:r>
      <w:r w:rsidR="0011004D">
        <w:t>,</w:t>
      </w:r>
      <w:r w:rsidR="0011004D" w:rsidRPr="00BB35F2">
        <w:t xml:space="preserve"> расположен</w:t>
      </w:r>
      <w:r w:rsidR="0011004D">
        <w:t>н</w:t>
      </w:r>
      <w:r w:rsidR="0011004D" w:rsidRPr="00BB35F2">
        <w:t>ы</w:t>
      </w:r>
      <w:r w:rsidR="0011004D">
        <w:t xml:space="preserve">х </w:t>
      </w:r>
      <w:r w:rsidR="0011004D" w:rsidRPr="00BB35F2">
        <w:t>на автомобильных дорогах местного значения</w:t>
      </w:r>
      <w:r w:rsidR="0011004D">
        <w:t xml:space="preserve"> (в 2018 году - 451,7 млн. руб.), что противоречит законодательству Волгоградской области.</w:t>
      </w:r>
    </w:p>
    <w:p w:rsidR="0011004D" w:rsidRDefault="0011004D" w:rsidP="0011004D">
      <w:pPr>
        <w:ind w:firstLine="709"/>
        <w:jc w:val="both"/>
      </w:pPr>
    </w:p>
    <w:p w:rsidR="00D45018" w:rsidRPr="00607C65" w:rsidRDefault="00AB1C63" w:rsidP="00AB1C63">
      <w:pPr>
        <w:jc w:val="both"/>
      </w:pPr>
      <w:r>
        <w:tab/>
      </w:r>
      <w:r w:rsidR="00E11868">
        <w:rPr>
          <w:b/>
        </w:rPr>
        <w:t>1</w:t>
      </w:r>
      <w:r w:rsidR="00BA10F4">
        <w:rPr>
          <w:b/>
        </w:rPr>
        <w:t>0</w:t>
      </w:r>
      <w:r w:rsidR="00D45018" w:rsidRPr="00D45018">
        <w:rPr>
          <w:b/>
        </w:rPr>
        <w:t>.</w:t>
      </w:r>
      <w:r w:rsidR="00D45018">
        <w:t xml:space="preserve"> </w:t>
      </w:r>
      <w:proofErr w:type="gramStart"/>
      <w:r w:rsidR="00D45018">
        <w:t xml:space="preserve">В законопроекте </w:t>
      </w:r>
      <w:r w:rsidR="00D45018" w:rsidRPr="007E3713">
        <w:t>между бюджетами муниципальных о</w:t>
      </w:r>
      <w:r w:rsidR="00D45018">
        <w:t xml:space="preserve">бразований Волгоградской области распределены </w:t>
      </w:r>
      <w:r w:rsidR="00D45018" w:rsidRPr="00D804F8">
        <w:t>48 из 72</w:t>
      </w:r>
      <w:r w:rsidR="00D45018" w:rsidRPr="007E3713">
        <w:t xml:space="preserve"> видов межбюджетных трансфертов в общей </w:t>
      </w:r>
      <w:r w:rsidR="00D45018" w:rsidRPr="00B307C1">
        <w:t xml:space="preserve">сумме </w:t>
      </w:r>
      <w:r w:rsidR="00D45018" w:rsidRPr="00D804F8">
        <w:t>23420,2 млн. руб.,</w:t>
      </w:r>
      <w:r w:rsidR="00D45018">
        <w:t xml:space="preserve"> что составляет 87,5</w:t>
      </w:r>
      <w:r w:rsidR="00D45018" w:rsidRPr="007E3713">
        <w:t xml:space="preserve">% от предусмотренного на 2018 год объема межбюджетных трансфертов </w:t>
      </w:r>
      <w:r w:rsidR="00D45018" w:rsidRPr="00607C65">
        <w:t>(</w:t>
      </w:r>
      <w:r w:rsidR="00D45018" w:rsidRPr="00D804F8">
        <w:t>26765,1 млн. руб.).</w:t>
      </w:r>
      <w:proofErr w:type="gramEnd"/>
    </w:p>
    <w:p w:rsidR="00D45018" w:rsidRPr="009B27D1" w:rsidRDefault="00D45018" w:rsidP="00D45018">
      <w:pPr>
        <w:ind w:firstLine="709"/>
        <w:jc w:val="both"/>
        <w:rPr>
          <w:u w:val="single"/>
        </w:rPr>
      </w:pPr>
      <w:r>
        <w:t>При этом н</w:t>
      </w:r>
      <w:r w:rsidRPr="00D45018">
        <w:t xml:space="preserve">ераспределенный объем дотаций на поддержку мер по обеспечению сбалансированности местных бюджетов на 2018 год </w:t>
      </w:r>
      <w:r>
        <w:t>составил</w:t>
      </w:r>
      <w:r w:rsidRPr="00D45018">
        <w:t xml:space="preserve"> 685 млн. руб.</w:t>
      </w:r>
      <w:r>
        <w:t>, н</w:t>
      </w:r>
      <w:r w:rsidRPr="00D45018">
        <w:t xml:space="preserve">ераспределенный объем субсидий </w:t>
      </w:r>
      <w:r>
        <w:t xml:space="preserve">- </w:t>
      </w:r>
      <w:r w:rsidRPr="00D45018">
        <w:t>2622,3 млн. руб., или 38,1% от общего объема субсидий</w:t>
      </w:r>
      <w:r w:rsidR="009B27D1">
        <w:t>, н</w:t>
      </w:r>
      <w:r w:rsidR="009B27D1" w:rsidRPr="009B27D1">
        <w:t xml:space="preserve">ераспределенный объем субвенций </w:t>
      </w:r>
      <w:r w:rsidR="009B27D1">
        <w:t>-</w:t>
      </w:r>
      <w:r w:rsidR="009B27D1" w:rsidRPr="009B27D1">
        <w:t xml:space="preserve"> 34,7 млн. руб., или 0,2% от общего объема</w:t>
      </w:r>
      <w:r w:rsidR="009B27D1">
        <w:t>.</w:t>
      </w:r>
      <w:r w:rsidR="009B27D1" w:rsidRPr="009B27D1">
        <w:t xml:space="preserve"> </w:t>
      </w:r>
      <w:r w:rsidRPr="009B27D1">
        <w:t xml:space="preserve"> </w:t>
      </w:r>
    </w:p>
    <w:p w:rsidR="00D45018" w:rsidRDefault="00D45018" w:rsidP="00EA2C21">
      <w:pPr>
        <w:pStyle w:val="12"/>
        <w:jc w:val="both"/>
      </w:pPr>
    </w:p>
    <w:p w:rsidR="00AB1C63" w:rsidRDefault="00AB1C63" w:rsidP="00AB1C63">
      <w:pPr>
        <w:autoSpaceDE w:val="0"/>
        <w:autoSpaceDN w:val="0"/>
        <w:adjustRightInd w:val="0"/>
        <w:ind w:firstLine="709"/>
        <w:jc w:val="both"/>
      </w:pPr>
      <w:r w:rsidRPr="00AB1C63">
        <w:rPr>
          <w:b/>
        </w:rPr>
        <w:t>1</w:t>
      </w:r>
      <w:r w:rsidR="009076C4">
        <w:rPr>
          <w:b/>
        </w:rPr>
        <w:t>1</w:t>
      </w:r>
      <w:r w:rsidRPr="00AB1C63">
        <w:rPr>
          <w:b/>
        </w:rPr>
        <w:t>.</w:t>
      </w:r>
      <w:r>
        <w:t xml:space="preserve"> </w:t>
      </w:r>
      <w:r w:rsidR="00464AB9">
        <w:t>О</w:t>
      </w:r>
      <w:r>
        <w:t xml:space="preserve">сновными направлениями бюджетной политики Волгоградской области на 2018-2010 годы </w:t>
      </w:r>
      <w:r w:rsidR="00BA10F4">
        <w:t>предусмотрен</w:t>
      </w:r>
      <w:r w:rsidR="00464AB9">
        <w:t>о, что</w:t>
      </w:r>
      <w:r>
        <w:t xml:space="preserve"> </w:t>
      </w:r>
      <w:r w:rsidR="00464AB9">
        <w:t>«</w:t>
      </w:r>
      <w:r w:rsidRPr="00CA4038">
        <w:t>приоритетность задач позволит сократить риск «размывания ресурсов», обеспечив достижение основных задач и стратегических целей государственных</w:t>
      </w:r>
      <w:r>
        <w:t xml:space="preserve"> программ Волгоградской области»</w:t>
      </w:r>
      <w:r w:rsidR="00464AB9">
        <w:t>. Несмотря на это,</w:t>
      </w:r>
      <w:r>
        <w:t xml:space="preserve"> </w:t>
      </w:r>
      <w:r w:rsidRPr="00CA4038">
        <w:t>законопроект, а также материалы и документы, представленные</w:t>
      </w:r>
      <w:r>
        <w:t xml:space="preserve"> </w:t>
      </w:r>
      <w:r w:rsidRPr="00CA4038">
        <w:t xml:space="preserve">с ним, не </w:t>
      </w:r>
      <w:r>
        <w:t>позволя</w:t>
      </w:r>
      <w:r w:rsidRPr="00CA4038">
        <w:t xml:space="preserve">ют </w:t>
      </w:r>
      <w:r>
        <w:t xml:space="preserve">сделать </w:t>
      </w:r>
      <w:r w:rsidRPr="00CA4038">
        <w:t>взаимоувязанную и комплексную оценку достижения</w:t>
      </w:r>
      <w:r>
        <w:t xml:space="preserve"> </w:t>
      </w:r>
      <w:r w:rsidRPr="00CA4038">
        <w:t>приоритетов и целей государственной политики</w:t>
      </w:r>
      <w:r>
        <w:t xml:space="preserve"> региона</w:t>
      </w:r>
      <w:r w:rsidRPr="00CA4038">
        <w:t>.</w:t>
      </w:r>
    </w:p>
    <w:p w:rsidR="002E7DDE" w:rsidRDefault="002E7DDE" w:rsidP="002E7DDE">
      <w:pPr>
        <w:pStyle w:val="af4"/>
        <w:spacing w:before="0" w:beforeAutospacing="0" w:after="0"/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Так, г</w:t>
      </w:r>
      <w:r w:rsidRPr="00782FF9">
        <w:rPr>
          <w:rFonts w:eastAsia="Calibri"/>
          <w:lang w:eastAsia="en-US"/>
        </w:rPr>
        <w:t>оспрограмма «Использование результатов космической деятельности в интересах социально-экономического и инновационного развития Волгоградс</w:t>
      </w:r>
      <w:r>
        <w:rPr>
          <w:rFonts w:eastAsia="Calibri"/>
          <w:lang w:eastAsia="en-US"/>
        </w:rPr>
        <w:t xml:space="preserve">кой области на 2014-2018 годы» </w:t>
      </w:r>
      <w:r w:rsidRPr="00782FF9">
        <w:rPr>
          <w:rFonts w:eastAsia="Calibri"/>
          <w:lang w:eastAsia="en-US"/>
        </w:rPr>
        <w:t>отсутствуе</w:t>
      </w:r>
      <w:r>
        <w:rPr>
          <w:rFonts w:eastAsia="Calibri"/>
          <w:lang w:eastAsia="en-US"/>
        </w:rPr>
        <w:t xml:space="preserve">т </w:t>
      </w:r>
      <w:r w:rsidRPr="00782FF9">
        <w:rPr>
          <w:rFonts w:eastAsia="Calibri"/>
          <w:lang w:eastAsia="en-US"/>
        </w:rPr>
        <w:t xml:space="preserve">в перечне нормативных правовых актов Волгоградской области, требующих внесения изменений или подлежащих отмене в связи с принятием проекта закона Волгоградской области </w:t>
      </w:r>
      <w:r>
        <w:rPr>
          <w:rFonts w:eastAsia="Calibri"/>
          <w:lang w:eastAsia="en-US"/>
        </w:rPr>
        <w:t>«</w:t>
      </w:r>
      <w:r w:rsidRPr="00782FF9">
        <w:rPr>
          <w:rFonts w:eastAsia="Calibri"/>
          <w:lang w:eastAsia="en-US"/>
        </w:rPr>
        <w:t>Об областном бюджете на 2018 год и плановый период 2019 и 2020 годов</w:t>
      </w:r>
      <w:r>
        <w:rPr>
          <w:rFonts w:eastAsia="Calibri"/>
          <w:lang w:eastAsia="en-US"/>
        </w:rPr>
        <w:t>»</w:t>
      </w:r>
      <w:r w:rsidRPr="00782FF9">
        <w:rPr>
          <w:rFonts w:eastAsia="Calibri"/>
          <w:lang w:eastAsia="en-US"/>
        </w:rPr>
        <w:t>.</w:t>
      </w:r>
      <w:proofErr w:type="gramEnd"/>
    </w:p>
    <w:p w:rsidR="002E7DDE" w:rsidRPr="00C430D8" w:rsidRDefault="002E7DDE" w:rsidP="002E7DDE">
      <w:pPr>
        <w:autoSpaceDE w:val="0"/>
        <w:autoSpaceDN w:val="0"/>
        <w:adjustRightInd w:val="0"/>
        <w:ind w:firstLine="709"/>
        <w:jc w:val="both"/>
      </w:pPr>
      <w:r w:rsidRPr="00C430D8">
        <w:t xml:space="preserve">В связи с окончанием в 2018 году действия госпрограммы «Развитие физической культуры и спорта в Волгоградской области» расходы комитета физической культуры и спорта на 2019 и 2020 годы предусмотрены </w:t>
      </w:r>
      <w:r>
        <w:t>как</w:t>
      </w:r>
      <w:r w:rsidRPr="00C430D8">
        <w:t xml:space="preserve"> </w:t>
      </w:r>
      <w:proofErr w:type="spellStart"/>
      <w:r w:rsidRPr="00C430D8">
        <w:t>непрограммны</w:t>
      </w:r>
      <w:r>
        <w:t>е</w:t>
      </w:r>
      <w:proofErr w:type="spellEnd"/>
      <w:r w:rsidRPr="00C430D8">
        <w:t xml:space="preserve">. При этом наличие утвержденной госпрограммы субъекта РФ в сфере физической культуры и спорта является </w:t>
      </w:r>
      <w:r>
        <w:lastRenderedPageBreak/>
        <w:t xml:space="preserve">обязательным </w:t>
      </w:r>
      <w:r w:rsidRPr="00C430D8">
        <w:t>условием получения средств федерального бюджета в соответствии с Федеральной государственной программой «Развитие физической культуры и спорта в Российской Федерации на 2016-2020 годы»</w:t>
      </w:r>
      <w:r>
        <w:t xml:space="preserve">. </w:t>
      </w:r>
    </w:p>
    <w:p w:rsidR="0060103C" w:rsidRDefault="0060103C" w:rsidP="00EA2C21">
      <w:pPr>
        <w:pStyle w:val="12"/>
        <w:jc w:val="both"/>
      </w:pPr>
    </w:p>
    <w:p w:rsidR="009076C4" w:rsidRPr="009B27D1" w:rsidRDefault="009076C4" w:rsidP="00EA2C21">
      <w:pPr>
        <w:pStyle w:val="12"/>
        <w:jc w:val="both"/>
      </w:pPr>
    </w:p>
    <w:p w:rsidR="007E08B3" w:rsidRDefault="007E08B3" w:rsidP="007E08B3">
      <w:pPr>
        <w:jc w:val="both"/>
      </w:pPr>
      <w:r>
        <w:tab/>
      </w:r>
      <w:r w:rsidRPr="00AA26BD">
        <w:t xml:space="preserve">На основании изложенного </w:t>
      </w:r>
      <w:r w:rsidRPr="00362615">
        <w:rPr>
          <w:b/>
          <w:i/>
          <w:u w:val="single"/>
        </w:rPr>
        <w:t>контрольно-счетная палата предлагает Волгоградской областной Думе</w:t>
      </w:r>
      <w:r w:rsidRPr="00921FCB">
        <w:rPr>
          <w:b/>
          <w:i/>
        </w:rPr>
        <w:t xml:space="preserve"> </w:t>
      </w:r>
      <w:r w:rsidRPr="00AA26BD">
        <w:t>предусмотреть в постановлении Волгоградской областной Думы «О принятии во втором чтении проекта закона «Об областном бюджете на 201</w:t>
      </w:r>
      <w:r>
        <w:t>8</w:t>
      </w:r>
      <w:r w:rsidRPr="00AA26BD">
        <w:t xml:space="preserve"> год и на плановый период 201</w:t>
      </w:r>
      <w:r>
        <w:t>9</w:t>
      </w:r>
      <w:r w:rsidRPr="00AA26BD">
        <w:t xml:space="preserve"> и 20</w:t>
      </w:r>
      <w:r>
        <w:t>20</w:t>
      </w:r>
      <w:r w:rsidRPr="00AA26BD">
        <w:t xml:space="preserve"> годов» следующие рекомендации </w:t>
      </w:r>
      <w:r>
        <w:t>Администрации Волгоградской</w:t>
      </w:r>
      <w:r w:rsidRPr="00AA26BD">
        <w:t xml:space="preserve"> области:</w:t>
      </w:r>
    </w:p>
    <w:p w:rsidR="007E08B3" w:rsidRDefault="007E08B3" w:rsidP="007E08B3">
      <w:pPr>
        <w:jc w:val="both"/>
      </w:pPr>
    </w:p>
    <w:p w:rsidR="009F1D00" w:rsidRPr="009F1D00" w:rsidRDefault="009F1D00" w:rsidP="009F1D00">
      <w:pPr>
        <w:autoSpaceDE w:val="0"/>
        <w:autoSpaceDN w:val="0"/>
        <w:adjustRightInd w:val="0"/>
        <w:ind w:firstLine="540"/>
        <w:jc w:val="both"/>
      </w:pPr>
      <w:r>
        <w:rPr>
          <w:b/>
        </w:rPr>
        <w:tab/>
        <w:t>1.</w:t>
      </w:r>
      <w:r>
        <w:t xml:space="preserve"> </w:t>
      </w:r>
      <w:proofErr w:type="gramStart"/>
      <w:r>
        <w:t>В связи с занижением в законопроекте общего объема бюджетных а</w:t>
      </w:r>
      <w:r w:rsidR="008A241C">
        <w:t>ссигнований на исполнение публичных нормативных обязательств</w:t>
      </w:r>
      <w:r>
        <w:t xml:space="preserve"> </w:t>
      </w:r>
      <w:r w:rsidR="008A241C">
        <w:t xml:space="preserve">относительно уточненных расчетов главных распорядителей средств областного бюджета </w:t>
      </w:r>
      <w:r w:rsidRPr="009F1D00">
        <w:t>внес</w:t>
      </w:r>
      <w:r w:rsidR="008A241C">
        <w:t>ти</w:t>
      </w:r>
      <w:r w:rsidRPr="009F1D00">
        <w:t xml:space="preserve"> </w:t>
      </w:r>
      <w:r w:rsidR="008A241C">
        <w:t xml:space="preserve">соответствующие </w:t>
      </w:r>
      <w:r w:rsidRPr="009F1D00">
        <w:t>изменени</w:t>
      </w:r>
      <w:r w:rsidR="008A241C">
        <w:t>я</w:t>
      </w:r>
      <w:r w:rsidRPr="009F1D00">
        <w:t xml:space="preserve"> в часть 3 статьи 6 законопроекта, содержащую </w:t>
      </w:r>
      <w:r w:rsidR="008A241C">
        <w:t>информацию об общем</w:t>
      </w:r>
      <w:r w:rsidRPr="009F1D00">
        <w:t xml:space="preserve"> объем</w:t>
      </w:r>
      <w:r w:rsidR="008A241C">
        <w:t>е</w:t>
      </w:r>
      <w:r w:rsidRPr="009F1D00">
        <w:t xml:space="preserve"> ассигнований, направляемых на исполнение ПНО</w:t>
      </w:r>
      <w:r w:rsidR="000F3AE4">
        <w:t>, либо представить перечень отмененных (приостановленных) нормативных правовых актов, устанавливающих не обеспеченные финансированием ПНО</w:t>
      </w:r>
      <w:r w:rsidR="008A241C">
        <w:t>.</w:t>
      </w:r>
      <w:r w:rsidRPr="009F1D00">
        <w:t xml:space="preserve"> </w:t>
      </w:r>
      <w:proofErr w:type="gramEnd"/>
    </w:p>
    <w:p w:rsidR="009F1D00" w:rsidRDefault="009F1D00" w:rsidP="001445CA">
      <w:pPr>
        <w:ind w:right="-1" w:firstLine="708"/>
        <w:jc w:val="both"/>
        <w:rPr>
          <w:b/>
        </w:rPr>
      </w:pPr>
    </w:p>
    <w:p w:rsidR="00563416" w:rsidRDefault="00AD76BF" w:rsidP="00B32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2060" w:rsidRPr="00B32060">
        <w:rPr>
          <w:rFonts w:ascii="Times New Roman" w:hAnsi="Times New Roman" w:cs="Times New Roman"/>
          <w:b/>
          <w:sz w:val="24"/>
          <w:szCs w:val="24"/>
        </w:rPr>
        <w:t>2.</w:t>
      </w:r>
      <w:r w:rsidR="00B32060" w:rsidRPr="00B32060">
        <w:rPr>
          <w:rFonts w:ascii="Times New Roman" w:hAnsi="Times New Roman" w:cs="Times New Roman"/>
          <w:sz w:val="24"/>
          <w:szCs w:val="24"/>
        </w:rPr>
        <w:t xml:space="preserve"> При </w:t>
      </w:r>
      <w:r w:rsidR="00B32060">
        <w:rPr>
          <w:rFonts w:ascii="Times New Roman" w:hAnsi="Times New Roman" w:cs="Times New Roman"/>
          <w:sz w:val="24"/>
          <w:szCs w:val="24"/>
        </w:rPr>
        <w:t xml:space="preserve">внесении </w:t>
      </w:r>
      <w:r w:rsidR="00755D3E">
        <w:rPr>
          <w:rFonts w:ascii="Times New Roman" w:hAnsi="Times New Roman" w:cs="Times New Roman"/>
          <w:sz w:val="24"/>
          <w:szCs w:val="24"/>
        </w:rPr>
        <w:t>очередных</w:t>
      </w:r>
      <w:r w:rsidR="00B32060">
        <w:rPr>
          <w:rFonts w:ascii="Times New Roman" w:hAnsi="Times New Roman" w:cs="Times New Roman"/>
          <w:sz w:val="24"/>
          <w:szCs w:val="24"/>
        </w:rPr>
        <w:t xml:space="preserve"> </w:t>
      </w:r>
      <w:r w:rsidR="00B32060" w:rsidRPr="00B32060">
        <w:rPr>
          <w:rFonts w:ascii="Times New Roman" w:hAnsi="Times New Roman" w:cs="Times New Roman"/>
          <w:sz w:val="24"/>
          <w:szCs w:val="24"/>
        </w:rPr>
        <w:t>поправ</w:t>
      </w:r>
      <w:r w:rsidR="00B32060">
        <w:rPr>
          <w:rFonts w:ascii="Times New Roman" w:hAnsi="Times New Roman" w:cs="Times New Roman"/>
          <w:sz w:val="24"/>
          <w:szCs w:val="24"/>
        </w:rPr>
        <w:t>о</w:t>
      </w:r>
      <w:r w:rsidR="00B32060" w:rsidRPr="00B32060">
        <w:rPr>
          <w:rFonts w:ascii="Times New Roman" w:hAnsi="Times New Roman" w:cs="Times New Roman"/>
          <w:sz w:val="24"/>
          <w:szCs w:val="24"/>
        </w:rPr>
        <w:t xml:space="preserve">к в </w:t>
      </w:r>
      <w:r w:rsidR="00B32060">
        <w:rPr>
          <w:rFonts w:ascii="Times New Roman" w:hAnsi="Times New Roman" w:cs="Times New Roman"/>
          <w:sz w:val="24"/>
          <w:szCs w:val="24"/>
        </w:rPr>
        <w:t xml:space="preserve">закон об </w:t>
      </w:r>
      <w:r w:rsidR="00B32060" w:rsidRPr="00B32060">
        <w:rPr>
          <w:rFonts w:ascii="Times New Roman" w:hAnsi="Times New Roman" w:cs="Times New Roman"/>
          <w:sz w:val="24"/>
          <w:szCs w:val="24"/>
        </w:rPr>
        <w:t>областной бюджет</w:t>
      </w:r>
      <w:r w:rsidR="00B32060">
        <w:rPr>
          <w:rFonts w:ascii="Times New Roman" w:hAnsi="Times New Roman" w:cs="Times New Roman"/>
          <w:sz w:val="24"/>
          <w:szCs w:val="24"/>
        </w:rPr>
        <w:t>е на 2018-2020 годы</w:t>
      </w:r>
      <w:r w:rsidR="00B32060" w:rsidRPr="00B32060">
        <w:rPr>
          <w:rFonts w:ascii="Times New Roman" w:hAnsi="Times New Roman" w:cs="Times New Roman"/>
          <w:sz w:val="24"/>
          <w:szCs w:val="24"/>
        </w:rPr>
        <w:t xml:space="preserve"> </w:t>
      </w:r>
      <w:r w:rsidR="00386D84">
        <w:rPr>
          <w:rFonts w:ascii="Times New Roman" w:hAnsi="Times New Roman" w:cs="Times New Roman"/>
          <w:sz w:val="24"/>
          <w:szCs w:val="24"/>
        </w:rPr>
        <w:t xml:space="preserve">в первоочередном порядке </w:t>
      </w:r>
      <w:r w:rsidR="00B32060" w:rsidRPr="00B32060">
        <w:rPr>
          <w:rFonts w:ascii="Times New Roman" w:hAnsi="Times New Roman" w:cs="Times New Roman"/>
          <w:sz w:val="24"/>
          <w:szCs w:val="24"/>
        </w:rPr>
        <w:t xml:space="preserve">предусмотреть ассигнования </w:t>
      </w:r>
      <w:r w:rsidR="00563416" w:rsidRPr="00B32060">
        <w:rPr>
          <w:rFonts w:ascii="Times New Roman" w:hAnsi="Times New Roman" w:cs="Times New Roman"/>
          <w:sz w:val="24"/>
          <w:szCs w:val="24"/>
        </w:rPr>
        <w:t>в объ</w:t>
      </w:r>
      <w:r w:rsidR="00563416">
        <w:rPr>
          <w:rFonts w:ascii="Times New Roman" w:hAnsi="Times New Roman" w:cs="Times New Roman"/>
          <w:sz w:val="24"/>
          <w:szCs w:val="24"/>
        </w:rPr>
        <w:t>е</w:t>
      </w:r>
      <w:r w:rsidR="00563416" w:rsidRPr="00B32060">
        <w:rPr>
          <w:rFonts w:ascii="Times New Roman" w:hAnsi="Times New Roman" w:cs="Times New Roman"/>
          <w:sz w:val="24"/>
          <w:szCs w:val="24"/>
        </w:rPr>
        <w:t xml:space="preserve">ме потребности </w:t>
      </w:r>
      <w:r w:rsidR="00B32060" w:rsidRPr="00B32060">
        <w:rPr>
          <w:rFonts w:ascii="Times New Roman" w:hAnsi="Times New Roman" w:cs="Times New Roman"/>
          <w:sz w:val="24"/>
          <w:szCs w:val="24"/>
        </w:rPr>
        <w:t xml:space="preserve">на </w:t>
      </w:r>
      <w:r w:rsidR="00563416">
        <w:rPr>
          <w:rFonts w:ascii="Times New Roman" w:hAnsi="Times New Roman" w:cs="Times New Roman"/>
          <w:sz w:val="24"/>
          <w:szCs w:val="24"/>
        </w:rPr>
        <w:t>следующие расходы:</w:t>
      </w:r>
    </w:p>
    <w:p w:rsidR="00563416" w:rsidRDefault="00563416" w:rsidP="00B32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-на </w:t>
      </w:r>
      <w:r w:rsidR="00B32060" w:rsidRPr="00B32060">
        <w:rPr>
          <w:rFonts w:ascii="Times New Roman" w:hAnsi="Times New Roman" w:cs="Times New Roman"/>
          <w:sz w:val="24"/>
          <w:szCs w:val="24"/>
        </w:rPr>
        <w:t>обеспечение полноценным питанием беременных женщин, кормящих матерей и детей в возрасте до 3 лет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32060" w:rsidRPr="00B32060" w:rsidRDefault="00563416" w:rsidP="00B32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32060" w:rsidRPr="00B32060">
        <w:rPr>
          <w:rFonts w:ascii="Times New Roman" w:hAnsi="Times New Roman" w:cs="Times New Roman"/>
          <w:sz w:val="24"/>
          <w:szCs w:val="24"/>
        </w:rPr>
        <w:t xml:space="preserve">на меры социальной помощи и поддержки </w:t>
      </w:r>
      <w:r w:rsidR="00755D3E">
        <w:rPr>
          <w:rFonts w:ascii="Times New Roman" w:hAnsi="Times New Roman" w:cs="Times New Roman"/>
          <w:sz w:val="24"/>
          <w:szCs w:val="24"/>
        </w:rPr>
        <w:t>населения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92325" w:rsidRPr="00192325" w:rsidRDefault="00192325" w:rsidP="00B32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32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192325">
        <w:rPr>
          <w:rFonts w:ascii="Times New Roman" w:hAnsi="Times New Roman" w:cs="Times New Roman"/>
          <w:sz w:val="24"/>
          <w:szCs w:val="24"/>
        </w:rPr>
        <w:t xml:space="preserve">субвенции на финансовое обеспечение образовательного процесса в муниципальных дошкольных и общеобразовательных организациях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92325">
        <w:rPr>
          <w:rFonts w:ascii="Times New Roman" w:hAnsi="Times New Roman" w:cs="Times New Roman"/>
          <w:sz w:val="24"/>
          <w:szCs w:val="24"/>
        </w:rPr>
        <w:t>на осуществление учебных расходов</w:t>
      </w:r>
      <w:r>
        <w:rPr>
          <w:rFonts w:ascii="Times New Roman" w:hAnsi="Times New Roman" w:cs="Times New Roman"/>
          <w:sz w:val="24"/>
          <w:szCs w:val="24"/>
        </w:rPr>
        <w:t>);</w:t>
      </w:r>
      <w:r w:rsidRPr="001923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D08" w:rsidRPr="00DF0D4C" w:rsidRDefault="00DF0D4C" w:rsidP="00B32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</w:t>
      </w:r>
      <w:r w:rsidR="00192325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Pr="00DF0D4C">
        <w:rPr>
          <w:rFonts w:ascii="Times New Roman" w:hAnsi="Times New Roman" w:cs="Times New Roman"/>
          <w:iCs/>
          <w:sz w:val="24"/>
          <w:szCs w:val="24"/>
        </w:rPr>
        <w:t xml:space="preserve">субвенции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муниципальным образованиям </w:t>
      </w:r>
      <w:r w:rsidRPr="00DF0D4C">
        <w:rPr>
          <w:rFonts w:ascii="Times New Roman" w:hAnsi="Times New Roman" w:cs="Times New Roman"/>
          <w:iCs/>
          <w:sz w:val="24"/>
          <w:szCs w:val="24"/>
        </w:rPr>
        <w:t>на организацию питания детей из малоимущих семей и детей, находящихся на учете у фтизиатра, обучающихся в общеобразовательных организациях</w:t>
      </w:r>
      <w:r>
        <w:rPr>
          <w:rFonts w:ascii="Times New Roman" w:hAnsi="Times New Roman" w:cs="Times New Roman"/>
          <w:iCs/>
          <w:sz w:val="24"/>
          <w:szCs w:val="24"/>
        </w:rPr>
        <w:t>;</w:t>
      </w:r>
    </w:p>
    <w:p w:rsidR="00DF0D4C" w:rsidRPr="00EA7735" w:rsidRDefault="00EA7735" w:rsidP="00B32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7735">
        <w:rPr>
          <w:rFonts w:ascii="Times New Roman" w:hAnsi="Times New Roman" w:cs="Times New Roman"/>
          <w:sz w:val="24"/>
          <w:szCs w:val="24"/>
        </w:rPr>
        <w:t>-на выплату стипендий, пособий и компенсаций по социальной поддержке детей-сирот, обучающихся в организациях профессионального образования Волгоградской области.</w:t>
      </w:r>
    </w:p>
    <w:p w:rsidR="00EA7735" w:rsidRDefault="00EA7735" w:rsidP="00B3206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2060" w:rsidRDefault="00B32060" w:rsidP="00B32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6D08">
        <w:rPr>
          <w:rFonts w:ascii="Times New Roman" w:hAnsi="Times New Roman" w:cs="Times New Roman"/>
          <w:b/>
          <w:sz w:val="24"/>
          <w:szCs w:val="24"/>
        </w:rPr>
        <w:t>3</w:t>
      </w:r>
      <w:r w:rsidRPr="00B32060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="00186D08">
        <w:rPr>
          <w:rFonts w:ascii="Times New Roman" w:hAnsi="Times New Roman" w:cs="Times New Roman"/>
          <w:sz w:val="24"/>
          <w:szCs w:val="24"/>
        </w:rPr>
        <w:t xml:space="preserve">В целях привлечения средств федерального бюджета на реализацию мероприятий в </w:t>
      </w:r>
      <w:r w:rsidR="00414BEB">
        <w:rPr>
          <w:rFonts w:ascii="Times New Roman" w:hAnsi="Times New Roman" w:cs="Times New Roman"/>
          <w:sz w:val="24"/>
          <w:szCs w:val="24"/>
        </w:rPr>
        <w:t>сфере развития</w:t>
      </w:r>
      <w:r w:rsidR="00186D08">
        <w:rPr>
          <w:rFonts w:ascii="Times New Roman" w:hAnsi="Times New Roman" w:cs="Times New Roman"/>
          <w:sz w:val="24"/>
          <w:szCs w:val="24"/>
        </w:rPr>
        <w:t xml:space="preserve"> физической культуры и спорта ускорить утверждение</w:t>
      </w:r>
      <w:r w:rsidRPr="00B32060">
        <w:rPr>
          <w:rFonts w:ascii="Times New Roman" w:hAnsi="Times New Roman" w:cs="Times New Roman"/>
          <w:sz w:val="24"/>
          <w:szCs w:val="24"/>
        </w:rPr>
        <w:t xml:space="preserve"> </w:t>
      </w:r>
      <w:r w:rsidR="00186D08">
        <w:rPr>
          <w:rFonts w:ascii="Times New Roman" w:hAnsi="Times New Roman" w:cs="Times New Roman"/>
          <w:sz w:val="24"/>
          <w:szCs w:val="24"/>
        </w:rPr>
        <w:t xml:space="preserve">соответствующей государственной  программы Волгоградской области на 2019 и последующие годы, а также дать поручение комитету по </w:t>
      </w:r>
      <w:r w:rsidRPr="00B32060">
        <w:rPr>
          <w:rFonts w:ascii="Times New Roman" w:hAnsi="Times New Roman" w:cs="Times New Roman"/>
          <w:sz w:val="24"/>
          <w:szCs w:val="24"/>
        </w:rPr>
        <w:t>труду</w:t>
      </w:r>
      <w:r w:rsidR="00186D08">
        <w:rPr>
          <w:rFonts w:ascii="Times New Roman" w:hAnsi="Times New Roman" w:cs="Times New Roman"/>
          <w:sz w:val="24"/>
          <w:szCs w:val="24"/>
        </w:rPr>
        <w:t xml:space="preserve"> и занятости Волгоградской области</w:t>
      </w:r>
      <w:r w:rsidRPr="00B32060">
        <w:rPr>
          <w:rFonts w:ascii="Times New Roman" w:hAnsi="Times New Roman" w:cs="Times New Roman"/>
          <w:sz w:val="24"/>
          <w:szCs w:val="24"/>
        </w:rPr>
        <w:t xml:space="preserve"> </w:t>
      </w:r>
      <w:r w:rsidR="00414BEB">
        <w:rPr>
          <w:rFonts w:ascii="Times New Roman" w:hAnsi="Times New Roman" w:cs="Times New Roman"/>
          <w:sz w:val="24"/>
          <w:szCs w:val="24"/>
        </w:rPr>
        <w:t xml:space="preserve">в кратчайшие сроки </w:t>
      </w:r>
      <w:r w:rsidRPr="00B32060">
        <w:rPr>
          <w:rFonts w:ascii="Times New Roman" w:hAnsi="Times New Roman" w:cs="Times New Roman"/>
          <w:sz w:val="24"/>
          <w:szCs w:val="24"/>
        </w:rPr>
        <w:t>разработать и пр</w:t>
      </w:r>
      <w:r w:rsidR="00186D08">
        <w:rPr>
          <w:rFonts w:ascii="Times New Roman" w:hAnsi="Times New Roman" w:cs="Times New Roman"/>
          <w:sz w:val="24"/>
          <w:szCs w:val="24"/>
        </w:rPr>
        <w:t>едставить на утверждение</w:t>
      </w:r>
      <w:r w:rsidRPr="00B32060">
        <w:rPr>
          <w:rFonts w:ascii="Times New Roman" w:hAnsi="Times New Roman" w:cs="Times New Roman"/>
          <w:sz w:val="24"/>
          <w:szCs w:val="24"/>
        </w:rPr>
        <w:t xml:space="preserve"> подпрограмму «Сопровождение инвалидов молодого возраста при трудоустройстве» </w:t>
      </w:r>
      <w:r w:rsidR="00186D08">
        <w:rPr>
          <w:rFonts w:ascii="Times New Roman" w:hAnsi="Times New Roman" w:cs="Times New Roman"/>
          <w:sz w:val="24"/>
          <w:szCs w:val="24"/>
        </w:rPr>
        <w:t xml:space="preserve">в составе </w:t>
      </w:r>
      <w:r w:rsidRPr="00B32060">
        <w:rPr>
          <w:rFonts w:ascii="Times New Roman" w:hAnsi="Times New Roman" w:cs="Times New Roman"/>
          <w:sz w:val="24"/>
          <w:szCs w:val="24"/>
        </w:rPr>
        <w:t>госпрограммы «Развитие рынка труда</w:t>
      </w:r>
      <w:proofErr w:type="gramEnd"/>
      <w:r w:rsidRPr="00B32060">
        <w:rPr>
          <w:rFonts w:ascii="Times New Roman" w:hAnsi="Times New Roman" w:cs="Times New Roman"/>
          <w:sz w:val="24"/>
          <w:szCs w:val="24"/>
        </w:rPr>
        <w:t xml:space="preserve"> и обеспечение занятости </w:t>
      </w:r>
      <w:r w:rsidR="00414BEB">
        <w:rPr>
          <w:rFonts w:ascii="Times New Roman" w:hAnsi="Times New Roman" w:cs="Times New Roman"/>
          <w:sz w:val="24"/>
          <w:szCs w:val="24"/>
        </w:rPr>
        <w:t xml:space="preserve">населения </w:t>
      </w:r>
      <w:r w:rsidRPr="00B32060">
        <w:rPr>
          <w:rFonts w:ascii="Times New Roman" w:hAnsi="Times New Roman" w:cs="Times New Roman"/>
          <w:sz w:val="24"/>
          <w:szCs w:val="24"/>
        </w:rPr>
        <w:t>в Волгоградской области».</w:t>
      </w:r>
    </w:p>
    <w:p w:rsidR="00386D84" w:rsidRDefault="00386D84" w:rsidP="00B32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6D84" w:rsidRDefault="00386D84" w:rsidP="00386D84">
      <w:pPr>
        <w:ind w:firstLine="709"/>
        <w:jc w:val="both"/>
      </w:pPr>
      <w:r w:rsidRPr="00386D84">
        <w:rPr>
          <w:b/>
        </w:rPr>
        <w:t>4.</w:t>
      </w:r>
      <w:r>
        <w:t xml:space="preserve"> </w:t>
      </w:r>
      <w:proofErr w:type="gramStart"/>
      <w:r>
        <w:t xml:space="preserve">В связи с исключением из подпрограммы «Развитие рыбного хозяйства» госпрограммы «Развитие сельского хозяйства и регулирование рынков сельскохозяйственной продукции, сырья и продовольствия» средств областного бюджета на оказание государственной поддержки рыбной отрасли в 2018-2020 годах и </w:t>
      </w:r>
      <w:r w:rsidR="006E27E0">
        <w:t xml:space="preserve">соответствующего </w:t>
      </w:r>
      <w:r>
        <w:t>целевого показателя, а также в целях оптимизации расходов на содержание комитета сельского хозяйства Волгоградской области рассмотреть вопрос о реорганизации отдела рыбного хозяйства или сокращении его</w:t>
      </w:r>
      <w:proofErr w:type="gramEnd"/>
      <w:r>
        <w:t xml:space="preserve"> штатной численности.</w:t>
      </w:r>
    </w:p>
    <w:p w:rsidR="00B32060" w:rsidRDefault="00B32060" w:rsidP="00B320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76BF" w:rsidRDefault="00AD76BF" w:rsidP="00AD76BF">
      <w:pPr>
        <w:jc w:val="both"/>
      </w:pPr>
      <w:r>
        <w:tab/>
      </w:r>
      <w:r w:rsidRPr="00AD76BF">
        <w:rPr>
          <w:b/>
        </w:rPr>
        <w:t>5.</w:t>
      </w:r>
      <w:r>
        <w:t xml:space="preserve"> Принять решение относительно действия государственной программы «</w:t>
      </w:r>
      <w:r w:rsidRPr="00782FF9">
        <w:t>Использование результатов космической деятельности в интересах социально-экономического и инновационного развития Волгоградской области</w:t>
      </w:r>
      <w:r>
        <w:t>»</w:t>
      </w:r>
      <w:r w:rsidRPr="00782FF9">
        <w:t xml:space="preserve"> на 2014-2018 годы</w:t>
      </w:r>
      <w:r>
        <w:t>.</w:t>
      </w:r>
    </w:p>
    <w:p w:rsidR="00AD76BF" w:rsidRPr="00782FF9" w:rsidRDefault="00AD76BF" w:rsidP="00AD76BF">
      <w:pPr>
        <w:pStyle w:val="Default"/>
        <w:ind w:firstLine="709"/>
        <w:jc w:val="both"/>
        <w:rPr>
          <w:color w:val="auto"/>
        </w:rPr>
      </w:pPr>
    </w:p>
    <w:p w:rsidR="00FE267A" w:rsidRDefault="00AD76BF" w:rsidP="00FE267A">
      <w:pPr>
        <w:ind w:right="-1" w:firstLine="708"/>
        <w:jc w:val="both"/>
      </w:pPr>
      <w:r>
        <w:rPr>
          <w:b/>
        </w:rPr>
        <w:t>6</w:t>
      </w:r>
      <w:r w:rsidR="001445CA" w:rsidRPr="001445CA">
        <w:rPr>
          <w:b/>
        </w:rPr>
        <w:t>.</w:t>
      </w:r>
      <w:r w:rsidR="001445CA">
        <w:t xml:space="preserve"> В соответствии с требованиями статьи 85 БК РФ разработать и утвердить </w:t>
      </w:r>
      <w:r w:rsidR="001445CA" w:rsidRPr="0006712A">
        <w:t>нормативный правовой акт, устанавливающий расходное обязательство Волгоградской области по государственной поддержке муниципальных образований, вынужденных осуществлять подачу воды в водные объекты, подверженные истощению и требующие периодического пополнения, сроком действия не менее трех лет.</w:t>
      </w:r>
    </w:p>
    <w:p w:rsidR="00FE267A" w:rsidRDefault="00FE267A" w:rsidP="00FE267A">
      <w:pPr>
        <w:ind w:right="-1" w:firstLine="708"/>
        <w:jc w:val="both"/>
      </w:pPr>
    </w:p>
    <w:p w:rsidR="00FE267A" w:rsidRDefault="00AD76BF" w:rsidP="00FE267A">
      <w:pPr>
        <w:ind w:right="-1" w:firstLine="708"/>
        <w:jc w:val="both"/>
      </w:pPr>
      <w:r>
        <w:rPr>
          <w:b/>
        </w:rPr>
        <w:t>7</w:t>
      </w:r>
      <w:r w:rsidR="00FE267A" w:rsidRPr="00FE267A">
        <w:rPr>
          <w:b/>
        </w:rPr>
        <w:t>.</w:t>
      </w:r>
      <w:r w:rsidR="00FE267A">
        <w:t xml:space="preserve"> </w:t>
      </w:r>
      <w:r w:rsidR="000F3AE4" w:rsidRPr="000F78B5">
        <w:t>В ходе исполнения областного бюджета в 2018 году принять меры для увеличения ассигнований дорожного фонда Волгоградской области.</w:t>
      </w:r>
    </w:p>
    <w:p w:rsidR="00FE267A" w:rsidRDefault="00FE267A" w:rsidP="00FE267A">
      <w:pPr>
        <w:ind w:right="-1" w:firstLine="708"/>
        <w:jc w:val="both"/>
      </w:pPr>
    </w:p>
    <w:p w:rsidR="00FE267A" w:rsidRDefault="00AD76BF" w:rsidP="00FE267A">
      <w:pPr>
        <w:ind w:right="-1" w:firstLine="708"/>
        <w:jc w:val="both"/>
      </w:pPr>
      <w:r>
        <w:rPr>
          <w:b/>
        </w:rPr>
        <w:t>8</w:t>
      </w:r>
      <w:r w:rsidR="00FE267A" w:rsidRPr="00FE267A">
        <w:rPr>
          <w:b/>
        </w:rPr>
        <w:t>.</w:t>
      </w:r>
      <w:r w:rsidR="00FE267A">
        <w:t xml:space="preserve"> </w:t>
      </w:r>
      <w:proofErr w:type="gramStart"/>
      <w:r w:rsidR="000F3AE4" w:rsidRPr="00D2228B">
        <w:t xml:space="preserve">Рассмотреть вопрос об утверждении в областном бюджете на 2018 год ассигнований на реализацию Программы комплексного развития транспортной инфраструктуры Волгоградской городской агломерации по отдельной целевой статье в виде основного мероприятия подпрограммы «Совершенствование и развитие сети автомобильных дорог общего пользования Волгоградской области» </w:t>
      </w:r>
      <w:r w:rsidR="000F3AE4">
        <w:t>государственной программы Волгоградской области</w:t>
      </w:r>
      <w:r w:rsidR="000F3AE4" w:rsidRPr="00D2228B">
        <w:t xml:space="preserve"> «Развитие транспортной системы и обеспечение безопасности дорожного движения в Волгоградской области».</w:t>
      </w:r>
      <w:proofErr w:type="gramEnd"/>
    </w:p>
    <w:p w:rsidR="00FE267A" w:rsidRDefault="00FE267A" w:rsidP="00FE267A">
      <w:pPr>
        <w:ind w:right="-1" w:firstLine="708"/>
        <w:jc w:val="both"/>
      </w:pPr>
    </w:p>
    <w:p w:rsidR="000F3AE4" w:rsidRPr="00D2228B" w:rsidRDefault="00AD76BF" w:rsidP="00FE267A">
      <w:pPr>
        <w:ind w:right="-1" w:firstLine="708"/>
        <w:jc w:val="both"/>
      </w:pPr>
      <w:r>
        <w:rPr>
          <w:b/>
        </w:rPr>
        <w:t>9</w:t>
      </w:r>
      <w:r w:rsidR="00FE267A" w:rsidRPr="00FE267A">
        <w:rPr>
          <w:b/>
        </w:rPr>
        <w:t>.</w:t>
      </w:r>
      <w:r w:rsidR="00FE267A">
        <w:t xml:space="preserve"> </w:t>
      </w:r>
      <w:proofErr w:type="gramStart"/>
      <w:r w:rsidR="000F3AE4" w:rsidRPr="00D2228B">
        <w:t xml:space="preserve">В целях обеспечения </w:t>
      </w:r>
      <w:r w:rsidR="0041069B">
        <w:t xml:space="preserve">соответствия </w:t>
      </w:r>
      <w:r w:rsidR="00122619">
        <w:t xml:space="preserve">направлений </w:t>
      </w:r>
      <w:r w:rsidR="000F3AE4" w:rsidRPr="00D2228B">
        <w:t>использования ассигнований дорожного фонда</w:t>
      </w:r>
      <w:r w:rsidR="0041069B">
        <w:t xml:space="preserve"> действующему законодательству</w:t>
      </w:r>
      <w:r w:rsidR="000F3AE4" w:rsidRPr="00D2228B">
        <w:t xml:space="preserve"> </w:t>
      </w:r>
      <w:r w:rsidR="0041069B">
        <w:t xml:space="preserve">принять меры по </w:t>
      </w:r>
      <w:r w:rsidR="000F3AE4" w:rsidRPr="00D2228B">
        <w:t>совершенствова</w:t>
      </w:r>
      <w:r w:rsidR="0041069B">
        <w:t>нию</w:t>
      </w:r>
      <w:r w:rsidR="000F3AE4" w:rsidRPr="00D2228B">
        <w:t xml:space="preserve"> Порядк</w:t>
      </w:r>
      <w:r w:rsidR="0041069B">
        <w:t>а</w:t>
      </w:r>
      <w:r w:rsidR="000F3AE4" w:rsidRPr="00D2228B">
        <w:t xml:space="preserve"> формирования и использования бюджетных ассигнований дорожного фонда Волгоградской области, утвержд</w:t>
      </w:r>
      <w:r w:rsidR="00FE267A">
        <w:t>е</w:t>
      </w:r>
      <w:r w:rsidR="000F3AE4" w:rsidRPr="00D2228B">
        <w:t>нн</w:t>
      </w:r>
      <w:r w:rsidR="0041069B">
        <w:t>ого</w:t>
      </w:r>
      <w:r w:rsidR="000F3AE4" w:rsidRPr="00D2228B">
        <w:t xml:space="preserve"> постановлением Администрации Волгоградской области от 26.12.2011 №887-п, в части закрепления возможности осуществления расходов на приобретение и содержание работающих в автоматическом режиме специальных технических средства, имеющих функции фото- и киносъемки, видеозаписи для фиксации нарушений правил</w:t>
      </w:r>
      <w:proofErr w:type="gramEnd"/>
      <w:r w:rsidR="000F3AE4" w:rsidRPr="00D2228B">
        <w:t xml:space="preserve"> дорожного движения.</w:t>
      </w:r>
    </w:p>
    <w:p w:rsidR="000F3AE4" w:rsidRDefault="000F3AE4" w:rsidP="007E08B3">
      <w:pPr>
        <w:jc w:val="both"/>
      </w:pPr>
    </w:p>
    <w:p w:rsidR="00DA4098" w:rsidRDefault="00DA4098" w:rsidP="007E08B3">
      <w:pPr>
        <w:pStyle w:val="12"/>
        <w:ind w:left="708"/>
        <w:jc w:val="both"/>
      </w:pPr>
    </w:p>
    <w:p w:rsidR="00AD76BF" w:rsidRDefault="00AD76BF" w:rsidP="007E08B3">
      <w:pPr>
        <w:pStyle w:val="12"/>
        <w:ind w:left="708"/>
        <w:jc w:val="both"/>
      </w:pPr>
    </w:p>
    <w:p w:rsidR="007900D2" w:rsidRDefault="007900D2" w:rsidP="007E08B3">
      <w:pPr>
        <w:pStyle w:val="12"/>
        <w:ind w:left="708"/>
        <w:jc w:val="both"/>
      </w:pPr>
    </w:p>
    <w:p w:rsidR="003107E8" w:rsidRDefault="003107E8" w:rsidP="007E08B3">
      <w:pPr>
        <w:pStyle w:val="12"/>
        <w:ind w:left="708"/>
        <w:jc w:val="both"/>
      </w:pPr>
    </w:p>
    <w:p w:rsidR="003107E8" w:rsidRDefault="003107E8" w:rsidP="007E08B3">
      <w:pPr>
        <w:pStyle w:val="12"/>
        <w:ind w:left="708"/>
        <w:jc w:val="both"/>
      </w:pPr>
    </w:p>
    <w:p w:rsidR="00EA2C21" w:rsidRPr="00800FAE" w:rsidRDefault="00EA2C21" w:rsidP="00EA2C21">
      <w:pPr>
        <w:pStyle w:val="12"/>
        <w:jc w:val="both"/>
        <w:rPr>
          <w:b/>
          <w:szCs w:val="24"/>
        </w:rPr>
      </w:pPr>
      <w:r w:rsidRPr="001847FC">
        <w:rPr>
          <w:b/>
          <w:i/>
        </w:rPr>
        <w:t xml:space="preserve">Председатель                                                                        </w:t>
      </w:r>
      <w:r>
        <w:rPr>
          <w:b/>
          <w:i/>
        </w:rPr>
        <w:t xml:space="preserve">                </w:t>
      </w:r>
      <w:r w:rsidR="007B47F9">
        <w:rPr>
          <w:b/>
          <w:i/>
        </w:rPr>
        <w:t xml:space="preserve"> </w:t>
      </w:r>
      <w:r w:rsidR="007900D2">
        <w:rPr>
          <w:b/>
          <w:i/>
        </w:rPr>
        <w:t xml:space="preserve">         </w:t>
      </w:r>
      <w:r w:rsidRPr="001847FC">
        <w:rPr>
          <w:b/>
          <w:i/>
        </w:rPr>
        <w:t>И.А. Дьяченко</w:t>
      </w:r>
    </w:p>
    <w:p w:rsidR="001847FC" w:rsidRPr="00800FAE" w:rsidRDefault="001847FC" w:rsidP="00EA2C21">
      <w:pPr>
        <w:pStyle w:val="11"/>
        <w:jc w:val="center"/>
        <w:outlineLvl w:val="0"/>
        <w:rPr>
          <w:b/>
          <w:szCs w:val="24"/>
        </w:rPr>
      </w:pPr>
    </w:p>
    <w:sectPr w:rsidR="001847FC" w:rsidRPr="00800FAE" w:rsidSect="00181ED3">
      <w:headerReference w:type="default" r:id="rId9"/>
      <w:pgSz w:w="11906" w:h="16838"/>
      <w:pgMar w:top="680" w:right="851" w:bottom="680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C56" w:rsidRDefault="006F7C56" w:rsidP="00A505E4">
      <w:r>
        <w:separator/>
      </w:r>
    </w:p>
  </w:endnote>
  <w:endnote w:type="continuationSeparator" w:id="1">
    <w:p w:rsidR="006F7C56" w:rsidRDefault="006F7C56" w:rsidP="00A5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C56" w:rsidRDefault="006F7C56" w:rsidP="00A505E4">
      <w:r>
        <w:separator/>
      </w:r>
    </w:p>
  </w:footnote>
  <w:footnote w:type="continuationSeparator" w:id="1">
    <w:p w:rsidR="006F7C56" w:rsidRDefault="006F7C56" w:rsidP="00A505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46550"/>
      <w:docPartObj>
        <w:docPartGallery w:val="Page Numbers (Top of Page)"/>
        <w:docPartUnique/>
      </w:docPartObj>
    </w:sdtPr>
    <w:sdtContent>
      <w:p w:rsidR="003107E8" w:rsidRDefault="000038CD">
        <w:pPr>
          <w:pStyle w:val="a5"/>
          <w:jc w:val="center"/>
        </w:pPr>
        <w:fldSimple w:instr=" PAGE   \* MERGEFORMAT ">
          <w:r w:rsidR="00BC239C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793D"/>
    <w:multiLevelType w:val="hybridMultilevel"/>
    <w:tmpl w:val="4DF638FA"/>
    <w:lvl w:ilvl="0" w:tplc="08748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DC053B"/>
    <w:multiLevelType w:val="hybridMultilevel"/>
    <w:tmpl w:val="98FC7BC2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91B08EB"/>
    <w:multiLevelType w:val="hybridMultilevel"/>
    <w:tmpl w:val="23503622"/>
    <w:lvl w:ilvl="0" w:tplc="412CC1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E56DFF"/>
    <w:multiLevelType w:val="hybridMultilevel"/>
    <w:tmpl w:val="AD2CDB34"/>
    <w:lvl w:ilvl="0" w:tplc="041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4">
    <w:nsid w:val="0D9D0514"/>
    <w:multiLevelType w:val="hybridMultilevel"/>
    <w:tmpl w:val="144030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4D5A43"/>
    <w:multiLevelType w:val="hybridMultilevel"/>
    <w:tmpl w:val="B3A201C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CBB6E53"/>
    <w:multiLevelType w:val="hybridMultilevel"/>
    <w:tmpl w:val="53A2D21A"/>
    <w:lvl w:ilvl="0" w:tplc="C9EE41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A56240"/>
    <w:multiLevelType w:val="hybridMultilevel"/>
    <w:tmpl w:val="F090875E"/>
    <w:lvl w:ilvl="0" w:tplc="1DFA67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237E5338"/>
    <w:multiLevelType w:val="hybridMultilevel"/>
    <w:tmpl w:val="1C6CD8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45874BC"/>
    <w:multiLevelType w:val="hybridMultilevel"/>
    <w:tmpl w:val="47DC201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9BF3ECA"/>
    <w:multiLevelType w:val="hybridMultilevel"/>
    <w:tmpl w:val="1E04FA68"/>
    <w:lvl w:ilvl="0" w:tplc="05A60A74">
      <w:start w:val="1"/>
      <w:numFmt w:val="decimal"/>
      <w:lvlText w:val="%1."/>
      <w:lvlJc w:val="left"/>
      <w:pPr>
        <w:ind w:left="1580" w:hanging="9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2AC0433C"/>
    <w:multiLevelType w:val="hybridMultilevel"/>
    <w:tmpl w:val="68FC1EC6"/>
    <w:lvl w:ilvl="0" w:tplc="90709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A57A6F"/>
    <w:multiLevelType w:val="hybridMultilevel"/>
    <w:tmpl w:val="7AB274D4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2CFB6554"/>
    <w:multiLevelType w:val="hybridMultilevel"/>
    <w:tmpl w:val="726E514A"/>
    <w:lvl w:ilvl="0" w:tplc="AC06F0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2DBE15E8"/>
    <w:multiLevelType w:val="hybridMultilevel"/>
    <w:tmpl w:val="C776B384"/>
    <w:lvl w:ilvl="0" w:tplc="BC8CF96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>
    <w:nsid w:val="2EAB035F"/>
    <w:multiLevelType w:val="hybridMultilevel"/>
    <w:tmpl w:val="CD82AAB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2F854772"/>
    <w:multiLevelType w:val="hybridMultilevel"/>
    <w:tmpl w:val="4FB64CCC"/>
    <w:lvl w:ilvl="0" w:tplc="3C48D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136720"/>
    <w:multiLevelType w:val="hybridMultilevel"/>
    <w:tmpl w:val="FD9C1030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>
    <w:nsid w:val="35802921"/>
    <w:multiLevelType w:val="hybridMultilevel"/>
    <w:tmpl w:val="2884B85C"/>
    <w:lvl w:ilvl="0" w:tplc="1324BC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393744B7"/>
    <w:multiLevelType w:val="hybridMultilevel"/>
    <w:tmpl w:val="1C926278"/>
    <w:lvl w:ilvl="0" w:tplc="805004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632626"/>
    <w:multiLevelType w:val="hybridMultilevel"/>
    <w:tmpl w:val="EAE4C6CA"/>
    <w:lvl w:ilvl="0" w:tplc="5E5A20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60D2BB5"/>
    <w:multiLevelType w:val="hybridMultilevel"/>
    <w:tmpl w:val="9BF6CE1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64625CD"/>
    <w:multiLevelType w:val="hybridMultilevel"/>
    <w:tmpl w:val="A72E019E"/>
    <w:lvl w:ilvl="0" w:tplc="C016B0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48C57842"/>
    <w:multiLevelType w:val="hybridMultilevel"/>
    <w:tmpl w:val="A49EB0FE"/>
    <w:lvl w:ilvl="0" w:tplc="1DC67E52">
      <w:start w:val="1"/>
      <w:numFmt w:val="decimal"/>
      <w:lvlText w:val="%1."/>
      <w:lvlJc w:val="left"/>
      <w:pPr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A817A1B"/>
    <w:multiLevelType w:val="hybridMultilevel"/>
    <w:tmpl w:val="95C884FA"/>
    <w:lvl w:ilvl="0" w:tplc="7E6A1B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4BF23AA6"/>
    <w:multiLevelType w:val="hybridMultilevel"/>
    <w:tmpl w:val="4CB4F232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4D341C41"/>
    <w:multiLevelType w:val="hybridMultilevel"/>
    <w:tmpl w:val="B694F41C"/>
    <w:lvl w:ilvl="0" w:tplc="32B6CB1E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27">
    <w:nsid w:val="50407A85"/>
    <w:multiLevelType w:val="hybridMultilevel"/>
    <w:tmpl w:val="565EC6D2"/>
    <w:lvl w:ilvl="0" w:tplc="8EEA435A">
      <w:start w:val="1"/>
      <w:numFmt w:val="decimal"/>
      <w:lvlText w:val="%1."/>
      <w:lvlJc w:val="left"/>
      <w:pPr>
        <w:ind w:left="1871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2321109"/>
    <w:multiLevelType w:val="hybridMultilevel"/>
    <w:tmpl w:val="233868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781266"/>
    <w:multiLevelType w:val="hybridMultilevel"/>
    <w:tmpl w:val="DDF22E9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57B21FE1"/>
    <w:multiLevelType w:val="hybridMultilevel"/>
    <w:tmpl w:val="AB78B212"/>
    <w:lvl w:ilvl="0" w:tplc="C016B0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BEF2BF4"/>
    <w:multiLevelType w:val="hybridMultilevel"/>
    <w:tmpl w:val="58425930"/>
    <w:lvl w:ilvl="0" w:tplc="0B2AA3A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09634BA"/>
    <w:multiLevelType w:val="hybridMultilevel"/>
    <w:tmpl w:val="A8FAFC7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4A433A2"/>
    <w:multiLevelType w:val="hybridMultilevel"/>
    <w:tmpl w:val="F4AAC93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4">
    <w:nsid w:val="65A94E29"/>
    <w:multiLevelType w:val="hybridMultilevel"/>
    <w:tmpl w:val="2AC2A30A"/>
    <w:lvl w:ilvl="0" w:tplc="4FE0B72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5F23490"/>
    <w:multiLevelType w:val="hybridMultilevel"/>
    <w:tmpl w:val="2D405F98"/>
    <w:lvl w:ilvl="0" w:tplc="A1A8494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62E2D4D"/>
    <w:multiLevelType w:val="hybridMultilevel"/>
    <w:tmpl w:val="2132E83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D3B3029"/>
    <w:multiLevelType w:val="hybridMultilevel"/>
    <w:tmpl w:val="9D36B5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03862AD"/>
    <w:multiLevelType w:val="hybridMultilevel"/>
    <w:tmpl w:val="9858053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83A2582"/>
    <w:multiLevelType w:val="hybridMultilevel"/>
    <w:tmpl w:val="9376A4A2"/>
    <w:lvl w:ilvl="0" w:tplc="39A28B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9E52B6D"/>
    <w:multiLevelType w:val="hybridMultilevel"/>
    <w:tmpl w:val="67E07E48"/>
    <w:lvl w:ilvl="0" w:tplc="1F1E38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B647C49"/>
    <w:multiLevelType w:val="hybridMultilevel"/>
    <w:tmpl w:val="4C3C26DE"/>
    <w:lvl w:ilvl="0" w:tplc="2F7CEFBA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DD40317"/>
    <w:multiLevelType w:val="hybridMultilevel"/>
    <w:tmpl w:val="487ABEF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E1667AE"/>
    <w:multiLevelType w:val="hybridMultilevel"/>
    <w:tmpl w:val="B28AE0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E9D1B5E"/>
    <w:multiLevelType w:val="hybridMultilevel"/>
    <w:tmpl w:val="24A64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42"/>
  </w:num>
  <w:num w:numId="7">
    <w:abstractNumId w:val="35"/>
  </w:num>
  <w:num w:numId="8">
    <w:abstractNumId w:val="22"/>
  </w:num>
  <w:num w:numId="9">
    <w:abstractNumId w:val="30"/>
  </w:num>
  <w:num w:numId="10">
    <w:abstractNumId w:val="6"/>
  </w:num>
  <w:num w:numId="11">
    <w:abstractNumId w:val="20"/>
  </w:num>
  <w:num w:numId="12">
    <w:abstractNumId w:val="19"/>
  </w:num>
  <w:num w:numId="13">
    <w:abstractNumId w:val="4"/>
  </w:num>
  <w:num w:numId="14">
    <w:abstractNumId w:val="15"/>
  </w:num>
  <w:num w:numId="15">
    <w:abstractNumId w:val="17"/>
  </w:num>
  <w:num w:numId="16">
    <w:abstractNumId w:val="12"/>
  </w:num>
  <w:num w:numId="17">
    <w:abstractNumId w:val="21"/>
  </w:num>
  <w:num w:numId="18">
    <w:abstractNumId w:val="13"/>
  </w:num>
  <w:num w:numId="19">
    <w:abstractNumId w:val="7"/>
  </w:num>
  <w:num w:numId="20">
    <w:abstractNumId w:val="2"/>
  </w:num>
  <w:num w:numId="21">
    <w:abstractNumId w:val="27"/>
  </w:num>
  <w:num w:numId="22">
    <w:abstractNumId w:val="3"/>
  </w:num>
  <w:num w:numId="23">
    <w:abstractNumId w:val="18"/>
  </w:num>
  <w:num w:numId="24">
    <w:abstractNumId w:val="14"/>
  </w:num>
  <w:num w:numId="25">
    <w:abstractNumId w:val="31"/>
  </w:num>
  <w:num w:numId="26">
    <w:abstractNumId w:val="34"/>
  </w:num>
  <w:num w:numId="27">
    <w:abstractNumId w:val="26"/>
  </w:num>
  <w:num w:numId="28">
    <w:abstractNumId w:val="33"/>
  </w:num>
  <w:num w:numId="29">
    <w:abstractNumId w:val="44"/>
  </w:num>
  <w:num w:numId="30">
    <w:abstractNumId w:val="40"/>
  </w:num>
  <w:num w:numId="31">
    <w:abstractNumId w:val="29"/>
  </w:num>
  <w:num w:numId="32">
    <w:abstractNumId w:val="32"/>
  </w:num>
  <w:num w:numId="33">
    <w:abstractNumId w:val="9"/>
  </w:num>
  <w:num w:numId="34">
    <w:abstractNumId w:val="36"/>
  </w:num>
  <w:num w:numId="35">
    <w:abstractNumId w:val="38"/>
  </w:num>
  <w:num w:numId="36">
    <w:abstractNumId w:val="10"/>
  </w:num>
  <w:num w:numId="37">
    <w:abstractNumId w:val="23"/>
  </w:num>
  <w:num w:numId="38">
    <w:abstractNumId w:val="25"/>
  </w:num>
  <w:num w:numId="39">
    <w:abstractNumId w:val="1"/>
  </w:num>
  <w:num w:numId="40">
    <w:abstractNumId w:val="41"/>
  </w:num>
  <w:num w:numId="41">
    <w:abstractNumId w:val="39"/>
  </w:num>
  <w:num w:numId="42">
    <w:abstractNumId w:val="8"/>
  </w:num>
  <w:num w:numId="43">
    <w:abstractNumId w:val="37"/>
  </w:num>
  <w:num w:numId="44">
    <w:abstractNumId w:val="43"/>
  </w:num>
  <w:num w:numId="45">
    <w:abstractNumId w:val="11"/>
  </w:num>
  <w:num w:numId="4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072"/>
    <w:rsid w:val="000002CB"/>
    <w:rsid w:val="00001B4A"/>
    <w:rsid w:val="0000370E"/>
    <w:rsid w:val="0000377F"/>
    <w:rsid w:val="000038CD"/>
    <w:rsid w:val="000056D2"/>
    <w:rsid w:val="00007D86"/>
    <w:rsid w:val="000103A4"/>
    <w:rsid w:val="00010CEE"/>
    <w:rsid w:val="000137A6"/>
    <w:rsid w:val="00013981"/>
    <w:rsid w:val="00013FF2"/>
    <w:rsid w:val="0001645C"/>
    <w:rsid w:val="00020FC2"/>
    <w:rsid w:val="000218A5"/>
    <w:rsid w:val="000220C4"/>
    <w:rsid w:val="000225D8"/>
    <w:rsid w:val="00022897"/>
    <w:rsid w:val="00023C28"/>
    <w:rsid w:val="00024B0A"/>
    <w:rsid w:val="00024D9D"/>
    <w:rsid w:val="00024DDE"/>
    <w:rsid w:val="000256AF"/>
    <w:rsid w:val="00025DAA"/>
    <w:rsid w:val="00027933"/>
    <w:rsid w:val="00027B1E"/>
    <w:rsid w:val="00030A24"/>
    <w:rsid w:val="00031392"/>
    <w:rsid w:val="00032CDE"/>
    <w:rsid w:val="000334F7"/>
    <w:rsid w:val="0003370C"/>
    <w:rsid w:val="00034398"/>
    <w:rsid w:val="000354B5"/>
    <w:rsid w:val="00036BB6"/>
    <w:rsid w:val="000400AE"/>
    <w:rsid w:val="00041DEF"/>
    <w:rsid w:val="0004260B"/>
    <w:rsid w:val="00043DB3"/>
    <w:rsid w:val="00044C3C"/>
    <w:rsid w:val="00046E76"/>
    <w:rsid w:val="0005181F"/>
    <w:rsid w:val="0005190F"/>
    <w:rsid w:val="00052176"/>
    <w:rsid w:val="000524AE"/>
    <w:rsid w:val="000530FE"/>
    <w:rsid w:val="00053283"/>
    <w:rsid w:val="000541C6"/>
    <w:rsid w:val="00054893"/>
    <w:rsid w:val="00054F61"/>
    <w:rsid w:val="00055365"/>
    <w:rsid w:val="00055508"/>
    <w:rsid w:val="000575FA"/>
    <w:rsid w:val="00057B9D"/>
    <w:rsid w:val="000625A5"/>
    <w:rsid w:val="00064153"/>
    <w:rsid w:val="00064AEE"/>
    <w:rsid w:val="00065BD5"/>
    <w:rsid w:val="000667F5"/>
    <w:rsid w:val="000705C8"/>
    <w:rsid w:val="000708C9"/>
    <w:rsid w:val="000711B5"/>
    <w:rsid w:val="00071C00"/>
    <w:rsid w:val="00071DB7"/>
    <w:rsid w:val="000720ED"/>
    <w:rsid w:val="0007334A"/>
    <w:rsid w:val="000757AB"/>
    <w:rsid w:val="000758CA"/>
    <w:rsid w:val="00075910"/>
    <w:rsid w:val="00076105"/>
    <w:rsid w:val="00076DA4"/>
    <w:rsid w:val="000776F7"/>
    <w:rsid w:val="00077B73"/>
    <w:rsid w:val="000802D2"/>
    <w:rsid w:val="000803B6"/>
    <w:rsid w:val="00080BB7"/>
    <w:rsid w:val="000814A8"/>
    <w:rsid w:val="00081AA6"/>
    <w:rsid w:val="00081B20"/>
    <w:rsid w:val="00081E51"/>
    <w:rsid w:val="00083169"/>
    <w:rsid w:val="0008513C"/>
    <w:rsid w:val="000856D1"/>
    <w:rsid w:val="00085EA7"/>
    <w:rsid w:val="00086302"/>
    <w:rsid w:val="00087471"/>
    <w:rsid w:val="000875E0"/>
    <w:rsid w:val="00087B03"/>
    <w:rsid w:val="00087D72"/>
    <w:rsid w:val="00090D60"/>
    <w:rsid w:val="00092834"/>
    <w:rsid w:val="000928BB"/>
    <w:rsid w:val="000929DA"/>
    <w:rsid w:val="00092A5C"/>
    <w:rsid w:val="00092B17"/>
    <w:rsid w:val="000934A0"/>
    <w:rsid w:val="000944E0"/>
    <w:rsid w:val="00094AD5"/>
    <w:rsid w:val="00094C94"/>
    <w:rsid w:val="000959B6"/>
    <w:rsid w:val="00095AE8"/>
    <w:rsid w:val="00095D0D"/>
    <w:rsid w:val="00095E2F"/>
    <w:rsid w:val="00095E7C"/>
    <w:rsid w:val="00097C4A"/>
    <w:rsid w:val="000A100B"/>
    <w:rsid w:val="000A11BF"/>
    <w:rsid w:val="000A1855"/>
    <w:rsid w:val="000A3A41"/>
    <w:rsid w:val="000A45AB"/>
    <w:rsid w:val="000A6C94"/>
    <w:rsid w:val="000A70E0"/>
    <w:rsid w:val="000B32EA"/>
    <w:rsid w:val="000B33B1"/>
    <w:rsid w:val="000B45AB"/>
    <w:rsid w:val="000B73F8"/>
    <w:rsid w:val="000B7818"/>
    <w:rsid w:val="000B78D3"/>
    <w:rsid w:val="000B7F4B"/>
    <w:rsid w:val="000C09D9"/>
    <w:rsid w:val="000C107B"/>
    <w:rsid w:val="000C2286"/>
    <w:rsid w:val="000C35E8"/>
    <w:rsid w:val="000C66A1"/>
    <w:rsid w:val="000C7130"/>
    <w:rsid w:val="000C7F10"/>
    <w:rsid w:val="000D0499"/>
    <w:rsid w:val="000D23B8"/>
    <w:rsid w:val="000D2765"/>
    <w:rsid w:val="000D3277"/>
    <w:rsid w:val="000D363B"/>
    <w:rsid w:val="000D4816"/>
    <w:rsid w:val="000D5239"/>
    <w:rsid w:val="000D5EDB"/>
    <w:rsid w:val="000D69DC"/>
    <w:rsid w:val="000D7365"/>
    <w:rsid w:val="000D7DE7"/>
    <w:rsid w:val="000E22A1"/>
    <w:rsid w:val="000E2817"/>
    <w:rsid w:val="000E2853"/>
    <w:rsid w:val="000E4C8A"/>
    <w:rsid w:val="000E5013"/>
    <w:rsid w:val="000E6004"/>
    <w:rsid w:val="000F1673"/>
    <w:rsid w:val="000F198B"/>
    <w:rsid w:val="000F2850"/>
    <w:rsid w:val="000F3AE4"/>
    <w:rsid w:val="000F4275"/>
    <w:rsid w:val="000F5D01"/>
    <w:rsid w:val="000F5E4F"/>
    <w:rsid w:val="000F639E"/>
    <w:rsid w:val="000F78B5"/>
    <w:rsid w:val="00100004"/>
    <w:rsid w:val="0010090B"/>
    <w:rsid w:val="00100AE6"/>
    <w:rsid w:val="001011D1"/>
    <w:rsid w:val="0010220F"/>
    <w:rsid w:val="00103632"/>
    <w:rsid w:val="00104626"/>
    <w:rsid w:val="00105756"/>
    <w:rsid w:val="00105930"/>
    <w:rsid w:val="00105FC1"/>
    <w:rsid w:val="001070E6"/>
    <w:rsid w:val="00107AEC"/>
    <w:rsid w:val="0011004D"/>
    <w:rsid w:val="001100E7"/>
    <w:rsid w:val="001101C3"/>
    <w:rsid w:val="0011078B"/>
    <w:rsid w:val="001116D0"/>
    <w:rsid w:val="00112DB1"/>
    <w:rsid w:val="00113913"/>
    <w:rsid w:val="00113A32"/>
    <w:rsid w:val="00114024"/>
    <w:rsid w:val="00114616"/>
    <w:rsid w:val="00114B5D"/>
    <w:rsid w:val="001152A9"/>
    <w:rsid w:val="001153DA"/>
    <w:rsid w:val="00115585"/>
    <w:rsid w:val="00115866"/>
    <w:rsid w:val="0012075E"/>
    <w:rsid w:val="00120E45"/>
    <w:rsid w:val="001210BC"/>
    <w:rsid w:val="00121A24"/>
    <w:rsid w:val="00121AEC"/>
    <w:rsid w:val="00121BCE"/>
    <w:rsid w:val="00121C23"/>
    <w:rsid w:val="0012225B"/>
    <w:rsid w:val="00122619"/>
    <w:rsid w:val="00122AE9"/>
    <w:rsid w:val="00122F7D"/>
    <w:rsid w:val="00123746"/>
    <w:rsid w:val="00123C06"/>
    <w:rsid w:val="001247CC"/>
    <w:rsid w:val="00125156"/>
    <w:rsid w:val="00125BD9"/>
    <w:rsid w:val="00126BC6"/>
    <w:rsid w:val="00130AF0"/>
    <w:rsid w:val="00133644"/>
    <w:rsid w:val="001337C4"/>
    <w:rsid w:val="00133C39"/>
    <w:rsid w:val="00134B51"/>
    <w:rsid w:val="001357FA"/>
    <w:rsid w:val="001370B5"/>
    <w:rsid w:val="00140652"/>
    <w:rsid w:val="00140B14"/>
    <w:rsid w:val="001419B1"/>
    <w:rsid w:val="00143AF3"/>
    <w:rsid w:val="0014434F"/>
    <w:rsid w:val="001445CA"/>
    <w:rsid w:val="0014510C"/>
    <w:rsid w:val="001460F1"/>
    <w:rsid w:val="001467EC"/>
    <w:rsid w:val="001468A4"/>
    <w:rsid w:val="00146C7F"/>
    <w:rsid w:val="00147ABF"/>
    <w:rsid w:val="001503EF"/>
    <w:rsid w:val="001509C8"/>
    <w:rsid w:val="0015107F"/>
    <w:rsid w:val="001531FE"/>
    <w:rsid w:val="00153BC7"/>
    <w:rsid w:val="00154613"/>
    <w:rsid w:val="00154D70"/>
    <w:rsid w:val="00155AF5"/>
    <w:rsid w:val="001608F7"/>
    <w:rsid w:val="00162213"/>
    <w:rsid w:val="001638F6"/>
    <w:rsid w:val="00163BE6"/>
    <w:rsid w:val="001662CC"/>
    <w:rsid w:val="00166E90"/>
    <w:rsid w:val="001702B4"/>
    <w:rsid w:val="00171339"/>
    <w:rsid w:val="00171934"/>
    <w:rsid w:val="00171D43"/>
    <w:rsid w:val="00171DEB"/>
    <w:rsid w:val="00172526"/>
    <w:rsid w:val="00173A6C"/>
    <w:rsid w:val="00174904"/>
    <w:rsid w:val="00174A34"/>
    <w:rsid w:val="00175B3B"/>
    <w:rsid w:val="00176887"/>
    <w:rsid w:val="00177DB7"/>
    <w:rsid w:val="0018070D"/>
    <w:rsid w:val="0018165D"/>
    <w:rsid w:val="0018168D"/>
    <w:rsid w:val="00181E70"/>
    <w:rsid w:val="00181ED3"/>
    <w:rsid w:val="001831BC"/>
    <w:rsid w:val="001847FC"/>
    <w:rsid w:val="00184ACF"/>
    <w:rsid w:val="001866EA"/>
    <w:rsid w:val="00186D08"/>
    <w:rsid w:val="00186E64"/>
    <w:rsid w:val="0019068E"/>
    <w:rsid w:val="00191184"/>
    <w:rsid w:val="00191596"/>
    <w:rsid w:val="00191F4A"/>
    <w:rsid w:val="00192325"/>
    <w:rsid w:val="00192335"/>
    <w:rsid w:val="001924E1"/>
    <w:rsid w:val="00192E58"/>
    <w:rsid w:val="00193574"/>
    <w:rsid w:val="00193C57"/>
    <w:rsid w:val="00194EE7"/>
    <w:rsid w:val="00196513"/>
    <w:rsid w:val="00196973"/>
    <w:rsid w:val="00196F37"/>
    <w:rsid w:val="00197564"/>
    <w:rsid w:val="0019781A"/>
    <w:rsid w:val="001A0B4D"/>
    <w:rsid w:val="001A19FE"/>
    <w:rsid w:val="001A20BE"/>
    <w:rsid w:val="001A22EA"/>
    <w:rsid w:val="001A24F5"/>
    <w:rsid w:val="001A2BF6"/>
    <w:rsid w:val="001A2D6F"/>
    <w:rsid w:val="001A2F6B"/>
    <w:rsid w:val="001A303F"/>
    <w:rsid w:val="001A33CB"/>
    <w:rsid w:val="001A3816"/>
    <w:rsid w:val="001A408D"/>
    <w:rsid w:val="001A44B3"/>
    <w:rsid w:val="001A470C"/>
    <w:rsid w:val="001A6CAE"/>
    <w:rsid w:val="001B05CF"/>
    <w:rsid w:val="001B2024"/>
    <w:rsid w:val="001B2249"/>
    <w:rsid w:val="001B3864"/>
    <w:rsid w:val="001B4008"/>
    <w:rsid w:val="001B4A16"/>
    <w:rsid w:val="001B6E6D"/>
    <w:rsid w:val="001C038C"/>
    <w:rsid w:val="001C082E"/>
    <w:rsid w:val="001C0DA8"/>
    <w:rsid w:val="001C212F"/>
    <w:rsid w:val="001C253B"/>
    <w:rsid w:val="001C3B36"/>
    <w:rsid w:val="001C402C"/>
    <w:rsid w:val="001C44A5"/>
    <w:rsid w:val="001C4B8C"/>
    <w:rsid w:val="001C69C0"/>
    <w:rsid w:val="001C742F"/>
    <w:rsid w:val="001D0517"/>
    <w:rsid w:val="001D09D0"/>
    <w:rsid w:val="001D138B"/>
    <w:rsid w:val="001D147E"/>
    <w:rsid w:val="001D221F"/>
    <w:rsid w:val="001D57C7"/>
    <w:rsid w:val="001D5BF0"/>
    <w:rsid w:val="001D5F4D"/>
    <w:rsid w:val="001D627E"/>
    <w:rsid w:val="001D6CE0"/>
    <w:rsid w:val="001D7934"/>
    <w:rsid w:val="001D7F47"/>
    <w:rsid w:val="001E0AFC"/>
    <w:rsid w:val="001E1E8A"/>
    <w:rsid w:val="001E236B"/>
    <w:rsid w:val="001E2D04"/>
    <w:rsid w:val="001E3985"/>
    <w:rsid w:val="001E454B"/>
    <w:rsid w:val="001E4C52"/>
    <w:rsid w:val="001E586C"/>
    <w:rsid w:val="001E5B0E"/>
    <w:rsid w:val="001F0454"/>
    <w:rsid w:val="001F376C"/>
    <w:rsid w:val="001F39B4"/>
    <w:rsid w:val="001F5323"/>
    <w:rsid w:val="001F5E58"/>
    <w:rsid w:val="001F611D"/>
    <w:rsid w:val="001F7DFE"/>
    <w:rsid w:val="00200003"/>
    <w:rsid w:val="00202D9A"/>
    <w:rsid w:val="002031B0"/>
    <w:rsid w:val="002060F5"/>
    <w:rsid w:val="0020779B"/>
    <w:rsid w:val="00207ECE"/>
    <w:rsid w:val="00211D54"/>
    <w:rsid w:val="0021234F"/>
    <w:rsid w:val="00213962"/>
    <w:rsid w:val="00214BBF"/>
    <w:rsid w:val="002162EE"/>
    <w:rsid w:val="002201E8"/>
    <w:rsid w:val="002204D6"/>
    <w:rsid w:val="00221CA0"/>
    <w:rsid w:val="00222B7A"/>
    <w:rsid w:val="00222C1C"/>
    <w:rsid w:val="002268A6"/>
    <w:rsid w:val="0022698F"/>
    <w:rsid w:val="00226E22"/>
    <w:rsid w:val="00226EB4"/>
    <w:rsid w:val="0022729D"/>
    <w:rsid w:val="00227993"/>
    <w:rsid w:val="00232E02"/>
    <w:rsid w:val="00233003"/>
    <w:rsid w:val="0023349F"/>
    <w:rsid w:val="00234A79"/>
    <w:rsid w:val="002357B7"/>
    <w:rsid w:val="00236F2F"/>
    <w:rsid w:val="00237DA8"/>
    <w:rsid w:val="002400D2"/>
    <w:rsid w:val="00240EF4"/>
    <w:rsid w:val="002418B7"/>
    <w:rsid w:val="00241A99"/>
    <w:rsid w:val="0024277C"/>
    <w:rsid w:val="002440C7"/>
    <w:rsid w:val="00246A00"/>
    <w:rsid w:val="002472AD"/>
    <w:rsid w:val="00250968"/>
    <w:rsid w:val="00251353"/>
    <w:rsid w:val="00253F26"/>
    <w:rsid w:val="00254521"/>
    <w:rsid w:val="0025532E"/>
    <w:rsid w:val="0025633E"/>
    <w:rsid w:val="00256FEB"/>
    <w:rsid w:val="002572A0"/>
    <w:rsid w:val="002603CF"/>
    <w:rsid w:val="00260C78"/>
    <w:rsid w:val="002610B5"/>
    <w:rsid w:val="002616CA"/>
    <w:rsid w:val="002617AA"/>
    <w:rsid w:val="00262B93"/>
    <w:rsid w:val="00263D24"/>
    <w:rsid w:val="00263FDE"/>
    <w:rsid w:val="0026457A"/>
    <w:rsid w:val="00264CCA"/>
    <w:rsid w:val="00264E26"/>
    <w:rsid w:val="00266E80"/>
    <w:rsid w:val="00267245"/>
    <w:rsid w:val="002676AC"/>
    <w:rsid w:val="00270028"/>
    <w:rsid w:val="0027025C"/>
    <w:rsid w:val="002725B9"/>
    <w:rsid w:val="00272F30"/>
    <w:rsid w:val="0027347B"/>
    <w:rsid w:val="0027399F"/>
    <w:rsid w:val="0027453A"/>
    <w:rsid w:val="00274F05"/>
    <w:rsid w:val="00275D95"/>
    <w:rsid w:val="00276F34"/>
    <w:rsid w:val="00277CAA"/>
    <w:rsid w:val="002801A8"/>
    <w:rsid w:val="002840C1"/>
    <w:rsid w:val="002841B3"/>
    <w:rsid w:val="002842C9"/>
    <w:rsid w:val="002845BC"/>
    <w:rsid w:val="002848FC"/>
    <w:rsid w:val="002866F0"/>
    <w:rsid w:val="00286EAE"/>
    <w:rsid w:val="00287BF3"/>
    <w:rsid w:val="00287DC5"/>
    <w:rsid w:val="002901EC"/>
    <w:rsid w:val="0029230C"/>
    <w:rsid w:val="0029473B"/>
    <w:rsid w:val="0029705C"/>
    <w:rsid w:val="002970D7"/>
    <w:rsid w:val="002A10B5"/>
    <w:rsid w:val="002A1438"/>
    <w:rsid w:val="002A2C16"/>
    <w:rsid w:val="002A3544"/>
    <w:rsid w:val="002A3C4F"/>
    <w:rsid w:val="002A4C9F"/>
    <w:rsid w:val="002A5936"/>
    <w:rsid w:val="002A616C"/>
    <w:rsid w:val="002A77B0"/>
    <w:rsid w:val="002A783A"/>
    <w:rsid w:val="002A79B1"/>
    <w:rsid w:val="002A7F5D"/>
    <w:rsid w:val="002B1EF7"/>
    <w:rsid w:val="002B29C0"/>
    <w:rsid w:val="002B2C07"/>
    <w:rsid w:val="002B3C73"/>
    <w:rsid w:val="002B7071"/>
    <w:rsid w:val="002C081F"/>
    <w:rsid w:val="002C0FCA"/>
    <w:rsid w:val="002C1D1A"/>
    <w:rsid w:val="002C318F"/>
    <w:rsid w:val="002C3600"/>
    <w:rsid w:val="002C465B"/>
    <w:rsid w:val="002C4BA9"/>
    <w:rsid w:val="002C4C81"/>
    <w:rsid w:val="002C4CED"/>
    <w:rsid w:val="002C5691"/>
    <w:rsid w:val="002C71E2"/>
    <w:rsid w:val="002D0044"/>
    <w:rsid w:val="002D0C5C"/>
    <w:rsid w:val="002D312A"/>
    <w:rsid w:val="002D36A9"/>
    <w:rsid w:val="002D3A03"/>
    <w:rsid w:val="002D3D2E"/>
    <w:rsid w:val="002D45E4"/>
    <w:rsid w:val="002D5C2E"/>
    <w:rsid w:val="002E0A51"/>
    <w:rsid w:val="002E1765"/>
    <w:rsid w:val="002E255D"/>
    <w:rsid w:val="002E2680"/>
    <w:rsid w:val="002E2895"/>
    <w:rsid w:val="002E3C91"/>
    <w:rsid w:val="002E3F32"/>
    <w:rsid w:val="002E633E"/>
    <w:rsid w:val="002E7DDE"/>
    <w:rsid w:val="002F0556"/>
    <w:rsid w:val="002F19FA"/>
    <w:rsid w:val="002F2CEB"/>
    <w:rsid w:val="002F32B1"/>
    <w:rsid w:val="002F439A"/>
    <w:rsid w:val="002F4C8D"/>
    <w:rsid w:val="002F6B6F"/>
    <w:rsid w:val="002F7B4B"/>
    <w:rsid w:val="003000D1"/>
    <w:rsid w:val="00301512"/>
    <w:rsid w:val="003035ED"/>
    <w:rsid w:val="00304A97"/>
    <w:rsid w:val="00305EED"/>
    <w:rsid w:val="003061DC"/>
    <w:rsid w:val="00306C67"/>
    <w:rsid w:val="00306EC0"/>
    <w:rsid w:val="00307550"/>
    <w:rsid w:val="003107E8"/>
    <w:rsid w:val="003109CA"/>
    <w:rsid w:val="00312DCD"/>
    <w:rsid w:val="0031477E"/>
    <w:rsid w:val="0031521E"/>
    <w:rsid w:val="0031615E"/>
    <w:rsid w:val="00316AB1"/>
    <w:rsid w:val="0031770C"/>
    <w:rsid w:val="00317CC8"/>
    <w:rsid w:val="0032094C"/>
    <w:rsid w:val="00320975"/>
    <w:rsid w:val="0032120C"/>
    <w:rsid w:val="0032136E"/>
    <w:rsid w:val="0032170B"/>
    <w:rsid w:val="00321ABB"/>
    <w:rsid w:val="00323EEC"/>
    <w:rsid w:val="0032407B"/>
    <w:rsid w:val="00325DF3"/>
    <w:rsid w:val="00327111"/>
    <w:rsid w:val="003278E0"/>
    <w:rsid w:val="00327B07"/>
    <w:rsid w:val="00327C82"/>
    <w:rsid w:val="00330414"/>
    <w:rsid w:val="00331BF2"/>
    <w:rsid w:val="00332088"/>
    <w:rsid w:val="00332F1F"/>
    <w:rsid w:val="003334E5"/>
    <w:rsid w:val="00334774"/>
    <w:rsid w:val="003355D4"/>
    <w:rsid w:val="0033641A"/>
    <w:rsid w:val="0033665D"/>
    <w:rsid w:val="003371BD"/>
    <w:rsid w:val="00337A2C"/>
    <w:rsid w:val="0034146C"/>
    <w:rsid w:val="00341CAF"/>
    <w:rsid w:val="00343A67"/>
    <w:rsid w:val="00343F8F"/>
    <w:rsid w:val="003447E9"/>
    <w:rsid w:val="003449DB"/>
    <w:rsid w:val="0034512B"/>
    <w:rsid w:val="0034537F"/>
    <w:rsid w:val="0034646B"/>
    <w:rsid w:val="00346ADA"/>
    <w:rsid w:val="003512A0"/>
    <w:rsid w:val="00354222"/>
    <w:rsid w:val="00355EF4"/>
    <w:rsid w:val="00356AAD"/>
    <w:rsid w:val="003572FC"/>
    <w:rsid w:val="00357E5E"/>
    <w:rsid w:val="00360C23"/>
    <w:rsid w:val="003614E9"/>
    <w:rsid w:val="00361B3D"/>
    <w:rsid w:val="00363DC4"/>
    <w:rsid w:val="00365B52"/>
    <w:rsid w:val="00365B5F"/>
    <w:rsid w:val="00365CA6"/>
    <w:rsid w:val="00365ECA"/>
    <w:rsid w:val="00365ED2"/>
    <w:rsid w:val="00367882"/>
    <w:rsid w:val="00367F8A"/>
    <w:rsid w:val="0037145E"/>
    <w:rsid w:val="00372AC8"/>
    <w:rsid w:val="00372EB1"/>
    <w:rsid w:val="00373C92"/>
    <w:rsid w:val="003755B2"/>
    <w:rsid w:val="00377412"/>
    <w:rsid w:val="00377448"/>
    <w:rsid w:val="00377806"/>
    <w:rsid w:val="00377B7B"/>
    <w:rsid w:val="00380DDA"/>
    <w:rsid w:val="0038132A"/>
    <w:rsid w:val="00382B04"/>
    <w:rsid w:val="00383D7F"/>
    <w:rsid w:val="003842B1"/>
    <w:rsid w:val="00384F71"/>
    <w:rsid w:val="003859DA"/>
    <w:rsid w:val="00386381"/>
    <w:rsid w:val="003864B7"/>
    <w:rsid w:val="00386C4E"/>
    <w:rsid w:val="00386D84"/>
    <w:rsid w:val="00387373"/>
    <w:rsid w:val="003906E2"/>
    <w:rsid w:val="00390C59"/>
    <w:rsid w:val="00391AA9"/>
    <w:rsid w:val="00391C64"/>
    <w:rsid w:val="003928FE"/>
    <w:rsid w:val="00392BD7"/>
    <w:rsid w:val="003931B6"/>
    <w:rsid w:val="00394FF4"/>
    <w:rsid w:val="0039553A"/>
    <w:rsid w:val="00395C74"/>
    <w:rsid w:val="00395DBD"/>
    <w:rsid w:val="00396248"/>
    <w:rsid w:val="00396EF3"/>
    <w:rsid w:val="00397DB6"/>
    <w:rsid w:val="003A028B"/>
    <w:rsid w:val="003A13DC"/>
    <w:rsid w:val="003A28FF"/>
    <w:rsid w:val="003A367D"/>
    <w:rsid w:val="003A58DF"/>
    <w:rsid w:val="003A661C"/>
    <w:rsid w:val="003A7072"/>
    <w:rsid w:val="003A70D3"/>
    <w:rsid w:val="003A77B7"/>
    <w:rsid w:val="003B08C4"/>
    <w:rsid w:val="003B08CC"/>
    <w:rsid w:val="003B2559"/>
    <w:rsid w:val="003B2AA3"/>
    <w:rsid w:val="003B4C90"/>
    <w:rsid w:val="003B51B4"/>
    <w:rsid w:val="003B5CCC"/>
    <w:rsid w:val="003B67B3"/>
    <w:rsid w:val="003B7094"/>
    <w:rsid w:val="003B724E"/>
    <w:rsid w:val="003C0E6C"/>
    <w:rsid w:val="003C0EB2"/>
    <w:rsid w:val="003C1AFB"/>
    <w:rsid w:val="003C2668"/>
    <w:rsid w:val="003C2B7F"/>
    <w:rsid w:val="003C3101"/>
    <w:rsid w:val="003C3E81"/>
    <w:rsid w:val="003C50D6"/>
    <w:rsid w:val="003C69C8"/>
    <w:rsid w:val="003C7590"/>
    <w:rsid w:val="003C7903"/>
    <w:rsid w:val="003D36EA"/>
    <w:rsid w:val="003D56BA"/>
    <w:rsid w:val="003D679C"/>
    <w:rsid w:val="003D77DE"/>
    <w:rsid w:val="003D7C80"/>
    <w:rsid w:val="003E05F1"/>
    <w:rsid w:val="003E0FB8"/>
    <w:rsid w:val="003E112E"/>
    <w:rsid w:val="003E19A5"/>
    <w:rsid w:val="003E6C27"/>
    <w:rsid w:val="003E6EFD"/>
    <w:rsid w:val="003E744F"/>
    <w:rsid w:val="003E79FA"/>
    <w:rsid w:val="003E7F5D"/>
    <w:rsid w:val="003F1326"/>
    <w:rsid w:val="003F2571"/>
    <w:rsid w:val="003F3A81"/>
    <w:rsid w:val="003F3AC0"/>
    <w:rsid w:val="003F3E6C"/>
    <w:rsid w:val="003F562F"/>
    <w:rsid w:val="003F5E90"/>
    <w:rsid w:val="003F6EB8"/>
    <w:rsid w:val="003F74BC"/>
    <w:rsid w:val="00400192"/>
    <w:rsid w:val="004005AD"/>
    <w:rsid w:val="0040097B"/>
    <w:rsid w:val="00400D18"/>
    <w:rsid w:val="00402364"/>
    <w:rsid w:val="00403354"/>
    <w:rsid w:val="004054A8"/>
    <w:rsid w:val="004063CB"/>
    <w:rsid w:val="00406663"/>
    <w:rsid w:val="00407EFA"/>
    <w:rsid w:val="0041069B"/>
    <w:rsid w:val="00412AF1"/>
    <w:rsid w:val="004131A9"/>
    <w:rsid w:val="00413473"/>
    <w:rsid w:val="00414A14"/>
    <w:rsid w:val="00414BEB"/>
    <w:rsid w:val="0041574B"/>
    <w:rsid w:val="00415B01"/>
    <w:rsid w:val="004162CD"/>
    <w:rsid w:val="004162FE"/>
    <w:rsid w:val="004164EA"/>
    <w:rsid w:val="00420100"/>
    <w:rsid w:val="004209E0"/>
    <w:rsid w:val="004216BB"/>
    <w:rsid w:val="00421F4D"/>
    <w:rsid w:val="00422459"/>
    <w:rsid w:val="00424DCF"/>
    <w:rsid w:val="00426BA4"/>
    <w:rsid w:val="00430B60"/>
    <w:rsid w:val="0043121B"/>
    <w:rsid w:val="00431230"/>
    <w:rsid w:val="00431A0B"/>
    <w:rsid w:val="004320DE"/>
    <w:rsid w:val="004333C0"/>
    <w:rsid w:val="00434A4D"/>
    <w:rsid w:val="00435A02"/>
    <w:rsid w:val="0043639B"/>
    <w:rsid w:val="00436804"/>
    <w:rsid w:val="00437172"/>
    <w:rsid w:val="004375A9"/>
    <w:rsid w:val="004375F3"/>
    <w:rsid w:val="004376A3"/>
    <w:rsid w:val="00437BB3"/>
    <w:rsid w:val="00437F74"/>
    <w:rsid w:val="00441A6F"/>
    <w:rsid w:val="004428CC"/>
    <w:rsid w:val="00443135"/>
    <w:rsid w:val="00443317"/>
    <w:rsid w:val="00445785"/>
    <w:rsid w:val="00445CA5"/>
    <w:rsid w:val="00446A5B"/>
    <w:rsid w:val="00446A7C"/>
    <w:rsid w:val="00452994"/>
    <w:rsid w:val="00453426"/>
    <w:rsid w:val="004555BB"/>
    <w:rsid w:val="00455B77"/>
    <w:rsid w:val="00457D6F"/>
    <w:rsid w:val="00460A07"/>
    <w:rsid w:val="004612D9"/>
    <w:rsid w:val="004641EA"/>
    <w:rsid w:val="00464200"/>
    <w:rsid w:val="004647AF"/>
    <w:rsid w:val="00464AB9"/>
    <w:rsid w:val="00464AF0"/>
    <w:rsid w:val="00465255"/>
    <w:rsid w:val="004654FA"/>
    <w:rsid w:val="004661FD"/>
    <w:rsid w:val="00466A85"/>
    <w:rsid w:val="00467278"/>
    <w:rsid w:val="004678B9"/>
    <w:rsid w:val="00467FB4"/>
    <w:rsid w:val="004709BD"/>
    <w:rsid w:val="00471156"/>
    <w:rsid w:val="0047120F"/>
    <w:rsid w:val="0047340B"/>
    <w:rsid w:val="00474070"/>
    <w:rsid w:val="004752C8"/>
    <w:rsid w:val="0047553F"/>
    <w:rsid w:val="00476495"/>
    <w:rsid w:val="00477486"/>
    <w:rsid w:val="00480EB5"/>
    <w:rsid w:val="004814B0"/>
    <w:rsid w:val="00481A41"/>
    <w:rsid w:val="00481E9B"/>
    <w:rsid w:val="00482163"/>
    <w:rsid w:val="00482A31"/>
    <w:rsid w:val="004830A1"/>
    <w:rsid w:val="00487DF0"/>
    <w:rsid w:val="00491146"/>
    <w:rsid w:val="004926C0"/>
    <w:rsid w:val="00493834"/>
    <w:rsid w:val="00493B98"/>
    <w:rsid w:val="004941F9"/>
    <w:rsid w:val="004961DE"/>
    <w:rsid w:val="004969BA"/>
    <w:rsid w:val="00496B4F"/>
    <w:rsid w:val="00497498"/>
    <w:rsid w:val="004A00E2"/>
    <w:rsid w:val="004A0613"/>
    <w:rsid w:val="004A10D6"/>
    <w:rsid w:val="004A2B91"/>
    <w:rsid w:val="004A2EF5"/>
    <w:rsid w:val="004A2F70"/>
    <w:rsid w:val="004A34A9"/>
    <w:rsid w:val="004A462E"/>
    <w:rsid w:val="004A4B8A"/>
    <w:rsid w:val="004A4D3A"/>
    <w:rsid w:val="004A58AC"/>
    <w:rsid w:val="004A7195"/>
    <w:rsid w:val="004A7705"/>
    <w:rsid w:val="004A7ED1"/>
    <w:rsid w:val="004B3459"/>
    <w:rsid w:val="004B77BA"/>
    <w:rsid w:val="004B7FD5"/>
    <w:rsid w:val="004C02F4"/>
    <w:rsid w:val="004C0454"/>
    <w:rsid w:val="004C05C7"/>
    <w:rsid w:val="004C1E9F"/>
    <w:rsid w:val="004C2184"/>
    <w:rsid w:val="004C6E3B"/>
    <w:rsid w:val="004C7A4C"/>
    <w:rsid w:val="004D0E79"/>
    <w:rsid w:val="004D3F0B"/>
    <w:rsid w:val="004D4B5C"/>
    <w:rsid w:val="004D6D71"/>
    <w:rsid w:val="004E0E4B"/>
    <w:rsid w:val="004E21A3"/>
    <w:rsid w:val="004E2CFD"/>
    <w:rsid w:val="004E3064"/>
    <w:rsid w:val="004E3255"/>
    <w:rsid w:val="004E41D6"/>
    <w:rsid w:val="004E4DBD"/>
    <w:rsid w:val="004E6E73"/>
    <w:rsid w:val="004F03EF"/>
    <w:rsid w:val="004F0DB7"/>
    <w:rsid w:val="004F11FE"/>
    <w:rsid w:val="004F1F22"/>
    <w:rsid w:val="004F3943"/>
    <w:rsid w:val="004F45EA"/>
    <w:rsid w:val="004F5041"/>
    <w:rsid w:val="004F62B2"/>
    <w:rsid w:val="004F6777"/>
    <w:rsid w:val="004F7414"/>
    <w:rsid w:val="00502226"/>
    <w:rsid w:val="0050244C"/>
    <w:rsid w:val="005029FC"/>
    <w:rsid w:val="00502B86"/>
    <w:rsid w:val="0050343E"/>
    <w:rsid w:val="005044CE"/>
    <w:rsid w:val="005049A4"/>
    <w:rsid w:val="00504B54"/>
    <w:rsid w:val="005057A7"/>
    <w:rsid w:val="0050640F"/>
    <w:rsid w:val="00510F62"/>
    <w:rsid w:val="00513BAF"/>
    <w:rsid w:val="00514AE2"/>
    <w:rsid w:val="005150D1"/>
    <w:rsid w:val="00515E98"/>
    <w:rsid w:val="00517476"/>
    <w:rsid w:val="00517885"/>
    <w:rsid w:val="00517F7B"/>
    <w:rsid w:val="0052031F"/>
    <w:rsid w:val="00520BEA"/>
    <w:rsid w:val="00521077"/>
    <w:rsid w:val="00521E21"/>
    <w:rsid w:val="005221E8"/>
    <w:rsid w:val="00522366"/>
    <w:rsid w:val="00522410"/>
    <w:rsid w:val="005227AE"/>
    <w:rsid w:val="00523F0C"/>
    <w:rsid w:val="00525AD3"/>
    <w:rsid w:val="00526245"/>
    <w:rsid w:val="00527DC8"/>
    <w:rsid w:val="00531012"/>
    <w:rsid w:val="00531B78"/>
    <w:rsid w:val="005320B6"/>
    <w:rsid w:val="00532323"/>
    <w:rsid w:val="0053316E"/>
    <w:rsid w:val="005332BF"/>
    <w:rsid w:val="00533627"/>
    <w:rsid w:val="0053379B"/>
    <w:rsid w:val="00534723"/>
    <w:rsid w:val="00535697"/>
    <w:rsid w:val="00536148"/>
    <w:rsid w:val="00537B7A"/>
    <w:rsid w:val="00540B43"/>
    <w:rsid w:val="0054229C"/>
    <w:rsid w:val="0054588B"/>
    <w:rsid w:val="00545890"/>
    <w:rsid w:val="00545A4E"/>
    <w:rsid w:val="00545CED"/>
    <w:rsid w:val="00546547"/>
    <w:rsid w:val="0054678A"/>
    <w:rsid w:val="005468F2"/>
    <w:rsid w:val="00546B32"/>
    <w:rsid w:val="00553481"/>
    <w:rsid w:val="00554736"/>
    <w:rsid w:val="00555B02"/>
    <w:rsid w:val="00556234"/>
    <w:rsid w:val="005567C2"/>
    <w:rsid w:val="0055703C"/>
    <w:rsid w:val="00557B79"/>
    <w:rsid w:val="00557E9B"/>
    <w:rsid w:val="0056048E"/>
    <w:rsid w:val="005605F2"/>
    <w:rsid w:val="00560C16"/>
    <w:rsid w:val="00561DC0"/>
    <w:rsid w:val="00562081"/>
    <w:rsid w:val="00563416"/>
    <w:rsid w:val="00563968"/>
    <w:rsid w:val="005656AB"/>
    <w:rsid w:val="00566613"/>
    <w:rsid w:val="00567795"/>
    <w:rsid w:val="005707BF"/>
    <w:rsid w:val="00570EE9"/>
    <w:rsid w:val="00571B0C"/>
    <w:rsid w:val="00574291"/>
    <w:rsid w:val="00574517"/>
    <w:rsid w:val="005745C1"/>
    <w:rsid w:val="005750CA"/>
    <w:rsid w:val="0057563E"/>
    <w:rsid w:val="00576398"/>
    <w:rsid w:val="00582633"/>
    <w:rsid w:val="005846F3"/>
    <w:rsid w:val="00584726"/>
    <w:rsid w:val="00586824"/>
    <w:rsid w:val="00586B74"/>
    <w:rsid w:val="0058753D"/>
    <w:rsid w:val="00587794"/>
    <w:rsid w:val="00591BD4"/>
    <w:rsid w:val="00591F8B"/>
    <w:rsid w:val="00592CA3"/>
    <w:rsid w:val="00592CD0"/>
    <w:rsid w:val="005966A6"/>
    <w:rsid w:val="005A01D5"/>
    <w:rsid w:val="005A09EC"/>
    <w:rsid w:val="005A19A6"/>
    <w:rsid w:val="005A1B3C"/>
    <w:rsid w:val="005A1CBB"/>
    <w:rsid w:val="005A1EA4"/>
    <w:rsid w:val="005A20DF"/>
    <w:rsid w:val="005A3860"/>
    <w:rsid w:val="005A3B02"/>
    <w:rsid w:val="005A4482"/>
    <w:rsid w:val="005A6408"/>
    <w:rsid w:val="005A6477"/>
    <w:rsid w:val="005A68A2"/>
    <w:rsid w:val="005A77C0"/>
    <w:rsid w:val="005B0072"/>
    <w:rsid w:val="005B05DC"/>
    <w:rsid w:val="005B1AE1"/>
    <w:rsid w:val="005B1FD1"/>
    <w:rsid w:val="005B2108"/>
    <w:rsid w:val="005B25BE"/>
    <w:rsid w:val="005B26B7"/>
    <w:rsid w:val="005B5CF0"/>
    <w:rsid w:val="005B5D0C"/>
    <w:rsid w:val="005B6496"/>
    <w:rsid w:val="005B6C0F"/>
    <w:rsid w:val="005B7B15"/>
    <w:rsid w:val="005C059B"/>
    <w:rsid w:val="005C14DC"/>
    <w:rsid w:val="005C38D4"/>
    <w:rsid w:val="005C43DA"/>
    <w:rsid w:val="005C4646"/>
    <w:rsid w:val="005C55A8"/>
    <w:rsid w:val="005C5938"/>
    <w:rsid w:val="005C6A58"/>
    <w:rsid w:val="005C74C6"/>
    <w:rsid w:val="005D0F74"/>
    <w:rsid w:val="005D2301"/>
    <w:rsid w:val="005D2F21"/>
    <w:rsid w:val="005D319D"/>
    <w:rsid w:val="005D3AFF"/>
    <w:rsid w:val="005D4308"/>
    <w:rsid w:val="005D437B"/>
    <w:rsid w:val="005D4A5E"/>
    <w:rsid w:val="005D5B44"/>
    <w:rsid w:val="005D649F"/>
    <w:rsid w:val="005D68C2"/>
    <w:rsid w:val="005D77BF"/>
    <w:rsid w:val="005D7CBE"/>
    <w:rsid w:val="005E10FC"/>
    <w:rsid w:val="005E3B85"/>
    <w:rsid w:val="005E3C7D"/>
    <w:rsid w:val="005E3F59"/>
    <w:rsid w:val="005E5B4D"/>
    <w:rsid w:val="005E6176"/>
    <w:rsid w:val="005E6DBD"/>
    <w:rsid w:val="005E6FCF"/>
    <w:rsid w:val="005E7091"/>
    <w:rsid w:val="005E7788"/>
    <w:rsid w:val="005F042E"/>
    <w:rsid w:val="005F18C3"/>
    <w:rsid w:val="005F2A3A"/>
    <w:rsid w:val="005F2B03"/>
    <w:rsid w:val="0060089B"/>
    <w:rsid w:val="0060103C"/>
    <w:rsid w:val="0060153F"/>
    <w:rsid w:val="00602482"/>
    <w:rsid w:val="006035AD"/>
    <w:rsid w:val="00603AB8"/>
    <w:rsid w:val="0060592E"/>
    <w:rsid w:val="00605C28"/>
    <w:rsid w:val="00606981"/>
    <w:rsid w:val="00607078"/>
    <w:rsid w:val="00610038"/>
    <w:rsid w:val="00613328"/>
    <w:rsid w:val="00614FD3"/>
    <w:rsid w:val="00617934"/>
    <w:rsid w:val="00620E71"/>
    <w:rsid w:val="006227A6"/>
    <w:rsid w:val="00623A84"/>
    <w:rsid w:val="00624CE9"/>
    <w:rsid w:val="00624DD3"/>
    <w:rsid w:val="006258EF"/>
    <w:rsid w:val="006300F2"/>
    <w:rsid w:val="006305BB"/>
    <w:rsid w:val="006307EF"/>
    <w:rsid w:val="0063123B"/>
    <w:rsid w:val="006312CF"/>
    <w:rsid w:val="00631462"/>
    <w:rsid w:val="00632213"/>
    <w:rsid w:val="00632C5F"/>
    <w:rsid w:val="00633D8E"/>
    <w:rsid w:val="00635691"/>
    <w:rsid w:val="0063581F"/>
    <w:rsid w:val="00636294"/>
    <w:rsid w:val="00636999"/>
    <w:rsid w:val="0063741F"/>
    <w:rsid w:val="0064014B"/>
    <w:rsid w:val="006409DA"/>
    <w:rsid w:val="00642647"/>
    <w:rsid w:val="006432D3"/>
    <w:rsid w:val="006433AD"/>
    <w:rsid w:val="00643EB8"/>
    <w:rsid w:val="00643FB6"/>
    <w:rsid w:val="00644D4B"/>
    <w:rsid w:val="00644F4A"/>
    <w:rsid w:val="00645952"/>
    <w:rsid w:val="00646D8F"/>
    <w:rsid w:val="006478BA"/>
    <w:rsid w:val="00647AD6"/>
    <w:rsid w:val="00647DB1"/>
    <w:rsid w:val="00647FD3"/>
    <w:rsid w:val="00650276"/>
    <w:rsid w:val="00650294"/>
    <w:rsid w:val="00653FC5"/>
    <w:rsid w:val="006555B9"/>
    <w:rsid w:val="00655BD8"/>
    <w:rsid w:val="00656C67"/>
    <w:rsid w:val="00657A08"/>
    <w:rsid w:val="00657A3E"/>
    <w:rsid w:val="00657A7C"/>
    <w:rsid w:val="00660F7A"/>
    <w:rsid w:val="00661416"/>
    <w:rsid w:val="00661AFC"/>
    <w:rsid w:val="00662C8C"/>
    <w:rsid w:val="00663678"/>
    <w:rsid w:val="00664C26"/>
    <w:rsid w:val="00664DA7"/>
    <w:rsid w:val="00666485"/>
    <w:rsid w:val="00666551"/>
    <w:rsid w:val="00667D2C"/>
    <w:rsid w:val="00667E13"/>
    <w:rsid w:val="00670DD2"/>
    <w:rsid w:val="006710F0"/>
    <w:rsid w:val="00671129"/>
    <w:rsid w:val="0067188B"/>
    <w:rsid w:val="00672E68"/>
    <w:rsid w:val="0067324F"/>
    <w:rsid w:val="006733DC"/>
    <w:rsid w:val="006740BE"/>
    <w:rsid w:val="006748CA"/>
    <w:rsid w:val="006751AC"/>
    <w:rsid w:val="0067540C"/>
    <w:rsid w:val="00675D06"/>
    <w:rsid w:val="00675EFA"/>
    <w:rsid w:val="0067606E"/>
    <w:rsid w:val="0067624F"/>
    <w:rsid w:val="00676374"/>
    <w:rsid w:val="006763C7"/>
    <w:rsid w:val="0067649D"/>
    <w:rsid w:val="006778F1"/>
    <w:rsid w:val="00677943"/>
    <w:rsid w:val="00680616"/>
    <w:rsid w:val="006827FD"/>
    <w:rsid w:val="00683F35"/>
    <w:rsid w:val="00686475"/>
    <w:rsid w:val="00686684"/>
    <w:rsid w:val="00686BBC"/>
    <w:rsid w:val="00687FF3"/>
    <w:rsid w:val="00690A93"/>
    <w:rsid w:val="00690CBF"/>
    <w:rsid w:val="006910E9"/>
    <w:rsid w:val="006921C8"/>
    <w:rsid w:val="0069371A"/>
    <w:rsid w:val="0069441F"/>
    <w:rsid w:val="00696EB0"/>
    <w:rsid w:val="0069726B"/>
    <w:rsid w:val="00697B49"/>
    <w:rsid w:val="006A1150"/>
    <w:rsid w:val="006A12B8"/>
    <w:rsid w:val="006A15AA"/>
    <w:rsid w:val="006A1D8B"/>
    <w:rsid w:val="006A2255"/>
    <w:rsid w:val="006A2B24"/>
    <w:rsid w:val="006A3645"/>
    <w:rsid w:val="006A45F7"/>
    <w:rsid w:val="006A56F7"/>
    <w:rsid w:val="006A58B3"/>
    <w:rsid w:val="006A6740"/>
    <w:rsid w:val="006A7AED"/>
    <w:rsid w:val="006B0504"/>
    <w:rsid w:val="006B168C"/>
    <w:rsid w:val="006B2347"/>
    <w:rsid w:val="006B23E6"/>
    <w:rsid w:val="006B28A9"/>
    <w:rsid w:val="006B5DF8"/>
    <w:rsid w:val="006B66B7"/>
    <w:rsid w:val="006B7941"/>
    <w:rsid w:val="006C063A"/>
    <w:rsid w:val="006C0C03"/>
    <w:rsid w:val="006C2011"/>
    <w:rsid w:val="006C29E2"/>
    <w:rsid w:val="006C2BA8"/>
    <w:rsid w:val="006C2CAB"/>
    <w:rsid w:val="006C314B"/>
    <w:rsid w:val="006C3320"/>
    <w:rsid w:val="006C33B6"/>
    <w:rsid w:val="006C35FC"/>
    <w:rsid w:val="006C4422"/>
    <w:rsid w:val="006C468B"/>
    <w:rsid w:val="006C4E81"/>
    <w:rsid w:val="006C537C"/>
    <w:rsid w:val="006C5EC9"/>
    <w:rsid w:val="006C5ED7"/>
    <w:rsid w:val="006C61AB"/>
    <w:rsid w:val="006C75C2"/>
    <w:rsid w:val="006D2F73"/>
    <w:rsid w:val="006D4AFA"/>
    <w:rsid w:val="006D576E"/>
    <w:rsid w:val="006D61D1"/>
    <w:rsid w:val="006D7E35"/>
    <w:rsid w:val="006E0051"/>
    <w:rsid w:val="006E14E6"/>
    <w:rsid w:val="006E170D"/>
    <w:rsid w:val="006E27E0"/>
    <w:rsid w:val="006E2A99"/>
    <w:rsid w:val="006E3AB8"/>
    <w:rsid w:val="006E4129"/>
    <w:rsid w:val="006E6BDE"/>
    <w:rsid w:val="006E6CFE"/>
    <w:rsid w:val="006E7BD5"/>
    <w:rsid w:val="006E7E0B"/>
    <w:rsid w:val="006F0E09"/>
    <w:rsid w:val="006F1EC7"/>
    <w:rsid w:val="006F2C6D"/>
    <w:rsid w:val="006F34E8"/>
    <w:rsid w:val="006F4048"/>
    <w:rsid w:val="006F4F73"/>
    <w:rsid w:val="006F53A1"/>
    <w:rsid w:val="006F586B"/>
    <w:rsid w:val="006F619E"/>
    <w:rsid w:val="006F7734"/>
    <w:rsid w:val="006F7C56"/>
    <w:rsid w:val="00700FAF"/>
    <w:rsid w:val="007012EA"/>
    <w:rsid w:val="00702627"/>
    <w:rsid w:val="00702ABA"/>
    <w:rsid w:val="00703468"/>
    <w:rsid w:val="0070374F"/>
    <w:rsid w:val="007037B2"/>
    <w:rsid w:val="00703ABF"/>
    <w:rsid w:val="00703BE0"/>
    <w:rsid w:val="0070656B"/>
    <w:rsid w:val="007070B3"/>
    <w:rsid w:val="00707C91"/>
    <w:rsid w:val="007102F1"/>
    <w:rsid w:val="00711F58"/>
    <w:rsid w:val="00712024"/>
    <w:rsid w:val="00713F75"/>
    <w:rsid w:val="0071469D"/>
    <w:rsid w:val="00714EA7"/>
    <w:rsid w:val="0071564C"/>
    <w:rsid w:val="00721527"/>
    <w:rsid w:val="0072241C"/>
    <w:rsid w:val="0072254C"/>
    <w:rsid w:val="007232CF"/>
    <w:rsid w:val="00735E57"/>
    <w:rsid w:val="007369B2"/>
    <w:rsid w:val="0073707B"/>
    <w:rsid w:val="00740EA3"/>
    <w:rsid w:val="0074110C"/>
    <w:rsid w:val="00741639"/>
    <w:rsid w:val="0074188A"/>
    <w:rsid w:val="007418C3"/>
    <w:rsid w:val="0074194D"/>
    <w:rsid w:val="00742257"/>
    <w:rsid w:val="00742B79"/>
    <w:rsid w:val="00742CC7"/>
    <w:rsid w:val="00745156"/>
    <w:rsid w:val="00745D71"/>
    <w:rsid w:val="00747B66"/>
    <w:rsid w:val="007512EB"/>
    <w:rsid w:val="007530D4"/>
    <w:rsid w:val="00753896"/>
    <w:rsid w:val="00753F70"/>
    <w:rsid w:val="007540BC"/>
    <w:rsid w:val="00754BE2"/>
    <w:rsid w:val="00754D2B"/>
    <w:rsid w:val="00755456"/>
    <w:rsid w:val="00755844"/>
    <w:rsid w:val="00755B28"/>
    <w:rsid w:val="00755D3E"/>
    <w:rsid w:val="007560EF"/>
    <w:rsid w:val="0075674D"/>
    <w:rsid w:val="00756B53"/>
    <w:rsid w:val="00763A80"/>
    <w:rsid w:val="00764593"/>
    <w:rsid w:val="00764AC1"/>
    <w:rsid w:val="0076511B"/>
    <w:rsid w:val="007654F0"/>
    <w:rsid w:val="00765EF8"/>
    <w:rsid w:val="0076715E"/>
    <w:rsid w:val="00767BA8"/>
    <w:rsid w:val="00767BB9"/>
    <w:rsid w:val="00770291"/>
    <w:rsid w:val="00770D47"/>
    <w:rsid w:val="007718C1"/>
    <w:rsid w:val="00772563"/>
    <w:rsid w:val="007726CA"/>
    <w:rsid w:val="00773CBB"/>
    <w:rsid w:val="007743C3"/>
    <w:rsid w:val="00774605"/>
    <w:rsid w:val="007753FE"/>
    <w:rsid w:val="00775CB0"/>
    <w:rsid w:val="0077668D"/>
    <w:rsid w:val="0077781F"/>
    <w:rsid w:val="00784E08"/>
    <w:rsid w:val="00784F76"/>
    <w:rsid w:val="0078788A"/>
    <w:rsid w:val="007900D2"/>
    <w:rsid w:val="0079026B"/>
    <w:rsid w:val="0079082F"/>
    <w:rsid w:val="00790EAB"/>
    <w:rsid w:val="007924E2"/>
    <w:rsid w:val="007927B1"/>
    <w:rsid w:val="00792937"/>
    <w:rsid w:val="00792D70"/>
    <w:rsid w:val="0079316F"/>
    <w:rsid w:val="007939FD"/>
    <w:rsid w:val="00793FE8"/>
    <w:rsid w:val="00794CAF"/>
    <w:rsid w:val="00795272"/>
    <w:rsid w:val="007956E1"/>
    <w:rsid w:val="00795C67"/>
    <w:rsid w:val="00796F59"/>
    <w:rsid w:val="00797A2B"/>
    <w:rsid w:val="007A03BB"/>
    <w:rsid w:val="007A03EC"/>
    <w:rsid w:val="007A0F24"/>
    <w:rsid w:val="007A110C"/>
    <w:rsid w:val="007A1362"/>
    <w:rsid w:val="007A13A5"/>
    <w:rsid w:val="007A3282"/>
    <w:rsid w:val="007A5929"/>
    <w:rsid w:val="007A6368"/>
    <w:rsid w:val="007A6AB7"/>
    <w:rsid w:val="007A7160"/>
    <w:rsid w:val="007A718F"/>
    <w:rsid w:val="007A786A"/>
    <w:rsid w:val="007B164C"/>
    <w:rsid w:val="007B251B"/>
    <w:rsid w:val="007B4732"/>
    <w:rsid w:val="007B47F9"/>
    <w:rsid w:val="007B4AF1"/>
    <w:rsid w:val="007B5670"/>
    <w:rsid w:val="007B620F"/>
    <w:rsid w:val="007B6353"/>
    <w:rsid w:val="007B6B07"/>
    <w:rsid w:val="007B7BF4"/>
    <w:rsid w:val="007C0750"/>
    <w:rsid w:val="007C1BC0"/>
    <w:rsid w:val="007C22BC"/>
    <w:rsid w:val="007C23F1"/>
    <w:rsid w:val="007C3376"/>
    <w:rsid w:val="007C3E14"/>
    <w:rsid w:val="007C411C"/>
    <w:rsid w:val="007C4954"/>
    <w:rsid w:val="007C51FF"/>
    <w:rsid w:val="007C5DDF"/>
    <w:rsid w:val="007C731D"/>
    <w:rsid w:val="007C7667"/>
    <w:rsid w:val="007C7DFA"/>
    <w:rsid w:val="007D0554"/>
    <w:rsid w:val="007D0B81"/>
    <w:rsid w:val="007D265D"/>
    <w:rsid w:val="007D4B50"/>
    <w:rsid w:val="007D5683"/>
    <w:rsid w:val="007D60F9"/>
    <w:rsid w:val="007D781B"/>
    <w:rsid w:val="007D7B6A"/>
    <w:rsid w:val="007E0367"/>
    <w:rsid w:val="007E03CA"/>
    <w:rsid w:val="007E055B"/>
    <w:rsid w:val="007E08B3"/>
    <w:rsid w:val="007E28C8"/>
    <w:rsid w:val="007E3602"/>
    <w:rsid w:val="007E37A3"/>
    <w:rsid w:val="007E3D05"/>
    <w:rsid w:val="007E44E9"/>
    <w:rsid w:val="007E53AC"/>
    <w:rsid w:val="007E5CF0"/>
    <w:rsid w:val="007E6AE1"/>
    <w:rsid w:val="007E6EF7"/>
    <w:rsid w:val="007E7B90"/>
    <w:rsid w:val="007F08F2"/>
    <w:rsid w:val="007F13AB"/>
    <w:rsid w:val="007F18E7"/>
    <w:rsid w:val="007F1950"/>
    <w:rsid w:val="007F2910"/>
    <w:rsid w:val="007F2938"/>
    <w:rsid w:val="007F3386"/>
    <w:rsid w:val="007F3914"/>
    <w:rsid w:val="007F47F8"/>
    <w:rsid w:val="007F61B0"/>
    <w:rsid w:val="007F6B80"/>
    <w:rsid w:val="007F7747"/>
    <w:rsid w:val="007F7A84"/>
    <w:rsid w:val="007F7C2D"/>
    <w:rsid w:val="007F7D00"/>
    <w:rsid w:val="008002E4"/>
    <w:rsid w:val="008004BA"/>
    <w:rsid w:val="00800FAE"/>
    <w:rsid w:val="00800FD8"/>
    <w:rsid w:val="008015B1"/>
    <w:rsid w:val="00801755"/>
    <w:rsid w:val="00801B9D"/>
    <w:rsid w:val="00802743"/>
    <w:rsid w:val="0080313D"/>
    <w:rsid w:val="008035C1"/>
    <w:rsid w:val="008035E9"/>
    <w:rsid w:val="008044D4"/>
    <w:rsid w:val="00805F86"/>
    <w:rsid w:val="008104C7"/>
    <w:rsid w:val="00810FC2"/>
    <w:rsid w:val="00813ACF"/>
    <w:rsid w:val="00816BD8"/>
    <w:rsid w:val="008170A5"/>
    <w:rsid w:val="0081785B"/>
    <w:rsid w:val="008209EB"/>
    <w:rsid w:val="0082112D"/>
    <w:rsid w:val="0082161A"/>
    <w:rsid w:val="00821D06"/>
    <w:rsid w:val="00822059"/>
    <w:rsid w:val="008222C0"/>
    <w:rsid w:val="00822C71"/>
    <w:rsid w:val="00822D67"/>
    <w:rsid w:val="00823CB1"/>
    <w:rsid w:val="00826D58"/>
    <w:rsid w:val="008274FF"/>
    <w:rsid w:val="00830D88"/>
    <w:rsid w:val="008316E4"/>
    <w:rsid w:val="00832266"/>
    <w:rsid w:val="00832651"/>
    <w:rsid w:val="008332F5"/>
    <w:rsid w:val="00834880"/>
    <w:rsid w:val="008350F1"/>
    <w:rsid w:val="0083622A"/>
    <w:rsid w:val="0083737F"/>
    <w:rsid w:val="008374D1"/>
    <w:rsid w:val="00841A7B"/>
    <w:rsid w:val="00842F08"/>
    <w:rsid w:val="008446EA"/>
    <w:rsid w:val="008452B8"/>
    <w:rsid w:val="008453AF"/>
    <w:rsid w:val="00845740"/>
    <w:rsid w:val="00845B36"/>
    <w:rsid w:val="00846392"/>
    <w:rsid w:val="00846F9E"/>
    <w:rsid w:val="008478E0"/>
    <w:rsid w:val="008514AD"/>
    <w:rsid w:val="0085326E"/>
    <w:rsid w:val="008539F6"/>
    <w:rsid w:val="008542BD"/>
    <w:rsid w:val="00854710"/>
    <w:rsid w:val="00855010"/>
    <w:rsid w:val="008562CA"/>
    <w:rsid w:val="008605ED"/>
    <w:rsid w:val="0086082D"/>
    <w:rsid w:val="00860C12"/>
    <w:rsid w:val="008617A8"/>
    <w:rsid w:val="008617AF"/>
    <w:rsid w:val="00861A63"/>
    <w:rsid w:val="00861B38"/>
    <w:rsid w:val="00863780"/>
    <w:rsid w:val="0086537F"/>
    <w:rsid w:val="00866078"/>
    <w:rsid w:val="00870382"/>
    <w:rsid w:val="00871868"/>
    <w:rsid w:val="00871F4D"/>
    <w:rsid w:val="00872BD4"/>
    <w:rsid w:val="00872CF1"/>
    <w:rsid w:val="00873C1C"/>
    <w:rsid w:val="00874003"/>
    <w:rsid w:val="00875A27"/>
    <w:rsid w:val="008771F3"/>
    <w:rsid w:val="00880080"/>
    <w:rsid w:val="00880490"/>
    <w:rsid w:val="00880BB9"/>
    <w:rsid w:val="00881298"/>
    <w:rsid w:val="008815E8"/>
    <w:rsid w:val="00881D7B"/>
    <w:rsid w:val="008820B7"/>
    <w:rsid w:val="0088271A"/>
    <w:rsid w:val="008835E9"/>
    <w:rsid w:val="0088498C"/>
    <w:rsid w:val="0088524A"/>
    <w:rsid w:val="00890391"/>
    <w:rsid w:val="00890AF3"/>
    <w:rsid w:val="0089132C"/>
    <w:rsid w:val="00891B17"/>
    <w:rsid w:val="00891EBF"/>
    <w:rsid w:val="00892411"/>
    <w:rsid w:val="008936B6"/>
    <w:rsid w:val="008937A5"/>
    <w:rsid w:val="0089443F"/>
    <w:rsid w:val="008946AA"/>
    <w:rsid w:val="008954E7"/>
    <w:rsid w:val="00895EA6"/>
    <w:rsid w:val="00896AD7"/>
    <w:rsid w:val="008A241C"/>
    <w:rsid w:val="008A305E"/>
    <w:rsid w:val="008A4D0C"/>
    <w:rsid w:val="008A4EDC"/>
    <w:rsid w:val="008A4F48"/>
    <w:rsid w:val="008A53B6"/>
    <w:rsid w:val="008A547A"/>
    <w:rsid w:val="008A74BF"/>
    <w:rsid w:val="008B097A"/>
    <w:rsid w:val="008B09F1"/>
    <w:rsid w:val="008B0C8D"/>
    <w:rsid w:val="008B0E78"/>
    <w:rsid w:val="008B1872"/>
    <w:rsid w:val="008B1CE3"/>
    <w:rsid w:val="008B255A"/>
    <w:rsid w:val="008B3667"/>
    <w:rsid w:val="008B4215"/>
    <w:rsid w:val="008B4335"/>
    <w:rsid w:val="008B43B5"/>
    <w:rsid w:val="008B45DA"/>
    <w:rsid w:val="008B493E"/>
    <w:rsid w:val="008B5118"/>
    <w:rsid w:val="008B5AD7"/>
    <w:rsid w:val="008B629A"/>
    <w:rsid w:val="008B7556"/>
    <w:rsid w:val="008B7803"/>
    <w:rsid w:val="008B7CC9"/>
    <w:rsid w:val="008C12B0"/>
    <w:rsid w:val="008C2049"/>
    <w:rsid w:val="008C24C4"/>
    <w:rsid w:val="008C3B00"/>
    <w:rsid w:val="008C4965"/>
    <w:rsid w:val="008C4A7C"/>
    <w:rsid w:val="008D0812"/>
    <w:rsid w:val="008D2156"/>
    <w:rsid w:val="008D32A7"/>
    <w:rsid w:val="008D344B"/>
    <w:rsid w:val="008D3F34"/>
    <w:rsid w:val="008D4CC0"/>
    <w:rsid w:val="008D5690"/>
    <w:rsid w:val="008D5A16"/>
    <w:rsid w:val="008E1B1E"/>
    <w:rsid w:val="008E29DD"/>
    <w:rsid w:val="008E34DB"/>
    <w:rsid w:val="008E39CA"/>
    <w:rsid w:val="008E4393"/>
    <w:rsid w:val="008E6E32"/>
    <w:rsid w:val="008E7264"/>
    <w:rsid w:val="008E78EE"/>
    <w:rsid w:val="008F03D3"/>
    <w:rsid w:val="008F0B0A"/>
    <w:rsid w:val="008F1007"/>
    <w:rsid w:val="008F1437"/>
    <w:rsid w:val="008F25F2"/>
    <w:rsid w:val="008F266B"/>
    <w:rsid w:val="008F3CA7"/>
    <w:rsid w:val="008F4414"/>
    <w:rsid w:val="008F5312"/>
    <w:rsid w:val="008F64E3"/>
    <w:rsid w:val="008F7D8E"/>
    <w:rsid w:val="009006F5"/>
    <w:rsid w:val="00900766"/>
    <w:rsid w:val="009007DE"/>
    <w:rsid w:val="00901848"/>
    <w:rsid w:val="00901B24"/>
    <w:rsid w:val="0090245E"/>
    <w:rsid w:val="009029F1"/>
    <w:rsid w:val="00904348"/>
    <w:rsid w:val="00904845"/>
    <w:rsid w:val="0090539D"/>
    <w:rsid w:val="0090611E"/>
    <w:rsid w:val="009073A3"/>
    <w:rsid w:val="009076C4"/>
    <w:rsid w:val="00911174"/>
    <w:rsid w:val="00912F74"/>
    <w:rsid w:val="00914A48"/>
    <w:rsid w:val="00914BDA"/>
    <w:rsid w:val="009152B7"/>
    <w:rsid w:val="0091590C"/>
    <w:rsid w:val="00915F39"/>
    <w:rsid w:val="009160E5"/>
    <w:rsid w:val="00916EA6"/>
    <w:rsid w:val="0091714B"/>
    <w:rsid w:val="009222B4"/>
    <w:rsid w:val="00923036"/>
    <w:rsid w:val="009231D4"/>
    <w:rsid w:val="0092335B"/>
    <w:rsid w:val="00925FCF"/>
    <w:rsid w:val="00927002"/>
    <w:rsid w:val="009277BC"/>
    <w:rsid w:val="00927DE5"/>
    <w:rsid w:val="00930E54"/>
    <w:rsid w:val="00932944"/>
    <w:rsid w:val="00933026"/>
    <w:rsid w:val="00933FFF"/>
    <w:rsid w:val="00934294"/>
    <w:rsid w:val="009342C2"/>
    <w:rsid w:val="00934B53"/>
    <w:rsid w:val="00935CE5"/>
    <w:rsid w:val="0093735F"/>
    <w:rsid w:val="00937A0D"/>
    <w:rsid w:val="00937DD7"/>
    <w:rsid w:val="00937DE4"/>
    <w:rsid w:val="00940A95"/>
    <w:rsid w:val="00940EAB"/>
    <w:rsid w:val="0094162C"/>
    <w:rsid w:val="00941ED6"/>
    <w:rsid w:val="0094200E"/>
    <w:rsid w:val="00942949"/>
    <w:rsid w:val="00944322"/>
    <w:rsid w:val="0094615F"/>
    <w:rsid w:val="00946793"/>
    <w:rsid w:val="0094725D"/>
    <w:rsid w:val="00947CC3"/>
    <w:rsid w:val="00950568"/>
    <w:rsid w:val="00950937"/>
    <w:rsid w:val="00950F25"/>
    <w:rsid w:val="00950FE8"/>
    <w:rsid w:val="00950FEB"/>
    <w:rsid w:val="0095516D"/>
    <w:rsid w:val="00961CCC"/>
    <w:rsid w:val="00963463"/>
    <w:rsid w:val="009644D0"/>
    <w:rsid w:val="00964551"/>
    <w:rsid w:val="0096509B"/>
    <w:rsid w:val="00965510"/>
    <w:rsid w:val="0096560A"/>
    <w:rsid w:val="0096719D"/>
    <w:rsid w:val="00967635"/>
    <w:rsid w:val="009703A1"/>
    <w:rsid w:val="00971E3B"/>
    <w:rsid w:val="00972B62"/>
    <w:rsid w:val="00972DDB"/>
    <w:rsid w:val="00975E7B"/>
    <w:rsid w:val="009774BE"/>
    <w:rsid w:val="00977881"/>
    <w:rsid w:val="00980267"/>
    <w:rsid w:val="00981669"/>
    <w:rsid w:val="00981C74"/>
    <w:rsid w:val="009826E7"/>
    <w:rsid w:val="00982867"/>
    <w:rsid w:val="009841DE"/>
    <w:rsid w:val="009845CC"/>
    <w:rsid w:val="00984ED1"/>
    <w:rsid w:val="0098508A"/>
    <w:rsid w:val="0098580E"/>
    <w:rsid w:val="00986867"/>
    <w:rsid w:val="009877ED"/>
    <w:rsid w:val="00990E4B"/>
    <w:rsid w:val="00991378"/>
    <w:rsid w:val="009925B4"/>
    <w:rsid w:val="00992616"/>
    <w:rsid w:val="00992DF1"/>
    <w:rsid w:val="0099522A"/>
    <w:rsid w:val="00996159"/>
    <w:rsid w:val="00996AC7"/>
    <w:rsid w:val="00996C54"/>
    <w:rsid w:val="00997EF6"/>
    <w:rsid w:val="009A49F1"/>
    <w:rsid w:val="009A4ED2"/>
    <w:rsid w:val="009A50C4"/>
    <w:rsid w:val="009A63E5"/>
    <w:rsid w:val="009A6BE6"/>
    <w:rsid w:val="009B0338"/>
    <w:rsid w:val="009B0823"/>
    <w:rsid w:val="009B168D"/>
    <w:rsid w:val="009B27D1"/>
    <w:rsid w:val="009B2B93"/>
    <w:rsid w:val="009B3201"/>
    <w:rsid w:val="009B3206"/>
    <w:rsid w:val="009B36D9"/>
    <w:rsid w:val="009B4D71"/>
    <w:rsid w:val="009B53B6"/>
    <w:rsid w:val="009B5797"/>
    <w:rsid w:val="009B62E4"/>
    <w:rsid w:val="009B67CC"/>
    <w:rsid w:val="009B6877"/>
    <w:rsid w:val="009B6B76"/>
    <w:rsid w:val="009B71C5"/>
    <w:rsid w:val="009B7838"/>
    <w:rsid w:val="009C086D"/>
    <w:rsid w:val="009C0990"/>
    <w:rsid w:val="009C16C1"/>
    <w:rsid w:val="009C2174"/>
    <w:rsid w:val="009C27DE"/>
    <w:rsid w:val="009C3759"/>
    <w:rsid w:val="009C68A4"/>
    <w:rsid w:val="009C6AD7"/>
    <w:rsid w:val="009D26C8"/>
    <w:rsid w:val="009D2C72"/>
    <w:rsid w:val="009D2DCA"/>
    <w:rsid w:val="009D3D36"/>
    <w:rsid w:val="009D4611"/>
    <w:rsid w:val="009D5173"/>
    <w:rsid w:val="009D5493"/>
    <w:rsid w:val="009D5E14"/>
    <w:rsid w:val="009D7BC5"/>
    <w:rsid w:val="009E0D71"/>
    <w:rsid w:val="009E1AC3"/>
    <w:rsid w:val="009E2D63"/>
    <w:rsid w:val="009E37C3"/>
    <w:rsid w:val="009E4655"/>
    <w:rsid w:val="009E4907"/>
    <w:rsid w:val="009E4E6F"/>
    <w:rsid w:val="009E6019"/>
    <w:rsid w:val="009E6CF9"/>
    <w:rsid w:val="009E7D9B"/>
    <w:rsid w:val="009F1038"/>
    <w:rsid w:val="009F148F"/>
    <w:rsid w:val="009F1D00"/>
    <w:rsid w:val="009F22A1"/>
    <w:rsid w:val="009F25A4"/>
    <w:rsid w:val="009F3485"/>
    <w:rsid w:val="009F404F"/>
    <w:rsid w:val="009F4400"/>
    <w:rsid w:val="009F52EE"/>
    <w:rsid w:val="009F6546"/>
    <w:rsid w:val="009F71F4"/>
    <w:rsid w:val="009F755E"/>
    <w:rsid w:val="009F7A2F"/>
    <w:rsid w:val="00A01559"/>
    <w:rsid w:val="00A01F87"/>
    <w:rsid w:val="00A0213B"/>
    <w:rsid w:val="00A023B9"/>
    <w:rsid w:val="00A0337E"/>
    <w:rsid w:val="00A03813"/>
    <w:rsid w:val="00A073F5"/>
    <w:rsid w:val="00A0756D"/>
    <w:rsid w:val="00A11D68"/>
    <w:rsid w:val="00A14245"/>
    <w:rsid w:val="00A14F83"/>
    <w:rsid w:val="00A1600C"/>
    <w:rsid w:val="00A16447"/>
    <w:rsid w:val="00A16854"/>
    <w:rsid w:val="00A16ED5"/>
    <w:rsid w:val="00A16EEF"/>
    <w:rsid w:val="00A17086"/>
    <w:rsid w:val="00A219EC"/>
    <w:rsid w:val="00A22D75"/>
    <w:rsid w:val="00A2313A"/>
    <w:rsid w:val="00A235E2"/>
    <w:rsid w:val="00A23685"/>
    <w:rsid w:val="00A23773"/>
    <w:rsid w:val="00A23C5C"/>
    <w:rsid w:val="00A240BC"/>
    <w:rsid w:val="00A2424B"/>
    <w:rsid w:val="00A25B7C"/>
    <w:rsid w:val="00A26189"/>
    <w:rsid w:val="00A261BB"/>
    <w:rsid w:val="00A2753C"/>
    <w:rsid w:val="00A27E8D"/>
    <w:rsid w:val="00A30DD5"/>
    <w:rsid w:val="00A3276A"/>
    <w:rsid w:val="00A32BFA"/>
    <w:rsid w:val="00A3363A"/>
    <w:rsid w:val="00A338F8"/>
    <w:rsid w:val="00A33D25"/>
    <w:rsid w:val="00A34143"/>
    <w:rsid w:val="00A345B0"/>
    <w:rsid w:val="00A3483F"/>
    <w:rsid w:val="00A363CC"/>
    <w:rsid w:val="00A372E4"/>
    <w:rsid w:val="00A400DC"/>
    <w:rsid w:val="00A40FD2"/>
    <w:rsid w:val="00A4174D"/>
    <w:rsid w:val="00A42872"/>
    <w:rsid w:val="00A42EF3"/>
    <w:rsid w:val="00A431A4"/>
    <w:rsid w:val="00A45E4A"/>
    <w:rsid w:val="00A46064"/>
    <w:rsid w:val="00A466E8"/>
    <w:rsid w:val="00A50086"/>
    <w:rsid w:val="00A505E4"/>
    <w:rsid w:val="00A50CB1"/>
    <w:rsid w:val="00A51D6B"/>
    <w:rsid w:val="00A51FF8"/>
    <w:rsid w:val="00A53A96"/>
    <w:rsid w:val="00A542FC"/>
    <w:rsid w:val="00A543AD"/>
    <w:rsid w:val="00A55201"/>
    <w:rsid w:val="00A55B70"/>
    <w:rsid w:val="00A5789F"/>
    <w:rsid w:val="00A625B8"/>
    <w:rsid w:val="00A62847"/>
    <w:rsid w:val="00A6328E"/>
    <w:rsid w:val="00A633D2"/>
    <w:rsid w:val="00A633D6"/>
    <w:rsid w:val="00A63754"/>
    <w:rsid w:val="00A648CC"/>
    <w:rsid w:val="00A6562E"/>
    <w:rsid w:val="00A6563E"/>
    <w:rsid w:val="00A65A6B"/>
    <w:rsid w:val="00A71F97"/>
    <w:rsid w:val="00A7202B"/>
    <w:rsid w:val="00A72343"/>
    <w:rsid w:val="00A72F50"/>
    <w:rsid w:val="00A74D47"/>
    <w:rsid w:val="00A76B39"/>
    <w:rsid w:val="00A77237"/>
    <w:rsid w:val="00A774CC"/>
    <w:rsid w:val="00A8123C"/>
    <w:rsid w:val="00A81BF6"/>
    <w:rsid w:val="00A82040"/>
    <w:rsid w:val="00A82168"/>
    <w:rsid w:val="00A85498"/>
    <w:rsid w:val="00A854A8"/>
    <w:rsid w:val="00A86349"/>
    <w:rsid w:val="00A874E0"/>
    <w:rsid w:val="00A87716"/>
    <w:rsid w:val="00A87B46"/>
    <w:rsid w:val="00A90148"/>
    <w:rsid w:val="00A9179D"/>
    <w:rsid w:val="00A92927"/>
    <w:rsid w:val="00A929B5"/>
    <w:rsid w:val="00A93C9F"/>
    <w:rsid w:val="00A942D2"/>
    <w:rsid w:val="00A95921"/>
    <w:rsid w:val="00A96885"/>
    <w:rsid w:val="00A96896"/>
    <w:rsid w:val="00A9729B"/>
    <w:rsid w:val="00AA0957"/>
    <w:rsid w:val="00AA0C8E"/>
    <w:rsid w:val="00AA2A92"/>
    <w:rsid w:val="00AA2BCB"/>
    <w:rsid w:val="00AA4569"/>
    <w:rsid w:val="00AA46D2"/>
    <w:rsid w:val="00AA666C"/>
    <w:rsid w:val="00AA6B7F"/>
    <w:rsid w:val="00AA7981"/>
    <w:rsid w:val="00AA7A3F"/>
    <w:rsid w:val="00AB011A"/>
    <w:rsid w:val="00AB0987"/>
    <w:rsid w:val="00AB159F"/>
    <w:rsid w:val="00AB1C63"/>
    <w:rsid w:val="00AB556C"/>
    <w:rsid w:val="00AB5A89"/>
    <w:rsid w:val="00AB6612"/>
    <w:rsid w:val="00AB6E32"/>
    <w:rsid w:val="00AB7854"/>
    <w:rsid w:val="00AB7977"/>
    <w:rsid w:val="00AB7BC4"/>
    <w:rsid w:val="00AC4F1F"/>
    <w:rsid w:val="00AC6282"/>
    <w:rsid w:val="00AD1324"/>
    <w:rsid w:val="00AD1A55"/>
    <w:rsid w:val="00AD2067"/>
    <w:rsid w:val="00AD380C"/>
    <w:rsid w:val="00AD39C2"/>
    <w:rsid w:val="00AD578B"/>
    <w:rsid w:val="00AD6BD3"/>
    <w:rsid w:val="00AD76BF"/>
    <w:rsid w:val="00AE1072"/>
    <w:rsid w:val="00AE1AC8"/>
    <w:rsid w:val="00AE29EE"/>
    <w:rsid w:val="00AE2C80"/>
    <w:rsid w:val="00AF0DBE"/>
    <w:rsid w:val="00AF19D7"/>
    <w:rsid w:val="00AF1B7C"/>
    <w:rsid w:val="00AF2E46"/>
    <w:rsid w:val="00AF5451"/>
    <w:rsid w:val="00AF5E01"/>
    <w:rsid w:val="00AF6410"/>
    <w:rsid w:val="00AF66C1"/>
    <w:rsid w:val="00AF688E"/>
    <w:rsid w:val="00AF6F41"/>
    <w:rsid w:val="00B005D6"/>
    <w:rsid w:val="00B01593"/>
    <w:rsid w:val="00B02113"/>
    <w:rsid w:val="00B02E33"/>
    <w:rsid w:val="00B03521"/>
    <w:rsid w:val="00B06C6F"/>
    <w:rsid w:val="00B07F00"/>
    <w:rsid w:val="00B1183B"/>
    <w:rsid w:val="00B11BE2"/>
    <w:rsid w:val="00B12A5D"/>
    <w:rsid w:val="00B132E2"/>
    <w:rsid w:val="00B13340"/>
    <w:rsid w:val="00B1369B"/>
    <w:rsid w:val="00B13A4B"/>
    <w:rsid w:val="00B14175"/>
    <w:rsid w:val="00B148FF"/>
    <w:rsid w:val="00B15D2B"/>
    <w:rsid w:val="00B15F0C"/>
    <w:rsid w:val="00B1750C"/>
    <w:rsid w:val="00B204ED"/>
    <w:rsid w:val="00B206C2"/>
    <w:rsid w:val="00B207E8"/>
    <w:rsid w:val="00B2249C"/>
    <w:rsid w:val="00B22CED"/>
    <w:rsid w:val="00B22E8C"/>
    <w:rsid w:val="00B23A96"/>
    <w:rsid w:val="00B23CD1"/>
    <w:rsid w:val="00B23DE9"/>
    <w:rsid w:val="00B24E94"/>
    <w:rsid w:val="00B25037"/>
    <w:rsid w:val="00B26EAE"/>
    <w:rsid w:val="00B27B8F"/>
    <w:rsid w:val="00B30F4B"/>
    <w:rsid w:val="00B315B7"/>
    <w:rsid w:val="00B31B23"/>
    <w:rsid w:val="00B32060"/>
    <w:rsid w:val="00B335D7"/>
    <w:rsid w:val="00B351B6"/>
    <w:rsid w:val="00B35BC4"/>
    <w:rsid w:val="00B360C5"/>
    <w:rsid w:val="00B36293"/>
    <w:rsid w:val="00B37BCD"/>
    <w:rsid w:val="00B37C4E"/>
    <w:rsid w:val="00B37D36"/>
    <w:rsid w:val="00B406EF"/>
    <w:rsid w:val="00B44884"/>
    <w:rsid w:val="00B51828"/>
    <w:rsid w:val="00B53DB6"/>
    <w:rsid w:val="00B54629"/>
    <w:rsid w:val="00B54689"/>
    <w:rsid w:val="00B56C3E"/>
    <w:rsid w:val="00B625E7"/>
    <w:rsid w:val="00B62BDC"/>
    <w:rsid w:val="00B62D19"/>
    <w:rsid w:val="00B630B1"/>
    <w:rsid w:val="00B64995"/>
    <w:rsid w:val="00B71532"/>
    <w:rsid w:val="00B72CFB"/>
    <w:rsid w:val="00B741EF"/>
    <w:rsid w:val="00B744CD"/>
    <w:rsid w:val="00B767B0"/>
    <w:rsid w:val="00B77C8A"/>
    <w:rsid w:val="00B77ED7"/>
    <w:rsid w:val="00B80EF4"/>
    <w:rsid w:val="00B81338"/>
    <w:rsid w:val="00B81AE3"/>
    <w:rsid w:val="00B833C0"/>
    <w:rsid w:val="00B83D7A"/>
    <w:rsid w:val="00B84482"/>
    <w:rsid w:val="00B849E0"/>
    <w:rsid w:val="00B850BA"/>
    <w:rsid w:val="00B85DB5"/>
    <w:rsid w:val="00B8732E"/>
    <w:rsid w:val="00B877DA"/>
    <w:rsid w:val="00B9150E"/>
    <w:rsid w:val="00B92A63"/>
    <w:rsid w:val="00B945B7"/>
    <w:rsid w:val="00B958BA"/>
    <w:rsid w:val="00B96912"/>
    <w:rsid w:val="00BA004D"/>
    <w:rsid w:val="00BA04E1"/>
    <w:rsid w:val="00BA0896"/>
    <w:rsid w:val="00BA10F4"/>
    <w:rsid w:val="00BA1545"/>
    <w:rsid w:val="00BA1B15"/>
    <w:rsid w:val="00BA2737"/>
    <w:rsid w:val="00BA47DC"/>
    <w:rsid w:val="00BA4C0D"/>
    <w:rsid w:val="00BA5EE5"/>
    <w:rsid w:val="00BA71E3"/>
    <w:rsid w:val="00BA76FF"/>
    <w:rsid w:val="00BA777F"/>
    <w:rsid w:val="00BB0975"/>
    <w:rsid w:val="00BB1994"/>
    <w:rsid w:val="00BB3272"/>
    <w:rsid w:val="00BB4D75"/>
    <w:rsid w:val="00BB67E2"/>
    <w:rsid w:val="00BB6D6D"/>
    <w:rsid w:val="00BC1204"/>
    <w:rsid w:val="00BC1B13"/>
    <w:rsid w:val="00BC1EE9"/>
    <w:rsid w:val="00BC239C"/>
    <w:rsid w:val="00BC2FA0"/>
    <w:rsid w:val="00BC4144"/>
    <w:rsid w:val="00BC5378"/>
    <w:rsid w:val="00BC5614"/>
    <w:rsid w:val="00BC689A"/>
    <w:rsid w:val="00BC7D6B"/>
    <w:rsid w:val="00BD0056"/>
    <w:rsid w:val="00BD0936"/>
    <w:rsid w:val="00BD0C22"/>
    <w:rsid w:val="00BD5560"/>
    <w:rsid w:val="00BD6983"/>
    <w:rsid w:val="00BD762A"/>
    <w:rsid w:val="00BD77E6"/>
    <w:rsid w:val="00BD7A83"/>
    <w:rsid w:val="00BE059C"/>
    <w:rsid w:val="00BE07FF"/>
    <w:rsid w:val="00BE1882"/>
    <w:rsid w:val="00BE22E8"/>
    <w:rsid w:val="00BE35AA"/>
    <w:rsid w:val="00BE42AC"/>
    <w:rsid w:val="00BE4CAB"/>
    <w:rsid w:val="00BE4EDF"/>
    <w:rsid w:val="00BE50FF"/>
    <w:rsid w:val="00BE6394"/>
    <w:rsid w:val="00BE63D6"/>
    <w:rsid w:val="00BE66CA"/>
    <w:rsid w:val="00BE6A73"/>
    <w:rsid w:val="00BE702C"/>
    <w:rsid w:val="00BE729A"/>
    <w:rsid w:val="00BE7C51"/>
    <w:rsid w:val="00BF0F22"/>
    <w:rsid w:val="00BF12FD"/>
    <w:rsid w:val="00BF16C1"/>
    <w:rsid w:val="00BF1735"/>
    <w:rsid w:val="00BF1D27"/>
    <w:rsid w:val="00BF28D8"/>
    <w:rsid w:val="00BF2EC4"/>
    <w:rsid w:val="00BF2FAE"/>
    <w:rsid w:val="00BF3308"/>
    <w:rsid w:val="00BF3B31"/>
    <w:rsid w:val="00BF62CF"/>
    <w:rsid w:val="00BF73BF"/>
    <w:rsid w:val="00BF75C8"/>
    <w:rsid w:val="00C0089F"/>
    <w:rsid w:val="00C0100B"/>
    <w:rsid w:val="00C03C5E"/>
    <w:rsid w:val="00C05DDB"/>
    <w:rsid w:val="00C05DEB"/>
    <w:rsid w:val="00C0618C"/>
    <w:rsid w:val="00C062A9"/>
    <w:rsid w:val="00C06995"/>
    <w:rsid w:val="00C06CE1"/>
    <w:rsid w:val="00C07841"/>
    <w:rsid w:val="00C07A26"/>
    <w:rsid w:val="00C1031C"/>
    <w:rsid w:val="00C11C60"/>
    <w:rsid w:val="00C1405A"/>
    <w:rsid w:val="00C14C39"/>
    <w:rsid w:val="00C1609D"/>
    <w:rsid w:val="00C16AE8"/>
    <w:rsid w:val="00C17A60"/>
    <w:rsid w:val="00C17C3C"/>
    <w:rsid w:val="00C2042B"/>
    <w:rsid w:val="00C21089"/>
    <w:rsid w:val="00C2130D"/>
    <w:rsid w:val="00C222CC"/>
    <w:rsid w:val="00C23C0D"/>
    <w:rsid w:val="00C23D3C"/>
    <w:rsid w:val="00C23F48"/>
    <w:rsid w:val="00C252E3"/>
    <w:rsid w:val="00C26DF1"/>
    <w:rsid w:val="00C27D1E"/>
    <w:rsid w:val="00C27F1C"/>
    <w:rsid w:val="00C31A9C"/>
    <w:rsid w:val="00C32207"/>
    <w:rsid w:val="00C327D9"/>
    <w:rsid w:val="00C332B9"/>
    <w:rsid w:val="00C33435"/>
    <w:rsid w:val="00C33C5B"/>
    <w:rsid w:val="00C357D0"/>
    <w:rsid w:val="00C35A2F"/>
    <w:rsid w:val="00C36BB4"/>
    <w:rsid w:val="00C36FC6"/>
    <w:rsid w:val="00C417DB"/>
    <w:rsid w:val="00C41991"/>
    <w:rsid w:val="00C430D8"/>
    <w:rsid w:val="00C44AA5"/>
    <w:rsid w:val="00C44FF8"/>
    <w:rsid w:val="00C46353"/>
    <w:rsid w:val="00C46B64"/>
    <w:rsid w:val="00C46D9C"/>
    <w:rsid w:val="00C46E32"/>
    <w:rsid w:val="00C5008D"/>
    <w:rsid w:val="00C5104B"/>
    <w:rsid w:val="00C51B56"/>
    <w:rsid w:val="00C51F96"/>
    <w:rsid w:val="00C52C95"/>
    <w:rsid w:val="00C53269"/>
    <w:rsid w:val="00C53DCF"/>
    <w:rsid w:val="00C54C62"/>
    <w:rsid w:val="00C570CC"/>
    <w:rsid w:val="00C57C3D"/>
    <w:rsid w:val="00C6024B"/>
    <w:rsid w:val="00C604AA"/>
    <w:rsid w:val="00C61D2B"/>
    <w:rsid w:val="00C62614"/>
    <w:rsid w:val="00C63145"/>
    <w:rsid w:val="00C631AD"/>
    <w:rsid w:val="00C6453D"/>
    <w:rsid w:val="00C654B4"/>
    <w:rsid w:val="00C65E2A"/>
    <w:rsid w:val="00C665C6"/>
    <w:rsid w:val="00C6669D"/>
    <w:rsid w:val="00C66CB0"/>
    <w:rsid w:val="00C66E08"/>
    <w:rsid w:val="00C672FF"/>
    <w:rsid w:val="00C67E29"/>
    <w:rsid w:val="00C70B5D"/>
    <w:rsid w:val="00C70DA6"/>
    <w:rsid w:val="00C719CC"/>
    <w:rsid w:val="00C72647"/>
    <w:rsid w:val="00C732BA"/>
    <w:rsid w:val="00C74215"/>
    <w:rsid w:val="00C74847"/>
    <w:rsid w:val="00C752FD"/>
    <w:rsid w:val="00C756D7"/>
    <w:rsid w:val="00C76178"/>
    <w:rsid w:val="00C8042F"/>
    <w:rsid w:val="00C80517"/>
    <w:rsid w:val="00C81137"/>
    <w:rsid w:val="00C8263C"/>
    <w:rsid w:val="00C837C4"/>
    <w:rsid w:val="00C848F1"/>
    <w:rsid w:val="00C85C63"/>
    <w:rsid w:val="00C866D6"/>
    <w:rsid w:val="00C872C0"/>
    <w:rsid w:val="00C87660"/>
    <w:rsid w:val="00C87BBF"/>
    <w:rsid w:val="00C87E17"/>
    <w:rsid w:val="00C9184D"/>
    <w:rsid w:val="00C9206C"/>
    <w:rsid w:val="00C9300A"/>
    <w:rsid w:val="00C93F54"/>
    <w:rsid w:val="00C93FA3"/>
    <w:rsid w:val="00C94189"/>
    <w:rsid w:val="00C942BD"/>
    <w:rsid w:val="00C943AB"/>
    <w:rsid w:val="00C9461C"/>
    <w:rsid w:val="00C9554F"/>
    <w:rsid w:val="00C95B41"/>
    <w:rsid w:val="00C961A8"/>
    <w:rsid w:val="00C975B7"/>
    <w:rsid w:val="00C97E96"/>
    <w:rsid w:val="00CA0CCF"/>
    <w:rsid w:val="00CA1817"/>
    <w:rsid w:val="00CA1D1F"/>
    <w:rsid w:val="00CA3003"/>
    <w:rsid w:val="00CA38C4"/>
    <w:rsid w:val="00CA3A1C"/>
    <w:rsid w:val="00CA4B18"/>
    <w:rsid w:val="00CA4B85"/>
    <w:rsid w:val="00CA4D4E"/>
    <w:rsid w:val="00CA5661"/>
    <w:rsid w:val="00CA6A55"/>
    <w:rsid w:val="00CA6A86"/>
    <w:rsid w:val="00CA7BBB"/>
    <w:rsid w:val="00CB0AE3"/>
    <w:rsid w:val="00CB1442"/>
    <w:rsid w:val="00CB3B72"/>
    <w:rsid w:val="00CB4377"/>
    <w:rsid w:val="00CB46EE"/>
    <w:rsid w:val="00CB4724"/>
    <w:rsid w:val="00CB4790"/>
    <w:rsid w:val="00CB5C51"/>
    <w:rsid w:val="00CB634F"/>
    <w:rsid w:val="00CB6609"/>
    <w:rsid w:val="00CB6762"/>
    <w:rsid w:val="00CB7159"/>
    <w:rsid w:val="00CC12AF"/>
    <w:rsid w:val="00CC1797"/>
    <w:rsid w:val="00CC21FC"/>
    <w:rsid w:val="00CC22B2"/>
    <w:rsid w:val="00CC4452"/>
    <w:rsid w:val="00CC607B"/>
    <w:rsid w:val="00CC6664"/>
    <w:rsid w:val="00CC6744"/>
    <w:rsid w:val="00CC7CF6"/>
    <w:rsid w:val="00CD028E"/>
    <w:rsid w:val="00CD03A1"/>
    <w:rsid w:val="00CD0CAA"/>
    <w:rsid w:val="00CD1810"/>
    <w:rsid w:val="00CD228D"/>
    <w:rsid w:val="00CD4681"/>
    <w:rsid w:val="00CD46A0"/>
    <w:rsid w:val="00CD53EC"/>
    <w:rsid w:val="00CD5936"/>
    <w:rsid w:val="00CD6A8A"/>
    <w:rsid w:val="00CD6B2E"/>
    <w:rsid w:val="00CD717E"/>
    <w:rsid w:val="00CE07A9"/>
    <w:rsid w:val="00CE10C1"/>
    <w:rsid w:val="00CE277A"/>
    <w:rsid w:val="00CE4DDB"/>
    <w:rsid w:val="00CE61BE"/>
    <w:rsid w:val="00CF0151"/>
    <w:rsid w:val="00CF2471"/>
    <w:rsid w:val="00CF287C"/>
    <w:rsid w:val="00CF325A"/>
    <w:rsid w:val="00CF3A56"/>
    <w:rsid w:val="00CF3B13"/>
    <w:rsid w:val="00CF3D7F"/>
    <w:rsid w:val="00CF3FED"/>
    <w:rsid w:val="00CF4532"/>
    <w:rsid w:val="00CF5E88"/>
    <w:rsid w:val="00CF66A9"/>
    <w:rsid w:val="00CF693B"/>
    <w:rsid w:val="00D0297C"/>
    <w:rsid w:val="00D0304D"/>
    <w:rsid w:val="00D03109"/>
    <w:rsid w:val="00D04925"/>
    <w:rsid w:val="00D05B02"/>
    <w:rsid w:val="00D0649A"/>
    <w:rsid w:val="00D07E75"/>
    <w:rsid w:val="00D10E2E"/>
    <w:rsid w:val="00D11AB7"/>
    <w:rsid w:val="00D14014"/>
    <w:rsid w:val="00D1550D"/>
    <w:rsid w:val="00D15711"/>
    <w:rsid w:val="00D15D8B"/>
    <w:rsid w:val="00D16732"/>
    <w:rsid w:val="00D17AB6"/>
    <w:rsid w:val="00D20344"/>
    <w:rsid w:val="00D205E9"/>
    <w:rsid w:val="00D2064C"/>
    <w:rsid w:val="00D214F3"/>
    <w:rsid w:val="00D2255B"/>
    <w:rsid w:val="00D22B94"/>
    <w:rsid w:val="00D231A9"/>
    <w:rsid w:val="00D236AC"/>
    <w:rsid w:val="00D23743"/>
    <w:rsid w:val="00D23EDC"/>
    <w:rsid w:val="00D24B74"/>
    <w:rsid w:val="00D25568"/>
    <w:rsid w:val="00D27BD1"/>
    <w:rsid w:val="00D27E02"/>
    <w:rsid w:val="00D32062"/>
    <w:rsid w:val="00D320B3"/>
    <w:rsid w:val="00D32882"/>
    <w:rsid w:val="00D333F9"/>
    <w:rsid w:val="00D33979"/>
    <w:rsid w:val="00D33F48"/>
    <w:rsid w:val="00D36864"/>
    <w:rsid w:val="00D3724F"/>
    <w:rsid w:val="00D376E7"/>
    <w:rsid w:val="00D379B4"/>
    <w:rsid w:val="00D40612"/>
    <w:rsid w:val="00D40D0F"/>
    <w:rsid w:val="00D4106B"/>
    <w:rsid w:val="00D4116A"/>
    <w:rsid w:val="00D41E23"/>
    <w:rsid w:val="00D425C8"/>
    <w:rsid w:val="00D43BD3"/>
    <w:rsid w:val="00D446C5"/>
    <w:rsid w:val="00D44AC9"/>
    <w:rsid w:val="00D45018"/>
    <w:rsid w:val="00D500DC"/>
    <w:rsid w:val="00D50980"/>
    <w:rsid w:val="00D5130D"/>
    <w:rsid w:val="00D52AC3"/>
    <w:rsid w:val="00D533DB"/>
    <w:rsid w:val="00D53B27"/>
    <w:rsid w:val="00D55679"/>
    <w:rsid w:val="00D57184"/>
    <w:rsid w:val="00D60088"/>
    <w:rsid w:val="00D601D6"/>
    <w:rsid w:val="00D60654"/>
    <w:rsid w:val="00D606E1"/>
    <w:rsid w:val="00D60992"/>
    <w:rsid w:val="00D61463"/>
    <w:rsid w:val="00D6190C"/>
    <w:rsid w:val="00D61915"/>
    <w:rsid w:val="00D619B8"/>
    <w:rsid w:val="00D62592"/>
    <w:rsid w:val="00D632D1"/>
    <w:rsid w:val="00D635BD"/>
    <w:rsid w:val="00D637A3"/>
    <w:rsid w:val="00D63D6C"/>
    <w:rsid w:val="00D642D9"/>
    <w:rsid w:val="00D64F7B"/>
    <w:rsid w:val="00D676C0"/>
    <w:rsid w:val="00D71C76"/>
    <w:rsid w:val="00D72868"/>
    <w:rsid w:val="00D72B2F"/>
    <w:rsid w:val="00D7426D"/>
    <w:rsid w:val="00D76474"/>
    <w:rsid w:val="00D7766F"/>
    <w:rsid w:val="00D77984"/>
    <w:rsid w:val="00D77C38"/>
    <w:rsid w:val="00D77D46"/>
    <w:rsid w:val="00D77E8A"/>
    <w:rsid w:val="00D77ECF"/>
    <w:rsid w:val="00D77F0E"/>
    <w:rsid w:val="00D80C88"/>
    <w:rsid w:val="00D8204A"/>
    <w:rsid w:val="00D820DB"/>
    <w:rsid w:val="00D82E14"/>
    <w:rsid w:val="00D8330F"/>
    <w:rsid w:val="00D8397F"/>
    <w:rsid w:val="00D854E1"/>
    <w:rsid w:val="00D870EF"/>
    <w:rsid w:val="00D87392"/>
    <w:rsid w:val="00D87C26"/>
    <w:rsid w:val="00D902C5"/>
    <w:rsid w:val="00D91DA5"/>
    <w:rsid w:val="00D9266E"/>
    <w:rsid w:val="00D930EB"/>
    <w:rsid w:val="00D9574D"/>
    <w:rsid w:val="00D96DBF"/>
    <w:rsid w:val="00D972A6"/>
    <w:rsid w:val="00D97BFD"/>
    <w:rsid w:val="00DA1AE5"/>
    <w:rsid w:val="00DA1D6D"/>
    <w:rsid w:val="00DA2703"/>
    <w:rsid w:val="00DA3335"/>
    <w:rsid w:val="00DA4098"/>
    <w:rsid w:val="00DA4427"/>
    <w:rsid w:val="00DA4707"/>
    <w:rsid w:val="00DA591B"/>
    <w:rsid w:val="00DB036A"/>
    <w:rsid w:val="00DB0AE4"/>
    <w:rsid w:val="00DB0EB7"/>
    <w:rsid w:val="00DB1443"/>
    <w:rsid w:val="00DB1A45"/>
    <w:rsid w:val="00DB23F2"/>
    <w:rsid w:val="00DB30A1"/>
    <w:rsid w:val="00DB54E9"/>
    <w:rsid w:val="00DB5C85"/>
    <w:rsid w:val="00DB615E"/>
    <w:rsid w:val="00DB6691"/>
    <w:rsid w:val="00DB68DE"/>
    <w:rsid w:val="00DB73A5"/>
    <w:rsid w:val="00DB7A1A"/>
    <w:rsid w:val="00DB7B78"/>
    <w:rsid w:val="00DC0219"/>
    <w:rsid w:val="00DC06B5"/>
    <w:rsid w:val="00DC0702"/>
    <w:rsid w:val="00DC1022"/>
    <w:rsid w:val="00DC13B9"/>
    <w:rsid w:val="00DC1F33"/>
    <w:rsid w:val="00DC234A"/>
    <w:rsid w:val="00DC3715"/>
    <w:rsid w:val="00DC3833"/>
    <w:rsid w:val="00DC432A"/>
    <w:rsid w:val="00DC4A8B"/>
    <w:rsid w:val="00DC7D74"/>
    <w:rsid w:val="00DC7E62"/>
    <w:rsid w:val="00DD0507"/>
    <w:rsid w:val="00DD0C67"/>
    <w:rsid w:val="00DD13D6"/>
    <w:rsid w:val="00DD1CEF"/>
    <w:rsid w:val="00DD2B59"/>
    <w:rsid w:val="00DD335B"/>
    <w:rsid w:val="00DD40F2"/>
    <w:rsid w:val="00DD64B2"/>
    <w:rsid w:val="00DD662C"/>
    <w:rsid w:val="00DD7702"/>
    <w:rsid w:val="00DD7E79"/>
    <w:rsid w:val="00DE118B"/>
    <w:rsid w:val="00DE17D6"/>
    <w:rsid w:val="00DE200A"/>
    <w:rsid w:val="00DE47A2"/>
    <w:rsid w:val="00DE5576"/>
    <w:rsid w:val="00DE6BC3"/>
    <w:rsid w:val="00DE78F2"/>
    <w:rsid w:val="00DF0750"/>
    <w:rsid w:val="00DF0D4C"/>
    <w:rsid w:val="00DF0F82"/>
    <w:rsid w:val="00DF19BC"/>
    <w:rsid w:val="00DF1DD3"/>
    <w:rsid w:val="00DF2AFC"/>
    <w:rsid w:val="00DF51A9"/>
    <w:rsid w:val="00DF5A03"/>
    <w:rsid w:val="00DF7A19"/>
    <w:rsid w:val="00DF7DC2"/>
    <w:rsid w:val="00DF7ED4"/>
    <w:rsid w:val="00E00070"/>
    <w:rsid w:val="00E01395"/>
    <w:rsid w:val="00E01BC3"/>
    <w:rsid w:val="00E030F4"/>
    <w:rsid w:val="00E0482F"/>
    <w:rsid w:val="00E0491C"/>
    <w:rsid w:val="00E051C8"/>
    <w:rsid w:val="00E0787C"/>
    <w:rsid w:val="00E10534"/>
    <w:rsid w:val="00E10540"/>
    <w:rsid w:val="00E11868"/>
    <w:rsid w:val="00E118C8"/>
    <w:rsid w:val="00E13BCA"/>
    <w:rsid w:val="00E142D4"/>
    <w:rsid w:val="00E14762"/>
    <w:rsid w:val="00E14A89"/>
    <w:rsid w:val="00E154E5"/>
    <w:rsid w:val="00E158F3"/>
    <w:rsid w:val="00E162AF"/>
    <w:rsid w:val="00E16AD0"/>
    <w:rsid w:val="00E21812"/>
    <w:rsid w:val="00E21F45"/>
    <w:rsid w:val="00E22BC3"/>
    <w:rsid w:val="00E23953"/>
    <w:rsid w:val="00E24D98"/>
    <w:rsid w:val="00E272BF"/>
    <w:rsid w:val="00E27C0E"/>
    <w:rsid w:val="00E30BC7"/>
    <w:rsid w:val="00E31446"/>
    <w:rsid w:val="00E329AC"/>
    <w:rsid w:val="00E33A25"/>
    <w:rsid w:val="00E33BFD"/>
    <w:rsid w:val="00E343B6"/>
    <w:rsid w:val="00E34D2D"/>
    <w:rsid w:val="00E375D8"/>
    <w:rsid w:val="00E37BE8"/>
    <w:rsid w:val="00E4058B"/>
    <w:rsid w:val="00E41200"/>
    <w:rsid w:val="00E4159B"/>
    <w:rsid w:val="00E42B72"/>
    <w:rsid w:val="00E43242"/>
    <w:rsid w:val="00E43497"/>
    <w:rsid w:val="00E4379F"/>
    <w:rsid w:val="00E43F6C"/>
    <w:rsid w:val="00E451A0"/>
    <w:rsid w:val="00E45337"/>
    <w:rsid w:val="00E463FC"/>
    <w:rsid w:val="00E46A70"/>
    <w:rsid w:val="00E5012B"/>
    <w:rsid w:val="00E51A85"/>
    <w:rsid w:val="00E54266"/>
    <w:rsid w:val="00E5541F"/>
    <w:rsid w:val="00E56EF6"/>
    <w:rsid w:val="00E61BD9"/>
    <w:rsid w:val="00E6268B"/>
    <w:rsid w:val="00E6459E"/>
    <w:rsid w:val="00E67156"/>
    <w:rsid w:val="00E714A7"/>
    <w:rsid w:val="00E739C6"/>
    <w:rsid w:val="00E75314"/>
    <w:rsid w:val="00E7584E"/>
    <w:rsid w:val="00E76F68"/>
    <w:rsid w:val="00E82AB8"/>
    <w:rsid w:val="00E874E5"/>
    <w:rsid w:val="00E90F1D"/>
    <w:rsid w:val="00E925F0"/>
    <w:rsid w:val="00E92C6D"/>
    <w:rsid w:val="00E9343E"/>
    <w:rsid w:val="00E940E0"/>
    <w:rsid w:val="00E944D2"/>
    <w:rsid w:val="00E95362"/>
    <w:rsid w:val="00E956F9"/>
    <w:rsid w:val="00E962BF"/>
    <w:rsid w:val="00E96B37"/>
    <w:rsid w:val="00E96DF3"/>
    <w:rsid w:val="00E96FCF"/>
    <w:rsid w:val="00E97347"/>
    <w:rsid w:val="00E97A98"/>
    <w:rsid w:val="00EA0224"/>
    <w:rsid w:val="00EA0541"/>
    <w:rsid w:val="00EA08E1"/>
    <w:rsid w:val="00EA1769"/>
    <w:rsid w:val="00EA2C21"/>
    <w:rsid w:val="00EA2E1D"/>
    <w:rsid w:val="00EA3D78"/>
    <w:rsid w:val="00EA4C93"/>
    <w:rsid w:val="00EA4DBD"/>
    <w:rsid w:val="00EA5089"/>
    <w:rsid w:val="00EA52C9"/>
    <w:rsid w:val="00EA6E21"/>
    <w:rsid w:val="00EA7735"/>
    <w:rsid w:val="00EB01B0"/>
    <w:rsid w:val="00EB1BD2"/>
    <w:rsid w:val="00EB2C96"/>
    <w:rsid w:val="00EB2D20"/>
    <w:rsid w:val="00EB5840"/>
    <w:rsid w:val="00EB6042"/>
    <w:rsid w:val="00EB66D9"/>
    <w:rsid w:val="00EB6733"/>
    <w:rsid w:val="00EB738A"/>
    <w:rsid w:val="00EC023A"/>
    <w:rsid w:val="00EC053D"/>
    <w:rsid w:val="00EC1D9A"/>
    <w:rsid w:val="00EC1E52"/>
    <w:rsid w:val="00EC2A02"/>
    <w:rsid w:val="00EC2F9E"/>
    <w:rsid w:val="00EC330E"/>
    <w:rsid w:val="00EC47FF"/>
    <w:rsid w:val="00EC52E3"/>
    <w:rsid w:val="00EC5B55"/>
    <w:rsid w:val="00EC76BA"/>
    <w:rsid w:val="00ED0FF1"/>
    <w:rsid w:val="00ED2244"/>
    <w:rsid w:val="00ED22F2"/>
    <w:rsid w:val="00ED27E4"/>
    <w:rsid w:val="00ED296F"/>
    <w:rsid w:val="00ED41A5"/>
    <w:rsid w:val="00ED4A53"/>
    <w:rsid w:val="00ED602B"/>
    <w:rsid w:val="00ED7784"/>
    <w:rsid w:val="00ED7E01"/>
    <w:rsid w:val="00EE0F51"/>
    <w:rsid w:val="00EE2988"/>
    <w:rsid w:val="00EE38CD"/>
    <w:rsid w:val="00EE38F7"/>
    <w:rsid w:val="00EE3BF1"/>
    <w:rsid w:val="00EE5683"/>
    <w:rsid w:val="00EE64FB"/>
    <w:rsid w:val="00EE651A"/>
    <w:rsid w:val="00EE66D8"/>
    <w:rsid w:val="00EE69BB"/>
    <w:rsid w:val="00EE6FF1"/>
    <w:rsid w:val="00EE7539"/>
    <w:rsid w:val="00EF0BB1"/>
    <w:rsid w:val="00EF150B"/>
    <w:rsid w:val="00EF15BE"/>
    <w:rsid w:val="00EF2B5A"/>
    <w:rsid w:val="00EF37A5"/>
    <w:rsid w:val="00EF3CF9"/>
    <w:rsid w:val="00EF4167"/>
    <w:rsid w:val="00EF56F2"/>
    <w:rsid w:val="00EF78A9"/>
    <w:rsid w:val="00F0192B"/>
    <w:rsid w:val="00F03777"/>
    <w:rsid w:val="00F0398F"/>
    <w:rsid w:val="00F04AF2"/>
    <w:rsid w:val="00F04C00"/>
    <w:rsid w:val="00F06661"/>
    <w:rsid w:val="00F06956"/>
    <w:rsid w:val="00F06DCE"/>
    <w:rsid w:val="00F100C3"/>
    <w:rsid w:val="00F11726"/>
    <w:rsid w:val="00F12EE0"/>
    <w:rsid w:val="00F13839"/>
    <w:rsid w:val="00F1422C"/>
    <w:rsid w:val="00F176A3"/>
    <w:rsid w:val="00F17ED5"/>
    <w:rsid w:val="00F206E3"/>
    <w:rsid w:val="00F208B2"/>
    <w:rsid w:val="00F21166"/>
    <w:rsid w:val="00F22705"/>
    <w:rsid w:val="00F23574"/>
    <w:rsid w:val="00F23C40"/>
    <w:rsid w:val="00F23E8D"/>
    <w:rsid w:val="00F25521"/>
    <w:rsid w:val="00F256EF"/>
    <w:rsid w:val="00F2668D"/>
    <w:rsid w:val="00F2732F"/>
    <w:rsid w:val="00F27EFB"/>
    <w:rsid w:val="00F30288"/>
    <w:rsid w:val="00F304E0"/>
    <w:rsid w:val="00F315D8"/>
    <w:rsid w:val="00F31A9C"/>
    <w:rsid w:val="00F32114"/>
    <w:rsid w:val="00F32845"/>
    <w:rsid w:val="00F32C35"/>
    <w:rsid w:val="00F3396D"/>
    <w:rsid w:val="00F33A6C"/>
    <w:rsid w:val="00F34A55"/>
    <w:rsid w:val="00F354A4"/>
    <w:rsid w:val="00F36372"/>
    <w:rsid w:val="00F3749D"/>
    <w:rsid w:val="00F37602"/>
    <w:rsid w:val="00F37EE1"/>
    <w:rsid w:val="00F4009C"/>
    <w:rsid w:val="00F428CD"/>
    <w:rsid w:val="00F42A05"/>
    <w:rsid w:val="00F44375"/>
    <w:rsid w:val="00F45957"/>
    <w:rsid w:val="00F46AF8"/>
    <w:rsid w:val="00F46AF9"/>
    <w:rsid w:val="00F47ED4"/>
    <w:rsid w:val="00F50CC9"/>
    <w:rsid w:val="00F5263E"/>
    <w:rsid w:val="00F52646"/>
    <w:rsid w:val="00F55005"/>
    <w:rsid w:val="00F550F2"/>
    <w:rsid w:val="00F55204"/>
    <w:rsid w:val="00F567F2"/>
    <w:rsid w:val="00F56839"/>
    <w:rsid w:val="00F568AF"/>
    <w:rsid w:val="00F5716F"/>
    <w:rsid w:val="00F57E87"/>
    <w:rsid w:val="00F6097E"/>
    <w:rsid w:val="00F6099D"/>
    <w:rsid w:val="00F61136"/>
    <w:rsid w:val="00F61E89"/>
    <w:rsid w:val="00F63E59"/>
    <w:rsid w:val="00F63FEA"/>
    <w:rsid w:val="00F64106"/>
    <w:rsid w:val="00F65DE9"/>
    <w:rsid w:val="00F66261"/>
    <w:rsid w:val="00F67F53"/>
    <w:rsid w:val="00F71918"/>
    <w:rsid w:val="00F7326B"/>
    <w:rsid w:val="00F734D8"/>
    <w:rsid w:val="00F7489F"/>
    <w:rsid w:val="00F74D71"/>
    <w:rsid w:val="00F74DC4"/>
    <w:rsid w:val="00F76BF3"/>
    <w:rsid w:val="00F7751D"/>
    <w:rsid w:val="00F77649"/>
    <w:rsid w:val="00F77765"/>
    <w:rsid w:val="00F7792D"/>
    <w:rsid w:val="00F8182F"/>
    <w:rsid w:val="00F82C2B"/>
    <w:rsid w:val="00F833D5"/>
    <w:rsid w:val="00F83953"/>
    <w:rsid w:val="00F83CC9"/>
    <w:rsid w:val="00F83EB4"/>
    <w:rsid w:val="00F84F9E"/>
    <w:rsid w:val="00F85AEC"/>
    <w:rsid w:val="00F862E0"/>
    <w:rsid w:val="00F87B5E"/>
    <w:rsid w:val="00F87E57"/>
    <w:rsid w:val="00F907CF"/>
    <w:rsid w:val="00F9312B"/>
    <w:rsid w:val="00F93960"/>
    <w:rsid w:val="00F9799D"/>
    <w:rsid w:val="00F97A4C"/>
    <w:rsid w:val="00FA0D7C"/>
    <w:rsid w:val="00FA3FEA"/>
    <w:rsid w:val="00FA43AD"/>
    <w:rsid w:val="00FA46BB"/>
    <w:rsid w:val="00FA4D3F"/>
    <w:rsid w:val="00FA55A9"/>
    <w:rsid w:val="00FA71D6"/>
    <w:rsid w:val="00FA7451"/>
    <w:rsid w:val="00FB0595"/>
    <w:rsid w:val="00FB0610"/>
    <w:rsid w:val="00FB19D7"/>
    <w:rsid w:val="00FB3275"/>
    <w:rsid w:val="00FB3A78"/>
    <w:rsid w:val="00FB579F"/>
    <w:rsid w:val="00FB6A5B"/>
    <w:rsid w:val="00FB6B1A"/>
    <w:rsid w:val="00FB7753"/>
    <w:rsid w:val="00FB7843"/>
    <w:rsid w:val="00FB7C7F"/>
    <w:rsid w:val="00FC55C4"/>
    <w:rsid w:val="00FC5D8F"/>
    <w:rsid w:val="00FC5EA7"/>
    <w:rsid w:val="00FC64B5"/>
    <w:rsid w:val="00FC7533"/>
    <w:rsid w:val="00FD0100"/>
    <w:rsid w:val="00FD0AA6"/>
    <w:rsid w:val="00FD0BDE"/>
    <w:rsid w:val="00FD1BA8"/>
    <w:rsid w:val="00FD3A0E"/>
    <w:rsid w:val="00FD3A78"/>
    <w:rsid w:val="00FD4811"/>
    <w:rsid w:val="00FD5C4B"/>
    <w:rsid w:val="00FD5C87"/>
    <w:rsid w:val="00FD630F"/>
    <w:rsid w:val="00FD689B"/>
    <w:rsid w:val="00FD765C"/>
    <w:rsid w:val="00FD7FC6"/>
    <w:rsid w:val="00FE08F7"/>
    <w:rsid w:val="00FE0FEE"/>
    <w:rsid w:val="00FE2230"/>
    <w:rsid w:val="00FE267A"/>
    <w:rsid w:val="00FE2BBF"/>
    <w:rsid w:val="00FE2E63"/>
    <w:rsid w:val="00FE3211"/>
    <w:rsid w:val="00FE5421"/>
    <w:rsid w:val="00FE580A"/>
    <w:rsid w:val="00FE6646"/>
    <w:rsid w:val="00FE7AD4"/>
    <w:rsid w:val="00FF0EEB"/>
    <w:rsid w:val="00FF2298"/>
    <w:rsid w:val="00FF33E0"/>
    <w:rsid w:val="00FF3E9E"/>
    <w:rsid w:val="00FF3FFF"/>
    <w:rsid w:val="00FF619F"/>
    <w:rsid w:val="00FF7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16B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5B0072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5B00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5B007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1"/>
    <w:rsid w:val="005B00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next w:val="a"/>
    <w:rsid w:val="005B0072"/>
    <w:pPr>
      <w:keepNext/>
      <w:jc w:val="center"/>
      <w:outlineLvl w:val="1"/>
    </w:pPr>
    <w:rPr>
      <w:b/>
      <w:caps/>
      <w:sz w:val="3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B00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07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05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05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505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05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E72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5A19A6"/>
    <w:pPr>
      <w:ind w:left="720"/>
      <w:contextualSpacing/>
    </w:pPr>
  </w:style>
  <w:style w:type="paragraph" w:customStyle="1" w:styleId="Default">
    <w:name w:val="Default"/>
    <w:rsid w:val="00C666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b"/>
    <w:uiPriority w:val="99"/>
    <w:rsid w:val="00A363CC"/>
    <w:pPr>
      <w:spacing w:after="120"/>
      <w:ind w:left="283"/>
    </w:pPr>
  </w:style>
  <w:style w:type="character" w:customStyle="1" w:styleId="ab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a"/>
    <w:uiPriority w:val="99"/>
    <w:rsid w:val="00A363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63C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216BB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4216B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ad">
    <w:name w:val="Заголовок статьи"/>
    <w:basedOn w:val="a"/>
    <w:next w:val="a"/>
    <w:rsid w:val="004216BB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character" w:styleId="ae">
    <w:name w:val="Hyperlink"/>
    <w:basedOn w:val="a0"/>
    <w:rsid w:val="004216BB"/>
    <w:rPr>
      <w:color w:val="0000FF"/>
      <w:u w:val="single"/>
    </w:rPr>
  </w:style>
  <w:style w:type="paragraph" w:styleId="af">
    <w:name w:val="Body Text"/>
    <w:basedOn w:val="a"/>
    <w:link w:val="af0"/>
    <w:unhideWhenUsed/>
    <w:rsid w:val="001A2BF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1A2B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1A2B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3">
    <w:name w:val="Основной текст Знак1"/>
    <w:aliases w:val="Основной текст Знак Знак"/>
    <w:basedOn w:val="a0"/>
    <w:locked/>
    <w:rsid w:val="00BC689A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A774CC"/>
    <w:rPr>
      <w:color w:val="106BBE"/>
    </w:rPr>
  </w:style>
  <w:style w:type="paragraph" w:customStyle="1" w:styleId="210">
    <w:name w:val="Основной текст 21"/>
    <w:basedOn w:val="a"/>
    <w:rsid w:val="00A774CC"/>
    <w:pPr>
      <w:suppressAutoHyphens/>
      <w:spacing w:after="120" w:line="480" w:lineRule="auto"/>
    </w:pPr>
    <w:rPr>
      <w:lang w:eastAsia="ar-SA"/>
    </w:rPr>
  </w:style>
  <w:style w:type="paragraph" w:customStyle="1" w:styleId="ConsPlusCell">
    <w:name w:val="ConsPlusCell"/>
    <w:rsid w:val="00EC52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0D7DE7"/>
    <w:pPr>
      <w:jc w:val="center"/>
    </w:pPr>
    <w:rPr>
      <w:rFonts w:eastAsia="Calibri"/>
    </w:rPr>
  </w:style>
  <w:style w:type="character" w:customStyle="1" w:styleId="af3">
    <w:name w:val="Название Знак"/>
    <w:basedOn w:val="a0"/>
    <w:link w:val="af2"/>
    <w:rsid w:val="000D7DE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F03D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D9266E"/>
    <w:pPr>
      <w:spacing w:before="100" w:beforeAutospacing="1" w:after="100" w:afterAutospacing="1"/>
    </w:pPr>
  </w:style>
  <w:style w:type="paragraph" w:customStyle="1" w:styleId="ParaAttribute2">
    <w:name w:val="ParaAttribute2"/>
    <w:uiPriority w:val="99"/>
    <w:rsid w:val="002E289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2">
    <w:name w:val="CharAttribute2"/>
    <w:rsid w:val="002E2895"/>
    <w:rPr>
      <w:rFonts w:ascii="Times New Roman" w:eastAsia="Times New Roman"/>
      <w:sz w:val="24"/>
    </w:rPr>
  </w:style>
  <w:style w:type="character" w:customStyle="1" w:styleId="CharAttribute14">
    <w:name w:val="CharAttribute14"/>
    <w:rsid w:val="002E2895"/>
    <w:rPr>
      <w:rFonts w:ascii="Times New Roman" w:eastAsia="Times New Roman"/>
      <w:i/>
      <w:sz w:val="24"/>
      <w:u w:val="single"/>
    </w:rPr>
  </w:style>
  <w:style w:type="paragraph" w:styleId="af4">
    <w:name w:val="Normal (Web)"/>
    <w:basedOn w:val="a"/>
    <w:uiPriority w:val="99"/>
    <w:unhideWhenUsed/>
    <w:rsid w:val="00F0398F"/>
    <w:pPr>
      <w:spacing w:before="100" w:beforeAutospacing="1" w:after="115"/>
    </w:pPr>
    <w:rPr>
      <w:color w:val="000000"/>
    </w:rPr>
  </w:style>
  <w:style w:type="paragraph" w:customStyle="1" w:styleId="14">
    <w:name w:val="Абзац списка1"/>
    <w:basedOn w:val="a"/>
    <w:rsid w:val="003C69C8"/>
    <w:pPr>
      <w:ind w:left="708"/>
    </w:pPr>
  </w:style>
  <w:style w:type="character" w:styleId="af5">
    <w:name w:val="Strong"/>
    <w:basedOn w:val="a0"/>
    <w:uiPriority w:val="22"/>
    <w:qFormat/>
    <w:rsid w:val="00D214F3"/>
    <w:rPr>
      <w:b/>
      <w:bCs/>
    </w:rPr>
  </w:style>
  <w:style w:type="paragraph" w:customStyle="1" w:styleId="Style6">
    <w:name w:val="Style6"/>
    <w:basedOn w:val="a"/>
    <w:uiPriority w:val="99"/>
    <w:rsid w:val="00642647"/>
    <w:pPr>
      <w:widowControl w:val="0"/>
      <w:autoSpaceDE w:val="0"/>
      <w:autoSpaceDN w:val="0"/>
      <w:adjustRightInd w:val="0"/>
      <w:spacing w:line="670" w:lineRule="exact"/>
      <w:ind w:firstLine="1440"/>
      <w:jc w:val="both"/>
    </w:pPr>
  </w:style>
  <w:style w:type="paragraph" w:customStyle="1" w:styleId="rvps698610">
    <w:name w:val="rvps698610"/>
    <w:basedOn w:val="a"/>
    <w:uiPriority w:val="99"/>
    <w:rsid w:val="00065BD5"/>
    <w:pPr>
      <w:spacing w:after="150"/>
      <w:ind w:right="300"/>
    </w:pPr>
  </w:style>
  <w:style w:type="paragraph" w:customStyle="1" w:styleId="msonormalcxsplast">
    <w:name w:val="msonormalcxsplast"/>
    <w:basedOn w:val="a"/>
    <w:rsid w:val="000C35E8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unhideWhenUsed/>
    <w:rsid w:val="002031B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031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headertext">
    <w:name w:val="headertext"/>
    <w:basedOn w:val="a"/>
    <w:uiPriority w:val="99"/>
    <w:rsid w:val="00126BC6"/>
    <w:pPr>
      <w:spacing w:before="100" w:beforeAutospacing="1" w:after="100" w:afterAutospacing="1"/>
    </w:pPr>
  </w:style>
  <w:style w:type="character" w:styleId="af6">
    <w:name w:val="Emphasis"/>
    <w:basedOn w:val="a0"/>
    <w:qFormat/>
    <w:rsid w:val="008B45DA"/>
    <w:rPr>
      <w:i/>
      <w:iCs/>
    </w:rPr>
  </w:style>
  <w:style w:type="table" w:styleId="af7">
    <w:name w:val="Table Grid"/>
    <w:basedOn w:val="a1"/>
    <w:uiPriority w:val="59"/>
    <w:rsid w:val="00133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99"/>
    <w:qFormat/>
    <w:rsid w:val="00C0100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702B4"/>
    <w:rPr>
      <w:rFonts w:eastAsiaTheme="minorHAnsi" w:cstheme="minorBidi"/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702B4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9">
    <w:name w:val="Plain Text"/>
    <w:basedOn w:val="a"/>
    <w:link w:val="afa"/>
    <w:uiPriority w:val="99"/>
    <w:semiHidden/>
    <w:unhideWhenUsed/>
    <w:rsid w:val="001702B4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a">
    <w:name w:val="Текст Знак"/>
    <w:basedOn w:val="a0"/>
    <w:link w:val="af9"/>
    <w:uiPriority w:val="99"/>
    <w:semiHidden/>
    <w:rsid w:val="001702B4"/>
    <w:rPr>
      <w:rFonts w:ascii="Consolas" w:hAnsi="Consolas" w:cs="Consolas"/>
      <w:sz w:val="21"/>
      <w:szCs w:val="21"/>
    </w:rPr>
  </w:style>
  <w:style w:type="character" w:customStyle="1" w:styleId="ConsPlusNormal0">
    <w:name w:val="ConsPlusNormal Знак"/>
    <w:link w:val="ConsPlusNormal"/>
    <w:locked/>
    <w:rsid w:val="007A6AB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100" baseline="0"/>
              <a:t>Изменение структуры государственных внутренних заимствований </a:t>
            </a:r>
          </a:p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100" baseline="0"/>
              <a:t>в 2018-2020 годах (млрд. руб.)</a:t>
            </a:r>
          </a:p>
        </c:rich>
      </c:tx>
      <c:layout>
        <c:manualLayout>
          <c:xMode val="edge"/>
          <c:yMode val="edge"/>
          <c:x val="0.1188809654415804"/>
          <c:y val="4.5769015020879714E-3"/>
        </c:manualLayout>
      </c:layout>
      <c:spPr>
        <a:noFill/>
        <a:ln w="21308">
          <a:noFill/>
        </a:ln>
      </c:spPr>
    </c:title>
    <c:view3D>
      <c:rotY val="51"/>
      <c:depthPercent val="100"/>
      <c:rAngAx val="1"/>
    </c:view3D>
    <c:sideWall>
      <c:spPr>
        <a:gradFill>
          <a:gsLst>
            <a:gs pos="0">
              <a:srgbClr val="4F81BD">
                <a:tint val="66000"/>
                <a:satMod val="160000"/>
              </a:srgbClr>
            </a:gs>
            <a:gs pos="50000">
              <a:srgbClr val="4F81BD">
                <a:tint val="44500"/>
                <a:satMod val="160000"/>
              </a:srgbClr>
            </a:gs>
            <a:gs pos="100000">
              <a:srgbClr val="4F81BD">
                <a:tint val="23500"/>
                <a:satMod val="160000"/>
              </a:srgbClr>
            </a:gs>
          </a:gsLst>
          <a:lin ang="5400000" scaled="0"/>
        </a:gradFill>
        <a:ln w="10654">
          <a:solidFill>
            <a:srgbClr val="808080"/>
          </a:solidFill>
          <a:prstDash val="solid"/>
        </a:ln>
      </c:spPr>
    </c:sideWall>
    <c:backWall>
      <c:spPr>
        <a:gradFill>
          <a:gsLst>
            <a:gs pos="0">
              <a:srgbClr val="4F81BD">
                <a:tint val="66000"/>
                <a:satMod val="160000"/>
              </a:srgbClr>
            </a:gs>
            <a:gs pos="50000">
              <a:srgbClr val="4F81BD">
                <a:tint val="44500"/>
                <a:satMod val="160000"/>
              </a:srgbClr>
            </a:gs>
            <a:gs pos="100000">
              <a:srgbClr val="4F81BD">
                <a:tint val="23500"/>
                <a:satMod val="160000"/>
              </a:srgbClr>
            </a:gs>
          </a:gsLst>
          <a:lin ang="5400000" scaled="0"/>
        </a:gradFill>
        <a:ln w="10654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596326035219272"/>
          <c:y val="0.30851307834542041"/>
          <c:w val="0.89261744966443191"/>
          <c:h val="0.42040816326531344"/>
        </c:manualLayout>
      </c:layout>
      <c:bar3DChart>
        <c:barDir val="col"/>
        <c:grouping val="stacked"/>
        <c:ser>
          <c:idx val="0"/>
          <c:order val="0"/>
          <c:tx>
            <c:strRef>
              <c:f>Sheet1!$A$2</c:f>
              <c:strCache>
                <c:ptCount val="1"/>
                <c:pt idx="0">
                  <c:v>ценные бумаги</c:v>
                </c:pt>
              </c:strCache>
            </c:strRef>
          </c:tx>
          <c:spPr>
            <a:solidFill>
              <a:schemeClr val="accent3">
                <a:lumMod val="60000"/>
                <a:lumOff val="40000"/>
              </a:schemeClr>
            </a:solidFill>
            <a:ln w="31962">
              <a:noFill/>
              <a:prstDash val="solid"/>
            </a:ln>
          </c:spPr>
          <c:dLbls>
            <c:dLbl>
              <c:idx val="2"/>
              <c:layout>
                <c:manualLayout>
                  <c:x val="8.0452535589904187E-17"/>
                  <c:y val="3.1662269129287601E-2"/>
                </c:manualLayout>
              </c:layout>
              <c:showVal val="1"/>
            </c:dLbl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2018 год</c:v>
                </c:pt>
                <c:pt idx="1">
                  <c:v>2019 год</c:v>
                </c:pt>
                <c:pt idx="2">
                  <c:v>2020 год</c:v>
                </c:pt>
              </c:strCache>
            </c:strRef>
          </c:cat>
          <c:val>
            <c:numRef>
              <c:f>Sheet1!$B$2:$D$2</c:f>
              <c:numCache>
                <c:formatCode>0.0</c:formatCode>
                <c:ptCount val="3"/>
                <c:pt idx="0">
                  <c:v>0</c:v>
                </c:pt>
                <c:pt idx="1">
                  <c:v>5</c:v>
                </c:pt>
                <c:pt idx="2">
                  <c:v>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кредиты банков</c:v>
                </c:pt>
              </c:strCache>
            </c:strRef>
          </c:tx>
          <c:spPr>
            <a:solidFill>
              <a:srgbClr val="C0504D">
                <a:lumMod val="60000"/>
                <a:lumOff val="40000"/>
              </a:srgbClr>
            </a:solidFill>
            <a:ln w="31962">
              <a:noFill/>
              <a:prstDash val="solid"/>
            </a:ln>
          </c:spPr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2018 год</c:v>
                </c:pt>
                <c:pt idx="1">
                  <c:v>2019 год</c:v>
                </c:pt>
                <c:pt idx="2">
                  <c:v>2020 год</c:v>
                </c:pt>
              </c:strCache>
            </c:strRef>
          </c:cat>
          <c:val>
            <c:numRef>
              <c:f>Sheet1!$B$3:$D$3</c:f>
              <c:numCache>
                <c:formatCode>0.0</c:formatCode>
                <c:ptCount val="3"/>
                <c:pt idx="0">
                  <c:v>10.5</c:v>
                </c:pt>
                <c:pt idx="1">
                  <c:v>17.5</c:v>
                </c:pt>
                <c:pt idx="2">
                  <c:v>14.9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бюджетные кредиты</c:v>
                </c:pt>
              </c:strCache>
            </c:strRef>
          </c:tx>
          <c:spPr>
            <a:solidFill>
              <a:srgbClr val="FFC000"/>
            </a:solidFill>
          </c:spPr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2018 год</c:v>
                </c:pt>
                <c:pt idx="1">
                  <c:v>2019 год</c:v>
                </c:pt>
                <c:pt idx="2">
                  <c:v>2020 год</c:v>
                </c:pt>
              </c:strCache>
            </c:strRef>
          </c:cat>
          <c:val>
            <c:numRef>
              <c:f>Sheet1!$B$4:$D$4</c:f>
              <c:numCache>
                <c:formatCode>0.0</c:formatCode>
                <c:ptCount val="3"/>
                <c:pt idx="0">
                  <c:v>5</c:v>
                </c:pt>
                <c:pt idx="1">
                  <c:v>5</c:v>
                </c:pt>
                <c:pt idx="2">
                  <c:v>5</c:v>
                </c:pt>
              </c:numCache>
            </c:numRef>
          </c:val>
        </c:ser>
        <c:shape val="cylinder"/>
        <c:axId val="151477248"/>
        <c:axId val="60752640"/>
        <c:axId val="0"/>
      </c:bar3DChart>
      <c:catAx>
        <c:axId val="151477248"/>
        <c:scaling>
          <c:orientation val="minMax"/>
        </c:scaling>
        <c:axPos val="b"/>
        <c:numFmt formatCode="General" sourceLinked="1"/>
        <c:tickLblPos val="nextTo"/>
        <c:spPr>
          <a:ln w="266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60752640"/>
        <c:crosses val="autoZero"/>
        <c:auto val="1"/>
        <c:lblAlgn val="ctr"/>
        <c:lblOffset val="100"/>
        <c:tickLblSkip val="1"/>
        <c:tickMarkSkip val="1"/>
      </c:catAx>
      <c:valAx>
        <c:axId val="60752640"/>
        <c:scaling>
          <c:orientation val="minMax"/>
          <c:max val="30"/>
          <c:min val="0"/>
        </c:scaling>
        <c:axPos val="l"/>
        <c:numFmt formatCode="0.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51477248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7.4850747880322449E-2"/>
          <c:y val="0.88571428571428568"/>
          <c:w val="0.90427857516164756"/>
          <c:h val="8.6621652504518726E-2"/>
        </c:manualLayout>
      </c:layout>
      <c:spPr>
        <a:noFill/>
        <a:ln w="2663">
          <a:noFill/>
          <a:prstDash val="solid"/>
        </a:ln>
      </c:spPr>
      <c:txPr>
        <a:bodyPr/>
        <a:lstStyle/>
        <a:p>
          <a:pPr>
            <a:defRPr sz="950" b="1" i="1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  <a:scene3d>
      <a:camera prst="orthographicFront"/>
      <a:lightRig rig="threePt" dir="t"/>
    </a:scene3d>
    <a:sp3d>
      <a:bevelB/>
    </a:sp3d>
  </c:spPr>
  <c:txPr>
    <a:bodyPr/>
    <a:lstStyle/>
    <a:p>
      <a:pPr>
        <a:defRPr sz="90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0.15798</cdr:x>
      <cdr:y>0.29288</cdr:y>
    </cdr:from>
    <cdr:to>
      <cdr:x>0.2452</cdr:x>
      <cdr:y>0.48681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914401" y="704850"/>
          <a:ext cx="504824" cy="4667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0.15634</cdr:x>
      <cdr:y>0.33245</cdr:y>
    </cdr:from>
    <cdr:to>
      <cdr:x>0.24191</cdr:x>
      <cdr:y>0.4591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904875" y="800100"/>
          <a:ext cx="495300" cy="3048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950" b="1" i="0" baseline="0">
            <a:latin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0.16456</cdr:x>
      <cdr:y>0.48285</cdr:y>
    </cdr:from>
    <cdr:to>
      <cdr:x>0.23862</cdr:x>
      <cdr:y>0.61346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952500" y="1162050"/>
          <a:ext cx="428625" cy="31432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950" b="1" i="0" baseline="0">
            <a:latin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0.16621</cdr:x>
      <cdr:y>0.6372</cdr:y>
    </cdr:from>
    <cdr:to>
      <cdr:x>0.25507</cdr:x>
      <cdr:y>0.73219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962025" y="1533525"/>
          <a:ext cx="514350" cy="228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950" b="1" i="0" baseline="0">
            <a:latin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0.0181</cdr:x>
      <cdr:y>0.74802</cdr:y>
    </cdr:from>
    <cdr:to>
      <cdr:x>0.15469</cdr:x>
      <cdr:y>1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104775" y="1800225"/>
          <a:ext cx="790575" cy="6064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950" b="1" i="0" baseline="0">
            <a:latin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1943</TotalTime>
  <Pages>32</Pages>
  <Words>16932</Words>
  <Characters>96515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Горгоцкая</dc:creator>
  <cp:lastModifiedBy>Басурманова</cp:lastModifiedBy>
  <cp:revision>300</cp:revision>
  <cp:lastPrinted>2017-11-27T11:33:00Z</cp:lastPrinted>
  <dcterms:created xsi:type="dcterms:W3CDTF">2017-10-13T04:41:00Z</dcterms:created>
  <dcterms:modified xsi:type="dcterms:W3CDTF">2017-11-27T11:34:00Z</dcterms:modified>
</cp:coreProperties>
</file>