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84" w:rsidRPr="009A00F8" w:rsidRDefault="004E1284" w:rsidP="004E1284">
      <w:pPr>
        <w:ind w:left="4956" w:firstLine="708"/>
        <w:jc w:val="center"/>
        <w:rPr>
          <w:b/>
          <w:bCs/>
          <w:caps/>
          <w:sz w:val="22"/>
          <w:szCs w:val="22"/>
        </w:rPr>
      </w:pPr>
      <w:r w:rsidRPr="009A00F8">
        <w:rPr>
          <w:b/>
          <w:bCs/>
          <w:caps/>
          <w:sz w:val="22"/>
          <w:szCs w:val="22"/>
        </w:rPr>
        <w:t>УТВЕРЖДАЮ</w:t>
      </w:r>
    </w:p>
    <w:p w:rsidR="004E1284" w:rsidRPr="00BA27C7" w:rsidRDefault="004E1284" w:rsidP="004E1284">
      <w:pPr>
        <w:ind w:left="5664"/>
        <w:jc w:val="right"/>
        <w:rPr>
          <w:b/>
          <w:i/>
        </w:rPr>
      </w:pPr>
      <w:r w:rsidRPr="00BA27C7">
        <w:rPr>
          <w:b/>
          <w:i/>
        </w:rPr>
        <w:t>Председатель контрольно-счетной палаты Волгоградской области</w:t>
      </w:r>
    </w:p>
    <w:p w:rsidR="004E1284" w:rsidRPr="00E02571" w:rsidRDefault="004E1284" w:rsidP="004E1284">
      <w:pPr>
        <w:ind w:left="4956" w:firstLine="708"/>
        <w:jc w:val="right"/>
        <w:rPr>
          <w:b/>
          <w:bCs/>
          <w:i/>
        </w:rPr>
      </w:pPr>
      <w:r w:rsidRPr="00E02571">
        <w:rPr>
          <w:b/>
          <w:bCs/>
          <w:i/>
        </w:rPr>
        <w:t>_______________И.А. Дьяченко</w:t>
      </w:r>
    </w:p>
    <w:p w:rsidR="004E1284" w:rsidRPr="00BA27C7" w:rsidRDefault="004E1284" w:rsidP="004E1284">
      <w:pPr>
        <w:ind w:left="4956" w:firstLine="708"/>
        <w:jc w:val="right"/>
        <w:rPr>
          <w:b/>
          <w:bCs/>
          <w:i/>
        </w:rPr>
      </w:pPr>
      <w:r>
        <w:rPr>
          <w:b/>
          <w:bCs/>
          <w:i/>
        </w:rPr>
        <w:t>____________________20</w:t>
      </w:r>
      <w:r w:rsidRPr="00E02571">
        <w:rPr>
          <w:b/>
          <w:bCs/>
          <w:i/>
        </w:rPr>
        <w:t>1</w:t>
      </w:r>
      <w:r>
        <w:rPr>
          <w:b/>
          <w:bCs/>
          <w:i/>
        </w:rPr>
        <w:t>6</w:t>
      </w:r>
      <w:r w:rsidRPr="00E02571">
        <w:rPr>
          <w:b/>
          <w:bCs/>
          <w:i/>
        </w:rPr>
        <w:t xml:space="preserve"> года</w:t>
      </w:r>
    </w:p>
    <w:p w:rsidR="004E1284" w:rsidRPr="00B96DD5" w:rsidRDefault="004E1284" w:rsidP="004E1284">
      <w:pPr>
        <w:pStyle w:val="a3"/>
        <w:rPr>
          <w:szCs w:val="24"/>
        </w:rPr>
      </w:pPr>
    </w:p>
    <w:p w:rsidR="004E1284" w:rsidRPr="00CB26FD" w:rsidRDefault="004E1284" w:rsidP="004E1284">
      <w:pPr>
        <w:pStyle w:val="a3"/>
        <w:rPr>
          <w:szCs w:val="24"/>
        </w:rPr>
      </w:pPr>
      <w:r w:rsidRPr="00CB26FD">
        <w:rPr>
          <w:szCs w:val="24"/>
        </w:rPr>
        <w:t>ЗАКЛЮЧЕНИЕ</w:t>
      </w:r>
    </w:p>
    <w:p w:rsidR="004E1284" w:rsidRPr="00B955DA" w:rsidRDefault="004E1284" w:rsidP="004E1284">
      <w:pPr>
        <w:pStyle w:val="a5"/>
        <w:jc w:val="center"/>
        <w:rPr>
          <w:rFonts w:ascii="Times New Roman" w:hAnsi="Times New Roman"/>
          <w:b/>
        </w:rPr>
      </w:pPr>
      <w:r w:rsidRPr="00CB26FD">
        <w:rPr>
          <w:rFonts w:ascii="Times New Roman" w:hAnsi="Times New Roman"/>
          <w:b/>
        </w:rPr>
        <w:t>по результатам внешней проверки бюджетной отчетности и отдельных вопросов исполнения областного бюджета за 201</w:t>
      </w:r>
      <w:r>
        <w:rPr>
          <w:rFonts w:ascii="Times New Roman" w:hAnsi="Times New Roman"/>
          <w:b/>
        </w:rPr>
        <w:t>5</w:t>
      </w:r>
      <w:r w:rsidRPr="00CB26FD">
        <w:rPr>
          <w:rFonts w:ascii="Times New Roman" w:hAnsi="Times New Roman"/>
          <w:b/>
        </w:rPr>
        <w:t xml:space="preserve"> год главным администратором средств областного </w:t>
      </w:r>
      <w:r w:rsidRPr="00B955DA">
        <w:rPr>
          <w:rFonts w:ascii="Times New Roman" w:hAnsi="Times New Roman"/>
          <w:b/>
        </w:rPr>
        <w:t xml:space="preserve">бюджета - комитетом молодежной политики </w:t>
      </w:r>
    </w:p>
    <w:p w:rsidR="004E1284" w:rsidRDefault="004E1284" w:rsidP="004E1284">
      <w:pPr>
        <w:pStyle w:val="a5"/>
        <w:jc w:val="center"/>
        <w:rPr>
          <w:rFonts w:ascii="Times New Roman" w:hAnsi="Times New Roman"/>
          <w:b/>
        </w:rPr>
      </w:pPr>
      <w:r w:rsidRPr="00B955DA">
        <w:rPr>
          <w:rFonts w:ascii="Times New Roman" w:hAnsi="Times New Roman"/>
          <w:b/>
        </w:rPr>
        <w:t>Волгоградской области</w:t>
      </w:r>
      <w:r>
        <w:rPr>
          <w:rFonts w:ascii="Times New Roman" w:hAnsi="Times New Roman"/>
          <w:b/>
        </w:rPr>
        <w:t xml:space="preserve"> </w:t>
      </w:r>
    </w:p>
    <w:p w:rsidR="004E1284" w:rsidRPr="00D074D4" w:rsidRDefault="004E1284" w:rsidP="004E1284">
      <w:pPr>
        <w:tabs>
          <w:tab w:val="left" w:pos="2505"/>
        </w:tabs>
        <w:spacing w:before="120"/>
        <w:jc w:val="center"/>
        <w:rPr>
          <w:i/>
        </w:rPr>
      </w:pPr>
      <w:r w:rsidRPr="00D074D4">
        <w:rPr>
          <w:i/>
        </w:rPr>
        <w:t>Общие положения</w:t>
      </w:r>
    </w:p>
    <w:p w:rsidR="004E1284" w:rsidRPr="00D074D4" w:rsidRDefault="004E1284" w:rsidP="004E1284">
      <w:pPr>
        <w:ind w:firstLine="709"/>
        <w:jc w:val="both"/>
        <w:rPr>
          <w:rFonts w:eastAsiaTheme="minorHAnsi"/>
          <w:lang w:eastAsia="en-US"/>
        </w:rPr>
      </w:pPr>
      <w:r w:rsidRPr="00D074D4">
        <w:rPr>
          <w:bCs/>
        </w:rPr>
        <w:t>В 2015 году органом исполнительной власти Волгоградской области, уполномоченным в сфере физической культуры, спорта и молодежной политики на территории Волгоградской области, до 30.01.2015 являлось  министерство спорта и молодежной политики Волгоградской области, осуществлявшим свою деятельность на основании Положения, утвержденного постановлением Губернатора Волгоградской</w:t>
      </w:r>
      <w:r w:rsidRPr="00D074D4">
        <w:t xml:space="preserve"> области от 25.03.2014 №256 (утратило силу с 30.01.2015). С 30.01.2015 </w:t>
      </w:r>
      <w:r w:rsidRPr="00D074D4">
        <w:rPr>
          <w:rFonts w:eastAsiaTheme="minorHAnsi"/>
          <w:lang w:eastAsia="en-US"/>
        </w:rPr>
        <w:t>органом исполнительной власти Волгоградской области, уполномоченным в сфере молодежной политики на территории Волгоградской области, являлся комитет молодежной политики Волгоградской области (далее Комитет),</w:t>
      </w:r>
      <w:r w:rsidRPr="00D074D4">
        <w:rPr>
          <w:bCs/>
        </w:rPr>
        <w:t xml:space="preserve"> осуществляющий свою деятельность на основании Положения, утвержденного постановлением Губернатора Волгоградской</w:t>
      </w:r>
      <w:r w:rsidRPr="00D074D4">
        <w:t xml:space="preserve"> области от 24.11.2014 №156</w:t>
      </w:r>
      <w:r w:rsidRPr="00D074D4">
        <w:rPr>
          <w:rFonts w:eastAsiaTheme="minorHAnsi"/>
          <w:lang w:eastAsia="en-US"/>
        </w:rPr>
        <w:t>.</w:t>
      </w:r>
    </w:p>
    <w:p w:rsidR="004E1284" w:rsidRPr="00D074D4" w:rsidRDefault="004E1284" w:rsidP="004E1284">
      <w:pPr>
        <w:tabs>
          <w:tab w:val="left" w:pos="284"/>
          <w:tab w:val="left" w:pos="709"/>
          <w:tab w:val="left" w:pos="2505"/>
        </w:tabs>
        <w:jc w:val="both"/>
        <w:rPr>
          <w:b/>
        </w:rPr>
      </w:pPr>
      <w:r w:rsidRPr="00D074D4">
        <w:rPr>
          <w:bCs/>
        </w:rPr>
        <w:tab/>
      </w:r>
      <w:r w:rsidRPr="00D074D4">
        <w:rPr>
          <w:bCs/>
        </w:rPr>
        <w:tab/>
      </w:r>
      <w:proofErr w:type="gramStart"/>
      <w:r w:rsidRPr="00D074D4">
        <w:rPr>
          <w:bCs/>
        </w:rPr>
        <w:t>На 01.01.2016 в ведении Комитета находилось 5 учреждений (из них: бюджетные  –  4 ед., автономные – 1 ед.).</w:t>
      </w:r>
      <w:proofErr w:type="gramEnd"/>
    </w:p>
    <w:p w:rsidR="004E1284" w:rsidRPr="00D074D4" w:rsidRDefault="004E1284" w:rsidP="004E1284">
      <w:pPr>
        <w:autoSpaceDE w:val="0"/>
        <w:autoSpaceDN w:val="0"/>
        <w:adjustRightInd w:val="0"/>
        <w:spacing w:before="120"/>
        <w:jc w:val="center"/>
        <w:rPr>
          <w:i/>
        </w:rPr>
      </w:pPr>
      <w:r w:rsidRPr="00D074D4">
        <w:rPr>
          <w:i/>
        </w:rPr>
        <w:t xml:space="preserve">Полнота и достоверность бюджетной отчетности </w:t>
      </w:r>
    </w:p>
    <w:p w:rsidR="004E1284" w:rsidRPr="00D074D4" w:rsidRDefault="004E1284" w:rsidP="004E1284">
      <w:pPr>
        <w:autoSpaceDE w:val="0"/>
        <w:autoSpaceDN w:val="0"/>
        <w:adjustRightInd w:val="0"/>
        <w:ind w:firstLine="709"/>
        <w:jc w:val="both"/>
      </w:pPr>
      <w:r w:rsidRPr="00D074D4">
        <w:t xml:space="preserve">Бюджетная отчетность представлена в составе, определенном п.11.1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от 28.12.2010 № 191н (далее Инструкция № 191н). </w:t>
      </w:r>
    </w:p>
    <w:p w:rsidR="004E1284" w:rsidRPr="00EA555A" w:rsidRDefault="004E1284" w:rsidP="004E1284">
      <w:pPr>
        <w:ind w:firstLine="709"/>
        <w:jc w:val="both"/>
      </w:pPr>
      <w:r w:rsidRPr="00EA555A">
        <w:t>Формы отчетности подписаны соответствующими должностными лицами Комитета.</w:t>
      </w:r>
    </w:p>
    <w:p w:rsidR="004E1284" w:rsidRPr="00EA555A" w:rsidRDefault="004E1284" w:rsidP="004E1284">
      <w:pPr>
        <w:ind w:firstLine="708"/>
        <w:jc w:val="both"/>
        <w:rPr>
          <w:rFonts w:eastAsia="Calibri"/>
        </w:rPr>
      </w:pPr>
      <w:proofErr w:type="gramStart"/>
      <w:r w:rsidRPr="00EA555A">
        <w:rPr>
          <w:rFonts w:eastAsia="Calibri"/>
        </w:rPr>
        <w:t xml:space="preserve">В форме 0503127 «Отчет об исполнении бюджета главного распорядителя…» в графе 4 раздела 1 «Доходы бюджета» </w:t>
      </w:r>
      <w:r w:rsidRPr="00EA555A">
        <w:t>не</w:t>
      </w:r>
      <w:r w:rsidRPr="00EA555A">
        <w:rPr>
          <w:rFonts w:eastAsia="Calibri"/>
        </w:rPr>
        <w:t xml:space="preserve"> отраж</w:t>
      </w:r>
      <w:r w:rsidRPr="00EA555A">
        <w:t>ены</w:t>
      </w:r>
      <w:r w:rsidRPr="00EA555A">
        <w:rPr>
          <w:rFonts w:eastAsia="Calibri"/>
        </w:rPr>
        <w:t xml:space="preserve"> показатели по доходам, главным администратором которых является Комитет, в том числе </w:t>
      </w:r>
      <w:r w:rsidRPr="00EA555A">
        <w:t>по средствам федерального бюджета на реализацию государственных программ Волгоградской области «Экономическое развитие и инновационная экономика» на 2014-2016 годы и  «Обеспечение доступным и комфортным жильем и коммунальными услугами жителей Волгоградской области» на</w:t>
      </w:r>
      <w:proofErr w:type="gramEnd"/>
      <w:r w:rsidRPr="00EA555A">
        <w:t xml:space="preserve"> 2014 - 2016 годы на общую сумму 79434,9 тыс. рублей</w:t>
      </w:r>
      <w:r w:rsidRPr="00EA555A">
        <w:rPr>
          <w:rFonts w:eastAsia="Calibri"/>
        </w:rPr>
        <w:t xml:space="preserve">. </w:t>
      </w:r>
    </w:p>
    <w:p w:rsidR="004E1284" w:rsidRPr="00EA555A" w:rsidRDefault="004E1284" w:rsidP="004E1284">
      <w:pPr>
        <w:ind w:firstLine="709"/>
        <w:jc w:val="both"/>
      </w:pPr>
      <w:r w:rsidRPr="00EA555A">
        <w:rPr>
          <w:rFonts w:eastAsia="Calibri"/>
        </w:rPr>
        <w:t xml:space="preserve">Таким образом, Комитетом </w:t>
      </w:r>
      <w:r w:rsidRPr="00EA555A">
        <w:t>не выполнены</w:t>
      </w:r>
      <w:r w:rsidRPr="00EA555A">
        <w:rPr>
          <w:rFonts w:eastAsia="Calibri"/>
        </w:rPr>
        <w:t xml:space="preserve"> требования пункта </w:t>
      </w:r>
      <w:r w:rsidRPr="00EA555A">
        <w:t xml:space="preserve">55 Инструкции №191н, согласно которому в графе 4 отчета об исполнении бюджета </w:t>
      </w:r>
      <w:hyperlink r:id="rId7" w:history="1">
        <w:r w:rsidRPr="00EA555A">
          <w:t>(ф.0503127)</w:t>
        </w:r>
      </w:hyperlink>
      <w:r w:rsidRPr="00EA555A">
        <w:t xml:space="preserve"> по разделу «Доходы бюджета» главным администратором доходов бюджета отражаются плановые (прогнозные) показатели </w:t>
      </w:r>
      <w:r w:rsidRPr="00EA555A">
        <w:rPr>
          <w:u w:val="single"/>
        </w:rPr>
        <w:t>по закрепленным за ним доходам бюджета</w:t>
      </w:r>
      <w:r w:rsidRPr="00EA555A">
        <w:t xml:space="preserve"> на основании данных счетов 150400000 «Сметные (плановые, прогнозные) назначения».</w:t>
      </w:r>
    </w:p>
    <w:p w:rsidR="004E1284" w:rsidRPr="00D074D4" w:rsidRDefault="004E1284" w:rsidP="004E1284">
      <w:pPr>
        <w:pStyle w:val="a9"/>
        <w:tabs>
          <w:tab w:val="left" w:pos="0"/>
          <w:tab w:val="left" w:pos="180"/>
        </w:tabs>
        <w:spacing w:before="120" w:after="0"/>
        <w:ind w:left="0" w:firstLine="709"/>
        <w:jc w:val="both"/>
      </w:pPr>
      <w:r w:rsidRPr="00EA555A">
        <w:t>При проверке комплектности и соответствия представленной</w:t>
      </w:r>
      <w:r w:rsidRPr="00D074D4">
        <w:t xml:space="preserve"> отчетности  установленным формам бюджетной отчетности установлено, что в пояснительной записке (ф.0503160) отсутствуют сведения:</w:t>
      </w:r>
    </w:p>
    <w:p w:rsidR="004E1284" w:rsidRPr="00D074D4" w:rsidRDefault="004E1284" w:rsidP="004E1284">
      <w:pPr>
        <w:ind w:firstLine="708"/>
        <w:jc w:val="both"/>
      </w:pPr>
      <w:r w:rsidRPr="00D074D4">
        <w:t xml:space="preserve">- </w:t>
      </w:r>
      <w:r w:rsidRPr="00D074D4">
        <w:rPr>
          <w:rFonts w:eastAsiaTheme="minorHAnsi"/>
          <w:lang w:eastAsia="en-US"/>
        </w:rPr>
        <w:t>о результатах внешнего государственного (муниципального) финансового контроля (таблица №7);</w:t>
      </w:r>
    </w:p>
    <w:p w:rsidR="004E1284" w:rsidRPr="00D074D4" w:rsidRDefault="004E1284" w:rsidP="004E1284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D074D4">
        <w:rPr>
          <w:rFonts w:ascii="Times New Roman" w:hAnsi="Times New Roman" w:cs="Times New Roman"/>
          <w:b w:val="0"/>
          <w:color w:val="auto"/>
        </w:rPr>
        <w:t>- о целевых иностранных кредитах (ф. 0503167);</w:t>
      </w:r>
    </w:p>
    <w:p w:rsidR="004E1284" w:rsidRPr="00D074D4" w:rsidRDefault="004E1284" w:rsidP="004E1284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D074D4">
        <w:rPr>
          <w:rFonts w:ascii="Times New Roman" w:hAnsi="Times New Roman" w:cs="Times New Roman"/>
          <w:b w:val="0"/>
          <w:color w:val="auto"/>
        </w:rPr>
        <w:t>- об изменении остатков валюты баланса (ф. 0503173);</w:t>
      </w:r>
    </w:p>
    <w:p w:rsidR="004E1284" w:rsidRPr="00D074D4" w:rsidRDefault="004E1284" w:rsidP="004E1284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D074D4">
        <w:rPr>
          <w:rFonts w:ascii="Times New Roman" w:hAnsi="Times New Roman" w:cs="Times New Roman"/>
          <w:b w:val="0"/>
          <w:color w:val="auto"/>
        </w:rPr>
        <w:t>- о кассовом исполнении смет доходов и расходов по приносящей доход деятельности (ф. 0503182).</w:t>
      </w:r>
    </w:p>
    <w:p w:rsidR="004E1284" w:rsidRPr="00D074D4" w:rsidRDefault="004E1284" w:rsidP="004E1284">
      <w:pPr>
        <w:ind w:firstLine="709"/>
        <w:jc w:val="both"/>
      </w:pPr>
      <w:r w:rsidRPr="00D074D4">
        <w:lastRenderedPageBreak/>
        <w:t xml:space="preserve">В нарушение требований п.8 Инструкции №191н информация об отсутствии числовых значений в вышеуказанных сведениях в пояснительной записке (ф.0503160) не отражена. </w:t>
      </w:r>
    </w:p>
    <w:p w:rsidR="004E1284" w:rsidRPr="00D074D4" w:rsidRDefault="004E1284" w:rsidP="004E1284">
      <w:pPr>
        <w:spacing w:before="120"/>
        <w:ind w:firstLine="709"/>
        <w:jc w:val="both"/>
      </w:pPr>
      <w:r w:rsidRPr="00D074D4">
        <w:t xml:space="preserve">В соответствии с п.157 Инструкции № 191н информация о результатах мероприятий внутреннего </w:t>
      </w:r>
      <w:r w:rsidRPr="00D074D4">
        <w:rPr>
          <w:u w:val="single"/>
        </w:rPr>
        <w:t>государственного</w:t>
      </w:r>
      <w:r w:rsidRPr="00D074D4">
        <w:t xml:space="preserve"> финансового контроля подлежит отражению в таблице № 5 к Пояснительной записке «Сведения о результатах мероприятий внутреннего государственного (муниципального) контроля». При этом в этой таблице подлежат отражению данные о результатах контрольных мероприятий, проведённых Федеральной службой финансово-бюджетного надзора и органом государственного (муниципального) финансового контроля.</w:t>
      </w:r>
    </w:p>
    <w:p w:rsidR="004E1284" w:rsidRPr="00D074D4" w:rsidRDefault="004E1284" w:rsidP="004E1284">
      <w:pPr>
        <w:ind w:firstLine="709"/>
        <w:jc w:val="both"/>
      </w:pPr>
      <w:r w:rsidRPr="00D074D4">
        <w:t xml:space="preserve">В нарушение этого в таблице № 5 отражены данные о результатах контрольных мероприятий, проведённых Комитетом, который не является органом </w:t>
      </w:r>
      <w:r w:rsidRPr="00D074D4">
        <w:rPr>
          <w:u w:val="single"/>
        </w:rPr>
        <w:t>государственного</w:t>
      </w:r>
      <w:r w:rsidRPr="00D074D4">
        <w:t xml:space="preserve"> (муниципального) финансового контроля.</w:t>
      </w:r>
    </w:p>
    <w:p w:rsidR="004E1284" w:rsidRPr="00D074D4" w:rsidRDefault="004E1284" w:rsidP="004E1284">
      <w:pPr>
        <w:ind w:firstLine="709"/>
        <w:jc w:val="both"/>
      </w:pPr>
      <w:r w:rsidRPr="00D074D4">
        <w:t xml:space="preserve">В нарушение п.158 Инструкции №191н в таблице №6 отсутствуют реквизиты документа – основания проведения инвентаризации, а также результат инвентаризации. </w:t>
      </w:r>
    </w:p>
    <w:p w:rsidR="004E1284" w:rsidRPr="00D074D4" w:rsidRDefault="004E1284" w:rsidP="004E1284">
      <w:pPr>
        <w:ind w:firstLine="600"/>
        <w:jc w:val="both"/>
      </w:pPr>
      <w:r w:rsidRPr="00D074D4">
        <w:t xml:space="preserve">Информация о комплектности и соответствии установленным формам бюджетной отчетности представлена в </w:t>
      </w:r>
      <w:r w:rsidRPr="00D074D4">
        <w:rPr>
          <w:color w:val="0000FF"/>
        </w:rPr>
        <w:t>приложении №1</w:t>
      </w:r>
      <w:r w:rsidRPr="00D074D4">
        <w:t xml:space="preserve">. </w:t>
      </w:r>
    </w:p>
    <w:p w:rsidR="004E1284" w:rsidRPr="00D074D4" w:rsidRDefault="004E1284" w:rsidP="004E1284">
      <w:pPr>
        <w:ind w:firstLine="709"/>
        <w:jc w:val="both"/>
        <w:rPr>
          <w:b/>
        </w:rPr>
      </w:pPr>
      <w:r w:rsidRPr="00D074D4">
        <w:t xml:space="preserve"> </w:t>
      </w:r>
      <w:r w:rsidRPr="00EA555A">
        <w:t xml:space="preserve">В ходе проверки вышеуказанные нарушения, за исключением </w:t>
      </w:r>
      <w:r w:rsidRPr="00EA555A">
        <w:rPr>
          <w:rFonts w:eastAsia="Calibri"/>
        </w:rPr>
        <w:t xml:space="preserve">пункта </w:t>
      </w:r>
      <w:r w:rsidRPr="00EA555A">
        <w:t>55 Инструкции №191н</w:t>
      </w:r>
      <w:r w:rsidRPr="00EA555A">
        <w:rPr>
          <w:rFonts w:eastAsia="Calibri"/>
        </w:rPr>
        <w:t xml:space="preserve">, </w:t>
      </w:r>
      <w:r w:rsidRPr="00EA555A">
        <w:t>устранены.</w:t>
      </w:r>
    </w:p>
    <w:p w:rsidR="004E1284" w:rsidRPr="00D074D4" w:rsidRDefault="004E1284" w:rsidP="004E1284">
      <w:pPr>
        <w:spacing w:before="120"/>
        <w:ind w:firstLine="709"/>
        <w:jc w:val="center"/>
        <w:rPr>
          <w:i/>
        </w:rPr>
      </w:pPr>
      <w:r w:rsidRPr="00D074D4">
        <w:rPr>
          <w:i/>
        </w:rPr>
        <w:t>Исполнение доходов</w:t>
      </w:r>
    </w:p>
    <w:p w:rsidR="004E1284" w:rsidRPr="00D074D4" w:rsidRDefault="004E1284" w:rsidP="004E1284">
      <w:pPr>
        <w:ind w:firstLine="709"/>
        <w:jc w:val="both"/>
      </w:pPr>
      <w:r w:rsidRPr="00D074D4">
        <w:t>Анализ исполнения доходов за 2015 год приведен в таблице №1.</w:t>
      </w:r>
    </w:p>
    <w:p w:rsidR="004E1284" w:rsidRPr="00D074D4" w:rsidRDefault="004E1284" w:rsidP="004E1284">
      <w:pPr>
        <w:ind w:firstLine="709"/>
        <w:jc w:val="right"/>
        <w:rPr>
          <w:i/>
          <w:sz w:val="12"/>
          <w:szCs w:val="12"/>
        </w:rPr>
      </w:pPr>
      <w:r w:rsidRPr="00D074D4">
        <w:rPr>
          <w:i/>
          <w:sz w:val="20"/>
          <w:szCs w:val="20"/>
        </w:rPr>
        <w:t>Таблица №1</w:t>
      </w:r>
      <w:r w:rsidRPr="00D074D4">
        <w:rPr>
          <w:i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( тыс. руб.)</w:t>
      </w:r>
    </w:p>
    <w:tbl>
      <w:tblPr>
        <w:tblW w:w="9483" w:type="dxa"/>
        <w:tblInd w:w="108" w:type="dxa"/>
        <w:tblLayout w:type="fixed"/>
        <w:tblLook w:val="04A0"/>
      </w:tblPr>
      <w:tblGrid>
        <w:gridCol w:w="1458"/>
        <w:gridCol w:w="4071"/>
        <w:gridCol w:w="1417"/>
        <w:gridCol w:w="1080"/>
        <w:gridCol w:w="748"/>
        <w:gridCol w:w="709"/>
      </w:tblGrid>
      <w:tr w:rsidR="004E1284" w:rsidRPr="00D074D4" w:rsidTr="0019425D">
        <w:trPr>
          <w:trHeight w:val="20"/>
          <w:tblHeader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4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 xml:space="preserve">Утвержденные бюджетные назначения </w:t>
            </w:r>
          </w:p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(по форме 0503127)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Исполнено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к бюджетным назначениям</w:t>
            </w:r>
          </w:p>
        </w:tc>
      </w:tr>
      <w:tr w:rsidR="004E1284" w:rsidRPr="00D074D4" w:rsidTr="0019425D">
        <w:trPr>
          <w:trHeight w:val="20"/>
          <w:tblHeader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 xml:space="preserve">Отклонение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% исполнения</w:t>
            </w:r>
          </w:p>
        </w:tc>
      </w:tr>
      <w:tr w:rsidR="004E1284" w:rsidRPr="00D074D4" w:rsidTr="0019425D">
        <w:trPr>
          <w:trHeight w:val="2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b/>
                <w:i/>
                <w:sz w:val="18"/>
                <w:szCs w:val="18"/>
              </w:rPr>
            </w:pPr>
            <w:r w:rsidRPr="00D074D4">
              <w:rPr>
                <w:b/>
                <w:i/>
                <w:sz w:val="18"/>
                <w:szCs w:val="18"/>
              </w:rPr>
              <w:t>Х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284" w:rsidRPr="00D074D4" w:rsidRDefault="004E1284" w:rsidP="0019425D">
            <w:pPr>
              <w:rPr>
                <w:b/>
                <w:i/>
                <w:sz w:val="18"/>
                <w:szCs w:val="18"/>
              </w:rPr>
            </w:pPr>
            <w:r w:rsidRPr="00D074D4">
              <w:rPr>
                <w:b/>
                <w:i/>
                <w:sz w:val="18"/>
                <w:szCs w:val="18"/>
              </w:rPr>
              <w:t xml:space="preserve">Доходы бюджета – всего, </w:t>
            </w:r>
          </w:p>
          <w:p w:rsidR="004E1284" w:rsidRPr="00D074D4" w:rsidRDefault="004E1284" w:rsidP="0019425D">
            <w:pPr>
              <w:rPr>
                <w:b/>
                <w:i/>
                <w:sz w:val="18"/>
                <w:szCs w:val="18"/>
              </w:rPr>
            </w:pPr>
            <w:r w:rsidRPr="00D074D4">
              <w:rPr>
                <w:b/>
                <w:i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b/>
                <w:i/>
                <w:sz w:val="18"/>
                <w:szCs w:val="18"/>
              </w:rPr>
            </w:pPr>
            <w:r w:rsidRPr="00D074D4">
              <w:rPr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b/>
                <w:i/>
                <w:sz w:val="18"/>
                <w:szCs w:val="18"/>
              </w:rPr>
            </w:pPr>
            <w:r w:rsidRPr="00D074D4">
              <w:rPr>
                <w:b/>
                <w:i/>
                <w:sz w:val="18"/>
                <w:szCs w:val="18"/>
              </w:rPr>
              <w:t>82703,6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b/>
                <w:i/>
                <w:sz w:val="18"/>
                <w:szCs w:val="18"/>
              </w:rPr>
            </w:pPr>
            <w:r w:rsidRPr="00D074D4">
              <w:rPr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b/>
                <w:i/>
                <w:sz w:val="18"/>
                <w:szCs w:val="18"/>
              </w:rPr>
            </w:pPr>
            <w:r w:rsidRPr="00D074D4">
              <w:rPr>
                <w:b/>
                <w:i/>
                <w:sz w:val="18"/>
                <w:szCs w:val="18"/>
              </w:rPr>
              <w:t>-</w:t>
            </w:r>
          </w:p>
        </w:tc>
      </w:tr>
      <w:tr w:rsidR="004E1284" w:rsidRPr="00D074D4" w:rsidTr="0019425D">
        <w:trPr>
          <w:trHeight w:val="2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 xml:space="preserve"> 2 00 00000 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both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82703,6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-</w:t>
            </w:r>
          </w:p>
        </w:tc>
      </w:tr>
      <w:tr w:rsidR="004E1284" w:rsidRPr="00D074D4" w:rsidTr="0019425D">
        <w:trPr>
          <w:trHeight w:val="2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 xml:space="preserve"> 2 02 00000 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both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79434,9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-</w:t>
            </w:r>
          </w:p>
        </w:tc>
      </w:tr>
      <w:tr w:rsidR="004E1284" w:rsidRPr="00D074D4" w:rsidTr="0019425D">
        <w:trPr>
          <w:trHeight w:val="2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 xml:space="preserve"> 2 18 00000 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both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4892,9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-</w:t>
            </w:r>
          </w:p>
        </w:tc>
      </w:tr>
      <w:tr w:rsidR="004E1284" w:rsidRPr="00D074D4" w:rsidTr="0019425D">
        <w:trPr>
          <w:trHeight w:val="2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 xml:space="preserve"> 2 19 00000 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both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-1624,1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-</w:t>
            </w:r>
          </w:p>
        </w:tc>
      </w:tr>
    </w:tbl>
    <w:p w:rsidR="004E1284" w:rsidRDefault="004E1284" w:rsidP="004E1284">
      <w:pPr>
        <w:ind w:firstLine="708"/>
        <w:jc w:val="both"/>
        <w:rPr>
          <w:rFonts w:eastAsia="Arial Unicode MS" w:cs="Tahoma"/>
          <w:lang w:eastAsia="en-US"/>
        </w:rPr>
      </w:pPr>
    </w:p>
    <w:p w:rsidR="004E1284" w:rsidRDefault="004E1284" w:rsidP="004E1284">
      <w:pPr>
        <w:ind w:firstLine="708"/>
        <w:jc w:val="both"/>
      </w:pPr>
      <w:r w:rsidRPr="00D074D4">
        <w:rPr>
          <w:rFonts w:eastAsia="Arial Unicode MS" w:cs="Tahoma"/>
          <w:lang w:eastAsia="en-US"/>
        </w:rPr>
        <w:t xml:space="preserve">Как следует из таблицы №1, доходы Комитета состоят из безвозмездных </w:t>
      </w:r>
      <w:r w:rsidRPr="00D074D4">
        <w:t>поступлений от других бюджетов бюджетной системы Российской Федерации и доходов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лет.</w:t>
      </w:r>
    </w:p>
    <w:p w:rsidR="004E1284" w:rsidRPr="00D074D4" w:rsidRDefault="004E1284" w:rsidP="004E1284">
      <w:pPr>
        <w:spacing w:before="120"/>
        <w:jc w:val="center"/>
        <w:rPr>
          <w:i/>
        </w:rPr>
      </w:pPr>
      <w:r w:rsidRPr="00D074D4">
        <w:rPr>
          <w:i/>
        </w:rPr>
        <w:t>Исполнение расходов</w:t>
      </w:r>
    </w:p>
    <w:p w:rsidR="004E1284" w:rsidRPr="00D074D4" w:rsidRDefault="004E1284" w:rsidP="004E1284">
      <w:pPr>
        <w:ind w:firstLine="709"/>
        <w:jc w:val="both"/>
      </w:pPr>
      <w:r w:rsidRPr="00D074D4">
        <w:t>В первоначальной редакции Закона Волгоградской области от 20.11.2014 № 151-ОД «Об областном бюджете на 2015 год и на плановый период 2016 и 2017 годов» (далее Закон об областном бюджете на 2015 год) Комитету ассигнования не предусмотрены (Комитет осуществляет деятельность с 30.01.2015), в окончательной редакции ассигнования предусмотрены в размере 649024,6 тыс. рублей. Бюджетной росписью Комитета ассигнования утверждены в размере 652041,6 тыс. руб., что на 3017,0 тыс. руб., или 0,5%, больше показателей Закона об областном бюджете на 2015 год.</w:t>
      </w:r>
    </w:p>
    <w:p w:rsidR="004E1284" w:rsidRPr="00D074D4" w:rsidRDefault="004E1284" w:rsidP="004E1284">
      <w:pPr>
        <w:ind w:firstLine="709"/>
        <w:jc w:val="both"/>
        <w:rPr>
          <w:bCs/>
        </w:rPr>
      </w:pPr>
      <w:r w:rsidRPr="00D074D4">
        <w:rPr>
          <w:bCs/>
        </w:rPr>
        <w:lastRenderedPageBreak/>
        <w:t>В общем объеме кассовых расходов (641840,0 тыс. руб.) на программные мероприятия (государственные программы Волгоградской области, ведомственные целевые программы, реализуемые Комитетом) приходится 641541,0  тыс. руб., или 99,9 процента.</w:t>
      </w:r>
    </w:p>
    <w:p w:rsidR="004E1284" w:rsidRPr="00D074D4" w:rsidRDefault="004E1284" w:rsidP="004E1284">
      <w:pPr>
        <w:ind w:firstLine="709"/>
        <w:jc w:val="both"/>
      </w:pPr>
      <w:r w:rsidRPr="00D074D4">
        <w:t>Расходы Комитета согласно ф.0503127 исполнены на 641840,0 тыс. руб., или на 98,4% к показателям бюджетной росписи 652041,5 тыс. рублей.</w:t>
      </w:r>
    </w:p>
    <w:p w:rsidR="004E1284" w:rsidRPr="00D074D4" w:rsidRDefault="004E1284" w:rsidP="004E1284">
      <w:pPr>
        <w:ind w:right="26" w:firstLine="708"/>
        <w:jc w:val="both"/>
        <w:rPr>
          <w:bCs/>
        </w:rPr>
      </w:pPr>
      <w:r w:rsidRPr="00D074D4">
        <w:rPr>
          <w:bCs/>
        </w:rPr>
        <w:t xml:space="preserve">Сравнительный анализ плановых и фактических показателей исполнения расходов областного бюджета представлен в </w:t>
      </w:r>
      <w:r w:rsidRPr="00D074D4">
        <w:rPr>
          <w:bCs/>
          <w:color w:val="0000CC"/>
        </w:rPr>
        <w:t>приложении №2</w:t>
      </w:r>
      <w:r w:rsidRPr="00D074D4">
        <w:rPr>
          <w:bCs/>
        </w:rPr>
        <w:t>.</w:t>
      </w:r>
    </w:p>
    <w:p w:rsidR="004E1284" w:rsidRPr="00D074D4" w:rsidRDefault="004E1284" w:rsidP="004E1284">
      <w:pPr>
        <w:ind w:firstLine="709"/>
        <w:jc w:val="both"/>
      </w:pPr>
      <w:r w:rsidRPr="00D074D4">
        <w:t>В 2015 году общая сумма неисполненных бюджетных назначений составила 10201,5 тыс. руб., или  1,6% от суммы утвержденных (652041,6 тыс. руб.), из них 2399,8 тыс. руб. не исполнены по объективным причинам, в связи с отсутствием финансирования и доведением лимитов не в полном объеме, 7801,7  тыс. руб. по необъективным причинам.</w:t>
      </w:r>
    </w:p>
    <w:p w:rsidR="004E1284" w:rsidRPr="00D074D4" w:rsidRDefault="004E1284" w:rsidP="004E1284">
      <w:pPr>
        <w:ind w:firstLine="709"/>
        <w:jc w:val="both"/>
      </w:pPr>
      <w:r w:rsidRPr="00D074D4">
        <w:t xml:space="preserve">Исполнение расходов составило 641840,0 тыс. руб., или на 98,4% к показателям бюджетной росписи.  </w:t>
      </w:r>
      <w:proofErr w:type="gramStart"/>
      <w:r w:rsidRPr="00D074D4">
        <w:t>Расходы не исполнены на 10201,5 тыс., из них основная часть (</w:t>
      </w:r>
      <w:proofErr w:type="gramEnd"/>
    </w:p>
    <w:p w:rsidR="004E1284" w:rsidRPr="00D074D4" w:rsidRDefault="004E1284" w:rsidP="004E1284">
      <w:pPr>
        <w:ind w:firstLine="709"/>
        <w:jc w:val="both"/>
      </w:pPr>
    </w:p>
    <w:p w:rsidR="004E1284" w:rsidRPr="00D074D4" w:rsidRDefault="004E1284" w:rsidP="004E1284">
      <w:pPr>
        <w:spacing w:before="120"/>
        <w:ind w:firstLine="709"/>
        <w:jc w:val="center"/>
        <w:rPr>
          <w:i/>
        </w:rPr>
      </w:pPr>
      <w:r w:rsidRPr="00D074D4">
        <w:rPr>
          <w:i/>
        </w:rPr>
        <w:t>Отдельные вопросы оплаты труда сотрудников Комитета и подведомственных учреждений</w:t>
      </w:r>
    </w:p>
    <w:p w:rsidR="004E1284" w:rsidRPr="00D074D4" w:rsidRDefault="004E1284" w:rsidP="004E1284">
      <w:pPr>
        <w:ind w:firstLine="708"/>
        <w:jc w:val="both"/>
      </w:pPr>
      <w:r w:rsidRPr="00D074D4">
        <w:t>Согласно информации, представленной Комитетом (приложении №4), расчетный фонд на оплату труда 24 сотрудников на 2015 год составил 12745,6 тыс. руб., из них:</w:t>
      </w:r>
    </w:p>
    <w:p w:rsidR="004E1284" w:rsidRPr="00D074D4" w:rsidRDefault="004E1284" w:rsidP="004E1284">
      <w:pPr>
        <w:ind w:firstLine="708"/>
        <w:jc w:val="both"/>
      </w:pPr>
      <w:r w:rsidRPr="00D074D4">
        <w:t>- 14,8 тыс. руб., или 0,1% по 1 вакантной ставке;</w:t>
      </w:r>
    </w:p>
    <w:p w:rsidR="004E1284" w:rsidRPr="00D074D4" w:rsidRDefault="004E1284" w:rsidP="004E1284">
      <w:pPr>
        <w:ind w:firstLine="708"/>
        <w:jc w:val="both"/>
      </w:pPr>
      <w:r w:rsidRPr="00D074D4">
        <w:t>- 654,5 тыс. руб. (5,1%) на премии за выполнение особо важных и сложных заданий (3 должностных оклада) в соответствии со ст. 3 Закона Волгоградской области от 10.10.2005 №1114-ОД «О денежном содержании государственных гражданских служащих Волгоградской области»;</w:t>
      </w:r>
    </w:p>
    <w:p w:rsidR="004E1284" w:rsidRPr="00D074D4" w:rsidRDefault="004E1284" w:rsidP="004E1284">
      <w:pPr>
        <w:ind w:firstLine="708"/>
        <w:jc w:val="both"/>
      </w:pPr>
      <w:proofErr w:type="gramStart"/>
      <w:r w:rsidRPr="00D074D4">
        <w:t>- 329,5 тыс. руб. (2,6%) на выплаты, предусмотренные иными законами и нормативными правовыми актами Волгоградской областной Думы, Губернатора Волгоградской области и Администрации Волгоградской области (111,5 тыс. руб. – надбавка за правовое обеспечение, 114,1 тыс. руб. – материальная помощь в связи с рождением ребенка, 38,9 тыс. руб. – материальная помощь в связи со смертью, 65,0 тыс. руб. – оплата больничных листов, праздничных и выходных дней).</w:t>
      </w:r>
      <w:proofErr w:type="gramEnd"/>
    </w:p>
    <w:p w:rsidR="004E1284" w:rsidRPr="00D074D4" w:rsidRDefault="004E1284" w:rsidP="004E1284">
      <w:pPr>
        <w:ind w:firstLine="708"/>
        <w:jc w:val="both"/>
      </w:pPr>
      <w:r w:rsidRPr="00D074D4">
        <w:t xml:space="preserve">В ноябре 2015 года произведена выплата премий за счет экономии фонда оплаты труда в размере 175,5 тыс. руб. (приказ Комитета от 27.11.2015 №97-Ф).  </w:t>
      </w:r>
    </w:p>
    <w:p w:rsidR="004E1284" w:rsidRPr="00D074D4" w:rsidRDefault="004E1284" w:rsidP="004E1284">
      <w:pPr>
        <w:spacing w:before="120"/>
        <w:ind w:firstLine="709"/>
        <w:jc w:val="both"/>
      </w:pPr>
      <w:proofErr w:type="gramStart"/>
      <w:r w:rsidRPr="00D074D4">
        <w:t xml:space="preserve">В соответствии с п. 1.2 Плана обеспечения устойчивого развития экономики и социальной стабильности Волгоградской области на 2015-2017 годы (далее План), утвержденного постановлением Губернатора Волгоградской области от 13.02.2015 № 127, органы исполнительной власти в первом полугодии 2015 года должны были в положениях об оплате труда работников государственных учреждений Волгоградской области установить предельные размеры стимулирующих выплат. </w:t>
      </w:r>
      <w:proofErr w:type="gramEnd"/>
    </w:p>
    <w:p w:rsidR="004E1284" w:rsidRPr="00D074D4" w:rsidRDefault="004E1284" w:rsidP="004E1284">
      <w:pPr>
        <w:ind w:firstLine="709"/>
        <w:jc w:val="both"/>
      </w:pPr>
      <w:r w:rsidRPr="00D074D4">
        <w:t>В положение об оплате труда работников государственных учреждений, подведомственных Комитету, изменения в установленный срок не были внесены.</w:t>
      </w:r>
    </w:p>
    <w:p w:rsidR="004E1284" w:rsidRPr="00D074D4" w:rsidRDefault="004E1284" w:rsidP="004E1284">
      <w:pPr>
        <w:ind w:firstLine="709"/>
        <w:jc w:val="both"/>
      </w:pPr>
      <w:r w:rsidRPr="00D074D4">
        <w:t xml:space="preserve">В связи с вступлением в силу 14.11.2015 года изменений в Закон Волгоградской области от 06.03.2009 №1862-ОД «Об оплате труда работников государственных учреждений Волгоградской области» и утверждением постановления Администрации Волгоградской области от 19.01.2016 № 4-п, органы исполнительной власти в течение трех месяцев (до 22.04.2016 года) должны утвердить положения об оплате труда. </w:t>
      </w:r>
    </w:p>
    <w:p w:rsidR="004E1284" w:rsidRPr="00D074D4" w:rsidRDefault="004E1284" w:rsidP="004E1284">
      <w:pPr>
        <w:tabs>
          <w:tab w:val="left" w:pos="0"/>
        </w:tabs>
        <w:spacing w:before="120"/>
        <w:jc w:val="center"/>
        <w:rPr>
          <w:i/>
          <w:sz w:val="20"/>
          <w:szCs w:val="20"/>
        </w:rPr>
      </w:pPr>
      <w:r w:rsidRPr="00D074D4">
        <w:rPr>
          <w:i/>
        </w:rPr>
        <w:t>Анализ задолженностей Комитета приведен в таблице №2.</w:t>
      </w:r>
    </w:p>
    <w:p w:rsidR="004E1284" w:rsidRPr="00D074D4" w:rsidRDefault="004E1284" w:rsidP="004E1284">
      <w:pPr>
        <w:jc w:val="center"/>
        <w:rPr>
          <w:i/>
        </w:rPr>
      </w:pPr>
      <w:r w:rsidRPr="00D074D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  <w:r w:rsidRPr="00D074D4">
        <w:rPr>
          <w:i/>
        </w:rPr>
        <w:t>Таблица №2</w:t>
      </w:r>
    </w:p>
    <w:p w:rsidR="004E1284" w:rsidRPr="00D074D4" w:rsidRDefault="004E1284" w:rsidP="004E1284">
      <w:pPr>
        <w:tabs>
          <w:tab w:val="left" w:pos="0"/>
        </w:tabs>
        <w:ind w:firstLine="709"/>
        <w:jc w:val="right"/>
        <w:rPr>
          <w:i/>
          <w:lang w:val="en-US"/>
        </w:rPr>
      </w:pPr>
      <w:r w:rsidRPr="00D074D4">
        <w:rPr>
          <w:i/>
          <w:sz w:val="12"/>
          <w:szCs w:val="12"/>
        </w:rPr>
        <w:t>( тыс. руб.)</w:t>
      </w:r>
    </w:p>
    <w:tbl>
      <w:tblPr>
        <w:tblW w:w="44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00"/>
        <w:gridCol w:w="1700"/>
      </w:tblGrid>
      <w:tr w:rsidR="004E1284" w:rsidRPr="00D074D4" w:rsidTr="0019425D">
        <w:trPr>
          <w:trHeight w:val="420"/>
          <w:tblHeader/>
          <w:jc w:val="center"/>
        </w:trPr>
        <w:tc>
          <w:tcPr>
            <w:tcW w:w="3034" w:type="pct"/>
            <w:vMerge w:val="restart"/>
          </w:tcPr>
          <w:p w:rsidR="004E1284" w:rsidRPr="00D074D4" w:rsidRDefault="004E1284" w:rsidP="0019425D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sz w:val="18"/>
                <w:szCs w:val="18"/>
                <w:lang w:val="en-US" w:eastAsia="en-US"/>
              </w:rPr>
            </w:pPr>
            <w:r w:rsidRPr="00D074D4">
              <w:rPr>
                <w:b/>
                <w:i/>
                <w:sz w:val="18"/>
                <w:szCs w:val="18"/>
              </w:rPr>
              <w:t xml:space="preserve">  </w:t>
            </w:r>
            <w:r w:rsidRPr="00D074D4">
              <w:rPr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966" w:type="pct"/>
            <w:gridSpan w:val="2"/>
          </w:tcPr>
          <w:p w:rsidR="004E1284" w:rsidRPr="00D074D4" w:rsidRDefault="004E1284" w:rsidP="0019425D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sz w:val="18"/>
                <w:szCs w:val="18"/>
                <w:lang w:val="en-US" w:eastAsia="en-US"/>
              </w:rPr>
            </w:pPr>
            <w:r w:rsidRPr="00D074D4">
              <w:rPr>
                <w:b/>
                <w:bCs/>
                <w:sz w:val="18"/>
                <w:szCs w:val="18"/>
              </w:rPr>
              <w:t>Бюджетная деятельность</w:t>
            </w:r>
          </w:p>
        </w:tc>
      </w:tr>
      <w:tr w:rsidR="004E1284" w:rsidRPr="00D074D4" w:rsidTr="0019425D">
        <w:trPr>
          <w:trHeight w:val="94"/>
          <w:tblHeader/>
          <w:jc w:val="center"/>
        </w:trPr>
        <w:tc>
          <w:tcPr>
            <w:tcW w:w="3034" w:type="pct"/>
            <w:vMerge/>
            <w:vAlign w:val="center"/>
          </w:tcPr>
          <w:p w:rsidR="004E1284" w:rsidRPr="00D074D4" w:rsidRDefault="004E1284" w:rsidP="0019425D">
            <w:pPr>
              <w:rPr>
                <w:rFonts w:eastAsia="Arial Unicode MS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983" w:type="pct"/>
          </w:tcPr>
          <w:p w:rsidR="004E1284" w:rsidRPr="00D074D4" w:rsidRDefault="004E1284" w:rsidP="0019425D">
            <w:pPr>
              <w:widowControl w:val="0"/>
              <w:suppressAutoHyphens/>
              <w:jc w:val="center"/>
              <w:rPr>
                <w:rFonts w:eastAsia="Arial Unicode MS"/>
                <w:bCs/>
                <w:sz w:val="18"/>
                <w:szCs w:val="18"/>
                <w:lang w:eastAsia="en-US"/>
              </w:rPr>
            </w:pPr>
            <w:r w:rsidRPr="00D074D4">
              <w:rPr>
                <w:bCs/>
                <w:sz w:val="18"/>
                <w:szCs w:val="18"/>
              </w:rPr>
              <w:t>на 01.01.15</w:t>
            </w:r>
          </w:p>
        </w:tc>
        <w:tc>
          <w:tcPr>
            <w:tcW w:w="983" w:type="pct"/>
          </w:tcPr>
          <w:p w:rsidR="004E1284" w:rsidRPr="00D074D4" w:rsidRDefault="004E1284" w:rsidP="0019425D">
            <w:pPr>
              <w:widowControl w:val="0"/>
              <w:suppressAutoHyphens/>
              <w:jc w:val="center"/>
              <w:rPr>
                <w:rFonts w:eastAsia="Arial Unicode MS"/>
                <w:bCs/>
                <w:sz w:val="18"/>
                <w:szCs w:val="18"/>
                <w:lang w:eastAsia="en-US"/>
              </w:rPr>
            </w:pPr>
            <w:r w:rsidRPr="00D074D4">
              <w:rPr>
                <w:bCs/>
                <w:sz w:val="18"/>
                <w:szCs w:val="18"/>
              </w:rPr>
              <w:t>на 01.01.2016</w:t>
            </w:r>
          </w:p>
        </w:tc>
      </w:tr>
      <w:tr w:rsidR="004E1284" w:rsidRPr="00D074D4" w:rsidTr="0019425D">
        <w:trPr>
          <w:trHeight w:val="41"/>
          <w:jc w:val="center"/>
        </w:trPr>
        <w:tc>
          <w:tcPr>
            <w:tcW w:w="3034" w:type="pct"/>
          </w:tcPr>
          <w:p w:rsidR="004E1284" w:rsidRPr="00D074D4" w:rsidRDefault="004E1284" w:rsidP="0019425D">
            <w:pPr>
              <w:widowControl w:val="0"/>
              <w:suppressAutoHyphens/>
              <w:jc w:val="both"/>
              <w:rPr>
                <w:rFonts w:eastAsia="Arial Unicode MS"/>
                <w:b/>
                <w:bCs/>
                <w:sz w:val="18"/>
                <w:szCs w:val="18"/>
                <w:lang w:eastAsia="en-US"/>
              </w:rPr>
            </w:pPr>
            <w:r w:rsidRPr="00D074D4">
              <w:rPr>
                <w:b/>
                <w:bCs/>
                <w:sz w:val="18"/>
                <w:szCs w:val="18"/>
              </w:rPr>
              <w:t>Дебиторская задолженность, в т.ч.</w:t>
            </w:r>
          </w:p>
        </w:tc>
        <w:tc>
          <w:tcPr>
            <w:tcW w:w="983" w:type="pct"/>
            <w:vAlign w:val="center"/>
          </w:tcPr>
          <w:p w:rsidR="004E1284" w:rsidRPr="00D074D4" w:rsidRDefault="004E1284" w:rsidP="0019425D">
            <w:pPr>
              <w:widowControl w:val="0"/>
              <w:suppressAutoHyphens/>
              <w:jc w:val="right"/>
              <w:rPr>
                <w:rFonts w:eastAsia="Arial Unicode MS"/>
                <w:b/>
                <w:bCs/>
                <w:sz w:val="18"/>
                <w:szCs w:val="18"/>
                <w:lang w:eastAsia="en-US"/>
              </w:rPr>
            </w:pPr>
            <w:r w:rsidRPr="00D074D4">
              <w:rPr>
                <w:rFonts w:eastAsia="Arial Unicode MS"/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3" w:type="pct"/>
            <w:vAlign w:val="center"/>
          </w:tcPr>
          <w:p w:rsidR="004E1284" w:rsidRPr="00D074D4" w:rsidRDefault="004E1284" w:rsidP="0019425D">
            <w:pPr>
              <w:widowControl w:val="0"/>
              <w:suppressAutoHyphens/>
              <w:jc w:val="right"/>
              <w:rPr>
                <w:rFonts w:eastAsia="Arial Unicode MS"/>
                <w:b/>
                <w:bCs/>
                <w:sz w:val="18"/>
                <w:szCs w:val="18"/>
                <w:lang w:eastAsia="en-US"/>
              </w:rPr>
            </w:pPr>
            <w:r w:rsidRPr="00D074D4">
              <w:rPr>
                <w:rFonts w:eastAsia="Arial Unicode MS"/>
                <w:b/>
                <w:bCs/>
                <w:sz w:val="18"/>
                <w:szCs w:val="18"/>
                <w:lang w:eastAsia="en-US"/>
              </w:rPr>
              <w:t>143356,5</w:t>
            </w:r>
          </w:p>
        </w:tc>
      </w:tr>
      <w:tr w:rsidR="004E1284" w:rsidRPr="00D074D4" w:rsidTr="0019425D">
        <w:trPr>
          <w:trHeight w:val="127"/>
          <w:jc w:val="center"/>
        </w:trPr>
        <w:tc>
          <w:tcPr>
            <w:tcW w:w="3034" w:type="pct"/>
          </w:tcPr>
          <w:p w:rsidR="004E1284" w:rsidRPr="00D074D4" w:rsidRDefault="004E1284" w:rsidP="0019425D">
            <w:pPr>
              <w:widowControl w:val="0"/>
              <w:suppressAutoHyphens/>
              <w:jc w:val="both"/>
              <w:rPr>
                <w:rFonts w:eastAsia="Arial Unicode MS"/>
                <w:sz w:val="18"/>
                <w:szCs w:val="18"/>
                <w:lang w:eastAsia="en-US"/>
              </w:rPr>
            </w:pPr>
            <w:r w:rsidRPr="00D074D4">
              <w:rPr>
                <w:sz w:val="18"/>
                <w:szCs w:val="18"/>
              </w:rPr>
              <w:t>Расчеты по выданным авансам (сч.020600)</w:t>
            </w:r>
          </w:p>
        </w:tc>
        <w:tc>
          <w:tcPr>
            <w:tcW w:w="983" w:type="pct"/>
            <w:vAlign w:val="center"/>
          </w:tcPr>
          <w:p w:rsidR="004E1284" w:rsidRPr="00D074D4" w:rsidRDefault="004E1284" w:rsidP="0019425D">
            <w:pPr>
              <w:widowControl w:val="0"/>
              <w:suppressAutoHyphens/>
              <w:jc w:val="right"/>
              <w:rPr>
                <w:rFonts w:eastAsia="Arial Unicode MS"/>
                <w:bCs/>
                <w:sz w:val="18"/>
                <w:szCs w:val="18"/>
                <w:lang w:eastAsia="en-US"/>
              </w:rPr>
            </w:pPr>
            <w:r w:rsidRPr="00D074D4">
              <w:rPr>
                <w:rFonts w:eastAsia="Arial Unicode MS"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3" w:type="pct"/>
            <w:vAlign w:val="center"/>
          </w:tcPr>
          <w:p w:rsidR="004E1284" w:rsidRPr="00D074D4" w:rsidRDefault="004E1284" w:rsidP="0019425D">
            <w:pPr>
              <w:widowControl w:val="0"/>
              <w:suppressAutoHyphens/>
              <w:jc w:val="right"/>
              <w:rPr>
                <w:rFonts w:eastAsia="Arial Unicode MS"/>
                <w:sz w:val="18"/>
                <w:szCs w:val="18"/>
                <w:lang w:eastAsia="en-US"/>
              </w:rPr>
            </w:pPr>
            <w:r w:rsidRPr="00D074D4">
              <w:rPr>
                <w:rFonts w:eastAsia="Arial Unicode MS"/>
                <w:bCs/>
                <w:sz w:val="18"/>
                <w:szCs w:val="18"/>
                <w:lang w:eastAsia="en-US"/>
              </w:rPr>
              <w:t>143338,7</w:t>
            </w:r>
          </w:p>
        </w:tc>
      </w:tr>
      <w:tr w:rsidR="004E1284" w:rsidRPr="00D074D4" w:rsidTr="0019425D">
        <w:trPr>
          <w:trHeight w:val="82"/>
          <w:jc w:val="center"/>
        </w:trPr>
        <w:tc>
          <w:tcPr>
            <w:tcW w:w="3034" w:type="pct"/>
          </w:tcPr>
          <w:p w:rsidR="004E1284" w:rsidRPr="00D074D4" w:rsidRDefault="004E1284" w:rsidP="0019425D">
            <w:pPr>
              <w:widowControl w:val="0"/>
              <w:suppressAutoHyphens/>
              <w:jc w:val="both"/>
              <w:rPr>
                <w:sz w:val="18"/>
                <w:szCs w:val="18"/>
              </w:rPr>
            </w:pPr>
            <w:bookmarkStart w:id="0" w:name="sub_30302000"/>
            <w:r w:rsidRPr="00D074D4">
              <w:rPr>
                <w:sz w:val="18"/>
                <w:szCs w:val="18"/>
              </w:rPr>
              <w:t>Расчеты по платежам в бюджеты (</w:t>
            </w:r>
            <w:proofErr w:type="spellStart"/>
            <w:r w:rsidRPr="00D074D4">
              <w:rPr>
                <w:sz w:val="18"/>
                <w:szCs w:val="18"/>
              </w:rPr>
              <w:t>сч</w:t>
            </w:r>
            <w:proofErr w:type="spellEnd"/>
            <w:r w:rsidRPr="00D074D4">
              <w:rPr>
                <w:sz w:val="18"/>
                <w:szCs w:val="18"/>
              </w:rPr>
              <w:t>. 030300)</w:t>
            </w:r>
            <w:bookmarkEnd w:id="0"/>
          </w:p>
        </w:tc>
        <w:tc>
          <w:tcPr>
            <w:tcW w:w="983" w:type="pct"/>
            <w:vAlign w:val="center"/>
          </w:tcPr>
          <w:p w:rsidR="004E1284" w:rsidRPr="00D074D4" w:rsidRDefault="004E1284" w:rsidP="0019425D">
            <w:pPr>
              <w:widowControl w:val="0"/>
              <w:suppressAutoHyphens/>
              <w:jc w:val="right"/>
              <w:rPr>
                <w:rFonts w:eastAsia="Arial Unicode MS"/>
                <w:bCs/>
                <w:sz w:val="18"/>
                <w:szCs w:val="18"/>
                <w:lang w:eastAsia="en-US"/>
              </w:rPr>
            </w:pPr>
            <w:r w:rsidRPr="00D074D4">
              <w:rPr>
                <w:rFonts w:eastAsia="Arial Unicode MS"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3" w:type="pct"/>
            <w:vAlign w:val="center"/>
          </w:tcPr>
          <w:p w:rsidR="004E1284" w:rsidRPr="00D074D4" w:rsidRDefault="004E1284" w:rsidP="0019425D">
            <w:pPr>
              <w:widowControl w:val="0"/>
              <w:suppressAutoHyphens/>
              <w:jc w:val="right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17,8</w:t>
            </w:r>
          </w:p>
        </w:tc>
      </w:tr>
      <w:tr w:rsidR="004E1284" w:rsidRPr="00D074D4" w:rsidTr="0019425D">
        <w:trPr>
          <w:trHeight w:val="41"/>
          <w:jc w:val="center"/>
        </w:trPr>
        <w:tc>
          <w:tcPr>
            <w:tcW w:w="3034" w:type="pct"/>
          </w:tcPr>
          <w:p w:rsidR="004E1284" w:rsidRPr="00D074D4" w:rsidRDefault="004E1284" w:rsidP="0019425D">
            <w:pPr>
              <w:widowControl w:val="0"/>
              <w:suppressAutoHyphens/>
              <w:jc w:val="both"/>
              <w:rPr>
                <w:rFonts w:eastAsia="Arial Unicode MS"/>
                <w:bCs/>
                <w:sz w:val="18"/>
                <w:szCs w:val="18"/>
                <w:lang w:eastAsia="en-US"/>
              </w:rPr>
            </w:pPr>
            <w:r w:rsidRPr="00D074D4">
              <w:rPr>
                <w:b/>
                <w:bCs/>
                <w:sz w:val="18"/>
                <w:szCs w:val="18"/>
              </w:rPr>
              <w:lastRenderedPageBreak/>
              <w:t>Кредиторская задолженность</w:t>
            </w:r>
            <w:r w:rsidRPr="00D074D4">
              <w:rPr>
                <w:bCs/>
                <w:sz w:val="18"/>
                <w:szCs w:val="18"/>
              </w:rPr>
              <w:t>, в т.ч.</w:t>
            </w:r>
          </w:p>
        </w:tc>
        <w:tc>
          <w:tcPr>
            <w:tcW w:w="983" w:type="pct"/>
            <w:vAlign w:val="center"/>
          </w:tcPr>
          <w:p w:rsidR="004E1284" w:rsidRPr="00D074D4" w:rsidRDefault="004E1284" w:rsidP="0019425D">
            <w:pPr>
              <w:widowControl w:val="0"/>
              <w:suppressAutoHyphens/>
              <w:jc w:val="right"/>
              <w:rPr>
                <w:rFonts w:eastAsia="Arial Unicode MS"/>
                <w:b/>
                <w:bCs/>
                <w:sz w:val="18"/>
                <w:szCs w:val="18"/>
                <w:lang w:eastAsia="en-US"/>
              </w:rPr>
            </w:pPr>
            <w:r w:rsidRPr="00D074D4">
              <w:rPr>
                <w:rFonts w:eastAsia="Arial Unicode MS"/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3" w:type="pct"/>
            <w:vAlign w:val="center"/>
          </w:tcPr>
          <w:p w:rsidR="004E1284" w:rsidRPr="00D074D4" w:rsidRDefault="004E1284" w:rsidP="0019425D">
            <w:pPr>
              <w:widowControl w:val="0"/>
              <w:suppressAutoHyphens/>
              <w:jc w:val="right"/>
              <w:rPr>
                <w:rFonts w:eastAsia="Arial Unicode MS"/>
                <w:b/>
                <w:bCs/>
                <w:sz w:val="18"/>
                <w:szCs w:val="18"/>
                <w:lang w:eastAsia="en-US"/>
              </w:rPr>
            </w:pPr>
            <w:r w:rsidRPr="00D074D4">
              <w:rPr>
                <w:rFonts w:eastAsia="Arial Unicode MS"/>
                <w:b/>
                <w:bCs/>
                <w:sz w:val="18"/>
                <w:szCs w:val="18"/>
                <w:lang w:eastAsia="en-US"/>
              </w:rPr>
              <w:t>22288,1</w:t>
            </w:r>
          </w:p>
        </w:tc>
      </w:tr>
      <w:tr w:rsidR="004E1284" w:rsidRPr="00D074D4" w:rsidTr="0019425D">
        <w:trPr>
          <w:trHeight w:val="41"/>
          <w:jc w:val="center"/>
        </w:trPr>
        <w:tc>
          <w:tcPr>
            <w:tcW w:w="3034" w:type="pct"/>
          </w:tcPr>
          <w:p w:rsidR="004E1284" w:rsidRPr="00D074D4" w:rsidRDefault="004E1284" w:rsidP="0019425D">
            <w:pPr>
              <w:widowControl w:val="0"/>
              <w:suppressAutoHyphens/>
              <w:jc w:val="both"/>
              <w:rPr>
                <w:rFonts w:eastAsia="Arial Unicode MS"/>
                <w:bCs/>
                <w:sz w:val="18"/>
                <w:szCs w:val="18"/>
                <w:lang w:eastAsia="en-US"/>
              </w:rPr>
            </w:pPr>
            <w:r w:rsidRPr="00D074D4">
              <w:rPr>
                <w:bCs/>
                <w:sz w:val="18"/>
                <w:szCs w:val="18"/>
              </w:rPr>
              <w:t xml:space="preserve">Расчеты по принятым обязательствам </w:t>
            </w:r>
            <w:r w:rsidRPr="00D074D4">
              <w:rPr>
                <w:sz w:val="18"/>
                <w:szCs w:val="18"/>
              </w:rPr>
              <w:t>(сч.030200)</w:t>
            </w:r>
          </w:p>
        </w:tc>
        <w:tc>
          <w:tcPr>
            <w:tcW w:w="983" w:type="pct"/>
            <w:vAlign w:val="center"/>
          </w:tcPr>
          <w:p w:rsidR="004E1284" w:rsidRPr="00D074D4" w:rsidRDefault="004E1284" w:rsidP="0019425D">
            <w:pPr>
              <w:widowControl w:val="0"/>
              <w:suppressAutoHyphens/>
              <w:jc w:val="right"/>
              <w:rPr>
                <w:rFonts w:eastAsia="Arial Unicode MS"/>
                <w:bCs/>
                <w:sz w:val="18"/>
                <w:szCs w:val="18"/>
                <w:lang w:eastAsia="en-US"/>
              </w:rPr>
            </w:pPr>
            <w:r w:rsidRPr="00D074D4">
              <w:rPr>
                <w:rFonts w:eastAsia="Arial Unicode MS"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3" w:type="pct"/>
            <w:vAlign w:val="center"/>
          </w:tcPr>
          <w:p w:rsidR="004E1284" w:rsidRPr="00D074D4" w:rsidRDefault="004E1284" w:rsidP="0019425D">
            <w:pPr>
              <w:widowControl w:val="0"/>
              <w:suppressAutoHyphens/>
              <w:jc w:val="right"/>
              <w:rPr>
                <w:rFonts w:eastAsia="Arial Unicode MS"/>
                <w:bCs/>
                <w:sz w:val="18"/>
                <w:szCs w:val="18"/>
                <w:lang w:eastAsia="en-US"/>
              </w:rPr>
            </w:pPr>
            <w:r w:rsidRPr="00D074D4">
              <w:rPr>
                <w:rFonts w:eastAsia="Arial Unicode MS"/>
                <w:bCs/>
                <w:sz w:val="18"/>
                <w:szCs w:val="18"/>
                <w:lang w:eastAsia="en-US"/>
              </w:rPr>
              <w:t>6179,3</w:t>
            </w:r>
          </w:p>
        </w:tc>
      </w:tr>
      <w:tr w:rsidR="004E1284" w:rsidRPr="00D074D4" w:rsidTr="0019425D">
        <w:trPr>
          <w:trHeight w:val="41"/>
          <w:jc w:val="center"/>
        </w:trPr>
        <w:tc>
          <w:tcPr>
            <w:tcW w:w="3034" w:type="pct"/>
          </w:tcPr>
          <w:p w:rsidR="004E1284" w:rsidRPr="00D074D4" w:rsidRDefault="004E1284" w:rsidP="0019425D">
            <w:pPr>
              <w:widowControl w:val="0"/>
              <w:suppressAutoHyphens/>
              <w:jc w:val="both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 xml:space="preserve">Расчеты по платежам в бюджеты </w:t>
            </w:r>
          </w:p>
          <w:p w:rsidR="004E1284" w:rsidRPr="00D074D4" w:rsidRDefault="004E1284" w:rsidP="0019425D">
            <w:pPr>
              <w:widowControl w:val="0"/>
              <w:suppressAutoHyphens/>
              <w:jc w:val="both"/>
              <w:rPr>
                <w:rFonts w:eastAsia="Arial Unicode MS"/>
                <w:sz w:val="18"/>
                <w:szCs w:val="18"/>
                <w:lang w:eastAsia="en-US"/>
              </w:rPr>
            </w:pPr>
            <w:r w:rsidRPr="00D074D4">
              <w:rPr>
                <w:sz w:val="18"/>
                <w:szCs w:val="18"/>
              </w:rPr>
              <w:t>(</w:t>
            </w:r>
            <w:proofErr w:type="spellStart"/>
            <w:r w:rsidRPr="00D074D4">
              <w:rPr>
                <w:sz w:val="18"/>
                <w:szCs w:val="18"/>
              </w:rPr>
              <w:t>сч</w:t>
            </w:r>
            <w:proofErr w:type="spellEnd"/>
            <w:r w:rsidRPr="00D074D4">
              <w:rPr>
                <w:sz w:val="18"/>
                <w:szCs w:val="18"/>
              </w:rPr>
              <w:t>. 030300)</w:t>
            </w:r>
          </w:p>
        </w:tc>
        <w:tc>
          <w:tcPr>
            <w:tcW w:w="983" w:type="pct"/>
            <w:vAlign w:val="center"/>
          </w:tcPr>
          <w:p w:rsidR="004E1284" w:rsidRPr="00D074D4" w:rsidRDefault="004E1284" w:rsidP="0019425D">
            <w:pPr>
              <w:widowControl w:val="0"/>
              <w:suppressAutoHyphens/>
              <w:jc w:val="right"/>
              <w:rPr>
                <w:rFonts w:eastAsia="Arial Unicode MS"/>
                <w:sz w:val="18"/>
                <w:szCs w:val="18"/>
                <w:lang w:eastAsia="en-US"/>
              </w:rPr>
            </w:pPr>
            <w:r w:rsidRPr="00D074D4">
              <w:rPr>
                <w:rFonts w:eastAsia="Arial Unicode MS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3" w:type="pct"/>
            <w:vAlign w:val="center"/>
          </w:tcPr>
          <w:p w:rsidR="004E1284" w:rsidRPr="00D074D4" w:rsidRDefault="004E1284" w:rsidP="0019425D">
            <w:pPr>
              <w:widowControl w:val="0"/>
              <w:suppressAutoHyphens/>
              <w:jc w:val="right"/>
              <w:rPr>
                <w:rFonts w:eastAsia="Arial Unicode MS"/>
                <w:sz w:val="18"/>
                <w:szCs w:val="18"/>
                <w:lang w:eastAsia="en-US"/>
              </w:rPr>
            </w:pPr>
            <w:r w:rsidRPr="00D074D4">
              <w:rPr>
                <w:rFonts w:eastAsia="Arial Unicode MS"/>
                <w:sz w:val="18"/>
                <w:szCs w:val="18"/>
                <w:lang w:eastAsia="en-US"/>
              </w:rPr>
              <w:t>380,1</w:t>
            </w:r>
          </w:p>
        </w:tc>
      </w:tr>
      <w:tr w:rsidR="004E1284" w:rsidRPr="00D074D4" w:rsidTr="0019425D">
        <w:trPr>
          <w:trHeight w:val="417"/>
          <w:jc w:val="center"/>
        </w:trPr>
        <w:tc>
          <w:tcPr>
            <w:tcW w:w="3034" w:type="pct"/>
          </w:tcPr>
          <w:p w:rsidR="004E1284" w:rsidRPr="00D074D4" w:rsidRDefault="004E1284" w:rsidP="0019425D">
            <w:pPr>
              <w:widowControl w:val="0"/>
              <w:suppressAutoHyphens/>
              <w:jc w:val="both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Расчеты по доходам</w:t>
            </w:r>
          </w:p>
          <w:p w:rsidR="004E1284" w:rsidRPr="00D074D4" w:rsidRDefault="004E1284" w:rsidP="0019425D">
            <w:pPr>
              <w:widowControl w:val="0"/>
              <w:suppressAutoHyphens/>
              <w:jc w:val="both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(</w:t>
            </w:r>
            <w:proofErr w:type="spellStart"/>
            <w:r w:rsidRPr="00D074D4">
              <w:rPr>
                <w:sz w:val="18"/>
                <w:szCs w:val="18"/>
              </w:rPr>
              <w:t>сч</w:t>
            </w:r>
            <w:proofErr w:type="spellEnd"/>
            <w:r w:rsidRPr="00D074D4">
              <w:rPr>
                <w:sz w:val="18"/>
                <w:szCs w:val="18"/>
              </w:rPr>
              <w:t>. 020500)</w:t>
            </w:r>
          </w:p>
        </w:tc>
        <w:tc>
          <w:tcPr>
            <w:tcW w:w="983" w:type="pct"/>
            <w:vAlign w:val="center"/>
          </w:tcPr>
          <w:p w:rsidR="004E1284" w:rsidRPr="00D074D4" w:rsidRDefault="004E1284" w:rsidP="0019425D">
            <w:pPr>
              <w:widowControl w:val="0"/>
              <w:suppressAutoHyphens/>
              <w:jc w:val="right"/>
              <w:rPr>
                <w:rFonts w:eastAsia="Arial Unicode MS"/>
                <w:sz w:val="18"/>
                <w:szCs w:val="18"/>
                <w:lang w:eastAsia="en-US"/>
              </w:rPr>
            </w:pPr>
            <w:r w:rsidRPr="00D074D4">
              <w:rPr>
                <w:rFonts w:eastAsia="Arial Unicode MS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3" w:type="pct"/>
            <w:vAlign w:val="center"/>
          </w:tcPr>
          <w:p w:rsidR="004E1284" w:rsidRPr="00D074D4" w:rsidRDefault="004E1284" w:rsidP="0019425D">
            <w:pPr>
              <w:widowControl w:val="0"/>
              <w:suppressAutoHyphens/>
              <w:jc w:val="right"/>
              <w:rPr>
                <w:rFonts w:eastAsia="Arial Unicode MS"/>
                <w:sz w:val="18"/>
                <w:szCs w:val="18"/>
                <w:lang w:eastAsia="en-US"/>
              </w:rPr>
            </w:pPr>
            <w:r w:rsidRPr="00D074D4">
              <w:rPr>
                <w:rFonts w:eastAsia="Arial Unicode MS"/>
                <w:sz w:val="18"/>
                <w:szCs w:val="18"/>
                <w:lang w:eastAsia="en-US"/>
              </w:rPr>
              <w:t>15725,9</w:t>
            </w:r>
          </w:p>
        </w:tc>
      </w:tr>
      <w:tr w:rsidR="004E1284" w:rsidRPr="00D074D4" w:rsidTr="0019425D">
        <w:trPr>
          <w:trHeight w:val="417"/>
          <w:jc w:val="center"/>
        </w:trPr>
        <w:tc>
          <w:tcPr>
            <w:tcW w:w="3034" w:type="pct"/>
          </w:tcPr>
          <w:p w:rsidR="004E1284" w:rsidRPr="00D074D4" w:rsidRDefault="004E1284" w:rsidP="0019425D">
            <w:pPr>
              <w:widowControl w:val="0"/>
              <w:suppressAutoHyphens/>
              <w:jc w:val="both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Расчеты с подотчетными лицами (</w:t>
            </w:r>
            <w:proofErr w:type="spellStart"/>
            <w:r w:rsidRPr="00D074D4">
              <w:rPr>
                <w:sz w:val="18"/>
                <w:szCs w:val="18"/>
              </w:rPr>
              <w:t>сч</w:t>
            </w:r>
            <w:proofErr w:type="spellEnd"/>
            <w:r w:rsidRPr="00D074D4">
              <w:rPr>
                <w:sz w:val="18"/>
                <w:szCs w:val="18"/>
              </w:rPr>
              <w:t>. 020800)</w:t>
            </w:r>
          </w:p>
        </w:tc>
        <w:tc>
          <w:tcPr>
            <w:tcW w:w="983" w:type="pct"/>
            <w:vAlign w:val="center"/>
          </w:tcPr>
          <w:p w:rsidR="004E1284" w:rsidRPr="00D074D4" w:rsidRDefault="004E1284" w:rsidP="0019425D">
            <w:pPr>
              <w:widowControl w:val="0"/>
              <w:suppressAutoHyphens/>
              <w:jc w:val="right"/>
              <w:rPr>
                <w:rFonts w:eastAsia="Arial Unicode MS"/>
                <w:sz w:val="18"/>
                <w:szCs w:val="18"/>
                <w:lang w:eastAsia="en-US"/>
              </w:rPr>
            </w:pPr>
            <w:r w:rsidRPr="00D074D4">
              <w:rPr>
                <w:rFonts w:eastAsia="Arial Unicode MS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3" w:type="pct"/>
            <w:vAlign w:val="center"/>
          </w:tcPr>
          <w:p w:rsidR="004E1284" w:rsidRPr="00D074D4" w:rsidRDefault="004E1284" w:rsidP="0019425D">
            <w:pPr>
              <w:widowControl w:val="0"/>
              <w:suppressAutoHyphens/>
              <w:jc w:val="right"/>
              <w:rPr>
                <w:rFonts w:eastAsia="Arial Unicode MS"/>
                <w:sz w:val="18"/>
                <w:szCs w:val="18"/>
                <w:lang w:eastAsia="en-US"/>
              </w:rPr>
            </w:pPr>
            <w:r w:rsidRPr="00D074D4">
              <w:rPr>
                <w:rFonts w:eastAsia="Arial Unicode MS"/>
                <w:sz w:val="18"/>
                <w:szCs w:val="18"/>
                <w:lang w:eastAsia="en-US"/>
              </w:rPr>
              <w:t>2,8</w:t>
            </w:r>
          </w:p>
        </w:tc>
      </w:tr>
    </w:tbl>
    <w:p w:rsidR="004E1284" w:rsidRPr="00D074D4" w:rsidRDefault="004E1284" w:rsidP="004E1284">
      <w:pPr>
        <w:autoSpaceDE w:val="0"/>
        <w:autoSpaceDN w:val="0"/>
        <w:adjustRightInd w:val="0"/>
        <w:ind w:firstLine="708"/>
        <w:jc w:val="both"/>
      </w:pPr>
    </w:p>
    <w:p w:rsidR="004E1284" w:rsidRPr="00D074D4" w:rsidRDefault="004E1284" w:rsidP="004E1284">
      <w:pPr>
        <w:pStyle w:val="ConsPlusCell"/>
        <w:ind w:firstLine="708"/>
        <w:jc w:val="both"/>
      </w:pPr>
      <w:r w:rsidRPr="00D074D4">
        <w:rPr>
          <w:u w:val="single"/>
        </w:rPr>
        <w:t>Дебиторская</w:t>
      </w:r>
      <w:r w:rsidRPr="00D074D4">
        <w:t xml:space="preserve"> задолженность в основном образовалась  по счету 020600 «Расчеты по выданным авансам»:</w:t>
      </w:r>
    </w:p>
    <w:p w:rsidR="004E1284" w:rsidRPr="00D074D4" w:rsidRDefault="004E1284" w:rsidP="004E1284">
      <w:pPr>
        <w:pStyle w:val="ConsPlusCell"/>
        <w:ind w:firstLine="708"/>
        <w:jc w:val="both"/>
      </w:pPr>
      <w:r w:rsidRPr="00D074D4">
        <w:t>- 6681,6 тыс. руб. в связи с расходами на организацию отдыха и оздоровления детей в детских оздоровительных лагерях в период каникул и в санаторных оздоровительных лагерях;</w:t>
      </w:r>
    </w:p>
    <w:p w:rsidR="004E1284" w:rsidRPr="00D074D4" w:rsidRDefault="004E1284" w:rsidP="004E1284">
      <w:pPr>
        <w:pStyle w:val="ConsPlusCell"/>
        <w:ind w:firstLine="708"/>
        <w:jc w:val="both"/>
      </w:pPr>
      <w:r w:rsidRPr="00D074D4">
        <w:t>- 136014,1 тыс. руб. перечислением субсидий за счет федерального и областного бюджета органам местного самоуправления области по подпрограмме «Молодой семье - доступное жилье» государственной программы Волгоградской области «Обеспечение доступным и комфортным жильем и коммунальными услугами жителей Волгоградской области» (далее подпрограмма «Молодой семье - доступное жилье», Подпрограмма).</w:t>
      </w:r>
    </w:p>
    <w:p w:rsidR="004E1284" w:rsidRPr="00D074D4" w:rsidRDefault="004E1284" w:rsidP="004E1284">
      <w:pPr>
        <w:pStyle w:val="ConsPlusCell"/>
        <w:ind w:firstLine="708"/>
        <w:jc w:val="both"/>
      </w:pPr>
      <w:r w:rsidRPr="00D074D4">
        <w:t>Просроченная дебиторская задолженность у Комитета по бюджетной деятельности  отсутствовала.</w:t>
      </w:r>
    </w:p>
    <w:p w:rsidR="004E1284" w:rsidRPr="00D074D4" w:rsidRDefault="004E1284" w:rsidP="004E1284">
      <w:pPr>
        <w:ind w:firstLine="708"/>
        <w:jc w:val="both"/>
      </w:pPr>
      <w:r w:rsidRPr="00D074D4">
        <w:rPr>
          <w:u w:val="single"/>
        </w:rPr>
        <w:t>Кредиторская</w:t>
      </w:r>
      <w:r w:rsidRPr="00D074D4">
        <w:t xml:space="preserve"> задолженность на 01.01.2016 в основном сложилась по счету 020500 «</w:t>
      </w:r>
      <w:r w:rsidRPr="00D074D4">
        <w:rPr>
          <w:bCs/>
        </w:rPr>
        <w:t xml:space="preserve">Расчеты по доходам» </w:t>
      </w:r>
      <w:r w:rsidRPr="00D074D4">
        <w:t>(70,5%) по средствам федерального бюджета на реализацию подпрограммы «Молодой семье - доступное жилье», подлежащих возврату в федеральный бюджет (возвращены 28.01.2016) – более подробно отражено в таблице №5 на странице 6.</w:t>
      </w:r>
    </w:p>
    <w:p w:rsidR="004E1284" w:rsidRPr="00D074D4" w:rsidRDefault="004E1284" w:rsidP="004E1284">
      <w:pPr>
        <w:autoSpaceDE w:val="0"/>
        <w:autoSpaceDN w:val="0"/>
        <w:adjustRightInd w:val="0"/>
        <w:spacing w:before="120"/>
        <w:jc w:val="center"/>
        <w:rPr>
          <w:i/>
        </w:rPr>
      </w:pPr>
      <w:r w:rsidRPr="00D074D4">
        <w:rPr>
          <w:i/>
        </w:rPr>
        <w:t>Анализ достижения поставленных целей и ожидаемых результатов согласно</w:t>
      </w:r>
    </w:p>
    <w:p w:rsidR="004E1284" w:rsidRPr="00D074D4" w:rsidRDefault="004E1284" w:rsidP="004E1284">
      <w:pPr>
        <w:autoSpaceDE w:val="0"/>
        <w:autoSpaceDN w:val="0"/>
        <w:adjustRightInd w:val="0"/>
        <w:jc w:val="center"/>
      </w:pPr>
      <w:r w:rsidRPr="00D074D4">
        <w:rPr>
          <w:i/>
        </w:rPr>
        <w:t xml:space="preserve">  форме 0503162</w:t>
      </w:r>
      <w:r w:rsidRPr="00D074D4">
        <w:t xml:space="preserve"> </w:t>
      </w:r>
    </w:p>
    <w:p w:rsidR="004E1284" w:rsidRPr="00D074D4" w:rsidRDefault="004E1284" w:rsidP="004E128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074D4">
        <w:rPr>
          <w:rFonts w:eastAsiaTheme="minorHAnsi"/>
          <w:lang w:eastAsia="en-US"/>
        </w:rPr>
        <w:t>Анализ проведен на основании показателей формы 0503162 «Сведения о результатах деятельности», отражающей достижение показателей деятельности в натуральном и стоимостном выражении.</w:t>
      </w:r>
    </w:p>
    <w:p w:rsidR="004E1284" w:rsidRPr="00D074D4" w:rsidRDefault="004E1284" w:rsidP="004E128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074D4">
        <w:rPr>
          <w:rFonts w:eastAsiaTheme="minorHAnsi"/>
          <w:lang w:eastAsia="en-US"/>
        </w:rPr>
        <w:t xml:space="preserve">Согласно п.161 Инструкции № 191н в данной форме содержатся обобщенные за отчетный период данные о результатах деятельности субъекта бюджетной отчетности при исполнении </w:t>
      </w:r>
      <w:r w:rsidRPr="00D074D4">
        <w:rPr>
          <w:rFonts w:eastAsiaTheme="minorHAnsi"/>
          <w:u w:val="single"/>
          <w:lang w:eastAsia="en-US"/>
        </w:rPr>
        <w:t>государственного задания</w:t>
      </w:r>
      <w:r w:rsidRPr="00D074D4">
        <w:rPr>
          <w:rFonts w:eastAsiaTheme="minorHAnsi"/>
          <w:lang w:eastAsia="en-US"/>
        </w:rPr>
        <w:t>, в том числе о результатах деятельности подведомственных бюджетных и автономных учреждений в пределах предоставленных им субсидий из соответствующего бюджета на исполнение государственного задания.</w:t>
      </w:r>
    </w:p>
    <w:p w:rsidR="004E1284" w:rsidRPr="00D074D4" w:rsidRDefault="004E1284" w:rsidP="004E1284">
      <w:pPr>
        <w:ind w:firstLine="708"/>
        <w:jc w:val="both"/>
        <w:rPr>
          <w:rFonts w:eastAsiaTheme="minorHAnsi"/>
          <w:lang w:eastAsia="en-US"/>
        </w:rPr>
      </w:pPr>
      <w:r w:rsidRPr="00D074D4">
        <w:rPr>
          <w:rFonts w:eastAsiaTheme="minorHAnsi"/>
          <w:lang w:eastAsia="en-US"/>
        </w:rPr>
        <w:t>В нарушение указанного пункта в представленной к проверке форме 0503162 указана информация, не содержащая данных о результатах деятельности при исполнении государственного задания. В указанной форме содержатся данные о расходах Комитета и подведомственных ему учреждений, не установленных государственным заданием.</w:t>
      </w:r>
    </w:p>
    <w:p w:rsidR="004E1284" w:rsidRPr="00D074D4" w:rsidRDefault="004E1284" w:rsidP="004E1284">
      <w:pPr>
        <w:autoSpaceDE w:val="0"/>
        <w:autoSpaceDN w:val="0"/>
        <w:adjustRightInd w:val="0"/>
        <w:ind w:firstLine="709"/>
        <w:jc w:val="both"/>
      </w:pPr>
      <w:r w:rsidRPr="00D074D4">
        <w:t>В ходе проверки нарушение устранено.</w:t>
      </w:r>
    </w:p>
    <w:p w:rsidR="004E1284" w:rsidRPr="00D074D4" w:rsidRDefault="004E1284" w:rsidP="004E128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074D4">
        <w:t xml:space="preserve">Согласно данным </w:t>
      </w:r>
      <w:r w:rsidRPr="00D074D4">
        <w:rPr>
          <w:rFonts w:eastAsiaTheme="minorHAnsi"/>
          <w:lang w:eastAsia="en-US"/>
        </w:rPr>
        <w:t xml:space="preserve">формы 0503162 «Сведения о результатах деятельности», в основном, показатели, установленные государственными заданиями Комитета, достигнуты. </w:t>
      </w:r>
    </w:p>
    <w:p w:rsidR="004E1284" w:rsidRPr="00D074D4" w:rsidRDefault="004E1284" w:rsidP="004E1284">
      <w:pPr>
        <w:autoSpaceDE w:val="0"/>
        <w:autoSpaceDN w:val="0"/>
        <w:adjustRightInd w:val="0"/>
        <w:ind w:firstLine="709"/>
        <w:jc w:val="both"/>
      </w:pPr>
      <w:r w:rsidRPr="00D074D4">
        <w:t xml:space="preserve">Информация о показателях, по которым достигнутые значения отклоняются </w:t>
      </w:r>
      <w:proofErr w:type="gramStart"/>
      <w:r w:rsidRPr="00D074D4">
        <w:t>от</w:t>
      </w:r>
      <w:proofErr w:type="gramEnd"/>
      <w:r w:rsidRPr="00D074D4">
        <w:t xml:space="preserve"> запланированных,  представлена в таблице №3.</w:t>
      </w:r>
    </w:p>
    <w:p w:rsidR="004E1284" w:rsidRPr="00D074D4" w:rsidRDefault="004E1284" w:rsidP="004E1284">
      <w:pPr>
        <w:autoSpaceDE w:val="0"/>
        <w:autoSpaceDN w:val="0"/>
        <w:adjustRightInd w:val="0"/>
        <w:ind w:firstLine="709"/>
        <w:jc w:val="right"/>
        <w:rPr>
          <w:i/>
        </w:rPr>
      </w:pPr>
      <w:r w:rsidRPr="00D074D4">
        <w:rPr>
          <w:i/>
        </w:rPr>
        <w:t>Таблица №3</w:t>
      </w:r>
    </w:p>
    <w:tbl>
      <w:tblPr>
        <w:tblW w:w="9508" w:type="dxa"/>
        <w:tblInd w:w="98" w:type="dxa"/>
        <w:tblLayout w:type="fixed"/>
        <w:tblLook w:val="04A0"/>
      </w:tblPr>
      <w:tblGrid>
        <w:gridCol w:w="3271"/>
        <w:gridCol w:w="1418"/>
        <w:gridCol w:w="708"/>
        <w:gridCol w:w="993"/>
        <w:gridCol w:w="709"/>
        <w:gridCol w:w="850"/>
        <w:gridCol w:w="709"/>
        <w:gridCol w:w="850"/>
      </w:tblGrid>
      <w:tr w:rsidR="004E1284" w:rsidRPr="00D074D4" w:rsidTr="0019425D">
        <w:trPr>
          <w:trHeight w:val="51"/>
          <w:tblHeader/>
        </w:trPr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По плану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Фактически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Отклонение от плана %</w:t>
            </w:r>
          </w:p>
        </w:tc>
      </w:tr>
      <w:tr w:rsidR="004E1284" w:rsidRPr="00D074D4" w:rsidTr="0019425D">
        <w:trPr>
          <w:trHeight w:val="51"/>
          <w:tblHeader/>
        </w:trPr>
        <w:tc>
          <w:tcPr>
            <w:tcW w:w="3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Кол-во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 xml:space="preserve">Сумма </w:t>
            </w:r>
            <w:r w:rsidRPr="00D074D4">
              <w:rPr>
                <w:sz w:val="12"/>
                <w:szCs w:val="12"/>
              </w:rPr>
              <w:t>(тыс. 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Кол-во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 xml:space="preserve">Сумма </w:t>
            </w:r>
            <w:r w:rsidRPr="00D074D4">
              <w:rPr>
                <w:sz w:val="12"/>
                <w:szCs w:val="12"/>
              </w:rPr>
              <w:t>(тыс. 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Кол-во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8"/>
                <w:szCs w:val="18"/>
              </w:rPr>
            </w:pPr>
            <w:r w:rsidRPr="00D074D4">
              <w:rPr>
                <w:sz w:val="18"/>
                <w:szCs w:val="18"/>
              </w:rPr>
              <w:t>Сумма</w:t>
            </w:r>
          </w:p>
        </w:tc>
      </w:tr>
      <w:tr w:rsidR="004E1284" w:rsidRPr="00D074D4" w:rsidTr="0019425D">
        <w:trPr>
          <w:trHeight w:val="23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284" w:rsidRPr="00D074D4" w:rsidRDefault="004E1284" w:rsidP="0019425D">
            <w:pPr>
              <w:rPr>
                <w:color w:val="000000"/>
                <w:sz w:val="18"/>
                <w:szCs w:val="18"/>
              </w:rPr>
            </w:pPr>
            <w:r w:rsidRPr="00D074D4">
              <w:rPr>
                <w:color w:val="000000"/>
                <w:sz w:val="18"/>
                <w:szCs w:val="18"/>
              </w:rPr>
              <w:t>Услуга по реализации программ дополнительного образования детей и молодежи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rPr>
                <w:color w:val="000000"/>
                <w:sz w:val="18"/>
                <w:szCs w:val="18"/>
              </w:rPr>
            </w:pPr>
            <w:r w:rsidRPr="00D074D4">
              <w:rPr>
                <w:color w:val="000000"/>
                <w:sz w:val="18"/>
                <w:szCs w:val="18"/>
              </w:rPr>
              <w:t>численность обучающихся, человек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color w:val="000000"/>
                <w:sz w:val="16"/>
                <w:szCs w:val="16"/>
              </w:rPr>
            </w:pPr>
            <w:r w:rsidRPr="00D074D4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color w:val="000000"/>
                <w:sz w:val="16"/>
                <w:szCs w:val="16"/>
              </w:rPr>
            </w:pPr>
            <w:r w:rsidRPr="00D074D4">
              <w:rPr>
                <w:color w:val="000000"/>
                <w:sz w:val="16"/>
                <w:szCs w:val="16"/>
              </w:rPr>
              <w:t>3 412,4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6"/>
              </w:rPr>
            </w:pPr>
            <w:r w:rsidRPr="00D074D4">
              <w:rPr>
                <w:sz w:val="16"/>
                <w:szCs w:val="16"/>
              </w:rPr>
              <w:t>357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rPr>
                <w:sz w:val="16"/>
                <w:szCs w:val="16"/>
              </w:rPr>
            </w:pPr>
            <w:r w:rsidRPr="00D074D4">
              <w:rPr>
                <w:sz w:val="16"/>
                <w:szCs w:val="16"/>
              </w:rPr>
              <w:t>3412,4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6"/>
              </w:rPr>
            </w:pPr>
            <w:r w:rsidRPr="00D074D4">
              <w:rPr>
                <w:sz w:val="16"/>
                <w:szCs w:val="16"/>
              </w:rPr>
              <w:t>-3,5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6"/>
              </w:rPr>
            </w:pPr>
            <w:r w:rsidRPr="00D074D4">
              <w:rPr>
                <w:sz w:val="16"/>
                <w:szCs w:val="16"/>
              </w:rPr>
              <w:t>0</w:t>
            </w:r>
          </w:p>
        </w:tc>
      </w:tr>
      <w:tr w:rsidR="004E1284" w:rsidRPr="00D074D4" w:rsidTr="0019425D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284" w:rsidRPr="00D074D4" w:rsidRDefault="004E1284" w:rsidP="0019425D">
            <w:pPr>
              <w:rPr>
                <w:color w:val="000000"/>
                <w:sz w:val="18"/>
                <w:szCs w:val="18"/>
              </w:rPr>
            </w:pPr>
            <w:r w:rsidRPr="00D074D4">
              <w:rPr>
                <w:color w:val="000000"/>
                <w:sz w:val="18"/>
                <w:szCs w:val="18"/>
              </w:rPr>
              <w:t xml:space="preserve">Работа по информационному </w:t>
            </w:r>
            <w:r w:rsidRPr="00D074D4">
              <w:rPr>
                <w:color w:val="000000"/>
                <w:sz w:val="18"/>
                <w:szCs w:val="18"/>
              </w:rPr>
              <w:lastRenderedPageBreak/>
              <w:t>сопровождению молодежной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rPr>
                <w:color w:val="000000"/>
                <w:sz w:val="18"/>
                <w:szCs w:val="18"/>
              </w:rPr>
            </w:pPr>
            <w:r w:rsidRPr="00D074D4">
              <w:rPr>
                <w:color w:val="000000"/>
                <w:sz w:val="18"/>
                <w:szCs w:val="18"/>
              </w:rPr>
              <w:lastRenderedPageBreak/>
              <w:t xml:space="preserve"> 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color w:val="000000"/>
                <w:sz w:val="16"/>
                <w:szCs w:val="16"/>
              </w:rPr>
            </w:pPr>
            <w:r w:rsidRPr="00D074D4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color w:val="000000"/>
                <w:sz w:val="16"/>
                <w:szCs w:val="16"/>
              </w:rPr>
            </w:pPr>
            <w:r w:rsidRPr="00D074D4">
              <w:rPr>
                <w:color w:val="000000"/>
                <w:sz w:val="16"/>
                <w:szCs w:val="16"/>
              </w:rPr>
              <w:t>1 490,0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6"/>
              </w:rPr>
            </w:pPr>
            <w:r w:rsidRPr="00D074D4">
              <w:rPr>
                <w:sz w:val="16"/>
                <w:szCs w:val="16"/>
              </w:rPr>
              <w:t>677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6"/>
              </w:rPr>
            </w:pPr>
            <w:r w:rsidRPr="00D074D4">
              <w:rPr>
                <w:sz w:val="16"/>
                <w:szCs w:val="16"/>
              </w:rPr>
              <w:t>1490,9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6"/>
              </w:rPr>
            </w:pPr>
            <w:r w:rsidRPr="00D074D4">
              <w:rPr>
                <w:sz w:val="16"/>
                <w:szCs w:val="16"/>
              </w:rPr>
              <w:t>69,3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6"/>
              </w:rPr>
            </w:pPr>
            <w:r w:rsidRPr="00D074D4">
              <w:rPr>
                <w:sz w:val="16"/>
                <w:szCs w:val="16"/>
              </w:rPr>
              <w:t>0,1</w:t>
            </w:r>
          </w:p>
        </w:tc>
      </w:tr>
      <w:tr w:rsidR="004E1284" w:rsidRPr="00D074D4" w:rsidTr="0019425D">
        <w:trPr>
          <w:trHeight w:val="303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284" w:rsidRPr="00D074D4" w:rsidRDefault="004E1284" w:rsidP="0019425D">
            <w:pPr>
              <w:rPr>
                <w:color w:val="000000"/>
                <w:sz w:val="18"/>
                <w:szCs w:val="18"/>
              </w:rPr>
            </w:pPr>
            <w:r w:rsidRPr="00D074D4">
              <w:rPr>
                <w:color w:val="000000"/>
                <w:sz w:val="18"/>
                <w:szCs w:val="18"/>
              </w:rPr>
              <w:lastRenderedPageBreak/>
              <w:t>Работа по проведению мероприятий по пропаганде здорового образа жизни и профилактике употребления психоактивных веществ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rPr>
                <w:color w:val="000000"/>
                <w:sz w:val="18"/>
                <w:szCs w:val="18"/>
              </w:rPr>
            </w:pPr>
            <w:r w:rsidRPr="00D074D4">
              <w:rPr>
                <w:color w:val="000000"/>
                <w:sz w:val="18"/>
                <w:szCs w:val="18"/>
              </w:rPr>
              <w:t>мероприятие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color w:val="000000"/>
                <w:sz w:val="16"/>
                <w:szCs w:val="16"/>
              </w:rPr>
            </w:pPr>
            <w:r w:rsidRPr="00D074D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color w:val="000000"/>
                <w:sz w:val="16"/>
                <w:szCs w:val="16"/>
              </w:rPr>
            </w:pPr>
            <w:r w:rsidRPr="00D074D4">
              <w:rPr>
                <w:color w:val="000000"/>
                <w:sz w:val="16"/>
                <w:szCs w:val="16"/>
              </w:rPr>
              <w:t>464,3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6"/>
              </w:rPr>
            </w:pPr>
            <w:r w:rsidRPr="00D074D4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6"/>
              </w:rPr>
            </w:pPr>
            <w:r w:rsidRPr="00D074D4">
              <w:rPr>
                <w:sz w:val="16"/>
                <w:szCs w:val="16"/>
              </w:rPr>
              <w:t>416,7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6"/>
              </w:rPr>
            </w:pPr>
            <w:r w:rsidRPr="00D074D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6"/>
              </w:rPr>
            </w:pPr>
            <w:r w:rsidRPr="00D074D4">
              <w:rPr>
                <w:sz w:val="16"/>
                <w:szCs w:val="16"/>
              </w:rPr>
              <w:t>-10,2</w:t>
            </w:r>
          </w:p>
        </w:tc>
      </w:tr>
    </w:tbl>
    <w:p w:rsidR="004E1284" w:rsidRPr="00D074D4" w:rsidRDefault="004E1284" w:rsidP="004E1284">
      <w:pPr>
        <w:autoSpaceDE w:val="0"/>
        <w:autoSpaceDN w:val="0"/>
        <w:adjustRightInd w:val="0"/>
        <w:ind w:firstLine="600"/>
        <w:jc w:val="both"/>
      </w:pPr>
      <w:r w:rsidRPr="00D074D4">
        <w:t>Показатель «</w:t>
      </w:r>
      <w:r w:rsidRPr="00D074D4">
        <w:rPr>
          <w:color w:val="000000"/>
        </w:rPr>
        <w:t xml:space="preserve">Работа по информационному сопровождению молодежной политики» перевыполнен на 69,3%, </w:t>
      </w:r>
      <w:r w:rsidRPr="00D074D4">
        <w:t>при этом расходы на проведение данной работы превышены лишь на 0,1% от планового показателя, что может свидетельствовать о завышении объема средств на выполнение работы при формировании государственного задания.</w:t>
      </w:r>
    </w:p>
    <w:p w:rsidR="004E1284" w:rsidRPr="00D074D4" w:rsidRDefault="004E1284" w:rsidP="004E1284">
      <w:pPr>
        <w:autoSpaceDE w:val="0"/>
        <w:autoSpaceDN w:val="0"/>
        <w:adjustRightInd w:val="0"/>
        <w:ind w:firstLine="600"/>
        <w:jc w:val="both"/>
      </w:pPr>
      <w:proofErr w:type="gramStart"/>
      <w:r w:rsidRPr="00D074D4">
        <w:t>Вышеуказанное</w:t>
      </w:r>
      <w:proofErr w:type="gramEnd"/>
      <w:r w:rsidRPr="00D074D4">
        <w:t xml:space="preserve"> свидетельствует об отсутствии взаимосвязи между финансовым обеспечением выполнения этих показателей и фактически доведенными натуральными показателями.</w:t>
      </w:r>
    </w:p>
    <w:p w:rsidR="004E1284" w:rsidRPr="00D074D4" w:rsidRDefault="004E1284" w:rsidP="004E1284">
      <w:pPr>
        <w:ind w:firstLine="708"/>
        <w:jc w:val="both"/>
      </w:pPr>
      <w:r w:rsidRPr="00D074D4">
        <w:t>В отчетах о выполнении государственных заданий государственными учреждениями Комитета за 2015 год 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(процентов), не предусмотрены, что не позволяет оценить достижение запланированных показателей, указанных в таблице №3.</w:t>
      </w:r>
    </w:p>
    <w:p w:rsidR="004E1284" w:rsidRPr="00D074D4" w:rsidRDefault="004E1284" w:rsidP="004E1284">
      <w:pPr>
        <w:spacing w:before="120"/>
        <w:ind w:firstLine="709"/>
        <w:jc w:val="center"/>
        <w:rPr>
          <w:i/>
        </w:rPr>
      </w:pPr>
      <w:r w:rsidRPr="00D074D4">
        <w:rPr>
          <w:i/>
        </w:rPr>
        <w:t>Анализ исполнения мероприятий в рамках целевых программ</w:t>
      </w:r>
    </w:p>
    <w:p w:rsidR="004E1284" w:rsidRPr="00D074D4" w:rsidRDefault="004E1284" w:rsidP="004E1284">
      <w:pPr>
        <w:ind w:firstLine="708"/>
        <w:jc w:val="both"/>
      </w:pPr>
      <w:r w:rsidRPr="00D074D4">
        <w:t>Анализ проведен на основании формы бюджетной отчетности 0503166 «Сведения об исполнении мероприятий в рамках целевых программ».</w:t>
      </w:r>
    </w:p>
    <w:p w:rsidR="004E1284" w:rsidRPr="00D074D4" w:rsidRDefault="004E1284" w:rsidP="004E1284">
      <w:pPr>
        <w:ind w:firstLine="708"/>
        <w:jc w:val="both"/>
      </w:pPr>
      <w:r w:rsidRPr="00D074D4">
        <w:t xml:space="preserve">На 2015 год на реализацию  мероприятий по ведомственным и государственным программам Волгоградской области утверждены бюджетные ассигнования в сумме </w:t>
      </w:r>
      <w:r w:rsidRPr="00D074D4">
        <w:rPr>
          <w:bCs/>
        </w:rPr>
        <w:t xml:space="preserve">631606,9 </w:t>
      </w:r>
      <w:r w:rsidRPr="00D074D4">
        <w:t xml:space="preserve">тыс. руб., исполнение по которым составило </w:t>
      </w:r>
      <w:r w:rsidRPr="00D074D4">
        <w:rPr>
          <w:bCs/>
        </w:rPr>
        <w:t>622903,2</w:t>
      </w:r>
      <w:r w:rsidRPr="00D074D4">
        <w:t xml:space="preserve"> тыс. руб., или 98,6 процентов. </w:t>
      </w:r>
    </w:p>
    <w:p w:rsidR="004E1284" w:rsidRPr="00D074D4" w:rsidRDefault="004E1284" w:rsidP="004E1284">
      <w:pPr>
        <w:pStyle w:val="2"/>
        <w:spacing w:after="0" w:line="240" w:lineRule="auto"/>
        <w:ind w:firstLine="709"/>
        <w:jc w:val="both"/>
      </w:pPr>
      <w:r w:rsidRPr="00D074D4">
        <w:t>Сведения об исполнении целевых программ представлены в таблице №4.</w:t>
      </w:r>
    </w:p>
    <w:p w:rsidR="004E1284" w:rsidRPr="00D074D4" w:rsidRDefault="004E1284" w:rsidP="004E1284">
      <w:pPr>
        <w:pStyle w:val="2"/>
        <w:spacing w:after="0" w:line="240" w:lineRule="auto"/>
        <w:ind w:firstLine="709"/>
        <w:jc w:val="right"/>
        <w:rPr>
          <w:i/>
        </w:rPr>
      </w:pPr>
      <w:r w:rsidRPr="00D074D4">
        <w:rPr>
          <w:i/>
        </w:rPr>
        <w:t>Таблица №4</w:t>
      </w:r>
    </w:p>
    <w:p w:rsidR="004E1284" w:rsidRPr="00D074D4" w:rsidRDefault="004E1284" w:rsidP="004E1284">
      <w:pPr>
        <w:pStyle w:val="2"/>
        <w:spacing w:after="0" w:line="240" w:lineRule="auto"/>
        <w:ind w:firstLine="709"/>
        <w:jc w:val="right"/>
      </w:pPr>
      <w:r w:rsidRPr="00D074D4">
        <w:rPr>
          <w:i/>
          <w:sz w:val="12"/>
          <w:szCs w:val="12"/>
        </w:rPr>
        <w:t>( тыс. руб.)</w:t>
      </w:r>
    </w:p>
    <w:tbl>
      <w:tblPr>
        <w:tblW w:w="9311" w:type="dxa"/>
        <w:tblInd w:w="98" w:type="dxa"/>
        <w:tblLook w:val="04A0"/>
      </w:tblPr>
      <w:tblGrid>
        <w:gridCol w:w="5255"/>
        <w:gridCol w:w="1276"/>
        <w:gridCol w:w="1100"/>
        <w:gridCol w:w="1080"/>
        <w:gridCol w:w="600"/>
      </w:tblGrid>
      <w:tr w:rsidR="004E1284" w:rsidRPr="00D074D4" w:rsidTr="0019425D">
        <w:trPr>
          <w:trHeight w:val="20"/>
          <w:tblHeader/>
        </w:trPr>
        <w:tc>
          <w:tcPr>
            <w:tcW w:w="5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Наименование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Утверждено бюджетной росписью, с учетом изменений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Исполнено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к бюджетной росписи</w:t>
            </w:r>
          </w:p>
        </w:tc>
      </w:tr>
      <w:tr w:rsidR="004E1284" w:rsidRPr="00D074D4" w:rsidTr="0019425D">
        <w:trPr>
          <w:trHeight w:val="20"/>
          <w:tblHeader/>
        </w:trPr>
        <w:tc>
          <w:tcPr>
            <w:tcW w:w="5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отклонение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center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%</w:t>
            </w:r>
          </w:p>
        </w:tc>
      </w:tr>
      <w:tr w:rsidR="004E1284" w:rsidRPr="00D074D4" w:rsidTr="0019425D">
        <w:trPr>
          <w:trHeight w:val="20"/>
        </w:trPr>
        <w:tc>
          <w:tcPr>
            <w:tcW w:w="5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284" w:rsidRPr="00D074D4" w:rsidRDefault="004E1284" w:rsidP="0019425D">
            <w:pPr>
              <w:jc w:val="both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Ведомственная целевая программа «Организация отдыха и оздоровления детей, проживающих в Волгоградской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335812,4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330499,0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-5313,4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98,4</w:t>
            </w:r>
          </w:p>
        </w:tc>
      </w:tr>
      <w:tr w:rsidR="004E1284" w:rsidRPr="00D074D4" w:rsidTr="0019425D">
        <w:trPr>
          <w:trHeight w:val="20"/>
        </w:trPr>
        <w:tc>
          <w:tcPr>
            <w:tcW w:w="5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284" w:rsidRPr="00D074D4" w:rsidRDefault="004E1284" w:rsidP="0019425D">
            <w:pPr>
              <w:jc w:val="both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Государственная программа Волгоградской области «Развитие системы профилактики немедицинского потребления наркотиков, алкоголя и других психоактивных веществ и совершенствование системы оказания медицинской помощи больным наркологического профиля в Волгоградской области» на 2014-2017 годы.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1383,3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1315,7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-67,6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95,1</w:t>
            </w:r>
          </w:p>
        </w:tc>
      </w:tr>
      <w:tr w:rsidR="004E1284" w:rsidRPr="00D074D4" w:rsidTr="0019425D">
        <w:trPr>
          <w:trHeight w:val="20"/>
        </w:trPr>
        <w:tc>
          <w:tcPr>
            <w:tcW w:w="5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284" w:rsidRPr="00D074D4" w:rsidRDefault="004E1284" w:rsidP="0019425D">
            <w:pPr>
              <w:jc w:val="both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 xml:space="preserve">Государственная программа Волгоградской области «Региональная молодежная политика Волгоградской области» на 2014-2016 годы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69643,7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66321,0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-3322,7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95,2</w:t>
            </w:r>
          </w:p>
        </w:tc>
      </w:tr>
      <w:tr w:rsidR="004E1284" w:rsidRPr="00D074D4" w:rsidTr="0019425D">
        <w:trPr>
          <w:trHeight w:val="20"/>
        </w:trPr>
        <w:tc>
          <w:tcPr>
            <w:tcW w:w="5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284" w:rsidRPr="00D074D4" w:rsidRDefault="004E1284" w:rsidP="0019425D">
            <w:pPr>
              <w:jc w:val="both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 xml:space="preserve">Государственная программа Волгоградской области «Экономическое развитие и инновационная экономика» на 2014-2016 годы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10000,0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10000,0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100,0</w:t>
            </w:r>
          </w:p>
        </w:tc>
      </w:tr>
      <w:tr w:rsidR="004E1284" w:rsidRPr="00D074D4" w:rsidTr="0019425D">
        <w:trPr>
          <w:trHeight w:val="76"/>
        </w:trPr>
        <w:tc>
          <w:tcPr>
            <w:tcW w:w="5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284" w:rsidRPr="00D074D4" w:rsidRDefault="004E1284" w:rsidP="0019425D">
            <w:pPr>
              <w:jc w:val="both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Государственная программа Волгоградской области «Обеспечение доступным и комфортным жильем и коммунальными услугами жителей Волгоградской области» на 2014 - 2016 годы (Подпрограмма «Молодой семье - доступное жилье»)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214767,5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214767,5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100,0</w:t>
            </w:r>
          </w:p>
        </w:tc>
      </w:tr>
      <w:tr w:rsidR="004E1284" w:rsidRPr="00D074D4" w:rsidTr="0019425D">
        <w:trPr>
          <w:trHeight w:val="20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284" w:rsidRPr="00D074D4" w:rsidRDefault="004E1284" w:rsidP="0019425D">
            <w:pPr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631606,9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622903,2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-8703,7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20"/>
              </w:rPr>
            </w:pPr>
            <w:r w:rsidRPr="00D074D4">
              <w:rPr>
                <w:sz w:val="16"/>
                <w:szCs w:val="20"/>
              </w:rPr>
              <w:t>98,6</w:t>
            </w:r>
          </w:p>
        </w:tc>
      </w:tr>
    </w:tbl>
    <w:p w:rsidR="004E1284" w:rsidRPr="00D074D4" w:rsidRDefault="004E1284" w:rsidP="004E1284">
      <w:pPr>
        <w:ind w:firstLine="720"/>
        <w:jc w:val="both"/>
      </w:pPr>
      <w:r w:rsidRPr="00D074D4">
        <w:t xml:space="preserve">Основными причинами неисполнения в 2015 году целевых программ на </w:t>
      </w:r>
      <w:r w:rsidRPr="00D074D4">
        <w:rPr>
          <w:bCs/>
        </w:rPr>
        <w:t xml:space="preserve">8703,7 тыс. руб., согласно форме бюджетной отчетности 0503166 , </w:t>
      </w:r>
      <w:r w:rsidRPr="00D074D4">
        <w:t>являются:</w:t>
      </w:r>
    </w:p>
    <w:p w:rsidR="004E1284" w:rsidRPr="00D074D4" w:rsidRDefault="004E1284" w:rsidP="004E1284">
      <w:pPr>
        <w:ind w:firstLine="720"/>
        <w:jc w:val="both"/>
      </w:pPr>
      <w:r w:rsidRPr="00D074D4">
        <w:t xml:space="preserve"> - 5312,4 тыс. руб. по ведомственной целевой программе  «Организация отдыха и оздоровления детей, проживающих в Волгоградской области» - «оплата работ по факту на основании актов выполненных работ; уменьшение численности получателей выплат»;</w:t>
      </w:r>
    </w:p>
    <w:p w:rsidR="004E1284" w:rsidRPr="00D074D4" w:rsidRDefault="004E1284" w:rsidP="004E1284">
      <w:pPr>
        <w:ind w:firstLine="720"/>
        <w:jc w:val="both"/>
        <w:rPr>
          <w:lang w:eastAsia="en-US"/>
        </w:rPr>
      </w:pPr>
      <w:r w:rsidRPr="00D074D4">
        <w:t xml:space="preserve"> - 3322,7</w:t>
      </w:r>
      <w:r w:rsidRPr="00D074D4">
        <w:rPr>
          <w:lang w:eastAsia="en-US"/>
        </w:rPr>
        <w:t xml:space="preserve"> тыс. руб.</w:t>
      </w:r>
      <w:r w:rsidRPr="00D074D4">
        <w:t xml:space="preserve"> по государственной программе Волгоградской области «Региональная молодежная политика Волгоградской области» на 2014-2016 годы - «оплата работ по факту на основании актов выполненных работ; вовремя не представлены данные на поощрение выпускников школ»</w:t>
      </w:r>
      <w:r w:rsidRPr="00D074D4">
        <w:rPr>
          <w:lang w:eastAsia="en-US"/>
        </w:rPr>
        <w:t>.</w:t>
      </w:r>
    </w:p>
    <w:p w:rsidR="004E1284" w:rsidRPr="00D074D4" w:rsidRDefault="004E1284" w:rsidP="004E1284">
      <w:pPr>
        <w:ind w:firstLine="720"/>
        <w:jc w:val="both"/>
        <w:rPr>
          <w:bCs/>
        </w:rPr>
      </w:pPr>
      <w:r w:rsidRPr="00D074D4">
        <w:rPr>
          <w:bCs/>
        </w:rPr>
        <w:lastRenderedPageBreak/>
        <w:t xml:space="preserve">В форме бюджетной отчетности 0503166 </w:t>
      </w:r>
      <w:r w:rsidRPr="00D074D4">
        <w:t>«Сведения об исполнении мероприятий в рамках целевых программ»</w:t>
      </w:r>
      <w:r w:rsidRPr="00D074D4">
        <w:rPr>
          <w:bCs/>
        </w:rPr>
        <w:t xml:space="preserve"> предусмотрены сведения об исполнении целевых программ в финансовом значении, исполнение количественных показателей целевых программ данной формой не предусмотрено.</w:t>
      </w:r>
    </w:p>
    <w:p w:rsidR="004E1284" w:rsidRPr="00D074D4" w:rsidRDefault="004E1284" w:rsidP="004E1284">
      <w:pPr>
        <w:ind w:firstLine="708"/>
        <w:jc w:val="both"/>
        <w:rPr>
          <w:rFonts w:eastAsiaTheme="minorHAnsi"/>
          <w:lang w:eastAsia="en-US"/>
        </w:rPr>
      </w:pPr>
      <w:r w:rsidRPr="00D074D4">
        <w:rPr>
          <w:bCs/>
        </w:rPr>
        <w:t xml:space="preserve">Согласно п.5.6 Порядка разработки, реализации и оценки эффективности реализации государственных программ Волгоградской области, утвержденного </w:t>
      </w:r>
      <w:hyperlink w:anchor="sub_0" w:history="1">
        <w:r w:rsidRPr="00D074D4">
          <w:rPr>
            <w:bCs/>
          </w:rPr>
          <w:t>постановлением</w:t>
        </w:r>
      </w:hyperlink>
      <w:r w:rsidRPr="00D074D4">
        <w:rPr>
          <w:bCs/>
        </w:rPr>
        <w:t xml:space="preserve"> Правительства Волгоградской области от 27.08.2013 №423-п </w:t>
      </w:r>
      <w:r w:rsidRPr="00D074D4">
        <w:rPr>
          <w:rFonts w:eastAsiaTheme="minorHAnsi"/>
          <w:lang w:eastAsia="en-US"/>
        </w:rPr>
        <w:t>ответственный исполнитель государственной программы отчет о ее выполнении  направляет ежеквартально до 20-го числа месяца, следующего за отчетным кварталом. Таким образом проанализировать достижение количественных показателей в ходе реализации целевых программ за 2015 год на основании бюджетной отчетности не представляется возможным.</w:t>
      </w:r>
    </w:p>
    <w:p w:rsidR="004E1284" w:rsidRPr="00D074D4" w:rsidRDefault="004E1284" w:rsidP="004E1284">
      <w:pPr>
        <w:spacing w:before="120"/>
        <w:jc w:val="both"/>
      </w:pPr>
      <w:r w:rsidRPr="00D074D4">
        <w:rPr>
          <w:i/>
        </w:rPr>
        <w:tab/>
      </w:r>
      <w:r w:rsidRPr="00D074D4">
        <w:t>Как следует из таблицы №4, основная доля ассигнований на реализацию государственных программ приходится на подпрограмму «Молодой семье - доступное жилье» - 214767,5 тыс. руб., или 72,6 % от 295794,5 тыс. руб., предусмотренных Комитету на реализацию государственных программ.</w:t>
      </w:r>
    </w:p>
    <w:p w:rsidR="004E1284" w:rsidRPr="00D074D4" w:rsidRDefault="004E1284" w:rsidP="004E1284">
      <w:pPr>
        <w:ind w:firstLine="709"/>
        <w:jc w:val="both"/>
      </w:pPr>
      <w:r w:rsidRPr="00D074D4">
        <w:t>В 2015 году за счет ассигнований 2015 года и востребованных неиспользованных остатков прошлых лет реализация подпрограммы «Молодой семье - доступное жилье» сложилась следующим образом.</w:t>
      </w:r>
    </w:p>
    <w:p w:rsidR="004E1284" w:rsidRPr="00D074D4" w:rsidRDefault="004E1284" w:rsidP="004E1284">
      <w:pPr>
        <w:ind w:firstLine="709"/>
        <w:jc w:val="both"/>
      </w:pPr>
      <w:r w:rsidRPr="00D074D4">
        <w:t>По состоянию на 01.01.2015 участниками Подпрограммы  являлись 4125 молодых семей из 52 муниципальных образований (далее МО).</w:t>
      </w:r>
    </w:p>
    <w:p w:rsidR="004E1284" w:rsidRPr="00D074D4" w:rsidRDefault="004E1284" w:rsidP="004E1284">
      <w:pPr>
        <w:ind w:firstLine="709"/>
        <w:jc w:val="both"/>
      </w:pPr>
      <w:r w:rsidRPr="00D074D4">
        <w:t>В список молодых семей – претендентов на получение свидетельств о получении социальной выплаты в 2015 году включено 370 молодых семей (приказ Комитета от 02.09.2015 №272-ОД), что соответствует целевому показателю Подпрограммы.</w:t>
      </w:r>
    </w:p>
    <w:p w:rsidR="004E1284" w:rsidRPr="00D074D4" w:rsidRDefault="004E1284" w:rsidP="004E1284">
      <w:pPr>
        <w:ind w:firstLine="709"/>
        <w:jc w:val="both"/>
      </w:pPr>
      <w:r w:rsidRPr="00D074D4">
        <w:t xml:space="preserve">Согласно докладу об исполнении Подпрограммы от 05.02.2016, утвержденного председателем Комитета, в 2015 году жилищные условия улучшили 100 молодых семей, или 27% от количества молодых семей – претендентов на получение социальной выплаты в 2015 году (370 семей), и в 25 раз больше чем в 2014 году (4 семьи). </w:t>
      </w:r>
    </w:p>
    <w:p w:rsidR="004E1284" w:rsidRPr="00D074D4" w:rsidRDefault="004E1284" w:rsidP="004E1284">
      <w:pPr>
        <w:ind w:firstLine="709"/>
        <w:jc w:val="both"/>
      </w:pPr>
      <w:r w:rsidRPr="00D074D4">
        <w:t>По соглашениям прошлых периодов в 2015 году жилищные условия улучшили 316 молодых семей.</w:t>
      </w:r>
    </w:p>
    <w:p w:rsidR="004E1284" w:rsidRPr="00D074D4" w:rsidRDefault="004E1284" w:rsidP="004E1284">
      <w:pPr>
        <w:ind w:firstLine="708"/>
        <w:jc w:val="both"/>
        <w:rPr>
          <w:i/>
        </w:rPr>
      </w:pPr>
      <w:r w:rsidRPr="00D074D4">
        <w:rPr>
          <w:i/>
        </w:rPr>
        <w:t>Информация об остатках субсидий по состоянию на 01.01.2016 представлена в таблице №5.</w:t>
      </w:r>
    </w:p>
    <w:p w:rsidR="004E1284" w:rsidRPr="00D074D4" w:rsidRDefault="004E1284" w:rsidP="004E1284">
      <w:pPr>
        <w:ind w:firstLine="708"/>
        <w:jc w:val="right"/>
      </w:pPr>
      <w:r w:rsidRPr="00D074D4">
        <w:t xml:space="preserve"> Таблица №5</w:t>
      </w:r>
    </w:p>
    <w:tbl>
      <w:tblPr>
        <w:tblW w:w="9453" w:type="dxa"/>
        <w:tblInd w:w="96" w:type="dxa"/>
        <w:tblLook w:val="04A0"/>
      </w:tblPr>
      <w:tblGrid>
        <w:gridCol w:w="3556"/>
        <w:gridCol w:w="992"/>
        <w:gridCol w:w="992"/>
        <w:gridCol w:w="992"/>
        <w:gridCol w:w="993"/>
        <w:gridCol w:w="992"/>
        <w:gridCol w:w="936"/>
      </w:tblGrid>
      <w:tr w:rsidR="004E1284" w:rsidRPr="00D074D4" w:rsidTr="0019425D">
        <w:trPr>
          <w:trHeight w:val="20"/>
        </w:trPr>
        <w:tc>
          <w:tcPr>
            <w:tcW w:w="94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1284" w:rsidRPr="00D074D4" w:rsidRDefault="004E1284" w:rsidP="0019425D">
            <w:pPr>
              <w:jc w:val="center"/>
              <w:rPr>
                <w:b/>
                <w:bCs/>
                <w:sz w:val="16"/>
                <w:szCs w:val="18"/>
              </w:rPr>
            </w:pPr>
            <w:r w:rsidRPr="00D074D4">
              <w:rPr>
                <w:b/>
                <w:bCs/>
                <w:sz w:val="16"/>
                <w:szCs w:val="18"/>
              </w:rPr>
              <w:t>Остатки субсидий на 01.01.2016 по обязательствам:</w:t>
            </w:r>
          </w:p>
        </w:tc>
      </w:tr>
      <w:tr w:rsidR="004E1284" w:rsidRPr="00D074D4" w:rsidTr="0019425D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1284" w:rsidRPr="00D074D4" w:rsidRDefault="004E1284" w:rsidP="0019425D">
            <w:pPr>
              <w:rPr>
                <w:b/>
                <w:bCs/>
                <w:sz w:val="16"/>
                <w:szCs w:val="18"/>
              </w:rPr>
            </w:pPr>
            <w:r w:rsidRPr="00D074D4">
              <w:rPr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1284" w:rsidRPr="00D074D4" w:rsidRDefault="004E1284" w:rsidP="0019425D">
            <w:pPr>
              <w:jc w:val="center"/>
              <w:rPr>
                <w:b/>
                <w:bCs/>
                <w:sz w:val="16"/>
                <w:szCs w:val="18"/>
              </w:rPr>
            </w:pPr>
            <w:r w:rsidRPr="00D074D4">
              <w:rPr>
                <w:b/>
                <w:bCs/>
                <w:sz w:val="16"/>
                <w:szCs w:val="18"/>
              </w:rPr>
              <w:t>2011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1284" w:rsidRPr="00D074D4" w:rsidRDefault="004E1284" w:rsidP="0019425D">
            <w:pPr>
              <w:jc w:val="center"/>
              <w:rPr>
                <w:b/>
                <w:bCs/>
                <w:sz w:val="16"/>
                <w:szCs w:val="18"/>
              </w:rPr>
            </w:pPr>
            <w:r w:rsidRPr="00D074D4">
              <w:rPr>
                <w:b/>
                <w:bCs/>
                <w:sz w:val="16"/>
                <w:szCs w:val="18"/>
              </w:rPr>
              <w:t>2012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284" w:rsidRPr="00D074D4" w:rsidRDefault="004E1284" w:rsidP="0019425D">
            <w:pPr>
              <w:jc w:val="center"/>
              <w:rPr>
                <w:b/>
                <w:bCs/>
                <w:sz w:val="16"/>
                <w:szCs w:val="18"/>
              </w:rPr>
            </w:pPr>
            <w:r w:rsidRPr="00D074D4">
              <w:rPr>
                <w:b/>
                <w:bCs/>
                <w:sz w:val="16"/>
                <w:szCs w:val="18"/>
              </w:rPr>
              <w:t>2013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284" w:rsidRPr="00D074D4" w:rsidRDefault="004E1284" w:rsidP="0019425D">
            <w:pPr>
              <w:jc w:val="center"/>
              <w:rPr>
                <w:b/>
                <w:bCs/>
                <w:sz w:val="16"/>
                <w:szCs w:val="18"/>
              </w:rPr>
            </w:pPr>
            <w:r w:rsidRPr="00D074D4">
              <w:rPr>
                <w:b/>
                <w:bCs/>
                <w:sz w:val="16"/>
                <w:szCs w:val="18"/>
              </w:rPr>
              <w:t>2014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284" w:rsidRPr="00D074D4" w:rsidRDefault="004E1284" w:rsidP="0019425D">
            <w:pPr>
              <w:ind w:left="-108" w:firstLine="108"/>
              <w:jc w:val="center"/>
              <w:rPr>
                <w:b/>
                <w:bCs/>
                <w:sz w:val="16"/>
                <w:szCs w:val="18"/>
              </w:rPr>
            </w:pPr>
            <w:r w:rsidRPr="00D074D4">
              <w:rPr>
                <w:b/>
                <w:bCs/>
                <w:sz w:val="16"/>
                <w:szCs w:val="18"/>
              </w:rPr>
              <w:t>2015 года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284" w:rsidRPr="00D074D4" w:rsidRDefault="004E1284" w:rsidP="0019425D">
            <w:pPr>
              <w:jc w:val="center"/>
              <w:rPr>
                <w:b/>
                <w:bCs/>
                <w:sz w:val="16"/>
                <w:szCs w:val="18"/>
              </w:rPr>
            </w:pPr>
            <w:r w:rsidRPr="00D074D4">
              <w:rPr>
                <w:b/>
                <w:bCs/>
                <w:sz w:val="16"/>
                <w:szCs w:val="18"/>
              </w:rPr>
              <w:t>Всего:</w:t>
            </w:r>
          </w:p>
        </w:tc>
      </w:tr>
      <w:tr w:rsidR="004E1284" w:rsidRPr="00D074D4" w:rsidTr="0019425D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1284" w:rsidRPr="00D074D4" w:rsidRDefault="004E1284" w:rsidP="0019425D">
            <w:pPr>
              <w:rPr>
                <w:b/>
                <w:bCs/>
                <w:sz w:val="16"/>
                <w:szCs w:val="18"/>
              </w:rPr>
            </w:pPr>
            <w:r w:rsidRPr="00D074D4">
              <w:rPr>
                <w:b/>
                <w:bCs/>
                <w:sz w:val="16"/>
                <w:szCs w:val="18"/>
              </w:rPr>
              <w:t>Всего,</w:t>
            </w:r>
            <w:r w:rsidRPr="00D074D4">
              <w:rPr>
                <w:b/>
                <w:bCs/>
                <w:i/>
                <w:iCs/>
                <w:sz w:val="16"/>
                <w:szCs w:val="18"/>
              </w:rPr>
              <w:t xml:space="preserve"> </w:t>
            </w:r>
            <w:r w:rsidRPr="00D074D4">
              <w:rPr>
                <w:b/>
                <w:bCs/>
                <w:sz w:val="16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b/>
                <w:bCs/>
                <w:sz w:val="16"/>
                <w:szCs w:val="18"/>
              </w:rPr>
            </w:pPr>
            <w:r w:rsidRPr="00D074D4">
              <w:rPr>
                <w:b/>
                <w:bCs/>
                <w:sz w:val="16"/>
                <w:szCs w:val="18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b/>
                <w:bCs/>
                <w:sz w:val="16"/>
                <w:szCs w:val="18"/>
              </w:rPr>
            </w:pPr>
            <w:r w:rsidRPr="00D074D4">
              <w:rPr>
                <w:b/>
                <w:bCs/>
                <w:sz w:val="16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b/>
                <w:bCs/>
                <w:sz w:val="16"/>
                <w:szCs w:val="18"/>
              </w:rPr>
            </w:pPr>
            <w:r w:rsidRPr="00D074D4">
              <w:rPr>
                <w:b/>
                <w:bCs/>
                <w:sz w:val="16"/>
                <w:szCs w:val="18"/>
              </w:rPr>
              <w:t>15783,3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b/>
                <w:bCs/>
                <w:sz w:val="16"/>
                <w:szCs w:val="18"/>
              </w:rPr>
            </w:pPr>
            <w:r w:rsidRPr="00D074D4">
              <w:rPr>
                <w:b/>
                <w:bCs/>
                <w:sz w:val="16"/>
                <w:szCs w:val="18"/>
              </w:rPr>
              <w:t>33225,8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b/>
                <w:bCs/>
                <w:sz w:val="16"/>
                <w:szCs w:val="18"/>
              </w:rPr>
            </w:pPr>
            <w:r w:rsidRPr="00D074D4">
              <w:rPr>
                <w:b/>
                <w:bCs/>
                <w:sz w:val="16"/>
                <w:szCs w:val="18"/>
              </w:rPr>
              <w:t>102001,3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b/>
                <w:bCs/>
                <w:sz w:val="16"/>
                <w:szCs w:val="18"/>
              </w:rPr>
            </w:pPr>
            <w:r w:rsidRPr="00D074D4">
              <w:rPr>
                <w:b/>
                <w:bCs/>
                <w:sz w:val="16"/>
                <w:szCs w:val="18"/>
              </w:rPr>
              <w:t>151030,6</w:t>
            </w:r>
          </w:p>
        </w:tc>
      </w:tr>
      <w:tr w:rsidR="004E1284" w:rsidRPr="00D074D4" w:rsidTr="0019425D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1284" w:rsidRPr="00D074D4" w:rsidRDefault="004E1284" w:rsidP="0019425D">
            <w:pPr>
              <w:rPr>
                <w:sz w:val="16"/>
                <w:szCs w:val="18"/>
              </w:rPr>
            </w:pPr>
            <w:r w:rsidRPr="00D074D4">
              <w:rPr>
                <w:sz w:val="16"/>
                <w:szCs w:val="18"/>
              </w:rPr>
              <w:t>за счет средств федерального бюджета, из 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8"/>
              </w:rPr>
            </w:pPr>
            <w:r w:rsidRPr="00D074D4">
              <w:rPr>
                <w:sz w:val="16"/>
                <w:szCs w:val="18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8"/>
              </w:rPr>
            </w:pPr>
            <w:r w:rsidRPr="00D074D4">
              <w:rPr>
                <w:sz w:val="16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8"/>
              </w:rPr>
            </w:pPr>
            <w:r w:rsidRPr="00D074D4">
              <w:rPr>
                <w:sz w:val="16"/>
                <w:szCs w:val="18"/>
              </w:rPr>
              <w:t>14391,3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8"/>
              </w:rPr>
            </w:pPr>
            <w:r w:rsidRPr="00D074D4">
              <w:rPr>
                <w:sz w:val="16"/>
                <w:szCs w:val="18"/>
              </w:rPr>
              <w:t>15269,2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8"/>
              </w:rPr>
            </w:pPr>
            <w:r w:rsidRPr="00D074D4">
              <w:rPr>
                <w:sz w:val="16"/>
                <w:szCs w:val="18"/>
              </w:rPr>
              <w:t>47246,5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8"/>
              </w:rPr>
            </w:pPr>
            <w:r w:rsidRPr="00D074D4">
              <w:rPr>
                <w:sz w:val="16"/>
                <w:szCs w:val="18"/>
              </w:rPr>
              <w:t>76927,2</w:t>
            </w:r>
          </w:p>
        </w:tc>
      </w:tr>
      <w:tr w:rsidR="004E1284" w:rsidRPr="00D074D4" w:rsidTr="0019425D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284" w:rsidRPr="00D074D4" w:rsidRDefault="004E1284" w:rsidP="0019425D">
            <w:pPr>
              <w:rPr>
                <w:i/>
                <w:iCs/>
                <w:sz w:val="16"/>
                <w:szCs w:val="18"/>
              </w:rPr>
            </w:pPr>
            <w:r w:rsidRPr="00D074D4">
              <w:rPr>
                <w:i/>
                <w:iCs/>
                <w:sz w:val="16"/>
                <w:szCs w:val="18"/>
              </w:rPr>
              <w:t xml:space="preserve">подтверждена потребность на 2016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i/>
                <w:iCs/>
                <w:sz w:val="16"/>
                <w:szCs w:val="18"/>
              </w:rPr>
            </w:pPr>
            <w:r w:rsidRPr="00D074D4">
              <w:rPr>
                <w:i/>
                <w:iCs/>
                <w:sz w:val="16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i/>
                <w:iCs/>
                <w:sz w:val="16"/>
                <w:szCs w:val="18"/>
              </w:rPr>
            </w:pPr>
            <w:r w:rsidRPr="00D074D4">
              <w:rPr>
                <w:i/>
                <w:iCs/>
                <w:sz w:val="16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i/>
                <w:iCs/>
                <w:sz w:val="16"/>
                <w:szCs w:val="18"/>
              </w:rPr>
            </w:pPr>
            <w:r w:rsidRPr="00D074D4">
              <w:rPr>
                <w:i/>
                <w:iCs/>
                <w:sz w:val="16"/>
                <w:szCs w:val="18"/>
              </w:rPr>
              <w:t>559,7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i/>
                <w:iCs/>
                <w:sz w:val="16"/>
                <w:szCs w:val="18"/>
              </w:rPr>
            </w:pPr>
            <w:r w:rsidRPr="00D074D4">
              <w:rPr>
                <w:i/>
                <w:iCs/>
                <w:sz w:val="16"/>
                <w:szCs w:val="18"/>
              </w:rPr>
              <w:t>12905,2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i/>
                <w:iCs/>
                <w:sz w:val="16"/>
                <w:szCs w:val="18"/>
              </w:rPr>
            </w:pPr>
            <w:r w:rsidRPr="00D074D4">
              <w:rPr>
                <w:i/>
                <w:iCs/>
                <w:sz w:val="16"/>
                <w:szCs w:val="18"/>
              </w:rPr>
              <w:t>46759,3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i/>
                <w:iCs/>
                <w:sz w:val="16"/>
                <w:szCs w:val="18"/>
              </w:rPr>
            </w:pPr>
            <w:r w:rsidRPr="00D074D4">
              <w:rPr>
                <w:i/>
                <w:iCs/>
                <w:sz w:val="16"/>
                <w:szCs w:val="18"/>
              </w:rPr>
              <w:t>60224,2</w:t>
            </w:r>
          </w:p>
        </w:tc>
      </w:tr>
      <w:tr w:rsidR="004E1284" w:rsidRPr="00D074D4" w:rsidTr="0019425D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284" w:rsidRPr="00D074D4" w:rsidRDefault="004E1284" w:rsidP="0019425D">
            <w:pPr>
              <w:rPr>
                <w:i/>
                <w:iCs/>
                <w:sz w:val="16"/>
                <w:szCs w:val="18"/>
              </w:rPr>
            </w:pPr>
            <w:r w:rsidRPr="00D074D4">
              <w:rPr>
                <w:i/>
                <w:iCs/>
                <w:sz w:val="16"/>
                <w:szCs w:val="18"/>
              </w:rPr>
              <w:t xml:space="preserve">неподтвержденные для использования в 2016 году остатки средств бюджета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i/>
                <w:iCs/>
                <w:sz w:val="16"/>
                <w:szCs w:val="18"/>
              </w:rPr>
            </w:pPr>
            <w:r w:rsidRPr="00D074D4">
              <w:rPr>
                <w:i/>
                <w:iCs/>
                <w:sz w:val="16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i/>
                <w:iCs/>
                <w:sz w:val="16"/>
                <w:szCs w:val="18"/>
              </w:rPr>
            </w:pPr>
            <w:r w:rsidRPr="00D074D4">
              <w:rPr>
                <w:i/>
                <w:iCs/>
                <w:sz w:val="16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i/>
                <w:iCs/>
                <w:sz w:val="16"/>
                <w:szCs w:val="18"/>
              </w:rPr>
            </w:pPr>
            <w:r w:rsidRPr="00D074D4">
              <w:rPr>
                <w:i/>
                <w:iCs/>
                <w:sz w:val="16"/>
                <w:szCs w:val="18"/>
              </w:rPr>
              <w:t>13831,6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i/>
                <w:iCs/>
                <w:sz w:val="16"/>
                <w:szCs w:val="18"/>
              </w:rPr>
            </w:pPr>
            <w:r w:rsidRPr="00D074D4">
              <w:rPr>
                <w:i/>
                <w:iCs/>
                <w:sz w:val="16"/>
                <w:szCs w:val="18"/>
              </w:rPr>
              <w:t>2364,0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i/>
                <w:iCs/>
                <w:sz w:val="16"/>
                <w:szCs w:val="18"/>
              </w:rPr>
            </w:pPr>
            <w:r w:rsidRPr="00D074D4">
              <w:rPr>
                <w:i/>
                <w:iCs/>
                <w:sz w:val="16"/>
                <w:szCs w:val="18"/>
              </w:rPr>
              <w:t>487,2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i/>
                <w:iCs/>
                <w:sz w:val="16"/>
                <w:szCs w:val="18"/>
              </w:rPr>
            </w:pPr>
            <w:r w:rsidRPr="00D074D4">
              <w:rPr>
                <w:i/>
                <w:iCs/>
                <w:sz w:val="16"/>
                <w:szCs w:val="18"/>
              </w:rPr>
              <w:t>16703,0</w:t>
            </w:r>
          </w:p>
        </w:tc>
      </w:tr>
      <w:tr w:rsidR="004E1284" w:rsidRPr="00D074D4" w:rsidTr="0019425D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1284" w:rsidRPr="00D074D4" w:rsidRDefault="004E1284" w:rsidP="0019425D">
            <w:pPr>
              <w:rPr>
                <w:sz w:val="16"/>
                <w:szCs w:val="18"/>
              </w:rPr>
            </w:pPr>
            <w:r w:rsidRPr="00D074D4">
              <w:rPr>
                <w:sz w:val="16"/>
                <w:szCs w:val="18"/>
              </w:rPr>
              <w:t>за счет средств бюджета субъекта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8"/>
              </w:rPr>
            </w:pPr>
            <w:r w:rsidRPr="00D074D4">
              <w:rPr>
                <w:sz w:val="16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8"/>
              </w:rPr>
            </w:pPr>
            <w:r w:rsidRPr="00D074D4">
              <w:rPr>
                <w:sz w:val="16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8"/>
              </w:rPr>
            </w:pPr>
            <w:r w:rsidRPr="00D074D4">
              <w:rPr>
                <w:sz w:val="16"/>
                <w:szCs w:val="18"/>
              </w:rPr>
              <w:t>1392,0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8"/>
              </w:rPr>
            </w:pPr>
            <w:r w:rsidRPr="00D074D4">
              <w:rPr>
                <w:sz w:val="16"/>
                <w:szCs w:val="18"/>
              </w:rPr>
              <w:t>17956,6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8"/>
              </w:rPr>
            </w:pPr>
            <w:r w:rsidRPr="00D074D4">
              <w:rPr>
                <w:sz w:val="16"/>
                <w:szCs w:val="18"/>
              </w:rPr>
              <w:t>54754,8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84" w:rsidRPr="00D074D4" w:rsidRDefault="004E1284" w:rsidP="0019425D">
            <w:pPr>
              <w:jc w:val="right"/>
              <w:rPr>
                <w:sz w:val="16"/>
                <w:szCs w:val="18"/>
              </w:rPr>
            </w:pPr>
            <w:r w:rsidRPr="00D074D4">
              <w:rPr>
                <w:sz w:val="16"/>
                <w:szCs w:val="18"/>
              </w:rPr>
              <w:t>74103,4</w:t>
            </w:r>
          </w:p>
        </w:tc>
      </w:tr>
    </w:tbl>
    <w:p w:rsidR="004E1284" w:rsidRPr="00D074D4" w:rsidRDefault="004E1284" w:rsidP="004E1284">
      <w:pPr>
        <w:ind w:firstLine="709"/>
        <w:jc w:val="both"/>
      </w:pPr>
      <w:r w:rsidRPr="00D074D4">
        <w:t xml:space="preserve">Как следует из таблицы №5, остаток субсидии федерального бюджета на 01.01.2016 составил 76927,2 тыс. рублей. Согласно письму Комитета в Минстрой от 29.01.2016 №48-05-08/255 на 2016 год подтверждена потребность об использовании остатков только на  60224,2 тыс. руб., или на 16703,0 тыс. руб. меньше фактического остатка. </w:t>
      </w:r>
    </w:p>
    <w:p w:rsidR="004E1284" w:rsidRPr="00D074D4" w:rsidRDefault="004E1284" w:rsidP="004E1284">
      <w:pPr>
        <w:ind w:firstLine="600"/>
        <w:jc w:val="both"/>
      </w:pPr>
      <w:proofErr w:type="gramStart"/>
      <w:r w:rsidRPr="00D074D4">
        <w:t xml:space="preserve">Следует отметить, что у МО имелась потребность в остатках федеральных средств, однако Комитет не обеспечил использование указанных средств в 2015 году, что привело к возврату в федеральный бюджет 16703,0 тыс. руб. и </w:t>
      </w:r>
      <w:proofErr w:type="spellStart"/>
      <w:r w:rsidRPr="00D074D4">
        <w:t>необеспечению</w:t>
      </w:r>
      <w:proofErr w:type="spellEnd"/>
      <w:r w:rsidRPr="00D074D4">
        <w:t xml:space="preserve"> социальными выплатами на улучшение жилищных условий примерно </w:t>
      </w:r>
      <w:r>
        <w:t>88</w:t>
      </w:r>
      <w:r w:rsidRPr="00D074D4">
        <w:t xml:space="preserve"> молоды</w:t>
      </w:r>
      <w:r>
        <w:t>х</w:t>
      </w:r>
      <w:r w:rsidRPr="00D074D4">
        <w:t xml:space="preserve"> сем</w:t>
      </w:r>
      <w:r>
        <w:t>ей</w:t>
      </w:r>
      <w:r w:rsidRPr="00D074D4">
        <w:t xml:space="preserve"> Волгоградской области (по соглашению с Минстроем РФ на 2015 год средний размер социальной выплаты за счет средств</w:t>
      </w:r>
      <w:proofErr w:type="gramEnd"/>
      <w:r w:rsidRPr="00D074D4">
        <w:t xml:space="preserve"> </w:t>
      </w:r>
      <w:proofErr w:type="gramStart"/>
      <w:r w:rsidRPr="00D074D4">
        <w:t>федерального</w:t>
      </w:r>
      <w:proofErr w:type="gramEnd"/>
      <w:r w:rsidRPr="00D074D4">
        <w:t xml:space="preserve"> составлял </w:t>
      </w:r>
      <w:r>
        <w:t>189,0</w:t>
      </w:r>
      <w:r w:rsidRPr="00D074D4">
        <w:t xml:space="preserve"> тыс. руб. (</w:t>
      </w:r>
      <w:r>
        <w:t>69934,9</w:t>
      </w:r>
      <w:r w:rsidRPr="00D074D4">
        <w:t xml:space="preserve"> тыс. руб./370 семей).</w:t>
      </w:r>
    </w:p>
    <w:p w:rsidR="004E1284" w:rsidRPr="00D074D4" w:rsidRDefault="004E1284" w:rsidP="004E1284">
      <w:pPr>
        <w:ind w:firstLine="709"/>
        <w:jc w:val="both"/>
      </w:pPr>
      <w:r w:rsidRPr="00D074D4">
        <w:t xml:space="preserve">В результате ненадлежащего исполнения Комитетом полномочий ГРБС, установленных пп.1 и 10 п.1 ст. 158 БК РФ, и непринятия мер, направленных на </w:t>
      </w:r>
      <w:r w:rsidRPr="00D074D4">
        <w:rPr>
          <w:u w:val="single"/>
        </w:rPr>
        <w:t>эффективное</w:t>
      </w:r>
      <w:r w:rsidRPr="00D074D4">
        <w:t xml:space="preserve"> использование и перераспределение в 2015 году ранее перечисленных и неиспользуемых муниципальными образованиями средств федерального бюджета на </w:t>
      </w:r>
      <w:r w:rsidRPr="00D074D4">
        <w:lastRenderedPageBreak/>
        <w:t>реализацию подпрограммы по обязательствам 2011-2015 гг., на 01.01.2016 неподтвержденные для использования в 2016 году остатки средств бюджета составили 16703,0 тыс. рублей. Соответственно, возврат сре</w:t>
      </w:r>
      <w:proofErr w:type="gramStart"/>
      <w:r w:rsidRPr="00D074D4">
        <w:t>дств в ф</w:t>
      </w:r>
      <w:proofErr w:type="gramEnd"/>
      <w:r w:rsidRPr="00D074D4">
        <w:t>едеральный бюджет при наличии на 01.01.2016 неисполненных обязательств, предусмотренных  соглашениями с Минстроем РФ, свидетельствует о недостаточно эффективной работе Комитета.</w:t>
      </w:r>
    </w:p>
    <w:p w:rsidR="004E1284" w:rsidRPr="00D074D4" w:rsidRDefault="004E1284" w:rsidP="004E1284">
      <w:pPr>
        <w:ind w:firstLine="709"/>
        <w:jc w:val="both"/>
      </w:pPr>
      <w:r w:rsidRPr="00D074D4">
        <w:t xml:space="preserve"> Согласно информации Комитета перераспределение остатка средств федерального бюджета между МО не представляется возможным, поскольку неиспользованные остатки средств субсидии из областного бюджета и неподтвержденные по состоянию на 01.01.2016 МО подлежат возврату в бюджет Волгоградской области и не могут быть выделены в очередном финансовом году повторно </w:t>
      </w:r>
      <w:proofErr w:type="gramStart"/>
      <w:r w:rsidRPr="00D074D4">
        <w:t>на те</w:t>
      </w:r>
      <w:proofErr w:type="gramEnd"/>
      <w:r w:rsidRPr="00D074D4">
        <w:t xml:space="preserve"> же цели.    </w:t>
      </w:r>
    </w:p>
    <w:p w:rsidR="004E1284" w:rsidRPr="00D074D4" w:rsidRDefault="004E1284" w:rsidP="004E1284">
      <w:pPr>
        <w:ind w:firstLine="709"/>
        <w:jc w:val="both"/>
      </w:pPr>
      <w:proofErr w:type="gramStart"/>
      <w:r w:rsidRPr="00D074D4">
        <w:t>Вместе с тем п.22 приложения №5 Подпрограммы предусмотрено, что при наличии потребности в не использованном в текущем финансовом году остатке субсидий этот остаток в соответствии с решением Минстроя может быть направлен субъекту Российской Федерации в очередном финансовом году на те же цели в порядке, установленном бюджетным законодательством Российской Федерации, для осуществления расходов бюджета субъекта Российской Федерации, источником финансового обеспечения</w:t>
      </w:r>
      <w:proofErr w:type="gramEnd"/>
      <w:r w:rsidRPr="00D074D4">
        <w:t xml:space="preserve"> </w:t>
      </w:r>
      <w:proofErr w:type="gramStart"/>
      <w:r w:rsidRPr="00D074D4">
        <w:t>которых</w:t>
      </w:r>
      <w:proofErr w:type="gramEnd"/>
      <w:r w:rsidRPr="00D074D4">
        <w:t xml:space="preserve"> являются субсидии.</w:t>
      </w:r>
    </w:p>
    <w:p w:rsidR="004E1284" w:rsidRPr="00D074D4" w:rsidRDefault="004E1284" w:rsidP="004E1284">
      <w:pPr>
        <w:spacing w:before="120"/>
        <w:ind w:firstLine="709"/>
        <w:jc w:val="center"/>
        <w:rPr>
          <w:i/>
        </w:rPr>
      </w:pPr>
      <w:r w:rsidRPr="00D074D4">
        <w:rPr>
          <w:i/>
        </w:rPr>
        <w:t>Состояние внутреннего финансового контроля и аудита</w:t>
      </w:r>
    </w:p>
    <w:p w:rsidR="004E1284" w:rsidRPr="00D074D4" w:rsidRDefault="004E1284" w:rsidP="004E1284">
      <w:pPr>
        <w:ind w:firstLine="709"/>
        <w:jc w:val="both"/>
        <w:rPr>
          <w:color w:val="FF0000"/>
        </w:rPr>
      </w:pPr>
      <w:r w:rsidRPr="00D074D4">
        <w:t>План внутреннего финансового аудита структурных подразделений Комитета выполнен на 100,0 процентов. Согласно отчету о результатах аудиторской проверки за 2015 год нарушения, установленные структурным подразделением сектором внутреннего финансового аудита Комитета, устранены.</w:t>
      </w:r>
      <w:r w:rsidRPr="00D074D4">
        <w:rPr>
          <w:color w:val="FF0000"/>
        </w:rPr>
        <w:t xml:space="preserve">  </w:t>
      </w:r>
    </w:p>
    <w:p w:rsidR="004E1284" w:rsidRPr="00D074D4" w:rsidRDefault="004E1284" w:rsidP="004E1284">
      <w:pPr>
        <w:ind w:firstLine="709"/>
        <w:jc w:val="both"/>
      </w:pPr>
      <w:r w:rsidRPr="00D074D4">
        <w:t>(</w:t>
      </w:r>
      <w:r w:rsidRPr="00D074D4">
        <w:rPr>
          <w:color w:val="0000CC"/>
        </w:rPr>
        <w:t>Приложение № 3</w:t>
      </w:r>
      <w:r w:rsidRPr="00D074D4">
        <w:t xml:space="preserve"> - Информация о состоянии внутреннего финансового аудита).</w:t>
      </w:r>
    </w:p>
    <w:p w:rsidR="004E1284" w:rsidRPr="00D074D4" w:rsidRDefault="004E1284" w:rsidP="004E1284">
      <w:pPr>
        <w:tabs>
          <w:tab w:val="left" w:pos="3722"/>
        </w:tabs>
        <w:jc w:val="both"/>
        <w:rPr>
          <w:rFonts w:eastAsiaTheme="minorHAnsi"/>
          <w:lang w:eastAsia="en-US"/>
        </w:rPr>
      </w:pPr>
      <w:r w:rsidRPr="00D074D4">
        <w:tab/>
      </w:r>
    </w:p>
    <w:p w:rsidR="004E1284" w:rsidRPr="00D074D4" w:rsidRDefault="004E1284" w:rsidP="004E1284">
      <w:pPr>
        <w:ind w:firstLine="708"/>
        <w:jc w:val="center"/>
        <w:rPr>
          <w:b/>
          <w:i/>
        </w:rPr>
      </w:pPr>
      <w:r w:rsidRPr="00D074D4">
        <w:rPr>
          <w:b/>
          <w:i/>
        </w:rPr>
        <w:t xml:space="preserve">Выводы </w:t>
      </w:r>
    </w:p>
    <w:p w:rsidR="004E1284" w:rsidRPr="00D074D4" w:rsidRDefault="004E1284" w:rsidP="004E1284">
      <w:pPr>
        <w:autoSpaceDE w:val="0"/>
        <w:autoSpaceDN w:val="0"/>
        <w:adjustRightInd w:val="0"/>
        <w:ind w:firstLine="708"/>
        <w:jc w:val="both"/>
      </w:pPr>
      <w:r w:rsidRPr="00D074D4">
        <w:t xml:space="preserve">1. При </w:t>
      </w:r>
      <w:r w:rsidRPr="00EA555A">
        <w:t>заполнении пяти форм бюджетной отчетности (ф. 0503127, ф. 0503160, таблица № 5, таблица № 6, ф. 0503162) Комитетом допущены нарушения Инструкции № 191н (п.8, п.55, п.157, п.158,  и п.161). В ходе проверки нарушения, за исключением п.55 Инструкции № 191н</w:t>
      </w:r>
      <w:r>
        <w:t>,</w:t>
      </w:r>
      <w:r w:rsidRPr="00D074D4">
        <w:t xml:space="preserve"> устранены.</w:t>
      </w:r>
    </w:p>
    <w:p w:rsidR="004E1284" w:rsidRPr="00D074D4" w:rsidRDefault="004E1284" w:rsidP="004E1284">
      <w:pPr>
        <w:tabs>
          <w:tab w:val="left" w:pos="993"/>
          <w:tab w:val="left" w:pos="1418"/>
        </w:tabs>
        <w:ind w:firstLine="709"/>
        <w:jc w:val="both"/>
      </w:pPr>
      <w:r w:rsidRPr="00D074D4">
        <w:t>2. Исполнение расходов составило 641840,0 тыс. руб., или на 98,4% к показателям бюджетной росписи.  Расходы не исполнены на 10201,5 тыс., из них основная часть (7801,7  тыс. руб.) по необъективным причинам.</w:t>
      </w:r>
    </w:p>
    <w:p w:rsidR="004E1284" w:rsidRPr="00D074D4" w:rsidRDefault="004E1284" w:rsidP="004E1284">
      <w:pPr>
        <w:tabs>
          <w:tab w:val="left" w:pos="993"/>
          <w:tab w:val="left" w:pos="1418"/>
        </w:tabs>
        <w:ind w:firstLine="709"/>
        <w:jc w:val="both"/>
      </w:pPr>
      <w:r w:rsidRPr="00D074D4">
        <w:t>3. В нарушение п.1.2 Плана, утвержденного постановлением Губернатора Волгоградской области от 13.02.2015 № 127, Комитет в первом полугодии 2015 года не внес изменения в положение об оплате труда работников, подведомственных государственных учреждений в части установления предельных размеров стимулирующих выплат.</w:t>
      </w:r>
    </w:p>
    <w:p w:rsidR="004E1284" w:rsidRPr="00D074D4" w:rsidRDefault="004E1284" w:rsidP="004E1284">
      <w:pPr>
        <w:autoSpaceDE w:val="0"/>
        <w:autoSpaceDN w:val="0"/>
        <w:adjustRightInd w:val="0"/>
        <w:ind w:firstLine="600"/>
        <w:jc w:val="both"/>
      </w:pPr>
      <w:r w:rsidRPr="00D074D4">
        <w:t xml:space="preserve">4. При анализе </w:t>
      </w:r>
      <w:r w:rsidRPr="00D074D4">
        <w:rPr>
          <w:rFonts w:eastAsiaTheme="minorHAnsi"/>
          <w:lang w:eastAsia="en-US"/>
        </w:rPr>
        <w:t xml:space="preserve">формы 0503162, в части </w:t>
      </w:r>
      <w:r w:rsidRPr="00D074D4">
        <w:t>исполнения плановых показателей, установленных государственными заданиями Комитета, установлено, что по 3 показателям отсутствует взаимосвязь между финансовым обеспечением выполнения этих показателей и фактически доведенными натуральными показателями.</w:t>
      </w:r>
    </w:p>
    <w:p w:rsidR="004E1284" w:rsidRPr="00D074D4" w:rsidRDefault="004E1284" w:rsidP="004E1284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74D4">
        <w:rPr>
          <w:iCs/>
        </w:rPr>
        <w:t xml:space="preserve">5. </w:t>
      </w:r>
      <w:proofErr w:type="gramStart"/>
      <w:r w:rsidRPr="00D074D4">
        <w:t xml:space="preserve">В результате ненадлежащего исполнения Комитетом полномочий ГРБС, установленных пп.1 и 10 п.1 ст. 158 БК РФ, и непринятия мер, направленных на </w:t>
      </w:r>
      <w:r w:rsidRPr="00D074D4">
        <w:rPr>
          <w:u w:val="single"/>
        </w:rPr>
        <w:t>эффективное</w:t>
      </w:r>
      <w:r w:rsidRPr="00D074D4">
        <w:t xml:space="preserve"> использование и перераспределение в 2015 году ранее перечисленных и неиспользуемых муниципальными образованиями средств федерального бюджета на реализацию подпрограммы по обязательствам 2011-2015 гг., на 01.01.2016 неподтвержденные для использования в 2016 году остатки средств бюджета составили 16703,0 тыс</w:t>
      </w:r>
      <w:proofErr w:type="gramEnd"/>
      <w:r w:rsidRPr="00D074D4">
        <w:t>. рублей. Соответственно, возврат сре</w:t>
      </w:r>
      <w:proofErr w:type="gramStart"/>
      <w:r w:rsidRPr="00D074D4">
        <w:t>дств в ф</w:t>
      </w:r>
      <w:proofErr w:type="gramEnd"/>
      <w:r w:rsidRPr="00D074D4">
        <w:t>едеральный бюджет при наличии на 01.01.2016 неисполненных обязательств, предусмотренных  соглашениями с Минстроем РФ, свидетельствует о недостаточно эффективной работе Комитета.</w:t>
      </w:r>
    </w:p>
    <w:p w:rsidR="004E1284" w:rsidRPr="00D074D4" w:rsidRDefault="004E1284" w:rsidP="004E1284">
      <w:pPr>
        <w:ind w:firstLine="709"/>
        <w:jc w:val="both"/>
      </w:pPr>
    </w:p>
    <w:p w:rsidR="004E1284" w:rsidRDefault="004E1284" w:rsidP="004E1284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b/>
          <w:i/>
        </w:rPr>
      </w:pPr>
    </w:p>
    <w:p w:rsidR="004E1284" w:rsidRPr="00D074D4" w:rsidRDefault="004E1284" w:rsidP="004E1284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b/>
          <w:i/>
        </w:rPr>
      </w:pPr>
      <w:r w:rsidRPr="00D074D4">
        <w:rPr>
          <w:b/>
          <w:i/>
        </w:rPr>
        <w:t>Предложения</w:t>
      </w:r>
    </w:p>
    <w:p w:rsidR="004E1284" w:rsidRPr="00D074D4" w:rsidRDefault="004E1284" w:rsidP="004E1284">
      <w:pPr>
        <w:pStyle w:val="a6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D074D4">
        <w:lastRenderedPageBreak/>
        <w:t xml:space="preserve">Обеспечить заполнение форм бухгалтерской отчетности за 2016 год в строгом соответствии с требованиями Минфина РФ. </w:t>
      </w:r>
    </w:p>
    <w:p w:rsidR="004E1284" w:rsidRPr="00D074D4" w:rsidRDefault="004E1284" w:rsidP="004E1284">
      <w:pPr>
        <w:pStyle w:val="a6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D074D4">
        <w:t>Разработать и внести на утверждение в  Администрацию Волгоградской области нормативно-правовой акт, устанавливающий порядок перераспределения невостребованных остатков субсидий на реализацию Подпрограммы между МО, имеющих потребность и возможность софинансирования.</w:t>
      </w:r>
    </w:p>
    <w:p w:rsidR="004E1284" w:rsidRDefault="004E1284" w:rsidP="004E1284">
      <w:pPr>
        <w:pStyle w:val="a6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D074D4">
        <w:t xml:space="preserve">Принять меры по обеспечению использования остатков субсидий на реализацию Подпрограммы в 2016 году по обязательствам 2015 года и прошлых лет в полном объеме путем перераспределения между МО.   </w:t>
      </w:r>
    </w:p>
    <w:p w:rsidR="004E1284" w:rsidRDefault="004E1284" w:rsidP="004E1284">
      <w:p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jc w:val="both"/>
      </w:pPr>
    </w:p>
    <w:p w:rsidR="004E1284" w:rsidRDefault="004E1284" w:rsidP="004E1284">
      <w:p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jc w:val="both"/>
      </w:pPr>
    </w:p>
    <w:p w:rsidR="004E1284" w:rsidRDefault="004E1284" w:rsidP="004E1284">
      <w:p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jc w:val="both"/>
      </w:pPr>
    </w:p>
    <w:p w:rsidR="004E1284" w:rsidRPr="00F117C0" w:rsidRDefault="004E1284" w:rsidP="004E1284">
      <w:p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F117C0">
        <w:rPr>
          <w:b/>
        </w:rPr>
        <w:t>Аудитор                                                                                                  М.Е.Татаринцев</w:t>
      </w:r>
    </w:p>
    <w:p w:rsidR="004E1284" w:rsidRDefault="004E1284" w:rsidP="004E1284"/>
    <w:p w:rsidR="004E1284" w:rsidRDefault="004E1284" w:rsidP="004E1284"/>
    <w:p w:rsidR="00001FEE" w:rsidRDefault="00001FEE"/>
    <w:sectPr w:rsidR="00001FEE" w:rsidSect="00EA555A">
      <w:headerReference w:type="default" r:id="rId8"/>
      <w:pgSz w:w="11906" w:h="16838"/>
      <w:pgMar w:top="851" w:right="851" w:bottom="993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5FA" w:rsidRDefault="003B65FA" w:rsidP="00363FD7">
      <w:r>
        <w:separator/>
      </w:r>
    </w:p>
  </w:endnote>
  <w:endnote w:type="continuationSeparator" w:id="0">
    <w:p w:rsidR="003B65FA" w:rsidRDefault="003B65FA" w:rsidP="00363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5FA" w:rsidRDefault="003B65FA" w:rsidP="00363FD7">
      <w:r>
        <w:separator/>
      </w:r>
    </w:p>
  </w:footnote>
  <w:footnote w:type="continuationSeparator" w:id="0">
    <w:p w:rsidR="003B65FA" w:rsidRDefault="003B65FA" w:rsidP="00363F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81371"/>
      <w:docPartObj>
        <w:docPartGallery w:val="Page Numbers (Top of Page)"/>
        <w:docPartUnique/>
      </w:docPartObj>
    </w:sdtPr>
    <w:sdtContent>
      <w:p w:rsidR="00D074D4" w:rsidRDefault="00363FD7">
        <w:pPr>
          <w:pStyle w:val="a7"/>
          <w:jc w:val="center"/>
        </w:pPr>
        <w:r>
          <w:fldChar w:fldCharType="begin"/>
        </w:r>
        <w:r w:rsidR="004E1284">
          <w:instrText xml:space="preserve"> PAGE   \* MERGEFORMAT </w:instrText>
        </w:r>
        <w:r>
          <w:fldChar w:fldCharType="separate"/>
        </w:r>
        <w:r w:rsidR="006C40A1">
          <w:rPr>
            <w:noProof/>
          </w:rPr>
          <w:t>7</w:t>
        </w:r>
        <w:r>
          <w:fldChar w:fldCharType="end"/>
        </w:r>
      </w:p>
    </w:sdtContent>
  </w:sdt>
  <w:p w:rsidR="00D074D4" w:rsidRDefault="003B65FA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80563"/>
    <w:multiLevelType w:val="hybridMultilevel"/>
    <w:tmpl w:val="1898BD64"/>
    <w:lvl w:ilvl="0" w:tplc="3092CB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1284"/>
    <w:rsid w:val="00001FEE"/>
    <w:rsid w:val="00363FD7"/>
    <w:rsid w:val="003B65FA"/>
    <w:rsid w:val="004E1284"/>
    <w:rsid w:val="0066343D"/>
    <w:rsid w:val="00687FB5"/>
    <w:rsid w:val="006C40A1"/>
    <w:rsid w:val="00786A23"/>
    <w:rsid w:val="00A26F65"/>
    <w:rsid w:val="00E65B38"/>
    <w:rsid w:val="00EF1357"/>
    <w:rsid w:val="00F82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E128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1284"/>
    <w:rPr>
      <w:rFonts w:ascii="Arial" w:eastAsia="Calibri" w:hAnsi="Arial" w:cs="Arial"/>
      <w:b/>
      <w:bCs/>
      <w:color w:val="26282F"/>
      <w:sz w:val="24"/>
      <w:szCs w:val="24"/>
    </w:rPr>
  </w:style>
  <w:style w:type="paragraph" w:styleId="a3">
    <w:name w:val="Title"/>
    <w:basedOn w:val="a"/>
    <w:link w:val="a4"/>
    <w:uiPriority w:val="99"/>
    <w:qFormat/>
    <w:rsid w:val="004E128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uiPriority w:val="99"/>
    <w:rsid w:val="004E12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4E1284"/>
    <w:pPr>
      <w:autoSpaceDE w:val="0"/>
      <w:autoSpaceDN w:val="0"/>
      <w:adjustRightInd w:val="0"/>
    </w:pPr>
    <w:rPr>
      <w:rFonts w:ascii="Arial" w:hAnsi="Arial"/>
    </w:rPr>
  </w:style>
  <w:style w:type="paragraph" w:styleId="a6">
    <w:name w:val="List Paragraph"/>
    <w:basedOn w:val="a"/>
    <w:uiPriority w:val="99"/>
    <w:qFormat/>
    <w:rsid w:val="004E1284"/>
    <w:pPr>
      <w:ind w:left="720"/>
      <w:contextualSpacing/>
    </w:pPr>
  </w:style>
  <w:style w:type="paragraph" w:styleId="a7">
    <w:name w:val="header"/>
    <w:basedOn w:val="a"/>
    <w:link w:val="a8"/>
    <w:uiPriority w:val="99"/>
    <w:rsid w:val="004E12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E12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4E12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E12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4E128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4E12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E12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9783;fld=134;dst=1024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3628</Words>
  <Characters>20684</Characters>
  <Application>Microsoft Office Word</Application>
  <DocSecurity>0</DocSecurity>
  <Lines>172</Lines>
  <Paragraphs>48</Paragraphs>
  <ScaleCrop>false</ScaleCrop>
  <Company/>
  <LinksUpToDate>false</LinksUpToDate>
  <CharactersWithSpaces>24264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Варибрус</dc:creator>
  <cp:lastModifiedBy>Варибрус</cp:lastModifiedBy>
  <cp:revision>2</cp:revision>
  <dcterms:created xsi:type="dcterms:W3CDTF">2016-04-25T07:21:00Z</dcterms:created>
  <dcterms:modified xsi:type="dcterms:W3CDTF">2016-04-25T11:28:00Z</dcterms:modified>
</cp:coreProperties>
</file>