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b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2069"/>
        <w:gridCol w:w="4394"/>
      </w:tblGrid>
      <w:tr w:rsidR="00C205F6" w:rsidRPr="00D4730C" w14:paraId="198356B1" w14:textId="77777777" w:rsidTr="00B15E7D">
        <w:tc>
          <w:tcPr>
            <w:tcW w:w="3284" w:type="dxa"/>
          </w:tcPr>
          <w:p w14:paraId="2E005B30" w14:textId="77777777" w:rsidR="00C205F6" w:rsidRPr="00D4730C" w:rsidRDefault="00C205F6" w:rsidP="00B15E7D">
            <w:pPr>
              <w:tabs>
                <w:tab w:val="left" w:pos="2505"/>
              </w:tabs>
              <w:jc w:val="right"/>
              <w:rPr>
                <w:b/>
                <w:i/>
              </w:rPr>
            </w:pPr>
          </w:p>
        </w:tc>
        <w:tc>
          <w:tcPr>
            <w:tcW w:w="2069" w:type="dxa"/>
          </w:tcPr>
          <w:p w14:paraId="5EB71315" w14:textId="77777777" w:rsidR="00C205F6" w:rsidRPr="00D4730C" w:rsidRDefault="00C205F6" w:rsidP="00B15E7D">
            <w:pPr>
              <w:tabs>
                <w:tab w:val="left" w:pos="2505"/>
              </w:tabs>
              <w:jc w:val="right"/>
              <w:rPr>
                <w:b/>
                <w:i/>
              </w:rPr>
            </w:pPr>
          </w:p>
        </w:tc>
        <w:tc>
          <w:tcPr>
            <w:tcW w:w="4394" w:type="dxa"/>
          </w:tcPr>
          <w:p w14:paraId="3063F3E2" w14:textId="77777777" w:rsidR="00C205F6" w:rsidRPr="00D4730C" w:rsidRDefault="00C205F6" w:rsidP="00B15E7D">
            <w:pPr>
              <w:tabs>
                <w:tab w:val="left" w:pos="2505"/>
              </w:tabs>
              <w:rPr>
                <w:b/>
                <w:i/>
              </w:rPr>
            </w:pPr>
          </w:p>
          <w:p w14:paraId="058FE41F" w14:textId="77777777" w:rsidR="00C205F6" w:rsidRPr="00D4730C" w:rsidRDefault="00C205F6" w:rsidP="00B15E7D">
            <w:pPr>
              <w:tabs>
                <w:tab w:val="left" w:pos="2505"/>
              </w:tabs>
              <w:rPr>
                <w:b/>
              </w:rPr>
            </w:pPr>
            <w:r w:rsidRPr="00D4730C">
              <w:rPr>
                <w:b/>
              </w:rPr>
              <w:t>УТВЕРЖДАЮ</w:t>
            </w:r>
          </w:p>
          <w:p w14:paraId="7C2F2385" w14:textId="77777777" w:rsidR="00C205F6" w:rsidRPr="00D4730C" w:rsidRDefault="00C205F6" w:rsidP="00B15E7D">
            <w:pPr>
              <w:tabs>
                <w:tab w:val="left" w:pos="2505"/>
              </w:tabs>
            </w:pPr>
            <w:r w:rsidRPr="00D4730C">
              <w:t xml:space="preserve">председатель контрольно - счетной </w:t>
            </w:r>
          </w:p>
          <w:p w14:paraId="3772903D" w14:textId="77777777" w:rsidR="00C205F6" w:rsidRPr="00D4730C" w:rsidRDefault="00C205F6" w:rsidP="00B15E7D">
            <w:pPr>
              <w:tabs>
                <w:tab w:val="left" w:pos="2505"/>
              </w:tabs>
            </w:pPr>
            <w:r w:rsidRPr="00D4730C">
              <w:t>палаты Волгоградской области</w:t>
            </w:r>
          </w:p>
          <w:p w14:paraId="411455CB" w14:textId="77777777" w:rsidR="00C205F6" w:rsidRPr="00D4730C" w:rsidRDefault="00C205F6" w:rsidP="00B15E7D">
            <w:pPr>
              <w:tabs>
                <w:tab w:val="left" w:pos="2505"/>
              </w:tabs>
            </w:pPr>
            <w:r w:rsidRPr="00D4730C">
              <w:t>______________ И. А. Дьяченко</w:t>
            </w:r>
          </w:p>
          <w:p w14:paraId="442C1A39" w14:textId="77777777" w:rsidR="00C205F6" w:rsidRPr="00D4730C" w:rsidRDefault="00C205F6" w:rsidP="00B15E7D">
            <w:pPr>
              <w:tabs>
                <w:tab w:val="left" w:pos="2505"/>
              </w:tabs>
            </w:pPr>
            <w:r w:rsidRPr="00D4730C">
              <w:t xml:space="preserve">«    »  </w:t>
            </w:r>
            <w:r>
              <w:t>апреля</w:t>
            </w:r>
            <w:r w:rsidRPr="00D4730C">
              <w:t xml:space="preserve"> 2019 года </w:t>
            </w:r>
          </w:p>
          <w:p w14:paraId="6AF6CF80" w14:textId="77777777" w:rsidR="00C205F6" w:rsidRPr="00D4730C" w:rsidRDefault="00C205F6" w:rsidP="00B15E7D">
            <w:pPr>
              <w:tabs>
                <w:tab w:val="left" w:pos="2505"/>
              </w:tabs>
              <w:jc w:val="right"/>
              <w:rPr>
                <w:b/>
                <w:i/>
              </w:rPr>
            </w:pPr>
          </w:p>
        </w:tc>
      </w:tr>
    </w:tbl>
    <w:p w14:paraId="5EA17B12" w14:textId="77777777" w:rsidR="00C205F6" w:rsidRPr="00D4730C" w:rsidRDefault="00C205F6" w:rsidP="00C205F6">
      <w:pPr>
        <w:tabs>
          <w:tab w:val="left" w:pos="2505"/>
        </w:tabs>
        <w:jc w:val="center"/>
        <w:rPr>
          <w:b/>
          <w:i/>
        </w:rPr>
      </w:pPr>
      <w:r w:rsidRPr="00D4730C">
        <w:rPr>
          <w:b/>
          <w:i/>
        </w:rPr>
        <w:t>ЗАКЛЮЧЕНИЕ</w:t>
      </w:r>
    </w:p>
    <w:p w14:paraId="73FB5946" w14:textId="77777777" w:rsidR="00C205F6" w:rsidRPr="00D4730C" w:rsidRDefault="00C205F6" w:rsidP="00C205F6">
      <w:pPr>
        <w:jc w:val="center"/>
        <w:rPr>
          <w:b/>
          <w:i/>
        </w:rPr>
      </w:pPr>
      <w:r w:rsidRPr="00D4730C">
        <w:rPr>
          <w:b/>
          <w:i/>
        </w:rPr>
        <w:t>о результатах внешней  проверки бюджетной отчетности</w:t>
      </w:r>
      <w:r w:rsidRPr="00D4730C">
        <w:rPr>
          <w:b/>
        </w:rPr>
        <w:t xml:space="preserve"> </w:t>
      </w:r>
      <w:r w:rsidRPr="00D4730C">
        <w:rPr>
          <w:b/>
          <w:i/>
        </w:rPr>
        <w:t>и</w:t>
      </w:r>
      <w:r w:rsidRPr="00D4730C">
        <w:rPr>
          <w:b/>
        </w:rPr>
        <w:t xml:space="preserve"> </w:t>
      </w:r>
      <w:r w:rsidRPr="00D4730C">
        <w:rPr>
          <w:b/>
          <w:i/>
        </w:rPr>
        <w:t>отдельных вопросов исполнения</w:t>
      </w:r>
      <w:r w:rsidRPr="00D4730C">
        <w:rPr>
          <w:b/>
        </w:rPr>
        <w:t xml:space="preserve"> </w:t>
      </w:r>
      <w:r w:rsidRPr="00557CB9">
        <w:rPr>
          <w:b/>
          <w:i/>
        </w:rPr>
        <w:t>областного бюджета</w:t>
      </w:r>
      <w:r>
        <w:rPr>
          <w:b/>
          <w:i/>
        </w:rPr>
        <w:t xml:space="preserve"> за 2018 год</w:t>
      </w:r>
      <w:r w:rsidRPr="00D4730C">
        <w:rPr>
          <w:b/>
          <w:i/>
        </w:rPr>
        <w:t xml:space="preserve"> главным администратором средств областного бюджета – комитетом </w:t>
      </w:r>
      <w:r>
        <w:rPr>
          <w:b/>
          <w:i/>
        </w:rPr>
        <w:t xml:space="preserve">финансов </w:t>
      </w:r>
      <w:r w:rsidRPr="00D4730C">
        <w:rPr>
          <w:b/>
          <w:i/>
        </w:rPr>
        <w:t xml:space="preserve">Волгоградской области </w:t>
      </w:r>
    </w:p>
    <w:p w14:paraId="0C9CB650" w14:textId="77777777" w:rsidR="00C205F6" w:rsidRPr="00D4730C" w:rsidRDefault="00C205F6" w:rsidP="00C205F6">
      <w:pPr>
        <w:ind w:firstLine="680"/>
        <w:jc w:val="center"/>
        <w:rPr>
          <w:b/>
        </w:rPr>
      </w:pPr>
    </w:p>
    <w:p w14:paraId="730AD37B" w14:textId="73C2A4F8" w:rsidR="00C205F6" w:rsidRDefault="00C205F6" w:rsidP="00C205F6">
      <w:pPr>
        <w:pStyle w:val="a5"/>
        <w:ind w:firstLine="680"/>
        <w:jc w:val="both"/>
        <w:rPr>
          <w:b w:val="0"/>
        </w:rPr>
      </w:pPr>
      <w:r w:rsidRPr="00D4730C">
        <w:rPr>
          <w:b w:val="0"/>
        </w:rPr>
        <w:t xml:space="preserve">На основании статьи 264.4 Бюджетного Кодекса РФ </w:t>
      </w:r>
      <w:r w:rsidR="00612AB2">
        <w:rPr>
          <w:b w:val="0"/>
        </w:rPr>
        <w:t xml:space="preserve">(далее – БК РФ) </w:t>
      </w:r>
      <w:r w:rsidRPr="00D4730C">
        <w:rPr>
          <w:b w:val="0"/>
        </w:rPr>
        <w:t xml:space="preserve">и в соответствии с </w:t>
      </w:r>
      <w:r w:rsidR="000526E8">
        <w:rPr>
          <w:b w:val="0"/>
        </w:rPr>
        <w:t xml:space="preserve">пунктом 2.1.13 </w:t>
      </w:r>
      <w:r w:rsidRPr="00D4730C">
        <w:rPr>
          <w:b w:val="0"/>
        </w:rPr>
        <w:t>план</w:t>
      </w:r>
      <w:r w:rsidR="000526E8">
        <w:rPr>
          <w:b w:val="0"/>
        </w:rPr>
        <w:t>а</w:t>
      </w:r>
      <w:r w:rsidRPr="00D4730C">
        <w:rPr>
          <w:b w:val="0"/>
        </w:rPr>
        <w:t xml:space="preserve"> работы контрольно-счетной палаты Волгоградской области (далее - КСП) на 2018 год, утвержденн</w:t>
      </w:r>
      <w:r w:rsidR="000526E8">
        <w:rPr>
          <w:b w:val="0"/>
        </w:rPr>
        <w:t>ого</w:t>
      </w:r>
      <w:bookmarkStart w:id="0" w:name="_GoBack"/>
      <w:bookmarkEnd w:id="0"/>
      <w:r w:rsidRPr="00D4730C">
        <w:rPr>
          <w:b w:val="0"/>
        </w:rPr>
        <w:t xml:space="preserve"> постановлением коллегии КСП от 17.12.2018 № 23/2, в целях подготовки заключения на годовой отчет об исполнении областного бюджета за 2018 год</w:t>
      </w:r>
      <w:r w:rsidRPr="001B6B4B">
        <w:t xml:space="preserve"> </w:t>
      </w:r>
      <w:r w:rsidRPr="00D4730C">
        <w:rPr>
          <w:b w:val="0"/>
        </w:rPr>
        <w:t>проведена внешняя камеральная проверка бюджетной отчетности и отдельных вопросов исполнения областного бюджета за 201</w:t>
      </w:r>
      <w:r>
        <w:rPr>
          <w:b w:val="0"/>
        </w:rPr>
        <w:t>8</w:t>
      </w:r>
      <w:r w:rsidRPr="00D4730C">
        <w:rPr>
          <w:b w:val="0"/>
        </w:rPr>
        <w:t xml:space="preserve"> год главным администратором средств областного бюджета – комитетом </w:t>
      </w:r>
      <w:r w:rsidR="00EA0B6C">
        <w:rPr>
          <w:b w:val="0"/>
        </w:rPr>
        <w:t xml:space="preserve">финансов </w:t>
      </w:r>
      <w:r w:rsidRPr="00D4730C">
        <w:rPr>
          <w:b w:val="0"/>
        </w:rPr>
        <w:t xml:space="preserve">Волгоградской области (далее – </w:t>
      </w:r>
      <w:r w:rsidR="00EA0B6C">
        <w:rPr>
          <w:b w:val="0"/>
        </w:rPr>
        <w:t>Облфин</w:t>
      </w:r>
      <w:r w:rsidRPr="00D4730C">
        <w:rPr>
          <w:b w:val="0"/>
        </w:rPr>
        <w:t>).</w:t>
      </w:r>
    </w:p>
    <w:p w14:paraId="01600D46" w14:textId="77777777" w:rsidR="00377BCF" w:rsidRPr="00901220" w:rsidRDefault="00377BCF" w:rsidP="00377BCF">
      <w:pPr>
        <w:pStyle w:val="ConsPlusNormal"/>
        <w:ind w:firstLine="680"/>
        <w:jc w:val="both"/>
      </w:pPr>
      <w:r w:rsidRPr="00901220">
        <w:t xml:space="preserve">Облфин </w:t>
      </w:r>
      <w:r w:rsidRPr="00901220">
        <w:rPr>
          <w:lang w:eastAsia="en-US"/>
        </w:rPr>
        <w:t xml:space="preserve">является </w:t>
      </w:r>
      <w:r w:rsidRPr="00901220">
        <w:t>финансовым органом Волгоградской области, органом исполнительной власти Волгоградской области, осуществляющим проведение единой финансовой, бюджетной и налоговой политики, составление и организацию исполнения областного бюджета, управление государственным долгом, исполнение полномочий органа внутреннего государственного финансового контроля, общее руководство организацией финансов в Волгоградской области.</w:t>
      </w:r>
      <w:r w:rsidR="00EB365B">
        <w:t xml:space="preserve"> О</w:t>
      </w:r>
      <w:r w:rsidRPr="00901220">
        <w:t>существляет функции и полномочия учредителя государственного казенного учреждения Волгоградской области «Центр бюджетного учета и</w:t>
      </w:r>
      <w:r>
        <w:t xml:space="preserve"> отчетности» (далее – </w:t>
      </w:r>
      <w:r w:rsidRPr="00901220">
        <w:t>ГКУ «Ц</w:t>
      </w:r>
      <w:r>
        <w:t>ентр бюджетного учета»</w:t>
      </w:r>
      <w:r w:rsidRPr="00901220">
        <w:t>).</w:t>
      </w:r>
    </w:p>
    <w:p w14:paraId="5CE9E602" w14:textId="77777777" w:rsidR="00377BCF" w:rsidRPr="00901220" w:rsidRDefault="00377BCF" w:rsidP="00377BCF">
      <w:pPr>
        <w:autoSpaceDE w:val="0"/>
        <w:autoSpaceDN w:val="0"/>
        <w:adjustRightInd w:val="0"/>
        <w:ind w:firstLine="709"/>
        <w:jc w:val="both"/>
      </w:pPr>
      <w:r w:rsidRPr="00901220">
        <w:t>Предельная штатная численность государственных гражданских служащих Волгоградской области (далее – ГГС) утверждена Законом Волгоградской области от 15.12.2017 № 124</w:t>
      </w:r>
      <w:r>
        <w:t>-ОД «</w:t>
      </w:r>
      <w:r w:rsidRPr="00901220">
        <w:t>Об областном бюджете на 2018 год и на плановый период 2019 и 2020</w:t>
      </w:r>
      <w:r>
        <w:t xml:space="preserve"> годов»</w:t>
      </w:r>
      <w:r w:rsidRPr="00901220">
        <w:t xml:space="preserve"> (далее - Закон об областном бюджете) в количестве 203 единиц в первоначальной редакции, 200 единиц в окончательной редакции (</w:t>
      </w:r>
      <w:r>
        <w:t>с</w:t>
      </w:r>
      <w:r w:rsidRPr="00901220">
        <w:t xml:space="preserve"> 19.09.2018).</w:t>
      </w:r>
    </w:p>
    <w:p w14:paraId="1429C1AF" w14:textId="77777777" w:rsidR="00377BCF" w:rsidRPr="00DB0FF5" w:rsidRDefault="00377BCF" w:rsidP="00377BCF">
      <w:pPr>
        <w:autoSpaceDE w:val="0"/>
        <w:autoSpaceDN w:val="0"/>
        <w:adjustRightInd w:val="0"/>
        <w:ind w:firstLine="709"/>
        <w:jc w:val="both"/>
        <w:outlineLvl w:val="0"/>
      </w:pPr>
      <w:r w:rsidRPr="00DB0FF5">
        <w:t xml:space="preserve">По состоянию на 31.12.2018 штатная численность Облфина составляла 203 ед., в том числе 1 ед. </w:t>
      </w:r>
      <w:r>
        <w:t>государственной должности,</w:t>
      </w:r>
      <w:r w:rsidRPr="00DB0FF5">
        <w:t xml:space="preserve"> 200 ед. ГГС, 1 ед. должностей, не отнесенных к должностям государственной службы, 1 ед. работников, осуществляющих техническое обеспечение деятельности. Фактически </w:t>
      </w:r>
      <w:r>
        <w:t>на конец года замещены все единицы</w:t>
      </w:r>
      <w:r w:rsidRPr="00647A97">
        <w:t>. Среднесписочная численность работников за отчетный период составила 199 ед., в т.ч. ГГС  – 196 ед</w:t>
      </w:r>
      <w:r w:rsidR="00800835">
        <w:t>иниц.</w:t>
      </w:r>
    </w:p>
    <w:p w14:paraId="20F8052F" w14:textId="77777777" w:rsidR="00B8000E" w:rsidRPr="008A61F3" w:rsidRDefault="00E27625" w:rsidP="00E27625">
      <w:pPr>
        <w:jc w:val="center"/>
        <w:rPr>
          <w:b/>
          <w:i/>
        </w:rPr>
      </w:pPr>
      <w:r w:rsidRPr="008A61F3">
        <w:rPr>
          <w:b/>
          <w:i/>
        </w:rPr>
        <w:t>Бюджетная отч</w:t>
      </w:r>
      <w:r w:rsidR="002A4B25" w:rsidRPr="008A61F3">
        <w:rPr>
          <w:b/>
          <w:i/>
        </w:rPr>
        <w:t>е</w:t>
      </w:r>
      <w:r w:rsidRPr="008A61F3">
        <w:rPr>
          <w:b/>
          <w:i/>
        </w:rPr>
        <w:t>тность</w:t>
      </w:r>
    </w:p>
    <w:p w14:paraId="65EB8ECC" w14:textId="77777777" w:rsidR="008A61F3" w:rsidRPr="00164B2F" w:rsidRDefault="008A61F3" w:rsidP="008A61F3">
      <w:pPr>
        <w:ind w:firstLine="680"/>
        <w:jc w:val="both"/>
      </w:pPr>
      <w:r>
        <w:t xml:space="preserve">Консолидированная </w:t>
      </w:r>
      <w:r w:rsidRPr="00164B2F">
        <w:t>бюджетная отчетность</w:t>
      </w:r>
      <w:r>
        <w:t>, а также</w:t>
      </w:r>
      <w:r w:rsidRPr="00164B2F">
        <w:t xml:space="preserve"> отчетность Облфина и ГКУ «Ц</w:t>
      </w:r>
      <w:r>
        <w:t>ентр бюджетного учета</w:t>
      </w:r>
      <w:r w:rsidRPr="00164B2F">
        <w:t xml:space="preserve">» представлены к проверке в составе, определенном ст. 264.1 БК РФ и п. 11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Минфина РФ от 28.12.2010 №191н (далее - Инструкция №191н). </w:t>
      </w:r>
    </w:p>
    <w:p w14:paraId="18D22731" w14:textId="77777777" w:rsidR="008A61F3" w:rsidRDefault="008A61F3" w:rsidP="008A61F3">
      <w:pPr>
        <w:spacing w:line="240" w:lineRule="atLeast"/>
        <w:ind w:firstLine="680"/>
        <w:jc w:val="both"/>
      </w:pPr>
      <w:r>
        <w:t>В ходе проверки бюджетной отчетности установлены следующие нарушения и недостатки:</w:t>
      </w:r>
    </w:p>
    <w:p w14:paraId="513638AC" w14:textId="77777777" w:rsidR="008A61F3" w:rsidRDefault="008A61F3" w:rsidP="008A61F3">
      <w:pPr>
        <w:autoSpaceDE w:val="0"/>
        <w:autoSpaceDN w:val="0"/>
        <w:adjustRightInd w:val="0"/>
        <w:ind w:firstLine="680"/>
        <w:jc w:val="both"/>
      </w:pPr>
      <w:r>
        <w:t xml:space="preserve">-  в нарушение п. 155 Инструкции № 191н в таблице 3 «Сведения об исполнении текстовых статей закона (решения) о бюджете» Пояснительной записки (ф. 0503160) Облфина и соответственно аналогичной форме консолидированной бюджетной отчетности   отсутствовала информация об исполнении ст. 37 Закона об областном бюджете, предусматривающей предоставление </w:t>
      </w:r>
      <w:r w:rsidRPr="00DD0570">
        <w:t>субсидии муниципальным образованиям Волгоградской области - победителям и призерам областного конкурса на лучшую организацию работы в представительных органах местного самоуправления Волгоградской области</w:t>
      </w:r>
      <w:r>
        <w:t>;</w:t>
      </w:r>
    </w:p>
    <w:p w14:paraId="28290F54" w14:textId="77777777" w:rsidR="00B15E7D" w:rsidRDefault="00B15E7D" w:rsidP="00B15E7D">
      <w:pPr>
        <w:autoSpaceDE w:val="0"/>
        <w:autoSpaceDN w:val="0"/>
        <w:adjustRightInd w:val="0"/>
        <w:ind w:firstLine="680"/>
        <w:jc w:val="both"/>
      </w:pPr>
      <w:r>
        <w:t>- в нарушение п. 152 Инструкции № 191н в Пояснительной записке (ф. 0503160) Облфина и соответственно аналогичной форме консолидированной бюджетной отчетности отсутствовала информация о мерах по повышению квалификации и переподготовке специалистов;</w:t>
      </w:r>
    </w:p>
    <w:p w14:paraId="4A3DD21F" w14:textId="77777777" w:rsidR="002E7594" w:rsidRDefault="00B15E7D" w:rsidP="008A61F3">
      <w:pPr>
        <w:autoSpaceDE w:val="0"/>
        <w:autoSpaceDN w:val="0"/>
        <w:adjustRightInd w:val="0"/>
        <w:ind w:firstLine="680"/>
        <w:jc w:val="both"/>
      </w:pPr>
      <w:r>
        <w:lastRenderedPageBreak/>
        <w:t xml:space="preserve">- согласно </w:t>
      </w:r>
      <w:r w:rsidR="008A61F3">
        <w:t xml:space="preserve">п. 152 Инструкции № 191н в разделе 4 «Анализ показателей бухгалтерской отчетности субъекта бюджетной отчетности» Пояснительной записки (ф. 0503160) предусмотрено раскрытие иной информации, оказавшей существенное влияние и характеризующей показатели бухгалтерской отчетности субъекта бюджетной отчетности за отчетный период. При этом Облфином в </w:t>
      </w:r>
      <w:r w:rsidR="00A32B5D">
        <w:t xml:space="preserve">Пояснительной записке (ф. 0503160) </w:t>
      </w:r>
      <w:r w:rsidR="008A61F3">
        <w:t>не раскрыта информация о видах межбюджетных трансфертов, по которым сложилось неисполнение</w:t>
      </w:r>
      <w:r w:rsidR="002E7594">
        <w:t>.</w:t>
      </w:r>
    </w:p>
    <w:p w14:paraId="40B2C97A" w14:textId="77777777" w:rsidR="008A61F3" w:rsidRPr="00954AEC" w:rsidRDefault="008A61F3" w:rsidP="008A61F3">
      <w:pPr>
        <w:autoSpaceDE w:val="0"/>
        <w:autoSpaceDN w:val="0"/>
        <w:adjustRightInd w:val="0"/>
        <w:ind w:firstLine="680"/>
        <w:jc w:val="both"/>
      </w:pPr>
      <w:r>
        <w:t xml:space="preserve">В ходе проверки представлены уточненные формы Пояснительной записки (ф. 0503160) </w:t>
      </w:r>
      <w:r w:rsidRPr="00954AEC">
        <w:t xml:space="preserve">Облфина и консолидированной </w:t>
      </w:r>
      <w:r w:rsidR="00626CE5">
        <w:t xml:space="preserve">бюджетной </w:t>
      </w:r>
      <w:r w:rsidRPr="00954AEC">
        <w:t>отчетности;</w:t>
      </w:r>
    </w:p>
    <w:p w14:paraId="25E81B79" w14:textId="77777777" w:rsidR="008A61F3" w:rsidRDefault="008A61F3" w:rsidP="008A61F3">
      <w:pPr>
        <w:autoSpaceDE w:val="0"/>
        <w:autoSpaceDN w:val="0"/>
        <w:adjustRightInd w:val="0"/>
        <w:ind w:firstLine="680"/>
        <w:jc w:val="both"/>
      </w:pPr>
      <w:r w:rsidRPr="00954AEC">
        <w:t xml:space="preserve">- ГКУ «Центр бюджетного учета» в Отчете о бюджетных обязательствах (ф. 0503128) не заполнены </w:t>
      </w:r>
      <w:r w:rsidR="00387207" w:rsidRPr="00954AEC">
        <w:rPr>
          <w:rFonts w:eastAsia="Times New Roman"/>
          <w:color w:val="000000"/>
        </w:rPr>
        <w:t>по графе 11 «Не исполнено принятых бюджетных обязательств»</w:t>
      </w:r>
      <w:r w:rsidR="00387207">
        <w:rPr>
          <w:rFonts w:eastAsia="Times New Roman"/>
          <w:color w:val="000000"/>
        </w:rPr>
        <w:t xml:space="preserve"> </w:t>
      </w:r>
      <w:r w:rsidRPr="00954AEC">
        <w:t>строки 900 «О</w:t>
      </w:r>
      <w:r w:rsidRPr="00B42BB1">
        <w:rPr>
          <w:rFonts w:eastAsia="Times New Roman"/>
          <w:color w:val="000000"/>
        </w:rPr>
        <w:t>бязательства финансовых годов, следующих за текущим (отчетным) финансовым годом, всего</w:t>
      </w:r>
      <w:r w:rsidRPr="00954AEC">
        <w:rPr>
          <w:rFonts w:eastAsia="Times New Roman"/>
          <w:color w:val="000000"/>
        </w:rPr>
        <w:t>» и 910 «</w:t>
      </w:r>
      <w:r w:rsidRPr="00B42BB1">
        <w:rPr>
          <w:rFonts w:eastAsia="Times New Roman"/>
          <w:color w:val="000000"/>
        </w:rPr>
        <w:t>в том числе по расходам</w:t>
      </w:r>
      <w:r w:rsidRPr="00954AEC">
        <w:rPr>
          <w:rFonts w:eastAsia="Times New Roman"/>
          <w:color w:val="000000"/>
        </w:rPr>
        <w:t xml:space="preserve">» </w:t>
      </w:r>
      <w:r w:rsidR="002E7594">
        <w:rPr>
          <w:rFonts w:eastAsia="Times New Roman"/>
          <w:color w:val="000000"/>
        </w:rPr>
        <w:t xml:space="preserve">при наличии суммы </w:t>
      </w:r>
      <w:r w:rsidR="002E7594" w:rsidRPr="00954AEC">
        <w:rPr>
          <w:rFonts w:eastAsia="Times New Roman"/>
          <w:color w:val="000000"/>
        </w:rPr>
        <w:t>по строке 911 «из них: по отложенным обязательствам»</w:t>
      </w:r>
      <w:r w:rsidR="002E7594">
        <w:rPr>
          <w:rFonts w:eastAsia="Times New Roman"/>
          <w:color w:val="000000"/>
        </w:rPr>
        <w:t>,</w:t>
      </w:r>
      <w:r w:rsidRPr="00954AEC">
        <w:rPr>
          <w:rFonts w:eastAsia="Times New Roman"/>
          <w:color w:val="000000"/>
        </w:rPr>
        <w:t xml:space="preserve"> чем не соблюден п. 70 Инструкции № 191н.</w:t>
      </w:r>
      <w:r>
        <w:rPr>
          <w:rFonts w:eastAsia="Times New Roman"/>
          <w:color w:val="000000"/>
        </w:rPr>
        <w:t xml:space="preserve"> </w:t>
      </w:r>
      <w:r w:rsidRPr="00096A0A">
        <w:t xml:space="preserve">Соответственно не </w:t>
      </w:r>
      <w:r>
        <w:t xml:space="preserve">заполнены вышеприведенные строки в  консолидированной форме </w:t>
      </w:r>
      <w:r w:rsidRPr="00954AEC">
        <w:t>Отчет</w:t>
      </w:r>
      <w:r>
        <w:t>а</w:t>
      </w:r>
      <w:r w:rsidRPr="00954AEC">
        <w:t xml:space="preserve"> о бюджетных обязательствах (ф. 0503128)</w:t>
      </w:r>
      <w:r>
        <w:t>.</w:t>
      </w:r>
    </w:p>
    <w:p w14:paraId="5472B5BE" w14:textId="77777777" w:rsidR="008A61F3" w:rsidRDefault="008A61F3" w:rsidP="008A61F3">
      <w:pPr>
        <w:autoSpaceDE w:val="0"/>
        <w:ind w:firstLine="680"/>
        <w:jc w:val="both"/>
      </w:pPr>
      <w:r>
        <w:t>В р</w:t>
      </w:r>
      <w:r w:rsidRPr="00757E15">
        <w:t xml:space="preserve">езультате </w:t>
      </w:r>
      <w:r>
        <w:t>допущены искажения названных показателей</w:t>
      </w:r>
      <w:r w:rsidRPr="00757E15">
        <w:t>, выраженные в денежн</w:t>
      </w:r>
      <w:r>
        <w:t>ом выражении, более чем на 10</w:t>
      </w:r>
      <w:r w:rsidR="00181CE0">
        <w:t xml:space="preserve">%, что </w:t>
      </w:r>
      <w:r w:rsidR="00181CE0" w:rsidRPr="00B5618F">
        <w:t xml:space="preserve">является нарушением требований к бухгалтерской (финансовой) отчетности. </w:t>
      </w:r>
      <w:r>
        <w:t xml:space="preserve"> </w:t>
      </w:r>
      <w:r w:rsidRPr="00757E15">
        <w:t xml:space="preserve">В ходе проверки </w:t>
      </w:r>
      <w:r>
        <w:t xml:space="preserve">ГКУ «Центр бюджетного учета» и Облфином </w:t>
      </w:r>
      <w:r w:rsidRPr="00757E15">
        <w:t xml:space="preserve">нарушения устранены путем внесения соответствующих изменений </w:t>
      </w:r>
      <w:r>
        <w:t>в Отчет о бюджетных обязательствах (ф. 0503128).</w:t>
      </w:r>
    </w:p>
    <w:p w14:paraId="4FB30A1F" w14:textId="77777777" w:rsidR="0071471D" w:rsidRDefault="008A61F3" w:rsidP="0071471D">
      <w:pPr>
        <w:autoSpaceDE w:val="0"/>
        <w:autoSpaceDN w:val="0"/>
        <w:adjustRightInd w:val="0"/>
        <w:ind w:firstLine="680"/>
        <w:jc w:val="both"/>
      </w:pPr>
      <w:r>
        <w:t>Кроме того, проверкой установлен</w:t>
      </w:r>
      <w:r w:rsidR="001C4582">
        <w:t xml:space="preserve">о, что по резервному фонду </w:t>
      </w:r>
      <w:r w:rsidR="00562A63">
        <w:t xml:space="preserve">Облфином </w:t>
      </w:r>
      <w:r w:rsidR="001C4582">
        <w:t>принятие бюджетных обязательств производится, исходя из размера резервного фонда Администрации Волгоградской области, утвержденного Законом об областном бюджете</w:t>
      </w:r>
      <w:r w:rsidR="00562A63">
        <w:t>, т.е. до принятия постановлений Администрации Волгоградской области о выделении средств резервного фонда.</w:t>
      </w:r>
      <w:r w:rsidR="0071471D" w:rsidRPr="0071471D">
        <w:t xml:space="preserve"> </w:t>
      </w:r>
      <w:r w:rsidR="0071471D">
        <w:t xml:space="preserve">В результате в Отчете о бюджетных обязательствах (ф. 0503128) на сумму нераспределенных постановлениями Администрации Волгоградской области средств резервного фонда отражены принятые (гр. 7) и неисполненные (гр. 11) бюджетные обязательства в сумме 58 827,8 тыс. рублей. </w:t>
      </w:r>
    </w:p>
    <w:p w14:paraId="229827C5" w14:textId="77777777" w:rsidR="00737D76" w:rsidRDefault="00AD2F90" w:rsidP="00AD2F90">
      <w:pPr>
        <w:autoSpaceDE w:val="0"/>
        <w:autoSpaceDN w:val="0"/>
        <w:adjustRightInd w:val="0"/>
        <w:ind w:firstLine="680"/>
        <w:jc w:val="both"/>
      </w:pPr>
      <w:r>
        <w:t xml:space="preserve">Действующими нормативными правовыми актами не предусмотрен порядок учета бюджетных </w:t>
      </w:r>
      <w:r w:rsidRPr="00AD2F90">
        <w:t>обязательств (определения момента возникновения бюджетных обязательств) в части</w:t>
      </w:r>
      <w:r>
        <w:t xml:space="preserve"> использования (перераспределения) средств резервных фондов. </w:t>
      </w:r>
      <w:r w:rsidR="008A61F3">
        <w:t>Согласно п. 31</w:t>
      </w:r>
      <w:r w:rsidR="00737D76">
        <w:t>8</w:t>
      </w:r>
      <w:r w:rsidR="008A61F3">
        <w:t xml:space="preserve"> Инструкции по применению Единого плана счетов бухгалтерского учета для органов государственной власти (государственных органов)</w:t>
      </w:r>
      <w:r w:rsidR="00626CE5">
        <w:t>…</w:t>
      </w:r>
      <w:r w:rsidR="008A61F3">
        <w:t xml:space="preserve">, утвержденной приказом Минфина России от 01.12.2010 № 157н, </w:t>
      </w:r>
      <w:r w:rsidR="00737D76">
        <w:t>учет обязательств осуществляется на основании документов, подтверждающих их принятие (возникновение) в соответствии с перечнем, установленным учреждением в рамках формирования учетной политики. При этом Учетной политикой Облфина вопросы принятия бюджетных обязательств за счет средств резервного фонда Администрации Волгоградской области не определены.</w:t>
      </w:r>
    </w:p>
    <w:p w14:paraId="423A889B" w14:textId="77777777" w:rsidR="006F1AD1" w:rsidRDefault="006F1AD1" w:rsidP="00D34131">
      <w:pPr>
        <w:autoSpaceDE w:val="0"/>
        <w:autoSpaceDN w:val="0"/>
        <w:adjustRightInd w:val="0"/>
        <w:ind w:firstLine="360"/>
        <w:jc w:val="center"/>
        <w:rPr>
          <w:b/>
          <w:i/>
        </w:rPr>
      </w:pPr>
    </w:p>
    <w:p w14:paraId="5A978C8E" w14:textId="77777777" w:rsidR="00D34131" w:rsidRPr="00BD1187" w:rsidRDefault="00D34131" w:rsidP="00D34131">
      <w:pPr>
        <w:autoSpaceDE w:val="0"/>
        <w:autoSpaceDN w:val="0"/>
        <w:adjustRightInd w:val="0"/>
        <w:ind w:firstLine="360"/>
        <w:jc w:val="center"/>
        <w:rPr>
          <w:b/>
          <w:i/>
        </w:rPr>
      </w:pPr>
      <w:r w:rsidRPr="00BD1187">
        <w:rPr>
          <w:b/>
          <w:i/>
        </w:rPr>
        <w:t>Исполнение плановых назначений по закрепленным доходам</w:t>
      </w:r>
    </w:p>
    <w:p w14:paraId="02F81329" w14:textId="77777777" w:rsidR="00D34131" w:rsidRDefault="00D34131" w:rsidP="00D34131">
      <w:pPr>
        <w:pStyle w:val="1"/>
        <w:spacing w:before="0" w:after="0"/>
        <w:ind w:firstLine="680"/>
        <w:jc w:val="both"/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</w:pPr>
      <w:r w:rsidRPr="00825383"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  <w:t>Данные об администрируемых Облфином доходах и их фактическом поступлении в 201</w:t>
      </w:r>
      <w:r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  <w:t>8</w:t>
      </w:r>
      <w:r w:rsidRPr="00825383"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  <w:t xml:space="preserve"> году </w:t>
      </w:r>
      <w:r w:rsidR="0070069F"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  <w:t xml:space="preserve">приведены в </w:t>
      </w:r>
      <w:r w:rsidR="0070069F" w:rsidRPr="0070069F">
        <w:rPr>
          <w:rFonts w:ascii="Times New Roman" w:eastAsia="Calibri" w:hAnsi="Times New Roman"/>
          <w:b w:val="0"/>
          <w:bCs w:val="0"/>
          <w:color w:val="17365D" w:themeColor="text2" w:themeShade="BF"/>
          <w:sz w:val="24"/>
          <w:szCs w:val="24"/>
        </w:rPr>
        <w:t>приложении №1</w:t>
      </w:r>
      <w:r w:rsidR="0070069F"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  <w:t>.</w:t>
      </w:r>
    </w:p>
    <w:p w14:paraId="0203AAC5" w14:textId="77777777" w:rsidR="00D34131" w:rsidRPr="007F5056" w:rsidRDefault="00D34131" w:rsidP="00D34131">
      <w:pPr>
        <w:ind w:firstLine="680"/>
        <w:jc w:val="both"/>
      </w:pPr>
      <w:r w:rsidRPr="007F5056">
        <w:t>Всего доходы в 201</w:t>
      </w:r>
      <w:r>
        <w:t>8</w:t>
      </w:r>
      <w:r w:rsidRPr="007F5056">
        <w:t xml:space="preserve"> году исполнены на </w:t>
      </w:r>
      <w:r>
        <w:t>14 633 911,6</w:t>
      </w:r>
      <w:r w:rsidRPr="007F5056">
        <w:t xml:space="preserve"> тыс. руб., или на 10</w:t>
      </w:r>
      <w:r>
        <w:t>2,2%, в т.ч. н</w:t>
      </w:r>
      <w:r w:rsidRPr="007F5056">
        <w:t xml:space="preserve">алоговые и неналоговые доходы перевыполнены на </w:t>
      </w:r>
      <w:r>
        <w:t>213,2 тыс. руб. (+3,2%),</w:t>
      </w:r>
      <w:r w:rsidRPr="007F5056">
        <w:t xml:space="preserve"> безвозмездные поступления – </w:t>
      </w:r>
      <w:r>
        <w:t>на 310 937,0 тыс. руб. (+2,2%).</w:t>
      </w:r>
      <w:r w:rsidRPr="007F5056">
        <w:t xml:space="preserve"> </w:t>
      </w:r>
    </w:p>
    <w:p w14:paraId="61BAF4C0" w14:textId="77777777" w:rsidR="00D34131" w:rsidRDefault="00D34131" w:rsidP="00D34131">
      <w:pPr>
        <w:ind w:firstLine="680"/>
        <w:jc w:val="both"/>
        <w:rPr>
          <w:color w:val="76923C" w:themeColor="accent3" w:themeShade="BF"/>
        </w:rPr>
      </w:pPr>
      <w:r w:rsidRPr="0066637D">
        <w:t>Перевыполнение по налоговым и неналоговым доходам сложилось в основном по денежным взысканиям (штрафам) за нарушение законодательства РФ о</w:t>
      </w:r>
      <w:r w:rsidRPr="0066637D">
        <w:rPr>
          <w:color w:val="76923C" w:themeColor="accent3" w:themeShade="BF"/>
        </w:rPr>
        <w:t xml:space="preserve"> </w:t>
      </w:r>
      <w:r w:rsidRPr="0066637D">
        <w:rPr>
          <w:rFonts w:eastAsia="Times New Roman"/>
        </w:rPr>
        <w:t>контракт</w:t>
      </w:r>
      <w:r>
        <w:rPr>
          <w:rFonts w:eastAsia="Times New Roman"/>
        </w:rPr>
        <w:t>ной</w:t>
      </w:r>
      <w:r w:rsidRPr="0066637D">
        <w:rPr>
          <w:rFonts w:eastAsia="Times New Roman"/>
        </w:rPr>
        <w:t xml:space="preserve"> системе в сфере закупок товаров, работ, услуг для обеспеч</w:t>
      </w:r>
      <w:r>
        <w:rPr>
          <w:rFonts w:eastAsia="Times New Roman"/>
        </w:rPr>
        <w:t>ения</w:t>
      </w:r>
      <w:r w:rsidRPr="0066637D">
        <w:rPr>
          <w:rFonts w:eastAsia="Times New Roman"/>
        </w:rPr>
        <w:t xml:space="preserve"> государств</w:t>
      </w:r>
      <w:r>
        <w:rPr>
          <w:rFonts w:eastAsia="Times New Roman"/>
        </w:rPr>
        <w:t xml:space="preserve">енных </w:t>
      </w:r>
      <w:r w:rsidRPr="0066637D">
        <w:rPr>
          <w:rFonts w:eastAsia="Times New Roman"/>
        </w:rPr>
        <w:t xml:space="preserve">нужд </w:t>
      </w:r>
      <w:r>
        <w:rPr>
          <w:rFonts w:eastAsia="Times New Roman"/>
        </w:rPr>
        <w:t>на 414,0 тыс. руб. (+20,7%) в связи с увеличением фактов выявленных в 2018 году нарушений, а также погашением задолженности прошлых лет.</w:t>
      </w:r>
    </w:p>
    <w:p w14:paraId="5C4C4887" w14:textId="77777777" w:rsidR="00D34131" w:rsidRDefault="00D34131" w:rsidP="00D34131">
      <w:pPr>
        <w:ind w:firstLine="680"/>
        <w:jc w:val="both"/>
      </w:pPr>
      <w:r w:rsidRPr="00857573">
        <w:t>По безвозмездным поступлениям на перевыполнение утвержденных бюджетных назначений в основном повлияло перевыполнение по дотациям бюджетам субъектов РФ на поддержку мер по обеспечению сбалансированности бюджетов на 318 142,7 тыс. руб.</w:t>
      </w:r>
      <w:r w:rsidR="004D3FA1">
        <w:t xml:space="preserve">, или на </w:t>
      </w:r>
      <w:r w:rsidRPr="00857573">
        <w:t>40,2%</w:t>
      </w:r>
      <w:r w:rsidR="004D3FA1">
        <w:t xml:space="preserve"> (</w:t>
      </w:r>
      <w:r w:rsidRPr="00857573">
        <w:t xml:space="preserve">в </w:t>
      </w:r>
      <w:r w:rsidRPr="000B0B77">
        <w:t xml:space="preserve">связи с фактическим поступлением средств федерального бюджета </w:t>
      </w:r>
      <w:r>
        <w:t xml:space="preserve">в размере </w:t>
      </w:r>
      <w:r>
        <w:lastRenderedPageBreak/>
        <w:t xml:space="preserve">275 970,7 тыс. руб. по </w:t>
      </w:r>
      <w:r w:rsidR="00B96F78">
        <w:t>р</w:t>
      </w:r>
      <w:r>
        <w:t xml:space="preserve">аспоряжению Правительства РФ № 2865-р от 20.12.2018 </w:t>
      </w:r>
      <w:r w:rsidRPr="000B0B77">
        <w:t xml:space="preserve">и </w:t>
      </w:r>
      <w:r>
        <w:t>увеличением</w:t>
      </w:r>
      <w:r w:rsidRPr="000B0B77">
        <w:t xml:space="preserve"> планового показателя </w:t>
      </w:r>
      <w:r>
        <w:t xml:space="preserve">на 42 172,0 тыс. руб. </w:t>
      </w:r>
      <w:r w:rsidRPr="000B0B77">
        <w:t>Федеральным законом от 29.11.2018 № 458-ФЗ «О внесении</w:t>
      </w:r>
      <w:r>
        <w:t xml:space="preserve"> изменений в Федеральный закон «О федеральном бюджете на 2018 год и на плановый период 2019 и 2020 годов» после внесения изменений в Закон об областном бюджете</w:t>
      </w:r>
      <w:r w:rsidR="004D3FA1">
        <w:t>)</w:t>
      </w:r>
      <w:r>
        <w:t xml:space="preserve">, а также </w:t>
      </w:r>
      <w:r w:rsidR="004D3FA1">
        <w:t xml:space="preserve">по иным межбюджетным трансфертам – на 57 200,0 тыс. руб. (в связи с поступлением средств на финансовое обеспечение мер социальной поддержки граждан в связи с паводком, произошедшим в апреле 2018 года на территории Волгоградской области, за счет средств резервного фонда Правительства РФ </w:t>
      </w:r>
      <w:r>
        <w:t xml:space="preserve">в соответствии с </w:t>
      </w:r>
      <w:r w:rsidR="00B96F78">
        <w:t>р</w:t>
      </w:r>
      <w:r>
        <w:t>аспоряжением Правительства РФ от 08.11.2018 № 2421-р</w:t>
      </w:r>
      <w:r w:rsidR="004D3FA1">
        <w:t>)</w:t>
      </w:r>
      <w:r>
        <w:t>.</w:t>
      </w:r>
    </w:p>
    <w:p w14:paraId="758752FC" w14:textId="77777777" w:rsidR="00D34131" w:rsidRDefault="00D34131" w:rsidP="00453CCF">
      <w:pPr>
        <w:autoSpaceDE w:val="0"/>
        <w:autoSpaceDN w:val="0"/>
        <w:adjustRightInd w:val="0"/>
        <w:ind w:firstLine="360"/>
        <w:jc w:val="center"/>
        <w:rPr>
          <w:b/>
          <w:i/>
          <w:color w:val="76923C" w:themeColor="accent3" w:themeShade="BF"/>
        </w:rPr>
      </w:pPr>
    </w:p>
    <w:p w14:paraId="6387759F" w14:textId="77777777" w:rsidR="0004689F" w:rsidRPr="0004689F" w:rsidRDefault="0004689F" w:rsidP="0004689F">
      <w:pPr>
        <w:autoSpaceDE w:val="0"/>
        <w:autoSpaceDN w:val="0"/>
        <w:adjustRightInd w:val="0"/>
        <w:jc w:val="center"/>
        <w:rPr>
          <w:b/>
          <w:i/>
        </w:rPr>
      </w:pPr>
      <w:r w:rsidRPr="0004689F">
        <w:rPr>
          <w:b/>
          <w:i/>
        </w:rPr>
        <w:t>Исполнение расходов</w:t>
      </w:r>
    </w:p>
    <w:p w14:paraId="5EB83A23" w14:textId="77777777" w:rsidR="0004689F" w:rsidRPr="00E43CE7" w:rsidRDefault="0004689F" w:rsidP="007E021C">
      <w:pPr>
        <w:ind w:firstLine="680"/>
        <w:jc w:val="both"/>
        <w:rPr>
          <w:bCs/>
        </w:rPr>
      </w:pPr>
      <w:r w:rsidRPr="00E43CE7">
        <w:rPr>
          <w:bCs/>
        </w:rPr>
        <w:t>Законом об областном бюджете</w:t>
      </w:r>
      <w:r>
        <w:rPr>
          <w:bCs/>
        </w:rPr>
        <w:t xml:space="preserve"> </w:t>
      </w:r>
      <w:r w:rsidRPr="00E43CE7">
        <w:rPr>
          <w:bCs/>
        </w:rPr>
        <w:t xml:space="preserve">утвержден объем бюджетных ассигнований Облфину в размере </w:t>
      </w:r>
      <w:r w:rsidRPr="00E43CE7">
        <w:rPr>
          <w:rFonts w:eastAsia="Times New Roman"/>
        </w:rPr>
        <w:t>7 682 245,6</w:t>
      </w:r>
      <w:r w:rsidRPr="00E43CE7">
        <w:rPr>
          <w:bCs/>
        </w:rPr>
        <w:t xml:space="preserve"> тыс. руб</w:t>
      </w:r>
      <w:r w:rsidRPr="007E021C">
        <w:rPr>
          <w:bCs/>
        </w:rPr>
        <w:t>., что ниже утвержденного объема бюджетных</w:t>
      </w:r>
      <w:r w:rsidRPr="00E43CE7">
        <w:rPr>
          <w:bCs/>
        </w:rPr>
        <w:t xml:space="preserve"> назначений</w:t>
      </w:r>
      <w:r w:rsidR="00970F25">
        <w:rPr>
          <w:bCs/>
        </w:rPr>
        <w:t xml:space="preserve">, отраженного в </w:t>
      </w:r>
      <w:r>
        <w:rPr>
          <w:bCs/>
        </w:rPr>
        <w:t>О</w:t>
      </w:r>
      <w:r w:rsidRPr="00E43CE7">
        <w:rPr>
          <w:bCs/>
        </w:rPr>
        <w:t>тчет</w:t>
      </w:r>
      <w:r w:rsidR="00970F25">
        <w:rPr>
          <w:bCs/>
        </w:rPr>
        <w:t>е</w:t>
      </w:r>
      <w:r w:rsidRPr="00E43CE7">
        <w:rPr>
          <w:bCs/>
        </w:rPr>
        <w:t xml:space="preserve"> об исполнении бюджета (ф.0503127) на </w:t>
      </w:r>
      <w:r w:rsidRPr="00E43CE7">
        <w:rPr>
          <w:rFonts w:eastAsia="Times New Roman"/>
        </w:rPr>
        <w:t>23 662,3</w:t>
      </w:r>
      <w:r w:rsidRPr="00E43CE7">
        <w:rPr>
          <w:bCs/>
        </w:rPr>
        <w:t xml:space="preserve"> тыс. руб., или на 0,3 процента.</w:t>
      </w:r>
    </w:p>
    <w:p w14:paraId="5C9B47B3" w14:textId="77777777" w:rsidR="0004689F" w:rsidRDefault="0004689F" w:rsidP="007E021C">
      <w:pPr>
        <w:ind w:firstLine="680"/>
        <w:jc w:val="both"/>
      </w:pPr>
      <w:r w:rsidRPr="00A87D53">
        <w:rPr>
          <w:bCs/>
        </w:rPr>
        <w:t>Увеличение бюджетных ассигнований без внесения изменений в Закон об областном бюджете произошло в основном за счет получения Волгоградской областью межбюджетных трансфертов, передаваемых бюджетам за счет средств резервного фонда Правительства РФ</w:t>
      </w:r>
      <w:r w:rsidR="007E021C">
        <w:rPr>
          <w:bCs/>
        </w:rPr>
        <w:t>,</w:t>
      </w:r>
      <w:r w:rsidRPr="00A87D53">
        <w:rPr>
          <w:bCs/>
        </w:rPr>
        <w:t xml:space="preserve"> в сумме 57 200,0 тыс. руб. (поступили в ноябре 2018</w:t>
      </w:r>
      <w:r w:rsidR="007E021C">
        <w:rPr>
          <w:bCs/>
        </w:rPr>
        <w:t xml:space="preserve"> года)</w:t>
      </w:r>
      <w:r w:rsidR="00F064A8">
        <w:rPr>
          <w:bCs/>
        </w:rPr>
        <w:t>.</w:t>
      </w:r>
    </w:p>
    <w:p w14:paraId="4C1A88F3" w14:textId="77777777" w:rsidR="0004689F" w:rsidRDefault="00CF0462" w:rsidP="00CF0462">
      <w:pPr>
        <w:ind w:firstLine="680"/>
        <w:jc w:val="both"/>
        <w:rPr>
          <w:i/>
          <w:color w:val="0070C0"/>
          <w:sz w:val="20"/>
          <w:szCs w:val="20"/>
        </w:rPr>
      </w:pPr>
      <w:r>
        <w:t>Утвержденные на 2018 год бюджетные назначения по расходам</w:t>
      </w:r>
      <w:r w:rsidRPr="00A12FF2">
        <w:t xml:space="preserve"> исполнены на 96,1%, объем неисполненных назначений составил 299 750,7 тыс. рублей.</w:t>
      </w:r>
      <w:r>
        <w:t xml:space="preserve"> </w:t>
      </w:r>
      <w:r w:rsidR="00653F59">
        <w:t xml:space="preserve">Информация </w:t>
      </w:r>
      <w:r w:rsidR="00024A5B">
        <w:t>об  исполнении</w:t>
      </w:r>
      <w:r w:rsidR="0004689F" w:rsidRPr="00907DD8">
        <w:t xml:space="preserve"> бюджетных назначений </w:t>
      </w:r>
      <w:r w:rsidR="0004689F">
        <w:t xml:space="preserve">по расходам </w:t>
      </w:r>
      <w:r w:rsidR="0004689F" w:rsidRPr="00907DD8">
        <w:t>за 2018 год</w:t>
      </w:r>
      <w:r w:rsidR="00653F59">
        <w:t xml:space="preserve"> приведена</w:t>
      </w:r>
      <w:r w:rsidR="0004689F" w:rsidRPr="00907DD8">
        <w:t xml:space="preserve"> </w:t>
      </w:r>
      <w:r w:rsidR="0004689F" w:rsidRPr="003270C4">
        <w:t xml:space="preserve">в </w:t>
      </w:r>
      <w:r w:rsidR="0004689F" w:rsidRPr="003270C4">
        <w:rPr>
          <w:color w:val="17365D" w:themeColor="text2" w:themeShade="BF"/>
        </w:rPr>
        <w:t xml:space="preserve">приложении № </w:t>
      </w:r>
      <w:r w:rsidR="00B96F78">
        <w:rPr>
          <w:color w:val="17365D" w:themeColor="text2" w:themeShade="BF"/>
        </w:rPr>
        <w:t>2</w:t>
      </w:r>
      <w:r w:rsidR="0004689F" w:rsidRPr="003270C4">
        <w:t>.</w:t>
      </w:r>
      <w:r w:rsidR="0004689F" w:rsidRPr="00907DD8">
        <w:t xml:space="preserve"> </w:t>
      </w:r>
    </w:p>
    <w:p w14:paraId="3104B3D6" w14:textId="77777777" w:rsidR="0004689F" w:rsidRDefault="0004689F" w:rsidP="0004689F">
      <w:pPr>
        <w:autoSpaceDE w:val="0"/>
        <w:autoSpaceDN w:val="0"/>
        <w:adjustRightInd w:val="0"/>
        <w:ind w:firstLine="680"/>
        <w:jc w:val="both"/>
      </w:pPr>
      <w:r>
        <w:t>Основное неисполнение бюджетных назначений произошло по следующим направлениям:</w:t>
      </w:r>
    </w:p>
    <w:p w14:paraId="1C73DF41" w14:textId="77777777" w:rsidR="0004689F" w:rsidRDefault="0004689F" w:rsidP="0004689F">
      <w:pPr>
        <w:autoSpaceDE w:val="0"/>
        <w:autoSpaceDN w:val="0"/>
        <w:adjustRightInd w:val="0"/>
        <w:ind w:firstLine="680"/>
        <w:jc w:val="both"/>
      </w:pPr>
      <w:r>
        <w:t xml:space="preserve">- 111 896,2 тыс. руб. </w:t>
      </w:r>
      <w:r w:rsidR="00FB3696">
        <w:t>-</w:t>
      </w:r>
      <w:r>
        <w:t xml:space="preserve"> </w:t>
      </w:r>
      <w:r w:rsidR="00B96F78">
        <w:t xml:space="preserve">по обслуживанию государственного долга в связи с </w:t>
      </w:r>
      <w:r>
        <w:t>непривлечением значительного (6 100,0 млн. руб.) объема кредитов коммерческих банков;</w:t>
      </w:r>
    </w:p>
    <w:p w14:paraId="2448712B" w14:textId="77777777" w:rsidR="0004689F" w:rsidRDefault="0004689F" w:rsidP="0004689F">
      <w:pPr>
        <w:autoSpaceDE w:val="0"/>
        <w:autoSpaceDN w:val="0"/>
        <w:adjustRightInd w:val="0"/>
        <w:ind w:firstLine="680"/>
        <w:jc w:val="both"/>
      </w:pPr>
      <w:r>
        <w:t xml:space="preserve">- 58 827,8 тыс. руб. </w:t>
      </w:r>
      <w:r w:rsidR="00FB3696">
        <w:t>-</w:t>
      </w:r>
      <w:r>
        <w:t xml:space="preserve"> </w:t>
      </w:r>
      <w:r w:rsidR="00D82637">
        <w:t>по резервному фонду</w:t>
      </w:r>
      <w:r>
        <w:t xml:space="preserve"> в связи с отсутствием потребности в финансировании непредвиденных расходов;</w:t>
      </w:r>
    </w:p>
    <w:p w14:paraId="0A2A4D13" w14:textId="77777777" w:rsidR="0004689F" w:rsidRDefault="0004689F" w:rsidP="0004689F">
      <w:pPr>
        <w:autoSpaceDE w:val="0"/>
        <w:autoSpaceDN w:val="0"/>
        <w:adjustRightInd w:val="0"/>
        <w:ind w:firstLine="680"/>
        <w:jc w:val="both"/>
      </w:pPr>
      <w:r>
        <w:t xml:space="preserve">- 85 862,2 тыс. руб. </w:t>
      </w:r>
      <w:r w:rsidR="00FB3696">
        <w:t>-</w:t>
      </w:r>
      <w:r>
        <w:t xml:space="preserve"> </w:t>
      </w:r>
      <w:r w:rsidR="00FB3696">
        <w:t xml:space="preserve">по дотациям </w:t>
      </w:r>
      <w:r>
        <w:t>на обеспечение сбалансированности местных бюджетов в связи с отсутствием потребности в финансовой поддержке на решение вопросов местного значения;</w:t>
      </w:r>
    </w:p>
    <w:p w14:paraId="13DB8C33" w14:textId="77777777" w:rsidR="0004689F" w:rsidRDefault="0004689F" w:rsidP="0004689F">
      <w:pPr>
        <w:autoSpaceDE w:val="0"/>
        <w:autoSpaceDN w:val="0"/>
        <w:adjustRightInd w:val="0"/>
        <w:ind w:firstLine="680"/>
        <w:jc w:val="both"/>
      </w:pPr>
      <w:r>
        <w:t xml:space="preserve">- 31 123,8 тыс. руб. </w:t>
      </w:r>
      <w:r w:rsidR="00FB3696">
        <w:t xml:space="preserve">- </w:t>
      </w:r>
      <w:r>
        <w:t xml:space="preserve">на исполнение судебных актов в связи с отсутствием предъявленных </w:t>
      </w:r>
      <w:r w:rsidR="00F41C35">
        <w:t>исполнительных листов</w:t>
      </w:r>
      <w:r>
        <w:t xml:space="preserve"> на всю сумму предусмотренных ассигнований;</w:t>
      </w:r>
    </w:p>
    <w:p w14:paraId="689E4024" w14:textId="77777777" w:rsidR="0004689F" w:rsidRDefault="0004689F" w:rsidP="0004689F">
      <w:pPr>
        <w:autoSpaceDE w:val="0"/>
        <w:autoSpaceDN w:val="0"/>
        <w:adjustRightInd w:val="0"/>
        <w:ind w:firstLine="680"/>
        <w:jc w:val="both"/>
      </w:pPr>
      <w:r>
        <w:t>- 4 185,3 тыс. руб.</w:t>
      </w:r>
      <w:r w:rsidR="00FB3696">
        <w:t xml:space="preserve"> -</w:t>
      </w:r>
      <w:r>
        <w:t xml:space="preserve"> на </w:t>
      </w:r>
      <w:r w:rsidR="00FB3696">
        <w:t>обеспечение деятельности ГКУ «Центр бюджетного учета»</w:t>
      </w:r>
      <w:r>
        <w:t xml:space="preserve"> за счет вакансий в 2018 году в количестве 7 человек.</w:t>
      </w:r>
    </w:p>
    <w:p w14:paraId="1A0F8716" w14:textId="77777777" w:rsidR="00F808BC" w:rsidRDefault="00F808BC" w:rsidP="00F808BC">
      <w:pPr>
        <w:jc w:val="center"/>
        <w:rPr>
          <w:i/>
          <w:highlight w:val="yellow"/>
        </w:rPr>
      </w:pPr>
    </w:p>
    <w:p w14:paraId="60BE20F2" w14:textId="77777777" w:rsidR="00F808BC" w:rsidRPr="00C91C64" w:rsidRDefault="00F808BC" w:rsidP="00F808BC">
      <w:pPr>
        <w:jc w:val="center"/>
        <w:rPr>
          <w:i/>
        </w:rPr>
      </w:pPr>
      <w:r w:rsidRPr="00C91C64">
        <w:rPr>
          <w:i/>
        </w:rPr>
        <w:t>Расходы по исполнению судебных актов по искам к казне Волгоградской области о взыскании  средств областного бюджета</w:t>
      </w:r>
    </w:p>
    <w:p w14:paraId="7902C877" w14:textId="77777777" w:rsidR="0020579C" w:rsidRDefault="00F808BC" w:rsidP="0020579C">
      <w:pPr>
        <w:ind w:firstLine="680"/>
        <w:jc w:val="both"/>
      </w:pPr>
      <w:r w:rsidRPr="00C91C64">
        <w:t xml:space="preserve">Бюджетные назначения на исполнение судебных актов РФ и мировых соглашений по возмещению причиненного вреда, предусматривающих обращение взыскания на средства бюджета Волгоградской области, исполнены на 118 876,2 тыс. руб. (79,2%), из которых сумма основного долга составила 94 658,7 тыс. руб. и сумма дополнительных издержек, указанных в исполнительных листах (% за пользование чужими денежными средствами, судебных расходов, пени), - 24 217,5 тыс. рублей. </w:t>
      </w:r>
      <w:r w:rsidR="0020579C" w:rsidRPr="00C91C64">
        <w:t>Согласно Сведениям об исполнении судебных решений по денежным обязательствам бюджета (ф. 0503296) объем неисполненных денежных обязательств на конец 2018 года составил 221 463,7 тыс. руб. и уменьшился в сравнении с началом года на 69 183,9 тыс. рублей.</w:t>
      </w:r>
    </w:p>
    <w:p w14:paraId="7AD1744A" w14:textId="77777777" w:rsidR="00F808BC" w:rsidRDefault="00F808BC" w:rsidP="00F808BC">
      <w:pPr>
        <w:ind w:firstLine="680"/>
        <w:jc w:val="both"/>
      </w:pPr>
      <w:r w:rsidRPr="00C91C64">
        <w:t>Исполнение судебных актов в 2018 году Облфином производилось в основном по возмещению расходов муниципальных образований на обеспечение жильем инвалидов и лиц с отдельными заболеваниями; расходов по ремонту автотранспортных средств вследствие ДТП, связанных с ненадлежащим содержанием дорог; возврату незаконного обогащения по земельным участкам вследствие некорректного применени</w:t>
      </w:r>
      <w:r w:rsidR="00346635" w:rsidRPr="00C91C64">
        <w:t>я</w:t>
      </w:r>
      <w:r w:rsidRPr="00C91C64">
        <w:t xml:space="preserve"> нормативных правовых актов; возврату взысканий с подрядчика за несвоевременное исполнение контракта, сложив</w:t>
      </w:r>
      <w:r w:rsidR="005F3BA7">
        <w:t>шееся не по вине подрядчика и так далее.</w:t>
      </w:r>
    </w:p>
    <w:p w14:paraId="50672CD9" w14:textId="77777777" w:rsidR="0020579C" w:rsidRPr="005F3BA7" w:rsidRDefault="005F3BA7" w:rsidP="0020579C">
      <w:pPr>
        <w:ind w:firstLine="680"/>
        <w:jc w:val="both"/>
      </w:pPr>
      <w:r w:rsidRPr="00CC3AF0">
        <w:lastRenderedPageBreak/>
        <w:t xml:space="preserve">В результате в связи с недостаточным исполнением возложенных на соответствующие органы исполнительной власти полномочий в конкретной сфере увеличиваются расходы областного бюджета в виде оплаты судебных издержек, указанных в исполнительных листах (24 217,5 тыс. руб.), которые не отвечают принципу эффективности </w:t>
      </w:r>
      <w:r w:rsidRPr="00CC3AF0">
        <w:rPr>
          <w:iCs/>
        </w:rPr>
        <w:t xml:space="preserve">использования </w:t>
      </w:r>
      <w:r w:rsidR="0020579C" w:rsidRPr="00CC3AF0">
        <w:rPr>
          <w:iCs/>
        </w:rPr>
        <w:t>бюджетных средств, определенному ст. 34 БК РФ.</w:t>
      </w:r>
    </w:p>
    <w:p w14:paraId="21306550" w14:textId="77777777" w:rsidR="00CC3AF0" w:rsidRDefault="00CC3AF0" w:rsidP="002F5A4B">
      <w:pPr>
        <w:jc w:val="center"/>
        <w:rPr>
          <w:b/>
          <w:i/>
          <w:szCs w:val="18"/>
        </w:rPr>
      </w:pPr>
    </w:p>
    <w:p w14:paraId="58AB77CA" w14:textId="77777777" w:rsidR="002F5A4B" w:rsidRPr="00205077" w:rsidRDefault="002F5A4B" w:rsidP="002F5A4B">
      <w:pPr>
        <w:jc w:val="center"/>
        <w:rPr>
          <w:b/>
          <w:i/>
          <w:szCs w:val="18"/>
        </w:rPr>
      </w:pPr>
      <w:r w:rsidRPr="00205077">
        <w:rPr>
          <w:b/>
          <w:i/>
          <w:szCs w:val="18"/>
        </w:rPr>
        <w:t xml:space="preserve">Сравнительный анализ показателей исполнения </w:t>
      </w:r>
    </w:p>
    <w:p w14:paraId="451F7665" w14:textId="77777777" w:rsidR="002F5A4B" w:rsidRPr="00205077" w:rsidRDefault="002F5A4B" w:rsidP="002F5A4B">
      <w:pPr>
        <w:jc w:val="center"/>
        <w:rPr>
          <w:b/>
          <w:i/>
          <w:szCs w:val="18"/>
        </w:rPr>
      </w:pPr>
      <w:r w:rsidRPr="00205077">
        <w:rPr>
          <w:b/>
          <w:i/>
          <w:szCs w:val="18"/>
        </w:rPr>
        <w:t>расходов областного бюджета за отчетный  и предыдущий год</w:t>
      </w:r>
      <w:r>
        <w:rPr>
          <w:b/>
          <w:i/>
          <w:szCs w:val="18"/>
        </w:rPr>
        <w:t>ы</w:t>
      </w:r>
    </w:p>
    <w:p w14:paraId="630DDDC0" w14:textId="77777777" w:rsidR="002F5A4B" w:rsidRDefault="002F5A4B" w:rsidP="002F5A4B">
      <w:pPr>
        <w:tabs>
          <w:tab w:val="left" w:pos="0"/>
        </w:tabs>
        <w:ind w:firstLine="709"/>
        <w:jc w:val="both"/>
      </w:pPr>
      <w:r w:rsidRPr="00205077">
        <w:rPr>
          <w:szCs w:val="18"/>
        </w:rPr>
        <w:t>Анализ показателей исполнения расходов Облфина за 2018 год в сравнении с 2017 годом приведен в</w:t>
      </w:r>
      <w:r>
        <w:rPr>
          <w:szCs w:val="18"/>
        </w:rPr>
        <w:t xml:space="preserve"> </w:t>
      </w:r>
      <w:r w:rsidRPr="00FF787E">
        <w:rPr>
          <w:color w:val="17365D" w:themeColor="text2" w:themeShade="BF"/>
          <w:szCs w:val="18"/>
        </w:rPr>
        <w:t xml:space="preserve">приложении № </w:t>
      </w:r>
      <w:r w:rsidR="00A00A95">
        <w:rPr>
          <w:color w:val="17365D" w:themeColor="text2" w:themeShade="BF"/>
          <w:szCs w:val="18"/>
        </w:rPr>
        <w:t>3</w:t>
      </w:r>
      <w:r w:rsidRPr="00FF787E">
        <w:rPr>
          <w:color w:val="17365D" w:themeColor="text2" w:themeShade="BF"/>
          <w:szCs w:val="18"/>
        </w:rPr>
        <w:t>.</w:t>
      </w:r>
      <w:r>
        <w:rPr>
          <w:color w:val="17365D" w:themeColor="text2" w:themeShade="BF"/>
          <w:szCs w:val="18"/>
        </w:rPr>
        <w:t xml:space="preserve"> </w:t>
      </w:r>
      <w:r w:rsidRPr="00205077">
        <w:t xml:space="preserve">Из </w:t>
      </w:r>
      <w:r>
        <w:t>приложения следует</w:t>
      </w:r>
      <w:r w:rsidRPr="00205077">
        <w:t>, что к уровню 201</w:t>
      </w:r>
      <w:r>
        <w:t>7</w:t>
      </w:r>
      <w:r w:rsidRPr="00205077">
        <w:t xml:space="preserve"> года расходы Облфина выросли на 909 960,9 тыс. руб. (+14,0%).</w:t>
      </w:r>
    </w:p>
    <w:p w14:paraId="2600FF85" w14:textId="77777777" w:rsidR="002F5A4B" w:rsidRDefault="002F5A4B" w:rsidP="002F5A4B">
      <w:pPr>
        <w:ind w:firstLine="680"/>
        <w:jc w:val="both"/>
      </w:pPr>
      <w:r>
        <w:t>Основной причиной роста расходов явилось:</w:t>
      </w:r>
    </w:p>
    <w:p w14:paraId="0F5752F5" w14:textId="77777777" w:rsidR="002F5A4B" w:rsidRPr="005B5C9E" w:rsidRDefault="002F5A4B" w:rsidP="002F5A4B">
      <w:pPr>
        <w:ind w:firstLine="680"/>
        <w:jc w:val="both"/>
      </w:pPr>
      <w:r w:rsidRPr="005B5C9E">
        <w:t xml:space="preserve">- предоставление субсидий </w:t>
      </w:r>
      <w:r w:rsidRPr="005B5C9E">
        <w:rPr>
          <w:rFonts w:eastAsiaTheme="minorHAnsi"/>
          <w:lang w:eastAsia="en-US"/>
        </w:rPr>
        <w:t>бюджетам муниципальных образований Волгоградской области в целях софинансирования расходных обязательств в рамках подготовки к проведению в 2018 году чемпионата мира по футболу</w:t>
      </w:r>
      <w:r w:rsidRPr="005B5C9E">
        <w:t xml:space="preserve"> на общую сумму 1 119 549,6 тыс. руб.;</w:t>
      </w:r>
    </w:p>
    <w:p w14:paraId="241638FA" w14:textId="77777777" w:rsidR="002F5A4B" w:rsidRDefault="002F5A4B" w:rsidP="002F5A4B">
      <w:pPr>
        <w:autoSpaceDE w:val="0"/>
        <w:autoSpaceDN w:val="0"/>
        <w:adjustRightInd w:val="0"/>
        <w:ind w:firstLine="709"/>
        <w:jc w:val="both"/>
      </w:pPr>
      <w:r w:rsidRPr="005B5C9E">
        <w:t>- увеличение дотаций на поддержку мер по обеспечению сбалансированности местных бюджетов бюджетам муниципальных образований на 690 300,9 тыс. руб., или в 3,2 раза</w:t>
      </w:r>
      <w:r>
        <w:t>;</w:t>
      </w:r>
    </w:p>
    <w:p w14:paraId="03949C9A" w14:textId="77777777" w:rsidR="002F5A4B" w:rsidRPr="005B5C9E" w:rsidRDefault="002F5A4B" w:rsidP="002F5A4B">
      <w:pPr>
        <w:autoSpaceDE w:val="0"/>
        <w:autoSpaceDN w:val="0"/>
        <w:adjustRightInd w:val="0"/>
        <w:ind w:firstLine="709"/>
        <w:jc w:val="both"/>
      </w:pPr>
      <w:r w:rsidRPr="005B5C9E">
        <w:t>- предоставление дотаций бюджетам муниципальных районов (городских округов) Волгоградской области на поддержку мер по обеспечению сбалансированности местных бюджетов для решения вопросов в связи с ликвидацией последствий весеннего паводка в 2018 году на территории Волгоградской области в части выплат пострадавшим гражданам в размере 57 200,0 тыс. руб.;</w:t>
      </w:r>
    </w:p>
    <w:p w14:paraId="774861E3" w14:textId="77777777" w:rsidR="002F5A4B" w:rsidRDefault="002F5A4B" w:rsidP="002F5A4B">
      <w:pPr>
        <w:autoSpaceDE w:val="0"/>
        <w:autoSpaceDN w:val="0"/>
        <w:adjustRightInd w:val="0"/>
        <w:ind w:firstLine="709"/>
        <w:jc w:val="both"/>
      </w:pPr>
      <w:r>
        <w:t xml:space="preserve">- увеличение субвенции на осуществление первичного воинского учета на территориях, где отсутствуют военные комиссариаты, на 5 092,5 </w:t>
      </w:r>
      <w:r w:rsidR="00CF7CC9">
        <w:t>тыс.</w:t>
      </w:r>
      <w:r>
        <w:t xml:space="preserve"> руб. (+13,3%).</w:t>
      </w:r>
    </w:p>
    <w:p w14:paraId="2EE0262B" w14:textId="77777777" w:rsidR="002F5A4B" w:rsidRDefault="002F5A4B" w:rsidP="002F5A4B">
      <w:pPr>
        <w:autoSpaceDE w:val="0"/>
        <w:autoSpaceDN w:val="0"/>
        <w:adjustRightInd w:val="0"/>
        <w:ind w:firstLine="709"/>
        <w:jc w:val="both"/>
      </w:pPr>
      <w:r>
        <w:t>Снижение расходов произошло по расходам на обслуживание государственного долга на 961 424,7 тыс. руб. (-26,3%) в связи с уменьшением процентных платежей по кредитам кредитных организаций.</w:t>
      </w:r>
    </w:p>
    <w:p w14:paraId="68251E41" w14:textId="77777777" w:rsidR="002F5A4B" w:rsidRDefault="002F5A4B" w:rsidP="002F5A4B">
      <w:pPr>
        <w:autoSpaceDE w:val="0"/>
        <w:autoSpaceDN w:val="0"/>
        <w:adjustRightInd w:val="0"/>
        <w:ind w:firstLine="709"/>
        <w:jc w:val="both"/>
      </w:pPr>
    </w:p>
    <w:p w14:paraId="73068D42" w14:textId="77777777" w:rsidR="00897003" w:rsidRPr="005B3C4E" w:rsidRDefault="00897003" w:rsidP="00897003">
      <w:pPr>
        <w:jc w:val="center"/>
        <w:rPr>
          <w:b/>
          <w:bCs/>
          <w:i/>
        </w:rPr>
      </w:pPr>
      <w:r w:rsidRPr="005B3C4E">
        <w:rPr>
          <w:b/>
          <w:bCs/>
          <w:i/>
        </w:rPr>
        <w:t xml:space="preserve">Исполнение бюджетных назначений </w:t>
      </w:r>
    </w:p>
    <w:p w14:paraId="5D662186" w14:textId="77777777" w:rsidR="00897003" w:rsidRPr="005B3C4E" w:rsidRDefault="00897003" w:rsidP="00897003">
      <w:pPr>
        <w:jc w:val="center"/>
        <w:rPr>
          <w:b/>
          <w:bCs/>
          <w:i/>
        </w:rPr>
      </w:pPr>
      <w:r w:rsidRPr="005B3C4E">
        <w:rPr>
          <w:b/>
          <w:bCs/>
          <w:i/>
        </w:rPr>
        <w:t>по источникам финансирования дефицита бюджета</w:t>
      </w:r>
    </w:p>
    <w:p w14:paraId="3220F7F5" w14:textId="77777777" w:rsidR="00897003" w:rsidRPr="007256CB" w:rsidRDefault="00897003" w:rsidP="00897003">
      <w:pPr>
        <w:ind w:firstLine="680"/>
        <w:jc w:val="both"/>
      </w:pPr>
      <w:r w:rsidRPr="005B3C4E">
        <w:t>Согласно Отчету об исполнении бюджета (ф.0503127) бюджетные назначения по источникам финансирования бюджета (без учета изменения остатка на счетах</w:t>
      </w:r>
      <w:r>
        <w:t xml:space="preserve"> и поступлений от продажи акций и иного участия в капитале</w:t>
      </w:r>
      <w:r w:rsidRPr="005B3C4E">
        <w:t xml:space="preserve">) исполнены в сумме (-) </w:t>
      </w:r>
      <w:r>
        <w:t>2 965,1</w:t>
      </w:r>
      <w:r w:rsidRPr="005B3C4E">
        <w:t xml:space="preserve"> млн. руб., тогда как планировал</w:t>
      </w:r>
      <w:r>
        <w:t>и</w:t>
      </w:r>
      <w:r w:rsidRPr="005B3C4E">
        <w:t xml:space="preserve">сь </w:t>
      </w:r>
      <w:r>
        <w:t>источники финансирования бюджета в сумме 0,0 тыс. руб</w:t>
      </w:r>
      <w:r w:rsidR="00850F8E">
        <w:t>лей. З</w:t>
      </w:r>
      <w:r w:rsidRPr="007256CB">
        <w:t>начительное превышение планового показателя сложилось в результате отказа от части кредитов коммерческих банков и частичн</w:t>
      </w:r>
      <w:r>
        <w:t>ого</w:t>
      </w:r>
      <w:r w:rsidRPr="007256CB">
        <w:t xml:space="preserve"> погашени</w:t>
      </w:r>
      <w:r>
        <w:t>я</w:t>
      </w:r>
      <w:r w:rsidRPr="007256CB">
        <w:t xml:space="preserve"> задолженности перед бюджетными и автономными учреждениями.</w:t>
      </w:r>
    </w:p>
    <w:p w14:paraId="35D54985" w14:textId="77777777" w:rsidR="00897003" w:rsidRPr="005B3C4E" w:rsidRDefault="00897003" w:rsidP="00897003">
      <w:pPr>
        <w:ind w:firstLine="680"/>
        <w:jc w:val="both"/>
      </w:pPr>
      <w:r w:rsidRPr="007256CB">
        <w:t>Сведения о выполнении показателей бюджета по источникам внутреннего</w:t>
      </w:r>
      <w:r w:rsidRPr="005B3C4E">
        <w:t xml:space="preserve"> финансирования дефицита бюджета представлены в таблице.</w:t>
      </w:r>
    </w:p>
    <w:p w14:paraId="52725326" w14:textId="77777777" w:rsidR="00897003" w:rsidRPr="005B3C4E" w:rsidRDefault="00897003" w:rsidP="00897003">
      <w:pPr>
        <w:ind w:right="-1"/>
        <w:jc w:val="right"/>
        <w:rPr>
          <w:sz w:val="22"/>
          <w:szCs w:val="22"/>
        </w:rPr>
      </w:pPr>
      <w:r w:rsidRPr="005B3C4E">
        <w:rPr>
          <w:i/>
          <w:iCs/>
          <w:sz w:val="22"/>
          <w:szCs w:val="22"/>
        </w:rPr>
        <w:t>млн. руб</w:t>
      </w:r>
      <w:r w:rsidRPr="005B3C4E">
        <w:rPr>
          <w:sz w:val="22"/>
          <w:szCs w:val="22"/>
        </w:rPr>
        <w:t>.</w:t>
      </w:r>
    </w:p>
    <w:tbl>
      <w:tblPr>
        <w:tblW w:w="9780" w:type="dxa"/>
        <w:tblInd w:w="85" w:type="dxa"/>
        <w:tblLook w:val="04A0" w:firstRow="1" w:lastRow="0" w:firstColumn="1" w:lastColumn="0" w:noHBand="0" w:noVBand="1"/>
      </w:tblPr>
      <w:tblGrid>
        <w:gridCol w:w="4740"/>
        <w:gridCol w:w="1480"/>
        <w:gridCol w:w="1300"/>
        <w:gridCol w:w="1300"/>
        <w:gridCol w:w="960"/>
      </w:tblGrid>
      <w:tr w:rsidR="00897003" w14:paraId="5AFBAB8D" w14:textId="77777777" w:rsidTr="00850F8E">
        <w:trPr>
          <w:trHeight w:val="312"/>
        </w:trPr>
        <w:tc>
          <w:tcPr>
            <w:tcW w:w="4740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8" w:space="0" w:color="auto"/>
            </w:tcBorders>
            <w:shd w:val="clear" w:color="000000" w:fill="EAF1DD"/>
            <w:hideMark/>
          </w:tcPr>
          <w:p w14:paraId="06ECBEDC" w14:textId="77777777" w:rsidR="00897003" w:rsidRDefault="00897003" w:rsidP="00850F8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Источники финансирования дефицита</w:t>
            </w:r>
          </w:p>
        </w:tc>
        <w:tc>
          <w:tcPr>
            <w:tcW w:w="1480" w:type="dxa"/>
            <w:vMerge w:val="restart"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EAF1DD"/>
            <w:hideMark/>
          </w:tcPr>
          <w:p w14:paraId="4362C089" w14:textId="77777777" w:rsidR="00897003" w:rsidRDefault="00897003" w:rsidP="00850F8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Закон об областном бюджете</w:t>
            </w:r>
          </w:p>
        </w:tc>
        <w:tc>
          <w:tcPr>
            <w:tcW w:w="1300" w:type="dxa"/>
            <w:tcBorders>
              <w:top w:val="double" w:sz="6" w:space="0" w:color="auto"/>
              <w:left w:val="nil"/>
              <w:bottom w:val="nil"/>
              <w:right w:val="single" w:sz="8" w:space="0" w:color="auto"/>
            </w:tcBorders>
            <w:shd w:val="clear" w:color="000000" w:fill="EAF1DD"/>
            <w:hideMark/>
          </w:tcPr>
          <w:p w14:paraId="3E810D9A" w14:textId="77777777" w:rsidR="00897003" w:rsidRDefault="00897003" w:rsidP="00850F8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Исполнено</w:t>
            </w:r>
          </w:p>
        </w:tc>
        <w:tc>
          <w:tcPr>
            <w:tcW w:w="2260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000000" w:fill="EAF1DD"/>
            <w:hideMark/>
          </w:tcPr>
          <w:p w14:paraId="77F3B1DF" w14:textId="77777777" w:rsidR="00897003" w:rsidRDefault="00897003" w:rsidP="00850F8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Отклонение</w:t>
            </w:r>
          </w:p>
        </w:tc>
      </w:tr>
      <w:tr w:rsidR="00897003" w14:paraId="6CC16153" w14:textId="77777777" w:rsidTr="00850F8E">
        <w:trPr>
          <w:trHeight w:val="315"/>
        </w:trPr>
        <w:tc>
          <w:tcPr>
            <w:tcW w:w="474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03F11DAA" w14:textId="77777777" w:rsidR="00897003" w:rsidRDefault="00897003" w:rsidP="00850F8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80" w:type="dxa"/>
            <w:vMerge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540BA347" w14:textId="77777777" w:rsidR="00897003" w:rsidRDefault="00897003" w:rsidP="00850F8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EAF1DD"/>
            <w:hideMark/>
          </w:tcPr>
          <w:p w14:paraId="5D83AE30" w14:textId="77777777" w:rsidR="00897003" w:rsidRDefault="00897003" w:rsidP="00850F8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EAF1DD"/>
            <w:hideMark/>
          </w:tcPr>
          <w:p w14:paraId="1FBE47A6" w14:textId="77777777" w:rsidR="00897003" w:rsidRDefault="00897003" w:rsidP="00850F8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млн. руб.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AF1DD"/>
            <w:hideMark/>
          </w:tcPr>
          <w:p w14:paraId="61CF6778" w14:textId="77777777" w:rsidR="00897003" w:rsidRDefault="00897003" w:rsidP="00850F8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%</w:t>
            </w:r>
          </w:p>
        </w:tc>
      </w:tr>
      <w:tr w:rsidR="00897003" w14:paraId="53EDDE43" w14:textId="77777777" w:rsidTr="00850F8E">
        <w:trPr>
          <w:trHeight w:val="153"/>
        </w:trPr>
        <w:tc>
          <w:tcPr>
            <w:tcW w:w="474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vAlign w:val="bottom"/>
            <w:hideMark/>
          </w:tcPr>
          <w:p w14:paraId="51BF9B39" w14:textId="77777777" w:rsidR="00897003" w:rsidRDefault="00897003" w:rsidP="00850F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Государственные ценные бумаги</w:t>
            </w:r>
          </w:p>
        </w:tc>
        <w:tc>
          <w:tcPr>
            <w:tcW w:w="14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noWrap/>
            <w:vAlign w:val="bottom"/>
            <w:hideMark/>
          </w:tcPr>
          <w:p w14:paraId="3EB2AD1A" w14:textId="77777777" w:rsidR="00897003" w:rsidRDefault="00897003" w:rsidP="00850F8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-4 100,0</w:t>
            </w:r>
          </w:p>
        </w:tc>
        <w:tc>
          <w:tcPr>
            <w:tcW w:w="130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noWrap/>
            <w:vAlign w:val="bottom"/>
            <w:hideMark/>
          </w:tcPr>
          <w:p w14:paraId="67A79EA7" w14:textId="77777777" w:rsidR="00897003" w:rsidRDefault="00897003" w:rsidP="00850F8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-4 100,0</w:t>
            </w:r>
          </w:p>
        </w:tc>
        <w:tc>
          <w:tcPr>
            <w:tcW w:w="130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noWrap/>
            <w:vAlign w:val="bottom"/>
            <w:hideMark/>
          </w:tcPr>
          <w:p w14:paraId="247E4F33" w14:textId="77777777" w:rsidR="00897003" w:rsidRDefault="00897003" w:rsidP="00850F8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6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000000" w:fill="DBE5F1"/>
            <w:noWrap/>
            <w:vAlign w:val="bottom"/>
            <w:hideMark/>
          </w:tcPr>
          <w:p w14:paraId="1CB12BE6" w14:textId="77777777" w:rsidR="00897003" w:rsidRDefault="00897003" w:rsidP="00850F8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0,0%</w:t>
            </w:r>
          </w:p>
        </w:tc>
      </w:tr>
      <w:tr w:rsidR="00897003" w14:paraId="14C9C084" w14:textId="77777777" w:rsidTr="00850F8E">
        <w:trPr>
          <w:trHeight w:val="230"/>
        </w:trPr>
        <w:tc>
          <w:tcPr>
            <w:tcW w:w="47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77483A8" w14:textId="77777777" w:rsidR="00897003" w:rsidRDefault="00897003" w:rsidP="00850F8E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привлечение средств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7BEBC3A1" w14:textId="77777777" w:rsidR="00897003" w:rsidRDefault="00897003" w:rsidP="00850F8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1EBD0481" w14:textId="77777777" w:rsidR="00897003" w:rsidRDefault="00897003" w:rsidP="00850F8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54629D02" w14:textId="77777777" w:rsidR="00897003" w:rsidRDefault="00897003" w:rsidP="00850F8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62E2EE4" w14:textId="77777777" w:rsidR="00897003" w:rsidRDefault="00897003" w:rsidP="00850F8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0,0%</w:t>
            </w:r>
          </w:p>
        </w:tc>
      </w:tr>
      <w:tr w:rsidR="00897003" w14:paraId="5A5ABEFE" w14:textId="77777777" w:rsidTr="00850F8E">
        <w:trPr>
          <w:trHeight w:val="121"/>
        </w:trPr>
        <w:tc>
          <w:tcPr>
            <w:tcW w:w="47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AEB39B5" w14:textId="77777777" w:rsidR="00897003" w:rsidRDefault="00897003" w:rsidP="00850F8E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погашение долга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4D119F9B" w14:textId="77777777" w:rsidR="00897003" w:rsidRDefault="00897003" w:rsidP="00850F8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4 100,0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824E8C2" w14:textId="77777777" w:rsidR="00897003" w:rsidRDefault="00897003" w:rsidP="00850F8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4 100,0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7B022015" w14:textId="77777777" w:rsidR="00897003" w:rsidRDefault="00897003" w:rsidP="00850F8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B95BC05" w14:textId="77777777" w:rsidR="00897003" w:rsidRDefault="00897003" w:rsidP="00850F8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0,0%</w:t>
            </w:r>
          </w:p>
        </w:tc>
      </w:tr>
      <w:tr w:rsidR="00897003" w14:paraId="73C0A5F3" w14:textId="77777777" w:rsidTr="00850F8E">
        <w:trPr>
          <w:trHeight w:val="208"/>
        </w:trPr>
        <w:tc>
          <w:tcPr>
            <w:tcW w:w="47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vAlign w:val="bottom"/>
            <w:hideMark/>
          </w:tcPr>
          <w:p w14:paraId="665DF26F" w14:textId="77777777" w:rsidR="00897003" w:rsidRDefault="00897003" w:rsidP="00850F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Кредиты кредитных организаций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noWrap/>
            <w:vAlign w:val="bottom"/>
            <w:hideMark/>
          </w:tcPr>
          <w:p w14:paraId="3D2A7633" w14:textId="77777777" w:rsidR="00897003" w:rsidRDefault="00897003" w:rsidP="00850F8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5 100,0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noWrap/>
            <w:vAlign w:val="bottom"/>
            <w:hideMark/>
          </w:tcPr>
          <w:p w14:paraId="21054F42" w14:textId="77777777" w:rsidR="00897003" w:rsidRDefault="00897003" w:rsidP="00850F8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3 688,6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noWrap/>
            <w:vAlign w:val="bottom"/>
            <w:hideMark/>
          </w:tcPr>
          <w:p w14:paraId="63BE4A73" w14:textId="77777777" w:rsidR="00897003" w:rsidRDefault="00897003" w:rsidP="00850F8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-1 411,4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000000" w:fill="DBE5F1"/>
            <w:noWrap/>
            <w:vAlign w:val="bottom"/>
            <w:hideMark/>
          </w:tcPr>
          <w:p w14:paraId="163B15D1" w14:textId="77777777" w:rsidR="00897003" w:rsidRDefault="00897003" w:rsidP="00850F8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-27,7%</w:t>
            </w:r>
          </w:p>
        </w:tc>
      </w:tr>
      <w:tr w:rsidR="00897003" w14:paraId="25DD8E62" w14:textId="77777777" w:rsidTr="00850F8E">
        <w:trPr>
          <w:trHeight w:val="126"/>
        </w:trPr>
        <w:tc>
          <w:tcPr>
            <w:tcW w:w="47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0AB4FDE" w14:textId="77777777" w:rsidR="00897003" w:rsidRDefault="00897003" w:rsidP="00850F8E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привлечение средств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0723C368" w14:textId="77777777" w:rsidR="00897003" w:rsidRDefault="00897003" w:rsidP="00850F8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11 100,0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020C1266" w14:textId="77777777" w:rsidR="00897003" w:rsidRDefault="00897003" w:rsidP="00850F8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5 000,0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242A8D93" w14:textId="77777777" w:rsidR="00897003" w:rsidRDefault="00897003" w:rsidP="00850F8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-6 100,0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F8614ED" w14:textId="77777777" w:rsidR="00897003" w:rsidRDefault="00897003" w:rsidP="00850F8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-55,0%</w:t>
            </w:r>
          </w:p>
        </w:tc>
      </w:tr>
      <w:tr w:rsidR="00897003" w14:paraId="5792F05E" w14:textId="77777777" w:rsidTr="00850F8E">
        <w:trPr>
          <w:trHeight w:val="215"/>
        </w:trPr>
        <w:tc>
          <w:tcPr>
            <w:tcW w:w="47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FAC079D" w14:textId="77777777" w:rsidR="00897003" w:rsidRDefault="00897003" w:rsidP="00850F8E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погашение долга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45ACECD9" w14:textId="77777777" w:rsidR="00897003" w:rsidRDefault="00897003" w:rsidP="00850F8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6 000,0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1607205E" w14:textId="77777777" w:rsidR="00897003" w:rsidRDefault="00897003" w:rsidP="00850F8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1 311,4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2A718054" w14:textId="77777777" w:rsidR="00897003" w:rsidRDefault="00897003" w:rsidP="00850F8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-4 688,6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F54E99C" w14:textId="77777777" w:rsidR="00897003" w:rsidRDefault="00897003" w:rsidP="00850F8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-78,1%</w:t>
            </w:r>
          </w:p>
        </w:tc>
      </w:tr>
      <w:tr w:rsidR="00897003" w14:paraId="3F112ECB" w14:textId="77777777" w:rsidTr="00850F8E">
        <w:trPr>
          <w:trHeight w:val="132"/>
        </w:trPr>
        <w:tc>
          <w:tcPr>
            <w:tcW w:w="47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vAlign w:val="bottom"/>
            <w:hideMark/>
          </w:tcPr>
          <w:p w14:paraId="3B1C392A" w14:textId="77777777" w:rsidR="00897003" w:rsidRDefault="00897003" w:rsidP="00850F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Бюджетные кредиты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noWrap/>
            <w:vAlign w:val="bottom"/>
            <w:hideMark/>
          </w:tcPr>
          <w:p w14:paraId="44C9D321" w14:textId="77777777" w:rsidR="00897003" w:rsidRDefault="00897003" w:rsidP="00850F8E">
            <w:pPr>
              <w:jc w:val="right"/>
              <w:rPr>
                <w:sz w:val="16"/>
                <w:szCs w:val="16"/>
              </w:rPr>
            </w:pPr>
            <w:r w:rsidRPr="00F20535">
              <w:rPr>
                <w:sz w:val="16"/>
                <w:szCs w:val="16"/>
              </w:rPr>
              <w:t>-1 069,4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noWrap/>
            <w:vAlign w:val="bottom"/>
            <w:hideMark/>
          </w:tcPr>
          <w:p w14:paraId="0DB56EC9" w14:textId="77777777" w:rsidR="00897003" w:rsidRDefault="00897003" w:rsidP="00850F8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-1 069,4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noWrap/>
            <w:vAlign w:val="bottom"/>
            <w:hideMark/>
          </w:tcPr>
          <w:p w14:paraId="0467C7AD" w14:textId="77777777" w:rsidR="00897003" w:rsidRDefault="00897003" w:rsidP="00850F8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000000" w:fill="DBE5F1"/>
            <w:noWrap/>
            <w:vAlign w:val="bottom"/>
            <w:hideMark/>
          </w:tcPr>
          <w:p w14:paraId="1C63E33C" w14:textId="77777777" w:rsidR="00897003" w:rsidRDefault="00897003" w:rsidP="00850F8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0,0%</w:t>
            </w:r>
          </w:p>
        </w:tc>
      </w:tr>
      <w:tr w:rsidR="00897003" w14:paraId="4DA42485" w14:textId="77777777" w:rsidTr="00850F8E">
        <w:trPr>
          <w:trHeight w:val="218"/>
        </w:trPr>
        <w:tc>
          <w:tcPr>
            <w:tcW w:w="47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13CEBDA" w14:textId="77777777" w:rsidR="00897003" w:rsidRDefault="00897003" w:rsidP="00850F8E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привлечение средств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6930D652" w14:textId="77777777" w:rsidR="00897003" w:rsidRDefault="00897003" w:rsidP="00850F8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5 000,0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119AF69C" w14:textId="77777777" w:rsidR="00897003" w:rsidRDefault="00897003" w:rsidP="00850F8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5 500,0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00F38AF4" w14:textId="77777777" w:rsidR="00897003" w:rsidRDefault="00897003" w:rsidP="00850F8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A2662AC" w14:textId="77777777" w:rsidR="00897003" w:rsidRDefault="00897003" w:rsidP="00850F8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10,0%</w:t>
            </w:r>
          </w:p>
        </w:tc>
      </w:tr>
      <w:tr w:rsidR="00897003" w14:paraId="256A473B" w14:textId="77777777" w:rsidTr="00850F8E">
        <w:trPr>
          <w:trHeight w:val="123"/>
        </w:trPr>
        <w:tc>
          <w:tcPr>
            <w:tcW w:w="47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D19E4F6" w14:textId="77777777" w:rsidR="00897003" w:rsidRDefault="00897003" w:rsidP="00850F8E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 т. ч. на пополнение остатков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55717D0B" w14:textId="77777777" w:rsidR="00897003" w:rsidRDefault="00897003" w:rsidP="00850F8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5 000,0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7DD6FA5D" w14:textId="77777777" w:rsidR="00897003" w:rsidRDefault="00897003" w:rsidP="00850F8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5 500,0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B4FCD27" w14:textId="77777777" w:rsidR="00897003" w:rsidRDefault="00897003" w:rsidP="00850F8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F7E254F" w14:textId="77777777" w:rsidR="00897003" w:rsidRDefault="00897003" w:rsidP="00850F8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10,0%</w:t>
            </w:r>
          </w:p>
        </w:tc>
      </w:tr>
      <w:tr w:rsidR="00897003" w14:paraId="4E966C65" w14:textId="77777777" w:rsidTr="00850F8E">
        <w:trPr>
          <w:trHeight w:val="197"/>
        </w:trPr>
        <w:tc>
          <w:tcPr>
            <w:tcW w:w="47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93B5BE7" w14:textId="77777777" w:rsidR="00897003" w:rsidRDefault="00897003" w:rsidP="00850F8E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погашение долга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754192F8" w14:textId="77777777" w:rsidR="00897003" w:rsidRDefault="00897003" w:rsidP="00850F8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6 069,4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6FB01D37" w14:textId="77777777" w:rsidR="00897003" w:rsidRDefault="00897003" w:rsidP="00850F8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6 569,4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525DC130" w14:textId="77777777" w:rsidR="00897003" w:rsidRDefault="00897003" w:rsidP="00850F8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1C9322A" w14:textId="77777777" w:rsidR="00897003" w:rsidRDefault="00897003" w:rsidP="00850F8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8,2%</w:t>
            </w:r>
          </w:p>
        </w:tc>
      </w:tr>
      <w:tr w:rsidR="00897003" w14:paraId="7F1F1E2F" w14:textId="77777777" w:rsidTr="00850F8E">
        <w:trPr>
          <w:trHeight w:val="142"/>
        </w:trPr>
        <w:tc>
          <w:tcPr>
            <w:tcW w:w="47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BC93156" w14:textId="77777777" w:rsidR="00897003" w:rsidRDefault="00897003" w:rsidP="00850F8E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 т. ч. на пополнение остатков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7076977E" w14:textId="77777777" w:rsidR="00897003" w:rsidRDefault="00897003" w:rsidP="00850F8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5 000,0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109EA24E" w14:textId="77777777" w:rsidR="00897003" w:rsidRDefault="00897003" w:rsidP="00850F8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5 500,0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0C5429C" w14:textId="77777777" w:rsidR="00897003" w:rsidRDefault="00897003" w:rsidP="00850F8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A991DF6" w14:textId="77777777" w:rsidR="00897003" w:rsidRDefault="00897003" w:rsidP="00850F8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10,0%</w:t>
            </w:r>
          </w:p>
        </w:tc>
      </w:tr>
      <w:tr w:rsidR="00897003" w14:paraId="4AC7974C" w14:textId="77777777" w:rsidTr="00850F8E">
        <w:trPr>
          <w:trHeight w:val="393"/>
        </w:trPr>
        <w:tc>
          <w:tcPr>
            <w:tcW w:w="47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vAlign w:val="bottom"/>
            <w:hideMark/>
          </w:tcPr>
          <w:p w14:paraId="67D5FDA3" w14:textId="77777777" w:rsidR="00897003" w:rsidRDefault="00897003" w:rsidP="00850F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Увеличение финансовых активов за счет средств автономных и бюджетных учреждений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noWrap/>
            <w:vAlign w:val="bottom"/>
            <w:hideMark/>
          </w:tcPr>
          <w:p w14:paraId="17704D21" w14:textId="77777777" w:rsidR="00897003" w:rsidRDefault="00897003" w:rsidP="00850F8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noWrap/>
            <w:vAlign w:val="bottom"/>
            <w:hideMark/>
          </w:tcPr>
          <w:p w14:paraId="4A4BA894" w14:textId="77777777" w:rsidR="00897003" w:rsidRDefault="00897003" w:rsidP="00850F8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-1 493,0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noWrap/>
            <w:vAlign w:val="bottom"/>
            <w:hideMark/>
          </w:tcPr>
          <w:p w14:paraId="538F1B71" w14:textId="77777777" w:rsidR="00897003" w:rsidRDefault="00897003" w:rsidP="00850F8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-1 493,0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000000" w:fill="DBE5F1"/>
            <w:noWrap/>
            <w:vAlign w:val="bottom"/>
            <w:hideMark/>
          </w:tcPr>
          <w:p w14:paraId="341CAA8C" w14:textId="77777777" w:rsidR="00897003" w:rsidRDefault="00897003" w:rsidP="00850F8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97003" w14:paraId="6B6A10D4" w14:textId="77777777" w:rsidTr="00850F8E">
        <w:trPr>
          <w:trHeight w:val="315"/>
        </w:trPr>
        <w:tc>
          <w:tcPr>
            <w:tcW w:w="47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vAlign w:val="bottom"/>
            <w:hideMark/>
          </w:tcPr>
          <w:p w14:paraId="660421AA" w14:textId="77777777" w:rsidR="00897003" w:rsidRDefault="00897003" w:rsidP="00850F8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Всего источники финансирования дефицита по заимствованиям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vAlign w:val="bottom"/>
            <w:hideMark/>
          </w:tcPr>
          <w:p w14:paraId="478C558B" w14:textId="77777777" w:rsidR="00897003" w:rsidRDefault="00897003" w:rsidP="00850F8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-69,4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vAlign w:val="bottom"/>
            <w:hideMark/>
          </w:tcPr>
          <w:p w14:paraId="6DBA86B7" w14:textId="77777777" w:rsidR="00897003" w:rsidRDefault="00897003" w:rsidP="00850F8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-2 973,8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vAlign w:val="bottom"/>
            <w:hideMark/>
          </w:tcPr>
          <w:p w14:paraId="27CF16CA" w14:textId="77777777" w:rsidR="00897003" w:rsidRDefault="00897003" w:rsidP="00850F8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-2 904,6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000000" w:fill="DBE5F1"/>
            <w:noWrap/>
            <w:vAlign w:val="bottom"/>
            <w:hideMark/>
          </w:tcPr>
          <w:p w14:paraId="4EAA040C" w14:textId="77777777" w:rsidR="00897003" w:rsidRDefault="00897003" w:rsidP="00850F8E">
            <w:pPr>
              <w:ind w:left="-116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 42,9 раза</w:t>
            </w:r>
          </w:p>
        </w:tc>
      </w:tr>
      <w:tr w:rsidR="00897003" w14:paraId="0C770B4B" w14:textId="77777777" w:rsidTr="00850F8E">
        <w:trPr>
          <w:trHeight w:val="177"/>
        </w:trPr>
        <w:tc>
          <w:tcPr>
            <w:tcW w:w="47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F14985D" w14:textId="77777777" w:rsidR="00897003" w:rsidRDefault="00897003" w:rsidP="00850F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Изменение остатков средств на счетах бюджета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42611A9" w14:textId="77777777" w:rsidR="00897003" w:rsidRPr="00F20535" w:rsidRDefault="00897003" w:rsidP="00850F8E">
            <w:pPr>
              <w:jc w:val="right"/>
              <w:rPr>
                <w:sz w:val="16"/>
                <w:szCs w:val="16"/>
              </w:rPr>
            </w:pPr>
            <w:r w:rsidRPr="00F20535">
              <w:rPr>
                <w:sz w:val="16"/>
                <w:szCs w:val="16"/>
              </w:rPr>
              <w:t>55,7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3804D1F" w14:textId="77777777" w:rsidR="00897003" w:rsidRDefault="00897003" w:rsidP="00850F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5C1B7819" w14:textId="77777777" w:rsidR="00897003" w:rsidRPr="001B65B9" w:rsidRDefault="00897003" w:rsidP="00850F8E">
            <w:pPr>
              <w:jc w:val="center"/>
              <w:rPr>
                <w:sz w:val="16"/>
                <w:szCs w:val="16"/>
              </w:rPr>
            </w:pPr>
            <w:r w:rsidRPr="001B65B9">
              <w:rPr>
                <w:sz w:val="16"/>
                <w:szCs w:val="16"/>
              </w:rPr>
              <w:t>х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4DB4F1E" w14:textId="77777777" w:rsidR="00897003" w:rsidRDefault="00897003" w:rsidP="00850F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897003" w14:paraId="6FB13CC6" w14:textId="77777777" w:rsidTr="00850F8E">
        <w:trPr>
          <w:trHeight w:val="109"/>
        </w:trPr>
        <w:tc>
          <w:tcPr>
            <w:tcW w:w="47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DF8E41C" w14:textId="77777777" w:rsidR="00897003" w:rsidRDefault="00897003" w:rsidP="00850F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Поступления от продажи акций и иного участия в капитале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053D1EC" w14:textId="77777777" w:rsidR="00897003" w:rsidRPr="00F20535" w:rsidRDefault="00897003" w:rsidP="00850F8E">
            <w:pPr>
              <w:jc w:val="right"/>
              <w:rPr>
                <w:sz w:val="16"/>
                <w:szCs w:val="16"/>
              </w:rPr>
            </w:pPr>
            <w:r w:rsidRPr="00F20535">
              <w:rPr>
                <w:sz w:val="16"/>
                <w:szCs w:val="16"/>
              </w:rPr>
              <w:t>5,0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0AA93D14" w14:textId="77777777" w:rsidR="00897003" w:rsidRDefault="00897003" w:rsidP="00850F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1998E2CA" w14:textId="77777777" w:rsidR="00897003" w:rsidRPr="001B65B9" w:rsidRDefault="00897003" w:rsidP="00850F8E">
            <w:pPr>
              <w:jc w:val="center"/>
              <w:rPr>
                <w:sz w:val="16"/>
                <w:szCs w:val="16"/>
              </w:rPr>
            </w:pPr>
            <w:r w:rsidRPr="001B65B9">
              <w:rPr>
                <w:sz w:val="16"/>
                <w:szCs w:val="16"/>
              </w:rPr>
              <w:t>х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9410D8B" w14:textId="77777777" w:rsidR="00897003" w:rsidRDefault="00897003" w:rsidP="00850F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897003" w14:paraId="6A5366AB" w14:textId="77777777" w:rsidTr="00850F8E">
        <w:trPr>
          <w:trHeight w:val="55"/>
        </w:trPr>
        <w:tc>
          <w:tcPr>
            <w:tcW w:w="47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D75695E" w14:textId="77777777" w:rsidR="00897003" w:rsidRDefault="00897003" w:rsidP="00850F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Поступления от возврата бюджетных кредитов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C583BA7" w14:textId="77777777" w:rsidR="00897003" w:rsidRPr="00F20535" w:rsidRDefault="00897003" w:rsidP="00850F8E">
            <w:pPr>
              <w:jc w:val="right"/>
              <w:rPr>
                <w:sz w:val="16"/>
                <w:szCs w:val="16"/>
              </w:rPr>
            </w:pPr>
            <w:r w:rsidRPr="00F20535">
              <w:rPr>
                <w:sz w:val="16"/>
                <w:szCs w:val="16"/>
              </w:rPr>
              <w:t>8,7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7FF53CEC" w14:textId="77777777" w:rsidR="00897003" w:rsidRDefault="00897003" w:rsidP="00850F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8,7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7E2F1FF8" w14:textId="77777777" w:rsidR="00897003" w:rsidRDefault="00897003" w:rsidP="00850F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0EA5F35" w14:textId="77777777" w:rsidR="00897003" w:rsidRDefault="00897003" w:rsidP="00850F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0,0%</w:t>
            </w:r>
          </w:p>
        </w:tc>
      </w:tr>
      <w:tr w:rsidR="00897003" w:rsidRPr="005B3C4E" w14:paraId="6ADD9E28" w14:textId="77777777" w:rsidTr="00850F8E">
        <w:trPr>
          <w:trHeight w:val="315"/>
        </w:trPr>
        <w:tc>
          <w:tcPr>
            <w:tcW w:w="4740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bottom"/>
            <w:hideMark/>
          </w:tcPr>
          <w:p w14:paraId="1C96960D" w14:textId="77777777" w:rsidR="00897003" w:rsidRPr="005B3C4E" w:rsidRDefault="00897003" w:rsidP="00850F8E">
            <w:pPr>
              <w:rPr>
                <w:b/>
                <w:sz w:val="16"/>
                <w:szCs w:val="16"/>
              </w:rPr>
            </w:pPr>
            <w:r w:rsidRPr="005B3C4E">
              <w:rPr>
                <w:b/>
                <w:sz w:val="16"/>
                <w:szCs w:val="16"/>
              </w:rPr>
              <w:t>Итого источники финансирования дефицита бюджета</w:t>
            </w:r>
            <w:r>
              <w:rPr>
                <w:b/>
                <w:sz w:val="16"/>
                <w:szCs w:val="16"/>
              </w:rPr>
              <w:t>, администрируемые Облфином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bottom"/>
            <w:hideMark/>
          </w:tcPr>
          <w:p w14:paraId="580721BA" w14:textId="77777777" w:rsidR="00897003" w:rsidRPr="005B3C4E" w:rsidRDefault="00897003" w:rsidP="00850F8E">
            <w:pPr>
              <w:jc w:val="right"/>
              <w:rPr>
                <w:b/>
                <w:sz w:val="16"/>
                <w:szCs w:val="16"/>
              </w:rPr>
            </w:pPr>
            <w:r w:rsidRPr="005B3C4E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24A5AE78" w14:textId="77777777" w:rsidR="00897003" w:rsidRPr="005B3C4E" w:rsidRDefault="00897003" w:rsidP="00850F8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- 2 965,1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0322F987" w14:textId="77777777" w:rsidR="00897003" w:rsidRPr="005B3C4E" w:rsidRDefault="00897003" w:rsidP="00850F8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- 2 965,1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6FCB71E7" w14:textId="77777777" w:rsidR="00897003" w:rsidRPr="005B3C4E" w:rsidRDefault="00897003" w:rsidP="00850F8E">
            <w:pPr>
              <w:jc w:val="center"/>
              <w:rPr>
                <w:b/>
                <w:sz w:val="16"/>
                <w:szCs w:val="16"/>
              </w:rPr>
            </w:pPr>
            <w:r w:rsidRPr="005B3C4E">
              <w:rPr>
                <w:b/>
                <w:sz w:val="16"/>
                <w:szCs w:val="16"/>
              </w:rPr>
              <w:t>х</w:t>
            </w:r>
          </w:p>
        </w:tc>
      </w:tr>
    </w:tbl>
    <w:p w14:paraId="53096362" w14:textId="77777777" w:rsidR="00897003" w:rsidRPr="001C668B" w:rsidRDefault="00897003" w:rsidP="00042332">
      <w:pPr>
        <w:ind w:firstLine="680"/>
        <w:jc w:val="both"/>
      </w:pPr>
      <w:r w:rsidRPr="00877966">
        <w:t>Неисполненные назначения по привлечению кредитов коммерческих банков составили 6 100,0 млн. руб., по погашению – 4 688,6 млн. руб</w:t>
      </w:r>
      <w:r w:rsidR="002108FD">
        <w:t xml:space="preserve">., что связано </w:t>
      </w:r>
      <w:r w:rsidRPr="00877966">
        <w:t>с отсутствием необходимости в использовании возобновляемой кредитной линии в предусмотренном объеме.</w:t>
      </w:r>
    </w:p>
    <w:p w14:paraId="2A369460" w14:textId="77777777" w:rsidR="00897003" w:rsidRPr="007256CB" w:rsidRDefault="00897003" w:rsidP="00042332">
      <w:pPr>
        <w:autoSpaceDE w:val="0"/>
        <w:autoSpaceDN w:val="0"/>
        <w:adjustRightInd w:val="0"/>
        <w:ind w:firstLine="680"/>
        <w:jc w:val="both"/>
      </w:pPr>
      <w:r w:rsidRPr="007256CB">
        <w:t>По бюджетным кредитам на пополнение остатков в Законе о</w:t>
      </w:r>
      <w:r>
        <w:t>б областном</w:t>
      </w:r>
      <w:r w:rsidRPr="007256CB">
        <w:t xml:space="preserve"> бюджете как по привлечению, так и по погашению указан лимит на кредитные средства в сумме 5 000,0 млн. рублей. </w:t>
      </w:r>
      <w:r w:rsidRPr="00E423CA">
        <w:t>Согласно приказу Минфина России от 26.07.2013 № 74н «О порядке заключения и форме Договора о предоставлении бюджетного кредита на пополнение остатков средств на счетах бюджетов субъектов Российской Федерации (местных бюджетов)» указанный лимит составляет одну двенадцатую утвержденного законом о бюджете субъекта Р</w:t>
      </w:r>
      <w:r w:rsidR="004B359E" w:rsidRPr="00E423CA">
        <w:t>Ф</w:t>
      </w:r>
      <w:r w:rsidRPr="00E423CA">
        <w:t xml:space="preserve"> на текущий финансовый год объема доходов бюджета, за исключением субсидий, субвенций и иных межбюджетных трансфертов, имеющих целевое назначение. </w:t>
      </w:r>
      <w:r w:rsidRPr="007B6730">
        <w:t>В пределах указанного лимита</w:t>
      </w:r>
      <w:r w:rsidR="00E423CA" w:rsidRPr="007B6730">
        <w:t xml:space="preserve"> </w:t>
      </w:r>
      <w:r w:rsidRPr="007B6730">
        <w:t>средства на пополнение остатков в течение года можно привлекать неоднократно. Волгоградской областью в 2018 году привлечено 5 500,0 млн. руб. бюджетных кредитов на пополнение остатков</w:t>
      </w:r>
      <w:r w:rsidR="00030A30" w:rsidRPr="007B6730">
        <w:t xml:space="preserve"> (в январе, апреле и июне по 1 500,0 млн. руб., в сентябре – 1 000,0 млн. руб.)</w:t>
      </w:r>
      <w:r w:rsidRPr="007B6730">
        <w:t>.</w:t>
      </w:r>
    </w:p>
    <w:p w14:paraId="0AE6DE53" w14:textId="77777777" w:rsidR="00C8383E" w:rsidRDefault="00897003" w:rsidP="00C8383E">
      <w:pPr>
        <w:ind w:firstLine="680"/>
        <w:jc w:val="both"/>
      </w:pPr>
      <w:r w:rsidRPr="007256CB">
        <w:t>В 2018 году в качестве источника финансирования дефицита бюджета произведено привлечение и погашение неутвержденных Законом об областном бюджете назначений по строке «Увеличение финансовых активов за счет средств автономных и бюджетных учреждений» в сумме (-) 1</w:t>
      </w:r>
      <w:r w:rsidR="00361E80">
        <w:t> </w:t>
      </w:r>
      <w:r w:rsidRPr="007256CB">
        <w:t>493</w:t>
      </w:r>
      <w:r w:rsidR="00361E80">
        <w:t>,0 млн.</w:t>
      </w:r>
      <w:r w:rsidRPr="007256CB">
        <w:t xml:space="preserve"> руб., то есть погашение превысило привлечение средств</w:t>
      </w:r>
      <w:r w:rsidR="00DC4550">
        <w:t xml:space="preserve"> (привлечено 550</w:t>
      </w:r>
      <w:r w:rsidR="00361E80">
        <w:t>,0 млн.</w:t>
      </w:r>
      <w:r w:rsidR="00DC4550">
        <w:t xml:space="preserve"> руб., погашено 2</w:t>
      </w:r>
      <w:r w:rsidR="00361E80">
        <w:t> </w:t>
      </w:r>
      <w:r w:rsidR="00DC4550">
        <w:t>043</w:t>
      </w:r>
      <w:r w:rsidR="00361E80">
        <w:t xml:space="preserve">,0 млн. </w:t>
      </w:r>
      <w:r w:rsidR="00DC4550">
        <w:t>руб.</w:t>
      </w:r>
      <w:r w:rsidR="00361E80">
        <w:t>, на начало года остаток непогашенной задолженности перед государственными учреждениями составлял 2 300,0 млн. руб.</w:t>
      </w:r>
      <w:r w:rsidR="00DC4550">
        <w:t>)</w:t>
      </w:r>
      <w:r w:rsidRPr="007256CB">
        <w:t xml:space="preserve">. </w:t>
      </w:r>
      <w:r w:rsidR="00C8383E">
        <w:t>Остаток непогашенной задолженности на 01.01.2019 составил 807,0 млн. рублей.</w:t>
      </w:r>
    </w:p>
    <w:p w14:paraId="55EBD983" w14:textId="77777777" w:rsidR="00C8383E" w:rsidRDefault="00C8383E" w:rsidP="00897003">
      <w:pPr>
        <w:jc w:val="center"/>
        <w:rPr>
          <w:b/>
          <w:i/>
        </w:rPr>
      </w:pPr>
    </w:p>
    <w:p w14:paraId="54045BBE" w14:textId="77777777" w:rsidR="00897003" w:rsidRPr="00C04A47" w:rsidRDefault="00897003" w:rsidP="00897003">
      <w:pPr>
        <w:jc w:val="center"/>
        <w:rPr>
          <w:b/>
          <w:i/>
        </w:rPr>
      </w:pPr>
      <w:r w:rsidRPr="00C04A47">
        <w:rPr>
          <w:b/>
          <w:i/>
        </w:rPr>
        <w:t>Государственный долг</w:t>
      </w:r>
    </w:p>
    <w:p w14:paraId="46406A1B" w14:textId="77777777" w:rsidR="00897003" w:rsidRDefault="00897003" w:rsidP="00E439AF">
      <w:pPr>
        <w:autoSpaceDE w:val="0"/>
        <w:autoSpaceDN w:val="0"/>
        <w:adjustRightInd w:val="0"/>
        <w:ind w:firstLine="680"/>
        <w:jc w:val="both"/>
        <w:rPr>
          <w:rFonts w:eastAsia="Times New Roman"/>
        </w:rPr>
      </w:pPr>
      <w:r w:rsidRPr="00C04A47">
        <w:rPr>
          <w:rFonts w:eastAsia="Times New Roman"/>
          <w:bCs/>
        </w:rPr>
        <w:t>Статьей 2 Закона об областном бюджете установлен верхний предел государственного внутреннего долга Волгоградской области по состоянию на 01.01.201</w:t>
      </w:r>
      <w:r>
        <w:rPr>
          <w:rFonts w:eastAsia="Times New Roman"/>
          <w:bCs/>
        </w:rPr>
        <w:t>9</w:t>
      </w:r>
      <w:r w:rsidRPr="00C04A47">
        <w:rPr>
          <w:rFonts w:eastAsia="Times New Roman"/>
          <w:bCs/>
        </w:rPr>
        <w:t xml:space="preserve"> в </w:t>
      </w:r>
      <w:r w:rsidRPr="001B65B9">
        <w:rPr>
          <w:rFonts w:eastAsia="Times New Roman"/>
          <w:bCs/>
        </w:rPr>
        <w:t xml:space="preserve">сумме </w:t>
      </w:r>
      <w:r w:rsidRPr="001B65B9">
        <w:rPr>
          <w:bCs/>
          <w:iCs/>
        </w:rPr>
        <w:t xml:space="preserve"> 53 289,7 </w:t>
      </w:r>
      <w:r w:rsidRPr="001B65B9">
        <w:t>млн</w:t>
      </w:r>
      <w:r w:rsidRPr="00C04A47">
        <w:rPr>
          <w:rFonts w:eastAsia="Times New Roman"/>
          <w:bCs/>
        </w:rPr>
        <w:t>. руб., в т</w:t>
      </w:r>
      <w:r w:rsidR="00EE4466">
        <w:rPr>
          <w:rFonts w:eastAsia="Times New Roman"/>
          <w:bCs/>
        </w:rPr>
        <w:t>.ч.</w:t>
      </w:r>
      <w:r w:rsidRPr="00C04A47">
        <w:rPr>
          <w:rFonts w:eastAsia="Times New Roman"/>
          <w:bCs/>
        </w:rPr>
        <w:t xml:space="preserve"> предел косвенного долга по государственным гарантиям </w:t>
      </w:r>
      <w:r>
        <w:rPr>
          <w:rFonts w:eastAsia="Times New Roman"/>
          <w:bCs/>
        </w:rPr>
        <w:t>-</w:t>
      </w:r>
      <w:r w:rsidRPr="00C04A47">
        <w:rPr>
          <w:rFonts w:eastAsia="Times New Roman"/>
          <w:bCs/>
        </w:rPr>
        <w:t xml:space="preserve"> </w:t>
      </w:r>
      <w:r w:rsidRPr="00C04A47">
        <w:rPr>
          <w:bCs/>
          <w:iCs/>
        </w:rPr>
        <w:t>785,1 млн</w:t>
      </w:r>
      <w:r w:rsidRPr="00C04A47">
        <w:rPr>
          <w:rFonts w:eastAsia="Times New Roman"/>
        </w:rPr>
        <w:t>. рублей.</w:t>
      </w:r>
    </w:p>
    <w:p w14:paraId="30335EBC" w14:textId="77777777" w:rsidR="00897003" w:rsidRPr="00C04A47" w:rsidRDefault="00897003" w:rsidP="00E439AF">
      <w:pPr>
        <w:ind w:firstLine="680"/>
        <w:jc w:val="both"/>
      </w:pPr>
      <w:r w:rsidRPr="00C04A47">
        <w:t>Структура долга отражена в следующей таблице.</w:t>
      </w:r>
    </w:p>
    <w:p w14:paraId="3DC60C5E" w14:textId="77777777" w:rsidR="00897003" w:rsidRPr="0070660C" w:rsidRDefault="00EE4466" w:rsidP="00EE4466">
      <w:pPr>
        <w:ind w:right="-143" w:firstLine="708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                                     </w:t>
      </w:r>
      <w:r w:rsidR="00897003" w:rsidRPr="0070660C">
        <w:rPr>
          <w:i/>
          <w:sz w:val="20"/>
          <w:szCs w:val="20"/>
        </w:rPr>
        <w:t>млн. руб.</w:t>
      </w:r>
    </w:p>
    <w:tbl>
      <w:tblPr>
        <w:tblW w:w="9762" w:type="dxa"/>
        <w:tblInd w:w="85" w:type="dxa"/>
        <w:tblLook w:val="04A0" w:firstRow="1" w:lastRow="0" w:firstColumn="1" w:lastColumn="0" w:noHBand="0" w:noVBand="1"/>
      </w:tblPr>
      <w:tblGrid>
        <w:gridCol w:w="3142"/>
        <w:gridCol w:w="1180"/>
        <w:gridCol w:w="1140"/>
        <w:gridCol w:w="1240"/>
        <w:gridCol w:w="960"/>
        <w:gridCol w:w="1140"/>
        <w:gridCol w:w="960"/>
      </w:tblGrid>
      <w:tr w:rsidR="00897003" w:rsidRPr="007846CC" w14:paraId="7DEE1EF7" w14:textId="77777777" w:rsidTr="00850F8E">
        <w:trPr>
          <w:trHeight w:val="20"/>
        </w:trPr>
        <w:tc>
          <w:tcPr>
            <w:tcW w:w="3142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1D54338" w14:textId="77777777" w:rsidR="00897003" w:rsidRPr="007846CC" w:rsidRDefault="00897003" w:rsidP="00850F8E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7846CC">
              <w:rPr>
                <w:rFonts w:eastAsia="Times New Roman"/>
                <w:bCs/>
                <w:sz w:val="18"/>
                <w:szCs w:val="18"/>
              </w:rPr>
              <w:t>Вид обязательств</w:t>
            </w:r>
          </w:p>
        </w:tc>
        <w:tc>
          <w:tcPr>
            <w:tcW w:w="2320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1D80A9B7" w14:textId="77777777" w:rsidR="00897003" w:rsidRPr="007846CC" w:rsidRDefault="00897003" w:rsidP="00850F8E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7846CC">
              <w:rPr>
                <w:rFonts w:eastAsia="Times New Roman"/>
                <w:bCs/>
                <w:sz w:val="18"/>
                <w:szCs w:val="18"/>
              </w:rPr>
              <w:t>01.01.2018</w:t>
            </w:r>
          </w:p>
        </w:tc>
        <w:tc>
          <w:tcPr>
            <w:tcW w:w="2200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6BFB9A62" w14:textId="77777777" w:rsidR="00897003" w:rsidRPr="007846CC" w:rsidRDefault="00897003" w:rsidP="00850F8E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7846CC">
              <w:rPr>
                <w:rFonts w:eastAsia="Times New Roman"/>
                <w:bCs/>
                <w:sz w:val="18"/>
                <w:szCs w:val="18"/>
              </w:rPr>
              <w:t>01.01.2019</w:t>
            </w:r>
          </w:p>
        </w:tc>
        <w:tc>
          <w:tcPr>
            <w:tcW w:w="2100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2E5E97B1" w14:textId="77777777" w:rsidR="00897003" w:rsidRPr="007846CC" w:rsidRDefault="00897003" w:rsidP="00850F8E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7846CC">
              <w:rPr>
                <w:rFonts w:eastAsia="Times New Roman"/>
                <w:bCs/>
                <w:sz w:val="18"/>
                <w:szCs w:val="18"/>
              </w:rPr>
              <w:t>Увеличение (+), снижение (-) долга</w:t>
            </w:r>
          </w:p>
        </w:tc>
      </w:tr>
      <w:tr w:rsidR="00897003" w:rsidRPr="007846CC" w14:paraId="315D0A24" w14:textId="77777777" w:rsidTr="00850F8E">
        <w:trPr>
          <w:trHeight w:val="208"/>
        </w:trPr>
        <w:tc>
          <w:tcPr>
            <w:tcW w:w="0" w:type="auto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3326D661" w14:textId="77777777" w:rsidR="00897003" w:rsidRPr="007846CC" w:rsidRDefault="00897003" w:rsidP="00850F8E">
            <w:pPr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EAF1DD" w:themeFill="accent3" w:themeFillTint="33"/>
            <w:vAlign w:val="bottom"/>
            <w:hideMark/>
          </w:tcPr>
          <w:p w14:paraId="73FB0966" w14:textId="77777777" w:rsidR="00897003" w:rsidRPr="007846CC" w:rsidRDefault="00897003" w:rsidP="00850F8E">
            <w:pPr>
              <w:jc w:val="center"/>
              <w:rPr>
                <w:sz w:val="18"/>
                <w:szCs w:val="18"/>
              </w:rPr>
            </w:pPr>
            <w:r w:rsidRPr="007846CC">
              <w:rPr>
                <w:sz w:val="18"/>
                <w:szCs w:val="18"/>
              </w:rPr>
              <w:t>сумма</w:t>
            </w:r>
          </w:p>
        </w:tc>
        <w:tc>
          <w:tcPr>
            <w:tcW w:w="114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EAF1DD" w:themeFill="accent3" w:themeFillTint="33"/>
            <w:vAlign w:val="bottom"/>
            <w:hideMark/>
          </w:tcPr>
          <w:p w14:paraId="00A476CF" w14:textId="77777777" w:rsidR="00897003" w:rsidRPr="007846CC" w:rsidRDefault="00897003" w:rsidP="00850F8E">
            <w:pPr>
              <w:jc w:val="center"/>
              <w:rPr>
                <w:sz w:val="18"/>
                <w:szCs w:val="18"/>
              </w:rPr>
            </w:pPr>
            <w:r w:rsidRPr="007846CC">
              <w:rPr>
                <w:sz w:val="18"/>
                <w:szCs w:val="18"/>
              </w:rPr>
              <w:t>доля, %</w:t>
            </w:r>
          </w:p>
        </w:tc>
        <w:tc>
          <w:tcPr>
            <w:tcW w:w="124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EAF1DD" w:themeFill="accent3" w:themeFillTint="33"/>
            <w:vAlign w:val="bottom"/>
            <w:hideMark/>
          </w:tcPr>
          <w:p w14:paraId="406E9447" w14:textId="77777777" w:rsidR="00897003" w:rsidRPr="007846CC" w:rsidRDefault="00897003" w:rsidP="00850F8E">
            <w:pPr>
              <w:jc w:val="center"/>
              <w:rPr>
                <w:sz w:val="18"/>
                <w:szCs w:val="18"/>
              </w:rPr>
            </w:pPr>
            <w:r w:rsidRPr="007846CC">
              <w:rPr>
                <w:sz w:val="18"/>
                <w:szCs w:val="18"/>
              </w:rPr>
              <w:t>сумма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EAF1DD" w:themeFill="accent3" w:themeFillTint="33"/>
            <w:vAlign w:val="bottom"/>
            <w:hideMark/>
          </w:tcPr>
          <w:p w14:paraId="6D3B40A8" w14:textId="77777777" w:rsidR="00897003" w:rsidRPr="007846CC" w:rsidRDefault="00897003" w:rsidP="00850F8E">
            <w:pPr>
              <w:jc w:val="center"/>
              <w:rPr>
                <w:sz w:val="18"/>
                <w:szCs w:val="18"/>
              </w:rPr>
            </w:pPr>
            <w:r w:rsidRPr="007846CC">
              <w:rPr>
                <w:sz w:val="18"/>
                <w:szCs w:val="18"/>
              </w:rPr>
              <w:t>доля, %</w:t>
            </w:r>
          </w:p>
        </w:tc>
        <w:tc>
          <w:tcPr>
            <w:tcW w:w="114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EAF1DD" w:themeFill="accent3" w:themeFillTint="33"/>
            <w:vAlign w:val="bottom"/>
            <w:hideMark/>
          </w:tcPr>
          <w:p w14:paraId="152C62AC" w14:textId="77777777" w:rsidR="00897003" w:rsidRPr="007846CC" w:rsidRDefault="00897003" w:rsidP="00850F8E">
            <w:pPr>
              <w:jc w:val="center"/>
              <w:rPr>
                <w:sz w:val="18"/>
                <w:szCs w:val="18"/>
              </w:rPr>
            </w:pPr>
            <w:r w:rsidRPr="007846CC">
              <w:rPr>
                <w:sz w:val="18"/>
                <w:szCs w:val="18"/>
              </w:rPr>
              <w:t>сумма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EAF1DD" w:themeFill="accent3" w:themeFillTint="33"/>
            <w:vAlign w:val="bottom"/>
            <w:hideMark/>
          </w:tcPr>
          <w:p w14:paraId="62D21ADA" w14:textId="77777777" w:rsidR="00897003" w:rsidRPr="007846CC" w:rsidRDefault="00897003" w:rsidP="00850F8E">
            <w:pPr>
              <w:jc w:val="center"/>
              <w:rPr>
                <w:sz w:val="18"/>
                <w:szCs w:val="18"/>
              </w:rPr>
            </w:pPr>
            <w:r w:rsidRPr="007846CC">
              <w:rPr>
                <w:sz w:val="18"/>
                <w:szCs w:val="18"/>
              </w:rPr>
              <w:t>%</w:t>
            </w:r>
          </w:p>
        </w:tc>
      </w:tr>
      <w:tr w:rsidR="00897003" w:rsidRPr="007846CC" w14:paraId="279B9F88" w14:textId="77777777" w:rsidTr="00850F8E">
        <w:trPr>
          <w:trHeight w:val="20"/>
        </w:trPr>
        <w:tc>
          <w:tcPr>
            <w:tcW w:w="3142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95AE4F6" w14:textId="77777777" w:rsidR="00897003" w:rsidRPr="007846CC" w:rsidRDefault="00897003" w:rsidP="00850F8E">
            <w:pPr>
              <w:rPr>
                <w:sz w:val="18"/>
                <w:szCs w:val="18"/>
              </w:rPr>
            </w:pPr>
            <w:r w:rsidRPr="007846CC">
              <w:rPr>
                <w:sz w:val="18"/>
                <w:szCs w:val="18"/>
              </w:rPr>
              <w:t>Государственные ценные бумаги по номинальной стоимости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F0EA210" w14:textId="77777777" w:rsidR="00897003" w:rsidRPr="00C04A47" w:rsidRDefault="00897003" w:rsidP="00850F8E">
            <w:pPr>
              <w:jc w:val="right"/>
              <w:rPr>
                <w:sz w:val="20"/>
                <w:szCs w:val="20"/>
              </w:rPr>
            </w:pPr>
            <w:r w:rsidRPr="00C04A47">
              <w:rPr>
                <w:sz w:val="20"/>
                <w:szCs w:val="20"/>
              </w:rPr>
              <w:t>17 350,0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F6BFA7B" w14:textId="77777777" w:rsidR="00897003" w:rsidRDefault="00897003" w:rsidP="00850F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32,5%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C752324" w14:textId="77777777" w:rsidR="00897003" w:rsidRPr="00C04A47" w:rsidRDefault="00897003" w:rsidP="00850F8E">
            <w:pPr>
              <w:jc w:val="right"/>
              <w:rPr>
                <w:sz w:val="20"/>
                <w:szCs w:val="20"/>
              </w:rPr>
            </w:pPr>
            <w:r w:rsidRPr="00C04A47">
              <w:rPr>
                <w:sz w:val="20"/>
                <w:szCs w:val="20"/>
              </w:rPr>
              <w:t>13 250,0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4D1E97B" w14:textId="77777777" w:rsidR="00897003" w:rsidRPr="00971A49" w:rsidRDefault="00897003" w:rsidP="00850F8E">
            <w:pPr>
              <w:jc w:val="right"/>
              <w:rPr>
                <w:sz w:val="20"/>
                <w:szCs w:val="20"/>
              </w:rPr>
            </w:pPr>
            <w:r w:rsidRPr="00971A49">
              <w:rPr>
                <w:sz w:val="20"/>
                <w:szCs w:val="20"/>
              </w:rPr>
              <w:t>25,9%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3F6DF83" w14:textId="77777777" w:rsidR="00897003" w:rsidRPr="00C04A47" w:rsidRDefault="00897003" w:rsidP="00850F8E">
            <w:pPr>
              <w:jc w:val="right"/>
              <w:rPr>
                <w:sz w:val="20"/>
                <w:szCs w:val="20"/>
              </w:rPr>
            </w:pPr>
            <w:r w:rsidRPr="00C04A47">
              <w:rPr>
                <w:sz w:val="20"/>
                <w:szCs w:val="20"/>
              </w:rPr>
              <w:t>-4 100,0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bottom"/>
            <w:hideMark/>
          </w:tcPr>
          <w:p w14:paraId="50E97789" w14:textId="77777777" w:rsidR="00897003" w:rsidRPr="00C04A47" w:rsidRDefault="00897003" w:rsidP="00850F8E">
            <w:pPr>
              <w:jc w:val="right"/>
              <w:rPr>
                <w:sz w:val="20"/>
                <w:szCs w:val="20"/>
              </w:rPr>
            </w:pPr>
            <w:r w:rsidRPr="00C04A47">
              <w:rPr>
                <w:sz w:val="20"/>
                <w:szCs w:val="20"/>
              </w:rPr>
              <w:t>-23,6%</w:t>
            </w:r>
          </w:p>
        </w:tc>
      </w:tr>
      <w:tr w:rsidR="00897003" w:rsidRPr="007846CC" w14:paraId="23F312E6" w14:textId="77777777" w:rsidTr="00850F8E">
        <w:trPr>
          <w:trHeight w:val="20"/>
        </w:trPr>
        <w:tc>
          <w:tcPr>
            <w:tcW w:w="3142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843F94E" w14:textId="77777777" w:rsidR="00897003" w:rsidRPr="007846CC" w:rsidRDefault="00897003" w:rsidP="00850F8E">
            <w:pPr>
              <w:rPr>
                <w:sz w:val="18"/>
                <w:szCs w:val="18"/>
              </w:rPr>
            </w:pPr>
            <w:r w:rsidRPr="007846CC">
              <w:rPr>
                <w:sz w:val="18"/>
                <w:szCs w:val="18"/>
              </w:rPr>
              <w:t>Кредиты коммерческих банков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2BFD119" w14:textId="77777777" w:rsidR="00897003" w:rsidRPr="00C04A47" w:rsidRDefault="00897003" w:rsidP="00850F8E">
            <w:pPr>
              <w:jc w:val="right"/>
              <w:rPr>
                <w:sz w:val="20"/>
                <w:szCs w:val="20"/>
              </w:rPr>
            </w:pPr>
            <w:r w:rsidRPr="00C04A47">
              <w:rPr>
                <w:sz w:val="20"/>
                <w:szCs w:val="20"/>
              </w:rPr>
              <w:t>11 811,4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3C5628F" w14:textId="77777777" w:rsidR="00897003" w:rsidRDefault="00897003" w:rsidP="00850F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22,1%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662BD74" w14:textId="77777777" w:rsidR="00897003" w:rsidRPr="00C04A47" w:rsidRDefault="00897003" w:rsidP="00850F8E">
            <w:pPr>
              <w:jc w:val="right"/>
              <w:rPr>
                <w:sz w:val="20"/>
                <w:szCs w:val="20"/>
              </w:rPr>
            </w:pPr>
            <w:r w:rsidRPr="00C04A47">
              <w:rPr>
                <w:sz w:val="20"/>
                <w:szCs w:val="20"/>
              </w:rPr>
              <w:t>15 500,0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50AC9C7" w14:textId="77777777" w:rsidR="00897003" w:rsidRPr="00971A49" w:rsidRDefault="00897003" w:rsidP="00850F8E">
            <w:pPr>
              <w:jc w:val="right"/>
              <w:rPr>
                <w:sz w:val="20"/>
                <w:szCs w:val="20"/>
              </w:rPr>
            </w:pPr>
            <w:r w:rsidRPr="00971A49">
              <w:rPr>
                <w:sz w:val="20"/>
                <w:szCs w:val="20"/>
              </w:rPr>
              <w:t>30,4%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9EBD1CC" w14:textId="77777777" w:rsidR="00897003" w:rsidRPr="00C04A47" w:rsidRDefault="00897003" w:rsidP="00850F8E">
            <w:pPr>
              <w:jc w:val="right"/>
              <w:rPr>
                <w:sz w:val="20"/>
                <w:szCs w:val="20"/>
              </w:rPr>
            </w:pPr>
            <w:r w:rsidRPr="00C04A47">
              <w:rPr>
                <w:sz w:val="20"/>
                <w:szCs w:val="20"/>
              </w:rPr>
              <w:t>3 688,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bottom"/>
            <w:hideMark/>
          </w:tcPr>
          <w:p w14:paraId="16DC7EA4" w14:textId="77777777" w:rsidR="00897003" w:rsidRPr="00C04A47" w:rsidRDefault="00897003" w:rsidP="00850F8E">
            <w:pPr>
              <w:jc w:val="right"/>
              <w:rPr>
                <w:sz w:val="20"/>
                <w:szCs w:val="20"/>
              </w:rPr>
            </w:pPr>
            <w:r w:rsidRPr="00C04A47">
              <w:rPr>
                <w:sz w:val="20"/>
                <w:szCs w:val="20"/>
              </w:rPr>
              <w:t>31,2%</w:t>
            </w:r>
          </w:p>
        </w:tc>
      </w:tr>
      <w:tr w:rsidR="00897003" w:rsidRPr="007846CC" w14:paraId="4515CE76" w14:textId="77777777" w:rsidTr="00850F8E">
        <w:trPr>
          <w:trHeight w:val="20"/>
        </w:trPr>
        <w:tc>
          <w:tcPr>
            <w:tcW w:w="3142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F28D9AC" w14:textId="77777777" w:rsidR="00897003" w:rsidRPr="007846CC" w:rsidRDefault="00897003" w:rsidP="00850F8E">
            <w:pPr>
              <w:rPr>
                <w:sz w:val="18"/>
                <w:szCs w:val="18"/>
              </w:rPr>
            </w:pPr>
            <w:r w:rsidRPr="007846CC">
              <w:rPr>
                <w:sz w:val="18"/>
                <w:szCs w:val="18"/>
              </w:rPr>
              <w:t>Бюджетные кредиты из федерального бюджета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D336657" w14:textId="77777777" w:rsidR="00897003" w:rsidRPr="00C04A47" w:rsidRDefault="00897003" w:rsidP="00850F8E">
            <w:pPr>
              <w:jc w:val="right"/>
              <w:rPr>
                <w:sz w:val="20"/>
                <w:szCs w:val="20"/>
              </w:rPr>
            </w:pPr>
            <w:r w:rsidRPr="00C04A47">
              <w:rPr>
                <w:sz w:val="20"/>
                <w:szCs w:val="20"/>
              </w:rPr>
              <w:t>23 412,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7E9DCB0" w14:textId="77777777" w:rsidR="00897003" w:rsidRDefault="00897003" w:rsidP="00850F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1C437E9" w14:textId="77777777" w:rsidR="00897003" w:rsidRPr="00C04A47" w:rsidRDefault="00897003" w:rsidP="00850F8E">
            <w:pPr>
              <w:jc w:val="right"/>
              <w:rPr>
                <w:sz w:val="20"/>
                <w:szCs w:val="20"/>
              </w:rPr>
            </w:pPr>
            <w:r w:rsidRPr="00C04A47">
              <w:rPr>
                <w:sz w:val="20"/>
                <w:szCs w:val="20"/>
              </w:rPr>
              <w:t>22 343,2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FA1B5AC" w14:textId="77777777" w:rsidR="00897003" w:rsidRPr="00971A49" w:rsidRDefault="00897003" w:rsidP="00850F8E">
            <w:pPr>
              <w:jc w:val="right"/>
              <w:rPr>
                <w:sz w:val="20"/>
                <w:szCs w:val="20"/>
              </w:rPr>
            </w:pPr>
            <w:r w:rsidRPr="00971A49">
              <w:rPr>
                <w:sz w:val="20"/>
                <w:szCs w:val="20"/>
              </w:rPr>
              <w:t>43,7%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9C33AAA" w14:textId="77777777" w:rsidR="00897003" w:rsidRPr="00C04A47" w:rsidRDefault="00897003" w:rsidP="00850F8E">
            <w:pPr>
              <w:jc w:val="right"/>
              <w:rPr>
                <w:sz w:val="20"/>
                <w:szCs w:val="20"/>
              </w:rPr>
            </w:pPr>
            <w:r w:rsidRPr="00C04A47">
              <w:rPr>
                <w:sz w:val="20"/>
                <w:szCs w:val="20"/>
              </w:rPr>
              <w:t>-1 069,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bottom"/>
            <w:hideMark/>
          </w:tcPr>
          <w:p w14:paraId="71AE418E" w14:textId="77777777" w:rsidR="00897003" w:rsidRPr="00C04A47" w:rsidRDefault="00897003" w:rsidP="00850F8E">
            <w:pPr>
              <w:jc w:val="right"/>
              <w:rPr>
                <w:sz w:val="20"/>
                <w:szCs w:val="20"/>
              </w:rPr>
            </w:pPr>
            <w:r w:rsidRPr="00C04A47">
              <w:rPr>
                <w:sz w:val="20"/>
                <w:szCs w:val="20"/>
              </w:rPr>
              <w:t>-4,6%</w:t>
            </w:r>
          </w:p>
        </w:tc>
      </w:tr>
      <w:tr w:rsidR="00897003" w:rsidRPr="007846CC" w14:paraId="4F9EA4C8" w14:textId="77777777" w:rsidTr="00850F8E">
        <w:trPr>
          <w:trHeight w:val="20"/>
        </w:trPr>
        <w:tc>
          <w:tcPr>
            <w:tcW w:w="3142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09E51AB" w14:textId="77777777" w:rsidR="00897003" w:rsidRPr="007846CC" w:rsidRDefault="00897003" w:rsidP="00850F8E">
            <w:pPr>
              <w:rPr>
                <w:sz w:val="18"/>
                <w:szCs w:val="18"/>
              </w:rPr>
            </w:pPr>
            <w:r w:rsidRPr="007846CC">
              <w:rPr>
                <w:sz w:val="18"/>
                <w:szCs w:val="18"/>
              </w:rPr>
              <w:t>Государственные гарантии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4AFEDEF" w14:textId="77777777" w:rsidR="00897003" w:rsidRPr="00C04A47" w:rsidRDefault="00897003" w:rsidP="00850F8E">
            <w:pPr>
              <w:jc w:val="right"/>
              <w:rPr>
                <w:sz w:val="20"/>
                <w:szCs w:val="20"/>
              </w:rPr>
            </w:pPr>
            <w:r w:rsidRPr="00C04A47">
              <w:rPr>
                <w:sz w:val="20"/>
                <w:szCs w:val="20"/>
              </w:rPr>
              <w:t>785,1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C479102" w14:textId="77777777" w:rsidR="00897003" w:rsidRDefault="00897003" w:rsidP="00850F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1,5%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092F9DB" w14:textId="77777777" w:rsidR="00897003" w:rsidRPr="00C04A47" w:rsidRDefault="00897003" w:rsidP="00850F8E">
            <w:pPr>
              <w:jc w:val="right"/>
              <w:rPr>
                <w:sz w:val="20"/>
                <w:szCs w:val="20"/>
              </w:rPr>
            </w:pPr>
            <w:r w:rsidRPr="00C04A47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1881169" w14:textId="77777777" w:rsidR="00897003" w:rsidRPr="00971A49" w:rsidRDefault="00897003" w:rsidP="00850F8E">
            <w:pPr>
              <w:jc w:val="right"/>
              <w:rPr>
                <w:sz w:val="20"/>
                <w:szCs w:val="20"/>
              </w:rPr>
            </w:pPr>
            <w:r w:rsidRPr="00971A49">
              <w:rPr>
                <w:sz w:val="20"/>
                <w:szCs w:val="20"/>
              </w:rPr>
              <w:t>0,0%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C10D498" w14:textId="77777777" w:rsidR="00897003" w:rsidRPr="00C04A47" w:rsidRDefault="00897003" w:rsidP="00850F8E">
            <w:pPr>
              <w:jc w:val="right"/>
              <w:rPr>
                <w:sz w:val="20"/>
                <w:szCs w:val="20"/>
              </w:rPr>
            </w:pPr>
            <w:r w:rsidRPr="00C04A47">
              <w:rPr>
                <w:sz w:val="20"/>
                <w:szCs w:val="20"/>
              </w:rPr>
              <w:t>-785,1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bottom"/>
            <w:hideMark/>
          </w:tcPr>
          <w:p w14:paraId="7CB890F9" w14:textId="77777777" w:rsidR="00897003" w:rsidRPr="00C04A47" w:rsidRDefault="00897003" w:rsidP="00850F8E">
            <w:pPr>
              <w:jc w:val="right"/>
              <w:rPr>
                <w:sz w:val="20"/>
                <w:szCs w:val="20"/>
              </w:rPr>
            </w:pPr>
            <w:r w:rsidRPr="00C04A47">
              <w:rPr>
                <w:sz w:val="20"/>
                <w:szCs w:val="20"/>
              </w:rPr>
              <w:t>-100,0%</w:t>
            </w:r>
          </w:p>
        </w:tc>
      </w:tr>
      <w:tr w:rsidR="00897003" w:rsidRPr="007846CC" w14:paraId="7C321F82" w14:textId="77777777" w:rsidTr="00850F8E">
        <w:trPr>
          <w:trHeight w:val="20"/>
        </w:trPr>
        <w:tc>
          <w:tcPr>
            <w:tcW w:w="31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F2F2F2"/>
            <w:vAlign w:val="bottom"/>
            <w:hideMark/>
          </w:tcPr>
          <w:p w14:paraId="14245E1B" w14:textId="77777777" w:rsidR="00897003" w:rsidRPr="007846CC" w:rsidRDefault="00897003" w:rsidP="00850F8E">
            <w:pPr>
              <w:rPr>
                <w:sz w:val="18"/>
                <w:szCs w:val="18"/>
              </w:rPr>
            </w:pPr>
            <w:r w:rsidRPr="007846CC">
              <w:rPr>
                <w:sz w:val="18"/>
                <w:szCs w:val="18"/>
              </w:rPr>
              <w:t>Итого государственный долг</w:t>
            </w:r>
          </w:p>
        </w:tc>
        <w:tc>
          <w:tcPr>
            <w:tcW w:w="118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F2F2F2"/>
            <w:vAlign w:val="bottom"/>
            <w:hideMark/>
          </w:tcPr>
          <w:p w14:paraId="523AF64B" w14:textId="77777777" w:rsidR="00897003" w:rsidRPr="00175F52" w:rsidRDefault="00897003" w:rsidP="00850F8E">
            <w:pPr>
              <w:jc w:val="right"/>
              <w:rPr>
                <w:sz w:val="20"/>
                <w:szCs w:val="20"/>
              </w:rPr>
            </w:pPr>
            <w:r w:rsidRPr="00175F52">
              <w:rPr>
                <w:sz w:val="20"/>
                <w:szCs w:val="20"/>
              </w:rPr>
              <w:t>53 359,2</w:t>
            </w:r>
          </w:p>
        </w:tc>
        <w:tc>
          <w:tcPr>
            <w:tcW w:w="114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F2F2F2"/>
            <w:vAlign w:val="bottom"/>
            <w:hideMark/>
          </w:tcPr>
          <w:p w14:paraId="3B0775D6" w14:textId="77777777" w:rsidR="00897003" w:rsidRDefault="00897003" w:rsidP="00850F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100,0%</w:t>
            </w:r>
          </w:p>
        </w:tc>
        <w:tc>
          <w:tcPr>
            <w:tcW w:w="124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F2F2F2"/>
            <w:vAlign w:val="bottom"/>
            <w:hideMark/>
          </w:tcPr>
          <w:p w14:paraId="28405D5F" w14:textId="77777777" w:rsidR="00897003" w:rsidRPr="00C04A47" w:rsidRDefault="00897003" w:rsidP="00850F8E">
            <w:pPr>
              <w:jc w:val="right"/>
              <w:rPr>
                <w:sz w:val="20"/>
                <w:szCs w:val="20"/>
              </w:rPr>
            </w:pPr>
            <w:r w:rsidRPr="00C04A47">
              <w:rPr>
                <w:sz w:val="20"/>
                <w:szCs w:val="20"/>
              </w:rPr>
              <w:t>51 093,2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F2F2F2"/>
            <w:vAlign w:val="bottom"/>
            <w:hideMark/>
          </w:tcPr>
          <w:p w14:paraId="484ADC0E" w14:textId="77777777" w:rsidR="00897003" w:rsidRPr="00971A49" w:rsidRDefault="00897003" w:rsidP="00850F8E">
            <w:pPr>
              <w:jc w:val="right"/>
              <w:rPr>
                <w:sz w:val="20"/>
                <w:szCs w:val="20"/>
              </w:rPr>
            </w:pPr>
            <w:r w:rsidRPr="00971A49">
              <w:rPr>
                <w:sz w:val="20"/>
                <w:szCs w:val="20"/>
              </w:rPr>
              <w:t>100,0%</w:t>
            </w:r>
          </w:p>
        </w:tc>
        <w:tc>
          <w:tcPr>
            <w:tcW w:w="114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F2F2F2"/>
            <w:vAlign w:val="bottom"/>
            <w:hideMark/>
          </w:tcPr>
          <w:p w14:paraId="7AE8D70E" w14:textId="77777777" w:rsidR="00897003" w:rsidRPr="00C04A47" w:rsidRDefault="00897003" w:rsidP="00850F8E">
            <w:pPr>
              <w:jc w:val="right"/>
              <w:rPr>
                <w:sz w:val="20"/>
                <w:szCs w:val="20"/>
              </w:rPr>
            </w:pPr>
            <w:r w:rsidRPr="00C04A47">
              <w:rPr>
                <w:sz w:val="20"/>
                <w:szCs w:val="20"/>
              </w:rPr>
              <w:t>-2 266,0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2F2F2"/>
            <w:vAlign w:val="bottom"/>
            <w:hideMark/>
          </w:tcPr>
          <w:p w14:paraId="518F2959" w14:textId="77777777" w:rsidR="00897003" w:rsidRPr="00C04A47" w:rsidRDefault="00897003" w:rsidP="00850F8E">
            <w:pPr>
              <w:jc w:val="right"/>
              <w:rPr>
                <w:sz w:val="20"/>
                <w:szCs w:val="20"/>
              </w:rPr>
            </w:pPr>
            <w:r w:rsidRPr="00C04A47">
              <w:rPr>
                <w:sz w:val="20"/>
                <w:szCs w:val="20"/>
              </w:rPr>
              <w:t>-4,2%</w:t>
            </w:r>
          </w:p>
        </w:tc>
      </w:tr>
      <w:tr w:rsidR="00897003" w:rsidRPr="007846CC" w14:paraId="2B08C3F0" w14:textId="77777777" w:rsidTr="00850F8E">
        <w:trPr>
          <w:trHeight w:val="20"/>
        </w:trPr>
        <w:tc>
          <w:tcPr>
            <w:tcW w:w="3142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vAlign w:val="bottom"/>
            <w:hideMark/>
          </w:tcPr>
          <w:p w14:paraId="29EFB8D0" w14:textId="77777777" w:rsidR="00897003" w:rsidRPr="007846CC" w:rsidRDefault="00897003" w:rsidP="00850F8E">
            <w:pPr>
              <w:rPr>
                <w:sz w:val="18"/>
                <w:szCs w:val="18"/>
              </w:rPr>
            </w:pPr>
            <w:r w:rsidRPr="007846CC">
              <w:rPr>
                <w:sz w:val="18"/>
                <w:szCs w:val="18"/>
              </w:rPr>
              <w:t>в т.ч. прямой долг</w:t>
            </w:r>
          </w:p>
        </w:tc>
        <w:tc>
          <w:tcPr>
            <w:tcW w:w="118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bottom"/>
            <w:hideMark/>
          </w:tcPr>
          <w:p w14:paraId="6C91BD54" w14:textId="77777777" w:rsidR="00897003" w:rsidRPr="00C04A47" w:rsidRDefault="00897003" w:rsidP="00850F8E">
            <w:pPr>
              <w:jc w:val="right"/>
              <w:rPr>
                <w:sz w:val="20"/>
                <w:szCs w:val="20"/>
              </w:rPr>
            </w:pPr>
            <w:r w:rsidRPr="00C04A47">
              <w:rPr>
                <w:sz w:val="20"/>
                <w:szCs w:val="20"/>
              </w:rPr>
              <w:t>52 574,1</w:t>
            </w:r>
          </w:p>
        </w:tc>
        <w:tc>
          <w:tcPr>
            <w:tcW w:w="114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bottom"/>
            <w:hideMark/>
          </w:tcPr>
          <w:p w14:paraId="2E194171" w14:textId="77777777" w:rsidR="00897003" w:rsidRDefault="00897003" w:rsidP="00850F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98,5%</w:t>
            </w:r>
          </w:p>
        </w:tc>
        <w:tc>
          <w:tcPr>
            <w:tcW w:w="124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bottom"/>
            <w:hideMark/>
          </w:tcPr>
          <w:p w14:paraId="19F064B2" w14:textId="77777777" w:rsidR="00897003" w:rsidRPr="00C04A47" w:rsidRDefault="00897003" w:rsidP="00850F8E">
            <w:pPr>
              <w:jc w:val="right"/>
              <w:rPr>
                <w:sz w:val="20"/>
                <w:szCs w:val="20"/>
              </w:rPr>
            </w:pPr>
            <w:r w:rsidRPr="00C04A47">
              <w:rPr>
                <w:sz w:val="20"/>
                <w:szCs w:val="20"/>
              </w:rPr>
              <w:t>51 093,2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bottom"/>
            <w:hideMark/>
          </w:tcPr>
          <w:p w14:paraId="3653AF92" w14:textId="77777777" w:rsidR="00897003" w:rsidRPr="00971A49" w:rsidRDefault="00897003" w:rsidP="00850F8E">
            <w:pPr>
              <w:jc w:val="right"/>
              <w:rPr>
                <w:sz w:val="20"/>
                <w:szCs w:val="20"/>
              </w:rPr>
            </w:pPr>
            <w:r w:rsidRPr="00971A49">
              <w:rPr>
                <w:sz w:val="20"/>
                <w:szCs w:val="20"/>
              </w:rPr>
              <w:t>100,0%</w:t>
            </w:r>
          </w:p>
        </w:tc>
        <w:tc>
          <w:tcPr>
            <w:tcW w:w="114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bottom"/>
            <w:hideMark/>
          </w:tcPr>
          <w:p w14:paraId="438342A4" w14:textId="77777777" w:rsidR="00897003" w:rsidRPr="00C04A47" w:rsidRDefault="00897003" w:rsidP="00850F8E">
            <w:pPr>
              <w:jc w:val="right"/>
              <w:rPr>
                <w:sz w:val="20"/>
                <w:szCs w:val="20"/>
              </w:rPr>
            </w:pPr>
            <w:r w:rsidRPr="00C04A47">
              <w:rPr>
                <w:sz w:val="20"/>
                <w:szCs w:val="20"/>
              </w:rPr>
              <w:t>-1 480,9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bottom"/>
            <w:hideMark/>
          </w:tcPr>
          <w:p w14:paraId="1DA055D0" w14:textId="77777777" w:rsidR="00897003" w:rsidRPr="00C04A47" w:rsidRDefault="00897003" w:rsidP="00850F8E">
            <w:pPr>
              <w:jc w:val="right"/>
              <w:rPr>
                <w:sz w:val="20"/>
                <w:szCs w:val="20"/>
              </w:rPr>
            </w:pPr>
            <w:r w:rsidRPr="00C04A47">
              <w:rPr>
                <w:sz w:val="20"/>
                <w:szCs w:val="20"/>
              </w:rPr>
              <w:t>-2,8%</w:t>
            </w:r>
          </w:p>
        </w:tc>
      </w:tr>
    </w:tbl>
    <w:p w14:paraId="0A518A95" w14:textId="77777777" w:rsidR="00EE4466" w:rsidRPr="0070660C" w:rsidRDefault="00897003" w:rsidP="00EE4466">
      <w:pPr>
        <w:ind w:firstLine="680"/>
        <w:jc w:val="both"/>
      </w:pPr>
      <w:r w:rsidRPr="00FB4138">
        <w:t xml:space="preserve">По состоянию на 01.01.2019 государственный долг Волгоградской области </w:t>
      </w:r>
      <w:r w:rsidR="00FB7E14" w:rsidRPr="00FB4138">
        <w:rPr>
          <w:bCs/>
          <w:iCs/>
        </w:rPr>
        <w:t xml:space="preserve">составил </w:t>
      </w:r>
      <w:r w:rsidR="00FB7E14">
        <w:t xml:space="preserve">51 093,2  млн. руб., что ниже </w:t>
      </w:r>
      <w:r w:rsidRPr="00FB4138">
        <w:t xml:space="preserve">верхнего предела долга, установленного Законом об областном бюджете, </w:t>
      </w:r>
      <w:r w:rsidR="00FB7E14">
        <w:t xml:space="preserve">на 2 196,5 млн. рублей. </w:t>
      </w:r>
      <w:r w:rsidRPr="00FB4138">
        <w:rPr>
          <w:bCs/>
          <w:iCs/>
        </w:rPr>
        <w:t xml:space="preserve"> </w:t>
      </w:r>
      <w:r w:rsidRPr="00FB4138">
        <w:t xml:space="preserve">В течение 2018 года долг снизился на </w:t>
      </w:r>
      <w:r>
        <w:t>2 266,0</w:t>
      </w:r>
      <w:r w:rsidRPr="00FB4138">
        <w:t xml:space="preserve"> млн. руб., или на </w:t>
      </w:r>
      <w:r>
        <w:t>4,2</w:t>
      </w:r>
      <w:r w:rsidRPr="00FB4138">
        <w:t xml:space="preserve"> процента.</w:t>
      </w:r>
      <w:r w:rsidR="00EE4466">
        <w:t xml:space="preserve"> К</w:t>
      </w:r>
      <w:r w:rsidR="00AC4F70">
        <w:t>о</w:t>
      </w:r>
      <w:r w:rsidR="00EE4466">
        <w:t>свенный долг, составлявший на 01.01.2018 785,1 млн. руб</w:t>
      </w:r>
      <w:r w:rsidR="00EE4466" w:rsidRPr="00EE4466">
        <w:t>., на 31.12.2018 отсутствует в связи с полным погашением задолженности по кредитам ООО «ТопАгро».</w:t>
      </w:r>
    </w:p>
    <w:p w14:paraId="753E3909" w14:textId="77777777" w:rsidR="00897003" w:rsidRDefault="00897003" w:rsidP="00231F08">
      <w:pPr>
        <w:ind w:firstLine="680"/>
        <w:jc w:val="both"/>
      </w:pPr>
      <w:r w:rsidRPr="00CE5FEB">
        <w:t xml:space="preserve">По отношению </w:t>
      </w:r>
      <w:r>
        <w:t xml:space="preserve">к </w:t>
      </w:r>
      <w:r w:rsidRPr="00CE5FEB">
        <w:t>доходам областного бюджета без учета безвозмездных поступлений государственный долг снизился с 88,9 % до 72,7 процента. По коммерческим заимствованиям отношение к доходам областного бюджета без учета безвозмездных поступлений на начало года составляло 48,6%</w:t>
      </w:r>
      <w:r>
        <w:t>,</w:t>
      </w:r>
      <w:r w:rsidRPr="00CE5FEB">
        <w:t xml:space="preserve"> на конец года -  40,9 процента. </w:t>
      </w:r>
    </w:p>
    <w:p w14:paraId="6F1F1656" w14:textId="77777777" w:rsidR="00897003" w:rsidRPr="001C668B" w:rsidRDefault="00897003" w:rsidP="00231F08">
      <w:pPr>
        <w:ind w:firstLine="680"/>
        <w:jc w:val="both"/>
      </w:pPr>
      <w:r w:rsidRPr="001C668B">
        <w:t xml:space="preserve">Государственный долг не превышает ограничение, установленное статьей 107 БК РФ на уровне 100% утвержденного общего годового объема доходов бюджета без учета утвержденного объема безвозмездных поступлений. Согласно соглашениям на получение </w:t>
      </w:r>
      <w:r w:rsidRPr="00175F52">
        <w:t>Волгоградской областью в 2016-2017 годах бюджетных кредитов, Волгоградская область</w:t>
      </w:r>
      <w:r w:rsidRPr="001C668B">
        <w:t xml:space="preserve"> </w:t>
      </w:r>
      <w:r w:rsidRPr="001C668B">
        <w:lastRenderedPageBreak/>
        <w:t>обязалась обеспечить на 01.01.2019 долю общего объема государственного долга не более 88% суммы доходов областного бюджета без учета безвозмездных поступлений за 2018 год, в том числе общую долю коммерческих заимствований не более 50% доходов областного бюджета без учета безвозмездных поступлений за 2018 год.</w:t>
      </w:r>
      <w:r>
        <w:t xml:space="preserve"> </w:t>
      </w:r>
      <w:r w:rsidR="00EE4466">
        <w:t xml:space="preserve">По состоянию на </w:t>
      </w:r>
      <w:r>
        <w:t>01.01.2019 принятые обязательства Волгоградской областью выполнены.</w:t>
      </w:r>
    </w:p>
    <w:p w14:paraId="16A8DC0D" w14:textId="77777777" w:rsidR="00120FE3" w:rsidRDefault="00120FE3" w:rsidP="002C718E">
      <w:pPr>
        <w:jc w:val="center"/>
        <w:rPr>
          <w:b/>
          <w:i/>
        </w:rPr>
      </w:pPr>
    </w:p>
    <w:p w14:paraId="670EAD78" w14:textId="77777777" w:rsidR="002C718E" w:rsidRPr="00164B2F" w:rsidRDefault="002C718E" w:rsidP="002C718E">
      <w:pPr>
        <w:jc w:val="center"/>
        <w:rPr>
          <w:b/>
          <w:i/>
        </w:rPr>
      </w:pPr>
      <w:r w:rsidRPr="00164B2F">
        <w:rPr>
          <w:b/>
          <w:i/>
        </w:rPr>
        <w:t>Состояние дебиторской и кредиторской задолженностей</w:t>
      </w:r>
    </w:p>
    <w:p w14:paraId="3921D120" w14:textId="77777777" w:rsidR="002C718E" w:rsidRPr="00585963" w:rsidRDefault="002C718E" w:rsidP="002C718E">
      <w:pPr>
        <w:ind w:firstLine="709"/>
        <w:jc w:val="both"/>
      </w:pPr>
      <w:r w:rsidRPr="00585963">
        <w:t>Информация о динамике дебиторской и кредиторской задолженностей по состоянию на начало и  конец 2018 года представлена в таблице.</w:t>
      </w:r>
    </w:p>
    <w:p w14:paraId="61608E1E" w14:textId="77777777" w:rsidR="002C718E" w:rsidRPr="00585963" w:rsidRDefault="002C718E" w:rsidP="002C718E">
      <w:pPr>
        <w:ind w:right="278"/>
        <w:jc w:val="right"/>
        <w:rPr>
          <w:i/>
          <w:sz w:val="20"/>
          <w:szCs w:val="20"/>
        </w:rPr>
      </w:pPr>
      <w:r w:rsidRPr="00585963">
        <w:rPr>
          <w:i/>
          <w:sz w:val="20"/>
          <w:szCs w:val="20"/>
        </w:rPr>
        <w:t>тыс. руб.</w:t>
      </w:r>
    </w:p>
    <w:tbl>
      <w:tblPr>
        <w:tblW w:w="9521" w:type="dxa"/>
        <w:tblInd w:w="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418"/>
        <w:gridCol w:w="1275"/>
        <w:gridCol w:w="1276"/>
        <w:gridCol w:w="1276"/>
        <w:gridCol w:w="1276"/>
      </w:tblGrid>
      <w:tr w:rsidR="002C718E" w:rsidRPr="00CE0BFD" w14:paraId="4C09C899" w14:textId="77777777" w:rsidTr="00320516">
        <w:trPr>
          <w:trHeight w:val="315"/>
        </w:trPr>
        <w:tc>
          <w:tcPr>
            <w:tcW w:w="4418" w:type="dxa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000000" w:fill="EAF1DD"/>
            <w:hideMark/>
          </w:tcPr>
          <w:p w14:paraId="5038F867" w14:textId="77777777" w:rsidR="002C718E" w:rsidRPr="00CE0BFD" w:rsidRDefault="002C718E" w:rsidP="0032051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CE0BFD">
              <w:rPr>
                <w:rFonts w:eastAsia="Times New Roman"/>
                <w:b/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000000" w:fill="EAF1DD"/>
            <w:hideMark/>
          </w:tcPr>
          <w:p w14:paraId="349E69A6" w14:textId="77777777" w:rsidR="002C718E" w:rsidRPr="00CE0BFD" w:rsidRDefault="002C718E" w:rsidP="0032051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E0BFD">
              <w:rPr>
                <w:rFonts w:eastAsia="Times New Roman"/>
                <w:b/>
                <w:bCs/>
                <w:sz w:val="16"/>
                <w:szCs w:val="16"/>
              </w:rPr>
              <w:t>на 01.01.2018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000000" w:fill="EAF1DD"/>
            <w:hideMark/>
          </w:tcPr>
          <w:p w14:paraId="3C47E42A" w14:textId="77777777" w:rsidR="002C718E" w:rsidRPr="00CE0BFD" w:rsidRDefault="002C718E" w:rsidP="0032051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E0BFD">
              <w:rPr>
                <w:rFonts w:eastAsia="Times New Roman"/>
                <w:b/>
                <w:bCs/>
                <w:sz w:val="16"/>
                <w:szCs w:val="16"/>
              </w:rPr>
              <w:t>на 31.12.2018</w:t>
            </w:r>
          </w:p>
        </w:tc>
        <w:tc>
          <w:tcPr>
            <w:tcW w:w="2552" w:type="dxa"/>
            <w:gridSpan w:val="2"/>
            <w:tcBorders>
              <w:top w:val="double" w:sz="4" w:space="0" w:color="auto"/>
              <w:bottom w:val="single" w:sz="6" w:space="0" w:color="auto"/>
            </w:tcBorders>
            <w:shd w:val="clear" w:color="000000" w:fill="EAF1DD"/>
            <w:hideMark/>
          </w:tcPr>
          <w:p w14:paraId="2D08F773" w14:textId="77777777" w:rsidR="002C718E" w:rsidRPr="00CE0BFD" w:rsidRDefault="002C718E" w:rsidP="0032051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CE0BFD">
              <w:rPr>
                <w:rFonts w:eastAsia="Times New Roman"/>
                <w:b/>
                <w:bCs/>
                <w:sz w:val="18"/>
                <w:szCs w:val="18"/>
              </w:rPr>
              <w:t>Отклонение</w:t>
            </w:r>
          </w:p>
        </w:tc>
      </w:tr>
      <w:tr w:rsidR="002C718E" w:rsidRPr="00CE0BFD" w14:paraId="58FBC0E9" w14:textId="77777777" w:rsidTr="00320516">
        <w:trPr>
          <w:trHeight w:val="315"/>
        </w:trPr>
        <w:tc>
          <w:tcPr>
            <w:tcW w:w="4418" w:type="dxa"/>
            <w:vMerge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14:paraId="2E617CE9" w14:textId="77777777" w:rsidR="002C718E" w:rsidRPr="00CE0BFD" w:rsidRDefault="002C718E" w:rsidP="00320516">
            <w:pPr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bottom w:val="double" w:sz="4" w:space="0" w:color="auto"/>
            </w:tcBorders>
            <w:hideMark/>
          </w:tcPr>
          <w:p w14:paraId="6D01BCA0" w14:textId="77777777" w:rsidR="002C718E" w:rsidRPr="00CE0BFD" w:rsidRDefault="002C718E" w:rsidP="0032051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bottom w:val="double" w:sz="4" w:space="0" w:color="auto"/>
            </w:tcBorders>
            <w:hideMark/>
          </w:tcPr>
          <w:p w14:paraId="76AE38FD" w14:textId="77777777" w:rsidR="002C718E" w:rsidRPr="00CE0BFD" w:rsidRDefault="002C718E" w:rsidP="0032051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double" w:sz="4" w:space="0" w:color="auto"/>
            </w:tcBorders>
            <w:shd w:val="clear" w:color="000000" w:fill="EAF1DD"/>
            <w:hideMark/>
          </w:tcPr>
          <w:p w14:paraId="14CD2D49" w14:textId="77777777" w:rsidR="002C718E" w:rsidRPr="00CE0BFD" w:rsidRDefault="002C718E" w:rsidP="0032051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E0BFD">
              <w:rPr>
                <w:rFonts w:eastAsia="Times New Roman"/>
                <w:b/>
                <w:bCs/>
                <w:sz w:val="16"/>
                <w:szCs w:val="16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bottom w:val="double" w:sz="4" w:space="0" w:color="auto"/>
            </w:tcBorders>
            <w:shd w:val="clear" w:color="000000" w:fill="EAF1DD"/>
            <w:hideMark/>
          </w:tcPr>
          <w:p w14:paraId="1E4F083D" w14:textId="77777777" w:rsidR="002C718E" w:rsidRPr="00CE0BFD" w:rsidRDefault="002C718E" w:rsidP="0032051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CE0BFD">
              <w:rPr>
                <w:rFonts w:eastAsia="Times New Roman"/>
                <w:b/>
                <w:bCs/>
                <w:sz w:val="18"/>
                <w:szCs w:val="18"/>
              </w:rPr>
              <w:t>%, раз</w:t>
            </w:r>
          </w:p>
        </w:tc>
      </w:tr>
      <w:tr w:rsidR="002C718E" w:rsidRPr="00CE0BFD" w14:paraId="082CF1CB" w14:textId="77777777" w:rsidTr="00320516">
        <w:trPr>
          <w:trHeight w:val="331"/>
        </w:trPr>
        <w:tc>
          <w:tcPr>
            <w:tcW w:w="4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4D247FB0" w14:textId="77777777" w:rsidR="002C718E" w:rsidRPr="00CE0BFD" w:rsidRDefault="002C718E" w:rsidP="00320516">
            <w:pPr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</w:pPr>
            <w:r w:rsidRPr="00CE0BFD"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Дебиторская задолженность ИТОГО,</w:t>
            </w:r>
            <w:r w:rsidRPr="00CE0BFD">
              <w:rPr>
                <w:rFonts w:eastAsia="Times New Roman"/>
                <w:b/>
                <w:bCs/>
                <w:i/>
                <w:iCs/>
                <w:sz w:val="18"/>
                <w:szCs w:val="18"/>
              </w:rPr>
              <w:t xml:space="preserve"> в том числе: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hideMark/>
          </w:tcPr>
          <w:p w14:paraId="0C436300" w14:textId="77777777" w:rsidR="002C718E" w:rsidRPr="00715B72" w:rsidRDefault="002C718E" w:rsidP="00320516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715B72">
              <w:rPr>
                <w:b/>
                <w:bCs/>
                <w:iCs/>
                <w:sz w:val="18"/>
                <w:szCs w:val="18"/>
              </w:rPr>
              <w:t>3 269,6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hideMark/>
          </w:tcPr>
          <w:p w14:paraId="1039A53C" w14:textId="77777777" w:rsidR="002C718E" w:rsidRPr="00715B72" w:rsidRDefault="002C718E" w:rsidP="00320516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715B72">
              <w:rPr>
                <w:b/>
                <w:bCs/>
                <w:iCs/>
                <w:sz w:val="18"/>
                <w:szCs w:val="18"/>
              </w:rPr>
              <w:t>14 792,3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hideMark/>
          </w:tcPr>
          <w:p w14:paraId="0E84A50C" w14:textId="77777777" w:rsidR="002C718E" w:rsidRPr="00715B72" w:rsidRDefault="002C718E" w:rsidP="00320516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715B72">
              <w:rPr>
                <w:b/>
                <w:bCs/>
                <w:iCs/>
                <w:sz w:val="18"/>
                <w:szCs w:val="18"/>
              </w:rPr>
              <w:t>11 522,7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000000" w:fill="FFFFFF"/>
            <w:hideMark/>
          </w:tcPr>
          <w:p w14:paraId="11BC8452" w14:textId="77777777" w:rsidR="002C718E" w:rsidRPr="00715B72" w:rsidRDefault="002C718E" w:rsidP="00320516">
            <w:pPr>
              <w:ind w:left="-127"/>
              <w:jc w:val="right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в 4,5 раза</w:t>
            </w:r>
          </w:p>
        </w:tc>
      </w:tr>
      <w:tr w:rsidR="002C718E" w:rsidRPr="00CE0BFD" w14:paraId="622318F7" w14:textId="77777777" w:rsidTr="00320516">
        <w:trPr>
          <w:trHeight w:val="154"/>
        </w:trPr>
        <w:tc>
          <w:tcPr>
            <w:tcW w:w="4418" w:type="dxa"/>
            <w:tcBorders>
              <w:top w:val="double" w:sz="4" w:space="0" w:color="auto"/>
            </w:tcBorders>
            <w:shd w:val="clear" w:color="auto" w:fill="auto"/>
            <w:vAlign w:val="bottom"/>
            <w:hideMark/>
          </w:tcPr>
          <w:p w14:paraId="3F44AE78" w14:textId="77777777" w:rsidR="002C718E" w:rsidRPr="00CE0BFD" w:rsidRDefault="002B3597" w:rsidP="002B3597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</w:t>
            </w:r>
            <w:r w:rsidR="002C718E" w:rsidRPr="00CE0BFD">
              <w:rPr>
                <w:rFonts w:eastAsia="Times New Roman"/>
                <w:sz w:val="18"/>
                <w:szCs w:val="18"/>
              </w:rPr>
              <w:t>асчеты по доходам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auto"/>
            <w:hideMark/>
          </w:tcPr>
          <w:p w14:paraId="48E61480" w14:textId="77777777" w:rsidR="002C718E" w:rsidRPr="00715B72" w:rsidRDefault="002C718E" w:rsidP="00320516">
            <w:pPr>
              <w:jc w:val="right"/>
              <w:rPr>
                <w:sz w:val="18"/>
                <w:szCs w:val="18"/>
              </w:rPr>
            </w:pPr>
            <w:r w:rsidRPr="00715B72">
              <w:rPr>
                <w:sz w:val="18"/>
                <w:szCs w:val="18"/>
              </w:rPr>
              <w:t>1 299,5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  <w:hideMark/>
          </w:tcPr>
          <w:p w14:paraId="3DAD4359" w14:textId="77777777" w:rsidR="002C718E" w:rsidRPr="00715B72" w:rsidRDefault="002C718E" w:rsidP="00320516">
            <w:pPr>
              <w:jc w:val="right"/>
              <w:rPr>
                <w:sz w:val="18"/>
                <w:szCs w:val="18"/>
              </w:rPr>
            </w:pPr>
            <w:r w:rsidRPr="00715B72">
              <w:rPr>
                <w:sz w:val="18"/>
                <w:szCs w:val="18"/>
              </w:rPr>
              <w:t>1 402,8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  <w:hideMark/>
          </w:tcPr>
          <w:p w14:paraId="3AFD86CC" w14:textId="77777777" w:rsidR="002C718E" w:rsidRPr="00715B72" w:rsidRDefault="002C718E" w:rsidP="00320516">
            <w:pPr>
              <w:jc w:val="right"/>
              <w:rPr>
                <w:bCs/>
                <w:iCs/>
                <w:sz w:val="18"/>
                <w:szCs w:val="18"/>
              </w:rPr>
            </w:pPr>
            <w:r w:rsidRPr="00715B72">
              <w:rPr>
                <w:bCs/>
                <w:iCs/>
                <w:sz w:val="18"/>
                <w:szCs w:val="18"/>
              </w:rPr>
              <w:t>103,3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000000" w:fill="FFFFFF"/>
            <w:hideMark/>
          </w:tcPr>
          <w:p w14:paraId="2B29154E" w14:textId="77777777" w:rsidR="002C718E" w:rsidRPr="00715B72" w:rsidRDefault="002C718E" w:rsidP="00320516">
            <w:pPr>
              <w:jc w:val="right"/>
              <w:rPr>
                <w:bCs/>
                <w:iCs/>
                <w:sz w:val="18"/>
                <w:szCs w:val="18"/>
              </w:rPr>
            </w:pPr>
            <w:r w:rsidRPr="00715B72">
              <w:rPr>
                <w:bCs/>
                <w:iCs/>
                <w:sz w:val="18"/>
                <w:szCs w:val="18"/>
              </w:rPr>
              <w:t>7,9%</w:t>
            </w:r>
          </w:p>
        </w:tc>
      </w:tr>
      <w:tr w:rsidR="002C718E" w:rsidRPr="00CE0BFD" w14:paraId="509E0A83" w14:textId="77777777" w:rsidTr="00320516">
        <w:trPr>
          <w:trHeight w:val="214"/>
        </w:trPr>
        <w:tc>
          <w:tcPr>
            <w:tcW w:w="4418" w:type="dxa"/>
            <w:shd w:val="clear" w:color="auto" w:fill="auto"/>
            <w:vAlign w:val="bottom"/>
            <w:hideMark/>
          </w:tcPr>
          <w:p w14:paraId="7781AE71" w14:textId="77777777" w:rsidR="002C718E" w:rsidRPr="00CE0BFD" w:rsidRDefault="002C718E" w:rsidP="00320516">
            <w:pPr>
              <w:rPr>
                <w:rFonts w:eastAsia="Times New Roman"/>
                <w:sz w:val="18"/>
                <w:szCs w:val="18"/>
              </w:rPr>
            </w:pPr>
            <w:r w:rsidRPr="00CE0BFD">
              <w:rPr>
                <w:rFonts w:eastAsia="Times New Roman"/>
                <w:sz w:val="18"/>
                <w:szCs w:val="18"/>
              </w:rPr>
              <w:t>расчеты по выданным авансам</w:t>
            </w:r>
          </w:p>
        </w:tc>
        <w:tc>
          <w:tcPr>
            <w:tcW w:w="1275" w:type="dxa"/>
            <w:shd w:val="clear" w:color="auto" w:fill="auto"/>
            <w:hideMark/>
          </w:tcPr>
          <w:p w14:paraId="450E28C6" w14:textId="77777777" w:rsidR="002C718E" w:rsidRPr="00715B72" w:rsidRDefault="002C718E" w:rsidP="00320516">
            <w:pPr>
              <w:jc w:val="right"/>
              <w:rPr>
                <w:sz w:val="18"/>
                <w:szCs w:val="18"/>
              </w:rPr>
            </w:pPr>
            <w:r w:rsidRPr="00715B72">
              <w:rPr>
                <w:sz w:val="18"/>
                <w:szCs w:val="18"/>
              </w:rPr>
              <w:t>46,6</w:t>
            </w:r>
          </w:p>
        </w:tc>
        <w:tc>
          <w:tcPr>
            <w:tcW w:w="1276" w:type="dxa"/>
            <w:shd w:val="clear" w:color="auto" w:fill="auto"/>
            <w:hideMark/>
          </w:tcPr>
          <w:p w14:paraId="4B3F1A5B" w14:textId="77777777" w:rsidR="002C718E" w:rsidRPr="00715B72" w:rsidRDefault="002C718E" w:rsidP="00320516">
            <w:pPr>
              <w:jc w:val="right"/>
              <w:rPr>
                <w:sz w:val="18"/>
                <w:szCs w:val="18"/>
              </w:rPr>
            </w:pPr>
            <w:r w:rsidRPr="00715B72">
              <w:rPr>
                <w:sz w:val="18"/>
                <w:szCs w:val="18"/>
              </w:rPr>
              <w:t>12 883,9</w:t>
            </w:r>
          </w:p>
        </w:tc>
        <w:tc>
          <w:tcPr>
            <w:tcW w:w="1276" w:type="dxa"/>
            <w:shd w:val="clear" w:color="auto" w:fill="auto"/>
            <w:hideMark/>
          </w:tcPr>
          <w:p w14:paraId="4EE2FA83" w14:textId="77777777" w:rsidR="002C718E" w:rsidRPr="00715B72" w:rsidRDefault="002C718E" w:rsidP="00320516">
            <w:pPr>
              <w:jc w:val="right"/>
              <w:rPr>
                <w:bCs/>
                <w:iCs/>
                <w:sz w:val="18"/>
                <w:szCs w:val="18"/>
              </w:rPr>
            </w:pPr>
            <w:r w:rsidRPr="00715B72">
              <w:rPr>
                <w:bCs/>
                <w:iCs/>
                <w:sz w:val="18"/>
                <w:szCs w:val="18"/>
              </w:rPr>
              <w:t>12 837,3</w:t>
            </w:r>
          </w:p>
        </w:tc>
        <w:tc>
          <w:tcPr>
            <w:tcW w:w="1276" w:type="dxa"/>
            <w:shd w:val="clear" w:color="000000" w:fill="FFFFFF"/>
            <w:hideMark/>
          </w:tcPr>
          <w:p w14:paraId="74B14B2E" w14:textId="77777777" w:rsidR="002C718E" w:rsidRPr="00715B72" w:rsidRDefault="002C718E" w:rsidP="00320516">
            <w:pPr>
              <w:jc w:val="right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в 276,5 раза</w:t>
            </w:r>
          </w:p>
        </w:tc>
      </w:tr>
      <w:tr w:rsidR="002C718E" w:rsidRPr="00CE0BFD" w14:paraId="2C8A35BD" w14:textId="77777777" w:rsidTr="00320516">
        <w:trPr>
          <w:trHeight w:val="133"/>
        </w:trPr>
        <w:tc>
          <w:tcPr>
            <w:tcW w:w="4418" w:type="dxa"/>
            <w:shd w:val="clear" w:color="auto" w:fill="auto"/>
            <w:vAlign w:val="bottom"/>
            <w:hideMark/>
          </w:tcPr>
          <w:p w14:paraId="5A062585" w14:textId="77777777" w:rsidR="002C718E" w:rsidRPr="00CE0BFD" w:rsidRDefault="002C718E" w:rsidP="00320516">
            <w:pPr>
              <w:rPr>
                <w:rFonts w:eastAsia="Times New Roman"/>
                <w:sz w:val="18"/>
                <w:szCs w:val="18"/>
              </w:rPr>
            </w:pPr>
            <w:r w:rsidRPr="00CE0BFD">
              <w:rPr>
                <w:rFonts w:eastAsia="Times New Roman"/>
                <w:sz w:val="18"/>
                <w:szCs w:val="18"/>
              </w:rPr>
              <w:t>расчеты с подотчетными лицами</w:t>
            </w:r>
          </w:p>
        </w:tc>
        <w:tc>
          <w:tcPr>
            <w:tcW w:w="1275" w:type="dxa"/>
            <w:shd w:val="clear" w:color="auto" w:fill="auto"/>
            <w:hideMark/>
          </w:tcPr>
          <w:p w14:paraId="38DA48AB" w14:textId="77777777" w:rsidR="002C718E" w:rsidRPr="00715B72" w:rsidRDefault="002C718E" w:rsidP="00320516">
            <w:pPr>
              <w:jc w:val="right"/>
              <w:rPr>
                <w:sz w:val="18"/>
                <w:szCs w:val="18"/>
              </w:rPr>
            </w:pPr>
            <w:r w:rsidRPr="00715B72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29228A6F" w14:textId="77777777" w:rsidR="002C718E" w:rsidRPr="00715B72" w:rsidRDefault="002C718E" w:rsidP="00320516">
            <w:pPr>
              <w:jc w:val="right"/>
              <w:rPr>
                <w:sz w:val="18"/>
                <w:szCs w:val="18"/>
              </w:rPr>
            </w:pPr>
            <w:r w:rsidRPr="00715B72">
              <w:rPr>
                <w:sz w:val="18"/>
                <w:szCs w:val="18"/>
              </w:rPr>
              <w:t>33,3</w:t>
            </w:r>
          </w:p>
        </w:tc>
        <w:tc>
          <w:tcPr>
            <w:tcW w:w="1276" w:type="dxa"/>
            <w:shd w:val="clear" w:color="auto" w:fill="auto"/>
            <w:hideMark/>
          </w:tcPr>
          <w:p w14:paraId="2D2594A6" w14:textId="77777777" w:rsidR="002C718E" w:rsidRPr="00715B72" w:rsidRDefault="002C718E" w:rsidP="00320516">
            <w:pPr>
              <w:jc w:val="right"/>
              <w:rPr>
                <w:bCs/>
                <w:iCs/>
                <w:sz w:val="18"/>
                <w:szCs w:val="18"/>
              </w:rPr>
            </w:pPr>
            <w:r w:rsidRPr="00715B72">
              <w:rPr>
                <w:bCs/>
                <w:iCs/>
                <w:sz w:val="18"/>
                <w:szCs w:val="18"/>
              </w:rPr>
              <w:t>33,3</w:t>
            </w:r>
          </w:p>
        </w:tc>
        <w:tc>
          <w:tcPr>
            <w:tcW w:w="1276" w:type="dxa"/>
            <w:shd w:val="clear" w:color="000000" w:fill="FFFFFF"/>
            <w:hideMark/>
          </w:tcPr>
          <w:p w14:paraId="15C4735B" w14:textId="77777777" w:rsidR="002C718E" w:rsidRPr="00715B72" w:rsidRDefault="002C718E" w:rsidP="00320516">
            <w:pPr>
              <w:jc w:val="right"/>
              <w:rPr>
                <w:bCs/>
                <w:iCs/>
                <w:sz w:val="18"/>
                <w:szCs w:val="18"/>
              </w:rPr>
            </w:pPr>
            <w:r w:rsidRPr="00715B72">
              <w:rPr>
                <w:bCs/>
                <w:iCs/>
                <w:sz w:val="18"/>
                <w:szCs w:val="18"/>
              </w:rPr>
              <w:t>100,0%</w:t>
            </w:r>
          </w:p>
        </w:tc>
      </w:tr>
      <w:tr w:rsidR="002C718E" w:rsidRPr="00CE0BFD" w14:paraId="0CAAAC84" w14:textId="77777777" w:rsidTr="00320516">
        <w:trPr>
          <w:trHeight w:val="179"/>
        </w:trPr>
        <w:tc>
          <w:tcPr>
            <w:tcW w:w="4418" w:type="dxa"/>
            <w:shd w:val="clear" w:color="auto" w:fill="auto"/>
            <w:vAlign w:val="bottom"/>
            <w:hideMark/>
          </w:tcPr>
          <w:p w14:paraId="4D3C58AB" w14:textId="77777777" w:rsidR="002C718E" w:rsidRPr="00CE0BFD" w:rsidRDefault="002C718E" w:rsidP="00320516">
            <w:pPr>
              <w:rPr>
                <w:rFonts w:eastAsia="Times New Roman"/>
                <w:sz w:val="18"/>
                <w:szCs w:val="18"/>
              </w:rPr>
            </w:pPr>
            <w:r w:rsidRPr="00CE0BFD">
              <w:rPr>
                <w:rFonts w:eastAsia="Times New Roman"/>
                <w:sz w:val="18"/>
                <w:szCs w:val="18"/>
              </w:rPr>
              <w:t>расчеты по ущербу и иным доходам</w:t>
            </w:r>
          </w:p>
        </w:tc>
        <w:tc>
          <w:tcPr>
            <w:tcW w:w="1275" w:type="dxa"/>
            <w:shd w:val="clear" w:color="auto" w:fill="auto"/>
            <w:hideMark/>
          </w:tcPr>
          <w:p w14:paraId="1F227D20" w14:textId="77777777" w:rsidR="002C718E" w:rsidRPr="00715B72" w:rsidRDefault="002C718E" w:rsidP="00320516">
            <w:pPr>
              <w:jc w:val="right"/>
              <w:rPr>
                <w:sz w:val="18"/>
                <w:szCs w:val="18"/>
              </w:rPr>
            </w:pPr>
            <w:r w:rsidRPr="00715B72">
              <w:rPr>
                <w:sz w:val="18"/>
                <w:szCs w:val="18"/>
              </w:rPr>
              <w:t>1 669,8</w:t>
            </w:r>
          </w:p>
        </w:tc>
        <w:tc>
          <w:tcPr>
            <w:tcW w:w="1276" w:type="dxa"/>
            <w:shd w:val="clear" w:color="auto" w:fill="auto"/>
            <w:hideMark/>
          </w:tcPr>
          <w:p w14:paraId="092708C6" w14:textId="77777777" w:rsidR="002C718E" w:rsidRPr="00715B72" w:rsidRDefault="002C718E" w:rsidP="00320516">
            <w:pPr>
              <w:jc w:val="right"/>
              <w:rPr>
                <w:sz w:val="18"/>
                <w:szCs w:val="18"/>
              </w:rPr>
            </w:pPr>
            <w:r w:rsidRPr="00715B72">
              <w:rPr>
                <w:sz w:val="18"/>
                <w:szCs w:val="18"/>
              </w:rPr>
              <w:t>260,3</w:t>
            </w:r>
          </w:p>
        </w:tc>
        <w:tc>
          <w:tcPr>
            <w:tcW w:w="1276" w:type="dxa"/>
            <w:shd w:val="clear" w:color="auto" w:fill="auto"/>
            <w:hideMark/>
          </w:tcPr>
          <w:p w14:paraId="398846BB" w14:textId="77777777" w:rsidR="002C718E" w:rsidRPr="00715B72" w:rsidRDefault="002C718E" w:rsidP="00320516">
            <w:pPr>
              <w:jc w:val="right"/>
              <w:rPr>
                <w:bCs/>
                <w:iCs/>
                <w:sz w:val="18"/>
                <w:szCs w:val="18"/>
              </w:rPr>
            </w:pPr>
            <w:r w:rsidRPr="00715B72">
              <w:rPr>
                <w:bCs/>
                <w:iCs/>
                <w:sz w:val="18"/>
                <w:szCs w:val="18"/>
              </w:rPr>
              <w:t>-1 409,5</w:t>
            </w:r>
          </w:p>
        </w:tc>
        <w:tc>
          <w:tcPr>
            <w:tcW w:w="1276" w:type="dxa"/>
            <w:shd w:val="clear" w:color="000000" w:fill="FFFFFF"/>
            <w:hideMark/>
          </w:tcPr>
          <w:p w14:paraId="3C0E539E" w14:textId="77777777" w:rsidR="002C718E" w:rsidRPr="00715B72" w:rsidRDefault="002C718E" w:rsidP="00320516">
            <w:pPr>
              <w:jc w:val="right"/>
              <w:rPr>
                <w:bCs/>
                <w:iCs/>
                <w:sz w:val="18"/>
                <w:szCs w:val="18"/>
              </w:rPr>
            </w:pPr>
            <w:r w:rsidRPr="00715B72">
              <w:rPr>
                <w:bCs/>
                <w:iCs/>
                <w:sz w:val="18"/>
                <w:szCs w:val="18"/>
              </w:rPr>
              <w:t>-84,4%</w:t>
            </w:r>
          </w:p>
        </w:tc>
      </w:tr>
      <w:tr w:rsidR="002C718E" w:rsidRPr="00CE0BFD" w14:paraId="28E358A7" w14:textId="77777777" w:rsidTr="00320516">
        <w:trPr>
          <w:trHeight w:val="111"/>
        </w:trPr>
        <w:tc>
          <w:tcPr>
            <w:tcW w:w="4418" w:type="dxa"/>
            <w:tcBorders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0AA90ECF" w14:textId="77777777" w:rsidR="002C718E" w:rsidRPr="00CE0BFD" w:rsidRDefault="002C718E" w:rsidP="00320516">
            <w:pPr>
              <w:rPr>
                <w:rFonts w:eastAsia="Times New Roman"/>
                <w:sz w:val="18"/>
                <w:szCs w:val="18"/>
              </w:rPr>
            </w:pPr>
            <w:r w:rsidRPr="00CE0BFD">
              <w:rPr>
                <w:rFonts w:eastAsia="Times New Roman"/>
                <w:sz w:val="18"/>
                <w:szCs w:val="18"/>
              </w:rPr>
              <w:t>расчеты по платежам в бюджеты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  <w:hideMark/>
          </w:tcPr>
          <w:p w14:paraId="12A9E049" w14:textId="77777777" w:rsidR="002C718E" w:rsidRPr="00715B72" w:rsidRDefault="002C718E" w:rsidP="00320516">
            <w:pPr>
              <w:jc w:val="right"/>
              <w:rPr>
                <w:sz w:val="18"/>
                <w:szCs w:val="18"/>
              </w:rPr>
            </w:pPr>
            <w:r w:rsidRPr="00715B72">
              <w:rPr>
                <w:sz w:val="18"/>
                <w:szCs w:val="18"/>
              </w:rPr>
              <w:t>253,7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  <w:hideMark/>
          </w:tcPr>
          <w:p w14:paraId="1A0E1621" w14:textId="77777777" w:rsidR="002C718E" w:rsidRPr="00715B72" w:rsidRDefault="002C718E" w:rsidP="00320516">
            <w:pPr>
              <w:jc w:val="right"/>
              <w:rPr>
                <w:sz w:val="18"/>
                <w:szCs w:val="18"/>
              </w:rPr>
            </w:pPr>
            <w:r w:rsidRPr="00715B72">
              <w:rPr>
                <w:sz w:val="18"/>
                <w:szCs w:val="18"/>
              </w:rPr>
              <w:t>212,0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  <w:hideMark/>
          </w:tcPr>
          <w:p w14:paraId="2973C003" w14:textId="77777777" w:rsidR="002C718E" w:rsidRPr="00715B72" w:rsidRDefault="002C718E" w:rsidP="00320516">
            <w:pPr>
              <w:jc w:val="right"/>
              <w:rPr>
                <w:bCs/>
                <w:iCs/>
                <w:sz w:val="18"/>
                <w:szCs w:val="18"/>
              </w:rPr>
            </w:pPr>
            <w:r w:rsidRPr="00715B72">
              <w:rPr>
                <w:bCs/>
                <w:iCs/>
                <w:sz w:val="18"/>
                <w:szCs w:val="18"/>
              </w:rPr>
              <w:t>-41,7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000000" w:fill="FFFFFF"/>
            <w:hideMark/>
          </w:tcPr>
          <w:p w14:paraId="589A0CA1" w14:textId="77777777" w:rsidR="002C718E" w:rsidRPr="00715B72" w:rsidRDefault="002C718E" w:rsidP="00320516">
            <w:pPr>
              <w:jc w:val="right"/>
              <w:rPr>
                <w:bCs/>
                <w:iCs/>
                <w:sz w:val="18"/>
                <w:szCs w:val="18"/>
              </w:rPr>
            </w:pPr>
            <w:r w:rsidRPr="00715B72">
              <w:rPr>
                <w:bCs/>
                <w:iCs/>
                <w:sz w:val="18"/>
                <w:szCs w:val="18"/>
              </w:rPr>
              <w:t>-16,4%</w:t>
            </w:r>
          </w:p>
        </w:tc>
      </w:tr>
      <w:tr w:rsidR="002C718E" w:rsidRPr="001C47E0" w14:paraId="1151FB3D" w14:textId="77777777" w:rsidTr="00320516">
        <w:trPr>
          <w:trHeight w:val="297"/>
        </w:trPr>
        <w:tc>
          <w:tcPr>
            <w:tcW w:w="4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34CCC22E" w14:textId="77777777" w:rsidR="002C718E" w:rsidRPr="001C47E0" w:rsidRDefault="002C718E" w:rsidP="00320516">
            <w:pPr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</w:pPr>
            <w:r w:rsidRPr="001C47E0"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 xml:space="preserve">Кредиторская задолженность ИТОГО, в </w:t>
            </w:r>
            <w:r w:rsidRPr="001C47E0">
              <w:rPr>
                <w:rFonts w:eastAsia="Times New Roman"/>
                <w:b/>
                <w:bCs/>
                <w:i/>
                <w:iCs/>
                <w:sz w:val="18"/>
                <w:szCs w:val="18"/>
              </w:rPr>
              <w:t>том числе: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hideMark/>
          </w:tcPr>
          <w:p w14:paraId="2E422B70" w14:textId="77777777" w:rsidR="002C718E" w:rsidRPr="001C47E0" w:rsidRDefault="002C718E" w:rsidP="00320516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1C47E0">
              <w:rPr>
                <w:b/>
                <w:bCs/>
                <w:iCs/>
                <w:sz w:val="18"/>
                <w:szCs w:val="18"/>
              </w:rPr>
              <w:t>2 303 476,8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hideMark/>
          </w:tcPr>
          <w:p w14:paraId="3B894187" w14:textId="77777777" w:rsidR="002C718E" w:rsidRPr="001C47E0" w:rsidRDefault="002C718E" w:rsidP="00320516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1C47E0">
              <w:rPr>
                <w:b/>
                <w:bCs/>
                <w:iCs/>
                <w:sz w:val="18"/>
                <w:szCs w:val="18"/>
              </w:rPr>
              <w:t>807  077,8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hideMark/>
          </w:tcPr>
          <w:p w14:paraId="1BA3A9B8" w14:textId="77777777" w:rsidR="002C718E" w:rsidRPr="001C47E0" w:rsidRDefault="002C718E" w:rsidP="00320516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1C47E0">
              <w:rPr>
                <w:b/>
                <w:bCs/>
                <w:iCs/>
                <w:sz w:val="18"/>
                <w:szCs w:val="18"/>
              </w:rPr>
              <w:t>-1 496 399,0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000000" w:fill="FFFFFF"/>
            <w:hideMark/>
          </w:tcPr>
          <w:p w14:paraId="70B2AADE" w14:textId="77777777" w:rsidR="002C718E" w:rsidRPr="001C47E0" w:rsidRDefault="002C718E" w:rsidP="00320516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1C47E0">
              <w:rPr>
                <w:b/>
                <w:bCs/>
                <w:iCs/>
                <w:sz w:val="18"/>
                <w:szCs w:val="18"/>
              </w:rPr>
              <w:t>-65,0%</w:t>
            </w:r>
          </w:p>
        </w:tc>
      </w:tr>
      <w:tr w:rsidR="002C718E" w:rsidRPr="001C47E0" w14:paraId="44187BAB" w14:textId="77777777" w:rsidTr="00320516">
        <w:trPr>
          <w:trHeight w:val="248"/>
        </w:trPr>
        <w:tc>
          <w:tcPr>
            <w:tcW w:w="4418" w:type="dxa"/>
            <w:tcBorders>
              <w:top w:val="double" w:sz="4" w:space="0" w:color="auto"/>
            </w:tcBorders>
            <w:shd w:val="clear" w:color="auto" w:fill="auto"/>
            <w:vAlign w:val="bottom"/>
            <w:hideMark/>
          </w:tcPr>
          <w:p w14:paraId="11201EEA" w14:textId="77777777" w:rsidR="002C718E" w:rsidRPr="001C47E0" w:rsidRDefault="002C718E" w:rsidP="00320516">
            <w:pPr>
              <w:rPr>
                <w:rFonts w:eastAsia="Times New Roman"/>
                <w:sz w:val="18"/>
                <w:szCs w:val="18"/>
              </w:rPr>
            </w:pPr>
            <w:r w:rsidRPr="001C47E0">
              <w:rPr>
                <w:rFonts w:eastAsia="Times New Roman"/>
                <w:sz w:val="18"/>
                <w:szCs w:val="18"/>
              </w:rPr>
              <w:t>расчеты по принятым обязательствам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auto"/>
            <w:hideMark/>
          </w:tcPr>
          <w:p w14:paraId="184EC2FD" w14:textId="77777777" w:rsidR="002C718E" w:rsidRPr="001C47E0" w:rsidRDefault="002C718E" w:rsidP="00320516">
            <w:pPr>
              <w:jc w:val="right"/>
              <w:rPr>
                <w:sz w:val="18"/>
                <w:szCs w:val="18"/>
              </w:rPr>
            </w:pPr>
            <w:r w:rsidRPr="001C47E0">
              <w:rPr>
                <w:sz w:val="18"/>
                <w:szCs w:val="18"/>
              </w:rPr>
              <w:t>2 303 450,3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  <w:hideMark/>
          </w:tcPr>
          <w:p w14:paraId="209B1E6E" w14:textId="77777777" w:rsidR="002C718E" w:rsidRPr="001C47E0" w:rsidRDefault="002C718E" w:rsidP="00320516">
            <w:pPr>
              <w:jc w:val="right"/>
              <w:rPr>
                <w:sz w:val="18"/>
                <w:szCs w:val="18"/>
              </w:rPr>
            </w:pPr>
            <w:r w:rsidRPr="001C47E0">
              <w:rPr>
                <w:sz w:val="18"/>
                <w:szCs w:val="18"/>
              </w:rPr>
              <w:t>807 038,2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  <w:hideMark/>
          </w:tcPr>
          <w:p w14:paraId="79EB367A" w14:textId="77777777" w:rsidR="002C718E" w:rsidRPr="001C47E0" w:rsidRDefault="002C718E" w:rsidP="00320516">
            <w:pPr>
              <w:jc w:val="right"/>
              <w:rPr>
                <w:bCs/>
                <w:iCs/>
                <w:sz w:val="18"/>
                <w:szCs w:val="18"/>
              </w:rPr>
            </w:pPr>
            <w:r w:rsidRPr="001C47E0">
              <w:rPr>
                <w:bCs/>
                <w:iCs/>
                <w:sz w:val="18"/>
                <w:szCs w:val="18"/>
              </w:rPr>
              <w:t>-1 496 412,1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000000" w:fill="FFFFFF"/>
            <w:hideMark/>
          </w:tcPr>
          <w:p w14:paraId="4F95E253" w14:textId="77777777" w:rsidR="002C718E" w:rsidRPr="001C47E0" w:rsidRDefault="002C718E" w:rsidP="00320516">
            <w:pPr>
              <w:jc w:val="right"/>
              <w:rPr>
                <w:bCs/>
                <w:iCs/>
                <w:sz w:val="18"/>
                <w:szCs w:val="18"/>
              </w:rPr>
            </w:pPr>
            <w:r w:rsidRPr="001C47E0">
              <w:rPr>
                <w:bCs/>
                <w:iCs/>
                <w:sz w:val="18"/>
                <w:szCs w:val="18"/>
              </w:rPr>
              <w:t>-65,0%</w:t>
            </w:r>
          </w:p>
        </w:tc>
      </w:tr>
      <w:tr w:rsidR="002C718E" w:rsidRPr="001C47E0" w14:paraId="5D9916F3" w14:textId="77777777" w:rsidTr="00320516">
        <w:trPr>
          <w:trHeight w:val="124"/>
        </w:trPr>
        <w:tc>
          <w:tcPr>
            <w:tcW w:w="4418" w:type="dxa"/>
            <w:shd w:val="clear" w:color="auto" w:fill="auto"/>
            <w:vAlign w:val="bottom"/>
            <w:hideMark/>
          </w:tcPr>
          <w:p w14:paraId="7A4D3013" w14:textId="77777777" w:rsidR="002C718E" w:rsidRPr="001C47E0" w:rsidRDefault="002C718E" w:rsidP="00320516">
            <w:pPr>
              <w:rPr>
                <w:rFonts w:eastAsia="Times New Roman"/>
                <w:sz w:val="18"/>
                <w:szCs w:val="18"/>
              </w:rPr>
            </w:pPr>
            <w:r w:rsidRPr="001C47E0">
              <w:rPr>
                <w:rFonts w:eastAsia="Times New Roman"/>
                <w:sz w:val="18"/>
                <w:szCs w:val="18"/>
              </w:rPr>
              <w:t>расчеты по доходам</w:t>
            </w:r>
          </w:p>
        </w:tc>
        <w:tc>
          <w:tcPr>
            <w:tcW w:w="1275" w:type="dxa"/>
            <w:shd w:val="clear" w:color="auto" w:fill="auto"/>
            <w:hideMark/>
          </w:tcPr>
          <w:p w14:paraId="7E3A4AC0" w14:textId="77777777" w:rsidR="002C718E" w:rsidRPr="001C47E0" w:rsidRDefault="002C718E" w:rsidP="00320516">
            <w:pPr>
              <w:jc w:val="right"/>
              <w:rPr>
                <w:sz w:val="18"/>
                <w:szCs w:val="18"/>
              </w:rPr>
            </w:pPr>
            <w:r w:rsidRPr="001C47E0">
              <w:rPr>
                <w:sz w:val="18"/>
                <w:szCs w:val="18"/>
              </w:rPr>
              <w:t>26,5</w:t>
            </w:r>
          </w:p>
        </w:tc>
        <w:tc>
          <w:tcPr>
            <w:tcW w:w="1276" w:type="dxa"/>
            <w:shd w:val="clear" w:color="auto" w:fill="auto"/>
            <w:hideMark/>
          </w:tcPr>
          <w:p w14:paraId="1D529FB6" w14:textId="77777777" w:rsidR="002C718E" w:rsidRPr="001C47E0" w:rsidRDefault="002C718E" w:rsidP="00320516">
            <w:pPr>
              <w:jc w:val="right"/>
              <w:rPr>
                <w:sz w:val="18"/>
                <w:szCs w:val="18"/>
              </w:rPr>
            </w:pPr>
            <w:r w:rsidRPr="001C47E0">
              <w:rPr>
                <w:sz w:val="18"/>
                <w:szCs w:val="18"/>
              </w:rPr>
              <w:t>39,6</w:t>
            </w:r>
          </w:p>
        </w:tc>
        <w:tc>
          <w:tcPr>
            <w:tcW w:w="1276" w:type="dxa"/>
            <w:shd w:val="clear" w:color="auto" w:fill="auto"/>
            <w:hideMark/>
          </w:tcPr>
          <w:p w14:paraId="05C5DB9E" w14:textId="77777777" w:rsidR="002C718E" w:rsidRPr="001C47E0" w:rsidRDefault="002C718E" w:rsidP="00320516">
            <w:pPr>
              <w:jc w:val="right"/>
              <w:rPr>
                <w:bCs/>
                <w:iCs/>
                <w:sz w:val="18"/>
                <w:szCs w:val="18"/>
              </w:rPr>
            </w:pPr>
            <w:r w:rsidRPr="001C47E0">
              <w:rPr>
                <w:bCs/>
                <w:iCs/>
                <w:sz w:val="18"/>
                <w:szCs w:val="18"/>
              </w:rPr>
              <w:t>13,1</w:t>
            </w:r>
          </w:p>
        </w:tc>
        <w:tc>
          <w:tcPr>
            <w:tcW w:w="1276" w:type="dxa"/>
            <w:shd w:val="clear" w:color="000000" w:fill="FFFFFF"/>
            <w:hideMark/>
          </w:tcPr>
          <w:p w14:paraId="1286EF5A" w14:textId="77777777" w:rsidR="002C718E" w:rsidRPr="001C47E0" w:rsidRDefault="002C718E" w:rsidP="00320516">
            <w:pPr>
              <w:jc w:val="right"/>
              <w:rPr>
                <w:bCs/>
                <w:iCs/>
                <w:sz w:val="18"/>
                <w:szCs w:val="18"/>
              </w:rPr>
            </w:pPr>
            <w:r w:rsidRPr="001C47E0">
              <w:rPr>
                <w:bCs/>
                <w:iCs/>
                <w:sz w:val="18"/>
                <w:szCs w:val="18"/>
              </w:rPr>
              <w:t>49,4%</w:t>
            </w:r>
          </w:p>
        </w:tc>
      </w:tr>
    </w:tbl>
    <w:p w14:paraId="55125E83" w14:textId="77777777" w:rsidR="002C718E" w:rsidRPr="00585963" w:rsidRDefault="002C718E" w:rsidP="002C718E">
      <w:pPr>
        <w:ind w:firstLine="720"/>
        <w:jc w:val="both"/>
        <w:rPr>
          <w:i/>
          <w:u w:val="single"/>
        </w:rPr>
      </w:pPr>
      <w:r w:rsidRPr="00585963">
        <w:rPr>
          <w:i/>
          <w:u w:val="single"/>
        </w:rPr>
        <w:t>Состояние дебиторской задолженности</w:t>
      </w:r>
    </w:p>
    <w:p w14:paraId="3CC0B98E" w14:textId="77777777" w:rsidR="002C718E" w:rsidRPr="00512801" w:rsidRDefault="002C718E" w:rsidP="002B3597">
      <w:pPr>
        <w:autoSpaceDE w:val="0"/>
        <w:autoSpaceDN w:val="0"/>
        <w:adjustRightInd w:val="0"/>
        <w:ind w:firstLine="680"/>
        <w:jc w:val="both"/>
      </w:pPr>
      <w:r w:rsidRPr="00512801">
        <w:t>В целом дебиторская задолженность увеличилась по сравнению с прошлым годом  на 11 522,7 тыс. руб. тыс. руб.</w:t>
      </w:r>
      <w:r>
        <w:t xml:space="preserve"> (</w:t>
      </w:r>
      <w:r w:rsidRPr="00512801">
        <w:t>в 4,5 раза</w:t>
      </w:r>
      <w:r>
        <w:t>)</w:t>
      </w:r>
      <w:r w:rsidRPr="00512801">
        <w:t xml:space="preserve"> и составила на 31.12.2018 -  14</w:t>
      </w:r>
      <w:r w:rsidR="002B3597">
        <w:t> </w:t>
      </w:r>
      <w:r w:rsidRPr="00512801">
        <w:t>792,3 тыс. рублей.</w:t>
      </w:r>
    </w:p>
    <w:p w14:paraId="489B60FD" w14:textId="77777777" w:rsidR="002C718E" w:rsidRPr="001167BE" w:rsidRDefault="002C718E" w:rsidP="002B3597">
      <w:pPr>
        <w:ind w:firstLine="680"/>
        <w:jc w:val="both"/>
        <w:rPr>
          <w:rFonts w:eastAsia="Times New Roman"/>
        </w:rPr>
      </w:pPr>
      <w:r w:rsidRPr="00512801">
        <w:t>Основная сумма задолженности (</w:t>
      </w:r>
      <w:r w:rsidR="002B3597">
        <w:t>87,1</w:t>
      </w:r>
      <w:r w:rsidRPr="00512801">
        <w:t>%) приходится на</w:t>
      </w:r>
      <w:r w:rsidRPr="001167BE">
        <w:t xml:space="preserve"> расчеты по выданны</w:t>
      </w:r>
      <w:r w:rsidR="002B3597">
        <w:t xml:space="preserve">м авансам - </w:t>
      </w:r>
      <w:r w:rsidRPr="001167BE">
        <w:t>задолженность муниципальных образований по неиспользованным межбюджетным трансфертам, подлежащим возврату в областной бюджет</w:t>
      </w:r>
      <w:r w:rsidR="002B3597">
        <w:t>,</w:t>
      </w:r>
      <w:r w:rsidRPr="001167BE">
        <w:t xml:space="preserve"> - 12 828,6 тыс. руб.</w:t>
      </w:r>
      <w:r w:rsidR="002B3597">
        <w:t xml:space="preserve"> и</w:t>
      </w:r>
      <w:r w:rsidRPr="001167BE">
        <w:t xml:space="preserve"> задолженность по авансам за услуги связи </w:t>
      </w:r>
      <w:r w:rsidR="004B359E">
        <w:t>-</w:t>
      </w:r>
      <w:r w:rsidRPr="001167BE">
        <w:t xml:space="preserve"> 55,3 тыс. руб</w:t>
      </w:r>
      <w:r w:rsidR="002B3597">
        <w:t>лей.</w:t>
      </w:r>
      <w:r w:rsidRPr="001167BE">
        <w:rPr>
          <w:rFonts w:eastAsia="Times New Roman"/>
        </w:rPr>
        <w:t xml:space="preserve"> </w:t>
      </w:r>
      <w:r w:rsidRPr="00EF2EEF">
        <w:rPr>
          <w:rFonts w:eastAsia="Times New Roman"/>
        </w:rPr>
        <w:t xml:space="preserve">Основная часть задолженности по межбюджетным трансфертам сложилась по г. Волгограду </w:t>
      </w:r>
      <w:r w:rsidR="004B359E">
        <w:rPr>
          <w:rFonts w:eastAsia="Times New Roman"/>
        </w:rPr>
        <w:t>-</w:t>
      </w:r>
      <w:r w:rsidRPr="00EF2EEF">
        <w:rPr>
          <w:rFonts w:eastAsia="Times New Roman"/>
        </w:rPr>
        <w:t xml:space="preserve"> 12 426,9 тыс. руб., в т. ч. по иным</w:t>
      </w:r>
      <w:r w:rsidRPr="00EF2EEF">
        <w:t xml:space="preserve"> межбюджетным трансфертам из резервного фонда Администрации Волгоградской области для покрытия расходов на проведение работ по ликвидации последствий ливня в г.Волгограде </w:t>
      </w:r>
      <w:r w:rsidR="00EF2EEF">
        <w:t>-</w:t>
      </w:r>
      <w:r w:rsidRPr="00EF2EEF">
        <w:t xml:space="preserve"> 12 402,1 тыс. рублей.</w:t>
      </w:r>
      <w:r w:rsidRPr="001167BE">
        <w:rPr>
          <w:rFonts w:eastAsia="Times New Roman"/>
        </w:rPr>
        <w:t xml:space="preserve"> </w:t>
      </w:r>
    </w:p>
    <w:p w14:paraId="0BE4B30A" w14:textId="77777777" w:rsidR="002C718E" w:rsidRPr="001C47E0" w:rsidRDefault="002C718E" w:rsidP="002B3597">
      <w:pPr>
        <w:ind w:firstLine="680"/>
        <w:jc w:val="both"/>
        <w:rPr>
          <w:i/>
          <w:u w:val="single"/>
        </w:rPr>
      </w:pPr>
      <w:r w:rsidRPr="001C47E0">
        <w:rPr>
          <w:i/>
          <w:u w:val="single"/>
        </w:rPr>
        <w:t>Состояние кредиторской задолженности</w:t>
      </w:r>
    </w:p>
    <w:p w14:paraId="5FB5340A" w14:textId="77777777" w:rsidR="002C718E" w:rsidRPr="001C47E0" w:rsidRDefault="002C718E" w:rsidP="002B3597">
      <w:pPr>
        <w:autoSpaceDE w:val="0"/>
        <w:autoSpaceDN w:val="0"/>
        <w:adjustRightInd w:val="0"/>
        <w:ind w:firstLine="680"/>
        <w:jc w:val="both"/>
      </w:pPr>
      <w:r w:rsidRPr="00FB4138">
        <w:t>В целом кредиторская задолженность снизилась к уровню прошлого года на 1 496 399,0 тыс. руб. (в 2,9 раза) и составила 807 077,8 тыс. рублей.</w:t>
      </w:r>
    </w:p>
    <w:p w14:paraId="459A4052" w14:textId="77777777" w:rsidR="002C718E" w:rsidRDefault="002C718E" w:rsidP="00435AB0">
      <w:pPr>
        <w:autoSpaceDE w:val="0"/>
        <w:autoSpaceDN w:val="0"/>
        <w:adjustRightInd w:val="0"/>
        <w:ind w:firstLine="680"/>
        <w:jc w:val="both"/>
      </w:pPr>
      <w:r w:rsidRPr="001C47E0">
        <w:t xml:space="preserve">Основная сумма долга (99,8%) на 01.01.2018 числилась перед бюджетными и автономными учреждениями за счет </w:t>
      </w:r>
      <w:r w:rsidRPr="001C47E0">
        <w:rPr>
          <w:rFonts w:eastAsia="Times New Roman"/>
        </w:rPr>
        <w:t xml:space="preserve">привлечения остатков средств государственных учреждений Волгоградской области со счета № 40601 «Средства организаций, находящихся в государственной (кроме федеральной) собственности. Финансовые организации» Управления Федерального казначейства по Волгоградской области в бюджет Волгоградской области и составляла </w:t>
      </w:r>
      <w:r w:rsidRPr="001C47E0">
        <w:t>2 300 000,0 тыс. рублей</w:t>
      </w:r>
      <w:r>
        <w:t>.</w:t>
      </w:r>
      <w:r w:rsidR="00FA0DC6">
        <w:t xml:space="preserve"> В течение 2018 года задолженность снизилась на </w:t>
      </w:r>
      <w:r w:rsidRPr="007256CB">
        <w:t>1 493</w:t>
      </w:r>
      <w:r>
        <w:t> </w:t>
      </w:r>
      <w:r w:rsidRPr="007256CB">
        <w:t>000</w:t>
      </w:r>
      <w:r>
        <w:t>,0</w:t>
      </w:r>
      <w:r w:rsidRPr="007256CB">
        <w:t xml:space="preserve"> тыс. руб. </w:t>
      </w:r>
      <w:r w:rsidR="00FA0DC6">
        <w:t>и составила</w:t>
      </w:r>
      <w:r w:rsidRPr="007256CB">
        <w:t xml:space="preserve"> на </w:t>
      </w:r>
      <w:r w:rsidR="00435AB0">
        <w:t>конец года</w:t>
      </w:r>
      <w:r w:rsidRPr="007256CB">
        <w:t xml:space="preserve"> 807 000,0 тыс. руб.</w:t>
      </w:r>
      <w:r>
        <w:t xml:space="preserve"> (99,99% </w:t>
      </w:r>
      <w:r w:rsidR="00AC4F70">
        <w:t xml:space="preserve">от общей суммы </w:t>
      </w:r>
      <w:r w:rsidR="00E928E8">
        <w:t xml:space="preserve">кредиторской </w:t>
      </w:r>
      <w:r>
        <w:t>задолженности на 31.12.2018)</w:t>
      </w:r>
      <w:r w:rsidRPr="007256CB">
        <w:t>, котор</w:t>
      </w:r>
      <w:r w:rsidR="00FA0DC6">
        <w:t>ая</w:t>
      </w:r>
      <w:r w:rsidRPr="007256CB">
        <w:t xml:space="preserve"> погашен</w:t>
      </w:r>
      <w:r w:rsidR="00FA0DC6">
        <w:t>а</w:t>
      </w:r>
      <w:r w:rsidRPr="007256CB">
        <w:t xml:space="preserve"> </w:t>
      </w:r>
      <w:r>
        <w:t>Облфином</w:t>
      </w:r>
      <w:r w:rsidRPr="007256CB">
        <w:t xml:space="preserve"> в январе 2019 года в полном объеме.</w:t>
      </w:r>
    </w:p>
    <w:p w14:paraId="49A257B7" w14:textId="77777777" w:rsidR="002A7D9C" w:rsidRPr="0042768D" w:rsidRDefault="002A7D9C" w:rsidP="002B2D3C">
      <w:pPr>
        <w:autoSpaceDE w:val="0"/>
        <w:autoSpaceDN w:val="0"/>
        <w:adjustRightInd w:val="0"/>
        <w:ind w:firstLine="709"/>
        <w:jc w:val="both"/>
        <w:rPr>
          <w:highlight w:val="yellow"/>
        </w:rPr>
      </w:pPr>
    </w:p>
    <w:p w14:paraId="740BDDB8" w14:textId="77777777" w:rsidR="00A249B5" w:rsidRPr="0042768D" w:rsidRDefault="00A249B5" w:rsidP="00A249B5">
      <w:pPr>
        <w:tabs>
          <w:tab w:val="left" w:pos="851"/>
        </w:tabs>
        <w:jc w:val="center"/>
        <w:rPr>
          <w:b/>
          <w:i/>
        </w:rPr>
      </w:pPr>
      <w:r w:rsidRPr="0042768D">
        <w:rPr>
          <w:b/>
          <w:i/>
        </w:rPr>
        <w:t>ГКУ «Центр бюджетного учета»</w:t>
      </w:r>
    </w:p>
    <w:p w14:paraId="0645DEAC" w14:textId="77777777" w:rsidR="00A03892" w:rsidRPr="00E44022" w:rsidRDefault="0042768D" w:rsidP="00A03892">
      <w:pPr>
        <w:shd w:val="clear" w:color="auto" w:fill="FFFFFF"/>
        <w:ind w:firstLine="680"/>
        <w:jc w:val="both"/>
      </w:pPr>
      <w:r>
        <w:t>ГКУ «Центр бюджетного учета»</w:t>
      </w:r>
      <w:r w:rsidRPr="00A75796">
        <w:t xml:space="preserve"> создано в соответствии с постановлением Администрации Волгоградской области от 09.02.2015 № 49-п. </w:t>
      </w:r>
      <w:r w:rsidR="0077286A" w:rsidRPr="00A03892">
        <w:t xml:space="preserve">Необходимость создания ГКУ «Центр бюджетного учета» была обусловлена </w:t>
      </w:r>
      <w:r w:rsidR="0077286A" w:rsidRPr="00A03892">
        <w:rPr>
          <w:rFonts w:eastAsia="Times New Roman"/>
        </w:rPr>
        <w:t xml:space="preserve">проведением мероприятий по оптимизации расходов в части ведения </w:t>
      </w:r>
      <w:r w:rsidR="0077286A" w:rsidRPr="00A03892">
        <w:rPr>
          <w:rFonts w:eastAsia="Times New Roman"/>
          <w:spacing w:val="-4"/>
        </w:rPr>
        <w:t>бюджетного учета органов государственной власти (далее – ОИВ) и казенных учреждений</w:t>
      </w:r>
      <w:r w:rsidR="007178E3">
        <w:rPr>
          <w:rFonts w:eastAsia="Times New Roman"/>
          <w:spacing w:val="-4"/>
        </w:rPr>
        <w:t xml:space="preserve"> </w:t>
      </w:r>
      <w:r w:rsidR="0077286A" w:rsidRPr="00A03892">
        <w:rPr>
          <w:rFonts w:eastAsia="Times New Roman"/>
          <w:spacing w:val="-4"/>
        </w:rPr>
        <w:t xml:space="preserve"> (далее – КУ)</w:t>
      </w:r>
      <w:r w:rsidR="007178E3" w:rsidRPr="007178E3">
        <w:rPr>
          <w:rFonts w:eastAsia="Times New Roman"/>
          <w:spacing w:val="-4"/>
        </w:rPr>
        <w:t xml:space="preserve"> </w:t>
      </w:r>
      <w:r w:rsidR="007178E3" w:rsidRPr="00A03892">
        <w:rPr>
          <w:rFonts w:eastAsia="Times New Roman"/>
          <w:spacing w:val="-4"/>
        </w:rPr>
        <w:t>Волгоградской области</w:t>
      </w:r>
      <w:r w:rsidR="007178E3">
        <w:rPr>
          <w:rFonts w:eastAsia="Times New Roman"/>
          <w:spacing w:val="-4"/>
        </w:rPr>
        <w:t xml:space="preserve">. </w:t>
      </w:r>
      <w:r w:rsidR="00A03892" w:rsidRPr="00A03892">
        <w:rPr>
          <w:rFonts w:eastAsia="Times New Roman"/>
          <w:spacing w:val="-3"/>
        </w:rPr>
        <w:t>Письмом Минфина РФ от 01.12.2014  № 06-03-05/61507 «</w:t>
      </w:r>
      <w:r w:rsidR="00A03892" w:rsidRPr="00A03892">
        <w:t xml:space="preserve">О направлении рекомендаций по направлениям роста доходов и оптимизации расходов при формировании бюджетов субъектов Российской Федерации на </w:t>
      </w:r>
      <w:r w:rsidR="00A03892" w:rsidRPr="00A03892">
        <w:lastRenderedPageBreak/>
        <w:t>2015 - 2017 годы»</w:t>
      </w:r>
      <w:r w:rsidR="00A03892" w:rsidRPr="00A03892">
        <w:rPr>
          <w:rFonts w:eastAsia="Times New Roman"/>
          <w:spacing w:val="-3"/>
        </w:rPr>
        <w:t xml:space="preserve"> субъектам </w:t>
      </w:r>
      <w:r w:rsidR="00A03892" w:rsidRPr="00A03892">
        <w:rPr>
          <w:rFonts w:eastAsia="Times New Roman"/>
          <w:spacing w:val="-4"/>
        </w:rPr>
        <w:t xml:space="preserve">РФ указаны </w:t>
      </w:r>
      <w:r w:rsidR="00A03892" w:rsidRPr="00A03892">
        <w:rPr>
          <w:rFonts w:eastAsia="Times New Roman"/>
        </w:rPr>
        <w:t>основные направления</w:t>
      </w:r>
      <w:r w:rsidR="00A03892" w:rsidRPr="00A03892">
        <w:rPr>
          <w:rFonts w:eastAsia="Times New Roman"/>
          <w:spacing w:val="-2"/>
        </w:rPr>
        <w:t xml:space="preserve"> по оптимизации расходов бюджета</w:t>
      </w:r>
      <w:r w:rsidR="00A03892" w:rsidRPr="00A03892">
        <w:rPr>
          <w:rFonts w:eastAsia="Times New Roman"/>
          <w:spacing w:val="-4"/>
        </w:rPr>
        <w:t xml:space="preserve">, в том числе путем оптимизации бюджетной сети и </w:t>
      </w:r>
      <w:r w:rsidR="00A03892" w:rsidRPr="00A03892">
        <w:rPr>
          <w:rFonts w:eastAsia="Times New Roman"/>
        </w:rPr>
        <w:t>органов управления.</w:t>
      </w:r>
    </w:p>
    <w:p w14:paraId="417C25A8" w14:textId="77777777" w:rsidR="000B1A28" w:rsidRPr="00A75796" w:rsidRDefault="000B1A28" w:rsidP="000B1A28">
      <w:pPr>
        <w:autoSpaceDE w:val="0"/>
        <w:autoSpaceDN w:val="0"/>
        <w:adjustRightInd w:val="0"/>
        <w:ind w:firstLine="680"/>
        <w:jc w:val="both"/>
        <w:rPr>
          <w:rFonts w:eastAsia="Times New Roman"/>
        </w:rPr>
      </w:pPr>
      <w:r w:rsidRPr="00A75796">
        <w:rPr>
          <w:rFonts w:eastAsiaTheme="minorHAnsi"/>
          <w:lang w:eastAsia="en-US"/>
        </w:rPr>
        <w:t>Бюджетные назначения</w:t>
      </w:r>
      <w:r>
        <w:rPr>
          <w:rFonts w:eastAsiaTheme="minorHAnsi"/>
          <w:lang w:eastAsia="en-US"/>
        </w:rPr>
        <w:t xml:space="preserve"> по расходам 2018 года </w:t>
      </w:r>
      <w:r w:rsidR="00A07559">
        <w:rPr>
          <w:rFonts w:eastAsiaTheme="minorHAnsi"/>
          <w:lang w:eastAsia="en-US"/>
        </w:rPr>
        <w:t xml:space="preserve">ГКУ «Центр бюджетного учета» </w:t>
      </w:r>
      <w:r>
        <w:rPr>
          <w:rFonts w:eastAsiaTheme="minorHAnsi"/>
          <w:lang w:eastAsia="en-US"/>
        </w:rPr>
        <w:t xml:space="preserve">исполнены на 39 225,9 тыс. руб., или на 90,4% от утвержденных бюджетных </w:t>
      </w:r>
      <w:r w:rsidR="00063924">
        <w:rPr>
          <w:rFonts w:eastAsiaTheme="minorHAnsi"/>
          <w:lang w:eastAsia="en-US"/>
        </w:rPr>
        <w:t>назначений (43 411,2 тыс. руб.)</w:t>
      </w:r>
      <w:r w:rsidRPr="00A75796">
        <w:rPr>
          <w:rFonts w:eastAsia="Times New Roman"/>
        </w:rPr>
        <w:t>.</w:t>
      </w:r>
      <w:r w:rsidR="00063924">
        <w:rPr>
          <w:rFonts w:eastAsia="Times New Roman"/>
        </w:rPr>
        <w:t xml:space="preserve"> </w:t>
      </w:r>
      <w:r w:rsidRPr="00A75796">
        <w:rPr>
          <w:rFonts w:eastAsia="Times New Roman"/>
        </w:rPr>
        <w:t xml:space="preserve">Наибольший объем в расходах занимают расходы на заработную плату и начисления на выплаты по оплате труда – 87,6 процента. </w:t>
      </w:r>
    </w:p>
    <w:p w14:paraId="52BD6836" w14:textId="77777777" w:rsidR="000B1A28" w:rsidRPr="00A75796" w:rsidRDefault="000B1A28" w:rsidP="000B1A28">
      <w:pPr>
        <w:pStyle w:val="ConsPlusNormal"/>
        <w:shd w:val="clear" w:color="auto" w:fill="FFFFFF" w:themeFill="background1"/>
        <w:ind w:firstLine="680"/>
        <w:jc w:val="both"/>
        <w:rPr>
          <w:rFonts w:eastAsiaTheme="minorHAnsi"/>
          <w:iCs/>
          <w:lang w:eastAsia="en-US"/>
        </w:rPr>
      </w:pPr>
      <w:r w:rsidRPr="00A75796">
        <w:rPr>
          <w:rFonts w:eastAsiaTheme="minorHAnsi"/>
          <w:iCs/>
          <w:lang w:eastAsia="en-US"/>
        </w:rPr>
        <w:t xml:space="preserve">Положение об оплате труда работников </w:t>
      </w:r>
      <w:r w:rsidR="00063924">
        <w:rPr>
          <w:rFonts w:eastAsiaTheme="minorHAnsi"/>
          <w:iCs/>
          <w:lang w:eastAsia="en-US"/>
        </w:rPr>
        <w:t>ГКУ</w:t>
      </w:r>
      <w:r w:rsidRPr="00A75796">
        <w:rPr>
          <w:rFonts w:eastAsiaTheme="minorHAnsi"/>
          <w:iCs/>
          <w:lang w:eastAsia="en-US"/>
        </w:rPr>
        <w:t xml:space="preserve"> «Центр бюджетного учета и отчетности» утверждено приказом Облфина от 15.02.2016 № 53 (далее – Приказ Облфина № 53), которое разработано в соответствии с </w:t>
      </w:r>
      <w:hyperlink r:id="rId8" w:history="1">
        <w:r w:rsidRPr="00A75796">
          <w:t>постановлением</w:t>
        </w:r>
      </w:hyperlink>
      <w:r w:rsidRPr="00A75796">
        <w:t xml:space="preserve"> Администрации Волгоградской области от 19.01.2016 № 4-п «Об общих требованиях к положениям об оплате труда работников государственных учреждений Волгоградской области» (далее – Постановление № 4-п).</w:t>
      </w:r>
    </w:p>
    <w:p w14:paraId="4753B2B6" w14:textId="77777777" w:rsidR="000B1A28" w:rsidRPr="00000F97" w:rsidRDefault="000B1A28" w:rsidP="000B1A28">
      <w:pPr>
        <w:pStyle w:val="ConsPlusNormal"/>
        <w:shd w:val="clear" w:color="auto" w:fill="FFFFFF" w:themeFill="background1"/>
        <w:ind w:firstLine="680"/>
        <w:jc w:val="both"/>
        <w:rPr>
          <w:rFonts w:eastAsiaTheme="minorHAnsi"/>
          <w:iCs/>
          <w:lang w:eastAsia="en-US"/>
        </w:rPr>
      </w:pPr>
      <w:r w:rsidRPr="00A75796">
        <w:t>Следует отметить, что постановлением Администрации Волгоградской</w:t>
      </w:r>
      <w:r w:rsidRPr="008B5715">
        <w:t xml:space="preserve"> области от 28.08.2017 № 452-п </w:t>
      </w:r>
      <w:r w:rsidRPr="008B5715">
        <w:rPr>
          <w:rFonts w:eastAsiaTheme="minorHAnsi"/>
          <w:iCs/>
          <w:lang w:eastAsia="en-US"/>
        </w:rPr>
        <w:t xml:space="preserve">в Постановление № 4-п внесены изменения в части соотношения размера должностного оклада руководителя и </w:t>
      </w:r>
      <w:r w:rsidRPr="008B5715">
        <w:t xml:space="preserve">должностных окладов заместителей руководителя учреждения и главного бухгалтера учреждения, которые вступили в силу </w:t>
      </w:r>
      <w:r w:rsidRPr="008B5715">
        <w:rPr>
          <w:rFonts w:eastAsiaTheme="minorHAnsi"/>
          <w:lang w:eastAsia="en-US"/>
        </w:rPr>
        <w:t xml:space="preserve">со дня официального опубликования постановления (30.08.2017). </w:t>
      </w:r>
      <w:r w:rsidRPr="008B5715">
        <w:t xml:space="preserve">Однако Облфином соответствующие изменения в Приказ Облфина № 53 </w:t>
      </w:r>
      <w:r w:rsidRPr="008B5715">
        <w:rPr>
          <w:rFonts w:eastAsiaTheme="minorHAnsi"/>
          <w:iCs/>
          <w:lang w:eastAsia="en-US"/>
        </w:rPr>
        <w:t>внесены только в сентябре 2018 года</w:t>
      </w:r>
      <w:r w:rsidR="00063924">
        <w:rPr>
          <w:rFonts w:eastAsiaTheme="minorHAnsi"/>
          <w:iCs/>
          <w:lang w:eastAsia="en-US"/>
        </w:rPr>
        <w:t xml:space="preserve"> приказом от 06.09.2018 № 249,</w:t>
      </w:r>
      <w:r>
        <w:rPr>
          <w:rFonts w:eastAsiaTheme="minorHAnsi"/>
          <w:iCs/>
          <w:lang w:eastAsia="en-US"/>
        </w:rPr>
        <w:t xml:space="preserve"> размеры</w:t>
      </w:r>
      <w:r w:rsidRPr="008B5715">
        <w:rPr>
          <w:iCs/>
        </w:rPr>
        <w:t xml:space="preserve"> должностных окладов заместителя руководителя и главного бухгалтера учреждения устан</w:t>
      </w:r>
      <w:r>
        <w:rPr>
          <w:iCs/>
        </w:rPr>
        <w:t>овлены</w:t>
      </w:r>
      <w:r w:rsidRPr="008B5715">
        <w:rPr>
          <w:iCs/>
        </w:rPr>
        <w:t xml:space="preserve"> на 15% ниже должностного оклада руководителя учреждения (ранее было 10%)</w:t>
      </w:r>
      <w:r>
        <w:rPr>
          <w:iCs/>
        </w:rPr>
        <w:t xml:space="preserve">. </w:t>
      </w:r>
      <w:r>
        <w:rPr>
          <w:rFonts w:eastAsiaTheme="minorHAnsi"/>
          <w:iCs/>
          <w:lang w:eastAsia="en-US"/>
        </w:rPr>
        <w:t xml:space="preserve">В результате </w:t>
      </w:r>
      <w:r w:rsidRPr="008B5715">
        <w:rPr>
          <w:rFonts w:eastAsiaTheme="minorHAnsi"/>
          <w:iCs/>
          <w:lang w:eastAsia="en-US"/>
        </w:rPr>
        <w:t>ГКУ «Центр бюджетного учета» должностные оклады руководящего состава приведены в соот</w:t>
      </w:r>
      <w:r>
        <w:rPr>
          <w:rFonts w:eastAsiaTheme="minorHAnsi"/>
          <w:iCs/>
          <w:lang w:eastAsia="en-US"/>
        </w:rPr>
        <w:t>ветствие с приказом Облфина № 24</w:t>
      </w:r>
      <w:r w:rsidRPr="008B5715">
        <w:rPr>
          <w:rFonts w:eastAsiaTheme="minorHAnsi"/>
          <w:iCs/>
          <w:lang w:eastAsia="en-US"/>
        </w:rPr>
        <w:t xml:space="preserve">9 только в январе 2019 года (штатное расписание от </w:t>
      </w:r>
      <w:r w:rsidRPr="00000F97">
        <w:rPr>
          <w:rFonts w:eastAsiaTheme="minorHAnsi"/>
          <w:iCs/>
          <w:lang w:eastAsia="en-US"/>
        </w:rPr>
        <w:t xml:space="preserve">09.01.2019). </w:t>
      </w:r>
      <w:r w:rsidRPr="00A07559">
        <w:rPr>
          <w:rFonts w:eastAsiaTheme="minorHAnsi"/>
          <w:iCs/>
          <w:lang w:eastAsia="en-US"/>
        </w:rPr>
        <w:t xml:space="preserve">По пояснению учреждения проводились организационно-штатные мероприятия на основании ст. 74 </w:t>
      </w:r>
      <w:r w:rsidRPr="00A07559">
        <w:rPr>
          <w:rFonts w:eastAsia="Times New Roman"/>
          <w:kern w:val="36"/>
        </w:rPr>
        <w:t>Трудового кодекса РФ, согласно которой работодатель уведомил (не позднее чем за два месяца до наступления события) работников об изменениях условий оплаты труда.</w:t>
      </w:r>
    </w:p>
    <w:p w14:paraId="70FBDAD0" w14:textId="77777777" w:rsidR="000B1A28" w:rsidRPr="00000F97" w:rsidRDefault="000B1A28" w:rsidP="000B1A28">
      <w:pPr>
        <w:pStyle w:val="ConsPlusNormal"/>
        <w:shd w:val="clear" w:color="auto" w:fill="FFFFFF" w:themeFill="background1"/>
        <w:ind w:firstLine="680"/>
        <w:jc w:val="both"/>
        <w:rPr>
          <w:rFonts w:eastAsiaTheme="minorHAnsi"/>
          <w:iCs/>
          <w:lang w:eastAsia="en-US"/>
        </w:rPr>
      </w:pPr>
      <w:r w:rsidRPr="00000F97">
        <w:rPr>
          <w:rFonts w:eastAsiaTheme="minorHAnsi"/>
          <w:iCs/>
          <w:lang w:eastAsia="en-US"/>
        </w:rPr>
        <w:t xml:space="preserve">Таким образом, в течение 2018 года  должностные оклады заместителя руководителя и главного бухгалтера были установлены на 10% (вместо 15%) ниже должностного оклада руководителя учреждения, чем не соблюдены положения Постановления № 4-п и </w:t>
      </w:r>
      <w:r w:rsidRPr="00000F97">
        <w:t xml:space="preserve">Приказа Облфина № 53. </w:t>
      </w:r>
      <w:r w:rsidRPr="00000F97">
        <w:rPr>
          <w:rFonts w:eastAsiaTheme="minorHAnsi"/>
          <w:iCs/>
          <w:lang w:eastAsia="en-US"/>
        </w:rPr>
        <w:t>Вместе с тем на общий размер заработной платы это не повлияло, так как согласно штатному расписанию от 09.01.2019 при снижении должностного оклада заместителю руководителя и главному бухгалтеру учреждения персональный повышающий коэффициент им был установлен выше, чем руководителю.</w:t>
      </w:r>
    </w:p>
    <w:p w14:paraId="09065095" w14:textId="77777777" w:rsidR="0051782C" w:rsidRDefault="0051782C" w:rsidP="0051782C">
      <w:pPr>
        <w:pStyle w:val="ConsPlusNormal"/>
        <w:ind w:firstLine="680"/>
        <w:jc w:val="both"/>
      </w:pPr>
    </w:p>
    <w:p w14:paraId="524E10B6" w14:textId="77777777" w:rsidR="0051782C" w:rsidRPr="000B1A28" w:rsidRDefault="0051782C" w:rsidP="0051782C">
      <w:pPr>
        <w:pStyle w:val="ConsPlusNormal"/>
        <w:ind w:firstLine="680"/>
        <w:jc w:val="both"/>
      </w:pPr>
      <w:r w:rsidRPr="000B1A28">
        <w:t>Согласно представленной к проверке Облфином информации передал</w:t>
      </w:r>
      <w:r w:rsidR="00E439AF">
        <w:t>и</w:t>
      </w:r>
      <w:r w:rsidRPr="000B1A28">
        <w:t xml:space="preserve"> функции </w:t>
      </w:r>
      <w:r w:rsidR="00E439AF" w:rsidRPr="00081F5D">
        <w:t xml:space="preserve">по ведению бюджетного учета и формированию бюджетной отчетности </w:t>
      </w:r>
      <w:r w:rsidR="00E439AF" w:rsidRPr="000B1A28">
        <w:t xml:space="preserve">ГКУ «Центр бюджетного учета» </w:t>
      </w:r>
      <w:r w:rsidRPr="000B1A28">
        <w:t xml:space="preserve">в 2015 году десять ОИВ, в 2017 году  дополнительно переданы функции </w:t>
      </w:r>
      <w:r w:rsidR="00E439AF">
        <w:t>восьми</w:t>
      </w:r>
      <w:r w:rsidRPr="000B1A28">
        <w:t xml:space="preserve"> ОИВ, в 2018 году – </w:t>
      </w:r>
      <w:r w:rsidR="00E439AF">
        <w:t>двумя</w:t>
      </w:r>
      <w:r w:rsidRPr="000B1A28">
        <w:t xml:space="preserve"> КУ. При этом прекратили деятельность в 2017 году два ОИВ (инспекция государственного надзора за техническим состоянием самоходных машин и других видов техники Волгоградской области и комитет топливно-энергетического комплекса Волгоградской области), передавшие функции ГКУ «Центр бюджетного учета» в 2015 году. </w:t>
      </w:r>
    </w:p>
    <w:p w14:paraId="17E3F2E2" w14:textId="77777777" w:rsidR="00455866" w:rsidRPr="002A63F9" w:rsidRDefault="00455866" w:rsidP="00455866">
      <w:pPr>
        <w:pStyle w:val="ConsPlusNormal"/>
        <w:ind w:firstLine="680"/>
        <w:jc w:val="both"/>
      </w:pPr>
      <w:r w:rsidRPr="002A63F9">
        <w:rPr>
          <w:rFonts w:eastAsiaTheme="minorHAnsi"/>
          <w:iCs/>
          <w:lang w:eastAsia="en-US"/>
        </w:rPr>
        <w:t xml:space="preserve">В ходе проверки проведен анализ изменения расходов областного бюджета </w:t>
      </w:r>
      <w:r w:rsidRPr="00555B06">
        <w:rPr>
          <w:rFonts w:eastAsiaTheme="minorHAnsi"/>
          <w:iCs/>
          <w:lang w:eastAsia="en-US"/>
        </w:rPr>
        <w:t>за 201</w:t>
      </w:r>
      <w:r w:rsidR="00120FE3" w:rsidRPr="00555B06">
        <w:rPr>
          <w:rFonts w:eastAsiaTheme="minorHAnsi"/>
          <w:iCs/>
          <w:lang w:eastAsia="en-US"/>
        </w:rPr>
        <w:t>5</w:t>
      </w:r>
      <w:r w:rsidRPr="00555B06">
        <w:rPr>
          <w:rFonts w:eastAsiaTheme="minorHAnsi"/>
          <w:iCs/>
          <w:lang w:eastAsia="en-US"/>
        </w:rPr>
        <w:t xml:space="preserve">-2018 годы </w:t>
      </w:r>
      <w:r w:rsidR="00555B06" w:rsidRPr="00555B06">
        <w:rPr>
          <w:rFonts w:eastAsiaTheme="minorHAnsi"/>
          <w:iCs/>
          <w:lang w:eastAsia="en-US"/>
        </w:rPr>
        <w:t>относительно</w:t>
      </w:r>
      <w:r w:rsidR="00120FE3" w:rsidRPr="00555B06">
        <w:rPr>
          <w:rFonts w:eastAsiaTheme="minorHAnsi"/>
          <w:iCs/>
          <w:lang w:eastAsia="en-US"/>
        </w:rPr>
        <w:t xml:space="preserve"> 2014 год</w:t>
      </w:r>
      <w:r w:rsidR="00555B06" w:rsidRPr="00555B06">
        <w:rPr>
          <w:rFonts w:eastAsiaTheme="minorHAnsi"/>
          <w:iCs/>
          <w:lang w:eastAsia="en-US"/>
        </w:rPr>
        <w:t>а</w:t>
      </w:r>
      <w:r w:rsidR="00120FE3" w:rsidRPr="00555B06">
        <w:rPr>
          <w:rFonts w:eastAsiaTheme="minorHAnsi"/>
          <w:iCs/>
          <w:lang w:eastAsia="en-US"/>
        </w:rPr>
        <w:t xml:space="preserve"> </w:t>
      </w:r>
      <w:r w:rsidRPr="00555B06">
        <w:rPr>
          <w:rFonts w:eastAsiaTheme="minorHAnsi"/>
          <w:iCs/>
          <w:lang w:eastAsia="en-US"/>
        </w:rPr>
        <w:t>в связи с созданием ГКУ «Центр бюджетного учета» и</w:t>
      </w:r>
      <w:r w:rsidRPr="002A63F9">
        <w:rPr>
          <w:rFonts w:eastAsiaTheme="minorHAnsi"/>
          <w:iCs/>
          <w:lang w:eastAsia="en-US"/>
        </w:rPr>
        <w:t xml:space="preserve"> передачей ему функций </w:t>
      </w:r>
      <w:r w:rsidRPr="002A63F9">
        <w:t xml:space="preserve">от </w:t>
      </w:r>
      <w:r w:rsidRPr="002A63F9">
        <w:rPr>
          <w:rFonts w:eastAsiaTheme="minorHAnsi"/>
          <w:iCs/>
          <w:lang w:eastAsia="en-US"/>
        </w:rPr>
        <w:t>ОИВ и КУ</w:t>
      </w:r>
      <w:r w:rsidRPr="002A63F9">
        <w:t xml:space="preserve"> </w:t>
      </w:r>
      <w:r w:rsidRPr="00693ECC">
        <w:t xml:space="preserve">(в части расходов по сокращаемым должностям в связи с передачей функций) </w:t>
      </w:r>
      <w:r w:rsidRPr="002A63F9">
        <w:t>на основании запрошенной информаци</w:t>
      </w:r>
      <w:r w:rsidR="000D10CE">
        <w:t>и</w:t>
      </w:r>
      <w:r w:rsidRPr="002A63F9">
        <w:t xml:space="preserve"> у ОИВ и КУ</w:t>
      </w:r>
      <w:r w:rsidR="00693ECC">
        <w:t>.</w:t>
      </w:r>
      <w:r w:rsidRPr="002A63F9">
        <w:t xml:space="preserve"> Обобщенная информация в разрезе ОИВ и КУ приведена </w:t>
      </w:r>
      <w:r w:rsidRPr="008F7695">
        <w:rPr>
          <w:color w:val="17365D" w:themeColor="text2" w:themeShade="BF"/>
        </w:rPr>
        <w:t>в приложении №</w:t>
      </w:r>
      <w:r w:rsidR="008F7695" w:rsidRPr="008F7695">
        <w:rPr>
          <w:color w:val="17365D" w:themeColor="text2" w:themeShade="BF"/>
        </w:rPr>
        <w:t xml:space="preserve"> 4</w:t>
      </w:r>
      <w:r w:rsidRPr="008F7695">
        <w:t>.</w:t>
      </w:r>
      <w:r w:rsidR="000D10CE">
        <w:t xml:space="preserve"> </w:t>
      </w:r>
    </w:p>
    <w:p w14:paraId="1EE976A2" w14:textId="77777777" w:rsidR="00455866" w:rsidRPr="00571977" w:rsidRDefault="00455866" w:rsidP="00455866">
      <w:pPr>
        <w:ind w:firstLine="680"/>
        <w:jc w:val="both"/>
        <w:rPr>
          <w:color w:val="17365D" w:themeColor="text2" w:themeShade="BF"/>
        </w:rPr>
      </w:pPr>
      <w:r w:rsidRPr="00081F5D">
        <w:t xml:space="preserve">Анализ </w:t>
      </w:r>
      <w:r w:rsidR="000D10CE">
        <w:t>расходов</w:t>
      </w:r>
      <w:r w:rsidRPr="00081F5D">
        <w:t xml:space="preserve"> за 2015-2018 годы на осуществление функций по ведению бюджетного учета и формированию бюджетной отчетности по ГКУ «Центр бюджетного учета», ОИВ и КУ до передачи функций ГКУ «Центр бюджетного учета» (по сокращенным должностям) произведен в сравнении с </w:t>
      </w:r>
      <w:r w:rsidR="000D10CE">
        <w:t>расходами</w:t>
      </w:r>
      <w:r w:rsidRPr="00081F5D">
        <w:t xml:space="preserve"> 2014 года, когда названные функции осуществлялись непосредственно ОИВ и КУ.</w:t>
      </w:r>
      <w:r w:rsidR="00693ECC">
        <w:t xml:space="preserve"> </w:t>
      </w:r>
      <w:r w:rsidRPr="00EB0511">
        <w:t xml:space="preserve">Результаты этого анализа представлены в </w:t>
      </w:r>
      <w:r w:rsidR="000D10CE" w:rsidRPr="00571977">
        <w:rPr>
          <w:color w:val="17365D" w:themeColor="text2" w:themeShade="BF"/>
        </w:rPr>
        <w:t>приложении №</w:t>
      </w:r>
      <w:r w:rsidR="00571977" w:rsidRPr="00571977">
        <w:rPr>
          <w:color w:val="17365D" w:themeColor="text2" w:themeShade="BF"/>
        </w:rPr>
        <w:t xml:space="preserve"> 5</w:t>
      </w:r>
      <w:r w:rsidR="000D10CE" w:rsidRPr="00571977">
        <w:rPr>
          <w:color w:val="17365D" w:themeColor="text2" w:themeShade="BF"/>
        </w:rPr>
        <w:t>.</w:t>
      </w:r>
    </w:p>
    <w:p w14:paraId="7D78F6F8" w14:textId="77777777" w:rsidR="00455866" w:rsidRPr="00635346" w:rsidRDefault="00400B0D" w:rsidP="00455866">
      <w:pPr>
        <w:ind w:firstLine="680"/>
        <w:jc w:val="both"/>
      </w:pPr>
      <w:r>
        <w:t>С</w:t>
      </w:r>
      <w:r w:rsidRPr="00635346">
        <w:t xml:space="preserve">реднесписочная численность </w:t>
      </w:r>
      <w:r>
        <w:t>ГКУ «Центр бюджетного учета»</w:t>
      </w:r>
      <w:r w:rsidRPr="00635346">
        <w:rPr>
          <w:lang w:eastAsia="en-US"/>
        </w:rPr>
        <w:t xml:space="preserve"> увеличилась с 22 ед. в 2015 году до 47 ед. в 2018 году, или в 2,1 раза (при увеличении штатной численности с 27,5 ед. до 56 ед.)</w:t>
      </w:r>
      <w:r>
        <w:rPr>
          <w:lang w:eastAsia="en-US"/>
        </w:rPr>
        <w:t xml:space="preserve">, при этом по </w:t>
      </w:r>
      <w:r w:rsidR="00455866" w:rsidRPr="00635346">
        <w:t>ОИВ и КУ</w:t>
      </w:r>
      <w:r w:rsidRPr="00400B0D">
        <w:t xml:space="preserve"> </w:t>
      </w:r>
      <w:r w:rsidRPr="00635346">
        <w:t xml:space="preserve">в связи с передачей функций по ведению бюджетного </w:t>
      </w:r>
      <w:r w:rsidRPr="00635346">
        <w:lastRenderedPageBreak/>
        <w:t>учета и формированию бюджетной отчетности ГКУ «Центр бюджетного учета»</w:t>
      </w:r>
      <w:r>
        <w:t xml:space="preserve"> за четыре года </w:t>
      </w:r>
      <w:r w:rsidR="00455866" w:rsidRPr="00635346">
        <w:t xml:space="preserve">была сокращена 31 ед. должностей. </w:t>
      </w:r>
    </w:p>
    <w:p w14:paraId="24A78B4C" w14:textId="77777777" w:rsidR="00455866" w:rsidRPr="00400B0D" w:rsidRDefault="00455866" w:rsidP="00455866">
      <w:pPr>
        <w:pStyle w:val="ConsPlusNormal"/>
        <w:ind w:firstLine="708"/>
        <w:jc w:val="both"/>
        <w:rPr>
          <w:lang w:eastAsia="en-US"/>
        </w:rPr>
      </w:pPr>
      <w:r w:rsidRPr="00635346">
        <w:rPr>
          <w:lang w:eastAsia="en-US"/>
        </w:rPr>
        <w:t xml:space="preserve">Расходы </w:t>
      </w:r>
      <w:r w:rsidRPr="00400B0D">
        <w:rPr>
          <w:lang w:eastAsia="en-US"/>
        </w:rPr>
        <w:t>на содержание ГКУ «Центр бюджетного учета» выросли с 16</w:t>
      </w:r>
      <w:r w:rsidR="001063F7" w:rsidRPr="00400B0D">
        <w:rPr>
          <w:lang w:eastAsia="en-US"/>
        </w:rPr>
        <w:t> 481,7 тыс.</w:t>
      </w:r>
      <w:r w:rsidRPr="00400B0D">
        <w:rPr>
          <w:lang w:eastAsia="en-US"/>
        </w:rPr>
        <w:t xml:space="preserve"> руб. </w:t>
      </w:r>
      <w:r w:rsidR="00400B0D" w:rsidRPr="00400B0D">
        <w:rPr>
          <w:lang w:eastAsia="en-US"/>
        </w:rPr>
        <w:t xml:space="preserve">в 2015 году </w:t>
      </w:r>
      <w:r w:rsidRPr="00400B0D">
        <w:rPr>
          <w:lang w:eastAsia="en-US"/>
        </w:rPr>
        <w:t>до 39</w:t>
      </w:r>
      <w:r w:rsidR="001063F7" w:rsidRPr="00400B0D">
        <w:rPr>
          <w:lang w:eastAsia="en-US"/>
        </w:rPr>
        <w:t> 225,9 тыс.</w:t>
      </w:r>
      <w:r w:rsidRPr="00400B0D">
        <w:rPr>
          <w:lang w:eastAsia="en-US"/>
        </w:rPr>
        <w:t xml:space="preserve"> руб. </w:t>
      </w:r>
      <w:r w:rsidR="00400B0D" w:rsidRPr="00400B0D">
        <w:rPr>
          <w:lang w:eastAsia="en-US"/>
        </w:rPr>
        <w:t xml:space="preserve">в 2018 году </w:t>
      </w:r>
      <w:r w:rsidRPr="00400B0D">
        <w:rPr>
          <w:lang w:eastAsia="en-US"/>
        </w:rPr>
        <w:t xml:space="preserve">(в 2,4 раза), </w:t>
      </w:r>
      <w:r w:rsidR="00400B0D" w:rsidRPr="00400B0D">
        <w:rPr>
          <w:lang w:eastAsia="en-US"/>
        </w:rPr>
        <w:t>п</w:t>
      </w:r>
      <w:r w:rsidRPr="00400B0D">
        <w:rPr>
          <w:lang w:eastAsia="en-US"/>
        </w:rPr>
        <w:t>ри этом расчетный годовой объем расходов ОИВ и КУ по сокращенным должностям составлял в 2014 году 27</w:t>
      </w:r>
      <w:r w:rsidR="00400B0D" w:rsidRPr="00400B0D">
        <w:rPr>
          <w:lang w:eastAsia="en-US"/>
        </w:rPr>
        <w:t> 764,0 тыс. рублей.</w:t>
      </w:r>
      <w:r w:rsidRPr="00400B0D">
        <w:rPr>
          <w:lang w:eastAsia="en-US"/>
        </w:rPr>
        <w:t xml:space="preserve"> Кроме того, </w:t>
      </w:r>
      <w:r w:rsidR="00400B0D" w:rsidRPr="00400B0D">
        <w:rPr>
          <w:lang w:eastAsia="en-US"/>
        </w:rPr>
        <w:t xml:space="preserve">были осуществлены </w:t>
      </w:r>
      <w:r w:rsidRPr="00400B0D">
        <w:rPr>
          <w:lang w:eastAsia="en-US"/>
        </w:rPr>
        <w:t xml:space="preserve">дополнительные расходы, связанные с увольнением работников </w:t>
      </w:r>
      <w:r w:rsidRPr="00400B0D">
        <w:rPr>
          <w:rFonts w:eastAsia="Times New Roman"/>
          <w:iCs/>
        </w:rPr>
        <w:t>(компенсация при сокращении, компенсация отпуска)</w:t>
      </w:r>
      <w:r w:rsidR="00400B0D" w:rsidRPr="00400B0D">
        <w:rPr>
          <w:rFonts w:eastAsia="Times New Roman"/>
          <w:iCs/>
        </w:rPr>
        <w:t xml:space="preserve">, в размере </w:t>
      </w:r>
      <w:r w:rsidRPr="00400B0D">
        <w:rPr>
          <w:rFonts w:eastAsia="Times New Roman"/>
          <w:iCs/>
        </w:rPr>
        <w:t xml:space="preserve"> 4</w:t>
      </w:r>
      <w:r w:rsidR="00400B0D" w:rsidRPr="00400B0D">
        <w:rPr>
          <w:rFonts w:eastAsia="Times New Roman"/>
          <w:iCs/>
        </w:rPr>
        <w:t xml:space="preserve"> 488,3 тыс. </w:t>
      </w:r>
      <w:r w:rsidRPr="00400B0D">
        <w:rPr>
          <w:rFonts w:eastAsia="Times New Roman"/>
          <w:iCs/>
        </w:rPr>
        <w:t>руб</w:t>
      </w:r>
      <w:r w:rsidR="00400B0D" w:rsidRPr="00400B0D">
        <w:rPr>
          <w:rFonts w:eastAsia="Times New Roman"/>
          <w:iCs/>
        </w:rPr>
        <w:t>. (за 2015</w:t>
      </w:r>
      <w:r w:rsidR="00400B0D">
        <w:rPr>
          <w:rFonts w:eastAsia="Times New Roman"/>
          <w:iCs/>
        </w:rPr>
        <w:t>, 2017</w:t>
      </w:r>
      <w:r w:rsidR="00400B0D" w:rsidRPr="00400B0D">
        <w:rPr>
          <w:rFonts w:eastAsia="Times New Roman"/>
          <w:iCs/>
        </w:rPr>
        <w:t>-2018 годы).</w:t>
      </w:r>
    </w:p>
    <w:p w14:paraId="4A97982F" w14:textId="77777777" w:rsidR="00455866" w:rsidRPr="00635346" w:rsidRDefault="00455866" w:rsidP="00455866">
      <w:pPr>
        <w:pStyle w:val="ConsPlusNormal"/>
        <w:ind w:firstLine="708"/>
        <w:jc w:val="both"/>
      </w:pPr>
      <w:r w:rsidRPr="00400B0D">
        <w:rPr>
          <w:lang w:eastAsia="en-US"/>
        </w:rPr>
        <w:t xml:space="preserve">Анализ показал, что </w:t>
      </w:r>
      <w:r w:rsidRPr="00400B0D">
        <w:t>передача учреждению функций по ведению</w:t>
      </w:r>
      <w:r w:rsidRPr="00635346">
        <w:t xml:space="preserve"> бюджетного учета и формированию бюджетной отчетности привела к ежегодным дополнительным расходам областного бюджета</w:t>
      </w:r>
      <w:r w:rsidRPr="00635346">
        <w:rPr>
          <w:lang w:eastAsia="en-US"/>
        </w:rPr>
        <w:t xml:space="preserve"> (по отношению к 2014 году)</w:t>
      </w:r>
      <w:r w:rsidRPr="00635346">
        <w:t xml:space="preserve"> в 2015-2018 годах в размере 15</w:t>
      </w:r>
      <w:r w:rsidR="001063F7">
        <w:t> 813,0 тыс.</w:t>
      </w:r>
      <w:r w:rsidRPr="00635346">
        <w:t xml:space="preserve"> руб., 4</w:t>
      </w:r>
      <w:r w:rsidR="001063F7">
        <w:t> 290,7 тыс.</w:t>
      </w:r>
      <w:r w:rsidRPr="00635346">
        <w:t xml:space="preserve"> руб., 6</w:t>
      </w:r>
      <w:r w:rsidR="001063F7">
        <w:t> 306,1 тыс.</w:t>
      </w:r>
      <w:r w:rsidRPr="00635346">
        <w:t xml:space="preserve"> руб. и 12</w:t>
      </w:r>
      <w:r w:rsidR="001063F7">
        <w:t> 648,2 тыс.</w:t>
      </w:r>
      <w:r w:rsidRPr="00635346">
        <w:t xml:space="preserve"> руб. соответственно.</w:t>
      </w:r>
    </w:p>
    <w:p w14:paraId="34B6180B" w14:textId="77777777" w:rsidR="009A5964" w:rsidRDefault="00455866" w:rsidP="002F79FD">
      <w:pPr>
        <w:pStyle w:val="ConsPlusNormal"/>
        <w:shd w:val="clear" w:color="auto" w:fill="FFFFFF" w:themeFill="background1"/>
        <w:ind w:firstLine="680"/>
        <w:jc w:val="both"/>
      </w:pPr>
      <w:r w:rsidRPr="00635346">
        <w:t xml:space="preserve">Проведенный анализ носит условный характер, так как исчислены расчетные суммы расходов на обеспечение деятельности работников (хозяйственные расходы и др.), годовой объем расходов на оплату труда рассчитан </w:t>
      </w:r>
      <w:r w:rsidR="002F79FD">
        <w:t>отдельными ОИВ</w:t>
      </w:r>
      <w:r w:rsidRPr="00635346">
        <w:t xml:space="preserve">, исходя из фонда оплаты труда по штатному расписанию. </w:t>
      </w:r>
      <w:r w:rsidR="002F79FD" w:rsidRPr="00872493">
        <w:t xml:space="preserve">Вместе с тем количество сокращенных должностей в ОИВ меньше, чем </w:t>
      </w:r>
      <w:r w:rsidR="002F79FD">
        <w:t xml:space="preserve">среднесписочная </w:t>
      </w:r>
      <w:r w:rsidR="002F79FD" w:rsidRPr="00872493">
        <w:t>численность ГКУ «Центр бюджетного учета» (в 2018 году - на 16 единиц).</w:t>
      </w:r>
    </w:p>
    <w:p w14:paraId="48C53716" w14:textId="77777777" w:rsidR="002F79FD" w:rsidRDefault="002F79FD" w:rsidP="002F79FD">
      <w:pPr>
        <w:pStyle w:val="ConsPlusNormal"/>
        <w:shd w:val="clear" w:color="auto" w:fill="FFFFFF" w:themeFill="background1"/>
        <w:ind w:firstLine="680"/>
        <w:jc w:val="both"/>
        <w:rPr>
          <w:rFonts w:eastAsiaTheme="minorHAnsi"/>
          <w:iCs/>
          <w:lang w:eastAsia="en-US"/>
        </w:rPr>
      </w:pPr>
      <w:r w:rsidRPr="002F79FD">
        <w:t xml:space="preserve">Кроме того, в ОИВ сохранены должности для осуществления полномочий </w:t>
      </w:r>
      <w:r w:rsidRPr="002F79FD">
        <w:rPr>
          <w:rFonts w:eastAsiaTheme="minorHAnsi"/>
          <w:iCs/>
          <w:lang w:eastAsia="en-US"/>
        </w:rPr>
        <w:t>главного администратора доходов бюджета и главного распорядителя бюджетных средств в части  процедур составления и исполнения бюджета. Например, комитетом строительства Волгоградской области сообщено, что была произведена реорганизация отдела бюджетного учета и финансовой отчетности с сокращением только 1 единицы (штатная численность отдела сократилась с 6 до 5 единиц), так как комитетом осуществляются функции и полномочия главного администратора, администратора доходов бюджета, главного распорядителя и получателя бюджетных средств, требующие выполнения большого объема работы (составление бюджетной сметы расходов, формирование и ведение реестра расходных обязательств, составление и ведение бюджетной росписи, распределения бюджетных ассигнований и лимитов бюджетных обязательств, учет доходов и имущества казны, проведение мониторинга финансово-хозяйственной деятельности госучреждений, подведомственных комитету и др.).</w:t>
      </w:r>
    </w:p>
    <w:p w14:paraId="50DF1FB5" w14:textId="77777777" w:rsidR="00312200" w:rsidRDefault="00B11F47" w:rsidP="00312200">
      <w:pPr>
        <w:ind w:firstLine="708"/>
        <w:jc w:val="both"/>
        <w:rPr>
          <w:rFonts w:eastAsiaTheme="minorHAnsi"/>
          <w:iCs/>
          <w:lang w:eastAsia="en-US"/>
        </w:rPr>
      </w:pPr>
      <w:r w:rsidRPr="006C48A0">
        <w:rPr>
          <w:rFonts w:eastAsiaTheme="minorHAnsi"/>
          <w:iCs/>
          <w:lang w:eastAsia="en-US"/>
        </w:rPr>
        <w:t>Таким образом</w:t>
      </w:r>
      <w:r>
        <w:rPr>
          <w:rFonts w:eastAsiaTheme="minorHAnsi"/>
          <w:iCs/>
          <w:lang w:eastAsia="en-US"/>
        </w:rPr>
        <w:t>,</w:t>
      </w:r>
      <w:r w:rsidRPr="006C48A0">
        <w:rPr>
          <w:rFonts w:eastAsiaTheme="minorHAnsi"/>
          <w:iCs/>
          <w:lang w:eastAsia="en-US"/>
        </w:rPr>
        <w:t xml:space="preserve"> прослеживается тенденция роста расходов областного бюджета в связи с созданием ГКУ «Центр бюджетного учета».</w:t>
      </w:r>
      <w:r>
        <w:rPr>
          <w:rFonts w:eastAsiaTheme="minorHAnsi"/>
          <w:iCs/>
          <w:lang w:eastAsia="en-US"/>
        </w:rPr>
        <w:t xml:space="preserve"> </w:t>
      </w:r>
      <w:r w:rsidR="001E36AC">
        <w:rPr>
          <w:rFonts w:eastAsiaTheme="minorHAnsi"/>
          <w:iCs/>
          <w:lang w:eastAsia="en-US"/>
        </w:rPr>
        <w:t>При этом согласно Методическим рекомендациям по разработке и реализации программы оптимизации расходов бюджета субъекта РФ, опубликованным на сайте Минфина РФ 26.02.2018</w:t>
      </w:r>
      <w:r w:rsidR="001E36AC" w:rsidRPr="00B11F47">
        <w:rPr>
          <w:rFonts w:eastAsiaTheme="minorHAnsi"/>
          <w:iCs/>
          <w:lang w:eastAsia="en-US"/>
        </w:rPr>
        <w:t xml:space="preserve">, </w:t>
      </w:r>
      <w:r w:rsidR="001E36AC" w:rsidRPr="00B11F47">
        <w:t>создание централизованных бухгалтерий, в том числе создание единой централизованной информационной системы учета и отчетности в органах государственной власти субъекта Р</w:t>
      </w:r>
      <w:r>
        <w:t>Ф</w:t>
      </w:r>
      <w:r w:rsidR="001E36AC" w:rsidRPr="00B11F47">
        <w:t xml:space="preserve"> и государственных учреждениях региона, осуществляется в </w:t>
      </w:r>
      <w:r w:rsidRPr="00B11F47">
        <w:t>рамках решения задачи «</w:t>
      </w:r>
      <w:r w:rsidR="001E36AC" w:rsidRPr="00B11F47">
        <w:t>Оптимизация расходов на содержание бюджетной сети, а также численно</w:t>
      </w:r>
      <w:r w:rsidRPr="00B11F47">
        <w:t>сти работников бюджетной сферы»</w:t>
      </w:r>
      <w:r w:rsidR="00312200">
        <w:t>.</w:t>
      </w:r>
      <w:r w:rsidR="00312200" w:rsidRPr="00312200">
        <w:rPr>
          <w:rFonts w:eastAsiaTheme="minorHAnsi"/>
          <w:iCs/>
          <w:lang w:eastAsia="en-US"/>
        </w:rPr>
        <w:t xml:space="preserve"> </w:t>
      </w:r>
      <w:r w:rsidR="00312200">
        <w:rPr>
          <w:rFonts w:eastAsiaTheme="minorHAnsi"/>
          <w:iCs/>
          <w:lang w:eastAsia="en-US"/>
        </w:rPr>
        <w:t>Решение по созданию специализированных бухгалтерий по ведению бюджетного (бухгалтерского) учета должно быть экономически оправданно (письмо Минфина России от 18.01.2017 № 02-08-05/1949).</w:t>
      </w:r>
    </w:p>
    <w:p w14:paraId="1AD03EFE" w14:textId="77777777" w:rsidR="00312200" w:rsidRDefault="00312200" w:rsidP="00A568CE">
      <w:pPr>
        <w:jc w:val="center"/>
        <w:rPr>
          <w:b/>
          <w:i/>
        </w:rPr>
      </w:pPr>
    </w:p>
    <w:p w14:paraId="420D60C1" w14:textId="77777777" w:rsidR="00320516" w:rsidRPr="00164B2F" w:rsidRDefault="00320516" w:rsidP="00A568CE">
      <w:pPr>
        <w:jc w:val="center"/>
        <w:rPr>
          <w:b/>
          <w:i/>
        </w:rPr>
      </w:pPr>
      <w:r w:rsidRPr="00164B2F">
        <w:rPr>
          <w:b/>
          <w:i/>
        </w:rPr>
        <w:t>Анализ результатов деятельности в рамках государственных программ</w:t>
      </w:r>
    </w:p>
    <w:p w14:paraId="164594B9" w14:textId="77777777" w:rsidR="00320516" w:rsidRPr="00621C2B" w:rsidRDefault="00320516" w:rsidP="00320516">
      <w:pPr>
        <w:ind w:firstLine="680"/>
        <w:jc w:val="both"/>
      </w:pPr>
      <w:r w:rsidRPr="00621C2B">
        <w:t xml:space="preserve">Облфин является ответственным исполнителем государственной программы Волгоградской области «Управление государственными финансами Волгоградской области», утвержденной </w:t>
      </w:r>
      <w:r w:rsidRPr="00621C2B">
        <w:rPr>
          <w:bCs/>
        </w:rPr>
        <w:t>п</w:t>
      </w:r>
      <w:r w:rsidRPr="00621C2B">
        <w:t>остановлением Администрации Волгоградской области от 23.01.2017 № 10-п (далее - Г</w:t>
      </w:r>
      <w:r w:rsidR="0097090D">
        <w:t>оспрограмма</w:t>
      </w:r>
      <w:r w:rsidRPr="00621C2B">
        <w:t>).</w:t>
      </w:r>
    </w:p>
    <w:p w14:paraId="06673110" w14:textId="77777777" w:rsidR="00BA1766" w:rsidRPr="00CE02F8" w:rsidRDefault="00320516" w:rsidP="00320516">
      <w:pPr>
        <w:autoSpaceDE w:val="0"/>
        <w:autoSpaceDN w:val="0"/>
        <w:adjustRightInd w:val="0"/>
        <w:ind w:firstLine="680"/>
        <w:jc w:val="both"/>
        <w:rPr>
          <w:bCs/>
        </w:rPr>
      </w:pPr>
      <w:r w:rsidRPr="00BE0E52">
        <w:rPr>
          <w:bCs/>
        </w:rPr>
        <w:t>Объем финансирования Г</w:t>
      </w:r>
      <w:r w:rsidR="0097090D">
        <w:rPr>
          <w:bCs/>
        </w:rPr>
        <w:t xml:space="preserve">оспрограммы </w:t>
      </w:r>
      <w:r w:rsidRPr="00BE0E52">
        <w:rPr>
          <w:bCs/>
        </w:rPr>
        <w:t xml:space="preserve">на 2018 год Законом об областном бюджете предусмотрен в размере </w:t>
      </w:r>
      <w:r w:rsidRPr="00BE0E52">
        <w:t xml:space="preserve">5 999 872,3 </w:t>
      </w:r>
      <w:r w:rsidRPr="00BE0E52">
        <w:rPr>
          <w:bCs/>
        </w:rPr>
        <w:t xml:space="preserve">тыс. руб., </w:t>
      </w:r>
      <w:r w:rsidR="0097090D">
        <w:rPr>
          <w:bCs/>
        </w:rPr>
        <w:t>Г</w:t>
      </w:r>
      <w:r w:rsidR="00BA1766">
        <w:rPr>
          <w:bCs/>
        </w:rPr>
        <w:t>ос</w:t>
      </w:r>
      <w:r w:rsidRPr="00BE0E52">
        <w:rPr>
          <w:bCs/>
        </w:rPr>
        <w:t>программой (в ред. от 24.12.2018) утверждены расходы в сумме 6 029 872,3 тыс. руб., что соответствует редакции Закона об областном бюджете от 19.09.2018 и не учитывает изменения в Закон об областном бюджете в окончательной редакции от 20.11.2018. В результате</w:t>
      </w:r>
      <w:r w:rsidR="00BA1766">
        <w:rPr>
          <w:bCs/>
        </w:rPr>
        <w:t xml:space="preserve"> объем финансирования </w:t>
      </w:r>
      <w:r w:rsidR="0097090D">
        <w:rPr>
          <w:bCs/>
        </w:rPr>
        <w:t>Г</w:t>
      </w:r>
      <w:r w:rsidR="00BA1766">
        <w:rPr>
          <w:bCs/>
        </w:rPr>
        <w:t xml:space="preserve">оспрограммы </w:t>
      </w:r>
      <w:r w:rsidRPr="00BE0E52">
        <w:rPr>
          <w:bCs/>
        </w:rPr>
        <w:t xml:space="preserve"> </w:t>
      </w:r>
      <w:r w:rsidR="00BA1766">
        <w:rPr>
          <w:bCs/>
        </w:rPr>
        <w:t xml:space="preserve">не приведен в соответствие с Законом об областном бюджете, чем не соблюден </w:t>
      </w:r>
      <w:r w:rsidRPr="00BE0E52">
        <w:rPr>
          <w:bCs/>
        </w:rPr>
        <w:t xml:space="preserve">п. 4.3 Порядка разработки, реализации и оценки эффективности реализации государственных программ </w:t>
      </w:r>
      <w:r w:rsidRPr="00BE0E52">
        <w:rPr>
          <w:bCs/>
        </w:rPr>
        <w:lastRenderedPageBreak/>
        <w:t>Волгоградской области, утвержденного постановлением Правительства</w:t>
      </w:r>
      <w:r>
        <w:rPr>
          <w:bCs/>
        </w:rPr>
        <w:t xml:space="preserve"> РФ от 27.08.</w:t>
      </w:r>
      <w:r w:rsidRPr="00CE02F8">
        <w:rPr>
          <w:bCs/>
        </w:rPr>
        <w:t>2013 № 423-п</w:t>
      </w:r>
      <w:r w:rsidR="00E23302">
        <w:rPr>
          <w:bCs/>
        </w:rPr>
        <w:t xml:space="preserve"> </w:t>
      </w:r>
      <w:r w:rsidR="00BA1766" w:rsidRPr="00CE02F8">
        <w:rPr>
          <w:bCs/>
        </w:rPr>
        <w:t>(далее – По</w:t>
      </w:r>
      <w:r w:rsidR="00A77D1A" w:rsidRPr="00CE02F8">
        <w:rPr>
          <w:bCs/>
        </w:rPr>
        <w:t>рядок</w:t>
      </w:r>
      <w:r w:rsidR="00BA1766" w:rsidRPr="00CE02F8">
        <w:rPr>
          <w:bCs/>
        </w:rPr>
        <w:t xml:space="preserve"> № 423-п).</w:t>
      </w:r>
    </w:p>
    <w:p w14:paraId="3FD1DA9A" w14:textId="77777777" w:rsidR="00320516" w:rsidRDefault="006C046C" w:rsidP="00320516">
      <w:pPr>
        <w:autoSpaceDE w:val="0"/>
        <w:autoSpaceDN w:val="0"/>
        <w:adjustRightInd w:val="0"/>
        <w:ind w:firstLine="680"/>
        <w:jc w:val="both"/>
        <w:rPr>
          <w:bCs/>
        </w:rPr>
      </w:pPr>
      <w:r w:rsidRPr="00CE02F8">
        <w:rPr>
          <w:bCs/>
        </w:rPr>
        <w:t>В Законе об областном бюджете с</w:t>
      </w:r>
      <w:r w:rsidR="00320516" w:rsidRPr="00CE02F8">
        <w:rPr>
          <w:bCs/>
        </w:rPr>
        <w:t>окращен</w:t>
      </w:r>
      <w:r w:rsidRPr="00CE02F8">
        <w:rPr>
          <w:bCs/>
        </w:rPr>
        <w:t>ы</w:t>
      </w:r>
      <w:r w:rsidR="00320516" w:rsidRPr="00CE02F8">
        <w:rPr>
          <w:bCs/>
        </w:rPr>
        <w:t xml:space="preserve"> расход</w:t>
      </w:r>
      <w:r w:rsidRPr="00CE02F8">
        <w:rPr>
          <w:bCs/>
        </w:rPr>
        <w:t>ы на</w:t>
      </w:r>
      <w:r w:rsidR="00320516" w:rsidRPr="00CE02F8">
        <w:rPr>
          <w:bCs/>
        </w:rPr>
        <w:t xml:space="preserve"> 30 000,0 тыс. руб., в т</w:t>
      </w:r>
      <w:r w:rsidRPr="00CE02F8">
        <w:rPr>
          <w:bCs/>
        </w:rPr>
        <w:t>.ч.</w:t>
      </w:r>
      <w:r w:rsidR="00320516" w:rsidRPr="00CE02F8">
        <w:rPr>
          <w:bCs/>
        </w:rPr>
        <w:t xml:space="preserve"> на</w:t>
      </w:r>
      <w:r w:rsidR="00320516">
        <w:rPr>
          <w:bCs/>
        </w:rPr>
        <w:t xml:space="preserve"> обслуживание государственного долга Волгоградской области </w:t>
      </w:r>
      <w:r>
        <w:rPr>
          <w:bCs/>
        </w:rPr>
        <w:t xml:space="preserve">уменьшены </w:t>
      </w:r>
      <w:r w:rsidR="00320516">
        <w:rPr>
          <w:bCs/>
        </w:rPr>
        <w:t>на 150 000,0 тыс. руб. и увеличен</w:t>
      </w:r>
      <w:r>
        <w:rPr>
          <w:bCs/>
        </w:rPr>
        <w:t xml:space="preserve">ы на оказание </w:t>
      </w:r>
      <w:r w:rsidR="00320516">
        <w:rPr>
          <w:bCs/>
        </w:rPr>
        <w:t xml:space="preserve">финансовой поддержки местных бюджетов на 120 000,0 тыс. рублей. </w:t>
      </w:r>
      <w:r w:rsidR="00320516" w:rsidRPr="00153394">
        <w:rPr>
          <w:bCs/>
        </w:rPr>
        <w:t xml:space="preserve"> </w:t>
      </w:r>
    </w:p>
    <w:p w14:paraId="70BC0ABA" w14:textId="77777777" w:rsidR="0097090D" w:rsidRDefault="00320516" w:rsidP="00320516">
      <w:pPr>
        <w:autoSpaceDE w:val="0"/>
        <w:autoSpaceDN w:val="0"/>
        <w:adjustRightInd w:val="0"/>
        <w:ind w:firstLine="680"/>
        <w:jc w:val="both"/>
        <w:rPr>
          <w:rFonts w:eastAsia="Times New Roman"/>
        </w:rPr>
      </w:pPr>
      <w:r w:rsidRPr="00CF60CA">
        <w:rPr>
          <w:bCs/>
        </w:rPr>
        <w:t xml:space="preserve">Сводной бюджетной росписью расходы утверждены в сумме 6 050 467,3 тыс. руб., что больше утвержденного </w:t>
      </w:r>
      <w:r>
        <w:rPr>
          <w:bCs/>
        </w:rPr>
        <w:t>З</w:t>
      </w:r>
      <w:r w:rsidRPr="00CF60CA">
        <w:rPr>
          <w:bCs/>
        </w:rPr>
        <w:t>аконом о</w:t>
      </w:r>
      <w:r>
        <w:rPr>
          <w:bCs/>
        </w:rPr>
        <w:t xml:space="preserve">б областном </w:t>
      </w:r>
      <w:r w:rsidRPr="00CF60CA">
        <w:rPr>
          <w:bCs/>
        </w:rPr>
        <w:t xml:space="preserve"> бюджете и </w:t>
      </w:r>
      <w:r w:rsidR="0097090D">
        <w:rPr>
          <w:bCs/>
        </w:rPr>
        <w:t>Г</w:t>
      </w:r>
      <w:r w:rsidR="0049618C">
        <w:rPr>
          <w:bCs/>
        </w:rPr>
        <w:t>ос</w:t>
      </w:r>
      <w:r>
        <w:rPr>
          <w:bCs/>
        </w:rPr>
        <w:t>программой</w:t>
      </w:r>
      <w:r w:rsidR="0049618C">
        <w:rPr>
          <w:bCs/>
        </w:rPr>
        <w:t xml:space="preserve"> объема финансирования соответственно на </w:t>
      </w:r>
      <w:r w:rsidR="0049618C" w:rsidRPr="00CF60CA">
        <w:rPr>
          <w:bCs/>
        </w:rPr>
        <w:t>50 595,0 тыс. руб. и 20 595,0 тыс. руб.</w:t>
      </w:r>
      <w:r>
        <w:rPr>
          <w:bCs/>
        </w:rPr>
        <w:t>, в т</w:t>
      </w:r>
      <w:r w:rsidR="00D43F38">
        <w:rPr>
          <w:bCs/>
        </w:rPr>
        <w:t>.ч.</w:t>
      </w:r>
      <w:r>
        <w:rPr>
          <w:bCs/>
        </w:rPr>
        <w:t xml:space="preserve"> за счет МБТ</w:t>
      </w:r>
      <w:r w:rsidRPr="000E2D20">
        <w:rPr>
          <w:bCs/>
        </w:rPr>
        <w:t>, передаваемы</w:t>
      </w:r>
      <w:r>
        <w:rPr>
          <w:bCs/>
        </w:rPr>
        <w:t>х бюджетам</w:t>
      </w:r>
      <w:r w:rsidRPr="000E2D20">
        <w:rPr>
          <w:bCs/>
        </w:rPr>
        <w:t xml:space="preserve"> </w:t>
      </w:r>
      <w:r>
        <w:rPr>
          <w:bCs/>
        </w:rPr>
        <w:t>из</w:t>
      </w:r>
      <w:r w:rsidRPr="000E2D20">
        <w:rPr>
          <w:bCs/>
        </w:rPr>
        <w:t xml:space="preserve"> </w:t>
      </w:r>
      <w:r w:rsidRPr="00B759D7">
        <w:rPr>
          <w:bCs/>
        </w:rPr>
        <w:t>средств резервного фонда Правительства РФ</w:t>
      </w:r>
      <w:r w:rsidR="009A5964">
        <w:rPr>
          <w:bCs/>
        </w:rPr>
        <w:t>,</w:t>
      </w:r>
      <w:r w:rsidRPr="00B759D7">
        <w:rPr>
          <w:bCs/>
        </w:rPr>
        <w:t xml:space="preserve"> в </w:t>
      </w:r>
      <w:r w:rsidRPr="00B30874">
        <w:rPr>
          <w:bCs/>
        </w:rPr>
        <w:t>сумме 57 200,0 тыс. руб. (поступили в ноябре 2018 года)</w:t>
      </w:r>
      <w:r w:rsidR="00B30874" w:rsidRPr="00B30874">
        <w:rPr>
          <w:bCs/>
        </w:rPr>
        <w:t>.</w:t>
      </w:r>
    </w:p>
    <w:p w14:paraId="78F47807" w14:textId="77777777" w:rsidR="00320516" w:rsidRPr="00962CED" w:rsidRDefault="00320516" w:rsidP="00320516">
      <w:pPr>
        <w:autoSpaceDE w:val="0"/>
        <w:autoSpaceDN w:val="0"/>
        <w:adjustRightInd w:val="0"/>
        <w:ind w:firstLine="680"/>
        <w:jc w:val="both"/>
        <w:rPr>
          <w:bCs/>
        </w:rPr>
      </w:pPr>
      <w:r w:rsidRPr="00962CED">
        <w:rPr>
          <w:bCs/>
        </w:rPr>
        <w:t xml:space="preserve">Фактически мероприятия </w:t>
      </w:r>
      <w:r w:rsidRPr="00BE0E52">
        <w:rPr>
          <w:bCs/>
        </w:rPr>
        <w:t>Г</w:t>
      </w:r>
      <w:r w:rsidR="0097090D">
        <w:rPr>
          <w:bCs/>
        </w:rPr>
        <w:t>оспрограммы</w:t>
      </w:r>
      <w:r w:rsidRPr="00BE0E52">
        <w:rPr>
          <w:bCs/>
        </w:rPr>
        <w:t xml:space="preserve"> </w:t>
      </w:r>
      <w:r w:rsidRPr="00962CED">
        <w:rPr>
          <w:bCs/>
        </w:rPr>
        <w:t>про</w:t>
      </w:r>
      <w:r w:rsidR="0097090D">
        <w:rPr>
          <w:bCs/>
        </w:rPr>
        <w:t>финансированы на 5 </w:t>
      </w:r>
      <w:r w:rsidRPr="00962CED">
        <w:rPr>
          <w:bCs/>
        </w:rPr>
        <w:t xml:space="preserve">849 616,1 тыс. руб., или на </w:t>
      </w:r>
      <w:r w:rsidRPr="00962CED">
        <w:t>200</w:t>
      </w:r>
      <w:r>
        <w:t> </w:t>
      </w:r>
      <w:r w:rsidRPr="00962CED">
        <w:t>851,2</w:t>
      </w:r>
      <w:r w:rsidRPr="00962CED">
        <w:rPr>
          <w:bCs/>
        </w:rPr>
        <w:t xml:space="preserve"> тыс. руб. </w:t>
      </w:r>
      <w:r>
        <w:rPr>
          <w:bCs/>
        </w:rPr>
        <w:t xml:space="preserve">(-3,3%) </w:t>
      </w:r>
      <w:r w:rsidRPr="00962CED">
        <w:rPr>
          <w:bCs/>
        </w:rPr>
        <w:t>меньше утвержденных росписью ассигнований</w:t>
      </w:r>
      <w:r>
        <w:rPr>
          <w:bCs/>
        </w:rPr>
        <w:t xml:space="preserve">. </w:t>
      </w:r>
    </w:p>
    <w:p w14:paraId="55ADAB7D" w14:textId="77777777" w:rsidR="0097090D" w:rsidRDefault="00320516" w:rsidP="00320516">
      <w:pPr>
        <w:autoSpaceDE w:val="0"/>
        <w:autoSpaceDN w:val="0"/>
        <w:adjustRightInd w:val="0"/>
        <w:ind w:firstLine="680"/>
        <w:jc w:val="both"/>
        <w:rPr>
          <w:lang w:eastAsia="en-US"/>
        </w:rPr>
      </w:pPr>
      <w:r w:rsidRPr="00962CED">
        <w:rPr>
          <w:lang w:eastAsia="en-US"/>
        </w:rPr>
        <w:t>Информация о плановых и фактических расходах областного бюджета в разрезе</w:t>
      </w:r>
      <w:r w:rsidRPr="00621C2B">
        <w:rPr>
          <w:lang w:eastAsia="en-US"/>
        </w:rPr>
        <w:t xml:space="preserve"> подпрограмм и программных мероприятий в 2018 году представлена в </w:t>
      </w:r>
      <w:r w:rsidR="0097090D" w:rsidRPr="008F7695">
        <w:rPr>
          <w:color w:val="17365D" w:themeColor="text2" w:themeShade="BF"/>
          <w:lang w:eastAsia="en-US"/>
        </w:rPr>
        <w:t>приложении №</w:t>
      </w:r>
      <w:r w:rsidR="008F7695" w:rsidRPr="008F7695">
        <w:rPr>
          <w:color w:val="17365D" w:themeColor="text2" w:themeShade="BF"/>
          <w:lang w:eastAsia="en-US"/>
        </w:rPr>
        <w:t xml:space="preserve"> </w:t>
      </w:r>
      <w:r w:rsidR="00CC6833">
        <w:rPr>
          <w:color w:val="17365D" w:themeColor="text2" w:themeShade="BF"/>
          <w:lang w:eastAsia="en-US"/>
        </w:rPr>
        <w:t>6</w:t>
      </w:r>
      <w:r w:rsidR="0097090D" w:rsidRPr="008F7695">
        <w:rPr>
          <w:color w:val="17365D" w:themeColor="text2" w:themeShade="BF"/>
          <w:lang w:eastAsia="en-US"/>
        </w:rPr>
        <w:t>.</w:t>
      </w:r>
    </w:p>
    <w:p w14:paraId="0298B980" w14:textId="77777777" w:rsidR="0097090D" w:rsidRPr="006A6850" w:rsidRDefault="0097090D" w:rsidP="0097090D">
      <w:pPr>
        <w:autoSpaceDE w:val="0"/>
        <w:autoSpaceDN w:val="0"/>
        <w:adjustRightInd w:val="0"/>
        <w:ind w:firstLine="680"/>
        <w:jc w:val="both"/>
        <w:rPr>
          <w:lang w:eastAsia="en-US"/>
        </w:rPr>
      </w:pPr>
      <w:r w:rsidRPr="006A6850">
        <w:rPr>
          <w:lang w:eastAsia="en-US"/>
        </w:rPr>
        <w:t xml:space="preserve">Неисполненные назначения сложились в основном за счет экономии средств на выплату процентов по кредитам коммерческих банков на </w:t>
      </w:r>
      <w:r w:rsidRPr="006A6850">
        <w:rPr>
          <w:color w:val="000000"/>
        </w:rPr>
        <w:t xml:space="preserve">111 896,2 тыс. руб. </w:t>
      </w:r>
      <w:r w:rsidR="009C7D65">
        <w:rPr>
          <w:color w:val="000000"/>
        </w:rPr>
        <w:t>(</w:t>
      </w:r>
      <w:r w:rsidRPr="006A6850">
        <w:rPr>
          <w:lang w:eastAsia="en-US"/>
        </w:rPr>
        <w:t>в связи с неполным исполнением программы заимствований</w:t>
      </w:r>
      <w:r w:rsidR="009C7D65">
        <w:rPr>
          <w:lang w:eastAsia="en-US"/>
        </w:rPr>
        <w:t>)</w:t>
      </w:r>
      <w:r w:rsidRPr="006A6850">
        <w:rPr>
          <w:lang w:eastAsia="en-US"/>
        </w:rPr>
        <w:t xml:space="preserve"> </w:t>
      </w:r>
      <w:r w:rsidRPr="006A6850">
        <w:rPr>
          <w:color w:val="000000"/>
        </w:rPr>
        <w:t xml:space="preserve">и по предоставлению </w:t>
      </w:r>
      <w:r w:rsidRPr="006A6850">
        <w:rPr>
          <w:rFonts w:eastAsia="Times New Roman"/>
        </w:rPr>
        <w:t xml:space="preserve">дотаций на поддержку мер по обеспечению сбалансированности местных бюджетов на </w:t>
      </w:r>
      <w:r w:rsidRPr="006A6850">
        <w:rPr>
          <w:color w:val="000000"/>
        </w:rPr>
        <w:t xml:space="preserve">85 862,2 тыс. руб. </w:t>
      </w:r>
      <w:r w:rsidR="009C7D65">
        <w:rPr>
          <w:color w:val="000000"/>
        </w:rPr>
        <w:t>(</w:t>
      </w:r>
      <w:r w:rsidRPr="006A6850">
        <w:rPr>
          <w:color w:val="000000"/>
        </w:rPr>
        <w:t>в связи с оказанием данного вида поддержки при необходимости финансирования потребности в решении отдельных вопросов местного значения</w:t>
      </w:r>
      <w:r w:rsidR="009C7D65">
        <w:rPr>
          <w:color w:val="000000"/>
        </w:rPr>
        <w:t>)</w:t>
      </w:r>
      <w:r w:rsidRPr="006A6850">
        <w:rPr>
          <w:color w:val="000000"/>
        </w:rPr>
        <w:t>.</w:t>
      </w:r>
    </w:p>
    <w:p w14:paraId="381103DF" w14:textId="77777777" w:rsidR="0097090D" w:rsidRDefault="0097090D" w:rsidP="00815DF5">
      <w:pPr>
        <w:ind w:firstLine="680"/>
        <w:jc w:val="both"/>
      </w:pPr>
      <w:r w:rsidRPr="006A6850">
        <w:t xml:space="preserve">К проверке представлен годовой доклад о ходе реализации </w:t>
      </w:r>
      <w:r w:rsidRPr="006A6850">
        <w:rPr>
          <w:bCs/>
        </w:rPr>
        <w:t>Г</w:t>
      </w:r>
      <w:r w:rsidR="009C7D65">
        <w:rPr>
          <w:bCs/>
        </w:rPr>
        <w:t>оспрограммы</w:t>
      </w:r>
      <w:r w:rsidRPr="00CF60CA">
        <w:rPr>
          <w:bCs/>
        </w:rPr>
        <w:t xml:space="preserve"> </w:t>
      </w:r>
      <w:r w:rsidRPr="00CF60CA">
        <w:t>в 2018 году</w:t>
      </w:r>
      <w:r w:rsidR="00815DF5">
        <w:t xml:space="preserve"> (далее – Доклад)</w:t>
      </w:r>
      <w:r w:rsidR="00D41682">
        <w:t>.</w:t>
      </w:r>
      <w:r w:rsidR="00815DF5">
        <w:t xml:space="preserve"> </w:t>
      </w:r>
      <w:r w:rsidRPr="00CF60CA">
        <w:t xml:space="preserve">Информация о достижении целевых показателей в 2018 году представлена в </w:t>
      </w:r>
      <w:r w:rsidR="009C7D65" w:rsidRPr="009D787F">
        <w:rPr>
          <w:color w:val="17365D" w:themeColor="text2" w:themeShade="BF"/>
        </w:rPr>
        <w:t>приложении №</w:t>
      </w:r>
      <w:r w:rsidR="009D787F" w:rsidRPr="009D787F">
        <w:rPr>
          <w:color w:val="17365D" w:themeColor="text2" w:themeShade="BF"/>
        </w:rPr>
        <w:t xml:space="preserve"> </w:t>
      </w:r>
      <w:r w:rsidR="00CC6833">
        <w:rPr>
          <w:color w:val="17365D" w:themeColor="text2" w:themeShade="BF"/>
        </w:rPr>
        <w:t>7</w:t>
      </w:r>
      <w:r w:rsidR="009C7D65" w:rsidRPr="009D787F">
        <w:t>.</w:t>
      </w:r>
    </w:p>
    <w:p w14:paraId="7FCE4778" w14:textId="77777777" w:rsidR="00D41682" w:rsidRDefault="00815DF5" w:rsidP="00D41682">
      <w:pPr>
        <w:autoSpaceDE w:val="0"/>
        <w:autoSpaceDN w:val="0"/>
        <w:adjustRightInd w:val="0"/>
        <w:ind w:firstLine="709"/>
        <w:jc w:val="both"/>
      </w:pPr>
      <w:r>
        <w:rPr>
          <w:lang w:eastAsia="en-US"/>
        </w:rPr>
        <w:t>Согласно Докладу и</w:t>
      </w:r>
      <w:r w:rsidR="00D41682" w:rsidRPr="00962CED">
        <w:rPr>
          <w:lang w:eastAsia="en-US"/>
        </w:rPr>
        <w:t>з 16</w:t>
      </w:r>
      <w:r>
        <w:rPr>
          <w:lang w:eastAsia="en-US"/>
        </w:rPr>
        <w:t>-ти целевых</w:t>
      </w:r>
      <w:r w:rsidR="00D41682" w:rsidRPr="00962CED">
        <w:rPr>
          <w:lang w:eastAsia="en-US"/>
        </w:rPr>
        <w:t xml:space="preserve"> показателей не исполнен 1 показатель</w:t>
      </w:r>
      <w:r w:rsidR="00D41682" w:rsidRPr="00962CED">
        <w:t xml:space="preserve"> «Соотношение суммы просроченной задолженности по кредитам, предоставленным физическим лицам Волгоградской области, в расчете на одного жителя к аналогичному показателю в среднем по Российской Федерации»</w:t>
      </w:r>
      <w:r>
        <w:t xml:space="preserve"> </w:t>
      </w:r>
      <w:r w:rsidR="002C3711">
        <w:t xml:space="preserve">подпрограммы «Повышение финансовой грамотности населения в Волгоградской области» </w:t>
      </w:r>
      <w:r>
        <w:t>- п</w:t>
      </w:r>
      <w:r w:rsidR="00D41682" w:rsidRPr="00962CED">
        <w:t xml:space="preserve">ри плане не более 90% по итогам 2018 года значение этого показателя по данным </w:t>
      </w:r>
      <w:r w:rsidR="00D41682" w:rsidRPr="00962CED">
        <w:rPr>
          <w:color w:val="000000"/>
          <w:shd w:val="clear" w:color="auto" w:fill="FFFFFF"/>
        </w:rPr>
        <w:t>Центрального банка Р</w:t>
      </w:r>
      <w:r>
        <w:rPr>
          <w:color w:val="000000"/>
          <w:shd w:val="clear" w:color="auto" w:fill="FFFFFF"/>
        </w:rPr>
        <w:t>Ф</w:t>
      </w:r>
      <w:r w:rsidR="00D41682" w:rsidRPr="00962CED">
        <w:t xml:space="preserve"> составило 91,5 процента.</w:t>
      </w:r>
    </w:p>
    <w:p w14:paraId="2798C60C" w14:textId="77777777" w:rsidR="00D41682" w:rsidRPr="00FF47E0" w:rsidRDefault="00D41682" w:rsidP="00D41682">
      <w:pPr>
        <w:autoSpaceDE w:val="0"/>
        <w:autoSpaceDN w:val="0"/>
        <w:adjustRightInd w:val="0"/>
        <w:ind w:firstLine="709"/>
        <w:jc w:val="both"/>
      </w:pPr>
      <w:r w:rsidRPr="00FF47E0">
        <w:t>За 2018 год отмечается значительное перевыполнение трех показателей подпрограмм</w:t>
      </w:r>
      <w:r w:rsidR="008C00A1">
        <w:t>, в т.ч. двух показателей подпрограммы</w:t>
      </w:r>
      <w:r w:rsidR="009A0B06">
        <w:t xml:space="preserve"> </w:t>
      </w:r>
      <w:r w:rsidR="009A0B06">
        <w:rPr>
          <w:rFonts w:eastAsia="Times New Roman"/>
        </w:rPr>
        <w:t>«</w:t>
      </w:r>
      <w:r w:rsidR="009A0B06">
        <w:t>Создание и развитие информационных систем в сфере управления общественными финансами Волгоградской области»</w:t>
      </w:r>
      <w:r w:rsidRPr="00FF47E0">
        <w:t>:</w:t>
      </w:r>
    </w:p>
    <w:p w14:paraId="2AF29327" w14:textId="77777777" w:rsidR="00D41682" w:rsidRPr="00FF47E0" w:rsidRDefault="00D41682" w:rsidP="00D41682">
      <w:pPr>
        <w:autoSpaceDE w:val="0"/>
        <w:autoSpaceDN w:val="0"/>
        <w:adjustRightInd w:val="0"/>
        <w:ind w:firstLine="709"/>
        <w:jc w:val="both"/>
      </w:pPr>
      <w:r w:rsidRPr="00FF47E0">
        <w:t>- «</w:t>
      </w:r>
      <w:r w:rsidRPr="00FF47E0">
        <w:rPr>
          <w:rFonts w:eastAsia="Times New Roman"/>
        </w:rPr>
        <w:t>Доля автоматизированных рабочих мест комитета финансов Волгоградской области, соответствующих требованиям информационных систем…»</w:t>
      </w:r>
      <w:r w:rsidR="002C3711">
        <w:rPr>
          <w:rFonts w:eastAsia="Times New Roman"/>
        </w:rPr>
        <w:t xml:space="preserve"> </w:t>
      </w:r>
      <w:r w:rsidR="000308B7">
        <w:rPr>
          <w:rFonts w:eastAsia="Times New Roman"/>
        </w:rPr>
        <w:t>-</w:t>
      </w:r>
      <w:r w:rsidRPr="00FF47E0">
        <w:rPr>
          <w:rFonts w:eastAsia="Times New Roman"/>
        </w:rPr>
        <w:t xml:space="preserve"> 91,</w:t>
      </w:r>
      <w:r>
        <w:rPr>
          <w:rFonts w:eastAsia="Times New Roman"/>
        </w:rPr>
        <w:t>06</w:t>
      </w:r>
      <w:r w:rsidRPr="00FF47E0">
        <w:rPr>
          <w:rFonts w:eastAsia="Times New Roman"/>
        </w:rPr>
        <w:t xml:space="preserve">% </w:t>
      </w:r>
      <w:r w:rsidR="000C03F6">
        <w:rPr>
          <w:rFonts w:eastAsia="Times New Roman"/>
        </w:rPr>
        <w:t>при плане</w:t>
      </w:r>
      <w:r w:rsidRPr="00FF47E0">
        <w:rPr>
          <w:rFonts w:eastAsia="Times New Roman"/>
        </w:rPr>
        <w:t xml:space="preserve"> </w:t>
      </w:r>
      <w:r>
        <w:rPr>
          <w:rFonts w:eastAsia="Times New Roman"/>
        </w:rPr>
        <w:t xml:space="preserve">не менее 80% на все годы действия </w:t>
      </w:r>
      <w:r w:rsidR="0008689D">
        <w:rPr>
          <w:rFonts w:eastAsia="Times New Roman"/>
        </w:rPr>
        <w:t>Гос</w:t>
      </w:r>
      <w:r>
        <w:rPr>
          <w:rFonts w:eastAsia="Times New Roman"/>
        </w:rPr>
        <w:t xml:space="preserve">программы (в 2016 и 2017 годах фактическое значение составило соответственно 81,0% и 82,2%). Повышение доли АРМ в 2018 году Облфином объясняется закупкой оборудования и программного обеспечения, </w:t>
      </w:r>
      <w:r w:rsidRPr="00FF47E0">
        <w:rPr>
          <w:rFonts w:eastAsia="Times New Roman"/>
        </w:rPr>
        <w:t>соответствующих требованиям информационных систем</w:t>
      </w:r>
      <w:r>
        <w:rPr>
          <w:rFonts w:eastAsia="Times New Roman"/>
        </w:rPr>
        <w:t>;</w:t>
      </w:r>
    </w:p>
    <w:p w14:paraId="3703FC03" w14:textId="77777777" w:rsidR="00D41682" w:rsidRDefault="00D41682" w:rsidP="00D41682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BD12F0">
        <w:t>- «</w:t>
      </w:r>
      <w:r w:rsidRPr="00BD12F0">
        <w:rPr>
          <w:rFonts w:eastAsia="Times New Roman"/>
        </w:rPr>
        <w:t xml:space="preserve">Доля юридически значимых электронных документов в общем объеме документов по организации исполнения бюджета» - </w:t>
      </w:r>
      <w:r>
        <w:rPr>
          <w:rFonts w:eastAsia="Times New Roman"/>
        </w:rPr>
        <w:t>68,2</w:t>
      </w:r>
      <w:r w:rsidRPr="00BD12F0">
        <w:rPr>
          <w:rFonts w:eastAsia="Times New Roman"/>
        </w:rPr>
        <w:t>% при план</w:t>
      </w:r>
      <w:r w:rsidR="0008689D">
        <w:rPr>
          <w:rFonts w:eastAsia="Times New Roman"/>
        </w:rPr>
        <w:t>е</w:t>
      </w:r>
      <w:r w:rsidRPr="00BD12F0">
        <w:rPr>
          <w:rFonts w:eastAsia="Times New Roman"/>
        </w:rPr>
        <w:t xml:space="preserve"> не менее </w:t>
      </w:r>
      <w:r>
        <w:rPr>
          <w:rFonts w:eastAsia="Times New Roman"/>
        </w:rPr>
        <w:t>3</w:t>
      </w:r>
      <w:r w:rsidRPr="00BD12F0">
        <w:rPr>
          <w:rFonts w:eastAsia="Times New Roman"/>
        </w:rPr>
        <w:t>0% на</w:t>
      </w:r>
      <w:r>
        <w:rPr>
          <w:rFonts w:eastAsia="Times New Roman"/>
        </w:rPr>
        <w:t xml:space="preserve"> все годы действия </w:t>
      </w:r>
      <w:r w:rsidR="0008689D">
        <w:rPr>
          <w:rFonts w:eastAsia="Times New Roman"/>
        </w:rPr>
        <w:t>Гос</w:t>
      </w:r>
      <w:r>
        <w:rPr>
          <w:rFonts w:eastAsia="Times New Roman"/>
        </w:rPr>
        <w:t>программы (</w:t>
      </w:r>
      <w:r w:rsidRPr="00BD12F0">
        <w:rPr>
          <w:rFonts w:eastAsia="Times New Roman"/>
        </w:rPr>
        <w:t xml:space="preserve">в 2017 году </w:t>
      </w:r>
      <w:r w:rsidR="0008689D">
        <w:rPr>
          <w:rFonts w:eastAsia="Times New Roman"/>
        </w:rPr>
        <w:t>-</w:t>
      </w:r>
      <w:r w:rsidRPr="00BD12F0">
        <w:rPr>
          <w:rFonts w:eastAsia="Times New Roman"/>
        </w:rPr>
        <w:t xml:space="preserve"> </w:t>
      </w:r>
      <w:r>
        <w:rPr>
          <w:rFonts w:eastAsia="Times New Roman"/>
        </w:rPr>
        <w:t>36,6</w:t>
      </w:r>
      <w:r w:rsidRPr="00BD12F0">
        <w:rPr>
          <w:rFonts w:eastAsia="Times New Roman"/>
        </w:rPr>
        <w:t>%)</w:t>
      </w:r>
      <w:r w:rsidR="00872ECF">
        <w:rPr>
          <w:rFonts w:eastAsia="Times New Roman"/>
        </w:rPr>
        <w:t>;</w:t>
      </w:r>
    </w:p>
    <w:p w14:paraId="2EE7C573" w14:textId="77777777" w:rsidR="00872ECF" w:rsidRDefault="00872ECF" w:rsidP="00D41682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>
        <w:t xml:space="preserve">- </w:t>
      </w:r>
      <w:r w:rsidRPr="002D07F4">
        <w:t>«</w:t>
      </w:r>
      <w:r w:rsidRPr="002D07F4">
        <w:rPr>
          <w:rFonts w:eastAsia="Times New Roman"/>
        </w:rPr>
        <w:t xml:space="preserve">Количество детей, прошедших обучение основам финансовой грамотности» </w:t>
      </w:r>
      <w:r>
        <w:rPr>
          <w:rFonts w:eastAsia="Times New Roman"/>
        </w:rPr>
        <w:t>подпрограммы «</w:t>
      </w:r>
      <w:r>
        <w:t xml:space="preserve">Повышение финансовой грамотности населения в Волгоградской области» </w:t>
      </w:r>
      <w:r w:rsidRPr="002D07F4">
        <w:rPr>
          <w:rFonts w:eastAsia="Times New Roman"/>
        </w:rPr>
        <w:t>-  14 486 чел</w:t>
      </w:r>
      <w:r>
        <w:rPr>
          <w:rFonts w:eastAsia="Times New Roman"/>
        </w:rPr>
        <w:t>.</w:t>
      </w:r>
      <w:r w:rsidRPr="002D07F4">
        <w:rPr>
          <w:rFonts w:eastAsia="Times New Roman"/>
        </w:rPr>
        <w:t xml:space="preserve"> при план</w:t>
      </w:r>
      <w:r>
        <w:rPr>
          <w:rFonts w:eastAsia="Times New Roman"/>
        </w:rPr>
        <w:t>е</w:t>
      </w:r>
      <w:r w:rsidRPr="002D07F4">
        <w:rPr>
          <w:rFonts w:eastAsia="Times New Roman"/>
        </w:rPr>
        <w:t xml:space="preserve"> не менее 10 000 чел</w:t>
      </w:r>
      <w:r>
        <w:rPr>
          <w:rFonts w:eastAsia="Times New Roman"/>
        </w:rPr>
        <w:t>.</w:t>
      </w:r>
      <w:r w:rsidRPr="002D07F4">
        <w:rPr>
          <w:rFonts w:eastAsia="Times New Roman"/>
        </w:rPr>
        <w:t xml:space="preserve"> на все годы действия </w:t>
      </w:r>
      <w:r>
        <w:rPr>
          <w:rFonts w:eastAsia="Times New Roman"/>
        </w:rPr>
        <w:t>Гос</w:t>
      </w:r>
      <w:r w:rsidRPr="002D07F4">
        <w:rPr>
          <w:rFonts w:eastAsia="Times New Roman"/>
        </w:rPr>
        <w:t>программы (в 2017 году</w:t>
      </w:r>
      <w:r>
        <w:rPr>
          <w:rFonts w:eastAsia="Times New Roman"/>
        </w:rPr>
        <w:t xml:space="preserve"> -</w:t>
      </w:r>
      <w:r w:rsidRPr="002D07F4">
        <w:rPr>
          <w:rFonts w:eastAsia="Times New Roman"/>
        </w:rPr>
        <w:t xml:space="preserve"> 11</w:t>
      </w:r>
      <w:r>
        <w:rPr>
          <w:rFonts w:eastAsia="Times New Roman"/>
        </w:rPr>
        <w:t> </w:t>
      </w:r>
      <w:r w:rsidRPr="002D07F4">
        <w:rPr>
          <w:rFonts w:eastAsia="Times New Roman"/>
        </w:rPr>
        <w:t>062</w:t>
      </w:r>
      <w:r>
        <w:rPr>
          <w:rFonts w:eastAsia="Times New Roman"/>
        </w:rPr>
        <w:t xml:space="preserve"> чел.</w:t>
      </w:r>
      <w:r w:rsidRPr="002D07F4">
        <w:rPr>
          <w:rFonts w:eastAsia="Times New Roman"/>
        </w:rPr>
        <w:t>)</w:t>
      </w:r>
      <w:r>
        <w:rPr>
          <w:rFonts w:eastAsia="Times New Roman"/>
        </w:rPr>
        <w:t>. Превышение количества детей, прошедших обучение в 2018 году, Облфином объясняется пиковым наслоением образовательных программ по повышению финансовой грамотности, начатых в предыдущие годы и в 2018 году, имеющих трехлетний срок реализации</w:t>
      </w:r>
      <w:r w:rsidRPr="002D07F4">
        <w:rPr>
          <w:rFonts w:eastAsia="Times New Roman"/>
        </w:rPr>
        <w:t>.</w:t>
      </w:r>
    </w:p>
    <w:p w14:paraId="0C8E95C3" w14:textId="77777777" w:rsidR="008C00A1" w:rsidRPr="008B6E0B" w:rsidRDefault="009C4BC0" w:rsidP="001E0552">
      <w:pPr>
        <w:autoSpaceDE w:val="0"/>
        <w:autoSpaceDN w:val="0"/>
        <w:adjustRightInd w:val="0"/>
        <w:ind w:firstLine="709"/>
        <w:jc w:val="both"/>
        <w:rPr>
          <w:i/>
        </w:rPr>
      </w:pPr>
      <w:r>
        <w:rPr>
          <w:rFonts w:eastAsia="Times New Roman"/>
        </w:rPr>
        <w:t xml:space="preserve">В </w:t>
      </w:r>
      <w:r w:rsidR="00872ECF">
        <w:rPr>
          <w:rFonts w:eastAsia="Times New Roman"/>
        </w:rPr>
        <w:t xml:space="preserve">соответствии с п. 2.5 Порядка № 423-п целевой показатель  должен очевидным образом характеризовать прогресс в достижении цели или решении задачи и охватывать все существенные аспекты достижения цели или решения задачи. </w:t>
      </w:r>
      <w:r w:rsidR="008C00A1" w:rsidRPr="001E0552">
        <w:t xml:space="preserve">С учетом достигнутых результатов по созданию условий для повышения качества управления общественными финансами Волгоградской области на основе информационных и телекоммуникационных </w:t>
      </w:r>
      <w:r w:rsidR="008C00A1" w:rsidRPr="001E0552">
        <w:lastRenderedPageBreak/>
        <w:t xml:space="preserve">технологий целесообразно актуализировать плановые </w:t>
      </w:r>
      <w:r w:rsidR="001E0552" w:rsidRPr="001E0552">
        <w:t>значения указанных показателей</w:t>
      </w:r>
      <w:r w:rsidR="00872ECF">
        <w:t xml:space="preserve"> на 2019 год и последующие годы.</w:t>
      </w:r>
      <w:r w:rsidR="001E0552" w:rsidRPr="001E0552">
        <w:t xml:space="preserve"> </w:t>
      </w:r>
    </w:p>
    <w:p w14:paraId="55140A2B" w14:textId="77777777" w:rsidR="001E0552" w:rsidRDefault="001E0552" w:rsidP="008C00A1">
      <w:pPr>
        <w:autoSpaceDE w:val="0"/>
        <w:autoSpaceDN w:val="0"/>
        <w:adjustRightInd w:val="0"/>
        <w:ind w:firstLine="709"/>
        <w:jc w:val="both"/>
        <w:rPr>
          <w:rFonts w:eastAsia="Times New Roman"/>
          <w:highlight w:val="yellow"/>
        </w:rPr>
      </w:pPr>
    </w:p>
    <w:p w14:paraId="7CD6F387" w14:textId="77777777" w:rsidR="004B5BA0" w:rsidRPr="00D83961" w:rsidRDefault="004B5BA0" w:rsidP="004B5BA0">
      <w:pPr>
        <w:pStyle w:val="af3"/>
        <w:spacing w:before="0" w:beforeAutospacing="0" w:after="0" w:afterAutospacing="0"/>
        <w:ind w:firstLine="709"/>
        <w:jc w:val="both"/>
        <w:rPr>
          <w:b/>
          <w:i/>
        </w:rPr>
      </w:pPr>
      <w:r w:rsidRPr="00D83961">
        <w:rPr>
          <w:b/>
          <w:i/>
        </w:rPr>
        <w:t xml:space="preserve">Выводы: </w:t>
      </w:r>
    </w:p>
    <w:p w14:paraId="5D496F10" w14:textId="77777777" w:rsidR="00D249C7" w:rsidRDefault="004B5BA0" w:rsidP="00363523">
      <w:pPr>
        <w:pStyle w:val="af3"/>
        <w:spacing w:before="0" w:beforeAutospacing="0" w:after="0" w:afterAutospacing="0"/>
        <w:ind w:firstLine="709"/>
        <w:jc w:val="both"/>
      </w:pPr>
      <w:r w:rsidRPr="00D83961">
        <w:t>1</w:t>
      </w:r>
      <w:r w:rsidR="00D249C7" w:rsidRPr="00D83961">
        <w:t xml:space="preserve">. </w:t>
      </w:r>
      <w:r w:rsidR="004C2865" w:rsidRPr="00D83961">
        <w:t xml:space="preserve">Проверкой консолидированной бюджетной отчетности </w:t>
      </w:r>
      <w:r w:rsidR="007F3F2B" w:rsidRPr="00D83961">
        <w:t xml:space="preserve">Облфина </w:t>
      </w:r>
      <w:r w:rsidR="004C2865" w:rsidRPr="00D83961">
        <w:t>и подведомственного ему ГКУ «</w:t>
      </w:r>
      <w:r w:rsidR="007F3F2B" w:rsidRPr="00D83961">
        <w:t>Центр бюджетного учета</w:t>
      </w:r>
      <w:r w:rsidR="004C2865" w:rsidRPr="00D83961">
        <w:t xml:space="preserve">» установлено: </w:t>
      </w:r>
      <w:r w:rsidR="004D4DFC" w:rsidRPr="00D83961">
        <w:t>случа</w:t>
      </w:r>
      <w:r w:rsidR="00EA53EA">
        <w:t>и</w:t>
      </w:r>
      <w:r w:rsidR="004D4DFC" w:rsidRPr="00D83961">
        <w:t xml:space="preserve"> </w:t>
      </w:r>
      <w:r w:rsidR="004C2865" w:rsidRPr="00D83961">
        <w:t>нарушени</w:t>
      </w:r>
      <w:r w:rsidR="004002D3" w:rsidRPr="00D83961">
        <w:t>й</w:t>
      </w:r>
      <w:r w:rsidR="004C2865" w:rsidRPr="00D83961">
        <w:t xml:space="preserve"> Инструкции № </w:t>
      </w:r>
      <w:r w:rsidR="004002D3" w:rsidRPr="00D83961">
        <w:t xml:space="preserve">191н </w:t>
      </w:r>
      <w:r w:rsidR="004C2865" w:rsidRPr="00D83961">
        <w:t xml:space="preserve">в части </w:t>
      </w:r>
      <w:r w:rsidR="004002D3" w:rsidRPr="00D83961">
        <w:t>не</w:t>
      </w:r>
      <w:r w:rsidR="00645B54">
        <w:t>полного отражения информации в Пояснительной записке</w:t>
      </w:r>
      <w:r w:rsidR="004002D3" w:rsidRPr="00D83961">
        <w:t xml:space="preserve"> (ф. 0503160) </w:t>
      </w:r>
      <w:r w:rsidR="004D4DFC" w:rsidRPr="00D83961">
        <w:t>Облфин</w:t>
      </w:r>
      <w:r w:rsidR="00645B54">
        <w:t>а и соответственно консолидированной бюджетной отчетности</w:t>
      </w:r>
      <w:r w:rsidR="004C2865" w:rsidRPr="004002D3">
        <w:t xml:space="preserve">; </w:t>
      </w:r>
      <w:r w:rsidR="004D4DFC" w:rsidRPr="004D4DFC">
        <w:t xml:space="preserve">случай </w:t>
      </w:r>
      <w:r w:rsidR="004C2865" w:rsidRPr="004D4DFC">
        <w:t xml:space="preserve">нарушения Инструкции № 191н </w:t>
      </w:r>
      <w:r w:rsidR="004D4DFC" w:rsidRPr="004D4DFC">
        <w:t xml:space="preserve">ГКУ «Центр бюджетного учета» </w:t>
      </w:r>
      <w:r w:rsidR="004C2865" w:rsidRPr="004D4DFC">
        <w:t xml:space="preserve">в части </w:t>
      </w:r>
      <w:r w:rsidR="004D4DFC" w:rsidRPr="004D4DFC">
        <w:t>заполнения Отчета о бюджетных обязательствах (ф. 0503128), что соответственно повлекло неправильное заполнение аналогичной формы</w:t>
      </w:r>
      <w:r w:rsidR="004D4DFC">
        <w:t xml:space="preserve"> консолидированной бюджетной отчетности.</w:t>
      </w:r>
      <w:r w:rsidR="00363523">
        <w:t xml:space="preserve"> </w:t>
      </w:r>
      <w:r w:rsidR="00AC5ECE" w:rsidRPr="00AC5ECE">
        <w:t>Нарушения устранены путем представления исправленных форм бюджетной отчетности.</w:t>
      </w:r>
    </w:p>
    <w:p w14:paraId="65369DBD" w14:textId="77777777" w:rsidR="000808A5" w:rsidRDefault="00D249C7" w:rsidP="00AB7392">
      <w:pPr>
        <w:autoSpaceDE w:val="0"/>
        <w:autoSpaceDN w:val="0"/>
        <w:adjustRightInd w:val="0"/>
        <w:ind w:firstLine="680"/>
        <w:jc w:val="both"/>
      </w:pPr>
      <w:r>
        <w:t xml:space="preserve">2. </w:t>
      </w:r>
      <w:r w:rsidR="00AA37F1">
        <w:t xml:space="preserve">В отношении принятия бюджетных обязательств по резервному фонду </w:t>
      </w:r>
      <w:r w:rsidR="004B18FE">
        <w:t xml:space="preserve">действующими нормативными правовыми актами не предусмотрен порядок учета бюджетных </w:t>
      </w:r>
      <w:r w:rsidR="004B18FE" w:rsidRPr="00AD2F90">
        <w:t>обязательств (определения момента возникновения бюджетных обязательств) в части</w:t>
      </w:r>
      <w:r w:rsidR="004B18FE">
        <w:t xml:space="preserve"> использования (перераспределения) средств резервных фондов. </w:t>
      </w:r>
      <w:r w:rsidR="00AA37F1" w:rsidRPr="004B18FE">
        <w:t xml:space="preserve">При этом учетной политикой Облфина вопросы </w:t>
      </w:r>
      <w:r w:rsidR="004B18FE" w:rsidRPr="004B18FE">
        <w:t>учета</w:t>
      </w:r>
      <w:r w:rsidR="00AA37F1" w:rsidRPr="004B18FE">
        <w:t xml:space="preserve"> бюджетных обязательств за счет средств резервного фонда Администрации Волгоградской области не определены</w:t>
      </w:r>
      <w:r w:rsidR="00AA37F1" w:rsidRPr="00AB7392">
        <w:t>.</w:t>
      </w:r>
      <w:r w:rsidR="00481A8C" w:rsidRPr="00AB7392">
        <w:t xml:space="preserve"> </w:t>
      </w:r>
      <w:r w:rsidR="000808A5" w:rsidRPr="00AB7392">
        <w:t>В результате Облфином принятие бюджетных обязательств производится до принятия постановлений Администрации Волгоградской области о выделении средств резервного фонда, исходя из размера утвержденного Законом об областном бюджете резервного фонда Администрации Волгоградской области. В Отчете о бюджетных обязательствах (ф. 0503128) на сумму нераспределенных постановлениями Администрации Волгоградской области средств резервного фонда отражены принятые и неисполненные бюджетные обязательства в сумме 58 827,8 тыс. рублей.</w:t>
      </w:r>
      <w:r w:rsidR="000808A5">
        <w:t xml:space="preserve"> </w:t>
      </w:r>
    </w:p>
    <w:p w14:paraId="7B4E4F32" w14:textId="77777777" w:rsidR="00D249C7" w:rsidRDefault="001F452C" w:rsidP="00D249C7">
      <w:pPr>
        <w:autoSpaceDE w:val="0"/>
        <w:autoSpaceDN w:val="0"/>
        <w:adjustRightInd w:val="0"/>
        <w:ind w:firstLine="680"/>
        <w:jc w:val="both"/>
      </w:pPr>
      <w:r>
        <w:rPr>
          <w:rFonts w:eastAsiaTheme="minorHAnsi"/>
          <w:iCs/>
          <w:lang w:eastAsia="en-US"/>
        </w:rPr>
        <w:t>3</w:t>
      </w:r>
      <w:r w:rsidR="00D249C7">
        <w:rPr>
          <w:rFonts w:eastAsiaTheme="minorHAnsi"/>
          <w:iCs/>
          <w:lang w:eastAsia="en-US"/>
        </w:rPr>
        <w:t xml:space="preserve">. </w:t>
      </w:r>
      <w:r w:rsidR="00854E5C" w:rsidRPr="00854E5C">
        <w:rPr>
          <w:rFonts w:eastAsiaTheme="minorHAnsi"/>
          <w:iCs/>
          <w:lang w:eastAsia="en-US"/>
        </w:rPr>
        <w:t xml:space="preserve">Проведенный анализ </w:t>
      </w:r>
      <w:r w:rsidR="0098261A" w:rsidRPr="00854E5C">
        <w:rPr>
          <w:rFonts w:eastAsiaTheme="minorHAnsi"/>
          <w:iCs/>
          <w:lang w:eastAsia="en-US"/>
        </w:rPr>
        <w:t>изменения расходов областного бюджета за 201</w:t>
      </w:r>
      <w:r w:rsidR="007235E9">
        <w:rPr>
          <w:rFonts w:eastAsiaTheme="minorHAnsi"/>
          <w:iCs/>
          <w:lang w:eastAsia="en-US"/>
        </w:rPr>
        <w:t>5</w:t>
      </w:r>
      <w:r w:rsidR="0098261A" w:rsidRPr="00854E5C">
        <w:rPr>
          <w:rFonts w:eastAsiaTheme="minorHAnsi"/>
          <w:iCs/>
          <w:lang w:eastAsia="en-US"/>
        </w:rPr>
        <w:t xml:space="preserve">-2018 годы </w:t>
      </w:r>
      <w:r w:rsidR="007235E9">
        <w:rPr>
          <w:rFonts w:eastAsiaTheme="minorHAnsi"/>
          <w:iCs/>
          <w:lang w:eastAsia="en-US"/>
        </w:rPr>
        <w:t xml:space="preserve">относительно 2014 года </w:t>
      </w:r>
      <w:r w:rsidR="0098261A" w:rsidRPr="00854E5C">
        <w:rPr>
          <w:rFonts w:eastAsiaTheme="minorHAnsi"/>
          <w:iCs/>
          <w:lang w:eastAsia="en-US"/>
        </w:rPr>
        <w:t xml:space="preserve">в связи с созданием ГКУ «Центр бюджетного учета» и передачей ему функций по ведению </w:t>
      </w:r>
      <w:r w:rsidR="0098261A" w:rsidRPr="002A63F9">
        <w:t xml:space="preserve">бюджетного учета и формированию бюджетной отчетности от </w:t>
      </w:r>
      <w:r w:rsidR="0098261A" w:rsidRPr="00854E5C">
        <w:rPr>
          <w:rFonts w:eastAsiaTheme="minorHAnsi"/>
          <w:iCs/>
          <w:lang w:eastAsia="en-US"/>
        </w:rPr>
        <w:t>ОИВ и КУ</w:t>
      </w:r>
      <w:r w:rsidR="0098261A" w:rsidRPr="002A63F9">
        <w:t xml:space="preserve"> </w:t>
      </w:r>
      <w:r w:rsidR="00854E5C">
        <w:t xml:space="preserve">показал, что </w:t>
      </w:r>
      <w:r w:rsidR="00854E5C" w:rsidRPr="00854E5C">
        <w:rPr>
          <w:rFonts w:eastAsiaTheme="minorHAnsi"/>
          <w:iCs/>
          <w:lang w:eastAsia="en-US"/>
        </w:rPr>
        <w:t>прослеживается тенденция роста расходов областного бюджета в связи с созданием ГКУ «Центр бюджетного учета»</w:t>
      </w:r>
      <w:r w:rsidR="0046467F" w:rsidRPr="0046467F">
        <w:rPr>
          <w:rFonts w:eastAsiaTheme="minorHAnsi"/>
          <w:iCs/>
          <w:lang w:eastAsia="en-US"/>
        </w:rPr>
        <w:t xml:space="preserve"> </w:t>
      </w:r>
      <w:r w:rsidR="0046467F">
        <w:rPr>
          <w:rFonts w:eastAsiaTheme="minorHAnsi"/>
          <w:iCs/>
          <w:lang w:eastAsia="en-US"/>
        </w:rPr>
        <w:t xml:space="preserve">(количество </w:t>
      </w:r>
      <w:r w:rsidR="0046467F" w:rsidRPr="00872493">
        <w:t>сокращенных должностей</w:t>
      </w:r>
      <w:r w:rsidR="0046467F">
        <w:t xml:space="preserve"> </w:t>
      </w:r>
      <w:r w:rsidR="0046467F" w:rsidRPr="00872493">
        <w:t xml:space="preserve">в ОИВ </w:t>
      </w:r>
      <w:r w:rsidR="0046467F">
        <w:t xml:space="preserve">и КУ в связи передачей функций </w:t>
      </w:r>
      <w:r w:rsidR="0046467F" w:rsidRPr="00872493">
        <w:t xml:space="preserve"> </w:t>
      </w:r>
      <w:r w:rsidR="0046467F">
        <w:t xml:space="preserve">ГКУ «Центр бюджетного учета» за 2015-2018 годы составило 31 ед., при этом </w:t>
      </w:r>
      <w:r w:rsidR="00E44683">
        <w:t xml:space="preserve">фактическая </w:t>
      </w:r>
      <w:r w:rsidR="0046467F">
        <w:t xml:space="preserve">численность учреждения выросла с 22 ед. в 2015 году до </w:t>
      </w:r>
      <w:r w:rsidR="00E44683">
        <w:t xml:space="preserve">51 ед. на конец </w:t>
      </w:r>
      <w:r w:rsidR="0046467F">
        <w:t>2018 год</w:t>
      </w:r>
      <w:r w:rsidR="00E44683">
        <w:t>а</w:t>
      </w:r>
      <w:r w:rsidR="0046467F">
        <w:t>)</w:t>
      </w:r>
      <w:r w:rsidR="00854E5C" w:rsidRPr="00854E5C">
        <w:rPr>
          <w:rFonts w:eastAsiaTheme="minorHAnsi"/>
          <w:iCs/>
          <w:lang w:eastAsia="en-US"/>
        </w:rPr>
        <w:t>.</w:t>
      </w:r>
      <w:r w:rsidR="0046467F">
        <w:rPr>
          <w:rFonts w:eastAsiaTheme="minorHAnsi"/>
          <w:iCs/>
          <w:lang w:eastAsia="en-US"/>
        </w:rPr>
        <w:t xml:space="preserve"> В тоже время н</w:t>
      </w:r>
      <w:r w:rsidR="0046467F" w:rsidRPr="00E44022">
        <w:t xml:space="preserve">еобходимость создания ГКУ «Центр бюджетного учета» была обусловлена </w:t>
      </w:r>
      <w:r w:rsidR="0046467F" w:rsidRPr="00E44022">
        <w:rPr>
          <w:rFonts w:eastAsia="Times New Roman"/>
        </w:rPr>
        <w:t xml:space="preserve">проведением мероприятий по оптимизации расходов в части ведения </w:t>
      </w:r>
      <w:r w:rsidR="0000257E">
        <w:rPr>
          <w:rFonts w:eastAsia="Times New Roman"/>
          <w:spacing w:val="-4"/>
        </w:rPr>
        <w:t xml:space="preserve">бюджетного учета </w:t>
      </w:r>
      <w:r w:rsidR="00D565CA">
        <w:rPr>
          <w:rFonts w:eastAsia="Times New Roman"/>
          <w:spacing w:val="-4"/>
        </w:rPr>
        <w:t>ОИВ и КУ</w:t>
      </w:r>
      <w:r w:rsidR="0046467F" w:rsidRPr="00E44022">
        <w:rPr>
          <w:rFonts w:eastAsia="Times New Roman"/>
          <w:spacing w:val="-4"/>
        </w:rPr>
        <w:t xml:space="preserve"> Волгоградской области</w:t>
      </w:r>
      <w:r w:rsidR="0046467F">
        <w:rPr>
          <w:rFonts w:eastAsia="Times New Roman"/>
          <w:spacing w:val="-4"/>
        </w:rPr>
        <w:t>.</w:t>
      </w:r>
    </w:p>
    <w:p w14:paraId="064134D1" w14:textId="77777777" w:rsidR="00FE16D1" w:rsidRPr="00D249C7" w:rsidRDefault="001F452C" w:rsidP="00D249C7">
      <w:pPr>
        <w:autoSpaceDE w:val="0"/>
        <w:autoSpaceDN w:val="0"/>
        <w:adjustRightInd w:val="0"/>
        <w:ind w:firstLine="680"/>
        <w:jc w:val="both"/>
      </w:pPr>
      <w:r>
        <w:t>4</w:t>
      </w:r>
      <w:r w:rsidR="00D249C7">
        <w:t xml:space="preserve">. </w:t>
      </w:r>
      <w:r w:rsidR="00FE16D1" w:rsidRPr="00D249C7">
        <w:rPr>
          <w:bCs/>
        </w:rPr>
        <w:t xml:space="preserve">Объем финансирования Госпрограммы на 2018 год (6 029 872,3 тыс. руб.) не приведен в соответствие с Законом об областном бюджете (бюджетные назначения на Госпрограмму предусмотрены в размере </w:t>
      </w:r>
      <w:r w:rsidR="00FE16D1" w:rsidRPr="00BE0E52">
        <w:t xml:space="preserve">5 999 872,3 </w:t>
      </w:r>
      <w:r w:rsidR="00FE16D1" w:rsidRPr="00D249C7">
        <w:rPr>
          <w:bCs/>
        </w:rPr>
        <w:t>тыс. руб.), чем не соблюден п. 4.3 Порядка № 423-п.</w:t>
      </w:r>
    </w:p>
    <w:p w14:paraId="0E93EEF3" w14:textId="77777777" w:rsidR="001D68CB" w:rsidRDefault="001F452C" w:rsidP="001D68CB">
      <w:pPr>
        <w:autoSpaceDE w:val="0"/>
        <w:autoSpaceDN w:val="0"/>
        <w:adjustRightInd w:val="0"/>
        <w:ind w:firstLine="680"/>
        <w:jc w:val="both"/>
      </w:pPr>
      <w:r w:rsidRPr="00495656">
        <w:rPr>
          <w:bCs/>
        </w:rPr>
        <w:t>5</w:t>
      </w:r>
      <w:r w:rsidR="005348B8" w:rsidRPr="00495656">
        <w:rPr>
          <w:bCs/>
        </w:rPr>
        <w:t xml:space="preserve">. Согласно </w:t>
      </w:r>
      <w:r w:rsidR="005348B8" w:rsidRPr="00495656">
        <w:t xml:space="preserve">годовому докладу о ходе реализации </w:t>
      </w:r>
      <w:r w:rsidR="005348B8" w:rsidRPr="00495656">
        <w:rPr>
          <w:bCs/>
        </w:rPr>
        <w:t xml:space="preserve">Госпрограммы </w:t>
      </w:r>
      <w:r w:rsidR="005348B8" w:rsidRPr="00495656">
        <w:t>в 2018 году отмечается значительное перевыполнение трех показателей</w:t>
      </w:r>
      <w:r w:rsidR="00195ADD" w:rsidRPr="00495656">
        <w:t xml:space="preserve"> («</w:t>
      </w:r>
      <w:r w:rsidR="00195ADD" w:rsidRPr="00495656">
        <w:rPr>
          <w:rFonts w:eastAsia="Times New Roman"/>
        </w:rPr>
        <w:t xml:space="preserve">Доля автоматизированных рабочих мест комитета финансов Волгоградской области, соответствующих требованиям информационных систем…», </w:t>
      </w:r>
      <w:r w:rsidR="00195ADD" w:rsidRPr="00495656">
        <w:t>«</w:t>
      </w:r>
      <w:r w:rsidR="00195ADD" w:rsidRPr="00495656">
        <w:rPr>
          <w:rFonts w:eastAsia="Times New Roman"/>
        </w:rPr>
        <w:t>Доля юридически значимых электронных документов в общем объеме документов по организации исполнения бюджета»,</w:t>
      </w:r>
      <w:r w:rsidR="00195ADD" w:rsidRPr="00495656">
        <w:t xml:space="preserve"> «</w:t>
      </w:r>
      <w:r w:rsidR="00195ADD" w:rsidRPr="00495656">
        <w:rPr>
          <w:rFonts w:eastAsia="Times New Roman"/>
        </w:rPr>
        <w:t>Количество детей, прошедших обучение основам финансовой грамотности»)</w:t>
      </w:r>
      <w:r w:rsidR="00881B05" w:rsidRPr="00495656">
        <w:rPr>
          <w:rFonts w:eastAsia="Times New Roman"/>
        </w:rPr>
        <w:t xml:space="preserve"> при неизменном плановом значении </w:t>
      </w:r>
      <w:r w:rsidR="00D565CA" w:rsidRPr="00495656">
        <w:rPr>
          <w:rFonts w:eastAsia="Times New Roman"/>
        </w:rPr>
        <w:t xml:space="preserve">этих показателей </w:t>
      </w:r>
      <w:r w:rsidR="00881B05" w:rsidRPr="00495656">
        <w:rPr>
          <w:rFonts w:eastAsia="Times New Roman"/>
        </w:rPr>
        <w:t>на 2017-2022 годы.</w:t>
      </w:r>
      <w:r w:rsidR="001D68CB" w:rsidRPr="00495656">
        <w:rPr>
          <w:rFonts w:eastAsia="Times New Roman"/>
        </w:rPr>
        <w:t xml:space="preserve"> При этом </w:t>
      </w:r>
      <w:r w:rsidR="002C3711" w:rsidRPr="00495656">
        <w:rPr>
          <w:rFonts w:eastAsia="Times New Roman"/>
        </w:rPr>
        <w:t xml:space="preserve">п. 2.5 </w:t>
      </w:r>
      <w:r w:rsidR="002C3711" w:rsidRPr="00495656">
        <w:t>Порядка № 423-п</w:t>
      </w:r>
      <w:r w:rsidR="00481A8C">
        <w:t xml:space="preserve"> определено, что </w:t>
      </w:r>
      <w:r w:rsidR="002C3711" w:rsidRPr="00495656">
        <w:t>целевой показатель должен характеризовать прогресс в достижении цели или решении задачи и охватывать все существенные аспекты достижения цели или решения задачи.</w:t>
      </w:r>
      <w:r w:rsidR="002C3711">
        <w:t xml:space="preserve"> </w:t>
      </w:r>
    </w:p>
    <w:p w14:paraId="5C429C85" w14:textId="77777777" w:rsidR="001D68CB" w:rsidRDefault="001D68CB" w:rsidP="001D68CB">
      <w:pPr>
        <w:autoSpaceDE w:val="0"/>
        <w:autoSpaceDN w:val="0"/>
        <w:adjustRightInd w:val="0"/>
        <w:ind w:firstLine="680"/>
        <w:jc w:val="both"/>
      </w:pPr>
    </w:p>
    <w:p w14:paraId="027B75A8" w14:textId="77777777" w:rsidR="00AA37F1" w:rsidRPr="00AA37F1" w:rsidRDefault="00AA37F1" w:rsidP="00AC5ECE">
      <w:pPr>
        <w:autoSpaceDE w:val="0"/>
        <w:autoSpaceDN w:val="0"/>
        <w:adjustRightInd w:val="0"/>
        <w:ind w:firstLine="680"/>
        <w:jc w:val="both"/>
        <w:rPr>
          <w:b/>
        </w:rPr>
      </w:pPr>
      <w:r w:rsidRPr="00AA37F1">
        <w:rPr>
          <w:b/>
        </w:rPr>
        <w:t>Предложения</w:t>
      </w:r>
      <w:r w:rsidR="00B0572C">
        <w:rPr>
          <w:b/>
        </w:rPr>
        <w:t>:</w:t>
      </w:r>
    </w:p>
    <w:p w14:paraId="555D719E" w14:textId="77777777" w:rsidR="00AA37F1" w:rsidRDefault="00AA37F1" w:rsidP="00AA37F1">
      <w:pPr>
        <w:autoSpaceDE w:val="0"/>
        <w:autoSpaceDN w:val="0"/>
        <w:adjustRightInd w:val="0"/>
        <w:ind w:firstLine="680"/>
        <w:jc w:val="both"/>
      </w:pPr>
      <w:r w:rsidRPr="00AA37F1">
        <w:t>1.</w:t>
      </w:r>
      <w:r w:rsidR="007235E9">
        <w:t xml:space="preserve"> Р</w:t>
      </w:r>
      <w:r w:rsidR="007235E9" w:rsidRPr="00AA37F1">
        <w:t xml:space="preserve">ассмотреть вопрос об утверждении </w:t>
      </w:r>
      <w:r w:rsidR="007235E9">
        <w:t xml:space="preserve">в </w:t>
      </w:r>
      <w:r w:rsidR="007235E9" w:rsidRPr="00AA37F1">
        <w:t>учетной политик</w:t>
      </w:r>
      <w:r w:rsidR="007235E9">
        <w:t>е</w:t>
      </w:r>
      <w:r w:rsidR="007235E9" w:rsidRPr="00AA37F1">
        <w:t xml:space="preserve"> </w:t>
      </w:r>
      <w:r w:rsidR="007235E9" w:rsidRPr="00842343">
        <w:t>Облфина</w:t>
      </w:r>
      <w:r w:rsidR="00D60909" w:rsidRPr="00842343">
        <w:t xml:space="preserve"> порядка учета  бюджетных обязательств</w:t>
      </w:r>
      <w:r w:rsidR="007235E9" w:rsidRPr="00842343">
        <w:t xml:space="preserve"> </w:t>
      </w:r>
      <w:r w:rsidR="00842343" w:rsidRPr="00842343">
        <w:t>(</w:t>
      </w:r>
      <w:r w:rsidR="007235E9" w:rsidRPr="00842343">
        <w:t>момента возникновения бюджетных обязательств</w:t>
      </w:r>
      <w:r w:rsidR="00842343" w:rsidRPr="00842343">
        <w:t>)</w:t>
      </w:r>
      <w:r w:rsidR="007235E9" w:rsidRPr="00842343">
        <w:t xml:space="preserve"> за</w:t>
      </w:r>
      <w:r w:rsidR="007235E9" w:rsidRPr="00AA37F1">
        <w:t xml:space="preserve"> счет средств резервного фонда Администрации Волгоградской области</w:t>
      </w:r>
      <w:r w:rsidRPr="00AA37F1">
        <w:t xml:space="preserve"> </w:t>
      </w:r>
      <w:r w:rsidR="007235E9">
        <w:t>в соответствии с положениями</w:t>
      </w:r>
      <w:r w:rsidRPr="00AA37F1">
        <w:t xml:space="preserve"> ст. 8 Федерального закона от 06.12.2011 № 402-ФЗ «О бухгалтерском учете» и Федерального </w:t>
      </w:r>
      <w:r w:rsidRPr="00AA37F1">
        <w:lastRenderedPageBreak/>
        <w:t>стандарта бухгалтерского учета для организаций государственного сектора «Учетная политика, оценочные значения и ошибки», утвержденного приказом Министерства финансов РФ от 30.12.2017 № 274н.</w:t>
      </w:r>
    </w:p>
    <w:p w14:paraId="7CDC8E18" w14:textId="77777777" w:rsidR="00E44683" w:rsidRPr="00D249C7" w:rsidRDefault="00E44683" w:rsidP="00E44683">
      <w:pPr>
        <w:autoSpaceDE w:val="0"/>
        <w:autoSpaceDN w:val="0"/>
        <w:adjustRightInd w:val="0"/>
        <w:ind w:firstLine="680"/>
        <w:jc w:val="both"/>
      </w:pPr>
      <w:r>
        <w:t>2. Обеспечить соблюдение  п</w:t>
      </w:r>
      <w:r w:rsidRPr="00D249C7">
        <w:rPr>
          <w:bCs/>
        </w:rPr>
        <w:t>. 4.3 Порядка № 423-п</w:t>
      </w:r>
      <w:r>
        <w:rPr>
          <w:bCs/>
        </w:rPr>
        <w:t xml:space="preserve"> по приведению в соответствие с законом об областном бюджете</w:t>
      </w:r>
      <w:r w:rsidRPr="0006464E">
        <w:rPr>
          <w:bCs/>
        </w:rPr>
        <w:t xml:space="preserve"> </w:t>
      </w:r>
      <w:r>
        <w:t xml:space="preserve">на текущий финансовый год и на плановый период </w:t>
      </w:r>
      <w:r>
        <w:rPr>
          <w:bCs/>
        </w:rPr>
        <w:t>объема финансирования Госпрограммы</w:t>
      </w:r>
      <w:r>
        <w:t xml:space="preserve"> текущего года </w:t>
      </w:r>
      <w:r>
        <w:rPr>
          <w:rFonts w:eastAsiaTheme="minorHAnsi"/>
          <w:lang w:eastAsia="en-US"/>
        </w:rPr>
        <w:t>не позднее 31 декабря текущего года</w:t>
      </w:r>
      <w:r>
        <w:rPr>
          <w:bCs/>
        </w:rPr>
        <w:t xml:space="preserve"> </w:t>
      </w:r>
      <w:r>
        <w:t>при изменении в законе об областном бюджете бюджетных ассигнований текущего финансового года на реализацию Госпрограммы.</w:t>
      </w:r>
    </w:p>
    <w:p w14:paraId="34441B71" w14:textId="77777777" w:rsidR="007801BE" w:rsidRDefault="00504BB0" w:rsidP="007801BE">
      <w:pPr>
        <w:pStyle w:val="ConsPlusNormal"/>
        <w:ind w:firstLine="709"/>
        <w:jc w:val="both"/>
      </w:pPr>
      <w:r>
        <w:t>3</w:t>
      </w:r>
      <w:r w:rsidR="00B0572C" w:rsidRPr="007801BE">
        <w:t>.</w:t>
      </w:r>
      <w:r w:rsidR="00B0572C" w:rsidRPr="00B06BC1">
        <w:t xml:space="preserve"> </w:t>
      </w:r>
      <w:r w:rsidR="001D32AA">
        <w:t>Р</w:t>
      </w:r>
      <w:r w:rsidR="003D3D81" w:rsidRPr="00B06BC1">
        <w:t xml:space="preserve">ассмотреть вопрос о корректировке </w:t>
      </w:r>
      <w:r w:rsidR="003D3D81">
        <w:t xml:space="preserve">трех </w:t>
      </w:r>
      <w:r w:rsidR="003D3D81" w:rsidRPr="00B06BC1">
        <w:t>целевых показателей Госпрограммы</w:t>
      </w:r>
      <w:r w:rsidR="005D0D19">
        <w:t xml:space="preserve">: </w:t>
      </w:r>
      <w:r w:rsidR="003D3D81" w:rsidRPr="00B06BC1">
        <w:t>«</w:t>
      </w:r>
      <w:r w:rsidR="003D3D81" w:rsidRPr="00B06BC1">
        <w:rPr>
          <w:rFonts w:eastAsia="Times New Roman"/>
        </w:rPr>
        <w:t xml:space="preserve">Доля автоматизированных рабочих мест комитета финансов Волгоградской области, соответствующих требованиям информационных систем…», </w:t>
      </w:r>
      <w:r w:rsidR="003D3D81" w:rsidRPr="00B06BC1">
        <w:t>«</w:t>
      </w:r>
      <w:r w:rsidR="003D3D81" w:rsidRPr="00B06BC1">
        <w:rPr>
          <w:rFonts w:eastAsia="Times New Roman"/>
        </w:rPr>
        <w:t>Доля юридически значимых электронных документов в общем объеме документов по организации исполнения бюджета»,</w:t>
      </w:r>
      <w:r w:rsidR="003D3D81" w:rsidRPr="00B06BC1">
        <w:t xml:space="preserve"> «</w:t>
      </w:r>
      <w:r w:rsidR="003D3D81" w:rsidRPr="00B06BC1">
        <w:rPr>
          <w:rFonts w:eastAsia="Times New Roman"/>
        </w:rPr>
        <w:t>Количество детей, прошедших обучение основам финансовой грамотности»</w:t>
      </w:r>
      <w:r w:rsidR="001D32AA">
        <w:rPr>
          <w:rFonts w:eastAsia="Times New Roman"/>
        </w:rPr>
        <w:t xml:space="preserve"> в</w:t>
      </w:r>
      <w:r w:rsidR="001D32AA" w:rsidRPr="007801BE">
        <w:t xml:space="preserve"> целях обеспечения прогресса</w:t>
      </w:r>
      <w:r w:rsidR="001D32AA">
        <w:t xml:space="preserve"> в достижении цели.</w:t>
      </w:r>
    </w:p>
    <w:p w14:paraId="33DD871B" w14:textId="77777777" w:rsidR="00AB7392" w:rsidRPr="005E30F7" w:rsidRDefault="00AF4056" w:rsidP="005E30F7">
      <w:pPr>
        <w:ind w:firstLine="708"/>
        <w:jc w:val="both"/>
      </w:pPr>
      <w:r w:rsidRPr="00AB7392">
        <w:t xml:space="preserve">4. </w:t>
      </w:r>
      <w:r w:rsidR="00AB7392" w:rsidRPr="00AB7392">
        <w:t xml:space="preserve">В целях повышения эффективности бюджетных расходов </w:t>
      </w:r>
      <w:r w:rsidR="00AB7392">
        <w:t>разработать механизмы</w:t>
      </w:r>
      <w:r w:rsidR="00AB7392" w:rsidRPr="00AB7392">
        <w:t xml:space="preserve"> оптимизации расходов применяемой системы централизации бюджетного учета </w:t>
      </w:r>
      <w:r w:rsidR="005E30F7">
        <w:t xml:space="preserve">с учетом предложений Министерства финансов РФ по созданию единой централизованной информационной системы учета и </w:t>
      </w:r>
      <w:r w:rsidR="005E30F7" w:rsidRPr="005E30F7">
        <w:t>отчетности в органах государственной власти субъекта Российской Федерации и государственных учреждениях региона.</w:t>
      </w:r>
    </w:p>
    <w:p w14:paraId="5494F478" w14:textId="77777777" w:rsidR="00624F9B" w:rsidRDefault="00624F9B" w:rsidP="007801BE">
      <w:pPr>
        <w:pStyle w:val="ConsPlusNormal"/>
        <w:ind w:firstLine="709"/>
        <w:jc w:val="both"/>
      </w:pPr>
    </w:p>
    <w:p w14:paraId="71737B61" w14:textId="77777777" w:rsidR="00624F9B" w:rsidRDefault="00624F9B" w:rsidP="007801BE">
      <w:pPr>
        <w:pStyle w:val="ConsPlusNormal"/>
        <w:ind w:firstLine="709"/>
        <w:jc w:val="both"/>
      </w:pPr>
    </w:p>
    <w:p w14:paraId="765125A1" w14:textId="77777777" w:rsidR="00D67F53" w:rsidRDefault="00D67F53" w:rsidP="004C2865">
      <w:pPr>
        <w:autoSpaceDE w:val="0"/>
        <w:autoSpaceDN w:val="0"/>
        <w:adjustRightInd w:val="0"/>
        <w:ind w:firstLine="680"/>
        <w:jc w:val="both"/>
        <w:rPr>
          <w:color w:val="943634" w:themeColor="accent2" w:themeShade="BF"/>
        </w:rPr>
      </w:pPr>
    </w:p>
    <w:p w14:paraId="221D9930" w14:textId="77777777" w:rsidR="004C2865" w:rsidRDefault="004C2865" w:rsidP="004C2865">
      <w:pPr>
        <w:ind w:firstLine="709"/>
        <w:jc w:val="both"/>
        <w:rPr>
          <w:b/>
          <w:i/>
        </w:rPr>
      </w:pPr>
      <w:r w:rsidRPr="00F62F83">
        <w:rPr>
          <w:b/>
          <w:i/>
        </w:rPr>
        <w:t>Аудитор                                                                                     Н.Л. Ноздрюхина</w:t>
      </w:r>
    </w:p>
    <w:p w14:paraId="648A781D" w14:textId="77777777" w:rsidR="004C2865" w:rsidRDefault="004C2865" w:rsidP="004C2865">
      <w:pPr>
        <w:ind w:firstLine="709"/>
        <w:jc w:val="both"/>
        <w:rPr>
          <w:b/>
          <w:i/>
        </w:rPr>
      </w:pPr>
    </w:p>
    <w:p w14:paraId="2F2EDAC9" w14:textId="77777777" w:rsidR="004C2865" w:rsidRDefault="004C2865" w:rsidP="004C2865">
      <w:pPr>
        <w:ind w:firstLine="709"/>
        <w:jc w:val="both"/>
        <w:rPr>
          <w:b/>
          <w:i/>
        </w:rPr>
      </w:pPr>
    </w:p>
    <w:p w14:paraId="338C1A3A" w14:textId="77777777" w:rsidR="004C2865" w:rsidRDefault="004C2865" w:rsidP="004C2865">
      <w:pPr>
        <w:ind w:firstLine="709"/>
        <w:jc w:val="both"/>
        <w:rPr>
          <w:b/>
          <w:i/>
        </w:rPr>
      </w:pPr>
    </w:p>
    <w:p w14:paraId="20D6E84E" w14:textId="77777777" w:rsidR="004C2865" w:rsidRDefault="004C2865" w:rsidP="004B5BA0">
      <w:pPr>
        <w:pStyle w:val="af3"/>
        <w:spacing w:before="0" w:beforeAutospacing="0" w:after="0" w:afterAutospacing="0"/>
        <w:ind w:firstLine="709"/>
        <w:jc w:val="both"/>
        <w:rPr>
          <w:color w:val="76923C" w:themeColor="accent3" w:themeShade="BF"/>
        </w:rPr>
      </w:pPr>
    </w:p>
    <w:p w14:paraId="6F9ACBE1" w14:textId="77777777" w:rsidR="004C2865" w:rsidRDefault="004C2865" w:rsidP="004B5BA0">
      <w:pPr>
        <w:pStyle w:val="af3"/>
        <w:spacing w:before="0" w:beforeAutospacing="0" w:after="0" w:afterAutospacing="0"/>
        <w:ind w:firstLine="709"/>
        <w:jc w:val="both"/>
        <w:rPr>
          <w:color w:val="76923C" w:themeColor="accent3" w:themeShade="BF"/>
        </w:rPr>
      </w:pPr>
    </w:p>
    <w:p w14:paraId="208C64E3" w14:textId="77777777" w:rsidR="004C2865" w:rsidRDefault="004C2865" w:rsidP="004B5BA0">
      <w:pPr>
        <w:pStyle w:val="af3"/>
        <w:spacing w:before="0" w:beforeAutospacing="0" w:after="0" w:afterAutospacing="0"/>
        <w:ind w:firstLine="709"/>
        <w:jc w:val="both"/>
        <w:rPr>
          <w:color w:val="76923C" w:themeColor="accent3" w:themeShade="BF"/>
        </w:rPr>
      </w:pPr>
    </w:p>
    <w:p w14:paraId="45070C8A" w14:textId="77777777" w:rsidR="004C2865" w:rsidRDefault="004C2865" w:rsidP="004B5BA0">
      <w:pPr>
        <w:pStyle w:val="af3"/>
        <w:spacing w:before="0" w:beforeAutospacing="0" w:after="0" w:afterAutospacing="0"/>
        <w:ind w:firstLine="709"/>
        <w:jc w:val="both"/>
        <w:rPr>
          <w:color w:val="76923C" w:themeColor="accent3" w:themeShade="BF"/>
        </w:rPr>
      </w:pPr>
    </w:p>
    <w:p w14:paraId="3A78ED30" w14:textId="77777777" w:rsidR="004C2865" w:rsidRDefault="004C2865" w:rsidP="004B5BA0">
      <w:pPr>
        <w:pStyle w:val="af3"/>
        <w:spacing w:before="0" w:beforeAutospacing="0" w:after="0" w:afterAutospacing="0"/>
        <w:ind w:firstLine="709"/>
        <w:jc w:val="both"/>
        <w:rPr>
          <w:color w:val="76923C" w:themeColor="accent3" w:themeShade="BF"/>
        </w:rPr>
      </w:pPr>
    </w:p>
    <w:p w14:paraId="4C302939" w14:textId="77777777" w:rsidR="00D67F53" w:rsidRDefault="00D67F53" w:rsidP="004B5BA0">
      <w:pPr>
        <w:pStyle w:val="af3"/>
        <w:spacing w:before="0" w:beforeAutospacing="0" w:after="0" w:afterAutospacing="0"/>
        <w:ind w:firstLine="709"/>
        <w:jc w:val="both"/>
        <w:rPr>
          <w:color w:val="76923C" w:themeColor="accent3" w:themeShade="BF"/>
        </w:rPr>
      </w:pPr>
    </w:p>
    <w:p w14:paraId="6EAA40ED" w14:textId="77777777" w:rsidR="00D67F53" w:rsidRDefault="00D67F53" w:rsidP="004B5BA0">
      <w:pPr>
        <w:pStyle w:val="af3"/>
        <w:spacing w:before="0" w:beforeAutospacing="0" w:after="0" w:afterAutospacing="0"/>
        <w:ind w:firstLine="709"/>
        <w:jc w:val="both"/>
        <w:rPr>
          <w:color w:val="76923C" w:themeColor="accent3" w:themeShade="BF"/>
        </w:rPr>
      </w:pPr>
    </w:p>
    <w:p w14:paraId="1489C068" w14:textId="77777777" w:rsidR="00D67F53" w:rsidRDefault="00D67F53" w:rsidP="004B5BA0">
      <w:pPr>
        <w:pStyle w:val="af3"/>
        <w:spacing w:before="0" w:beforeAutospacing="0" w:after="0" w:afterAutospacing="0"/>
        <w:ind w:firstLine="709"/>
        <w:jc w:val="both"/>
        <w:rPr>
          <w:color w:val="76923C" w:themeColor="accent3" w:themeShade="BF"/>
        </w:rPr>
      </w:pPr>
    </w:p>
    <w:p w14:paraId="03A71673" w14:textId="77777777" w:rsidR="00D67F53" w:rsidRDefault="00D67F53" w:rsidP="004B5BA0">
      <w:pPr>
        <w:pStyle w:val="af3"/>
        <w:spacing w:before="0" w:beforeAutospacing="0" w:after="0" w:afterAutospacing="0"/>
        <w:ind w:firstLine="709"/>
        <w:jc w:val="both"/>
        <w:rPr>
          <w:color w:val="76923C" w:themeColor="accent3" w:themeShade="BF"/>
        </w:rPr>
      </w:pPr>
    </w:p>
    <w:p w14:paraId="3C14E3E3" w14:textId="77777777" w:rsidR="00D67F53" w:rsidRDefault="00D67F53" w:rsidP="004B5BA0">
      <w:pPr>
        <w:pStyle w:val="af3"/>
        <w:spacing w:before="0" w:beforeAutospacing="0" w:after="0" w:afterAutospacing="0"/>
        <w:ind w:firstLine="709"/>
        <w:jc w:val="both"/>
        <w:rPr>
          <w:color w:val="76923C" w:themeColor="accent3" w:themeShade="BF"/>
        </w:rPr>
      </w:pPr>
    </w:p>
    <w:p w14:paraId="08775874" w14:textId="77777777" w:rsidR="00D67F53" w:rsidRDefault="00D67F53" w:rsidP="004B5BA0">
      <w:pPr>
        <w:pStyle w:val="af3"/>
        <w:spacing w:before="0" w:beforeAutospacing="0" w:after="0" w:afterAutospacing="0"/>
        <w:ind w:firstLine="709"/>
        <w:jc w:val="both"/>
        <w:rPr>
          <w:color w:val="76923C" w:themeColor="accent3" w:themeShade="BF"/>
        </w:rPr>
      </w:pPr>
    </w:p>
    <w:p w14:paraId="65891D93" w14:textId="77777777" w:rsidR="00D67F53" w:rsidRDefault="00D67F53" w:rsidP="004B5BA0">
      <w:pPr>
        <w:pStyle w:val="af3"/>
        <w:spacing w:before="0" w:beforeAutospacing="0" w:after="0" w:afterAutospacing="0"/>
        <w:ind w:firstLine="709"/>
        <w:jc w:val="both"/>
        <w:rPr>
          <w:color w:val="76923C" w:themeColor="accent3" w:themeShade="BF"/>
        </w:rPr>
      </w:pPr>
    </w:p>
    <w:p w14:paraId="58407C86" w14:textId="77777777" w:rsidR="00D67F53" w:rsidRDefault="00D67F53" w:rsidP="004B5BA0">
      <w:pPr>
        <w:pStyle w:val="af3"/>
        <w:spacing w:before="0" w:beforeAutospacing="0" w:after="0" w:afterAutospacing="0"/>
        <w:ind w:firstLine="709"/>
        <w:jc w:val="both"/>
        <w:rPr>
          <w:color w:val="76923C" w:themeColor="accent3" w:themeShade="BF"/>
        </w:rPr>
      </w:pPr>
    </w:p>
    <w:p w14:paraId="3CF5FEA4" w14:textId="77777777" w:rsidR="00D67F53" w:rsidRDefault="00D67F53" w:rsidP="004B5BA0">
      <w:pPr>
        <w:pStyle w:val="af3"/>
        <w:spacing w:before="0" w:beforeAutospacing="0" w:after="0" w:afterAutospacing="0"/>
        <w:ind w:firstLine="709"/>
        <w:jc w:val="both"/>
        <w:rPr>
          <w:color w:val="76923C" w:themeColor="accent3" w:themeShade="BF"/>
        </w:rPr>
      </w:pPr>
    </w:p>
    <w:p w14:paraId="4436AAE0" w14:textId="77777777" w:rsidR="00D67F53" w:rsidRDefault="00D67F53" w:rsidP="004B5BA0">
      <w:pPr>
        <w:pStyle w:val="af3"/>
        <w:spacing w:before="0" w:beforeAutospacing="0" w:after="0" w:afterAutospacing="0"/>
        <w:ind w:firstLine="709"/>
        <w:jc w:val="both"/>
        <w:rPr>
          <w:color w:val="76923C" w:themeColor="accent3" w:themeShade="BF"/>
        </w:rPr>
      </w:pPr>
    </w:p>
    <w:p w14:paraId="0046304A" w14:textId="77777777" w:rsidR="00E439AF" w:rsidRDefault="00E439AF" w:rsidP="004B5BA0">
      <w:pPr>
        <w:pStyle w:val="af3"/>
        <w:spacing w:before="0" w:beforeAutospacing="0" w:after="0" w:afterAutospacing="0"/>
        <w:ind w:firstLine="709"/>
        <w:jc w:val="both"/>
        <w:rPr>
          <w:color w:val="76923C" w:themeColor="accent3" w:themeShade="BF"/>
        </w:rPr>
      </w:pPr>
    </w:p>
    <w:p w14:paraId="1FB7435A" w14:textId="77777777" w:rsidR="00E439AF" w:rsidRDefault="00E439AF" w:rsidP="004B5BA0">
      <w:pPr>
        <w:pStyle w:val="af3"/>
        <w:spacing w:before="0" w:beforeAutospacing="0" w:after="0" w:afterAutospacing="0"/>
        <w:ind w:firstLine="709"/>
        <w:jc w:val="both"/>
        <w:rPr>
          <w:color w:val="76923C" w:themeColor="accent3" w:themeShade="BF"/>
        </w:rPr>
      </w:pPr>
    </w:p>
    <w:p w14:paraId="549F9D93" w14:textId="77777777" w:rsidR="00E439AF" w:rsidRDefault="00E439AF" w:rsidP="004B5BA0">
      <w:pPr>
        <w:pStyle w:val="af3"/>
        <w:spacing w:before="0" w:beforeAutospacing="0" w:after="0" w:afterAutospacing="0"/>
        <w:ind w:firstLine="709"/>
        <w:jc w:val="both"/>
        <w:rPr>
          <w:color w:val="76923C" w:themeColor="accent3" w:themeShade="BF"/>
        </w:rPr>
      </w:pPr>
    </w:p>
    <w:p w14:paraId="0A6CFC61" w14:textId="77777777" w:rsidR="00E439AF" w:rsidRDefault="00E439AF" w:rsidP="004B5BA0">
      <w:pPr>
        <w:pStyle w:val="af3"/>
        <w:spacing w:before="0" w:beforeAutospacing="0" w:after="0" w:afterAutospacing="0"/>
        <w:ind w:firstLine="709"/>
        <w:jc w:val="both"/>
        <w:rPr>
          <w:color w:val="76923C" w:themeColor="accent3" w:themeShade="BF"/>
        </w:rPr>
      </w:pPr>
    </w:p>
    <w:p w14:paraId="121ABEE7" w14:textId="77777777" w:rsidR="00E439AF" w:rsidRDefault="00E439AF" w:rsidP="004B5BA0">
      <w:pPr>
        <w:pStyle w:val="af3"/>
        <w:spacing w:before="0" w:beforeAutospacing="0" w:after="0" w:afterAutospacing="0"/>
        <w:ind w:firstLine="709"/>
        <w:jc w:val="both"/>
        <w:rPr>
          <w:color w:val="76923C" w:themeColor="accent3" w:themeShade="BF"/>
        </w:rPr>
      </w:pPr>
    </w:p>
    <w:p w14:paraId="271A5719" w14:textId="77777777" w:rsidR="00E439AF" w:rsidRDefault="00E439AF" w:rsidP="004B5BA0">
      <w:pPr>
        <w:pStyle w:val="af3"/>
        <w:spacing w:before="0" w:beforeAutospacing="0" w:after="0" w:afterAutospacing="0"/>
        <w:ind w:firstLine="709"/>
        <w:jc w:val="both"/>
        <w:rPr>
          <w:color w:val="76923C" w:themeColor="accent3" w:themeShade="BF"/>
        </w:rPr>
      </w:pPr>
    </w:p>
    <w:p w14:paraId="388C0FE2" w14:textId="77777777" w:rsidR="00E439AF" w:rsidRDefault="00E439AF" w:rsidP="004B5BA0">
      <w:pPr>
        <w:pStyle w:val="af3"/>
        <w:spacing w:before="0" w:beforeAutospacing="0" w:after="0" w:afterAutospacing="0"/>
        <w:ind w:firstLine="709"/>
        <w:jc w:val="both"/>
        <w:rPr>
          <w:color w:val="76923C" w:themeColor="accent3" w:themeShade="BF"/>
        </w:rPr>
      </w:pPr>
    </w:p>
    <w:p w14:paraId="704A149C" w14:textId="77777777" w:rsidR="00E439AF" w:rsidRDefault="00E439AF" w:rsidP="004B5BA0">
      <w:pPr>
        <w:pStyle w:val="af3"/>
        <w:spacing w:before="0" w:beforeAutospacing="0" w:after="0" w:afterAutospacing="0"/>
        <w:ind w:firstLine="709"/>
        <w:jc w:val="both"/>
        <w:rPr>
          <w:color w:val="76923C" w:themeColor="accent3" w:themeShade="BF"/>
        </w:rPr>
      </w:pPr>
    </w:p>
    <w:p w14:paraId="650597C3" w14:textId="77777777" w:rsidR="00E439AF" w:rsidRDefault="00E439AF" w:rsidP="004B5BA0">
      <w:pPr>
        <w:pStyle w:val="af3"/>
        <w:spacing w:before="0" w:beforeAutospacing="0" w:after="0" w:afterAutospacing="0"/>
        <w:ind w:firstLine="709"/>
        <w:jc w:val="both"/>
        <w:rPr>
          <w:color w:val="76923C" w:themeColor="accent3" w:themeShade="BF"/>
        </w:rPr>
      </w:pPr>
    </w:p>
    <w:p w14:paraId="229BEDAE" w14:textId="77777777" w:rsidR="00E439AF" w:rsidRDefault="00E439AF" w:rsidP="004B5BA0">
      <w:pPr>
        <w:pStyle w:val="af3"/>
        <w:spacing w:before="0" w:beforeAutospacing="0" w:after="0" w:afterAutospacing="0"/>
        <w:ind w:firstLine="709"/>
        <w:jc w:val="both"/>
        <w:rPr>
          <w:color w:val="76923C" w:themeColor="accent3" w:themeShade="BF"/>
        </w:rPr>
      </w:pPr>
    </w:p>
    <w:p w14:paraId="52F9FDE2" w14:textId="77777777" w:rsidR="00E439AF" w:rsidRDefault="00E439AF" w:rsidP="004B5BA0">
      <w:pPr>
        <w:pStyle w:val="af3"/>
        <w:spacing w:before="0" w:beforeAutospacing="0" w:after="0" w:afterAutospacing="0"/>
        <w:ind w:firstLine="709"/>
        <w:jc w:val="both"/>
        <w:rPr>
          <w:color w:val="76923C" w:themeColor="accent3" w:themeShade="BF"/>
        </w:rPr>
      </w:pPr>
    </w:p>
    <w:p w14:paraId="5B8DA07D" w14:textId="77777777" w:rsidR="00E439AF" w:rsidRDefault="00E439AF" w:rsidP="004B5BA0">
      <w:pPr>
        <w:pStyle w:val="af3"/>
        <w:spacing w:before="0" w:beforeAutospacing="0" w:after="0" w:afterAutospacing="0"/>
        <w:ind w:firstLine="709"/>
        <w:jc w:val="both"/>
        <w:rPr>
          <w:color w:val="76923C" w:themeColor="accent3" w:themeShade="BF"/>
        </w:rPr>
      </w:pPr>
    </w:p>
    <w:p w14:paraId="6352CFFF" w14:textId="77777777" w:rsidR="00E439AF" w:rsidRDefault="00E439AF" w:rsidP="004B5BA0">
      <w:pPr>
        <w:pStyle w:val="af3"/>
        <w:spacing w:before="0" w:beforeAutospacing="0" w:after="0" w:afterAutospacing="0"/>
        <w:ind w:firstLine="709"/>
        <w:jc w:val="both"/>
        <w:rPr>
          <w:color w:val="76923C" w:themeColor="accent3" w:themeShade="BF"/>
        </w:rPr>
      </w:pPr>
    </w:p>
    <w:p w14:paraId="7B025BC0" w14:textId="77777777" w:rsidR="00E439AF" w:rsidRDefault="00E439AF" w:rsidP="004B5BA0">
      <w:pPr>
        <w:pStyle w:val="af3"/>
        <w:spacing w:before="0" w:beforeAutospacing="0" w:after="0" w:afterAutospacing="0"/>
        <w:ind w:firstLine="709"/>
        <w:jc w:val="both"/>
        <w:rPr>
          <w:color w:val="76923C" w:themeColor="accent3" w:themeShade="BF"/>
        </w:rPr>
      </w:pPr>
    </w:p>
    <w:p w14:paraId="2486C718" w14:textId="77777777" w:rsidR="00E439AF" w:rsidRDefault="00E439AF" w:rsidP="004B5BA0">
      <w:pPr>
        <w:pStyle w:val="af3"/>
        <w:spacing w:before="0" w:beforeAutospacing="0" w:after="0" w:afterAutospacing="0"/>
        <w:ind w:firstLine="709"/>
        <w:jc w:val="both"/>
        <w:rPr>
          <w:color w:val="76923C" w:themeColor="accent3" w:themeShade="BF"/>
        </w:rPr>
      </w:pPr>
    </w:p>
    <w:p w14:paraId="61909E63" w14:textId="77777777" w:rsidR="00E439AF" w:rsidRDefault="00E439AF" w:rsidP="004B5BA0">
      <w:pPr>
        <w:pStyle w:val="af3"/>
        <w:spacing w:before="0" w:beforeAutospacing="0" w:after="0" w:afterAutospacing="0"/>
        <w:ind w:firstLine="709"/>
        <w:jc w:val="both"/>
        <w:rPr>
          <w:color w:val="76923C" w:themeColor="accent3" w:themeShade="BF"/>
        </w:rPr>
      </w:pPr>
    </w:p>
    <w:p w14:paraId="04191E6D" w14:textId="77777777" w:rsidR="00E439AF" w:rsidRDefault="00E439AF" w:rsidP="004B5BA0">
      <w:pPr>
        <w:pStyle w:val="af3"/>
        <w:spacing w:before="0" w:beforeAutospacing="0" w:after="0" w:afterAutospacing="0"/>
        <w:ind w:firstLine="709"/>
        <w:jc w:val="both"/>
        <w:rPr>
          <w:color w:val="76923C" w:themeColor="accent3" w:themeShade="BF"/>
        </w:rPr>
      </w:pPr>
    </w:p>
    <w:p w14:paraId="52B0E2A2" w14:textId="77777777" w:rsidR="00E439AF" w:rsidRDefault="00E439AF" w:rsidP="004B5BA0">
      <w:pPr>
        <w:pStyle w:val="af3"/>
        <w:spacing w:before="0" w:beforeAutospacing="0" w:after="0" w:afterAutospacing="0"/>
        <w:ind w:firstLine="709"/>
        <w:jc w:val="both"/>
        <w:rPr>
          <w:color w:val="76923C" w:themeColor="accent3" w:themeShade="BF"/>
        </w:rPr>
      </w:pPr>
    </w:p>
    <w:p w14:paraId="66F3530A" w14:textId="77777777" w:rsidR="00E439AF" w:rsidRDefault="00E439AF" w:rsidP="004B5BA0">
      <w:pPr>
        <w:pStyle w:val="af3"/>
        <w:spacing w:before="0" w:beforeAutospacing="0" w:after="0" w:afterAutospacing="0"/>
        <w:ind w:firstLine="709"/>
        <w:jc w:val="both"/>
        <w:rPr>
          <w:color w:val="76923C" w:themeColor="accent3" w:themeShade="BF"/>
        </w:rPr>
      </w:pPr>
    </w:p>
    <w:p w14:paraId="1FC59FF2" w14:textId="77777777" w:rsidR="00E439AF" w:rsidRDefault="00E439AF" w:rsidP="004B5BA0">
      <w:pPr>
        <w:pStyle w:val="af3"/>
        <w:spacing w:before="0" w:beforeAutospacing="0" w:after="0" w:afterAutospacing="0"/>
        <w:ind w:firstLine="709"/>
        <w:jc w:val="both"/>
        <w:rPr>
          <w:color w:val="76923C" w:themeColor="accent3" w:themeShade="BF"/>
        </w:rPr>
      </w:pPr>
    </w:p>
    <w:p w14:paraId="7B95BD4F" w14:textId="77777777" w:rsidR="00E439AF" w:rsidRDefault="00E439AF" w:rsidP="004B5BA0">
      <w:pPr>
        <w:pStyle w:val="af3"/>
        <w:spacing w:before="0" w:beforeAutospacing="0" w:after="0" w:afterAutospacing="0"/>
        <w:ind w:firstLine="709"/>
        <w:jc w:val="both"/>
        <w:rPr>
          <w:color w:val="76923C" w:themeColor="accent3" w:themeShade="BF"/>
        </w:rPr>
      </w:pPr>
    </w:p>
    <w:p w14:paraId="3A8C7AF5" w14:textId="77777777" w:rsidR="00E439AF" w:rsidRDefault="00E439AF" w:rsidP="004B5BA0">
      <w:pPr>
        <w:pStyle w:val="af3"/>
        <w:spacing w:before="0" w:beforeAutospacing="0" w:after="0" w:afterAutospacing="0"/>
        <w:ind w:firstLine="709"/>
        <w:jc w:val="both"/>
        <w:rPr>
          <w:color w:val="76923C" w:themeColor="accent3" w:themeShade="BF"/>
        </w:rPr>
      </w:pPr>
    </w:p>
    <w:p w14:paraId="3A55DB33" w14:textId="77777777" w:rsidR="00E439AF" w:rsidRDefault="00E439AF" w:rsidP="004B5BA0">
      <w:pPr>
        <w:pStyle w:val="af3"/>
        <w:spacing w:before="0" w:beforeAutospacing="0" w:after="0" w:afterAutospacing="0"/>
        <w:ind w:firstLine="709"/>
        <w:jc w:val="both"/>
        <w:rPr>
          <w:color w:val="76923C" w:themeColor="accent3" w:themeShade="BF"/>
        </w:rPr>
      </w:pPr>
    </w:p>
    <w:p w14:paraId="0AC71756" w14:textId="77777777" w:rsidR="00E439AF" w:rsidRDefault="00E439AF" w:rsidP="004B5BA0">
      <w:pPr>
        <w:pStyle w:val="af3"/>
        <w:spacing w:before="0" w:beforeAutospacing="0" w:after="0" w:afterAutospacing="0"/>
        <w:ind w:firstLine="709"/>
        <w:jc w:val="both"/>
        <w:rPr>
          <w:color w:val="76923C" w:themeColor="accent3" w:themeShade="BF"/>
        </w:rPr>
      </w:pPr>
    </w:p>
    <w:p w14:paraId="12D6EF9F" w14:textId="77777777" w:rsidR="00E439AF" w:rsidRDefault="00E439AF" w:rsidP="004B5BA0">
      <w:pPr>
        <w:pStyle w:val="af3"/>
        <w:spacing w:before="0" w:beforeAutospacing="0" w:after="0" w:afterAutospacing="0"/>
        <w:ind w:firstLine="709"/>
        <w:jc w:val="both"/>
        <w:rPr>
          <w:color w:val="76923C" w:themeColor="accent3" w:themeShade="BF"/>
        </w:rPr>
      </w:pPr>
    </w:p>
    <w:p w14:paraId="5AB37523" w14:textId="77777777" w:rsidR="00D67F53" w:rsidRDefault="00D67F53" w:rsidP="004B5BA0">
      <w:pPr>
        <w:pStyle w:val="af3"/>
        <w:spacing w:before="0" w:beforeAutospacing="0" w:after="0" w:afterAutospacing="0"/>
        <w:ind w:firstLine="709"/>
        <w:jc w:val="both"/>
        <w:rPr>
          <w:color w:val="76923C" w:themeColor="accent3" w:themeShade="BF"/>
        </w:rPr>
      </w:pPr>
    </w:p>
    <w:p w14:paraId="31A19968" w14:textId="77777777" w:rsidR="00E44683" w:rsidRPr="00D249C7" w:rsidRDefault="00E44683" w:rsidP="00E44683">
      <w:pPr>
        <w:autoSpaceDE w:val="0"/>
        <w:autoSpaceDN w:val="0"/>
        <w:adjustRightInd w:val="0"/>
        <w:ind w:firstLine="680"/>
        <w:jc w:val="both"/>
      </w:pPr>
      <w:r>
        <w:t>. Обеспечить соблюдение  п</w:t>
      </w:r>
      <w:r w:rsidRPr="00D249C7">
        <w:rPr>
          <w:bCs/>
        </w:rPr>
        <w:t>. 4.3 Порядка № 423-п</w:t>
      </w:r>
      <w:r>
        <w:rPr>
          <w:bCs/>
        </w:rPr>
        <w:t xml:space="preserve"> по приведению в соответствие с Законом об областном бюджете</w:t>
      </w:r>
      <w:r w:rsidRPr="0006464E">
        <w:rPr>
          <w:bCs/>
        </w:rPr>
        <w:t xml:space="preserve"> </w:t>
      </w:r>
      <w:r>
        <w:t xml:space="preserve">на </w:t>
      </w:r>
      <w:r w:rsidRPr="00C60316">
        <w:rPr>
          <w:highlight w:val="yellow"/>
        </w:rPr>
        <w:t>очередной</w:t>
      </w:r>
      <w:r>
        <w:t xml:space="preserve"> финансовый год и на плановый период (в </w:t>
      </w:r>
      <w:r w:rsidRPr="00C60316">
        <w:rPr>
          <w:highlight w:val="yellow"/>
        </w:rPr>
        <w:t>части текущего финансового год</w:t>
      </w:r>
      <w:r>
        <w:t xml:space="preserve">а) </w:t>
      </w:r>
      <w:r>
        <w:rPr>
          <w:bCs/>
        </w:rPr>
        <w:t>объема финансирования Госпрограммы.</w:t>
      </w:r>
      <w:r>
        <w:t xml:space="preserve"> </w:t>
      </w:r>
    </w:p>
    <w:p w14:paraId="1F86EE85" w14:textId="77777777" w:rsidR="00D67F53" w:rsidRDefault="00D67F53" w:rsidP="004B5BA0">
      <w:pPr>
        <w:pStyle w:val="af3"/>
        <w:spacing w:before="0" w:beforeAutospacing="0" w:after="0" w:afterAutospacing="0"/>
        <w:ind w:firstLine="709"/>
        <w:jc w:val="both"/>
        <w:rPr>
          <w:color w:val="76923C" w:themeColor="accent3" w:themeShade="BF"/>
        </w:rPr>
      </w:pPr>
    </w:p>
    <w:sectPr w:rsidR="00D67F53" w:rsidSect="000602EA">
      <w:headerReference w:type="default" r:id="rId9"/>
      <w:pgSz w:w="11906" w:h="16838"/>
      <w:pgMar w:top="454" w:right="737" w:bottom="45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FCA772" w14:textId="77777777" w:rsidR="00AE121F" w:rsidRDefault="00AE121F" w:rsidP="00DA2527">
      <w:r>
        <w:separator/>
      </w:r>
    </w:p>
  </w:endnote>
  <w:endnote w:type="continuationSeparator" w:id="0">
    <w:p w14:paraId="1D741FCF" w14:textId="77777777" w:rsidR="00AE121F" w:rsidRDefault="00AE121F" w:rsidP="00DA2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81F46D" w14:textId="77777777" w:rsidR="00AE121F" w:rsidRDefault="00AE121F" w:rsidP="00DA2527">
      <w:r>
        <w:separator/>
      </w:r>
    </w:p>
  </w:footnote>
  <w:footnote w:type="continuationSeparator" w:id="0">
    <w:p w14:paraId="7F39E633" w14:textId="77777777" w:rsidR="00AE121F" w:rsidRDefault="00AE121F" w:rsidP="00DA25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65E10" w14:textId="77777777" w:rsidR="00401A6B" w:rsidRDefault="00401A6B" w:rsidP="00DA2527">
    <w:pPr>
      <w:pStyle w:val="ae"/>
      <w:tabs>
        <w:tab w:val="left" w:pos="5660"/>
      </w:tabs>
    </w:pPr>
    <w:r>
      <w:tab/>
    </w:r>
    <w:r w:rsidR="00AE121F">
      <w:fldChar w:fldCharType="begin"/>
    </w:r>
    <w:r w:rsidR="00AE121F">
      <w:instrText xml:space="preserve"> PAGE   \* MERGEFORMAT </w:instrText>
    </w:r>
    <w:r w:rsidR="00AE121F">
      <w:fldChar w:fldCharType="separate"/>
    </w:r>
    <w:r w:rsidR="00EA53EA">
      <w:rPr>
        <w:noProof/>
      </w:rPr>
      <w:t>10</w:t>
    </w:r>
    <w:r w:rsidR="00AE121F">
      <w:rPr>
        <w:noProof/>
      </w:rPr>
      <w:fldChar w:fldCharType="end"/>
    </w:r>
  </w:p>
  <w:p w14:paraId="2FA38C51" w14:textId="77777777" w:rsidR="00401A6B" w:rsidRDefault="00401A6B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5CFC82C8"/>
    <w:lvl w:ilvl="0">
      <w:numFmt w:val="bullet"/>
      <w:lvlText w:val="*"/>
      <w:lvlJc w:val="left"/>
    </w:lvl>
  </w:abstractNum>
  <w:abstractNum w:abstractNumId="1" w15:restartNumberingAfterBreak="0">
    <w:nsid w:val="06D07BAD"/>
    <w:multiLevelType w:val="hybridMultilevel"/>
    <w:tmpl w:val="CA3C0BC4"/>
    <w:lvl w:ilvl="0" w:tplc="041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DBA40E6"/>
    <w:multiLevelType w:val="hybridMultilevel"/>
    <w:tmpl w:val="9FC86788"/>
    <w:lvl w:ilvl="0" w:tplc="5F98A8E4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0331B17"/>
    <w:multiLevelType w:val="hybridMultilevel"/>
    <w:tmpl w:val="4A9226AA"/>
    <w:lvl w:ilvl="0" w:tplc="C4546C3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C616FC"/>
    <w:multiLevelType w:val="hybridMultilevel"/>
    <w:tmpl w:val="DD8CF0F6"/>
    <w:lvl w:ilvl="0" w:tplc="BB6238D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42971CA"/>
    <w:multiLevelType w:val="multilevel"/>
    <w:tmpl w:val="131A50C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 w15:restartNumberingAfterBreak="0">
    <w:nsid w:val="2F700650"/>
    <w:multiLevelType w:val="hybridMultilevel"/>
    <w:tmpl w:val="4E66181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3D0951D7"/>
    <w:multiLevelType w:val="hybridMultilevel"/>
    <w:tmpl w:val="33582C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560325A"/>
    <w:multiLevelType w:val="hybridMultilevel"/>
    <w:tmpl w:val="18A4C480"/>
    <w:lvl w:ilvl="0" w:tplc="3C6457D0">
      <w:start w:val="4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9" w15:restartNumberingAfterBreak="0">
    <w:nsid w:val="49C67C64"/>
    <w:multiLevelType w:val="hybridMultilevel"/>
    <w:tmpl w:val="EE864174"/>
    <w:lvl w:ilvl="0" w:tplc="0C50CB8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1A73B13"/>
    <w:multiLevelType w:val="hybridMultilevel"/>
    <w:tmpl w:val="A2D0898A"/>
    <w:lvl w:ilvl="0" w:tplc="FC3659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022163C"/>
    <w:multiLevelType w:val="hybridMultilevel"/>
    <w:tmpl w:val="EFAE7B5A"/>
    <w:lvl w:ilvl="0" w:tplc="A7FC15D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C453B05"/>
    <w:multiLevelType w:val="hybridMultilevel"/>
    <w:tmpl w:val="F52AE116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3" w15:restartNumberingAfterBreak="0">
    <w:nsid w:val="7F246BFA"/>
    <w:multiLevelType w:val="multilevel"/>
    <w:tmpl w:val="A68491BC"/>
    <w:lvl w:ilvl="0">
      <w:start w:val="1"/>
      <w:numFmt w:val="decimal"/>
      <w:lvlText w:val="%1."/>
      <w:lvlJc w:val="left"/>
      <w:pPr>
        <w:ind w:left="1498" w:hanging="93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2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9"/>
  </w:num>
  <w:num w:numId="7">
    <w:abstractNumId w:val="5"/>
  </w:num>
  <w:num w:numId="8">
    <w:abstractNumId w:val="13"/>
  </w:num>
  <w:num w:numId="9">
    <w:abstractNumId w:val="1"/>
  </w:num>
  <w:num w:numId="10">
    <w:abstractNumId w:val="6"/>
  </w:num>
  <w:num w:numId="11">
    <w:abstractNumId w:val="7"/>
  </w:num>
  <w:num w:numId="12">
    <w:abstractNumId w:val="12"/>
  </w:num>
  <w:num w:numId="13">
    <w:abstractNumId w:val="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3B6F"/>
    <w:rsid w:val="000017CC"/>
    <w:rsid w:val="000024C2"/>
    <w:rsid w:val="0000257E"/>
    <w:rsid w:val="00005CAE"/>
    <w:rsid w:val="0001009C"/>
    <w:rsid w:val="00010EC0"/>
    <w:rsid w:val="0001171D"/>
    <w:rsid w:val="00011A20"/>
    <w:rsid w:val="0001272F"/>
    <w:rsid w:val="00015E45"/>
    <w:rsid w:val="00016788"/>
    <w:rsid w:val="00016F50"/>
    <w:rsid w:val="00021346"/>
    <w:rsid w:val="0002304D"/>
    <w:rsid w:val="00024A5B"/>
    <w:rsid w:val="00026CA0"/>
    <w:rsid w:val="000305EE"/>
    <w:rsid w:val="000308B7"/>
    <w:rsid w:val="00030A30"/>
    <w:rsid w:val="000364EB"/>
    <w:rsid w:val="0003688A"/>
    <w:rsid w:val="00042332"/>
    <w:rsid w:val="0004689F"/>
    <w:rsid w:val="000526E8"/>
    <w:rsid w:val="000532CF"/>
    <w:rsid w:val="00054695"/>
    <w:rsid w:val="000572A6"/>
    <w:rsid w:val="000602EA"/>
    <w:rsid w:val="00060AB3"/>
    <w:rsid w:val="000613A9"/>
    <w:rsid w:val="00063924"/>
    <w:rsid w:val="0006464E"/>
    <w:rsid w:val="00065A07"/>
    <w:rsid w:val="0006745C"/>
    <w:rsid w:val="000723BE"/>
    <w:rsid w:val="000744D1"/>
    <w:rsid w:val="00074689"/>
    <w:rsid w:val="000760AB"/>
    <w:rsid w:val="000808A5"/>
    <w:rsid w:val="00081F5D"/>
    <w:rsid w:val="00082BE7"/>
    <w:rsid w:val="0008689D"/>
    <w:rsid w:val="00091BC6"/>
    <w:rsid w:val="00095BFA"/>
    <w:rsid w:val="00095F01"/>
    <w:rsid w:val="000A25A1"/>
    <w:rsid w:val="000A277E"/>
    <w:rsid w:val="000B1A28"/>
    <w:rsid w:val="000B278B"/>
    <w:rsid w:val="000B6287"/>
    <w:rsid w:val="000C03F6"/>
    <w:rsid w:val="000C0D91"/>
    <w:rsid w:val="000C0F17"/>
    <w:rsid w:val="000C4AE0"/>
    <w:rsid w:val="000D07BD"/>
    <w:rsid w:val="000D10CE"/>
    <w:rsid w:val="000D1371"/>
    <w:rsid w:val="000D239B"/>
    <w:rsid w:val="000D5F6B"/>
    <w:rsid w:val="000D6474"/>
    <w:rsid w:val="000E10E7"/>
    <w:rsid w:val="000E1A2D"/>
    <w:rsid w:val="000E1FA0"/>
    <w:rsid w:val="000E2AC9"/>
    <w:rsid w:val="000E3CDC"/>
    <w:rsid w:val="000E7369"/>
    <w:rsid w:val="000F1D90"/>
    <w:rsid w:val="001008C6"/>
    <w:rsid w:val="00100CF1"/>
    <w:rsid w:val="0010217B"/>
    <w:rsid w:val="001042B8"/>
    <w:rsid w:val="00105E7E"/>
    <w:rsid w:val="001063F7"/>
    <w:rsid w:val="00107A76"/>
    <w:rsid w:val="001106E3"/>
    <w:rsid w:val="001109CB"/>
    <w:rsid w:val="00110EF1"/>
    <w:rsid w:val="00112CD0"/>
    <w:rsid w:val="00112FD1"/>
    <w:rsid w:val="001157A3"/>
    <w:rsid w:val="00120964"/>
    <w:rsid w:val="00120FE3"/>
    <w:rsid w:val="001220FD"/>
    <w:rsid w:val="00123682"/>
    <w:rsid w:val="00123C2E"/>
    <w:rsid w:val="001268D7"/>
    <w:rsid w:val="00126E38"/>
    <w:rsid w:val="001333C5"/>
    <w:rsid w:val="001359E7"/>
    <w:rsid w:val="00136B7C"/>
    <w:rsid w:val="001371FC"/>
    <w:rsid w:val="0014343B"/>
    <w:rsid w:val="00145D24"/>
    <w:rsid w:val="00146662"/>
    <w:rsid w:val="00151004"/>
    <w:rsid w:val="0015153B"/>
    <w:rsid w:val="00154B87"/>
    <w:rsid w:val="00160C61"/>
    <w:rsid w:val="00163274"/>
    <w:rsid w:val="00166A40"/>
    <w:rsid w:val="0016756C"/>
    <w:rsid w:val="00171927"/>
    <w:rsid w:val="001754DD"/>
    <w:rsid w:val="00181CE0"/>
    <w:rsid w:val="00185D18"/>
    <w:rsid w:val="00186EFD"/>
    <w:rsid w:val="0018739F"/>
    <w:rsid w:val="00191144"/>
    <w:rsid w:val="00195ADD"/>
    <w:rsid w:val="001A0593"/>
    <w:rsid w:val="001A56A6"/>
    <w:rsid w:val="001A5CDC"/>
    <w:rsid w:val="001A7C36"/>
    <w:rsid w:val="001B03CC"/>
    <w:rsid w:val="001B2047"/>
    <w:rsid w:val="001B2492"/>
    <w:rsid w:val="001C4582"/>
    <w:rsid w:val="001C6C24"/>
    <w:rsid w:val="001C79EF"/>
    <w:rsid w:val="001D32AA"/>
    <w:rsid w:val="001D6884"/>
    <w:rsid w:val="001D68CB"/>
    <w:rsid w:val="001E0552"/>
    <w:rsid w:val="001E36AC"/>
    <w:rsid w:val="001E44E2"/>
    <w:rsid w:val="001E63D1"/>
    <w:rsid w:val="001E78DC"/>
    <w:rsid w:val="001F452C"/>
    <w:rsid w:val="001F4F99"/>
    <w:rsid w:val="0020417A"/>
    <w:rsid w:val="0020579C"/>
    <w:rsid w:val="002078F8"/>
    <w:rsid w:val="002108FD"/>
    <w:rsid w:val="00210CCB"/>
    <w:rsid w:val="00221026"/>
    <w:rsid w:val="002223D7"/>
    <w:rsid w:val="00227639"/>
    <w:rsid w:val="00231F08"/>
    <w:rsid w:val="00234FC2"/>
    <w:rsid w:val="0023512D"/>
    <w:rsid w:val="002368B3"/>
    <w:rsid w:val="00236C6C"/>
    <w:rsid w:val="00242FCF"/>
    <w:rsid w:val="002474A9"/>
    <w:rsid w:val="002514B3"/>
    <w:rsid w:val="00255CC7"/>
    <w:rsid w:val="00256B83"/>
    <w:rsid w:val="00261869"/>
    <w:rsid w:val="0026439B"/>
    <w:rsid w:val="00264D23"/>
    <w:rsid w:val="002658A5"/>
    <w:rsid w:val="00265960"/>
    <w:rsid w:val="00267C75"/>
    <w:rsid w:val="00275E44"/>
    <w:rsid w:val="00283973"/>
    <w:rsid w:val="00284790"/>
    <w:rsid w:val="00286933"/>
    <w:rsid w:val="00292555"/>
    <w:rsid w:val="002929AF"/>
    <w:rsid w:val="0029481B"/>
    <w:rsid w:val="002A4B25"/>
    <w:rsid w:val="002A56A7"/>
    <w:rsid w:val="002A63F9"/>
    <w:rsid w:val="002A690B"/>
    <w:rsid w:val="002A7D9C"/>
    <w:rsid w:val="002B20A8"/>
    <w:rsid w:val="002B2D3C"/>
    <w:rsid w:val="002B3597"/>
    <w:rsid w:val="002B5C1C"/>
    <w:rsid w:val="002B6378"/>
    <w:rsid w:val="002B63F5"/>
    <w:rsid w:val="002C0D7D"/>
    <w:rsid w:val="002C3711"/>
    <w:rsid w:val="002C66FB"/>
    <w:rsid w:val="002C718E"/>
    <w:rsid w:val="002D0533"/>
    <w:rsid w:val="002D0FB8"/>
    <w:rsid w:val="002D1A58"/>
    <w:rsid w:val="002D3541"/>
    <w:rsid w:val="002D4227"/>
    <w:rsid w:val="002D51F1"/>
    <w:rsid w:val="002D6F15"/>
    <w:rsid w:val="002D6F3F"/>
    <w:rsid w:val="002E07C2"/>
    <w:rsid w:val="002E0FA7"/>
    <w:rsid w:val="002E1AD0"/>
    <w:rsid w:val="002E1E6A"/>
    <w:rsid w:val="002E32A3"/>
    <w:rsid w:val="002E546F"/>
    <w:rsid w:val="002E59A8"/>
    <w:rsid w:val="002E7594"/>
    <w:rsid w:val="002F1B4F"/>
    <w:rsid w:val="002F5112"/>
    <w:rsid w:val="002F54E7"/>
    <w:rsid w:val="002F586C"/>
    <w:rsid w:val="002F5A4B"/>
    <w:rsid w:val="002F763C"/>
    <w:rsid w:val="002F79FD"/>
    <w:rsid w:val="003021FC"/>
    <w:rsid w:val="00302D05"/>
    <w:rsid w:val="003047E5"/>
    <w:rsid w:val="00310DA5"/>
    <w:rsid w:val="00312200"/>
    <w:rsid w:val="00315AFA"/>
    <w:rsid w:val="00320516"/>
    <w:rsid w:val="003207B6"/>
    <w:rsid w:val="003233E1"/>
    <w:rsid w:val="00336A74"/>
    <w:rsid w:val="00343AD5"/>
    <w:rsid w:val="00346635"/>
    <w:rsid w:val="00346D87"/>
    <w:rsid w:val="003472A5"/>
    <w:rsid w:val="003504DD"/>
    <w:rsid w:val="003516D5"/>
    <w:rsid w:val="00351B1E"/>
    <w:rsid w:val="00352300"/>
    <w:rsid w:val="003536E5"/>
    <w:rsid w:val="00354633"/>
    <w:rsid w:val="003549E9"/>
    <w:rsid w:val="00355FEC"/>
    <w:rsid w:val="00356091"/>
    <w:rsid w:val="0035769E"/>
    <w:rsid w:val="00361E80"/>
    <w:rsid w:val="00363523"/>
    <w:rsid w:val="00366072"/>
    <w:rsid w:val="00367F80"/>
    <w:rsid w:val="00370C56"/>
    <w:rsid w:val="00372905"/>
    <w:rsid w:val="00372EB6"/>
    <w:rsid w:val="00375FCE"/>
    <w:rsid w:val="00377BCF"/>
    <w:rsid w:val="00386A5E"/>
    <w:rsid w:val="00387207"/>
    <w:rsid w:val="00392E35"/>
    <w:rsid w:val="00393A5F"/>
    <w:rsid w:val="003A02CC"/>
    <w:rsid w:val="003A65BD"/>
    <w:rsid w:val="003B06BD"/>
    <w:rsid w:val="003B77A6"/>
    <w:rsid w:val="003C0A19"/>
    <w:rsid w:val="003C1B97"/>
    <w:rsid w:val="003C202F"/>
    <w:rsid w:val="003C29D9"/>
    <w:rsid w:val="003C380F"/>
    <w:rsid w:val="003C6365"/>
    <w:rsid w:val="003C7B80"/>
    <w:rsid w:val="003D05A5"/>
    <w:rsid w:val="003D118F"/>
    <w:rsid w:val="003D17C4"/>
    <w:rsid w:val="003D3D81"/>
    <w:rsid w:val="003D77F0"/>
    <w:rsid w:val="003D7AC7"/>
    <w:rsid w:val="003E1A2B"/>
    <w:rsid w:val="003E315A"/>
    <w:rsid w:val="003E7F12"/>
    <w:rsid w:val="003F1636"/>
    <w:rsid w:val="003F3A94"/>
    <w:rsid w:val="003F462A"/>
    <w:rsid w:val="003F6225"/>
    <w:rsid w:val="0040023B"/>
    <w:rsid w:val="004002D3"/>
    <w:rsid w:val="00400B0D"/>
    <w:rsid w:val="00400CB1"/>
    <w:rsid w:val="00401A6B"/>
    <w:rsid w:val="00402C30"/>
    <w:rsid w:val="0040685B"/>
    <w:rsid w:val="00411435"/>
    <w:rsid w:val="004155A4"/>
    <w:rsid w:val="00420E39"/>
    <w:rsid w:val="00422372"/>
    <w:rsid w:val="00425F32"/>
    <w:rsid w:val="0042768D"/>
    <w:rsid w:val="00427B9B"/>
    <w:rsid w:val="00432C10"/>
    <w:rsid w:val="004333F7"/>
    <w:rsid w:val="00433D4D"/>
    <w:rsid w:val="00435AB0"/>
    <w:rsid w:val="00437995"/>
    <w:rsid w:val="00437CEB"/>
    <w:rsid w:val="004401BA"/>
    <w:rsid w:val="00443006"/>
    <w:rsid w:val="00450327"/>
    <w:rsid w:val="004520D8"/>
    <w:rsid w:val="004531D1"/>
    <w:rsid w:val="00453CCF"/>
    <w:rsid w:val="00454805"/>
    <w:rsid w:val="0045481A"/>
    <w:rsid w:val="00454FB6"/>
    <w:rsid w:val="00455866"/>
    <w:rsid w:val="00460B55"/>
    <w:rsid w:val="00462905"/>
    <w:rsid w:val="0046467F"/>
    <w:rsid w:val="004715A7"/>
    <w:rsid w:val="00472FD7"/>
    <w:rsid w:val="00473F10"/>
    <w:rsid w:val="00474647"/>
    <w:rsid w:val="00481A8C"/>
    <w:rsid w:val="0048529C"/>
    <w:rsid w:val="00487E57"/>
    <w:rsid w:val="00491929"/>
    <w:rsid w:val="004940D7"/>
    <w:rsid w:val="00495656"/>
    <w:rsid w:val="00495BF5"/>
    <w:rsid w:val="0049618C"/>
    <w:rsid w:val="004A1278"/>
    <w:rsid w:val="004A697C"/>
    <w:rsid w:val="004B18FE"/>
    <w:rsid w:val="004B359E"/>
    <w:rsid w:val="004B434E"/>
    <w:rsid w:val="004B45A3"/>
    <w:rsid w:val="004B5BA0"/>
    <w:rsid w:val="004B6A9F"/>
    <w:rsid w:val="004C2865"/>
    <w:rsid w:val="004C2AFB"/>
    <w:rsid w:val="004C3E00"/>
    <w:rsid w:val="004C3E92"/>
    <w:rsid w:val="004C411B"/>
    <w:rsid w:val="004C4D95"/>
    <w:rsid w:val="004C52E7"/>
    <w:rsid w:val="004C6BDC"/>
    <w:rsid w:val="004D1B12"/>
    <w:rsid w:val="004D3698"/>
    <w:rsid w:val="004D3FA1"/>
    <w:rsid w:val="004D4B41"/>
    <w:rsid w:val="004D4DFC"/>
    <w:rsid w:val="004E01E6"/>
    <w:rsid w:val="004E40B7"/>
    <w:rsid w:val="004E4D71"/>
    <w:rsid w:val="004E5F6C"/>
    <w:rsid w:val="004E630F"/>
    <w:rsid w:val="004E7E60"/>
    <w:rsid w:val="00503F56"/>
    <w:rsid w:val="005049B9"/>
    <w:rsid w:val="00504BB0"/>
    <w:rsid w:val="00507C2E"/>
    <w:rsid w:val="0051054D"/>
    <w:rsid w:val="0051782C"/>
    <w:rsid w:val="00525130"/>
    <w:rsid w:val="00525704"/>
    <w:rsid w:val="00527074"/>
    <w:rsid w:val="00532D78"/>
    <w:rsid w:val="005339DC"/>
    <w:rsid w:val="005348B8"/>
    <w:rsid w:val="00535010"/>
    <w:rsid w:val="0053705B"/>
    <w:rsid w:val="005400A5"/>
    <w:rsid w:val="00540CD7"/>
    <w:rsid w:val="00546328"/>
    <w:rsid w:val="00552E0E"/>
    <w:rsid w:val="00554187"/>
    <w:rsid w:val="00555B06"/>
    <w:rsid w:val="005611C7"/>
    <w:rsid w:val="005619EA"/>
    <w:rsid w:val="00561AA7"/>
    <w:rsid w:val="00562A63"/>
    <w:rsid w:val="00563AA2"/>
    <w:rsid w:val="005656AE"/>
    <w:rsid w:val="00571977"/>
    <w:rsid w:val="005719FD"/>
    <w:rsid w:val="00577082"/>
    <w:rsid w:val="00580A65"/>
    <w:rsid w:val="00585663"/>
    <w:rsid w:val="00587A1F"/>
    <w:rsid w:val="00587EE9"/>
    <w:rsid w:val="0059296C"/>
    <w:rsid w:val="00596ED8"/>
    <w:rsid w:val="00596F18"/>
    <w:rsid w:val="005A2C56"/>
    <w:rsid w:val="005A5E4A"/>
    <w:rsid w:val="005C174A"/>
    <w:rsid w:val="005C2C88"/>
    <w:rsid w:val="005C2D5F"/>
    <w:rsid w:val="005D0D19"/>
    <w:rsid w:val="005D2907"/>
    <w:rsid w:val="005D2A2F"/>
    <w:rsid w:val="005D3D39"/>
    <w:rsid w:val="005E2985"/>
    <w:rsid w:val="005E30F7"/>
    <w:rsid w:val="005E54F4"/>
    <w:rsid w:val="005E7B1D"/>
    <w:rsid w:val="005F3BA7"/>
    <w:rsid w:val="005F62C0"/>
    <w:rsid w:val="005F7917"/>
    <w:rsid w:val="00607D5F"/>
    <w:rsid w:val="00611E97"/>
    <w:rsid w:val="00612AB2"/>
    <w:rsid w:val="006132F6"/>
    <w:rsid w:val="00617C0B"/>
    <w:rsid w:val="00624262"/>
    <w:rsid w:val="00624F9B"/>
    <w:rsid w:val="00626CE5"/>
    <w:rsid w:val="00635346"/>
    <w:rsid w:val="00635789"/>
    <w:rsid w:val="006370F1"/>
    <w:rsid w:val="00637286"/>
    <w:rsid w:val="00643D01"/>
    <w:rsid w:val="00645B54"/>
    <w:rsid w:val="00646290"/>
    <w:rsid w:val="00647A97"/>
    <w:rsid w:val="00650351"/>
    <w:rsid w:val="00651073"/>
    <w:rsid w:val="00653F59"/>
    <w:rsid w:val="0065528E"/>
    <w:rsid w:val="00655C19"/>
    <w:rsid w:val="00655E19"/>
    <w:rsid w:val="00662334"/>
    <w:rsid w:val="00662BF2"/>
    <w:rsid w:val="00662C3F"/>
    <w:rsid w:val="006635D2"/>
    <w:rsid w:val="006654C4"/>
    <w:rsid w:val="00666AF3"/>
    <w:rsid w:val="00672DB1"/>
    <w:rsid w:val="00674EBC"/>
    <w:rsid w:val="00681E6D"/>
    <w:rsid w:val="006827DB"/>
    <w:rsid w:val="00685E6F"/>
    <w:rsid w:val="006870E1"/>
    <w:rsid w:val="006873D7"/>
    <w:rsid w:val="00692892"/>
    <w:rsid w:val="0069300D"/>
    <w:rsid w:val="00693ECC"/>
    <w:rsid w:val="00694AEE"/>
    <w:rsid w:val="006978A3"/>
    <w:rsid w:val="006A06AB"/>
    <w:rsid w:val="006A6957"/>
    <w:rsid w:val="006B0A3B"/>
    <w:rsid w:val="006B68E9"/>
    <w:rsid w:val="006B7086"/>
    <w:rsid w:val="006C046C"/>
    <w:rsid w:val="006C0F7B"/>
    <w:rsid w:val="006C5133"/>
    <w:rsid w:val="006D2B03"/>
    <w:rsid w:val="006D38E2"/>
    <w:rsid w:val="006D45C8"/>
    <w:rsid w:val="006D60FE"/>
    <w:rsid w:val="006E06B0"/>
    <w:rsid w:val="006E2067"/>
    <w:rsid w:val="006E642C"/>
    <w:rsid w:val="006E749B"/>
    <w:rsid w:val="006F1AD1"/>
    <w:rsid w:val="006F2758"/>
    <w:rsid w:val="0070069F"/>
    <w:rsid w:val="00701448"/>
    <w:rsid w:val="00703909"/>
    <w:rsid w:val="007050FC"/>
    <w:rsid w:val="00705D31"/>
    <w:rsid w:val="00706DE1"/>
    <w:rsid w:val="00707093"/>
    <w:rsid w:val="00712BC3"/>
    <w:rsid w:val="0071471D"/>
    <w:rsid w:val="00714A0E"/>
    <w:rsid w:val="007150CA"/>
    <w:rsid w:val="00717444"/>
    <w:rsid w:val="007178E3"/>
    <w:rsid w:val="007235E9"/>
    <w:rsid w:val="00723E23"/>
    <w:rsid w:val="007257F2"/>
    <w:rsid w:val="00726C6A"/>
    <w:rsid w:val="00730B2D"/>
    <w:rsid w:val="00730E68"/>
    <w:rsid w:val="00732044"/>
    <w:rsid w:val="0073256B"/>
    <w:rsid w:val="00733BD7"/>
    <w:rsid w:val="00737D76"/>
    <w:rsid w:val="00744265"/>
    <w:rsid w:val="0074593F"/>
    <w:rsid w:val="00752511"/>
    <w:rsid w:val="0076418F"/>
    <w:rsid w:val="0077286A"/>
    <w:rsid w:val="007757A1"/>
    <w:rsid w:val="007801BE"/>
    <w:rsid w:val="00785394"/>
    <w:rsid w:val="0078783E"/>
    <w:rsid w:val="00791503"/>
    <w:rsid w:val="00795A0C"/>
    <w:rsid w:val="00796124"/>
    <w:rsid w:val="007966CE"/>
    <w:rsid w:val="00796968"/>
    <w:rsid w:val="007A7660"/>
    <w:rsid w:val="007B32FE"/>
    <w:rsid w:val="007B3FBA"/>
    <w:rsid w:val="007B6730"/>
    <w:rsid w:val="007B6CF4"/>
    <w:rsid w:val="007C1A60"/>
    <w:rsid w:val="007C541B"/>
    <w:rsid w:val="007C5A35"/>
    <w:rsid w:val="007D0E68"/>
    <w:rsid w:val="007D3193"/>
    <w:rsid w:val="007D6B92"/>
    <w:rsid w:val="007E021C"/>
    <w:rsid w:val="007E73FE"/>
    <w:rsid w:val="007F2757"/>
    <w:rsid w:val="007F3F2B"/>
    <w:rsid w:val="00800835"/>
    <w:rsid w:val="008013D6"/>
    <w:rsid w:val="00802106"/>
    <w:rsid w:val="00802447"/>
    <w:rsid w:val="00805AFD"/>
    <w:rsid w:val="008104DB"/>
    <w:rsid w:val="00810BE6"/>
    <w:rsid w:val="0081454D"/>
    <w:rsid w:val="00815DF5"/>
    <w:rsid w:val="008163F2"/>
    <w:rsid w:val="0082258F"/>
    <w:rsid w:val="008353AB"/>
    <w:rsid w:val="00836F46"/>
    <w:rsid w:val="008375FB"/>
    <w:rsid w:val="00837F4C"/>
    <w:rsid w:val="00842343"/>
    <w:rsid w:val="0085017B"/>
    <w:rsid w:val="00850F8E"/>
    <w:rsid w:val="00851A2D"/>
    <w:rsid w:val="00852071"/>
    <w:rsid w:val="00853EE7"/>
    <w:rsid w:val="00854E5C"/>
    <w:rsid w:val="0085662A"/>
    <w:rsid w:val="00856A8C"/>
    <w:rsid w:val="0086129D"/>
    <w:rsid w:val="0086130A"/>
    <w:rsid w:val="008625F5"/>
    <w:rsid w:val="00863ED3"/>
    <w:rsid w:val="00872ECF"/>
    <w:rsid w:val="00877F6E"/>
    <w:rsid w:val="00881B05"/>
    <w:rsid w:val="0088307B"/>
    <w:rsid w:val="0088389E"/>
    <w:rsid w:val="0088632E"/>
    <w:rsid w:val="00886F4C"/>
    <w:rsid w:val="008870BE"/>
    <w:rsid w:val="00890D2C"/>
    <w:rsid w:val="0089626A"/>
    <w:rsid w:val="00897003"/>
    <w:rsid w:val="008A2269"/>
    <w:rsid w:val="008A61F3"/>
    <w:rsid w:val="008B050A"/>
    <w:rsid w:val="008B0F80"/>
    <w:rsid w:val="008B1475"/>
    <w:rsid w:val="008B3215"/>
    <w:rsid w:val="008B60E5"/>
    <w:rsid w:val="008B6ABF"/>
    <w:rsid w:val="008B6E0B"/>
    <w:rsid w:val="008C00A1"/>
    <w:rsid w:val="008C0B09"/>
    <w:rsid w:val="008C6053"/>
    <w:rsid w:val="008D70E6"/>
    <w:rsid w:val="008E1F00"/>
    <w:rsid w:val="008E4ECF"/>
    <w:rsid w:val="008E5B22"/>
    <w:rsid w:val="008E7EC6"/>
    <w:rsid w:val="008F02A2"/>
    <w:rsid w:val="008F0522"/>
    <w:rsid w:val="008F4C7A"/>
    <w:rsid w:val="008F55C8"/>
    <w:rsid w:val="008F7695"/>
    <w:rsid w:val="009132EA"/>
    <w:rsid w:val="00914452"/>
    <w:rsid w:val="009144C6"/>
    <w:rsid w:val="00915DE5"/>
    <w:rsid w:val="0091692F"/>
    <w:rsid w:val="00916C58"/>
    <w:rsid w:val="00920C06"/>
    <w:rsid w:val="00920EBC"/>
    <w:rsid w:val="00922D38"/>
    <w:rsid w:val="00924828"/>
    <w:rsid w:val="0092484B"/>
    <w:rsid w:val="00927B8A"/>
    <w:rsid w:val="00935ADE"/>
    <w:rsid w:val="00935BD7"/>
    <w:rsid w:val="00944305"/>
    <w:rsid w:val="00956883"/>
    <w:rsid w:val="0096202A"/>
    <w:rsid w:val="009642ED"/>
    <w:rsid w:val="009652DD"/>
    <w:rsid w:val="009672CF"/>
    <w:rsid w:val="00967BC4"/>
    <w:rsid w:val="0097090D"/>
    <w:rsid w:val="00970EB5"/>
    <w:rsid w:val="00970F25"/>
    <w:rsid w:val="009717D3"/>
    <w:rsid w:val="00977E91"/>
    <w:rsid w:val="0098261A"/>
    <w:rsid w:val="0098384E"/>
    <w:rsid w:val="00983BDF"/>
    <w:rsid w:val="009868EE"/>
    <w:rsid w:val="009966B6"/>
    <w:rsid w:val="009A0B06"/>
    <w:rsid w:val="009A1168"/>
    <w:rsid w:val="009A3E54"/>
    <w:rsid w:val="009A5964"/>
    <w:rsid w:val="009A5A61"/>
    <w:rsid w:val="009B3861"/>
    <w:rsid w:val="009B4AAC"/>
    <w:rsid w:val="009B646E"/>
    <w:rsid w:val="009B65A5"/>
    <w:rsid w:val="009C0091"/>
    <w:rsid w:val="009C1D55"/>
    <w:rsid w:val="009C29C0"/>
    <w:rsid w:val="009C4BC0"/>
    <w:rsid w:val="009C7D65"/>
    <w:rsid w:val="009D08D2"/>
    <w:rsid w:val="009D0BAE"/>
    <w:rsid w:val="009D1898"/>
    <w:rsid w:val="009D2316"/>
    <w:rsid w:val="009D4EBE"/>
    <w:rsid w:val="009D4F36"/>
    <w:rsid w:val="009D68D5"/>
    <w:rsid w:val="009D6FE1"/>
    <w:rsid w:val="009D787F"/>
    <w:rsid w:val="009E1B72"/>
    <w:rsid w:val="009E2203"/>
    <w:rsid w:val="009E264F"/>
    <w:rsid w:val="009E7D43"/>
    <w:rsid w:val="009F2C52"/>
    <w:rsid w:val="009F63AC"/>
    <w:rsid w:val="00A00A95"/>
    <w:rsid w:val="00A01458"/>
    <w:rsid w:val="00A03892"/>
    <w:rsid w:val="00A054B0"/>
    <w:rsid w:val="00A06B73"/>
    <w:rsid w:val="00A07559"/>
    <w:rsid w:val="00A12039"/>
    <w:rsid w:val="00A20165"/>
    <w:rsid w:val="00A23313"/>
    <w:rsid w:val="00A249B5"/>
    <w:rsid w:val="00A257AF"/>
    <w:rsid w:val="00A25CBE"/>
    <w:rsid w:val="00A30CE7"/>
    <w:rsid w:val="00A325F7"/>
    <w:rsid w:val="00A32B5D"/>
    <w:rsid w:val="00A337D0"/>
    <w:rsid w:val="00A35B5D"/>
    <w:rsid w:val="00A36806"/>
    <w:rsid w:val="00A36F81"/>
    <w:rsid w:val="00A40B60"/>
    <w:rsid w:val="00A418DD"/>
    <w:rsid w:val="00A44E09"/>
    <w:rsid w:val="00A45291"/>
    <w:rsid w:val="00A529B5"/>
    <w:rsid w:val="00A53BD3"/>
    <w:rsid w:val="00A568CE"/>
    <w:rsid w:val="00A57D64"/>
    <w:rsid w:val="00A61338"/>
    <w:rsid w:val="00A66506"/>
    <w:rsid w:val="00A709EE"/>
    <w:rsid w:val="00A770D5"/>
    <w:rsid w:val="00A77D1A"/>
    <w:rsid w:val="00A77FEE"/>
    <w:rsid w:val="00A85D20"/>
    <w:rsid w:val="00A95713"/>
    <w:rsid w:val="00A95C86"/>
    <w:rsid w:val="00A97AC4"/>
    <w:rsid w:val="00AA0C15"/>
    <w:rsid w:val="00AA24D2"/>
    <w:rsid w:val="00AA37F1"/>
    <w:rsid w:val="00AA3AD4"/>
    <w:rsid w:val="00AA545A"/>
    <w:rsid w:val="00AA5BF6"/>
    <w:rsid w:val="00AB0EF9"/>
    <w:rsid w:val="00AB5BFC"/>
    <w:rsid w:val="00AB7392"/>
    <w:rsid w:val="00AB793D"/>
    <w:rsid w:val="00AC2510"/>
    <w:rsid w:val="00AC26C2"/>
    <w:rsid w:val="00AC4F70"/>
    <w:rsid w:val="00AC5ECE"/>
    <w:rsid w:val="00AD0752"/>
    <w:rsid w:val="00AD2F90"/>
    <w:rsid w:val="00AD41D9"/>
    <w:rsid w:val="00AD584F"/>
    <w:rsid w:val="00AD5B97"/>
    <w:rsid w:val="00AD64BA"/>
    <w:rsid w:val="00AD732F"/>
    <w:rsid w:val="00AE121F"/>
    <w:rsid w:val="00AE1366"/>
    <w:rsid w:val="00AE3548"/>
    <w:rsid w:val="00AE59C1"/>
    <w:rsid w:val="00AE6C97"/>
    <w:rsid w:val="00AF338B"/>
    <w:rsid w:val="00AF4056"/>
    <w:rsid w:val="00AF4244"/>
    <w:rsid w:val="00AF46C3"/>
    <w:rsid w:val="00AF7BA8"/>
    <w:rsid w:val="00AF7CA9"/>
    <w:rsid w:val="00B004FE"/>
    <w:rsid w:val="00B01492"/>
    <w:rsid w:val="00B0300B"/>
    <w:rsid w:val="00B04512"/>
    <w:rsid w:val="00B0572C"/>
    <w:rsid w:val="00B059FB"/>
    <w:rsid w:val="00B068AC"/>
    <w:rsid w:val="00B06A7F"/>
    <w:rsid w:val="00B06BC1"/>
    <w:rsid w:val="00B06E65"/>
    <w:rsid w:val="00B10FB8"/>
    <w:rsid w:val="00B115CB"/>
    <w:rsid w:val="00B11DC5"/>
    <w:rsid w:val="00B11F47"/>
    <w:rsid w:val="00B13949"/>
    <w:rsid w:val="00B1444C"/>
    <w:rsid w:val="00B150EB"/>
    <w:rsid w:val="00B15E7D"/>
    <w:rsid w:val="00B2055A"/>
    <w:rsid w:val="00B21CE5"/>
    <w:rsid w:val="00B21E3B"/>
    <w:rsid w:val="00B24D24"/>
    <w:rsid w:val="00B24E6D"/>
    <w:rsid w:val="00B30874"/>
    <w:rsid w:val="00B310D2"/>
    <w:rsid w:val="00B33FE0"/>
    <w:rsid w:val="00B35101"/>
    <w:rsid w:val="00B37916"/>
    <w:rsid w:val="00B42FFA"/>
    <w:rsid w:val="00B433FB"/>
    <w:rsid w:val="00B45E66"/>
    <w:rsid w:val="00B47DB8"/>
    <w:rsid w:val="00B534E5"/>
    <w:rsid w:val="00B53CFE"/>
    <w:rsid w:val="00B60B3B"/>
    <w:rsid w:val="00B640DC"/>
    <w:rsid w:val="00B77A04"/>
    <w:rsid w:val="00B8000E"/>
    <w:rsid w:val="00B836D1"/>
    <w:rsid w:val="00B94456"/>
    <w:rsid w:val="00B9474F"/>
    <w:rsid w:val="00B94A32"/>
    <w:rsid w:val="00B95B99"/>
    <w:rsid w:val="00B96A07"/>
    <w:rsid w:val="00B96F78"/>
    <w:rsid w:val="00BA1766"/>
    <w:rsid w:val="00BA49C6"/>
    <w:rsid w:val="00BA6203"/>
    <w:rsid w:val="00BA75A1"/>
    <w:rsid w:val="00BA7F1E"/>
    <w:rsid w:val="00BB371C"/>
    <w:rsid w:val="00BB4CF0"/>
    <w:rsid w:val="00BB5D48"/>
    <w:rsid w:val="00BC0EBE"/>
    <w:rsid w:val="00BC263B"/>
    <w:rsid w:val="00BC274D"/>
    <w:rsid w:val="00BC2C7C"/>
    <w:rsid w:val="00BC7764"/>
    <w:rsid w:val="00BD0CA9"/>
    <w:rsid w:val="00BD1187"/>
    <w:rsid w:val="00BD1676"/>
    <w:rsid w:val="00BD402C"/>
    <w:rsid w:val="00BD52CE"/>
    <w:rsid w:val="00BD65A7"/>
    <w:rsid w:val="00BE00FF"/>
    <w:rsid w:val="00BE2486"/>
    <w:rsid w:val="00BE5538"/>
    <w:rsid w:val="00C05457"/>
    <w:rsid w:val="00C10287"/>
    <w:rsid w:val="00C12BDA"/>
    <w:rsid w:val="00C134E6"/>
    <w:rsid w:val="00C205F6"/>
    <w:rsid w:val="00C22E4D"/>
    <w:rsid w:val="00C26FBC"/>
    <w:rsid w:val="00C330B1"/>
    <w:rsid w:val="00C40C5D"/>
    <w:rsid w:val="00C410C1"/>
    <w:rsid w:val="00C433DE"/>
    <w:rsid w:val="00C46096"/>
    <w:rsid w:val="00C51B04"/>
    <w:rsid w:val="00C60316"/>
    <w:rsid w:val="00C6162B"/>
    <w:rsid w:val="00C6525B"/>
    <w:rsid w:val="00C6548D"/>
    <w:rsid w:val="00C750CA"/>
    <w:rsid w:val="00C76DE6"/>
    <w:rsid w:val="00C8383E"/>
    <w:rsid w:val="00C838A4"/>
    <w:rsid w:val="00C849F8"/>
    <w:rsid w:val="00C90A05"/>
    <w:rsid w:val="00C91C64"/>
    <w:rsid w:val="00C93344"/>
    <w:rsid w:val="00C948D5"/>
    <w:rsid w:val="00CA10E3"/>
    <w:rsid w:val="00CA209F"/>
    <w:rsid w:val="00CA3D03"/>
    <w:rsid w:val="00CA3EC6"/>
    <w:rsid w:val="00CA7B21"/>
    <w:rsid w:val="00CA7E15"/>
    <w:rsid w:val="00CB64A7"/>
    <w:rsid w:val="00CB7727"/>
    <w:rsid w:val="00CC1A9E"/>
    <w:rsid w:val="00CC3AF0"/>
    <w:rsid w:val="00CC6833"/>
    <w:rsid w:val="00CC7890"/>
    <w:rsid w:val="00CD04E0"/>
    <w:rsid w:val="00CD5FEE"/>
    <w:rsid w:val="00CE02F8"/>
    <w:rsid w:val="00CE1CA2"/>
    <w:rsid w:val="00CE37D5"/>
    <w:rsid w:val="00CE5B3A"/>
    <w:rsid w:val="00CF0462"/>
    <w:rsid w:val="00CF05CA"/>
    <w:rsid w:val="00CF2639"/>
    <w:rsid w:val="00CF7CC9"/>
    <w:rsid w:val="00CF7EA8"/>
    <w:rsid w:val="00D02FBA"/>
    <w:rsid w:val="00D031D8"/>
    <w:rsid w:val="00D105F4"/>
    <w:rsid w:val="00D1187B"/>
    <w:rsid w:val="00D12080"/>
    <w:rsid w:val="00D149BC"/>
    <w:rsid w:val="00D1709C"/>
    <w:rsid w:val="00D204C5"/>
    <w:rsid w:val="00D2402B"/>
    <w:rsid w:val="00D249C7"/>
    <w:rsid w:val="00D2676B"/>
    <w:rsid w:val="00D26DC0"/>
    <w:rsid w:val="00D277F0"/>
    <w:rsid w:val="00D30252"/>
    <w:rsid w:val="00D320CE"/>
    <w:rsid w:val="00D34131"/>
    <w:rsid w:val="00D37D07"/>
    <w:rsid w:val="00D41682"/>
    <w:rsid w:val="00D43F38"/>
    <w:rsid w:val="00D456EA"/>
    <w:rsid w:val="00D47048"/>
    <w:rsid w:val="00D533C4"/>
    <w:rsid w:val="00D534CA"/>
    <w:rsid w:val="00D565CA"/>
    <w:rsid w:val="00D57613"/>
    <w:rsid w:val="00D57760"/>
    <w:rsid w:val="00D6065B"/>
    <w:rsid w:val="00D60909"/>
    <w:rsid w:val="00D64C55"/>
    <w:rsid w:val="00D66AD0"/>
    <w:rsid w:val="00D66D16"/>
    <w:rsid w:val="00D67F53"/>
    <w:rsid w:val="00D7050A"/>
    <w:rsid w:val="00D74C64"/>
    <w:rsid w:val="00D74CFD"/>
    <w:rsid w:val="00D750C2"/>
    <w:rsid w:val="00D77E9A"/>
    <w:rsid w:val="00D80425"/>
    <w:rsid w:val="00D82637"/>
    <w:rsid w:val="00D83961"/>
    <w:rsid w:val="00D878E2"/>
    <w:rsid w:val="00D90EDC"/>
    <w:rsid w:val="00D9624E"/>
    <w:rsid w:val="00DA00D1"/>
    <w:rsid w:val="00DA2527"/>
    <w:rsid w:val="00DA4C2D"/>
    <w:rsid w:val="00DA7170"/>
    <w:rsid w:val="00DA784C"/>
    <w:rsid w:val="00DB66B0"/>
    <w:rsid w:val="00DB71B9"/>
    <w:rsid w:val="00DB7366"/>
    <w:rsid w:val="00DB781B"/>
    <w:rsid w:val="00DB79E5"/>
    <w:rsid w:val="00DC0D47"/>
    <w:rsid w:val="00DC1A8B"/>
    <w:rsid w:val="00DC2DF2"/>
    <w:rsid w:val="00DC413B"/>
    <w:rsid w:val="00DC4550"/>
    <w:rsid w:val="00DD0921"/>
    <w:rsid w:val="00DD0D1A"/>
    <w:rsid w:val="00DD794F"/>
    <w:rsid w:val="00DE52D6"/>
    <w:rsid w:val="00DE52E5"/>
    <w:rsid w:val="00DE592B"/>
    <w:rsid w:val="00DE5F7E"/>
    <w:rsid w:val="00DE7F8E"/>
    <w:rsid w:val="00DF253F"/>
    <w:rsid w:val="00DF2B39"/>
    <w:rsid w:val="00DF76E0"/>
    <w:rsid w:val="00E00BFC"/>
    <w:rsid w:val="00E06D1A"/>
    <w:rsid w:val="00E12357"/>
    <w:rsid w:val="00E1253E"/>
    <w:rsid w:val="00E12CC9"/>
    <w:rsid w:val="00E13655"/>
    <w:rsid w:val="00E1590D"/>
    <w:rsid w:val="00E22E3C"/>
    <w:rsid w:val="00E23302"/>
    <w:rsid w:val="00E24704"/>
    <w:rsid w:val="00E27625"/>
    <w:rsid w:val="00E31D0E"/>
    <w:rsid w:val="00E3285A"/>
    <w:rsid w:val="00E35FF2"/>
    <w:rsid w:val="00E366ED"/>
    <w:rsid w:val="00E40010"/>
    <w:rsid w:val="00E4031D"/>
    <w:rsid w:val="00E4232D"/>
    <w:rsid w:val="00E423CA"/>
    <w:rsid w:val="00E439AF"/>
    <w:rsid w:val="00E44683"/>
    <w:rsid w:val="00E44BAA"/>
    <w:rsid w:val="00E4583C"/>
    <w:rsid w:val="00E45E8D"/>
    <w:rsid w:val="00E5245A"/>
    <w:rsid w:val="00E605C4"/>
    <w:rsid w:val="00E61F30"/>
    <w:rsid w:val="00E62176"/>
    <w:rsid w:val="00E64495"/>
    <w:rsid w:val="00E6456A"/>
    <w:rsid w:val="00E65CB6"/>
    <w:rsid w:val="00E674CA"/>
    <w:rsid w:val="00E70BEB"/>
    <w:rsid w:val="00E726D6"/>
    <w:rsid w:val="00E73B6F"/>
    <w:rsid w:val="00E744BC"/>
    <w:rsid w:val="00E74978"/>
    <w:rsid w:val="00E76AF0"/>
    <w:rsid w:val="00E84A8A"/>
    <w:rsid w:val="00E85722"/>
    <w:rsid w:val="00E863C4"/>
    <w:rsid w:val="00E877C7"/>
    <w:rsid w:val="00E87BB7"/>
    <w:rsid w:val="00E87E6B"/>
    <w:rsid w:val="00E928E8"/>
    <w:rsid w:val="00E93ECA"/>
    <w:rsid w:val="00E96158"/>
    <w:rsid w:val="00EA0B6C"/>
    <w:rsid w:val="00EA0D59"/>
    <w:rsid w:val="00EA53EA"/>
    <w:rsid w:val="00EB1614"/>
    <w:rsid w:val="00EB1868"/>
    <w:rsid w:val="00EB2509"/>
    <w:rsid w:val="00EB365B"/>
    <w:rsid w:val="00EC18B7"/>
    <w:rsid w:val="00EC5B97"/>
    <w:rsid w:val="00EC64D2"/>
    <w:rsid w:val="00EC6FB2"/>
    <w:rsid w:val="00ED0DCC"/>
    <w:rsid w:val="00ED2FE5"/>
    <w:rsid w:val="00ED3D4E"/>
    <w:rsid w:val="00ED3F4D"/>
    <w:rsid w:val="00ED403F"/>
    <w:rsid w:val="00ED706E"/>
    <w:rsid w:val="00EE1323"/>
    <w:rsid w:val="00EE4466"/>
    <w:rsid w:val="00EE4C57"/>
    <w:rsid w:val="00EE636F"/>
    <w:rsid w:val="00EF274F"/>
    <w:rsid w:val="00EF2BCE"/>
    <w:rsid w:val="00EF2EEF"/>
    <w:rsid w:val="00F0014D"/>
    <w:rsid w:val="00F00559"/>
    <w:rsid w:val="00F064A8"/>
    <w:rsid w:val="00F0768A"/>
    <w:rsid w:val="00F11EB8"/>
    <w:rsid w:val="00F15368"/>
    <w:rsid w:val="00F20535"/>
    <w:rsid w:val="00F222C4"/>
    <w:rsid w:val="00F25E57"/>
    <w:rsid w:val="00F31A32"/>
    <w:rsid w:val="00F33D40"/>
    <w:rsid w:val="00F343A5"/>
    <w:rsid w:val="00F3686E"/>
    <w:rsid w:val="00F41C35"/>
    <w:rsid w:val="00F456D3"/>
    <w:rsid w:val="00F468E1"/>
    <w:rsid w:val="00F51F5F"/>
    <w:rsid w:val="00F53F47"/>
    <w:rsid w:val="00F559D3"/>
    <w:rsid w:val="00F60CF3"/>
    <w:rsid w:val="00F62091"/>
    <w:rsid w:val="00F6503F"/>
    <w:rsid w:val="00F668C2"/>
    <w:rsid w:val="00F67B70"/>
    <w:rsid w:val="00F808BC"/>
    <w:rsid w:val="00F808C3"/>
    <w:rsid w:val="00F80D06"/>
    <w:rsid w:val="00F80FD3"/>
    <w:rsid w:val="00F855FD"/>
    <w:rsid w:val="00F85D40"/>
    <w:rsid w:val="00F86B94"/>
    <w:rsid w:val="00F911BB"/>
    <w:rsid w:val="00F93438"/>
    <w:rsid w:val="00FA0DC6"/>
    <w:rsid w:val="00FA30E5"/>
    <w:rsid w:val="00FA442A"/>
    <w:rsid w:val="00FB1662"/>
    <w:rsid w:val="00FB3696"/>
    <w:rsid w:val="00FB4032"/>
    <w:rsid w:val="00FB7E14"/>
    <w:rsid w:val="00FC18D5"/>
    <w:rsid w:val="00FC2442"/>
    <w:rsid w:val="00FC5FBC"/>
    <w:rsid w:val="00FC6E67"/>
    <w:rsid w:val="00FD1055"/>
    <w:rsid w:val="00FD2E24"/>
    <w:rsid w:val="00FD4899"/>
    <w:rsid w:val="00FD66E9"/>
    <w:rsid w:val="00FD6F1C"/>
    <w:rsid w:val="00FE16D1"/>
    <w:rsid w:val="00FE3315"/>
    <w:rsid w:val="00FE3561"/>
    <w:rsid w:val="00FE4EB5"/>
    <w:rsid w:val="00FF2F56"/>
    <w:rsid w:val="00FF6D55"/>
    <w:rsid w:val="00FF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EE7A4"/>
  <w15:docId w15:val="{48CF5496-CC59-45C0-A2E6-B279A282A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3B6F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D6F3F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6F3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91692F"/>
    <w:pPr>
      <w:spacing w:after="120"/>
    </w:pPr>
    <w:rPr>
      <w:rFonts w:eastAsia="Times New Roman"/>
    </w:rPr>
  </w:style>
  <w:style w:type="character" w:customStyle="1" w:styleId="a4">
    <w:name w:val="Основной текст Знак"/>
    <w:basedOn w:val="a0"/>
    <w:link w:val="a3"/>
    <w:uiPriority w:val="99"/>
    <w:rsid w:val="009169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uiPriority w:val="99"/>
    <w:qFormat/>
    <w:rsid w:val="0091692F"/>
    <w:pPr>
      <w:jc w:val="center"/>
    </w:pPr>
    <w:rPr>
      <w:rFonts w:eastAsia="Times New Roman"/>
      <w:b/>
      <w:szCs w:val="20"/>
    </w:rPr>
  </w:style>
  <w:style w:type="character" w:customStyle="1" w:styleId="a6">
    <w:name w:val="Заголовок Знак"/>
    <w:basedOn w:val="a0"/>
    <w:link w:val="a5"/>
    <w:uiPriority w:val="99"/>
    <w:rsid w:val="0091692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Body Text Indent"/>
    <w:basedOn w:val="a"/>
    <w:link w:val="a8"/>
    <w:uiPriority w:val="99"/>
    <w:rsid w:val="0091692F"/>
    <w:pPr>
      <w:spacing w:after="120"/>
      <w:ind w:left="283"/>
    </w:pPr>
    <w:rPr>
      <w:rFonts w:eastAsia="Times New Roman"/>
    </w:rPr>
  </w:style>
  <w:style w:type="character" w:customStyle="1" w:styleId="a8">
    <w:name w:val="Основной текст с отступом Знак"/>
    <w:basedOn w:val="a0"/>
    <w:link w:val="a7"/>
    <w:uiPriority w:val="99"/>
    <w:rsid w:val="009169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91692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a">
    <w:name w:val="Заголовок статьи"/>
    <w:basedOn w:val="a"/>
    <w:next w:val="a"/>
    <w:uiPriority w:val="99"/>
    <w:rsid w:val="008013D6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0"/>
      <w:szCs w:val="20"/>
      <w:lang w:eastAsia="en-US"/>
    </w:rPr>
  </w:style>
  <w:style w:type="table" w:styleId="ab">
    <w:name w:val="Table Grid"/>
    <w:basedOn w:val="a1"/>
    <w:rsid w:val="009E1B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AF4244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BE2486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DA252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A252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semiHidden/>
    <w:unhideWhenUsed/>
    <w:rsid w:val="00DA252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DA2527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B95B99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171927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00">
    <w:name w:val="a0"/>
    <w:basedOn w:val="a0"/>
    <w:rsid w:val="00C93344"/>
  </w:style>
  <w:style w:type="paragraph" w:styleId="2">
    <w:name w:val="Body Text 2"/>
    <w:basedOn w:val="a"/>
    <w:link w:val="20"/>
    <w:rsid w:val="00E27625"/>
    <w:pPr>
      <w:spacing w:after="120" w:line="480" w:lineRule="auto"/>
    </w:pPr>
    <w:rPr>
      <w:rFonts w:eastAsia="Times New Roman"/>
    </w:rPr>
  </w:style>
  <w:style w:type="character" w:customStyle="1" w:styleId="20">
    <w:name w:val="Основной текст 2 Знак"/>
    <w:basedOn w:val="a0"/>
    <w:link w:val="2"/>
    <w:rsid w:val="00E27625"/>
    <w:rPr>
      <w:rFonts w:ascii="Times New Roman" w:eastAsia="Times New Roman" w:hAnsi="Times New Roman"/>
      <w:sz w:val="24"/>
      <w:szCs w:val="24"/>
    </w:rPr>
  </w:style>
  <w:style w:type="paragraph" w:styleId="3">
    <w:name w:val="Body Text Indent 3"/>
    <w:basedOn w:val="a"/>
    <w:link w:val="30"/>
    <w:rsid w:val="00E27625"/>
    <w:pPr>
      <w:spacing w:after="120"/>
      <w:ind w:left="283"/>
    </w:pPr>
    <w:rPr>
      <w:rFonts w:eastAsia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27625"/>
    <w:rPr>
      <w:rFonts w:ascii="Times New Roman" w:eastAsia="Times New Roman" w:hAnsi="Times New Roman"/>
      <w:sz w:val="16"/>
      <w:szCs w:val="16"/>
    </w:rPr>
  </w:style>
  <w:style w:type="character" w:customStyle="1" w:styleId="af2">
    <w:name w:val="Гипертекстовая ссылка"/>
    <w:basedOn w:val="a0"/>
    <w:uiPriority w:val="99"/>
    <w:rsid w:val="00F808C3"/>
    <w:rPr>
      <w:color w:val="106BBE"/>
    </w:rPr>
  </w:style>
  <w:style w:type="paragraph" w:styleId="af3">
    <w:name w:val="Normal (Web)"/>
    <w:basedOn w:val="a"/>
    <w:uiPriority w:val="99"/>
    <w:unhideWhenUsed/>
    <w:rsid w:val="004B5BA0"/>
    <w:pPr>
      <w:spacing w:before="100" w:beforeAutospacing="1" w:after="100" w:afterAutospacing="1"/>
    </w:pPr>
    <w:rPr>
      <w:rFonts w:eastAsia="Times New Roman"/>
    </w:rPr>
  </w:style>
  <w:style w:type="character" w:customStyle="1" w:styleId="ConsPlusNormal0">
    <w:name w:val="ConsPlusNormal Знак"/>
    <w:link w:val="ConsPlusNormal"/>
    <w:locked/>
    <w:rsid w:val="00377BCF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157297AE5A7B64B2DE2F8235B55F62A0303B1BF617CE1BA6BF5C2EC914E0D0ACF5586609D118474F552B5F2B8l5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48643-36D9-4BD7-B880-426514079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1775</TotalTime>
  <Pages>12</Pages>
  <Words>6034</Words>
  <Characters>34395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40349</CharactersWithSpaces>
  <SharedDoc>false</SharedDoc>
  <HLinks>
    <vt:vector size="24" baseType="variant">
      <vt:variant>
        <vt:i4>7012413</vt:i4>
      </vt:variant>
      <vt:variant>
        <vt:i4>9</vt:i4>
      </vt:variant>
      <vt:variant>
        <vt:i4>0</vt:i4>
      </vt:variant>
      <vt:variant>
        <vt:i4>5</vt:i4>
      </vt:variant>
      <vt:variant>
        <vt:lpwstr>garantf1://70253464.0/</vt:lpwstr>
      </vt:variant>
      <vt:variant>
        <vt:lpwstr/>
      </vt:variant>
      <vt:variant>
        <vt:i4>7077990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consultantplus://offline/ref=8C3D3C30121056511FCF07FADD8A90AAC12F73BBFFF1D8C2CE573CD5B58A3FA9B4F5F97439649133x7E4N</vt:lpwstr>
      </vt:variant>
      <vt:variant>
        <vt:lpwstr/>
      </vt:variant>
      <vt:variant>
        <vt:i4>7077946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consultantplus://offline/ref=47EA963EB7C1BA28477498194109FEC920850A5A7C421BFED31256CCAC14B59F4775920F826E9B4AVEc3G</vt:lpwstr>
      </vt:variant>
      <vt:variant>
        <vt:lpwstr/>
      </vt:variant>
      <vt:variant>
        <vt:i4>2162795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consultantplus://offline/ref=28E4F650ECA5376C5BC3F557E3855FBF88C318F93D19AB347A7BEFADC15FAB445FB87AA455CA21E9G051F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Куликов</dc:creator>
  <cp:lastModifiedBy>HP Inc.</cp:lastModifiedBy>
  <cp:revision>253</cp:revision>
  <cp:lastPrinted>2019-04-16T10:27:00Z</cp:lastPrinted>
  <dcterms:created xsi:type="dcterms:W3CDTF">2017-05-04T09:33:00Z</dcterms:created>
  <dcterms:modified xsi:type="dcterms:W3CDTF">2020-02-03T06:59:00Z</dcterms:modified>
</cp:coreProperties>
</file>