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97D7" w14:textId="6EC4EB45" w:rsidR="00743EDE" w:rsidRPr="00743EDE" w:rsidRDefault="00743EDE" w:rsidP="00743EDE">
      <w:pPr>
        <w:tabs>
          <w:tab w:val="left" w:pos="2505"/>
        </w:tabs>
        <w:ind w:left="5954"/>
        <w:rPr>
          <w:rFonts w:eastAsia="Calibri"/>
          <w:b/>
          <w:bCs/>
          <w:lang w:eastAsia="en-US"/>
        </w:rPr>
      </w:pPr>
      <w:r w:rsidRPr="00743EDE">
        <w:rPr>
          <w:b/>
          <w:bCs/>
          <w:lang w:eastAsia="en-US"/>
        </w:rPr>
        <w:t>Утвержд</w:t>
      </w:r>
      <w:r w:rsidR="00D4380B">
        <w:rPr>
          <w:b/>
          <w:bCs/>
          <w:lang w:eastAsia="en-US"/>
        </w:rPr>
        <w:t>ен</w:t>
      </w:r>
    </w:p>
    <w:p w14:paraId="2AA4FC28" w14:textId="77777777" w:rsidR="00743EDE" w:rsidRPr="00A85F56" w:rsidRDefault="00743EDE" w:rsidP="00743EDE">
      <w:pPr>
        <w:tabs>
          <w:tab w:val="left" w:pos="2505"/>
        </w:tabs>
        <w:ind w:left="5954" w:right="-285"/>
        <w:rPr>
          <w:bCs/>
          <w:lang w:eastAsia="en-US"/>
        </w:rPr>
      </w:pPr>
      <w:r w:rsidRPr="00A85F56">
        <w:rPr>
          <w:bCs/>
          <w:lang w:eastAsia="en-US"/>
        </w:rPr>
        <w:t xml:space="preserve">Председатель </w:t>
      </w:r>
    </w:p>
    <w:p w14:paraId="166A5756" w14:textId="77777777" w:rsidR="00743EDE" w:rsidRPr="00A85F56" w:rsidRDefault="00743EDE" w:rsidP="00743EDE">
      <w:pPr>
        <w:tabs>
          <w:tab w:val="left" w:pos="2505"/>
        </w:tabs>
        <w:ind w:left="5954" w:right="-285"/>
        <w:rPr>
          <w:bCs/>
          <w:lang w:eastAsia="en-US"/>
        </w:rPr>
      </w:pPr>
      <w:r w:rsidRPr="00A85F56">
        <w:rPr>
          <w:bCs/>
          <w:lang w:eastAsia="en-US"/>
        </w:rPr>
        <w:t xml:space="preserve">контрольно-счётной палаты </w:t>
      </w:r>
    </w:p>
    <w:p w14:paraId="08A538B1" w14:textId="77777777" w:rsidR="00743EDE" w:rsidRPr="00A85F56" w:rsidRDefault="00743EDE" w:rsidP="00743EDE">
      <w:pPr>
        <w:tabs>
          <w:tab w:val="left" w:pos="2505"/>
        </w:tabs>
        <w:ind w:left="5954"/>
        <w:rPr>
          <w:bCs/>
          <w:lang w:eastAsia="en-US"/>
        </w:rPr>
      </w:pPr>
      <w:r w:rsidRPr="00A85F56">
        <w:rPr>
          <w:bCs/>
          <w:lang w:eastAsia="en-US"/>
        </w:rPr>
        <w:t>Волгоградской области</w:t>
      </w:r>
    </w:p>
    <w:p w14:paraId="457C857D" w14:textId="77777777" w:rsidR="00743EDE" w:rsidRPr="00A85F56" w:rsidRDefault="00743EDE" w:rsidP="00743EDE">
      <w:pPr>
        <w:tabs>
          <w:tab w:val="left" w:pos="2505"/>
        </w:tabs>
        <w:ind w:left="5954" w:right="-143"/>
        <w:rPr>
          <w:bCs/>
          <w:lang w:eastAsia="en-US"/>
        </w:rPr>
      </w:pPr>
      <w:r w:rsidRPr="00A85F56">
        <w:rPr>
          <w:bCs/>
          <w:lang w:eastAsia="en-US"/>
        </w:rPr>
        <w:t>__________________ И.А. Дьяченко</w:t>
      </w:r>
    </w:p>
    <w:p w14:paraId="5519E62C" w14:textId="77777777" w:rsidR="00743EDE" w:rsidRPr="00A85F56" w:rsidRDefault="00743EDE" w:rsidP="00743EDE">
      <w:pPr>
        <w:tabs>
          <w:tab w:val="left" w:pos="2505"/>
        </w:tabs>
        <w:ind w:left="5954"/>
        <w:rPr>
          <w:bCs/>
          <w:lang w:eastAsia="en-US"/>
        </w:rPr>
      </w:pPr>
      <w:r w:rsidRPr="00A85F56">
        <w:rPr>
          <w:bCs/>
          <w:lang w:eastAsia="en-US"/>
        </w:rPr>
        <w:t>«___» марта 2021 года</w:t>
      </w:r>
    </w:p>
    <w:p w14:paraId="5DA0170D" w14:textId="77777777" w:rsidR="00743EDE" w:rsidRPr="001E3D84" w:rsidRDefault="00743EDE" w:rsidP="00743EDE">
      <w:pPr>
        <w:jc w:val="center"/>
        <w:rPr>
          <w:b/>
          <w:i/>
        </w:rPr>
      </w:pPr>
    </w:p>
    <w:p w14:paraId="677C3194" w14:textId="77777777" w:rsidR="00340C40" w:rsidRDefault="00743EDE" w:rsidP="00311502">
      <w:pPr>
        <w:jc w:val="center"/>
      </w:pPr>
      <w:r w:rsidRPr="001E3D84">
        <w:rPr>
          <w:b/>
          <w:i/>
        </w:rPr>
        <w:t>ЗАКЛЮЧЕНИЕ</w:t>
      </w:r>
    </w:p>
    <w:p w14:paraId="2286DB80" w14:textId="77777777" w:rsidR="00DD3278" w:rsidRPr="00311502" w:rsidRDefault="00311502" w:rsidP="00DD3278">
      <w:pPr>
        <w:pStyle w:val="a5"/>
        <w:rPr>
          <w:i/>
          <w:szCs w:val="24"/>
        </w:rPr>
      </w:pPr>
      <w:r w:rsidRPr="00311502">
        <w:rPr>
          <w:i/>
          <w:szCs w:val="24"/>
        </w:rPr>
        <w:t xml:space="preserve">по результатам </w:t>
      </w:r>
      <w:r w:rsidR="00DD3278" w:rsidRPr="00311502">
        <w:rPr>
          <w:i/>
          <w:szCs w:val="24"/>
        </w:rPr>
        <w:t xml:space="preserve">внешней проверки бюджетной отчетности и </w:t>
      </w:r>
    </w:p>
    <w:p w14:paraId="2A9F8416" w14:textId="77777777" w:rsidR="00DD3278" w:rsidRPr="00311502" w:rsidRDefault="00DD3278" w:rsidP="00CB18F0">
      <w:pPr>
        <w:pStyle w:val="a5"/>
        <w:rPr>
          <w:b w:val="0"/>
          <w:i/>
        </w:rPr>
      </w:pPr>
      <w:r w:rsidRPr="00311502">
        <w:rPr>
          <w:i/>
          <w:szCs w:val="24"/>
        </w:rPr>
        <w:t>отдельных вопросов исполнения областного бюджета</w:t>
      </w:r>
      <w:r w:rsidR="009822FE" w:rsidRPr="00311502">
        <w:rPr>
          <w:i/>
        </w:rPr>
        <w:t xml:space="preserve"> за 20</w:t>
      </w:r>
      <w:r w:rsidR="003E21D1" w:rsidRPr="00311502">
        <w:rPr>
          <w:i/>
        </w:rPr>
        <w:t>20</w:t>
      </w:r>
      <w:r w:rsidRPr="00311502">
        <w:rPr>
          <w:i/>
        </w:rPr>
        <w:t xml:space="preserve"> год главным администратором средств областного бюджета –</w:t>
      </w:r>
      <w:r w:rsidR="00CB18F0" w:rsidRPr="00311502">
        <w:rPr>
          <w:i/>
        </w:rPr>
        <w:t xml:space="preserve"> </w:t>
      </w:r>
      <w:r w:rsidR="00CB18F0" w:rsidRPr="00311502">
        <w:rPr>
          <w:bCs/>
          <w:i/>
          <w:iCs/>
          <w:color w:val="000000"/>
        </w:rPr>
        <w:t xml:space="preserve">комитетом </w:t>
      </w:r>
      <w:r w:rsidR="003E21D1" w:rsidRPr="00311502">
        <w:rPr>
          <w:bCs/>
          <w:i/>
          <w:iCs/>
          <w:color w:val="000000"/>
        </w:rPr>
        <w:t xml:space="preserve">промышленной политики, торговли и топливно-энергетического комплекса </w:t>
      </w:r>
      <w:r w:rsidR="00CB18F0" w:rsidRPr="00311502">
        <w:rPr>
          <w:bCs/>
          <w:i/>
          <w:iCs/>
          <w:color w:val="000000"/>
        </w:rPr>
        <w:t>Волгоградской области</w:t>
      </w:r>
      <w:r w:rsidR="00CB18F0" w:rsidRPr="00311502">
        <w:rPr>
          <w:b w:val="0"/>
          <w:i/>
        </w:rPr>
        <w:t xml:space="preserve"> </w:t>
      </w:r>
    </w:p>
    <w:p w14:paraId="6D91E613" w14:textId="77777777" w:rsidR="00463CA8" w:rsidRDefault="00463CA8" w:rsidP="00497844">
      <w:pPr>
        <w:pStyle w:val="a5"/>
        <w:ind w:firstLine="708"/>
        <w:jc w:val="both"/>
        <w:rPr>
          <w:b w:val="0"/>
        </w:rPr>
      </w:pPr>
    </w:p>
    <w:p w14:paraId="08164D49" w14:textId="6D3D8E88" w:rsidR="00497844" w:rsidRPr="00B931A7" w:rsidRDefault="00B43D27" w:rsidP="00497844">
      <w:pPr>
        <w:pStyle w:val="a5"/>
        <w:ind w:firstLine="708"/>
        <w:jc w:val="both"/>
        <w:rPr>
          <w:b w:val="0"/>
        </w:rPr>
      </w:pPr>
      <w:r>
        <w:rPr>
          <w:b w:val="0"/>
        </w:rPr>
        <w:t>В</w:t>
      </w:r>
      <w:r w:rsidR="00DD3278" w:rsidRPr="00B931A7">
        <w:rPr>
          <w:b w:val="0"/>
        </w:rPr>
        <w:t xml:space="preserve"> соответствии с </w:t>
      </w:r>
      <w:r>
        <w:rPr>
          <w:b w:val="0"/>
        </w:rPr>
        <w:t>П</w:t>
      </w:r>
      <w:r w:rsidR="00DD3278" w:rsidRPr="00B931A7">
        <w:rPr>
          <w:b w:val="0"/>
        </w:rPr>
        <w:t>ланом работы контрольно-счетной палаты Волгоградской области (далее КСП)</w:t>
      </w:r>
      <w:r w:rsidR="009822FE" w:rsidRPr="00B931A7">
        <w:rPr>
          <w:b w:val="0"/>
        </w:rPr>
        <w:t xml:space="preserve"> на 20</w:t>
      </w:r>
      <w:r w:rsidR="00C62875">
        <w:rPr>
          <w:b w:val="0"/>
        </w:rPr>
        <w:t>21</w:t>
      </w:r>
      <w:r w:rsidR="00DD3278" w:rsidRPr="00B931A7">
        <w:rPr>
          <w:b w:val="0"/>
        </w:rPr>
        <w:t xml:space="preserve"> год, утвержденным постановлением коллегии </w:t>
      </w:r>
      <w:r w:rsidR="00497844" w:rsidRPr="00B931A7">
        <w:rPr>
          <w:b w:val="0"/>
        </w:rPr>
        <w:t xml:space="preserve">КСП от </w:t>
      </w:r>
      <w:r w:rsidR="003E21D1" w:rsidRPr="003E21D1">
        <w:rPr>
          <w:b w:val="0"/>
          <w:szCs w:val="24"/>
        </w:rPr>
        <w:t>03.12.2020 № 13/3</w:t>
      </w:r>
      <w:r w:rsidR="009822FE" w:rsidRPr="00B931A7">
        <w:rPr>
          <w:b w:val="0"/>
        </w:rPr>
        <w:t xml:space="preserve">, </w:t>
      </w:r>
      <w:r w:rsidR="00DD3278" w:rsidRPr="00B931A7">
        <w:rPr>
          <w:b w:val="0"/>
        </w:rPr>
        <w:t xml:space="preserve">проведена </w:t>
      </w:r>
      <w:r w:rsidR="00311502">
        <w:rPr>
          <w:b w:val="0"/>
        </w:rPr>
        <w:t xml:space="preserve">камеральная </w:t>
      </w:r>
      <w:r w:rsidRPr="00B931A7">
        <w:rPr>
          <w:b w:val="0"/>
        </w:rPr>
        <w:t xml:space="preserve">внешняя </w:t>
      </w:r>
      <w:r w:rsidR="00DD3278" w:rsidRPr="00B931A7">
        <w:rPr>
          <w:b w:val="0"/>
        </w:rPr>
        <w:t xml:space="preserve">проверка бюджетной отчетности и </w:t>
      </w:r>
      <w:r w:rsidR="00DD3278" w:rsidRPr="00B931A7">
        <w:rPr>
          <w:b w:val="0"/>
          <w:szCs w:val="24"/>
        </w:rPr>
        <w:t>отдельных вопросов исполнения областного бюджета</w:t>
      </w:r>
      <w:r w:rsidR="009822FE" w:rsidRPr="00B931A7">
        <w:rPr>
          <w:b w:val="0"/>
        </w:rPr>
        <w:t xml:space="preserve"> за 20</w:t>
      </w:r>
      <w:r w:rsidR="00565EE2">
        <w:rPr>
          <w:b w:val="0"/>
        </w:rPr>
        <w:t>20</w:t>
      </w:r>
      <w:r w:rsidR="00DD3278" w:rsidRPr="00B931A7">
        <w:rPr>
          <w:b w:val="0"/>
        </w:rPr>
        <w:t xml:space="preserve"> год главным администратором средств областного бюджета </w:t>
      </w:r>
      <w:r w:rsidR="00AD2CDD" w:rsidRPr="00B931A7">
        <w:rPr>
          <w:b w:val="0"/>
        </w:rPr>
        <w:t>-</w:t>
      </w:r>
      <w:r w:rsidR="00DD3278" w:rsidRPr="00B931A7">
        <w:rPr>
          <w:b w:val="0"/>
        </w:rPr>
        <w:t xml:space="preserve"> комитетом </w:t>
      </w:r>
      <w:r w:rsidR="00565EE2">
        <w:rPr>
          <w:b w:val="0"/>
        </w:rPr>
        <w:t xml:space="preserve">промышленной политики, торговли и топливно-энергетического комплекса </w:t>
      </w:r>
      <w:r w:rsidR="00DD3278" w:rsidRPr="00B931A7">
        <w:rPr>
          <w:b w:val="0"/>
        </w:rPr>
        <w:t>Волгогр</w:t>
      </w:r>
      <w:r w:rsidR="00795FCC" w:rsidRPr="00B931A7">
        <w:rPr>
          <w:b w:val="0"/>
        </w:rPr>
        <w:t>адской области</w:t>
      </w:r>
      <w:r w:rsidR="00DD3278" w:rsidRPr="00B931A7">
        <w:rPr>
          <w:b w:val="0"/>
        </w:rPr>
        <w:t>.</w:t>
      </w:r>
    </w:p>
    <w:p w14:paraId="7543ADEC" w14:textId="1C259467" w:rsidR="00B43D27" w:rsidRPr="009722CC" w:rsidRDefault="00B43D27" w:rsidP="00B43D27">
      <w:pPr>
        <w:autoSpaceDE w:val="0"/>
        <w:autoSpaceDN w:val="0"/>
        <w:adjustRightInd w:val="0"/>
        <w:ind w:firstLine="680"/>
        <w:jc w:val="center"/>
        <w:rPr>
          <w:b/>
          <w:bCs/>
        </w:rPr>
      </w:pPr>
      <w:r w:rsidRPr="009722CC">
        <w:rPr>
          <w:b/>
          <w:bCs/>
        </w:rPr>
        <w:t>Общие сведения</w:t>
      </w:r>
    </w:p>
    <w:p w14:paraId="396AA7E5" w14:textId="63C0A005" w:rsidR="00133C29" w:rsidRDefault="00133C29" w:rsidP="006C66B4">
      <w:pPr>
        <w:autoSpaceDE w:val="0"/>
        <w:autoSpaceDN w:val="0"/>
        <w:adjustRightInd w:val="0"/>
        <w:ind w:firstLine="680"/>
        <w:jc w:val="both"/>
      </w:pPr>
      <w:r>
        <w:t xml:space="preserve">В соответствии с п.3 постановления Губернатора Волгоградской области от 16.03.2020 № </w:t>
      </w:r>
      <w:r w:rsidR="00B43D27">
        <w:t>1</w:t>
      </w:r>
      <w:r>
        <w:t xml:space="preserve">89 «О мерах по реализации Закона Волгоградской области от 13.03.2020 №14-ОД «О внесении изменений в Закон Волгоградской области от 15.03.2012 №22-ОД «О системе органов Волгоградской области» </w:t>
      </w:r>
      <w:r w:rsidR="00604BF5">
        <w:t>комитету промышленности и торговли Волгоградской области</w:t>
      </w:r>
      <w:r>
        <w:t xml:space="preserve"> переданы полномочия комитета жилищно-коммунального хозяйства </w:t>
      </w:r>
      <w:r w:rsidR="003F2156">
        <w:t xml:space="preserve">и топливно-энергетического комплекса </w:t>
      </w:r>
      <w:r>
        <w:t>Волгоградской области в сфере обеспечения функционирования организаций топливно-энергетического комплекса, а также функции по реализации программ газификации Волгоградской области.</w:t>
      </w:r>
      <w:r w:rsidR="00FF3D5C">
        <w:t xml:space="preserve"> </w:t>
      </w:r>
    </w:p>
    <w:p w14:paraId="4BB7C998" w14:textId="33350F06" w:rsidR="00F7007E" w:rsidRDefault="00171A19" w:rsidP="00FF4521">
      <w:pPr>
        <w:ind w:firstLine="680"/>
        <w:jc w:val="both"/>
        <w:rPr>
          <w:shd w:val="clear" w:color="auto" w:fill="FFFFFF"/>
        </w:rPr>
      </w:pPr>
      <w:r>
        <w:t xml:space="preserve">Постановлением Администрации Волгоградской области </w:t>
      </w:r>
      <w:r w:rsidR="003F2156">
        <w:t>от 23.03.2020 №162-п «Об утверждении положения о комитете промышленной политики, торговли и топливно-энергетического комплекса Волгоградской области» (далее Постановление №162-п) создан</w:t>
      </w:r>
      <w:r w:rsidR="00604BF5" w:rsidRPr="00B931A7">
        <w:t xml:space="preserve"> комитет </w:t>
      </w:r>
      <w:r w:rsidR="00604BF5">
        <w:t xml:space="preserve">промышленной политики, торговли и топливно-энергетического комплекса </w:t>
      </w:r>
      <w:r w:rsidR="00604BF5" w:rsidRPr="00B931A7">
        <w:t>Волгоградской области</w:t>
      </w:r>
      <w:r w:rsidR="00604BF5">
        <w:t xml:space="preserve"> (далее </w:t>
      </w:r>
      <w:r w:rsidR="003F2156">
        <w:t>Комитет</w:t>
      </w:r>
      <w:r w:rsidR="00604BF5">
        <w:t>)</w:t>
      </w:r>
      <w:r w:rsidR="003F2156">
        <w:t>, который</w:t>
      </w:r>
      <w:r w:rsidR="004E697F">
        <w:t>,</w:t>
      </w:r>
      <w:r w:rsidR="003F2156">
        <w:t xml:space="preserve"> к</w:t>
      </w:r>
      <w:r w:rsidR="00F124F5" w:rsidRPr="00FF3D5C">
        <w:t xml:space="preserve">роме </w:t>
      </w:r>
      <w:r w:rsidR="004E697F">
        <w:t>выше</w:t>
      </w:r>
      <w:r w:rsidR="00F124F5" w:rsidRPr="00FF3D5C">
        <w:t>указанных функций,</w:t>
      </w:r>
      <w:r w:rsidR="00F124F5" w:rsidRPr="00F124F5">
        <w:t xml:space="preserve"> </w:t>
      </w:r>
      <w:r w:rsidR="00237144" w:rsidRPr="00F124F5">
        <w:t>осуществля</w:t>
      </w:r>
      <w:r w:rsidR="004E697F">
        <w:t>ет</w:t>
      </w:r>
      <w:r w:rsidR="00237144" w:rsidRPr="00F124F5">
        <w:t xml:space="preserve"> </w:t>
      </w:r>
      <w:r w:rsidR="00F124F5" w:rsidRPr="00F124F5">
        <w:t xml:space="preserve">функции </w:t>
      </w:r>
      <w:r w:rsidR="00F124F5" w:rsidRPr="00F124F5">
        <w:rPr>
          <w:shd w:val="clear" w:color="auto" w:fill="FFFFFF"/>
        </w:rPr>
        <w:t>в сфере промышленной политики</w:t>
      </w:r>
      <w:r w:rsidR="00F124F5" w:rsidRPr="006C66B4">
        <w:rPr>
          <w:shd w:val="clear" w:color="auto" w:fill="FFFFFF"/>
        </w:rPr>
        <w:t xml:space="preserve"> и торговой деятельности, в области защиты прав потребителей, производства и оборота этилового спирта, алкогольной и спиртосодержащей продукции, лицензирования заготовки, хранения, переработки и реализации лома черных и цветных металлов на территории Волгоградской области</w:t>
      </w:r>
      <w:r w:rsidR="00F7007E">
        <w:rPr>
          <w:shd w:val="clear" w:color="auto" w:fill="FFFFFF"/>
        </w:rPr>
        <w:t>.</w:t>
      </w:r>
    </w:p>
    <w:p w14:paraId="64BD980B" w14:textId="4BCEC8A7" w:rsidR="003F2156" w:rsidRDefault="003F2156" w:rsidP="00FF4521">
      <w:pPr>
        <w:ind w:firstLine="6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Необходимо отметить, что </w:t>
      </w:r>
      <w:r w:rsidRPr="004E697F">
        <w:rPr>
          <w:u w:val="single"/>
          <w:shd w:val="clear" w:color="auto" w:fill="FFFFFF"/>
        </w:rPr>
        <w:t xml:space="preserve">соответствующие изменения не </w:t>
      </w:r>
      <w:r w:rsidR="004E697F" w:rsidRPr="004E697F">
        <w:rPr>
          <w:u w:val="single"/>
          <w:shd w:val="clear" w:color="auto" w:fill="FFFFFF"/>
        </w:rPr>
        <w:t xml:space="preserve">были </w:t>
      </w:r>
      <w:r w:rsidRPr="004E697F">
        <w:rPr>
          <w:u w:val="single"/>
          <w:shd w:val="clear" w:color="auto" w:fill="FFFFFF"/>
        </w:rPr>
        <w:t xml:space="preserve">учтены </w:t>
      </w:r>
      <w:r w:rsidR="0055784C">
        <w:rPr>
          <w:u w:val="single"/>
          <w:shd w:val="clear" w:color="auto" w:fill="FFFFFF"/>
        </w:rPr>
        <w:t xml:space="preserve">при внесении изменений в </w:t>
      </w:r>
      <w:r w:rsidRPr="004E697F">
        <w:rPr>
          <w:u w:val="single"/>
          <w:shd w:val="clear" w:color="auto" w:fill="FFFFFF"/>
        </w:rPr>
        <w:t>З</w:t>
      </w:r>
      <w:r w:rsidR="00676919" w:rsidRPr="004E697F">
        <w:rPr>
          <w:u w:val="single"/>
          <w:shd w:val="clear" w:color="auto" w:fill="FFFFFF"/>
        </w:rPr>
        <w:t xml:space="preserve">акон Волгоградской </w:t>
      </w:r>
      <w:r w:rsidR="007B1CFD" w:rsidRPr="004E697F">
        <w:rPr>
          <w:u w:val="single"/>
          <w:shd w:val="clear" w:color="auto" w:fill="FFFFFF"/>
        </w:rPr>
        <w:t>области от 21.11.2019 №97-ОД «Об областном бюджете на 2020 год и на плановый период 2021 и 2022 годов»</w:t>
      </w:r>
      <w:r w:rsidR="007B1CFD">
        <w:rPr>
          <w:shd w:val="clear" w:color="auto" w:fill="FFFFFF"/>
        </w:rPr>
        <w:t xml:space="preserve"> (далее Закон об областном бюджете на 2020 год)</w:t>
      </w:r>
      <w:r w:rsidR="0055784C">
        <w:rPr>
          <w:shd w:val="clear" w:color="auto" w:fill="FFFFFF"/>
        </w:rPr>
        <w:t>, о чем неоднократно</w:t>
      </w:r>
      <w:r>
        <w:rPr>
          <w:shd w:val="clear" w:color="auto" w:fill="FFFFFF"/>
        </w:rPr>
        <w:t xml:space="preserve"> </w:t>
      </w:r>
      <w:r w:rsidR="0055784C">
        <w:rPr>
          <w:shd w:val="clear" w:color="auto" w:fill="FFFFFF"/>
        </w:rPr>
        <w:t xml:space="preserve">отмечала КСП в своих экспертных заключениях. </w:t>
      </w:r>
      <w:r>
        <w:rPr>
          <w:shd w:val="clear" w:color="auto" w:fill="FFFFFF"/>
        </w:rPr>
        <w:t>Так,</w:t>
      </w:r>
      <w:r w:rsidR="007B1CF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Комитет </w:t>
      </w:r>
      <w:r w:rsidRPr="004E697F">
        <w:rPr>
          <w:u w:val="single"/>
          <w:shd w:val="clear" w:color="auto" w:fill="FFFFFF"/>
        </w:rPr>
        <w:t xml:space="preserve">не </w:t>
      </w:r>
      <w:r w:rsidR="004E697F" w:rsidRPr="004E697F">
        <w:rPr>
          <w:u w:val="single"/>
          <w:shd w:val="clear" w:color="auto" w:fill="FFFFFF"/>
        </w:rPr>
        <w:t xml:space="preserve">был </w:t>
      </w:r>
      <w:r w:rsidRPr="004E697F">
        <w:rPr>
          <w:u w:val="single"/>
          <w:shd w:val="clear" w:color="auto" w:fill="FFFFFF"/>
        </w:rPr>
        <w:t>предусмотрен</w:t>
      </w:r>
      <w:r>
        <w:rPr>
          <w:shd w:val="clear" w:color="auto" w:fill="FFFFFF"/>
        </w:rPr>
        <w:t xml:space="preserve"> </w:t>
      </w:r>
      <w:r w:rsidR="004E697F">
        <w:rPr>
          <w:shd w:val="clear" w:color="auto" w:fill="FFFFFF"/>
        </w:rPr>
        <w:t xml:space="preserve">в качестве главного администратора доходов областного бюджета </w:t>
      </w:r>
      <w:r>
        <w:rPr>
          <w:shd w:val="clear" w:color="auto" w:fill="FFFFFF"/>
        </w:rPr>
        <w:t xml:space="preserve">Приложением 5 </w:t>
      </w:r>
      <w:r w:rsidR="0051107D">
        <w:rPr>
          <w:shd w:val="clear" w:color="auto" w:fill="FFFFFF"/>
        </w:rPr>
        <w:t xml:space="preserve">«Перечень главных администраторов доходов областного бюджета – органов государственной власти Волгоградской области» и </w:t>
      </w:r>
      <w:r w:rsidR="004E697F">
        <w:rPr>
          <w:shd w:val="clear" w:color="auto" w:fill="FFFFFF"/>
        </w:rPr>
        <w:t xml:space="preserve">в качестве главного распорядителя бюджетных средств - </w:t>
      </w:r>
      <w:r w:rsidR="0051107D">
        <w:rPr>
          <w:shd w:val="clear" w:color="auto" w:fill="FFFFFF"/>
        </w:rPr>
        <w:t>Приложением 11 «Ведомственная структура расходов областного бюджета на 2020 год и на плановый период 2021 и 2022 годов»</w:t>
      </w:r>
      <w:r w:rsidR="004E697F">
        <w:rPr>
          <w:shd w:val="clear" w:color="auto" w:fill="FFFFFF"/>
        </w:rPr>
        <w:t>.</w:t>
      </w:r>
      <w:r w:rsidR="0051107D">
        <w:rPr>
          <w:shd w:val="clear" w:color="auto" w:fill="FFFFFF"/>
        </w:rPr>
        <w:t xml:space="preserve"> Вместе с тем </w:t>
      </w:r>
      <w:r w:rsidR="004E697F">
        <w:rPr>
          <w:shd w:val="clear" w:color="auto" w:fill="FFFFFF"/>
        </w:rPr>
        <w:t xml:space="preserve">в 2020 году </w:t>
      </w:r>
      <w:r w:rsidR="0051107D">
        <w:rPr>
          <w:shd w:val="clear" w:color="auto" w:fill="FFFFFF"/>
        </w:rPr>
        <w:t xml:space="preserve">Комитет фактически исполнял полномочия </w:t>
      </w:r>
      <w:r w:rsidR="004E697F">
        <w:rPr>
          <w:shd w:val="clear" w:color="auto" w:fill="FFFFFF"/>
        </w:rPr>
        <w:t xml:space="preserve">и </w:t>
      </w:r>
      <w:r w:rsidR="0051107D">
        <w:rPr>
          <w:shd w:val="clear" w:color="auto" w:fill="FFFFFF"/>
        </w:rPr>
        <w:t>главного администратора доходов</w:t>
      </w:r>
      <w:r w:rsidR="00B0284B">
        <w:rPr>
          <w:shd w:val="clear" w:color="auto" w:fill="FFFFFF"/>
        </w:rPr>
        <w:t>,</w:t>
      </w:r>
      <w:r w:rsidR="0051107D">
        <w:rPr>
          <w:shd w:val="clear" w:color="auto" w:fill="FFFFFF"/>
        </w:rPr>
        <w:t xml:space="preserve"> и главного распорядителя </w:t>
      </w:r>
      <w:r w:rsidR="004E697F">
        <w:rPr>
          <w:shd w:val="clear" w:color="auto" w:fill="FFFFFF"/>
        </w:rPr>
        <w:t xml:space="preserve">бюджетных </w:t>
      </w:r>
      <w:r w:rsidR="0051107D">
        <w:rPr>
          <w:shd w:val="clear" w:color="auto" w:fill="FFFFFF"/>
        </w:rPr>
        <w:t>средств.</w:t>
      </w:r>
    </w:p>
    <w:p w14:paraId="587ED74E" w14:textId="57B04DB6" w:rsidR="006C66B4" w:rsidRPr="005D492A" w:rsidRDefault="00F7007E" w:rsidP="00FF4521">
      <w:pPr>
        <w:ind w:firstLine="680"/>
        <w:jc w:val="both"/>
      </w:pPr>
      <w:r>
        <w:rPr>
          <w:shd w:val="clear" w:color="auto" w:fill="FFFFFF"/>
        </w:rPr>
        <w:t xml:space="preserve">В </w:t>
      </w:r>
      <w:r w:rsidR="006C66B4" w:rsidRPr="005D492A">
        <w:t>2020 году</w:t>
      </w:r>
      <w:r w:rsidR="00FF4521" w:rsidRPr="005D492A">
        <w:t xml:space="preserve"> </w:t>
      </w:r>
      <w:r w:rsidR="006C66B4" w:rsidRPr="005D492A">
        <w:t>К</w:t>
      </w:r>
      <w:r w:rsidR="004D572D" w:rsidRPr="005D492A">
        <w:t>омитет</w:t>
      </w:r>
      <w:r w:rsidR="004E697F">
        <w:t xml:space="preserve"> являлся</w:t>
      </w:r>
      <w:r w:rsidR="004D572D" w:rsidRPr="005D492A">
        <w:rPr>
          <w:bCs/>
        </w:rPr>
        <w:t xml:space="preserve"> учредител</w:t>
      </w:r>
      <w:r w:rsidR="004E697F">
        <w:rPr>
          <w:bCs/>
        </w:rPr>
        <w:t>ем двух</w:t>
      </w:r>
      <w:r w:rsidR="004D572D" w:rsidRPr="005D492A">
        <w:t xml:space="preserve"> </w:t>
      </w:r>
      <w:r w:rsidR="00FF4521" w:rsidRPr="005D492A">
        <w:t>подведомственн</w:t>
      </w:r>
      <w:r w:rsidR="006C66B4" w:rsidRPr="005D492A">
        <w:t xml:space="preserve">ых </w:t>
      </w:r>
      <w:r w:rsidR="00FF4521" w:rsidRPr="005D492A">
        <w:t>учреждени</w:t>
      </w:r>
      <w:r w:rsidR="006C66B4" w:rsidRPr="005D492A">
        <w:t>й:</w:t>
      </w:r>
    </w:p>
    <w:p w14:paraId="1516A81A" w14:textId="032DDCA1" w:rsidR="006C66B4" w:rsidRPr="005D492A" w:rsidRDefault="00F7007E" w:rsidP="00FF4521">
      <w:pPr>
        <w:ind w:firstLine="680"/>
        <w:jc w:val="both"/>
      </w:pPr>
      <w:r>
        <w:t>-</w:t>
      </w:r>
      <w:r w:rsidR="006C66B4" w:rsidRPr="005D492A">
        <w:t>государственного бюджетного учреждения Волгоградской области «Волгоградский центр энергоэффективности»</w:t>
      </w:r>
      <w:r w:rsidR="00B0284B" w:rsidRPr="00B0284B">
        <w:t xml:space="preserve"> </w:t>
      </w:r>
      <w:r w:rsidR="00B0284B" w:rsidRPr="008941A8">
        <w:t>(далее ГБУ ВО «ВЦЭ»</w:t>
      </w:r>
      <w:r w:rsidR="00B0284B">
        <w:t xml:space="preserve">), </w:t>
      </w:r>
      <w:r w:rsidR="00B0284B" w:rsidRPr="00463CA8">
        <w:t>созданного на основании постановления Главы Администрации Волгоградской области от 19.07.2006 №878 и</w:t>
      </w:r>
      <w:r w:rsidR="008941A8" w:rsidRPr="00463CA8">
        <w:t xml:space="preserve"> </w:t>
      </w:r>
      <w:r w:rsidR="00AB6851" w:rsidRPr="00463CA8">
        <w:t xml:space="preserve">в соответствии с постановлением Администрации Волгоградской области от </w:t>
      </w:r>
      <w:r w:rsidR="008941A8" w:rsidRPr="00463CA8">
        <w:t>28</w:t>
      </w:r>
      <w:r w:rsidR="00AB6851" w:rsidRPr="00463CA8">
        <w:t>.0</w:t>
      </w:r>
      <w:r w:rsidR="008941A8" w:rsidRPr="00463CA8">
        <w:t>4</w:t>
      </w:r>
      <w:r w:rsidR="00AB6851" w:rsidRPr="00463CA8">
        <w:t>.20</w:t>
      </w:r>
      <w:r w:rsidR="008941A8" w:rsidRPr="00463CA8">
        <w:t>20</w:t>
      </w:r>
      <w:r w:rsidR="00772F56" w:rsidRPr="00463CA8">
        <w:t xml:space="preserve"> №</w:t>
      </w:r>
      <w:r w:rsidR="008941A8" w:rsidRPr="00463CA8">
        <w:t>248-п</w:t>
      </w:r>
      <w:r w:rsidR="00AB6851" w:rsidRPr="00463CA8">
        <w:t xml:space="preserve"> </w:t>
      </w:r>
      <w:r w:rsidR="00B0284B" w:rsidRPr="00463CA8">
        <w:t>переданного в ведение Комитета</w:t>
      </w:r>
      <w:r w:rsidR="006C66B4" w:rsidRPr="00463CA8">
        <w:t>;</w:t>
      </w:r>
    </w:p>
    <w:p w14:paraId="213B9BFA" w14:textId="63B55463" w:rsidR="004D572D" w:rsidRPr="00133C29" w:rsidRDefault="006C66B4" w:rsidP="00FF4521">
      <w:pPr>
        <w:ind w:firstLine="680"/>
        <w:jc w:val="both"/>
        <w:rPr>
          <w:bCs/>
        </w:rPr>
      </w:pPr>
      <w:r w:rsidRPr="00133C29">
        <w:t>-</w:t>
      </w:r>
      <w:r w:rsidR="004D572D" w:rsidRPr="00133C29">
        <w:t>г</w:t>
      </w:r>
      <w:r w:rsidR="005D492A" w:rsidRPr="00133C29">
        <w:t>осударственного казенного учреждения Волгоградской области «Центр развития промышленности и торговли»</w:t>
      </w:r>
      <w:r w:rsidR="00704060" w:rsidRPr="00133C29">
        <w:t xml:space="preserve">, созданного в соответствии с постановлением Администрации </w:t>
      </w:r>
      <w:r w:rsidR="00704060" w:rsidRPr="00133C29">
        <w:lastRenderedPageBreak/>
        <w:t>Волгоградской области от 1</w:t>
      </w:r>
      <w:r w:rsidR="00133C29" w:rsidRPr="00133C29">
        <w:t>9</w:t>
      </w:r>
      <w:r w:rsidR="00704060" w:rsidRPr="00133C29">
        <w:t>.0</w:t>
      </w:r>
      <w:r w:rsidR="00133C29" w:rsidRPr="00133C29">
        <w:t>2</w:t>
      </w:r>
      <w:r w:rsidR="00704060" w:rsidRPr="00133C29">
        <w:t>.20</w:t>
      </w:r>
      <w:r w:rsidR="00133C29" w:rsidRPr="00133C29">
        <w:t>20</w:t>
      </w:r>
      <w:r w:rsidR="00704060" w:rsidRPr="00133C29">
        <w:t xml:space="preserve"> № </w:t>
      </w:r>
      <w:r w:rsidR="00133C29" w:rsidRPr="00133C29">
        <w:t>71</w:t>
      </w:r>
      <w:r w:rsidR="00704060" w:rsidRPr="00133C29">
        <w:t>-п</w:t>
      </w:r>
      <w:r w:rsidR="00133C29" w:rsidRPr="00133C29">
        <w:t xml:space="preserve"> (далее ГКУ</w:t>
      </w:r>
      <w:hyperlink r:id="rId8" w:history="1">
        <w:r w:rsidR="00133C29" w:rsidRPr="00133C29">
          <w:rPr>
            <w:rStyle w:val="af3"/>
            <w:bCs/>
            <w:color w:val="auto"/>
            <w:u w:val="none"/>
          </w:rPr>
          <w:t xml:space="preserve"> «Центр развития промышленности и торговли»</w:t>
        </w:r>
      </w:hyperlink>
      <w:r w:rsidR="00133C29" w:rsidRPr="00133C29">
        <w:t>)</w:t>
      </w:r>
      <w:r w:rsidR="00704060" w:rsidRPr="00133C29">
        <w:t>.</w:t>
      </w:r>
      <w:r w:rsidR="00FF4521" w:rsidRPr="00133C29">
        <w:rPr>
          <w:bCs/>
        </w:rPr>
        <w:t xml:space="preserve"> </w:t>
      </w:r>
    </w:p>
    <w:p w14:paraId="3160D563" w14:textId="4099356B" w:rsidR="00D47E33" w:rsidRDefault="00D47E33" w:rsidP="00D47E33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Штатная численность Комитета утверждена </w:t>
      </w:r>
      <w:r w:rsidR="000E083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остановлением </w:t>
      </w:r>
      <w:r w:rsidR="000E083F">
        <w:rPr>
          <w:rFonts w:ascii="Times New Roman" w:hAnsi="Times New Roman"/>
          <w:b w:val="0"/>
          <w:bCs w:val="0"/>
          <w:color w:val="auto"/>
          <w:sz w:val="24"/>
          <w:szCs w:val="24"/>
        </w:rPr>
        <w:t>Г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убернатора Волгоградской области от 28.03.2020 № 204 и состав</w:t>
      </w:r>
      <w:r w:rsidR="00814A30">
        <w:rPr>
          <w:rFonts w:ascii="Times New Roman" w:hAnsi="Times New Roman"/>
          <w:b w:val="0"/>
          <w:bCs w:val="0"/>
          <w:color w:val="auto"/>
          <w:sz w:val="24"/>
          <w:szCs w:val="24"/>
        </w:rPr>
        <w:t>ила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70 человек, из которых 1 государственная должность, 64 государственных гражданских служащих и 5 специалистов 1 категории. </w:t>
      </w:r>
      <w:r w:rsidR="000E083F" w:rsidRPr="00814A3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Фактическая </w:t>
      </w:r>
      <w:r w:rsidR="00814A30" w:rsidRPr="00814A30">
        <w:rPr>
          <w:rFonts w:ascii="Times New Roman" w:hAnsi="Times New Roman"/>
          <w:b w:val="0"/>
          <w:bCs w:val="0"/>
          <w:color w:val="auto"/>
          <w:sz w:val="24"/>
          <w:szCs w:val="24"/>
        </w:rPr>
        <w:t>численность на 01.01.2021 составила 67 штатных единиц, в том числе 1 государственная должность, 61 государственный гражданский служащий, 5 специалистов 1 категории.</w:t>
      </w:r>
      <w:r w:rsidR="00971E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F7007E">
        <w:rPr>
          <w:rFonts w:ascii="Times New Roman" w:hAnsi="Times New Roman"/>
          <w:b w:val="0"/>
          <w:bCs w:val="0"/>
          <w:color w:val="auto"/>
          <w:sz w:val="24"/>
          <w:szCs w:val="24"/>
        </w:rPr>
        <w:t>По сравнению с 2019 годом ш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татная численность </w:t>
      </w:r>
      <w:r w:rsidR="00FF46A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Комитета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увеличилась на 21 единицу в связи с передачей </w:t>
      </w:r>
      <w:r w:rsidR="00F7007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ему </w:t>
      </w:r>
      <w:r w:rsidR="00B028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части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функци</w:t>
      </w:r>
      <w:r w:rsidR="00F7007E">
        <w:rPr>
          <w:rFonts w:ascii="Times New Roman" w:hAnsi="Times New Roman"/>
          <w:b w:val="0"/>
          <w:bCs w:val="0"/>
          <w:color w:val="auto"/>
          <w:sz w:val="24"/>
          <w:szCs w:val="24"/>
        </w:rPr>
        <w:t>й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 полномочи</w:t>
      </w:r>
      <w:r w:rsidR="00F7007E">
        <w:rPr>
          <w:rFonts w:ascii="Times New Roman" w:hAnsi="Times New Roman"/>
          <w:b w:val="0"/>
          <w:bCs w:val="0"/>
          <w:color w:val="auto"/>
          <w:sz w:val="24"/>
          <w:szCs w:val="24"/>
        </w:rPr>
        <w:t>й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комитета жилищно-коммунального хозяйства</w:t>
      </w:r>
      <w:r w:rsid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 топливно-энергетического комплекса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Волгоградской области</w:t>
      </w:r>
      <w:r w:rsidR="00237144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4EA7DC30" w14:textId="77777777" w:rsidR="00B0284B" w:rsidRDefault="00D47E33" w:rsidP="004E697F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Штатная численность подведомственного учреждения ГКУ «Центр развития промышленности и торговли</w:t>
      </w:r>
      <w:r w:rsidR="00B0284B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01.01.2021 </w:t>
      </w:r>
      <w:r w:rsid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составила</w:t>
      </w:r>
      <w:r w:rsidR="002371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28 единиц, фактическая численность - 12 человек, количество вакансий - 16 единиц. </w:t>
      </w:r>
    </w:p>
    <w:p w14:paraId="3DCA1D04" w14:textId="373DABE0" w:rsidR="00D47E33" w:rsidRPr="004E697F" w:rsidRDefault="00D47E33" w:rsidP="004E697F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Штатная численность ГБУ «ВЦЭ» на 01.01.2021 </w:t>
      </w:r>
      <w:r w:rsid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составила</w:t>
      </w:r>
      <w:r w:rsidR="002F0744" w:rsidRP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4E697F">
        <w:rPr>
          <w:rFonts w:ascii="Times New Roman" w:hAnsi="Times New Roman"/>
          <w:b w:val="0"/>
          <w:bCs w:val="0"/>
          <w:color w:val="auto"/>
          <w:sz w:val="24"/>
          <w:szCs w:val="24"/>
        </w:rPr>
        <w:t>25 единиц, фактическая численность - 19 человек, количество вакансий - 6 единиц.</w:t>
      </w:r>
      <w:r w:rsidR="00B028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B0284B" w:rsidRPr="00463CA8">
        <w:rPr>
          <w:rFonts w:ascii="Times New Roman" w:hAnsi="Times New Roman"/>
          <w:b w:val="0"/>
          <w:bCs w:val="0"/>
          <w:color w:val="auto"/>
          <w:sz w:val="24"/>
          <w:szCs w:val="24"/>
        </w:rPr>
        <w:t>По сравнению с 2019 годом штатная численность учреждения уменьшилась на 4 единицы, фактическая – на 3 человека.</w:t>
      </w:r>
    </w:p>
    <w:p w14:paraId="0DC7FFBE" w14:textId="4E00635A" w:rsidR="002C6416" w:rsidRDefault="00971556" w:rsidP="00AE511B">
      <w:pPr>
        <w:ind w:firstLine="709"/>
        <w:jc w:val="both"/>
      </w:pPr>
      <w:r>
        <w:t>Сравнительный а</w:t>
      </w:r>
      <w:r w:rsidR="00AE511B" w:rsidRPr="00AE511B">
        <w:t>нализ штатной численности и фонда заработной платы</w:t>
      </w:r>
      <w:r w:rsidR="00971E1A">
        <w:t xml:space="preserve"> с начислениями</w:t>
      </w:r>
      <w:r w:rsidR="00AE511B" w:rsidRPr="00AE511B">
        <w:t xml:space="preserve"> комитета жилищно-коммунального хозяйства </w:t>
      </w:r>
      <w:r w:rsidR="00AE511B">
        <w:t>Волгоградской области</w:t>
      </w:r>
      <w:r w:rsidR="005065D4">
        <w:t xml:space="preserve"> (далее комитет ЖКХ)</w:t>
      </w:r>
      <w:r>
        <w:t>,</w:t>
      </w:r>
      <w:r w:rsidR="00AE511B" w:rsidRPr="00AE511B">
        <w:t xml:space="preserve"> комитета промышленной политики, торговли и</w:t>
      </w:r>
      <w:r w:rsidR="00AE511B">
        <w:t xml:space="preserve"> топливно-энергетического комплекса Волгоградской области</w:t>
      </w:r>
      <w:r>
        <w:t xml:space="preserve"> и ГКУ «Центр развития промышленности и торговли»</w:t>
      </w:r>
      <w:r w:rsidR="00AE511B" w:rsidRPr="00AE511B">
        <w:t xml:space="preserve"> </w:t>
      </w:r>
      <w:r w:rsidR="00AE511B" w:rsidRPr="009722CC">
        <w:rPr>
          <w:u w:val="single"/>
        </w:rPr>
        <w:t>за 2020 г</w:t>
      </w:r>
      <w:r w:rsidRPr="009722CC">
        <w:rPr>
          <w:u w:val="single"/>
        </w:rPr>
        <w:t>од</w:t>
      </w:r>
      <w:r>
        <w:t xml:space="preserve"> с аналогичными показателями комитета жилищно-коммунального хозяйства и топливно-энергетического комплекса Волгоградской области и комитета промышленности и торговли Волгоградской области </w:t>
      </w:r>
      <w:r w:rsidRPr="009722CC">
        <w:rPr>
          <w:u w:val="single"/>
        </w:rPr>
        <w:t>за 2019 год</w:t>
      </w:r>
      <w:r>
        <w:t xml:space="preserve"> </w:t>
      </w:r>
      <w:r w:rsidR="00AE511B">
        <w:t>пр</w:t>
      </w:r>
      <w:r>
        <w:t>иведен</w:t>
      </w:r>
      <w:r w:rsidR="00AE511B">
        <w:t xml:space="preserve"> в таблице</w:t>
      </w:r>
      <w:r w:rsidR="001516DB">
        <w:t xml:space="preserve"> 1</w:t>
      </w:r>
      <w:r w:rsidR="00AE511B">
        <w:t>.</w:t>
      </w:r>
    </w:p>
    <w:p w14:paraId="50B909BB" w14:textId="77777777" w:rsidR="002C6416" w:rsidRPr="00294073" w:rsidRDefault="00EB70EB" w:rsidP="00294073">
      <w:pPr>
        <w:ind w:firstLine="709"/>
        <w:jc w:val="right"/>
        <w:rPr>
          <w:i/>
        </w:rPr>
      </w:pPr>
      <w:r>
        <w:rPr>
          <w:i/>
        </w:rPr>
        <w:t>Таблица 1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418"/>
        <w:gridCol w:w="1134"/>
        <w:gridCol w:w="1276"/>
        <w:gridCol w:w="1275"/>
        <w:gridCol w:w="1134"/>
      </w:tblGrid>
      <w:tr w:rsidR="002C6416" w:rsidRPr="00AE511B" w14:paraId="5A8E8AE8" w14:textId="77777777" w:rsidTr="001516DB">
        <w:trPr>
          <w:trHeight w:val="4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5B72A64" w14:textId="2517C8BB" w:rsidR="002C6416" w:rsidRPr="002C6416" w:rsidRDefault="002C6416" w:rsidP="00AE511B">
            <w:pPr>
              <w:ind w:left="-108"/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Наименование орган</w:t>
            </w:r>
            <w:r w:rsidR="00936672">
              <w:rPr>
                <w:sz w:val="20"/>
                <w:szCs w:val="20"/>
              </w:rPr>
              <w:t>изаций в</w:t>
            </w:r>
            <w:r w:rsidRPr="002C6416">
              <w:rPr>
                <w:sz w:val="20"/>
                <w:szCs w:val="20"/>
              </w:rPr>
              <w:t xml:space="preserve"> 2019 году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E227E7" w14:textId="351A095D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2019 год (на 01.01.2020)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521A023" w14:textId="2F876EF0" w:rsidR="002C6416" w:rsidRPr="002C6416" w:rsidRDefault="002C6416" w:rsidP="001516DB">
            <w:pPr>
              <w:ind w:left="-108"/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Наименование орган</w:t>
            </w:r>
            <w:r w:rsidR="00936672">
              <w:rPr>
                <w:sz w:val="20"/>
                <w:szCs w:val="20"/>
              </w:rPr>
              <w:t>изаций</w:t>
            </w:r>
            <w:r w:rsidRPr="002C6416">
              <w:rPr>
                <w:sz w:val="20"/>
                <w:szCs w:val="20"/>
              </w:rPr>
              <w:t xml:space="preserve">                   в 2020 году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0922AC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2020 год (на 01.01.2021)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841705" w14:textId="375AF717" w:rsidR="002C6416" w:rsidRPr="002C6416" w:rsidRDefault="0051062A" w:rsidP="005106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штатной</w:t>
            </w:r>
            <w:r w:rsidR="002C6416" w:rsidRPr="002C6416">
              <w:rPr>
                <w:sz w:val="20"/>
                <w:szCs w:val="20"/>
              </w:rPr>
              <w:t>/</w:t>
            </w:r>
            <w:r w:rsidR="002C6416" w:rsidRPr="00AE511B">
              <w:rPr>
                <w:sz w:val="20"/>
                <w:szCs w:val="20"/>
              </w:rPr>
              <w:t xml:space="preserve"> </w:t>
            </w:r>
            <w:r w:rsidR="002C6416" w:rsidRPr="002C6416">
              <w:rPr>
                <w:sz w:val="20"/>
                <w:szCs w:val="20"/>
              </w:rPr>
              <w:t>фактической числ</w:t>
            </w:r>
            <w:r>
              <w:rPr>
                <w:sz w:val="20"/>
                <w:szCs w:val="20"/>
              </w:rPr>
              <w:t>енности</w:t>
            </w:r>
            <w:r w:rsidR="002C6416" w:rsidRPr="002C6416">
              <w:rPr>
                <w:sz w:val="20"/>
                <w:szCs w:val="20"/>
              </w:rPr>
              <w:t xml:space="preserve"> (гр.</w:t>
            </w:r>
            <w:r w:rsidR="0089421C">
              <w:rPr>
                <w:sz w:val="20"/>
                <w:szCs w:val="20"/>
              </w:rPr>
              <w:t>5</w:t>
            </w:r>
            <w:r w:rsidR="002C6416" w:rsidRPr="002C6416">
              <w:rPr>
                <w:sz w:val="20"/>
                <w:szCs w:val="20"/>
              </w:rPr>
              <w:t>-гр.</w:t>
            </w:r>
            <w:r w:rsidR="0089421C">
              <w:rPr>
                <w:sz w:val="20"/>
                <w:szCs w:val="20"/>
              </w:rPr>
              <w:t>2</w:t>
            </w:r>
            <w:r w:rsidR="002C6416" w:rsidRPr="002C641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740272" w14:textId="17E933F9" w:rsidR="002C6416" w:rsidRPr="002C6416" w:rsidRDefault="002C6416" w:rsidP="002C64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Изменение фонда заработной платы план/факт, тыс.руб.</w:t>
            </w:r>
            <w:r w:rsidRPr="00AE511B">
              <w:rPr>
                <w:sz w:val="20"/>
                <w:szCs w:val="20"/>
              </w:rPr>
              <w:t xml:space="preserve"> </w:t>
            </w:r>
            <w:r w:rsidRPr="002C6416">
              <w:rPr>
                <w:sz w:val="20"/>
                <w:szCs w:val="20"/>
              </w:rPr>
              <w:t xml:space="preserve"> (гр.</w:t>
            </w:r>
            <w:r w:rsidR="0089421C">
              <w:rPr>
                <w:sz w:val="20"/>
                <w:szCs w:val="20"/>
              </w:rPr>
              <w:t>6</w:t>
            </w:r>
            <w:r w:rsidRPr="002C6416">
              <w:rPr>
                <w:sz w:val="20"/>
                <w:szCs w:val="20"/>
              </w:rPr>
              <w:t>-гр.</w:t>
            </w:r>
            <w:r w:rsidR="0089421C">
              <w:rPr>
                <w:sz w:val="20"/>
                <w:szCs w:val="20"/>
              </w:rPr>
              <w:t>3</w:t>
            </w:r>
            <w:r w:rsidRPr="002C6416">
              <w:rPr>
                <w:sz w:val="20"/>
                <w:szCs w:val="20"/>
              </w:rPr>
              <w:t>)</w:t>
            </w:r>
          </w:p>
        </w:tc>
      </w:tr>
      <w:tr w:rsidR="00166A2E" w:rsidRPr="00AE511B" w14:paraId="59BAD7FF" w14:textId="77777777" w:rsidTr="001516DB">
        <w:trPr>
          <w:trHeight w:val="1351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C8AA" w14:textId="77777777" w:rsidR="002C6416" w:rsidRPr="002C6416" w:rsidRDefault="002C6416" w:rsidP="002C6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E5F3A7" w14:textId="41ED5E4F" w:rsidR="002C6416" w:rsidRPr="002C6416" w:rsidRDefault="0051062A" w:rsidP="0051062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Штатная </w:t>
            </w:r>
            <w:r w:rsidR="002C6416" w:rsidRPr="002C6416">
              <w:rPr>
                <w:sz w:val="20"/>
                <w:szCs w:val="20"/>
              </w:rPr>
              <w:t>/</w:t>
            </w:r>
            <w:r w:rsidR="002C6416" w:rsidRPr="00AE511B">
              <w:rPr>
                <w:sz w:val="20"/>
                <w:szCs w:val="20"/>
              </w:rPr>
              <w:t xml:space="preserve"> </w:t>
            </w:r>
            <w:r w:rsidR="002C6416" w:rsidRPr="002C6416">
              <w:rPr>
                <w:sz w:val="20"/>
                <w:szCs w:val="20"/>
              </w:rPr>
              <w:t>фактическая числ</w:t>
            </w:r>
            <w:r>
              <w:rPr>
                <w:sz w:val="20"/>
                <w:szCs w:val="20"/>
              </w:rPr>
              <w:t>енность</w:t>
            </w:r>
            <w:r w:rsidR="002C6416" w:rsidRPr="002C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13BF6" w14:textId="77777777" w:rsidR="002C6416" w:rsidRPr="002C6416" w:rsidRDefault="002C6416" w:rsidP="0051062A">
            <w:pPr>
              <w:ind w:right="-108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Фонд заработной платы план/факт, тыс. руб.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63498" w14:textId="77777777" w:rsidR="002C6416" w:rsidRPr="002C6416" w:rsidRDefault="002C6416" w:rsidP="002C6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BC7818" w14:textId="77777777" w:rsidR="002C6416" w:rsidRPr="002C6416" w:rsidRDefault="0051062A" w:rsidP="0051062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Штатная</w:t>
            </w:r>
            <w:r w:rsidR="002C6416" w:rsidRPr="002C6416">
              <w:rPr>
                <w:sz w:val="20"/>
                <w:szCs w:val="20"/>
              </w:rPr>
              <w:t>/</w:t>
            </w:r>
            <w:r w:rsidR="002C6416" w:rsidRPr="00AE511B">
              <w:rPr>
                <w:sz w:val="20"/>
                <w:szCs w:val="20"/>
              </w:rPr>
              <w:t xml:space="preserve"> </w:t>
            </w:r>
            <w:r w:rsidR="002C6416" w:rsidRPr="002C6416">
              <w:rPr>
                <w:sz w:val="20"/>
                <w:szCs w:val="20"/>
              </w:rPr>
              <w:t>фактическая числ</w:t>
            </w:r>
            <w:r>
              <w:rPr>
                <w:sz w:val="20"/>
                <w:szCs w:val="20"/>
              </w:rPr>
              <w:t>енность</w:t>
            </w:r>
            <w:r w:rsidR="002C6416" w:rsidRPr="002C6416">
              <w:rPr>
                <w:sz w:val="20"/>
                <w:szCs w:val="20"/>
              </w:rPr>
              <w:t xml:space="preserve">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8187E" w14:textId="77777777" w:rsidR="002C6416" w:rsidRPr="002C6416" w:rsidRDefault="002C6416" w:rsidP="0051062A">
            <w:pPr>
              <w:ind w:right="-108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Фонд заработной платы план/факт, тыс. руб.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B089A4" w14:textId="77777777" w:rsidR="002C6416" w:rsidRPr="002C6416" w:rsidRDefault="002C6416" w:rsidP="002C6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39AF" w14:textId="77777777" w:rsidR="002C6416" w:rsidRPr="002C6416" w:rsidRDefault="002C6416" w:rsidP="002C6416">
            <w:pPr>
              <w:rPr>
                <w:sz w:val="20"/>
                <w:szCs w:val="20"/>
              </w:rPr>
            </w:pPr>
          </w:p>
        </w:tc>
      </w:tr>
      <w:tr w:rsidR="00166A2E" w:rsidRPr="00AE511B" w14:paraId="1C7BA96E" w14:textId="77777777" w:rsidTr="001516D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15A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33A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9E3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FEF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ED3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BE0A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301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27C6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8</w:t>
            </w:r>
          </w:p>
        </w:tc>
      </w:tr>
      <w:tr w:rsidR="00166A2E" w:rsidRPr="00AE511B" w14:paraId="568B5647" w14:textId="77777777" w:rsidTr="001516DB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93E9" w14:textId="77777777" w:rsidR="002C6416" w:rsidRPr="002C6416" w:rsidRDefault="002C6416" w:rsidP="00166A2E">
            <w:pPr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 xml:space="preserve">Комитет жилищно-коммунального хозяйства и топливно-энергетического комплекса </w:t>
            </w:r>
            <w:r w:rsidR="00166A2E" w:rsidRPr="00AE511B"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3F45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82/78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BF07" w14:textId="77777777" w:rsidR="00971E1A" w:rsidRDefault="00971E1A" w:rsidP="0097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57731,8</w:t>
            </w:r>
            <w:r w:rsidR="002C6416" w:rsidRPr="002C6416">
              <w:rPr>
                <w:sz w:val="20"/>
                <w:szCs w:val="20"/>
              </w:rPr>
              <w:t>/</w:t>
            </w:r>
          </w:p>
          <w:p w14:paraId="31D9E394" w14:textId="1D334B05" w:rsidR="002C6416" w:rsidRPr="002C6416" w:rsidRDefault="00971E1A" w:rsidP="0097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05F" w14:textId="77777777" w:rsidR="002C6416" w:rsidRPr="002C6416" w:rsidRDefault="002C6416" w:rsidP="00166A2E">
            <w:pPr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Комитет жилищно-коммунального хозяйства</w:t>
            </w:r>
            <w:r w:rsidR="00166A2E" w:rsidRPr="00AE511B">
              <w:rPr>
                <w:sz w:val="20"/>
                <w:szCs w:val="20"/>
              </w:rPr>
              <w:t xml:space="preserve"> ВО</w:t>
            </w:r>
            <w:r w:rsidRPr="002C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A8E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51/50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C59" w14:textId="1E493A3D" w:rsidR="002C6416" w:rsidRPr="002C6416" w:rsidRDefault="00971E1A" w:rsidP="002C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46198,5</w:t>
            </w:r>
            <w:r w:rsidR="002C6416" w:rsidRPr="002C641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46034,8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61B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 xml:space="preserve">- </w:t>
            </w:r>
            <w:r w:rsidR="002C6416" w:rsidRPr="002C6416">
              <w:rPr>
                <w:sz w:val="20"/>
                <w:szCs w:val="20"/>
              </w:rPr>
              <w:t>31/28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3022" w14:textId="10F47E09" w:rsidR="002C6416" w:rsidRPr="002C6416" w:rsidRDefault="00166A2E" w:rsidP="00166A2E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>-</w:t>
            </w:r>
            <w:r w:rsidR="002C6416" w:rsidRPr="002C6416">
              <w:rPr>
                <w:sz w:val="20"/>
                <w:szCs w:val="20"/>
              </w:rPr>
              <w:t xml:space="preserve"> </w:t>
            </w:r>
            <w:r w:rsidR="00971E1A">
              <w:rPr>
                <w:sz w:val="20"/>
                <w:szCs w:val="20"/>
              </w:rPr>
              <w:t>11533,3</w:t>
            </w:r>
            <w:r w:rsidR="002C6416" w:rsidRPr="002C6416">
              <w:rPr>
                <w:sz w:val="20"/>
                <w:szCs w:val="20"/>
              </w:rPr>
              <w:t xml:space="preserve">/   </w:t>
            </w:r>
            <w:r w:rsidR="00971E1A">
              <w:rPr>
                <w:sz w:val="20"/>
                <w:szCs w:val="20"/>
              </w:rPr>
              <w:t xml:space="preserve"> - 10742,2</w:t>
            </w:r>
          </w:p>
        </w:tc>
      </w:tr>
      <w:tr w:rsidR="00166A2E" w:rsidRPr="00AE511B" w14:paraId="32D43EE2" w14:textId="77777777" w:rsidTr="001516DB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B809" w14:textId="77777777" w:rsidR="002C6416" w:rsidRPr="002C6416" w:rsidRDefault="002C6416" w:rsidP="00166A2E">
            <w:pPr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 xml:space="preserve">Комитет промышленности и торговли </w:t>
            </w:r>
            <w:r w:rsidR="00166A2E" w:rsidRPr="00AE511B">
              <w:rPr>
                <w:sz w:val="20"/>
                <w:szCs w:val="20"/>
              </w:rPr>
              <w:t>ВО</w:t>
            </w:r>
            <w:r w:rsidRPr="002C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BB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49/49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E52" w14:textId="7C62B96F" w:rsidR="002C6416" w:rsidRPr="002C6416" w:rsidRDefault="00971E1A" w:rsidP="002C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38094,8</w:t>
            </w:r>
            <w:r w:rsidR="002C6416" w:rsidRPr="002C641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38046,5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6C08" w14:textId="58222CBC" w:rsidR="002C6416" w:rsidRPr="002C6416" w:rsidRDefault="002C6416" w:rsidP="001516DB">
            <w:pPr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Комитет промышленной политики, торговли и топливно-</w:t>
            </w:r>
            <w:r w:rsidR="0089421C">
              <w:rPr>
                <w:sz w:val="20"/>
                <w:szCs w:val="20"/>
              </w:rPr>
              <w:t>э</w:t>
            </w:r>
            <w:r w:rsidRPr="002C6416">
              <w:rPr>
                <w:sz w:val="20"/>
                <w:szCs w:val="20"/>
              </w:rPr>
              <w:t xml:space="preserve">нергетического </w:t>
            </w:r>
            <w:r w:rsidR="0089421C">
              <w:rPr>
                <w:sz w:val="20"/>
                <w:szCs w:val="20"/>
              </w:rPr>
              <w:t>к</w:t>
            </w:r>
            <w:r w:rsidRPr="002C6416">
              <w:rPr>
                <w:sz w:val="20"/>
                <w:szCs w:val="20"/>
              </w:rPr>
              <w:t xml:space="preserve">омплекса </w:t>
            </w:r>
            <w:r w:rsidR="00166A2E" w:rsidRPr="00AE511B"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A3F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70/67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1678" w14:textId="17108160" w:rsidR="002C6416" w:rsidRPr="002C6416" w:rsidRDefault="00971E1A" w:rsidP="002C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49243,8</w:t>
            </w:r>
            <w:r w:rsidR="002C6416" w:rsidRPr="002C641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48971,1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F3A7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 xml:space="preserve"> + </w:t>
            </w:r>
            <w:r w:rsidR="002C6416" w:rsidRPr="002C6416">
              <w:rPr>
                <w:sz w:val="20"/>
                <w:szCs w:val="20"/>
              </w:rPr>
              <w:t>21/18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375" w14:textId="73B58DDE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 xml:space="preserve">+ </w:t>
            </w:r>
            <w:r w:rsidR="00971E1A">
              <w:rPr>
                <w:sz w:val="20"/>
                <w:szCs w:val="20"/>
              </w:rPr>
              <w:t>11149</w:t>
            </w:r>
            <w:r w:rsidR="002C6416" w:rsidRPr="002C6416">
              <w:rPr>
                <w:sz w:val="20"/>
                <w:szCs w:val="20"/>
              </w:rPr>
              <w:t xml:space="preserve">/   </w:t>
            </w:r>
            <w:r w:rsidR="00971E1A">
              <w:rPr>
                <w:sz w:val="20"/>
                <w:szCs w:val="20"/>
              </w:rPr>
              <w:t>+ 10924,6</w:t>
            </w:r>
          </w:p>
        </w:tc>
      </w:tr>
      <w:tr w:rsidR="00166A2E" w:rsidRPr="00AE511B" w14:paraId="2936F29C" w14:textId="77777777" w:rsidTr="00971E1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35DA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631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6FE7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4E36A" w14:textId="57C6465F" w:rsidR="002C6416" w:rsidRPr="002C6416" w:rsidRDefault="002C6416" w:rsidP="002C6416">
            <w:pPr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 xml:space="preserve">ГКУ </w:t>
            </w:r>
            <w:r w:rsidR="0089421C">
              <w:rPr>
                <w:sz w:val="20"/>
                <w:szCs w:val="20"/>
              </w:rPr>
              <w:t>«</w:t>
            </w:r>
            <w:r w:rsidRPr="002C6416">
              <w:rPr>
                <w:sz w:val="20"/>
                <w:szCs w:val="20"/>
              </w:rPr>
              <w:t xml:space="preserve">Центр развития </w:t>
            </w:r>
            <w:r w:rsidR="0089421C">
              <w:rPr>
                <w:sz w:val="20"/>
                <w:szCs w:val="20"/>
              </w:rPr>
              <w:t>п</w:t>
            </w:r>
            <w:r w:rsidRPr="002C6416">
              <w:rPr>
                <w:sz w:val="20"/>
                <w:szCs w:val="20"/>
              </w:rPr>
              <w:t>ромышленности и торговли</w:t>
            </w:r>
            <w:r w:rsidR="008942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B99" w14:textId="77777777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>28</w:t>
            </w:r>
            <w:r w:rsidR="0051062A">
              <w:rPr>
                <w:sz w:val="20"/>
                <w:szCs w:val="20"/>
              </w:rPr>
              <w:t>/</w:t>
            </w:r>
            <w:r w:rsidRPr="002C641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0F39" w14:textId="3CB2C97A" w:rsidR="002C6416" w:rsidRPr="002C6416" w:rsidRDefault="00971E1A" w:rsidP="002C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</w:t>
            </w:r>
            <w:r w:rsidR="002C6416" w:rsidRPr="002C6416">
              <w:rPr>
                <w:sz w:val="20"/>
                <w:szCs w:val="20"/>
              </w:rPr>
              <w:t xml:space="preserve">/   </w:t>
            </w:r>
            <w:r>
              <w:rPr>
                <w:sz w:val="20"/>
                <w:szCs w:val="20"/>
              </w:rPr>
              <w:t>6741</w:t>
            </w:r>
            <w:r w:rsidR="002C6416" w:rsidRPr="002C6416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440" w14:textId="77777777" w:rsidR="002C6416" w:rsidRPr="002C6416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 xml:space="preserve">+ </w:t>
            </w:r>
            <w:r w:rsidR="002C6416" w:rsidRPr="002C6416">
              <w:rPr>
                <w:sz w:val="20"/>
                <w:szCs w:val="20"/>
              </w:rPr>
              <w:t>28/12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DE3F" w14:textId="77777777" w:rsidR="00971E1A" w:rsidRDefault="00166A2E" w:rsidP="002C6416">
            <w:pPr>
              <w:jc w:val="center"/>
              <w:rPr>
                <w:sz w:val="20"/>
                <w:szCs w:val="20"/>
              </w:rPr>
            </w:pPr>
            <w:r w:rsidRPr="00AE511B">
              <w:rPr>
                <w:sz w:val="20"/>
                <w:szCs w:val="20"/>
              </w:rPr>
              <w:t xml:space="preserve">+ </w:t>
            </w:r>
            <w:r w:rsidR="00971E1A">
              <w:rPr>
                <w:sz w:val="20"/>
                <w:szCs w:val="20"/>
              </w:rPr>
              <w:t>7719</w:t>
            </w:r>
            <w:r w:rsidR="002C6416" w:rsidRPr="002C6416">
              <w:rPr>
                <w:sz w:val="20"/>
                <w:szCs w:val="20"/>
              </w:rPr>
              <w:t xml:space="preserve">/ </w:t>
            </w:r>
          </w:p>
          <w:p w14:paraId="003C6D3A" w14:textId="16C286DF" w:rsidR="002C6416" w:rsidRPr="002C6416" w:rsidRDefault="002C6416" w:rsidP="002C6416">
            <w:pPr>
              <w:jc w:val="center"/>
              <w:rPr>
                <w:sz w:val="20"/>
                <w:szCs w:val="20"/>
              </w:rPr>
            </w:pPr>
            <w:r w:rsidRPr="002C6416">
              <w:rPr>
                <w:sz w:val="20"/>
                <w:szCs w:val="20"/>
              </w:rPr>
              <w:t xml:space="preserve">  </w:t>
            </w:r>
            <w:r w:rsidR="00971E1A">
              <w:rPr>
                <w:sz w:val="20"/>
                <w:szCs w:val="20"/>
              </w:rPr>
              <w:t>+ 6741,6</w:t>
            </w:r>
          </w:p>
        </w:tc>
      </w:tr>
      <w:tr w:rsidR="00166A2E" w:rsidRPr="00AE511B" w14:paraId="75379F9F" w14:textId="77777777" w:rsidTr="001516DB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86A" w14:textId="77777777" w:rsidR="002C6416" w:rsidRPr="002C6416" w:rsidRDefault="002C6416" w:rsidP="0016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1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A625" w14:textId="77777777" w:rsidR="002C6416" w:rsidRPr="002C6416" w:rsidRDefault="002C6416" w:rsidP="002C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16">
              <w:rPr>
                <w:b/>
                <w:bCs/>
                <w:sz w:val="20"/>
                <w:szCs w:val="20"/>
              </w:rPr>
              <w:t>131/ 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B8E6" w14:textId="5B1BBA05" w:rsidR="002C6416" w:rsidRPr="002C6416" w:rsidRDefault="00971E1A" w:rsidP="002C6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95826,6</w:t>
            </w:r>
            <w:r w:rsidR="002C6416" w:rsidRPr="002C6416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="004F64F6">
              <w:rPr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D13920" w14:textId="77777777" w:rsidR="002C6416" w:rsidRPr="002C6416" w:rsidRDefault="002C6416" w:rsidP="002C6416">
            <w:pPr>
              <w:rPr>
                <w:b/>
                <w:bCs/>
                <w:sz w:val="20"/>
                <w:szCs w:val="20"/>
              </w:rPr>
            </w:pPr>
            <w:r w:rsidRPr="002C64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E34" w14:textId="77777777" w:rsidR="002C6416" w:rsidRPr="002C6416" w:rsidRDefault="002C6416" w:rsidP="002C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2C6416">
              <w:rPr>
                <w:b/>
                <w:bCs/>
                <w:sz w:val="20"/>
                <w:szCs w:val="20"/>
              </w:rPr>
              <w:t>149/129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7B36" w14:textId="4F4F80CA" w:rsidR="002C6416" w:rsidRPr="002C6416" w:rsidRDefault="004F64F6" w:rsidP="002C6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103161,3</w:t>
            </w:r>
            <w:r w:rsidR="002C6416" w:rsidRPr="002C6416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101747,5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D3A" w14:textId="77777777" w:rsidR="002C6416" w:rsidRPr="002C6416" w:rsidRDefault="00166A2E" w:rsidP="002C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AE511B">
              <w:rPr>
                <w:b/>
                <w:bCs/>
                <w:sz w:val="20"/>
                <w:szCs w:val="20"/>
              </w:rPr>
              <w:t xml:space="preserve">+ </w:t>
            </w:r>
            <w:r w:rsidR="002C6416" w:rsidRPr="002C6416">
              <w:rPr>
                <w:b/>
                <w:bCs/>
                <w:sz w:val="20"/>
                <w:szCs w:val="20"/>
              </w:rPr>
              <w:t>18/2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8DD4" w14:textId="77777777" w:rsidR="004F64F6" w:rsidRDefault="00AE511B" w:rsidP="00AE511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E511B">
              <w:rPr>
                <w:b/>
                <w:bCs/>
                <w:sz w:val="20"/>
                <w:szCs w:val="20"/>
              </w:rPr>
              <w:t xml:space="preserve">+ </w:t>
            </w:r>
            <w:r w:rsidR="004F64F6">
              <w:rPr>
                <w:b/>
                <w:bCs/>
                <w:sz w:val="20"/>
                <w:szCs w:val="20"/>
              </w:rPr>
              <w:t>7334,7</w:t>
            </w:r>
            <w:r w:rsidR="002C6416" w:rsidRPr="002C6416">
              <w:rPr>
                <w:b/>
                <w:bCs/>
                <w:sz w:val="20"/>
                <w:szCs w:val="20"/>
              </w:rPr>
              <w:t>/</w:t>
            </w:r>
          </w:p>
          <w:p w14:paraId="43D24897" w14:textId="7D4CE4F7" w:rsidR="002C6416" w:rsidRPr="002C6416" w:rsidRDefault="004F64F6" w:rsidP="00AE511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+ 6924</w:t>
            </w:r>
          </w:p>
        </w:tc>
      </w:tr>
    </w:tbl>
    <w:p w14:paraId="71F37DA3" w14:textId="77777777" w:rsidR="002C6416" w:rsidRPr="00AE511B" w:rsidRDefault="002C6416" w:rsidP="00D47E33">
      <w:pPr>
        <w:ind w:firstLine="709"/>
        <w:jc w:val="both"/>
      </w:pPr>
    </w:p>
    <w:p w14:paraId="00DE80B7" w14:textId="7F5C2275" w:rsidR="00A20127" w:rsidRPr="005065D4" w:rsidRDefault="0089421C" w:rsidP="00AE511B">
      <w:pPr>
        <w:ind w:right="-143" w:firstLine="680"/>
        <w:jc w:val="both"/>
      </w:pPr>
      <w:r>
        <w:t>Как видно из таблицы</w:t>
      </w:r>
      <w:r w:rsidR="00A20127">
        <w:t xml:space="preserve">, в связи с </w:t>
      </w:r>
      <w:r w:rsidR="0051062A">
        <w:t xml:space="preserve">созданием в 2020 году ГКУ «Центр развития промышленности и торговли» штатная численность </w:t>
      </w:r>
      <w:r>
        <w:t xml:space="preserve">двух комитетов и учреждения по сравнению с 2019 годом </w:t>
      </w:r>
      <w:r w:rsidR="0051062A">
        <w:t>увеличилась на 18 чел., а фактическ</w:t>
      </w:r>
      <w:r>
        <w:t>ая -</w:t>
      </w:r>
      <w:r w:rsidR="0051062A">
        <w:t xml:space="preserve"> на 2 чел. </w:t>
      </w:r>
      <w:r>
        <w:t>(по причине</w:t>
      </w:r>
      <w:r w:rsidR="0051062A">
        <w:t xml:space="preserve"> значительн</w:t>
      </w:r>
      <w:r>
        <w:t>ого</w:t>
      </w:r>
      <w:r w:rsidR="0051062A">
        <w:t xml:space="preserve"> количеств</w:t>
      </w:r>
      <w:r w:rsidR="009722CC">
        <w:t>а</w:t>
      </w:r>
      <w:r w:rsidR="0051062A">
        <w:t xml:space="preserve"> вакансий в ГКУ  «Центр развития промышленности и торговли»).</w:t>
      </w:r>
      <w:r w:rsidR="00815E2D">
        <w:t xml:space="preserve"> </w:t>
      </w:r>
      <w:r w:rsidR="0055784C">
        <w:t>Соответственно в 2020 году у</w:t>
      </w:r>
      <w:r w:rsidR="004B7FD4">
        <w:t>велич</w:t>
      </w:r>
      <w:r w:rsidR="0055784C">
        <w:t>ились</w:t>
      </w:r>
      <w:r w:rsidR="004B7FD4">
        <w:t xml:space="preserve"> расходы </w:t>
      </w:r>
      <w:r w:rsidR="0055784C">
        <w:t>на</w:t>
      </w:r>
      <w:r w:rsidR="004B7FD4">
        <w:t xml:space="preserve"> заработн</w:t>
      </w:r>
      <w:r w:rsidR="0055784C">
        <w:t>ую</w:t>
      </w:r>
      <w:r w:rsidR="004B7FD4">
        <w:t xml:space="preserve"> плат</w:t>
      </w:r>
      <w:r w:rsidR="0055784C">
        <w:t>у</w:t>
      </w:r>
      <w:r w:rsidR="004B7FD4">
        <w:t xml:space="preserve"> </w:t>
      </w:r>
      <w:r w:rsidR="00BC1FF6">
        <w:t xml:space="preserve">с начислениями </w:t>
      </w:r>
      <w:r w:rsidR="004B7FD4">
        <w:t xml:space="preserve">на </w:t>
      </w:r>
      <w:r w:rsidR="00BC1FF6">
        <w:t>6924</w:t>
      </w:r>
      <w:r w:rsidR="004B7FD4">
        <w:t xml:space="preserve"> тыс.</w:t>
      </w:r>
      <w:r w:rsidR="00184AC6">
        <w:t xml:space="preserve"> </w:t>
      </w:r>
      <w:r w:rsidR="004B7FD4">
        <w:t>руб.</w:t>
      </w:r>
      <w:r w:rsidR="0055784C">
        <w:t xml:space="preserve">, или на </w:t>
      </w:r>
      <w:r w:rsidR="00BC1FF6">
        <w:t>7,3</w:t>
      </w:r>
      <w:r w:rsidR="0055784C">
        <w:t xml:space="preserve"> процента.</w:t>
      </w:r>
    </w:p>
    <w:p w14:paraId="72FC8BA6" w14:textId="77777777" w:rsidR="00166A2E" w:rsidRPr="005065D4" w:rsidRDefault="00166A2E" w:rsidP="00DD3278">
      <w:pPr>
        <w:ind w:firstLine="709"/>
        <w:jc w:val="center"/>
      </w:pPr>
    </w:p>
    <w:p w14:paraId="5D864EB9" w14:textId="77777777" w:rsidR="00DD3278" w:rsidRPr="00D37C68" w:rsidRDefault="00815E2D" w:rsidP="00DD3278">
      <w:pPr>
        <w:ind w:firstLine="709"/>
        <w:jc w:val="center"/>
        <w:rPr>
          <w:b/>
        </w:rPr>
      </w:pPr>
      <w:r>
        <w:rPr>
          <w:b/>
        </w:rPr>
        <w:t>Проверка б</w:t>
      </w:r>
      <w:r w:rsidR="00CF487D">
        <w:rPr>
          <w:b/>
        </w:rPr>
        <w:t>юджетн</w:t>
      </w:r>
      <w:r>
        <w:rPr>
          <w:b/>
        </w:rPr>
        <w:t>ой</w:t>
      </w:r>
      <w:r w:rsidR="00DD3278" w:rsidRPr="00D37C68">
        <w:rPr>
          <w:b/>
        </w:rPr>
        <w:t xml:space="preserve"> отчетност</w:t>
      </w:r>
      <w:r>
        <w:rPr>
          <w:b/>
        </w:rPr>
        <w:t>и</w:t>
      </w:r>
    </w:p>
    <w:p w14:paraId="0486F87C" w14:textId="4A737E84" w:rsidR="00FD54AC" w:rsidRPr="00DD2A1D" w:rsidRDefault="00FD54AC" w:rsidP="00FD54AC">
      <w:pPr>
        <w:ind w:firstLine="680"/>
        <w:jc w:val="both"/>
      </w:pPr>
      <w:r w:rsidRPr="00DD2A1D">
        <w:t xml:space="preserve">В соответствии с соглашениями от 29.05.2015 № 1 и от 28.04.2020 № 25 полномочия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</w:t>
      </w:r>
      <w:r>
        <w:t xml:space="preserve">Комитетом и </w:t>
      </w:r>
      <w:r w:rsidRPr="00DD2A1D">
        <w:t>ГКУ</w:t>
      </w:r>
      <w:hyperlink r:id="rId9" w:history="1">
        <w:r w:rsidRPr="00DD2A1D">
          <w:rPr>
            <w:rStyle w:val="af3"/>
            <w:bCs/>
            <w:color w:val="auto"/>
            <w:u w:val="none"/>
          </w:rPr>
          <w:t xml:space="preserve"> «</w:t>
        </w:r>
        <w:r w:rsidRPr="007B180E">
          <w:rPr>
            <w:rStyle w:val="af3"/>
            <w:bCs/>
            <w:color w:val="auto"/>
            <w:u w:val="none"/>
          </w:rPr>
          <w:t>Центр развития промышленности и торговли</w:t>
        </w:r>
        <w:r w:rsidRPr="00DD2A1D">
          <w:rPr>
            <w:rStyle w:val="af3"/>
            <w:bCs/>
            <w:color w:val="auto"/>
            <w:u w:val="none"/>
          </w:rPr>
          <w:t>»</w:t>
        </w:r>
      </w:hyperlink>
      <w:r w:rsidRPr="00DD2A1D">
        <w:t xml:space="preserve"> </w:t>
      </w:r>
      <w:r>
        <w:t xml:space="preserve">переданы </w:t>
      </w:r>
      <w:r w:rsidR="004F64F6">
        <w:t>г</w:t>
      </w:r>
      <w:r w:rsidRPr="00DD2A1D">
        <w:t>осударственному казенному учреждению Волгоградской области «Центр бюджетного учета и отчетности» (далее ГКУ «ЦБУ»).</w:t>
      </w:r>
    </w:p>
    <w:p w14:paraId="48F76864" w14:textId="77777777" w:rsidR="002970D5" w:rsidRPr="00DD2A1D" w:rsidRDefault="00960A1D" w:rsidP="00960A1D">
      <w:pPr>
        <w:ind w:firstLine="709"/>
        <w:jc w:val="both"/>
      </w:pPr>
      <w:r w:rsidRPr="00DD2A1D">
        <w:t xml:space="preserve">Сводная бюджетная </w:t>
      </w:r>
      <w:r w:rsidRPr="00DD2A1D">
        <w:rPr>
          <w:bCs/>
        </w:rPr>
        <w:t xml:space="preserve">отчетность </w:t>
      </w:r>
      <w:r w:rsidR="000E083F">
        <w:rPr>
          <w:bCs/>
        </w:rPr>
        <w:t>К</w:t>
      </w:r>
      <w:r w:rsidRPr="00DD2A1D">
        <w:rPr>
          <w:bCs/>
        </w:rPr>
        <w:t>омитета за 20</w:t>
      </w:r>
      <w:r w:rsidR="00F124F5">
        <w:rPr>
          <w:bCs/>
        </w:rPr>
        <w:t>20</w:t>
      </w:r>
      <w:r w:rsidRPr="00DD2A1D">
        <w:rPr>
          <w:bCs/>
        </w:rPr>
        <w:t xml:space="preserve"> год представлена к </w:t>
      </w:r>
      <w:r w:rsidRPr="00DD2A1D">
        <w:t>проверке в составе, определенном ст. 264.1 Б</w:t>
      </w:r>
      <w:r w:rsidR="00237144">
        <w:t>юджетного Кодекса Российской Федерации</w:t>
      </w:r>
      <w:r w:rsidRPr="00DD2A1D">
        <w:t xml:space="preserve"> и </w:t>
      </w:r>
      <w:r w:rsidR="002970D5" w:rsidRPr="00DD2A1D"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 191н)</w:t>
      </w:r>
      <w:r w:rsidRPr="00DD2A1D">
        <w:t xml:space="preserve">. </w:t>
      </w:r>
    </w:p>
    <w:p w14:paraId="566C98C5" w14:textId="77777777" w:rsidR="00960A1D" w:rsidRPr="00DD2A1D" w:rsidRDefault="007B1CFD" w:rsidP="00960A1D">
      <w:pPr>
        <w:tabs>
          <w:tab w:val="left" w:pos="-284"/>
        </w:tabs>
        <w:ind w:firstLine="709"/>
        <w:jc w:val="both"/>
      </w:pPr>
      <w:r>
        <w:t>В</w:t>
      </w:r>
      <w:r w:rsidR="00960A1D" w:rsidRPr="00DD2A1D">
        <w:t xml:space="preserve"> комитет финансов Волгоградской области (далее Облфин) </w:t>
      </w:r>
      <w:r>
        <w:t>б</w:t>
      </w:r>
      <w:r w:rsidRPr="00DD2A1D">
        <w:t>юджетная отчетность представлена</w:t>
      </w:r>
      <w:r w:rsidR="00815E2D">
        <w:t xml:space="preserve"> </w:t>
      </w:r>
      <w:r w:rsidR="00815E2D" w:rsidRPr="00DD2A1D">
        <w:t>08.02.2021</w:t>
      </w:r>
      <w:r w:rsidR="00815E2D">
        <w:t xml:space="preserve"> </w:t>
      </w:r>
      <w:r w:rsidR="00960A1D" w:rsidRPr="00DD2A1D">
        <w:t>в соответствии с графиком отчетности</w:t>
      </w:r>
      <w:r w:rsidR="00DD2A1D" w:rsidRPr="00DD2A1D">
        <w:t xml:space="preserve"> главных распорядителей бюджетных средств за 2020 год</w:t>
      </w:r>
      <w:r w:rsidR="00960A1D" w:rsidRPr="00DD2A1D">
        <w:t>, установленным письмом Облфина от 1</w:t>
      </w:r>
      <w:r w:rsidR="00DD2A1D" w:rsidRPr="00DD2A1D">
        <w:t>3</w:t>
      </w:r>
      <w:r w:rsidR="00960A1D" w:rsidRPr="00DD2A1D">
        <w:t>.</w:t>
      </w:r>
      <w:r w:rsidR="00DD2A1D" w:rsidRPr="00DD2A1D">
        <w:t>01</w:t>
      </w:r>
      <w:r w:rsidR="00960A1D" w:rsidRPr="00DD2A1D">
        <w:t>.20</w:t>
      </w:r>
      <w:r w:rsidR="00DD2A1D" w:rsidRPr="00DD2A1D">
        <w:t>21</w:t>
      </w:r>
      <w:r w:rsidR="00960A1D" w:rsidRPr="00DD2A1D">
        <w:t xml:space="preserve"> № 06-05-01-61/</w:t>
      </w:r>
      <w:r w:rsidR="00B05B2D" w:rsidRPr="00DD2A1D">
        <w:t>10</w:t>
      </w:r>
      <w:r w:rsidR="00DD2A1D" w:rsidRPr="00DD2A1D">
        <w:t>4</w:t>
      </w:r>
      <w:r w:rsidR="00815E2D">
        <w:t>.</w:t>
      </w:r>
    </w:p>
    <w:p w14:paraId="1F2DB29B" w14:textId="02BDC26F" w:rsidR="00CB2E32" w:rsidRPr="009722CC" w:rsidRDefault="00CF487D" w:rsidP="00DE26C4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</w:rPr>
        <w:t>В</w:t>
      </w:r>
      <w:r w:rsidRPr="00CE2421">
        <w:rPr>
          <w:rFonts w:eastAsia="Calibri"/>
        </w:rPr>
        <w:t xml:space="preserve"> представленной к </w:t>
      </w:r>
      <w:r w:rsidR="00B81AA7">
        <w:rPr>
          <w:rFonts w:eastAsia="Calibri"/>
        </w:rPr>
        <w:t xml:space="preserve">проверке Главной книге Комитета </w:t>
      </w:r>
      <w:r>
        <w:rPr>
          <w:rFonts w:eastAsia="Calibri"/>
        </w:rPr>
        <w:t>в</w:t>
      </w:r>
      <w:r w:rsidR="00CB2E32" w:rsidRPr="00CE2421">
        <w:rPr>
          <w:rFonts w:eastAsia="Calibri"/>
        </w:rPr>
        <w:t xml:space="preserve"> нарушение п</w:t>
      </w:r>
      <w:r w:rsidR="00D5534C">
        <w:rPr>
          <w:rFonts w:eastAsia="Calibri"/>
        </w:rPr>
        <w:t>унктов</w:t>
      </w:r>
      <w:r w:rsidR="00CB2E32" w:rsidRPr="00CE2421">
        <w:rPr>
          <w:rFonts w:eastAsia="Calibri"/>
        </w:rPr>
        <w:t xml:space="preserve"> 324</w:t>
      </w:r>
      <w:r w:rsidR="00D5534C">
        <w:rPr>
          <w:rFonts w:eastAsia="Calibri"/>
        </w:rPr>
        <w:t xml:space="preserve"> и </w:t>
      </w:r>
      <w:r w:rsidR="00CB2E32" w:rsidRPr="00CE2421">
        <w:rPr>
          <w:rFonts w:eastAsia="Calibri"/>
        </w:rPr>
        <w:t xml:space="preserve">325 </w:t>
      </w:r>
      <w:r w:rsidR="00815E2D">
        <w:rPr>
          <w:rFonts w:eastAsia="Calibri"/>
        </w:rPr>
        <w:t xml:space="preserve">Инструкции по применению Единого плана счетов бухгалтерского учета для органов государственной власти, утвержденной приказом </w:t>
      </w:r>
      <w:r w:rsidR="00B81AA7" w:rsidRPr="00DD2A1D">
        <w:t xml:space="preserve">Минфина РФ </w:t>
      </w:r>
      <w:r w:rsidR="00B81AA7">
        <w:t xml:space="preserve">от 01.12.2010 №157н (далее </w:t>
      </w:r>
      <w:r w:rsidR="00CB2E32" w:rsidRPr="00CE2421">
        <w:rPr>
          <w:rFonts w:eastAsia="Calibri"/>
        </w:rPr>
        <w:t>Приказ №157н</w:t>
      </w:r>
      <w:r w:rsidR="00B81AA7">
        <w:rPr>
          <w:rFonts w:eastAsia="Calibri"/>
        </w:rPr>
        <w:t xml:space="preserve">) </w:t>
      </w:r>
      <w:r w:rsidR="00CB2E32" w:rsidRPr="00CE2421">
        <w:rPr>
          <w:rFonts w:eastAsia="Calibri"/>
        </w:rPr>
        <w:t xml:space="preserve">по </w:t>
      </w:r>
      <w:r w:rsidR="00DE26C4" w:rsidRPr="00CE2421">
        <w:rPr>
          <w:rFonts w:eastAsia="Calibri"/>
        </w:rPr>
        <w:t>счет</w:t>
      </w:r>
      <w:r w:rsidR="00CB2E32" w:rsidRPr="00CE2421">
        <w:rPr>
          <w:rFonts w:eastAsia="Calibri"/>
        </w:rPr>
        <w:t>у</w:t>
      </w:r>
      <w:r w:rsidR="00DE26C4" w:rsidRPr="00CE2421">
        <w:rPr>
          <w:rFonts w:eastAsia="Calibri"/>
        </w:rPr>
        <w:t xml:space="preserve"> 150400000 «Сметные (плановые, прогнозные) назначения»</w:t>
      </w:r>
      <w:r w:rsidR="00CB2E32" w:rsidRPr="00CE2421">
        <w:rPr>
          <w:rFonts w:eastAsia="Calibri"/>
        </w:rPr>
        <w:t xml:space="preserve"> </w:t>
      </w:r>
      <w:r w:rsidR="00CB2E32" w:rsidRPr="009722CC">
        <w:rPr>
          <w:rFonts w:eastAsia="Calibri"/>
          <w:u w:val="single"/>
        </w:rPr>
        <w:t>не были учтены данные по прогнозным показателям доходов (поступлений) бюджета на отчетный финансовый год в части субсидий на мероприятия по развитию газомоторного топлива.</w:t>
      </w:r>
    </w:p>
    <w:p w14:paraId="3729B382" w14:textId="4AC8B2BE" w:rsidR="00832EC3" w:rsidRPr="006F2836" w:rsidRDefault="00DE26C4" w:rsidP="00832EC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2836">
        <w:rPr>
          <w:rFonts w:eastAsia="Calibri"/>
        </w:rPr>
        <w:t xml:space="preserve">Вместе с тем </w:t>
      </w:r>
      <w:r w:rsidR="00CF487D">
        <w:rPr>
          <w:rFonts w:eastAsia="Calibri"/>
        </w:rPr>
        <w:t>П</w:t>
      </w:r>
      <w:r w:rsidRPr="006F2836">
        <w:rPr>
          <w:rFonts w:eastAsia="Calibri"/>
        </w:rPr>
        <w:t>риложением 1 «Прогноз поступления по налогам, сборам, платежам и поступлений из других бюджетов бюджетной системы РФ в областной бюджет» к Закону об областном бюджете на 20</w:t>
      </w:r>
      <w:r w:rsidR="00003B02" w:rsidRPr="006F2836">
        <w:rPr>
          <w:rFonts w:eastAsia="Calibri"/>
        </w:rPr>
        <w:t>20</w:t>
      </w:r>
      <w:r w:rsidRPr="006F2836">
        <w:rPr>
          <w:rFonts w:eastAsia="Calibri"/>
        </w:rPr>
        <w:t xml:space="preserve"> год утвержден объем </w:t>
      </w:r>
      <w:r w:rsidR="00832EC3" w:rsidRPr="006F2836">
        <w:rPr>
          <w:rFonts w:eastAsia="Calibri"/>
        </w:rPr>
        <w:t xml:space="preserve">субсидии на мероприятия по развитию газомоторного топлива </w:t>
      </w:r>
      <w:r w:rsidR="00832EC3">
        <w:rPr>
          <w:rFonts w:eastAsia="Calibri"/>
        </w:rPr>
        <w:t>в сумме</w:t>
      </w:r>
      <w:r w:rsidR="00832EC3" w:rsidRPr="006F2836">
        <w:rPr>
          <w:rFonts w:eastAsia="Calibri"/>
        </w:rPr>
        <w:t xml:space="preserve"> </w:t>
      </w:r>
      <w:r w:rsidR="00832EC3" w:rsidRPr="004F64F6">
        <w:rPr>
          <w:rFonts w:eastAsia="Calibri"/>
          <w:u w:val="single"/>
        </w:rPr>
        <w:t>203265,0 тыс. рублей</w:t>
      </w:r>
      <w:r w:rsidR="00832EC3" w:rsidRPr="006F2836">
        <w:rPr>
          <w:rFonts w:eastAsia="Calibri"/>
        </w:rPr>
        <w:t>.</w:t>
      </w:r>
      <w:r w:rsidR="00832EC3">
        <w:rPr>
          <w:rFonts w:eastAsia="Calibri"/>
        </w:rPr>
        <w:t xml:space="preserve"> </w:t>
      </w:r>
      <w:r w:rsidR="00DE4D0D">
        <w:rPr>
          <w:rFonts w:eastAsia="Calibri"/>
        </w:rPr>
        <w:t>Г</w:t>
      </w:r>
      <w:r w:rsidR="00832EC3">
        <w:rPr>
          <w:rFonts w:eastAsia="Calibri"/>
        </w:rPr>
        <w:t>лавным администрато</w:t>
      </w:r>
      <w:r w:rsidR="005E3ECC">
        <w:rPr>
          <w:rFonts w:eastAsia="Calibri"/>
        </w:rPr>
        <w:t>ро</w:t>
      </w:r>
      <w:r w:rsidR="00832EC3">
        <w:rPr>
          <w:rFonts w:eastAsia="Calibri"/>
        </w:rPr>
        <w:t xml:space="preserve">м </w:t>
      </w:r>
      <w:r w:rsidR="00DE4D0D">
        <w:rPr>
          <w:rFonts w:eastAsia="Calibri"/>
        </w:rPr>
        <w:t xml:space="preserve">указанных субсидий </w:t>
      </w:r>
      <w:r w:rsidR="00832EC3">
        <w:rPr>
          <w:rFonts w:eastAsia="Calibri"/>
        </w:rPr>
        <w:t>согласно Закону о бюджете на 2020 год</w:t>
      </w:r>
      <w:r w:rsidR="00D5534C">
        <w:rPr>
          <w:rFonts w:eastAsia="Calibri"/>
        </w:rPr>
        <w:t xml:space="preserve"> </w:t>
      </w:r>
      <w:r w:rsidR="00832EC3">
        <w:rPr>
          <w:rFonts w:eastAsia="Calibri"/>
        </w:rPr>
        <w:t xml:space="preserve">являлся комитет жилищно-коммунального хозяйства </w:t>
      </w:r>
      <w:r w:rsidR="002705F4">
        <w:rPr>
          <w:rFonts w:eastAsia="Calibri"/>
        </w:rPr>
        <w:t xml:space="preserve">и топливно-энергетического комплекса </w:t>
      </w:r>
      <w:r w:rsidR="00832EC3">
        <w:rPr>
          <w:rFonts w:eastAsia="Calibri"/>
        </w:rPr>
        <w:t>Волгоградской области</w:t>
      </w:r>
      <w:r w:rsidR="000E083F">
        <w:rPr>
          <w:rFonts w:eastAsia="Calibri"/>
        </w:rPr>
        <w:t>. При этом</w:t>
      </w:r>
      <w:r w:rsidR="00DE4D0D">
        <w:rPr>
          <w:rFonts w:eastAsia="Calibri"/>
        </w:rPr>
        <w:t xml:space="preserve"> фактически </w:t>
      </w:r>
      <w:r w:rsidR="002F0744">
        <w:rPr>
          <w:rFonts w:eastAsia="Calibri"/>
        </w:rPr>
        <w:t xml:space="preserve">полномочия </w:t>
      </w:r>
      <w:r w:rsidR="00DE4D0D">
        <w:rPr>
          <w:rFonts w:eastAsia="Calibri"/>
        </w:rPr>
        <w:t>главн</w:t>
      </w:r>
      <w:r w:rsidR="002F0744">
        <w:rPr>
          <w:rFonts w:eastAsia="Calibri"/>
        </w:rPr>
        <w:t>ого</w:t>
      </w:r>
      <w:r w:rsidR="00DE4D0D">
        <w:rPr>
          <w:rFonts w:eastAsia="Calibri"/>
        </w:rPr>
        <w:t xml:space="preserve"> администратор</w:t>
      </w:r>
      <w:r w:rsidR="002F0744">
        <w:rPr>
          <w:rFonts w:eastAsia="Calibri"/>
        </w:rPr>
        <w:t xml:space="preserve">а </w:t>
      </w:r>
      <w:r w:rsidR="000E083F">
        <w:rPr>
          <w:rFonts w:eastAsia="Calibri"/>
        </w:rPr>
        <w:t xml:space="preserve">по данным субсидиям </w:t>
      </w:r>
      <w:r w:rsidR="002F0744">
        <w:rPr>
          <w:rFonts w:eastAsia="Calibri"/>
        </w:rPr>
        <w:t xml:space="preserve">исполнял </w:t>
      </w:r>
      <w:r w:rsidR="00237144">
        <w:rPr>
          <w:rFonts w:eastAsia="Calibri"/>
        </w:rPr>
        <w:t>Комитет</w:t>
      </w:r>
      <w:r w:rsidR="00DE4D0D">
        <w:rPr>
          <w:rFonts w:eastAsia="Calibri"/>
        </w:rPr>
        <w:t>.</w:t>
      </w:r>
      <w:r w:rsidR="00832EC3">
        <w:rPr>
          <w:rFonts w:eastAsia="Calibri"/>
        </w:rPr>
        <w:t xml:space="preserve"> </w:t>
      </w:r>
    </w:p>
    <w:p w14:paraId="55D85BD7" w14:textId="77777777" w:rsidR="00FC46EF" w:rsidRPr="00C82C01" w:rsidRDefault="000E083F" w:rsidP="00DE26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="002F0744" w:rsidRPr="00C82C01">
        <w:rPr>
          <w:rFonts w:eastAsia="Calibri"/>
        </w:rPr>
        <w:t>соглашениям</w:t>
      </w:r>
      <w:r w:rsidR="00771D28">
        <w:rPr>
          <w:rFonts w:eastAsia="Calibri"/>
        </w:rPr>
        <w:t>и</w:t>
      </w:r>
      <w:r w:rsidR="002F0744">
        <w:rPr>
          <w:rFonts w:eastAsia="Calibri"/>
        </w:rPr>
        <w:t>,</w:t>
      </w:r>
      <w:r w:rsidR="002F0744" w:rsidRPr="00C82C01">
        <w:rPr>
          <w:rFonts w:eastAsia="Calibri"/>
        </w:rPr>
        <w:t xml:space="preserve"> </w:t>
      </w:r>
      <w:r w:rsidR="00FC46EF" w:rsidRPr="00C82C01">
        <w:rPr>
          <w:rFonts w:eastAsia="Calibri"/>
        </w:rPr>
        <w:t>заключенным</w:t>
      </w:r>
      <w:r w:rsidR="00771D28">
        <w:rPr>
          <w:rFonts w:eastAsia="Calibri"/>
        </w:rPr>
        <w:t>и</w:t>
      </w:r>
      <w:r w:rsidR="00FC46EF" w:rsidRPr="00C82C01">
        <w:rPr>
          <w:rFonts w:eastAsia="Calibri"/>
        </w:rPr>
        <w:t xml:space="preserve"> Администрацией Волгоградской области с Министерством энергетики Российской Федерации, утвержденные бюджетные назначения по КБК 8412 02 25261 02 0000 150 «Субсидии бюджетам субъектов Российской Федерации на мероприятия по развитию газомоторного топлива</w:t>
      </w:r>
      <w:r w:rsidR="00C82C01" w:rsidRPr="00C82C01">
        <w:rPr>
          <w:rFonts w:eastAsia="Calibri"/>
        </w:rPr>
        <w:t xml:space="preserve">» составили </w:t>
      </w:r>
      <w:r w:rsidR="00C82C01" w:rsidRPr="004F64F6">
        <w:rPr>
          <w:rFonts w:eastAsia="Calibri"/>
          <w:u w:val="single"/>
        </w:rPr>
        <w:t>112488,0 тыс. рублей.</w:t>
      </w:r>
      <w:r w:rsidR="00FC46EF" w:rsidRPr="00C82C01">
        <w:rPr>
          <w:rFonts w:eastAsia="Calibri"/>
        </w:rPr>
        <w:t xml:space="preserve"> </w:t>
      </w:r>
    </w:p>
    <w:p w14:paraId="280E19C4" w14:textId="16D7E624" w:rsidR="004F64F6" w:rsidRDefault="004F64F6" w:rsidP="00DE26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63CA8">
        <w:rPr>
          <w:rFonts w:eastAsia="Calibri"/>
        </w:rPr>
        <w:t>Вместе с тем до конца 2020 года Закон об областном бюджете на 2020 год не был приведен в соответствии с указанными соглашениями.</w:t>
      </w:r>
    </w:p>
    <w:p w14:paraId="68482A3C" w14:textId="57C414D8" w:rsidR="00013372" w:rsidRDefault="004F64F6" w:rsidP="00DE26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Следует отметить, что</w:t>
      </w:r>
      <w:r w:rsidR="00DE26C4" w:rsidRPr="00C82C01">
        <w:rPr>
          <w:rFonts w:eastAsia="Calibri"/>
        </w:rPr>
        <w:t xml:space="preserve"> в нарушение п.55 Инструкции №191н Комитетом </w:t>
      </w:r>
      <w:r w:rsidR="00DE26C4" w:rsidRPr="009722CC">
        <w:rPr>
          <w:u w:val="single"/>
        </w:rPr>
        <w:t>утвержденные бюджетные назначения по доходам на общую сумму 1</w:t>
      </w:r>
      <w:r w:rsidR="00C82C01" w:rsidRPr="009722CC">
        <w:rPr>
          <w:u w:val="single"/>
        </w:rPr>
        <w:t>12488,0</w:t>
      </w:r>
      <w:r w:rsidR="00DE26C4" w:rsidRPr="009722CC">
        <w:rPr>
          <w:u w:val="single"/>
        </w:rPr>
        <w:t xml:space="preserve"> тыс. руб.</w:t>
      </w:r>
      <w:r w:rsidR="00DE26C4" w:rsidRPr="00C82C01">
        <w:t xml:space="preserve"> </w:t>
      </w:r>
      <w:r w:rsidR="00EB0B16" w:rsidRPr="009722CC">
        <w:rPr>
          <w:rFonts w:eastAsia="Calibri"/>
          <w:u w:val="single"/>
        </w:rPr>
        <w:t xml:space="preserve">не отражены </w:t>
      </w:r>
      <w:r w:rsidR="00DE26C4" w:rsidRPr="00C82C01">
        <w:t xml:space="preserve">в графе 4 раздела </w:t>
      </w:r>
      <w:r w:rsidR="00DC784B">
        <w:t xml:space="preserve">1 </w:t>
      </w:r>
      <w:r w:rsidR="00E37AEC">
        <w:t>«Доходы бюджета»</w:t>
      </w:r>
      <w:r w:rsidR="00DE26C4" w:rsidRPr="00C82C01">
        <w:rPr>
          <w:rFonts w:eastAsia="Calibri"/>
        </w:rPr>
        <w:t xml:space="preserve"> </w:t>
      </w:r>
      <w:r w:rsidR="00E37AEC" w:rsidRPr="00C82C01">
        <w:t>ф</w:t>
      </w:r>
      <w:r w:rsidR="00E37AEC">
        <w:t xml:space="preserve">ормы </w:t>
      </w:r>
      <w:r w:rsidR="00E37AEC" w:rsidRPr="00C82C01">
        <w:t>0503127</w:t>
      </w:r>
      <w:r w:rsidR="00E37AEC">
        <w:t>,</w:t>
      </w:r>
      <w:r w:rsidR="00E37AEC" w:rsidRPr="00C82C01">
        <w:t xml:space="preserve"> </w:t>
      </w:r>
      <w:r w:rsidR="00DE26C4" w:rsidRPr="00C82C01">
        <w:rPr>
          <w:rFonts w:eastAsia="Calibri"/>
        </w:rPr>
        <w:t>а также в графе 3 формы 0503164 «Сведения об исполнении бюджета».</w:t>
      </w:r>
    </w:p>
    <w:p w14:paraId="2F725F53" w14:textId="107E1119" w:rsidR="00013372" w:rsidRDefault="00DE26C4" w:rsidP="000133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2C01">
        <w:t xml:space="preserve"> </w:t>
      </w:r>
      <w:r w:rsidR="00013372" w:rsidRPr="00942F0F">
        <w:t xml:space="preserve">По пояснениям ГКУ «ЦБУ» указанные нарушения допущены по причине непредставления Комитетом данных по доходам в части субсидий на мероприятия по развитию газомоторного топлива для отражения в бюджетном учете. </w:t>
      </w:r>
      <w:r w:rsidR="00EB0B16">
        <w:rPr>
          <w:rFonts w:eastAsiaTheme="minorHAnsi"/>
          <w:lang w:eastAsia="en-US"/>
        </w:rPr>
        <w:t>В свою очередь, п</w:t>
      </w:r>
      <w:r w:rsidR="00013372">
        <w:rPr>
          <w:rFonts w:eastAsiaTheme="minorHAnsi"/>
          <w:lang w:eastAsia="en-US"/>
        </w:rPr>
        <w:t xml:space="preserve">о пояснениям Комитета указанные нарушения обусловлены отсутствием </w:t>
      </w:r>
      <w:r w:rsidR="009722CC">
        <w:rPr>
          <w:rFonts w:eastAsiaTheme="minorHAnsi"/>
          <w:lang w:eastAsia="en-US"/>
        </w:rPr>
        <w:t xml:space="preserve">Комитета </w:t>
      </w:r>
      <w:r w:rsidR="00013372">
        <w:rPr>
          <w:rFonts w:eastAsiaTheme="minorHAnsi"/>
          <w:lang w:eastAsia="en-US"/>
        </w:rPr>
        <w:t>в Законе об областном бюджете на 2020 год в качестве главного администратора доходов.</w:t>
      </w:r>
    </w:p>
    <w:p w14:paraId="51BFC978" w14:textId="1E2B8D81" w:rsidR="00013372" w:rsidRDefault="00013372" w:rsidP="00013372">
      <w:pPr>
        <w:autoSpaceDE w:val="0"/>
        <w:autoSpaceDN w:val="0"/>
        <w:adjustRightInd w:val="0"/>
        <w:ind w:firstLine="709"/>
        <w:jc w:val="both"/>
      </w:pPr>
      <w:r>
        <w:t xml:space="preserve">В ходе проверки Комитетом направлено письмо в </w:t>
      </w:r>
      <w:r w:rsidR="009722CC">
        <w:t>Облфин</w:t>
      </w:r>
      <w:r>
        <w:t xml:space="preserve"> от 02.03.2021 для внесения изменений в формы №№ 0503127, 0503164 годовой </w:t>
      </w:r>
      <w:r w:rsidRPr="00DE4D0D">
        <w:t xml:space="preserve">бюджетной отчетности за 2020 год в целях </w:t>
      </w:r>
      <w:r w:rsidRPr="00DE4D0D">
        <w:lastRenderedPageBreak/>
        <w:t xml:space="preserve">устранения нарушений. Указанные формы и Главная книга представлены </w:t>
      </w:r>
      <w:r w:rsidR="009722CC">
        <w:t xml:space="preserve">КСП </w:t>
      </w:r>
      <w:r w:rsidRPr="00DE4D0D">
        <w:t>в исправленном виде.</w:t>
      </w:r>
    </w:p>
    <w:p w14:paraId="48589571" w14:textId="77777777" w:rsidR="000E5502" w:rsidRPr="00D37C68" w:rsidRDefault="00D37C68" w:rsidP="000E5502">
      <w:pPr>
        <w:pStyle w:val="1"/>
        <w:spacing w:before="0" w:after="0"/>
        <w:ind w:firstLine="720"/>
        <w:rPr>
          <w:rFonts w:ascii="Times New Roman" w:eastAsia="Calibri" w:hAnsi="Times New Roman"/>
          <w:bCs w:val="0"/>
          <w:color w:val="auto"/>
          <w:sz w:val="24"/>
          <w:szCs w:val="24"/>
        </w:rPr>
      </w:pPr>
      <w:bookmarkStart w:id="0" w:name="OLE_LINK2"/>
      <w:r w:rsidRPr="00D37C68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Администрирование </w:t>
      </w:r>
      <w:r w:rsidR="000E5502" w:rsidRPr="00D37C68">
        <w:rPr>
          <w:rFonts w:ascii="Times New Roman" w:eastAsia="Calibri" w:hAnsi="Times New Roman"/>
          <w:bCs w:val="0"/>
          <w:color w:val="auto"/>
          <w:sz w:val="24"/>
          <w:szCs w:val="24"/>
        </w:rPr>
        <w:t>доход</w:t>
      </w:r>
      <w:r w:rsidRPr="00D37C68">
        <w:rPr>
          <w:rFonts w:ascii="Times New Roman" w:eastAsia="Calibri" w:hAnsi="Times New Roman"/>
          <w:bCs w:val="0"/>
          <w:color w:val="auto"/>
          <w:sz w:val="24"/>
          <w:szCs w:val="24"/>
        </w:rPr>
        <w:t>ов</w:t>
      </w:r>
    </w:p>
    <w:p w14:paraId="0969F309" w14:textId="07E0605D" w:rsidR="008941A8" w:rsidRPr="008941A8" w:rsidRDefault="00DD3278" w:rsidP="00202D07">
      <w:pPr>
        <w:pStyle w:val="1"/>
        <w:spacing w:before="0" w:after="0"/>
        <w:ind w:firstLine="720"/>
        <w:jc w:val="both"/>
        <w:rPr>
          <w:rFonts w:eastAsia="Calibri"/>
        </w:rPr>
      </w:pPr>
      <w:r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</w:t>
      </w:r>
      <w:r w:rsidR="00202D07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</w:t>
      </w:r>
      <w:r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омитетом доходах </w:t>
      </w:r>
      <w:r w:rsidR="00BE735C"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за 20</w:t>
      </w:r>
      <w:r w:rsidR="008941A8"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20</w:t>
      </w:r>
      <w:r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</w:t>
      </w:r>
      <w:r w:rsidR="002E1E1F"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="0029407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</w:t>
      </w:r>
      <w:r w:rsidRPr="008941A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</w:t>
      </w:r>
    </w:p>
    <w:p w14:paraId="409D51B9" w14:textId="77777777" w:rsidR="00681DE9" w:rsidRPr="008941A8" w:rsidRDefault="00C620BC" w:rsidP="005E5113">
      <w:pPr>
        <w:jc w:val="right"/>
        <w:rPr>
          <w:rFonts w:eastAsia="Calibri"/>
          <w:i/>
          <w:sz w:val="22"/>
          <w:szCs w:val="22"/>
        </w:rPr>
      </w:pPr>
      <w:r w:rsidRPr="008941A8">
        <w:rPr>
          <w:rFonts w:eastAsia="Calibri"/>
          <w:i/>
          <w:sz w:val="22"/>
          <w:szCs w:val="22"/>
        </w:rPr>
        <w:t xml:space="preserve">Таблица </w:t>
      </w:r>
      <w:r w:rsidR="00294073">
        <w:rPr>
          <w:rFonts w:eastAsia="Calibri"/>
          <w:i/>
          <w:sz w:val="22"/>
          <w:szCs w:val="22"/>
        </w:rPr>
        <w:t>2</w:t>
      </w:r>
      <w:r w:rsidR="00EB70EB">
        <w:rPr>
          <w:rFonts w:eastAsia="Calibri"/>
          <w:i/>
          <w:sz w:val="22"/>
          <w:szCs w:val="22"/>
        </w:rPr>
        <w:t xml:space="preserve"> </w:t>
      </w:r>
      <w:r w:rsidRPr="008941A8">
        <w:rPr>
          <w:rFonts w:eastAsia="Calibri"/>
          <w:i/>
          <w:sz w:val="22"/>
          <w:szCs w:val="22"/>
        </w:rPr>
        <w:t>(</w:t>
      </w:r>
      <w:r w:rsidR="000E5502" w:rsidRPr="008941A8">
        <w:rPr>
          <w:rFonts w:eastAsia="Calibri"/>
          <w:i/>
          <w:sz w:val="22"/>
          <w:szCs w:val="22"/>
        </w:rPr>
        <w:t>тыс.</w:t>
      </w:r>
      <w:r w:rsidRPr="008941A8">
        <w:rPr>
          <w:rFonts w:eastAsia="Calibri"/>
          <w:i/>
          <w:sz w:val="22"/>
          <w:szCs w:val="22"/>
        </w:rPr>
        <w:t xml:space="preserve"> </w:t>
      </w:r>
      <w:r w:rsidR="000E5502" w:rsidRPr="008941A8">
        <w:rPr>
          <w:rFonts w:eastAsia="Calibri"/>
          <w:i/>
          <w:sz w:val="22"/>
          <w:szCs w:val="22"/>
        </w:rPr>
        <w:t>руб.)</w:t>
      </w:r>
    </w:p>
    <w:tbl>
      <w:tblPr>
        <w:tblW w:w="100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1259"/>
        <w:gridCol w:w="1276"/>
        <w:gridCol w:w="1276"/>
      </w:tblGrid>
      <w:tr w:rsidR="00EB70EB" w:rsidRPr="008941A8" w14:paraId="0D0CE0D2" w14:textId="77777777" w:rsidTr="00EB70EB">
        <w:trPr>
          <w:trHeight w:val="920"/>
        </w:trPr>
        <w:tc>
          <w:tcPr>
            <w:tcW w:w="4678" w:type="dxa"/>
            <w:vAlign w:val="center"/>
          </w:tcPr>
          <w:p w14:paraId="6E54FB8C" w14:textId="77777777" w:rsidR="00EB70EB" w:rsidRPr="008941A8" w:rsidRDefault="00EB70EB" w:rsidP="00641233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14:paraId="4D4325CA" w14:textId="77777777" w:rsidR="00EB70EB" w:rsidRPr="008941A8" w:rsidRDefault="00EB70EB" w:rsidP="00641233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Утвержденные бюджетные назначения по ф. 0503127</w:t>
            </w:r>
          </w:p>
        </w:tc>
        <w:tc>
          <w:tcPr>
            <w:tcW w:w="1259" w:type="dxa"/>
            <w:vAlign w:val="center"/>
          </w:tcPr>
          <w:p w14:paraId="240DA102" w14:textId="77777777" w:rsidR="00EB70EB" w:rsidRPr="008941A8" w:rsidRDefault="00EB70EB" w:rsidP="00EB70EB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Align w:val="center"/>
          </w:tcPr>
          <w:p w14:paraId="39E68F69" w14:textId="77777777" w:rsidR="00EB70EB" w:rsidRPr="008941A8" w:rsidRDefault="00EB70EB" w:rsidP="00EB70EB">
            <w:pPr>
              <w:jc w:val="center"/>
              <w:rPr>
                <w:bCs/>
                <w:sz w:val="20"/>
                <w:szCs w:val="20"/>
              </w:rPr>
            </w:pPr>
          </w:p>
          <w:p w14:paraId="5D188623" w14:textId="77777777" w:rsidR="00EB70EB" w:rsidRPr="008941A8" w:rsidRDefault="00EB70EB" w:rsidP="00EB70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  <w:tc>
          <w:tcPr>
            <w:tcW w:w="1276" w:type="dxa"/>
            <w:vAlign w:val="center"/>
          </w:tcPr>
          <w:p w14:paraId="10DEC223" w14:textId="77777777" w:rsidR="00EB70EB" w:rsidRPr="008941A8" w:rsidRDefault="00EB70EB" w:rsidP="00EB70EB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%</w:t>
            </w:r>
          </w:p>
          <w:p w14:paraId="4CCA6EE3" w14:textId="77777777" w:rsidR="00EB70EB" w:rsidRPr="008941A8" w:rsidRDefault="00EB70EB" w:rsidP="00EB70EB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CC0D76" w:rsidRPr="00565EE2" w14:paraId="1DA27DA9" w14:textId="77777777" w:rsidTr="00740E27">
        <w:trPr>
          <w:trHeight w:val="96"/>
        </w:trPr>
        <w:tc>
          <w:tcPr>
            <w:tcW w:w="4678" w:type="dxa"/>
          </w:tcPr>
          <w:p w14:paraId="42199069" w14:textId="77777777" w:rsidR="00CC0D76" w:rsidRPr="008941A8" w:rsidRDefault="00CC0D76" w:rsidP="00641233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9C5E7DB" w14:textId="77777777" w:rsidR="00CC0D76" w:rsidRPr="008941A8" w:rsidRDefault="00CC0D76" w:rsidP="00641233">
            <w:pPr>
              <w:jc w:val="center"/>
              <w:rPr>
                <w:bCs/>
                <w:sz w:val="20"/>
                <w:szCs w:val="20"/>
              </w:rPr>
            </w:pPr>
            <w:r w:rsidRPr="008941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14:paraId="685CA2FC" w14:textId="77777777" w:rsidR="00CC0D76" w:rsidRPr="007C2275" w:rsidRDefault="00CC0D76" w:rsidP="00641233">
            <w:pPr>
              <w:jc w:val="center"/>
              <w:rPr>
                <w:bCs/>
                <w:sz w:val="20"/>
                <w:szCs w:val="20"/>
              </w:rPr>
            </w:pPr>
            <w:r w:rsidRPr="007C22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4E58300" w14:textId="77777777" w:rsidR="00CC0D76" w:rsidRPr="007C2275" w:rsidRDefault="00CC0D76" w:rsidP="00641233">
            <w:pPr>
              <w:jc w:val="center"/>
              <w:rPr>
                <w:bCs/>
                <w:sz w:val="20"/>
                <w:szCs w:val="20"/>
              </w:rPr>
            </w:pPr>
            <w:r w:rsidRPr="007C22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3DF6E98" w14:textId="77777777" w:rsidR="00CC0D76" w:rsidRPr="007C2275" w:rsidRDefault="00CC0D76" w:rsidP="00641233">
            <w:pPr>
              <w:jc w:val="center"/>
              <w:rPr>
                <w:bCs/>
                <w:sz w:val="20"/>
                <w:szCs w:val="20"/>
              </w:rPr>
            </w:pPr>
            <w:r w:rsidRPr="007C2275">
              <w:rPr>
                <w:bCs/>
                <w:sz w:val="20"/>
                <w:szCs w:val="20"/>
              </w:rPr>
              <w:t>5</w:t>
            </w:r>
          </w:p>
        </w:tc>
      </w:tr>
      <w:tr w:rsidR="00CC0D76" w:rsidRPr="00565EE2" w14:paraId="245924C2" w14:textId="77777777" w:rsidTr="00740E27">
        <w:trPr>
          <w:trHeight w:val="176"/>
        </w:trPr>
        <w:tc>
          <w:tcPr>
            <w:tcW w:w="4678" w:type="dxa"/>
            <w:shd w:val="clear" w:color="auto" w:fill="auto"/>
          </w:tcPr>
          <w:p w14:paraId="7DBB77F6" w14:textId="49767CB4" w:rsidR="00CC0D76" w:rsidRPr="008941A8" w:rsidRDefault="00CC0D76" w:rsidP="008941A8">
            <w:pPr>
              <w:jc w:val="both"/>
              <w:rPr>
                <w:b/>
                <w:bCs/>
                <w:sz w:val="20"/>
                <w:szCs w:val="20"/>
              </w:rPr>
            </w:pPr>
            <w:r w:rsidRPr="008941A8">
              <w:rPr>
                <w:b/>
                <w:bCs/>
                <w:sz w:val="20"/>
                <w:szCs w:val="20"/>
              </w:rPr>
              <w:t xml:space="preserve">Доходы </w:t>
            </w:r>
            <w:r w:rsidR="008941A8" w:rsidRPr="008941A8">
              <w:rPr>
                <w:b/>
                <w:bCs/>
                <w:sz w:val="20"/>
                <w:szCs w:val="20"/>
              </w:rPr>
              <w:t>бюджета всего</w:t>
            </w:r>
            <w:r w:rsidR="00463CA8"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F601B8" w14:textId="77777777" w:rsidR="00CC0D76" w:rsidRPr="007C2275" w:rsidRDefault="007C2275" w:rsidP="006F2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F2836">
              <w:rPr>
                <w:b/>
                <w:bCs/>
                <w:sz w:val="20"/>
                <w:szCs w:val="20"/>
              </w:rPr>
              <w:t>26559</w:t>
            </w:r>
            <w:r w:rsidR="008941A8" w:rsidRPr="007C2275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7ACB24E" w14:textId="77777777" w:rsidR="00CC0D76" w:rsidRPr="007C2275" w:rsidRDefault="007C2275" w:rsidP="007C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275">
              <w:rPr>
                <w:b/>
                <w:bCs/>
                <w:sz w:val="20"/>
                <w:szCs w:val="20"/>
              </w:rPr>
              <w:t>73653,7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13898" w14:textId="77777777" w:rsidR="00CC0D76" w:rsidRPr="007C2275" w:rsidRDefault="008F5E73" w:rsidP="007C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6F2836">
              <w:rPr>
                <w:b/>
                <w:bCs/>
                <w:sz w:val="20"/>
                <w:szCs w:val="20"/>
              </w:rPr>
              <w:t>66977,1</w:t>
            </w:r>
          </w:p>
        </w:tc>
        <w:tc>
          <w:tcPr>
            <w:tcW w:w="1276" w:type="dxa"/>
            <w:shd w:val="clear" w:color="auto" w:fill="auto"/>
          </w:tcPr>
          <w:p w14:paraId="2C250C64" w14:textId="77777777" w:rsidR="00CC0D76" w:rsidRPr="007C2275" w:rsidRDefault="007C2275" w:rsidP="006F2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F283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F283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C0D76" w:rsidRPr="00565EE2" w14:paraId="17BC55B3" w14:textId="77777777" w:rsidTr="00740E27">
        <w:trPr>
          <w:trHeight w:val="409"/>
        </w:trPr>
        <w:tc>
          <w:tcPr>
            <w:tcW w:w="4678" w:type="dxa"/>
            <w:noWrap/>
          </w:tcPr>
          <w:p w14:paraId="4A31BA25" w14:textId="77777777" w:rsidR="00CC0D76" w:rsidRPr="00463CA8" w:rsidRDefault="008941A8" w:rsidP="00641233">
            <w:pPr>
              <w:pStyle w:val="af2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63C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14:paraId="70BEF9C0" w14:textId="77777777" w:rsidR="00CC0D76" w:rsidRPr="00463CA8" w:rsidRDefault="006A3932" w:rsidP="007C22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14071,4</w:t>
            </w:r>
          </w:p>
        </w:tc>
        <w:tc>
          <w:tcPr>
            <w:tcW w:w="1259" w:type="dxa"/>
            <w:vAlign w:val="center"/>
          </w:tcPr>
          <w:p w14:paraId="6980328F" w14:textId="77777777" w:rsidR="00CC0D76" w:rsidRPr="00463CA8" w:rsidRDefault="007C2275" w:rsidP="007C22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16869,9</w:t>
            </w:r>
          </w:p>
        </w:tc>
        <w:tc>
          <w:tcPr>
            <w:tcW w:w="1276" w:type="dxa"/>
            <w:vAlign w:val="center"/>
          </w:tcPr>
          <w:p w14:paraId="762082DE" w14:textId="77777777" w:rsidR="00CC0D76" w:rsidRPr="00463CA8" w:rsidRDefault="008F5E73" w:rsidP="007C22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+</w:t>
            </w:r>
            <w:r w:rsidR="007C2275" w:rsidRPr="00463CA8">
              <w:rPr>
                <w:b/>
                <w:i/>
                <w:iCs/>
                <w:sz w:val="20"/>
                <w:szCs w:val="20"/>
              </w:rPr>
              <w:t>2798,5</w:t>
            </w:r>
          </w:p>
        </w:tc>
        <w:tc>
          <w:tcPr>
            <w:tcW w:w="1276" w:type="dxa"/>
            <w:vAlign w:val="center"/>
          </w:tcPr>
          <w:p w14:paraId="58498691" w14:textId="77777777" w:rsidR="00CC0D76" w:rsidRPr="00463CA8" w:rsidRDefault="007C2275" w:rsidP="007C22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119,9</w:t>
            </w:r>
          </w:p>
        </w:tc>
      </w:tr>
      <w:tr w:rsidR="008941A8" w:rsidRPr="00565EE2" w14:paraId="4694EEAD" w14:textId="77777777" w:rsidTr="00740E27">
        <w:trPr>
          <w:trHeight w:val="409"/>
        </w:trPr>
        <w:tc>
          <w:tcPr>
            <w:tcW w:w="4678" w:type="dxa"/>
            <w:noWrap/>
          </w:tcPr>
          <w:p w14:paraId="2F307285" w14:textId="77777777" w:rsidR="008941A8" w:rsidRPr="008941A8" w:rsidRDefault="008941A8" w:rsidP="00641233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A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 субъектов Российской Федерации</w:t>
            </w:r>
          </w:p>
        </w:tc>
        <w:tc>
          <w:tcPr>
            <w:tcW w:w="1560" w:type="dxa"/>
            <w:vAlign w:val="center"/>
          </w:tcPr>
          <w:p w14:paraId="70A61E86" w14:textId="77777777" w:rsidR="008941A8" w:rsidRPr="006A3932" w:rsidRDefault="006A3932" w:rsidP="007C2275">
            <w:pPr>
              <w:jc w:val="center"/>
              <w:rPr>
                <w:sz w:val="20"/>
                <w:szCs w:val="20"/>
              </w:rPr>
            </w:pPr>
            <w:r w:rsidRPr="006A3932">
              <w:rPr>
                <w:sz w:val="20"/>
                <w:szCs w:val="20"/>
              </w:rPr>
              <w:t>11620,0</w:t>
            </w:r>
          </w:p>
        </w:tc>
        <w:tc>
          <w:tcPr>
            <w:tcW w:w="1259" w:type="dxa"/>
            <w:vAlign w:val="center"/>
          </w:tcPr>
          <w:p w14:paraId="2FEDDC16" w14:textId="77777777" w:rsidR="008941A8" w:rsidRPr="007C2275" w:rsidRDefault="007C2275" w:rsidP="007C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13745,8</w:t>
            </w:r>
          </w:p>
        </w:tc>
        <w:tc>
          <w:tcPr>
            <w:tcW w:w="1276" w:type="dxa"/>
            <w:vAlign w:val="center"/>
          </w:tcPr>
          <w:p w14:paraId="532116ED" w14:textId="77777777" w:rsidR="008941A8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C2275">
              <w:rPr>
                <w:sz w:val="20"/>
                <w:szCs w:val="20"/>
              </w:rPr>
              <w:t>2125,8</w:t>
            </w:r>
          </w:p>
        </w:tc>
        <w:tc>
          <w:tcPr>
            <w:tcW w:w="1276" w:type="dxa"/>
            <w:vAlign w:val="center"/>
          </w:tcPr>
          <w:p w14:paraId="37796142" w14:textId="77777777" w:rsidR="008941A8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</w:tr>
      <w:tr w:rsidR="008941A8" w:rsidRPr="00565EE2" w14:paraId="488CFCAF" w14:textId="77777777" w:rsidTr="00740E27">
        <w:trPr>
          <w:trHeight w:val="409"/>
        </w:trPr>
        <w:tc>
          <w:tcPr>
            <w:tcW w:w="4678" w:type="dxa"/>
            <w:noWrap/>
          </w:tcPr>
          <w:p w14:paraId="7F23D201" w14:textId="77777777" w:rsidR="008941A8" w:rsidRPr="006A3932" w:rsidRDefault="006A3932" w:rsidP="00641233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60" w:type="dxa"/>
            <w:vAlign w:val="center"/>
          </w:tcPr>
          <w:p w14:paraId="1C3C6E9F" w14:textId="77777777" w:rsidR="008941A8" w:rsidRPr="006A3932" w:rsidRDefault="006A3932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</w:t>
            </w:r>
          </w:p>
        </w:tc>
        <w:tc>
          <w:tcPr>
            <w:tcW w:w="1259" w:type="dxa"/>
            <w:vAlign w:val="center"/>
          </w:tcPr>
          <w:p w14:paraId="556C7FC9" w14:textId="77777777" w:rsidR="008941A8" w:rsidRPr="007C2275" w:rsidRDefault="007C2275" w:rsidP="007C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1276" w:type="dxa"/>
            <w:vAlign w:val="center"/>
          </w:tcPr>
          <w:p w14:paraId="3E6F1A6F" w14:textId="77777777" w:rsidR="008941A8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C2275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14:paraId="4755FB0D" w14:textId="77777777" w:rsidR="008941A8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6A3932" w:rsidRPr="00565EE2" w14:paraId="64288C1C" w14:textId="77777777" w:rsidTr="00740E27">
        <w:trPr>
          <w:trHeight w:val="409"/>
        </w:trPr>
        <w:tc>
          <w:tcPr>
            <w:tcW w:w="4678" w:type="dxa"/>
            <w:noWrap/>
          </w:tcPr>
          <w:p w14:paraId="0D0D6211" w14:textId="77777777" w:rsidR="006A3932" w:rsidRPr="006A3932" w:rsidRDefault="006A3932" w:rsidP="006A39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A393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vAlign w:val="center"/>
          </w:tcPr>
          <w:p w14:paraId="5577F107" w14:textId="77777777" w:rsidR="006A3932" w:rsidRPr="006A3932" w:rsidRDefault="006A3932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259" w:type="dxa"/>
            <w:vAlign w:val="center"/>
          </w:tcPr>
          <w:p w14:paraId="756684FD" w14:textId="77777777" w:rsidR="006A3932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1287,6</w:t>
            </w:r>
          </w:p>
        </w:tc>
        <w:tc>
          <w:tcPr>
            <w:tcW w:w="1276" w:type="dxa"/>
            <w:vAlign w:val="center"/>
          </w:tcPr>
          <w:p w14:paraId="7908C9E1" w14:textId="77777777" w:rsidR="006A3932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C2275">
              <w:rPr>
                <w:sz w:val="20"/>
                <w:szCs w:val="20"/>
              </w:rPr>
              <w:t>607,6</w:t>
            </w:r>
          </w:p>
        </w:tc>
        <w:tc>
          <w:tcPr>
            <w:tcW w:w="1276" w:type="dxa"/>
            <w:vAlign w:val="center"/>
          </w:tcPr>
          <w:p w14:paraId="6135B333" w14:textId="77777777" w:rsidR="006A3932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</w:tc>
      </w:tr>
      <w:tr w:rsidR="006A3932" w:rsidRPr="00565EE2" w14:paraId="04004286" w14:textId="77777777" w:rsidTr="00740E27">
        <w:trPr>
          <w:trHeight w:val="409"/>
        </w:trPr>
        <w:tc>
          <w:tcPr>
            <w:tcW w:w="4678" w:type="dxa"/>
            <w:noWrap/>
          </w:tcPr>
          <w:p w14:paraId="0293ED2F" w14:textId="77777777" w:rsidR="006A3932" w:rsidRPr="006A3932" w:rsidRDefault="006A3932" w:rsidP="00641233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1560" w:type="dxa"/>
            <w:vAlign w:val="center"/>
          </w:tcPr>
          <w:p w14:paraId="7FFEE3D6" w14:textId="77777777" w:rsidR="006A3932" w:rsidRPr="006A3932" w:rsidRDefault="006A3932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1655,2</w:t>
            </w:r>
          </w:p>
        </w:tc>
        <w:tc>
          <w:tcPr>
            <w:tcW w:w="1259" w:type="dxa"/>
            <w:vAlign w:val="center"/>
          </w:tcPr>
          <w:p w14:paraId="707778AF" w14:textId="77777777" w:rsidR="006A3932" w:rsidRPr="007C2275" w:rsidRDefault="007C2275" w:rsidP="007C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1655,3</w:t>
            </w:r>
          </w:p>
        </w:tc>
        <w:tc>
          <w:tcPr>
            <w:tcW w:w="1276" w:type="dxa"/>
            <w:vAlign w:val="center"/>
          </w:tcPr>
          <w:p w14:paraId="325DD0BB" w14:textId="77777777" w:rsidR="006A3932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C2275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14:paraId="541D52D9" w14:textId="77777777" w:rsidR="006A3932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A3932" w:rsidRPr="00565EE2" w14:paraId="4135B668" w14:textId="77777777" w:rsidTr="00740E27">
        <w:trPr>
          <w:trHeight w:val="409"/>
        </w:trPr>
        <w:tc>
          <w:tcPr>
            <w:tcW w:w="4678" w:type="dxa"/>
            <w:noWrap/>
          </w:tcPr>
          <w:p w14:paraId="1904D38B" w14:textId="77777777" w:rsidR="006A3932" w:rsidRPr="00463CA8" w:rsidRDefault="006A3932" w:rsidP="006A3932">
            <w:pPr>
              <w:pStyle w:val="af2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63C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14:paraId="69342C33" w14:textId="77777777" w:rsidR="006A3932" w:rsidRPr="00463CA8" w:rsidRDefault="006F2836" w:rsidP="006F283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112488,0</w:t>
            </w:r>
          </w:p>
        </w:tc>
        <w:tc>
          <w:tcPr>
            <w:tcW w:w="1259" w:type="dxa"/>
            <w:vAlign w:val="center"/>
          </w:tcPr>
          <w:p w14:paraId="11907CEB" w14:textId="77777777" w:rsidR="006A3932" w:rsidRPr="00463CA8" w:rsidRDefault="007C2275" w:rsidP="007C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CA8">
              <w:rPr>
                <w:b/>
                <w:bCs/>
                <w:i/>
                <w:iCs/>
                <w:sz w:val="20"/>
                <w:szCs w:val="20"/>
              </w:rPr>
              <w:t>56783,8</w:t>
            </w:r>
          </w:p>
        </w:tc>
        <w:tc>
          <w:tcPr>
            <w:tcW w:w="1276" w:type="dxa"/>
            <w:vAlign w:val="center"/>
          </w:tcPr>
          <w:p w14:paraId="6F14F56C" w14:textId="77777777" w:rsidR="006A3932" w:rsidRPr="00463CA8" w:rsidRDefault="008F5E73" w:rsidP="007C22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-55704,2</w:t>
            </w:r>
          </w:p>
        </w:tc>
        <w:tc>
          <w:tcPr>
            <w:tcW w:w="1276" w:type="dxa"/>
            <w:vAlign w:val="center"/>
          </w:tcPr>
          <w:p w14:paraId="121816F7" w14:textId="77777777" w:rsidR="006A3932" w:rsidRPr="00463CA8" w:rsidRDefault="008F5E73" w:rsidP="008F5E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3CA8">
              <w:rPr>
                <w:b/>
                <w:i/>
                <w:iCs/>
                <w:sz w:val="20"/>
                <w:szCs w:val="20"/>
              </w:rPr>
              <w:t>50,5</w:t>
            </w:r>
          </w:p>
        </w:tc>
      </w:tr>
      <w:tr w:rsidR="007C2275" w:rsidRPr="00565EE2" w14:paraId="3F21CCE5" w14:textId="77777777" w:rsidTr="00740E27">
        <w:trPr>
          <w:trHeight w:val="409"/>
        </w:trPr>
        <w:tc>
          <w:tcPr>
            <w:tcW w:w="4678" w:type="dxa"/>
            <w:noWrap/>
          </w:tcPr>
          <w:p w14:paraId="44A381DB" w14:textId="77777777" w:rsidR="007C2275" w:rsidRPr="007C2275" w:rsidRDefault="007C2275" w:rsidP="006A3932">
            <w:pPr>
              <w:pStyle w:val="af2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мероприятия по развитию рынка газомоторного топлива</w:t>
            </w:r>
          </w:p>
        </w:tc>
        <w:tc>
          <w:tcPr>
            <w:tcW w:w="1560" w:type="dxa"/>
            <w:vAlign w:val="center"/>
          </w:tcPr>
          <w:p w14:paraId="4FB992BD" w14:textId="77777777" w:rsidR="007C2275" w:rsidRDefault="006F2836" w:rsidP="006F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112488,0</w:t>
            </w:r>
          </w:p>
        </w:tc>
        <w:tc>
          <w:tcPr>
            <w:tcW w:w="1259" w:type="dxa"/>
            <w:vAlign w:val="center"/>
          </w:tcPr>
          <w:p w14:paraId="1D3F30E2" w14:textId="77777777" w:rsidR="007C2275" w:rsidRPr="007C2275" w:rsidRDefault="007C2275" w:rsidP="007C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43103,9</w:t>
            </w:r>
          </w:p>
        </w:tc>
        <w:tc>
          <w:tcPr>
            <w:tcW w:w="1276" w:type="dxa"/>
            <w:vAlign w:val="center"/>
          </w:tcPr>
          <w:p w14:paraId="1C4307E0" w14:textId="77777777" w:rsidR="007C2275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-69384,1</w:t>
            </w:r>
          </w:p>
        </w:tc>
        <w:tc>
          <w:tcPr>
            <w:tcW w:w="1276" w:type="dxa"/>
            <w:vAlign w:val="center"/>
          </w:tcPr>
          <w:p w14:paraId="5291D193" w14:textId="77777777" w:rsidR="007C2275" w:rsidRPr="007C2275" w:rsidRDefault="008F5E73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7C2275" w:rsidRPr="00463CA8" w14:paraId="34730985" w14:textId="77777777" w:rsidTr="00740E27">
        <w:trPr>
          <w:trHeight w:val="409"/>
        </w:trPr>
        <w:tc>
          <w:tcPr>
            <w:tcW w:w="4678" w:type="dxa"/>
            <w:noWrap/>
          </w:tcPr>
          <w:p w14:paraId="0EBE3487" w14:textId="77777777" w:rsidR="007C2275" w:rsidRPr="007C2275" w:rsidRDefault="007C2275" w:rsidP="006A3932">
            <w:pPr>
              <w:pStyle w:val="af2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560" w:type="dxa"/>
            <w:vAlign w:val="center"/>
          </w:tcPr>
          <w:p w14:paraId="31F1CF86" w14:textId="77777777" w:rsid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14:paraId="24B30F2A" w14:textId="77777777" w:rsidR="007C2275" w:rsidRPr="007C2275" w:rsidRDefault="007C2275" w:rsidP="007C22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13680,0</w:t>
            </w:r>
          </w:p>
        </w:tc>
        <w:tc>
          <w:tcPr>
            <w:tcW w:w="1276" w:type="dxa"/>
            <w:vAlign w:val="center"/>
          </w:tcPr>
          <w:p w14:paraId="04597CAD" w14:textId="77777777" w:rsidR="007C2275" w:rsidRPr="007C2275" w:rsidRDefault="00CF4B7C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10B816" w14:textId="77777777" w:rsidR="007C2275" w:rsidRPr="007C2275" w:rsidRDefault="007C2275" w:rsidP="007C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5A80EE" w14:textId="77777777" w:rsidR="00A33D8E" w:rsidRPr="009722CC" w:rsidRDefault="00311ADF" w:rsidP="00A33D8E">
      <w:pPr>
        <w:ind w:firstLine="709"/>
        <w:jc w:val="both"/>
        <w:rPr>
          <w:u w:val="single"/>
        </w:rPr>
      </w:pPr>
      <w:r>
        <w:t xml:space="preserve">Исполнение </w:t>
      </w:r>
      <w:r w:rsidR="00A33D8E">
        <w:t xml:space="preserve">Комитета </w:t>
      </w:r>
      <w:r>
        <w:t xml:space="preserve">по доходам </w:t>
      </w:r>
      <w:r w:rsidR="00771D28">
        <w:t>составило</w:t>
      </w:r>
      <w:r w:rsidR="00C27922">
        <w:t xml:space="preserve"> </w:t>
      </w:r>
      <w:r w:rsidR="00A33D8E" w:rsidRPr="009722CC">
        <w:rPr>
          <w:u w:val="single"/>
        </w:rPr>
        <w:t>73653,7 тыс.</w:t>
      </w:r>
      <w:r w:rsidR="008A4253" w:rsidRPr="009722CC">
        <w:rPr>
          <w:u w:val="single"/>
        </w:rPr>
        <w:t xml:space="preserve"> </w:t>
      </w:r>
      <w:r w:rsidR="00A33D8E" w:rsidRPr="009722CC">
        <w:rPr>
          <w:u w:val="single"/>
        </w:rPr>
        <w:t>руб.,</w:t>
      </w:r>
      <w:r w:rsidR="00771D28" w:rsidRPr="009722CC">
        <w:rPr>
          <w:u w:val="single"/>
        </w:rPr>
        <w:t xml:space="preserve"> или </w:t>
      </w:r>
      <w:r w:rsidRPr="009722CC">
        <w:rPr>
          <w:u w:val="single"/>
        </w:rPr>
        <w:t>58,2%</w:t>
      </w:r>
      <w:r w:rsidR="00771D28" w:rsidRPr="009722CC">
        <w:rPr>
          <w:u w:val="single"/>
        </w:rPr>
        <w:t xml:space="preserve"> к утвержденным бюджетным назначениям,</w:t>
      </w:r>
      <w:r w:rsidR="00C27922" w:rsidRPr="009722CC">
        <w:rPr>
          <w:u w:val="single"/>
        </w:rPr>
        <w:t xml:space="preserve"> и </w:t>
      </w:r>
      <w:r w:rsidR="00A33D8E" w:rsidRPr="009722CC">
        <w:rPr>
          <w:u w:val="single"/>
        </w:rPr>
        <w:t>обусловлено в основном</w:t>
      </w:r>
      <w:r w:rsidRPr="009722CC">
        <w:rPr>
          <w:u w:val="single"/>
        </w:rPr>
        <w:t xml:space="preserve"> следующими причинами</w:t>
      </w:r>
      <w:r w:rsidR="00A33D8E" w:rsidRPr="009722CC">
        <w:rPr>
          <w:u w:val="single"/>
        </w:rPr>
        <w:t>:</w:t>
      </w:r>
    </w:p>
    <w:p w14:paraId="5610E248" w14:textId="6DE52902" w:rsidR="00892EBF" w:rsidRDefault="00A33D8E" w:rsidP="00A33D8E">
      <w:pPr>
        <w:ind w:firstLine="709"/>
        <w:jc w:val="both"/>
      </w:pPr>
      <w:r>
        <w:t>-</w:t>
      </w:r>
      <w:r w:rsidR="00C22D61">
        <w:t xml:space="preserve">уменьшением </w:t>
      </w:r>
      <w:r w:rsidR="00771D28">
        <w:t xml:space="preserve">объема </w:t>
      </w:r>
      <w:r w:rsidR="00892EBF">
        <w:t>субсиди</w:t>
      </w:r>
      <w:r w:rsidR="00771D28">
        <w:t>й</w:t>
      </w:r>
      <w:r w:rsidR="00C22D61">
        <w:t xml:space="preserve"> </w:t>
      </w:r>
      <w:r w:rsidR="00892EBF">
        <w:t>из федерального бюджета на мероприятия по развитию рынка газомоторного топлива</w:t>
      </w:r>
      <w:r w:rsidR="00EB0B16">
        <w:t>, предусмотренных соглашениями</w:t>
      </w:r>
      <w:r w:rsidR="00892EBF">
        <w:t xml:space="preserve"> </w:t>
      </w:r>
      <w:r w:rsidR="00EB0B16" w:rsidRPr="006250F6">
        <w:rPr>
          <w:rFonts w:eastAsia="Calibri"/>
        </w:rPr>
        <w:t>между Министерством энергетики Российской Федерации и Администрацией Волгоградской области</w:t>
      </w:r>
      <w:r w:rsidR="00EB0B16">
        <w:rPr>
          <w:rFonts w:eastAsia="Calibri"/>
        </w:rPr>
        <w:t xml:space="preserve"> (112488 тыс. руб.)</w:t>
      </w:r>
      <w:r w:rsidR="00EB0B16" w:rsidRPr="006250F6">
        <w:rPr>
          <w:rFonts w:eastAsia="Calibri"/>
        </w:rPr>
        <w:t xml:space="preserve">, </w:t>
      </w:r>
      <w:r w:rsidR="00C22D61">
        <w:t>на 69384,1</w:t>
      </w:r>
      <w:r w:rsidR="00892EBF">
        <w:t xml:space="preserve"> тыс. руб.</w:t>
      </w:r>
      <w:r w:rsidR="00F27D3D">
        <w:t xml:space="preserve"> в связи с </w:t>
      </w:r>
      <w:r w:rsidR="00EB70EB">
        <w:t xml:space="preserve">отказом предоставления субсидий </w:t>
      </w:r>
      <w:r w:rsidR="00532F84">
        <w:t xml:space="preserve">2 организациям </w:t>
      </w:r>
      <w:r w:rsidR="00EB70EB">
        <w:t xml:space="preserve">по причине </w:t>
      </w:r>
      <w:r w:rsidR="00532F84">
        <w:t>несоответствия документов требованиям Правил предоставления и распределения субсидий из федерального бюджета</w:t>
      </w:r>
      <w:r w:rsidR="00EB0B16">
        <w:t>;</w:t>
      </w:r>
    </w:p>
    <w:p w14:paraId="60C5CA5B" w14:textId="5E26CC9E" w:rsidR="00A33D8E" w:rsidRDefault="00892EBF" w:rsidP="00A33D8E">
      <w:pPr>
        <w:ind w:firstLine="709"/>
        <w:jc w:val="both"/>
      </w:pPr>
      <w:r>
        <w:t>-</w:t>
      </w:r>
      <w:r w:rsidR="00A33D8E">
        <w:t xml:space="preserve">увеличением </w:t>
      </w:r>
      <w:r w:rsidR="00C22D61">
        <w:t xml:space="preserve">суммы госпошлины на 2125,8 тыс. руб. в связи с увеличением </w:t>
      </w:r>
      <w:r w:rsidR="00A33D8E">
        <w:t>количества поданных заявлений на получение лицензии;</w:t>
      </w:r>
    </w:p>
    <w:p w14:paraId="1EF0FBF9" w14:textId="1184B573" w:rsidR="00A33D8E" w:rsidRDefault="00A33D8E" w:rsidP="00A33D8E">
      <w:pPr>
        <w:ind w:firstLine="709"/>
        <w:jc w:val="both"/>
      </w:pPr>
      <w:r>
        <w:t>-увеличение</w:t>
      </w:r>
      <w:r w:rsidR="00771D28">
        <w:t>м</w:t>
      </w:r>
      <w:r w:rsidR="00C22D61">
        <w:t xml:space="preserve"> суммы</w:t>
      </w:r>
      <w:r>
        <w:t xml:space="preserve"> штрафов </w:t>
      </w:r>
      <w:r w:rsidR="00C22D61">
        <w:t>на 607,7 тыс. руб. в связи с увеличением числа добровольных погашений</w:t>
      </w:r>
      <w:r>
        <w:t>;</w:t>
      </w:r>
    </w:p>
    <w:p w14:paraId="1DFF3D0D" w14:textId="56033510" w:rsidR="00B522FE" w:rsidRDefault="00A33D8E" w:rsidP="00A33D8E">
      <w:pPr>
        <w:ind w:firstLine="709"/>
        <w:jc w:val="both"/>
      </w:pPr>
      <w:r>
        <w:t xml:space="preserve">-возвратом </w:t>
      </w:r>
      <w:r w:rsidR="00C63889">
        <w:t xml:space="preserve">неиспользованной </w:t>
      </w:r>
      <w:r w:rsidR="000D3840">
        <w:t xml:space="preserve">в 2019 году </w:t>
      </w:r>
      <w:r>
        <w:t xml:space="preserve">субсидии Фондом «Перспективное развитие Волгоградской области» </w:t>
      </w:r>
      <w:r w:rsidR="00C22D61">
        <w:t xml:space="preserve">в сумме </w:t>
      </w:r>
      <w:r>
        <w:t>13680,0 тыс.</w:t>
      </w:r>
      <w:r w:rsidR="008A4253">
        <w:t xml:space="preserve"> </w:t>
      </w:r>
      <w:r>
        <w:t>рублей.</w:t>
      </w:r>
      <w:bookmarkEnd w:id="0"/>
    </w:p>
    <w:p w14:paraId="1E40D4C5" w14:textId="77777777" w:rsidR="00A33D8E" w:rsidRPr="00116942" w:rsidRDefault="00A33D8E" w:rsidP="00116942">
      <w:pPr>
        <w:ind w:firstLine="709"/>
        <w:jc w:val="both"/>
      </w:pPr>
    </w:p>
    <w:p w14:paraId="382F3DA4" w14:textId="77777777" w:rsidR="00876FB6" w:rsidRPr="007B180E" w:rsidRDefault="007D20E5" w:rsidP="007D20E5">
      <w:pPr>
        <w:jc w:val="center"/>
        <w:rPr>
          <w:b/>
          <w:bCs/>
        </w:rPr>
      </w:pPr>
      <w:r w:rsidRPr="007B180E">
        <w:rPr>
          <w:b/>
          <w:bCs/>
        </w:rPr>
        <w:t>Исполнение расходов</w:t>
      </w:r>
    </w:p>
    <w:p w14:paraId="075C9FA3" w14:textId="4BC9616C" w:rsidR="00490471" w:rsidRDefault="00626F6A" w:rsidP="003C201B">
      <w:pPr>
        <w:ind w:firstLine="680"/>
        <w:jc w:val="both"/>
      </w:pPr>
      <w:r>
        <w:t>Ра</w:t>
      </w:r>
      <w:r w:rsidR="003C201B" w:rsidRPr="00F124F5">
        <w:t xml:space="preserve">сходы на реализацию мероприятий </w:t>
      </w:r>
      <w:r w:rsidR="00013372">
        <w:t>г</w:t>
      </w:r>
      <w:r w:rsidR="00F27D3D">
        <w:t>осударственной программы</w:t>
      </w:r>
      <w:r w:rsidR="003C201B" w:rsidRPr="00F124F5">
        <w:t xml:space="preserve"> </w:t>
      </w:r>
      <w:r w:rsidR="00013372">
        <w:t xml:space="preserve">Волгоградской области </w:t>
      </w:r>
      <w:r w:rsidR="003C201B" w:rsidRPr="00F124F5">
        <w:t xml:space="preserve">«Энергосбережение и повышение энергетической эффективности в Волгоградской области» согласно ведомственной структуре расходов областного бюджета на 2020 год и на плановый </w:t>
      </w:r>
      <w:r w:rsidR="003C201B" w:rsidRPr="00F124F5">
        <w:lastRenderedPageBreak/>
        <w:t>период 2021 и 2022 годов (приложение 11) закреплены за комитетом жилищно-коммунального хозяйства и топливно-энергетического комплекса Волгоградской области.</w:t>
      </w:r>
      <w:r w:rsidR="002705F4">
        <w:t xml:space="preserve"> </w:t>
      </w:r>
    </w:p>
    <w:p w14:paraId="0764E8A4" w14:textId="1BD99377" w:rsidR="003C201B" w:rsidRPr="00F124F5" w:rsidRDefault="002705F4" w:rsidP="003C201B">
      <w:pPr>
        <w:ind w:firstLine="680"/>
        <w:jc w:val="both"/>
      </w:pPr>
      <w:r>
        <w:t xml:space="preserve">При этом главным распорядителем бюджетных средств </w:t>
      </w:r>
      <w:r w:rsidR="00626F6A">
        <w:t xml:space="preserve">по отдельным мероприятиям </w:t>
      </w:r>
      <w:r w:rsidR="00013372">
        <w:t xml:space="preserve">указанной </w:t>
      </w:r>
      <w:r w:rsidRPr="00F124F5">
        <w:t xml:space="preserve">госпрограммы </w:t>
      </w:r>
      <w:r>
        <w:t xml:space="preserve">в 2020 году </w:t>
      </w:r>
      <w:r w:rsidR="00D5534C">
        <w:t>фактически</w:t>
      </w:r>
      <w:r>
        <w:t xml:space="preserve"> являлся </w:t>
      </w:r>
      <w:r w:rsidR="007F4E57">
        <w:t>Комитет</w:t>
      </w:r>
      <w:r w:rsidR="00814A30">
        <w:t xml:space="preserve">, который, </w:t>
      </w:r>
      <w:r w:rsidR="0055784C">
        <w:t>как ранее было отмечено</w:t>
      </w:r>
      <w:r w:rsidR="00814A30">
        <w:t xml:space="preserve">, в Законе об областном бюджете на 2020 год </w:t>
      </w:r>
      <w:r w:rsidR="004F64F6">
        <w:t xml:space="preserve">так и не был до завершения года </w:t>
      </w:r>
      <w:r w:rsidR="00814A30">
        <w:t>указан в качестве главного распорядителя бюджетных средств</w:t>
      </w:r>
      <w:r>
        <w:t>.</w:t>
      </w:r>
    </w:p>
    <w:p w14:paraId="645B4CA1" w14:textId="70D3789F" w:rsidR="00B13874" w:rsidRPr="00463CA8" w:rsidRDefault="003C201B" w:rsidP="007D20E5">
      <w:pPr>
        <w:ind w:firstLine="709"/>
        <w:jc w:val="both"/>
      </w:pPr>
      <w:r>
        <w:t xml:space="preserve">Согласно </w:t>
      </w:r>
      <w:r w:rsidR="00B13874">
        <w:t xml:space="preserve">отчету об исполнении бюджета (ф.0503127) утвержденные бюджетные назначения составили </w:t>
      </w:r>
      <w:r w:rsidR="00B13874" w:rsidRPr="00BA1230">
        <w:rPr>
          <w:u w:val="single"/>
        </w:rPr>
        <w:t>657733,6 тыс. руб</w:t>
      </w:r>
      <w:r w:rsidRPr="00BA1230">
        <w:rPr>
          <w:u w:val="single"/>
        </w:rPr>
        <w:t>лей</w:t>
      </w:r>
      <w:r>
        <w:t>. О</w:t>
      </w:r>
      <w:r w:rsidR="00B13874">
        <w:t>тклонение</w:t>
      </w:r>
      <w:r>
        <w:t xml:space="preserve"> отдельных бюджетных назначений от ассигнований </w:t>
      </w:r>
      <w:r w:rsidR="0055784C">
        <w:t>согласно</w:t>
      </w:r>
      <w:r>
        <w:t xml:space="preserve"> Закону о</w:t>
      </w:r>
      <w:r w:rsidR="00BA1230">
        <w:t>б областном</w:t>
      </w:r>
      <w:r>
        <w:t xml:space="preserve"> бюджете </w:t>
      </w:r>
      <w:r w:rsidR="00013372">
        <w:t xml:space="preserve">на 2020 год </w:t>
      </w:r>
      <w:r w:rsidR="00BA1230" w:rsidRPr="00463CA8">
        <w:t xml:space="preserve">(в целом отклонение невозможно определить, так как Комитет отсутствовал в Законе об областном бюджете на 2020 год как главный распорядитель бюджетных средств) </w:t>
      </w:r>
      <w:r w:rsidR="00B13874" w:rsidRPr="00463CA8">
        <w:t xml:space="preserve">в основном </w:t>
      </w:r>
      <w:r w:rsidR="00DF6D33" w:rsidRPr="00463CA8">
        <w:t xml:space="preserve">сложилось </w:t>
      </w:r>
      <w:r w:rsidR="000D3840" w:rsidRPr="00463CA8">
        <w:t>по следующим причинам</w:t>
      </w:r>
      <w:r w:rsidR="00B13874" w:rsidRPr="00463CA8">
        <w:t>:</w:t>
      </w:r>
    </w:p>
    <w:p w14:paraId="1D97A371" w14:textId="607EECA0" w:rsidR="00DF6D33" w:rsidRDefault="00DF6D33" w:rsidP="007D20E5">
      <w:pPr>
        <w:ind w:firstLine="709"/>
        <w:jc w:val="both"/>
      </w:pPr>
      <w:r w:rsidRPr="00463CA8">
        <w:t>-</w:t>
      </w:r>
      <w:r w:rsidR="00013372" w:rsidRPr="00463CA8">
        <w:t xml:space="preserve">уменьшение суммы </w:t>
      </w:r>
      <w:r w:rsidR="0055784C" w:rsidRPr="00463CA8">
        <w:t>субсидий из федерального бюджета на мероприятия по развитию рынка газомоторного топлива в связи с</w:t>
      </w:r>
      <w:r w:rsidR="000D3840" w:rsidRPr="00463CA8">
        <w:t xml:space="preserve"> </w:t>
      </w:r>
      <w:r w:rsidR="00BA1230" w:rsidRPr="00463CA8">
        <w:t>заключением дополнительных соглашений</w:t>
      </w:r>
      <w:r w:rsidR="00A452FB" w:rsidRPr="00463CA8">
        <w:t xml:space="preserve"> от 07.12.2020</w:t>
      </w:r>
      <w:r w:rsidR="007F4E57" w:rsidRPr="00463CA8">
        <w:t xml:space="preserve"> </w:t>
      </w:r>
      <w:r w:rsidR="002C0C41" w:rsidRPr="00463CA8">
        <w:t>–</w:t>
      </w:r>
      <w:r w:rsidR="00523F26" w:rsidRPr="00463CA8">
        <w:t xml:space="preserve"> </w:t>
      </w:r>
      <w:r w:rsidR="0055784C" w:rsidRPr="00463CA8">
        <w:rPr>
          <w:u w:val="single"/>
        </w:rPr>
        <w:t xml:space="preserve">на </w:t>
      </w:r>
      <w:r w:rsidR="002C0C41" w:rsidRPr="00463CA8">
        <w:rPr>
          <w:u w:val="single"/>
        </w:rPr>
        <w:t>106165,0</w:t>
      </w:r>
      <w:r w:rsidR="00523F26" w:rsidRPr="00463CA8">
        <w:rPr>
          <w:u w:val="single"/>
        </w:rPr>
        <w:t xml:space="preserve"> тыс. руб.;</w:t>
      </w:r>
    </w:p>
    <w:p w14:paraId="5D65EF8E" w14:textId="2C7B64A3" w:rsidR="00523F26" w:rsidRDefault="00523F26" w:rsidP="007D20E5">
      <w:pPr>
        <w:ind w:firstLine="709"/>
        <w:jc w:val="both"/>
      </w:pPr>
      <w:r>
        <w:t>-уменьшение суммы субсидии Фонду «Перспективное развитие Волгоградской области»</w:t>
      </w:r>
      <w:r w:rsidR="002C0C41">
        <w:t xml:space="preserve"> – </w:t>
      </w:r>
      <w:r w:rsidR="00550038" w:rsidRPr="00550038">
        <w:rPr>
          <w:u w:val="single"/>
        </w:rPr>
        <w:t xml:space="preserve">на </w:t>
      </w:r>
      <w:r w:rsidR="002C0C41" w:rsidRPr="00550038">
        <w:rPr>
          <w:u w:val="single"/>
        </w:rPr>
        <w:t>86745</w:t>
      </w:r>
      <w:r w:rsidR="00DA1A91" w:rsidRPr="00550038">
        <w:rPr>
          <w:u w:val="single"/>
        </w:rPr>
        <w:t>,0</w:t>
      </w:r>
      <w:r w:rsidR="002C0C41" w:rsidRPr="00550038">
        <w:rPr>
          <w:u w:val="single"/>
        </w:rPr>
        <w:t xml:space="preserve"> тыс. руб.</w:t>
      </w:r>
      <w:r w:rsidR="004308D8" w:rsidRPr="00550038">
        <w:rPr>
          <w:u w:val="single"/>
        </w:rPr>
        <w:t>;</w:t>
      </w:r>
    </w:p>
    <w:p w14:paraId="2AA3FBB2" w14:textId="1CB65EB3" w:rsidR="00B13874" w:rsidRDefault="00B13874" w:rsidP="007D20E5">
      <w:pPr>
        <w:ind w:firstLine="709"/>
        <w:jc w:val="both"/>
      </w:pPr>
      <w:r>
        <w:t xml:space="preserve">-отсутствие </w:t>
      </w:r>
      <w:r w:rsidR="00550038">
        <w:t>в Законе об областном бюджете на 2020 год расходов</w:t>
      </w:r>
      <w:r>
        <w:t xml:space="preserve"> на обеспечение деятельности ГКУ</w:t>
      </w:r>
      <w:hyperlink r:id="rId10" w:history="1">
        <w:r w:rsidRPr="00133C29">
          <w:rPr>
            <w:rStyle w:val="af3"/>
            <w:bCs/>
            <w:color w:val="auto"/>
            <w:u w:val="none"/>
          </w:rPr>
          <w:t xml:space="preserve"> «Центр развития промышленности и торговли»</w:t>
        </w:r>
      </w:hyperlink>
      <w:r>
        <w:t xml:space="preserve"> - </w:t>
      </w:r>
      <w:r w:rsidR="00550038" w:rsidRPr="00550038">
        <w:rPr>
          <w:u w:val="single"/>
        </w:rPr>
        <w:t xml:space="preserve">на </w:t>
      </w:r>
      <w:r w:rsidRPr="00550038">
        <w:rPr>
          <w:u w:val="single"/>
        </w:rPr>
        <w:t>8559,9 тыс.</w:t>
      </w:r>
      <w:r w:rsidR="007F60A0" w:rsidRPr="00550038">
        <w:rPr>
          <w:u w:val="single"/>
        </w:rPr>
        <w:t xml:space="preserve"> </w:t>
      </w:r>
      <w:r w:rsidRPr="00550038">
        <w:rPr>
          <w:u w:val="single"/>
        </w:rPr>
        <w:t>руб.;</w:t>
      </w:r>
      <w:r>
        <w:t xml:space="preserve"> </w:t>
      </w:r>
    </w:p>
    <w:p w14:paraId="6FFB9EB9" w14:textId="330CCD9B" w:rsidR="00DB4BBC" w:rsidRDefault="00E84145" w:rsidP="00876FB6">
      <w:pPr>
        <w:ind w:firstLine="709"/>
        <w:jc w:val="both"/>
      </w:pPr>
      <w:r>
        <w:t>-</w:t>
      </w:r>
      <w:r w:rsidR="00B13874">
        <w:t xml:space="preserve">выделение Комитету </w:t>
      </w:r>
      <w:r w:rsidR="00550038">
        <w:t>средств</w:t>
      </w:r>
      <w:r w:rsidR="00B13874">
        <w:t xml:space="preserve"> из Резервного фонда Администрации Волгоградской области</w:t>
      </w:r>
      <w:r>
        <w:t xml:space="preserve"> в соответствии с постановлением Администрации Волгоградской области от 12.08.2020 № 477-п в сумме </w:t>
      </w:r>
      <w:r w:rsidR="00B13874" w:rsidRPr="00550038">
        <w:rPr>
          <w:u w:val="single"/>
        </w:rPr>
        <w:t>30840,0 тыс.</w:t>
      </w:r>
      <w:r w:rsidR="007F60A0" w:rsidRPr="00550038">
        <w:rPr>
          <w:u w:val="single"/>
        </w:rPr>
        <w:t xml:space="preserve"> </w:t>
      </w:r>
      <w:r w:rsidR="00B13874" w:rsidRPr="00550038">
        <w:rPr>
          <w:u w:val="single"/>
        </w:rPr>
        <w:t>руб</w:t>
      </w:r>
      <w:r w:rsidR="00DB4BBC" w:rsidRPr="00550038">
        <w:rPr>
          <w:u w:val="single"/>
        </w:rPr>
        <w:t>лей</w:t>
      </w:r>
      <w:r w:rsidR="00B13874">
        <w:t>.</w:t>
      </w:r>
    </w:p>
    <w:p w14:paraId="23050EDA" w14:textId="1BE14FFD" w:rsidR="00892EBF" w:rsidRPr="00F14747" w:rsidRDefault="00550038" w:rsidP="007D20E5">
      <w:pPr>
        <w:ind w:firstLine="709"/>
        <w:jc w:val="both"/>
      </w:pPr>
      <w:r>
        <w:t>И</w:t>
      </w:r>
      <w:r w:rsidR="00DB4BBC">
        <w:t>сполнени</w:t>
      </w:r>
      <w:r>
        <w:t>е</w:t>
      </w:r>
      <w:r w:rsidR="00DB4BBC">
        <w:t xml:space="preserve"> расходов Комитета в 2020 году приведен</w:t>
      </w:r>
      <w:r w:rsidR="00BA1230">
        <w:t>о</w:t>
      </w:r>
      <w:r w:rsidR="00DB4BBC">
        <w:t xml:space="preserve"> в таблице 3, а более подробн</w:t>
      </w:r>
      <w:r>
        <w:t>ое исполнение в разрезе мероприятий -</w:t>
      </w:r>
      <w:r w:rsidR="00DB4BBC">
        <w:t xml:space="preserve"> в </w:t>
      </w:r>
      <w:r w:rsidR="00C37EE6">
        <w:t xml:space="preserve">Приложении </w:t>
      </w:r>
      <w:r w:rsidR="00532F84">
        <w:t xml:space="preserve">1 </w:t>
      </w:r>
      <w:r w:rsidR="00C37EE6">
        <w:t>к настоящему заключению</w:t>
      </w:r>
      <w:r w:rsidR="00DB4BBC" w:rsidRPr="002C2777">
        <w:t>.</w:t>
      </w:r>
      <w:r w:rsidR="00B13874" w:rsidRPr="00DB4BBC">
        <w:rPr>
          <w:color w:val="0070C0"/>
        </w:rPr>
        <w:t xml:space="preserve"> </w:t>
      </w:r>
    </w:p>
    <w:p w14:paraId="14178D8D" w14:textId="77777777" w:rsidR="00274AEB" w:rsidRPr="00516438" w:rsidRDefault="007D20E5" w:rsidP="007D20E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16438">
        <w:rPr>
          <w:i/>
          <w:sz w:val="22"/>
          <w:szCs w:val="22"/>
        </w:rPr>
        <w:t xml:space="preserve">Таблица </w:t>
      </w:r>
      <w:r w:rsidR="00F9703A">
        <w:rPr>
          <w:i/>
          <w:sz w:val="22"/>
          <w:szCs w:val="22"/>
        </w:rPr>
        <w:t>3</w:t>
      </w:r>
      <w:r w:rsidRPr="00516438">
        <w:rPr>
          <w:i/>
          <w:sz w:val="22"/>
          <w:szCs w:val="22"/>
        </w:rPr>
        <w:t xml:space="preserve"> (тыс. руб.)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992"/>
        <w:gridCol w:w="993"/>
        <w:gridCol w:w="850"/>
        <w:gridCol w:w="992"/>
        <w:gridCol w:w="709"/>
      </w:tblGrid>
      <w:tr w:rsidR="00543A1D" w:rsidRPr="00516438" w14:paraId="7D2E6052" w14:textId="77777777" w:rsidTr="00F91565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69E1138" w14:textId="62389CEB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 xml:space="preserve">Наименование </w:t>
            </w:r>
            <w:r w:rsidR="005A0A9E">
              <w:rPr>
                <w:b/>
                <w:bCs/>
                <w:i/>
                <w:iCs/>
                <w:sz w:val="18"/>
                <w:szCs w:val="18"/>
              </w:rPr>
              <w:t xml:space="preserve">разделов, </w:t>
            </w:r>
            <w:r w:rsidRPr="006250F6">
              <w:rPr>
                <w:b/>
                <w:bCs/>
                <w:i/>
                <w:iCs/>
                <w:sz w:val="18"/>
                <w:szCs w:val="18"/>
              </w:rPr>
              <w:t>подраздел</w:t>
            </w:r>
            <w:r w:rsidR="005A0A9E">
              <w:rPr>
                <w:b/>
                <w:bCs/>
                <w:i/>
                <w:iCs/>
                <w:sz w:val="18"/>
                <w:szCs w:val="18"/>
              </w:rPr>
              <w:t>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07779F" w14:textId="77777777" w:rsidR="00543A1D" w:rsidRPr="006250F6" w:rsidRDefault="00543A1D" w:rsidP="00543A1D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Предусмотрено Законом об областном бюджете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E84E648" w14:textId="77777777" w:rsidR="00543A1D" w:rsidRPr="006250F6" w:rsidRDefault="00543A1D" w:rsidP="00F91565">
            <w:pPr>
              <w:ind w:left="-108"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B8311A1" w14:textId="77777777" w:rsidR="00543A1D" w:rsidRPr="006250F6" w:rsidRDefault="00543A1D" w:rsidP="00543A1D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0E480D2E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Исполнено</w:t>
            </w:r>
          </w:p>
        </w:tc>
      </w:tr>
      <w:tr w:rsidR="00543A1D" w:rsidRPr="00516438" w14:paraId="36565392" w14:textId="77777777" w:rsidTr="00F91565">
        <w:trPr>
          <w:trHeight w:val="348"/>
        </w:trPr>
        <w:tc>
          <w:tcPr>
            <w:tcW w:w="2268" w:type="dxa"/>
            <w:vMerge/>
            <w:vAlign w:val="center"/>
            <w:hideMark/>
          </w:tcPr>
          <w:p w14:paraId="773215FC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824979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499A92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BBB74A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273936F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16EBE56A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 xml:space="preserve">к Закону о бюджете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72CCD00C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к бюджетным назначениям</w:t>
            </w:r>
          </w:p>
        </w:tc>
      </w:tr>
      <w:tr w:rsidR="00543A1D" w:rsidRPr="00516438" w14:paraId="460401FA" w14:textId="77777777" w:rsidTr="00550038">
        <w:trPr>
          <w:trHeight w:val="450"/>
        </w:trPr>
        <w:tc>
          <w:tcPr>
            <w:tcW w:w="2268" w:type="dxa"/>
            <w:vMerge/>
            <w:vAlign w:val="center"/>
            <w:hideMark/>
          </w:tcPr>
          <w:p w14:paraId="28D0E195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6AC6ED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5E5BF9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FB2C41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DDC0C9" w14:textId="77777777" w:rsidR="00543A1D" w:rsidRPr="006250F6" w:rsidRDefault="00543A1D" w:rsidP="00543A1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139AC93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откло-нение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33BA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233BAF">
              <w:rPr>
                <w:b/>
                <w:bCs/>
                <w:i/>
                <w:iCs/>
                <w:sz w:val="18"/>
                <w:szCs w:val="18"/>
              </w:rPr>
              <w:t>гр.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>5-</w:t>
            </w:r>
            <w:r w:rsidR="00233BAF">
              <w:rPr>
                <w:b/>
                <w:bCs/>
                <w:i/>
                <w:iCs/>
                <w:sz w:val="18"/>
                <w:szCs w:val="18"/>
              </w:rPr>
              <w:t>гр.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>2)</w:t>
            </w:r>
          </w:p>
        </w:tc>
        <w:tc>
          <w:tcPr>
            <w:tcW w:w="850" w:type="dxa"/>
            <w:shd w:val="clear" w:color="auto" w:fill="auto"/>
            <w:hideMark/>
          </w:tcPr>
          <w:p w14:paraId="1C9E36CE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% испол-нения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7CA9478A" w14:textId="77777777" w:rsidR="00543A1D" w:rsidRPr="006250F6" w:rsidRDefault="00543A1D" w:rsidP="00233BAF">
            <w:pPr>
              <w:ind w:left="-108"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откло-нение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233BAF">
              <w:rPr>
                <w:b/>
                <w:bCs/>
                <w:i/>
                <w:iCs/>
                <w:sz w:val="18"/>
                <w:szCs w:val="18"/>
              </w:rPr>
              <w:t>гр.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>5-</w:t>
            </w:r>
            <w:r w:rsidR="00233BAF">
              <w:rPr>
                <w:b/>
                <w:bCs/>
                <w:i/>
                <w:iCs/>
                <w:sz w:val="18"/>
                <w:szCs w:val="18"/>
              </w:rPr>
              <w:t>гр.</w:t>
            </w:r>
            <w:r w:rsidR="00067C2D" w:rsidRPr="006250F6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76487" w:rsidRPr="006250F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14:paraId="052A6226" w14:textId="77777777" w:rsidR="00543A1D" w:rsidRPr="006250F6" w:rsidRDefault="00543A1D" w:rsidP="00543A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50F6">
              <w:rPr>
                <w:b/>
                <w:bCs/>
                <w:i/>
                <w:iCs/>
                <w:sz w:val="18"/>
                <w:szCs w:val="18"/>
              </w:rPr>
              <w:t>% испол-нения</w:t>
            </w:r>
          </w:p>
        </w:tc>
      </w:tr>
      <w:tr w:rsidR="00543A1D" w:rsidRPr="00516438" w14:paraId="6D90DB96" w14:textId="77777777" w:rsidTr="00550038">
        <w:trPr>
          <w:trHeight w:val="222"/>
        </w:trPr>
        <w:tc>
          <w:tcPr>
            <w:tcW w:w="2268" w:type="dxa"/>
            <w:shd w:val="clear" w:color="auto" w:fill="auto"/>
            <w:hideMark/>
          </w:tcPr>
          <w:p w14:paraId="22CCBA2D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F0879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4BF4F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EBF9C4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9934C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F47BD7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3FA78C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B616E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57BF2" w14:textId="77777777" w:rsidR="00543A1D" w:rsidRPr="006250F6" w:rsidRDefault="00543A1D" w:rsidP="0054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43A1D" w:rsidRPr="00516438" w14:paraId="1A76B318" w14:textId="77777777" w:rsidTr="00550038">
        <w:trPr>
          <w:trHeight w:val="389"/>
        </w:trPr>
        <w:tc>
          <w:tcPr>
            <w:tcW w:w="2268" w:type="dxa"/>
            <w:shd w:val="clear" w:color="auto" w:fill="auto"/>
            <w:hideMark/>
          </w:tcPr>
          <w:p w14:paraId="1724B3C3" w14:textId="3DB6F0D5" w:rsidR="00543A1D" w:rsidRPr="006250F6" w:rsidRDefault="00550038" w:rsidP="005500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</w:t>
            </w:r>
            <w:r w:rsidR="00543A1D" w:rsidRPr="006250F6">
              <w:rPr>
                <w:b/>
                <w:bCs/>
                <w:sz w:val="18"/>
                <w:szCs w:val="18"/>
              </w:rPr>
              <w:t xml:space="preserve">асходы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10B84" w14:textId="77777777" w:rsidR="00543A1D" w:rsidRPr="006250F6" w:rsidRDefault="00C00619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3B254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657733,6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CFF3B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657230,3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8558B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573222,7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6B0E7" w14:textId="77777777" w:rsidR="00543A1D" w:rsidRPr="006250F6" w:rsidRDefault="00C00619" w:rsidP="00C00619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D6DF9" w14:textId="77777777" w:rsidR="00543A1D" w:rsidRPr="006250F6" w:rsidRDefault="00C00619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0E46A" w14:textId="77777777" w:rsidR="00543A1D" w:rsidRPr="006250F6" w:rsidRDefault="00976487" w:rsidP="00B13874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-</w:t>
            </w:r>
            <w:r w:rsidR="00543A1D" w:rsidRPr="006250F6">
              <w:rPr>
                <w:b/>
                <w:bCs/>
                <w:sz w:val="18"/>
                <w:szCs w:val="18"/>
              </w:rPr>
              <w:t>84</w:t>
            </w:r>
            <w:r w:rsidR="00B13874" w:rsidRPr="006250F6">
              <w:rPr>
                <w:b/>
                <w:bCs/>
                <w:sz w:val="18"/>
                <w:szCs w:val="18"/>
              </w:rPr>
              <w:t>510</w:t>
            </w:r>
            <w:r w:rsidR="00543A1D" w:rsidRPr="006250F6">
              <w:rPr>
                <w:b/>
                <w:bCs/>
                <w:sz w:val="18"/>
                <w:szCs w:val="18"/>
              </w:rPr>
              <w:t>,</w:t>
            </w:r>
            <w:r w:rsidR="00B13874" w:rsidRPr="006250F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79331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87,2</w:t>
            </w:r>
          </w:p>
        </w:tc>
      </w:tr>
      <w:tr w:rsidR="00543A1D" w:rsidRPr="00CA2DD5" w14:paraId="35594D45" w14:textId="77777777" w:rsidTr="00550038">
        <w:trPr>
          <w:trHeight w:val="472"/>
        </w:trPr>
        <w:tc>
          <w:tcPr>
            <w:tcW w:w="2268" w:type="dxa"/>
            <w:shd w:val="clear" w:color="auto" w:fill="auto"/>
            <w:hideMark/>
          </w:tcPr>
          <w:p w14:paraId="56C14F99" w14:textId="77777777" w:rsidR="00543A1D" w:rsidRPr="00550038" w:rsidRDefault="00543A1D" w:rsidP="003C751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50038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оборона       </w:t>
            </w:r>
            <w:r w:rsidRPr="00550038">
              <w:rPr>
                <w:b/>
                <w:i/>
                <w:iCs/>
                <w:sz w:val="18"/>
                <w:szCs w:val="18"/>
              </w:rPr>
              <w:t>0200</w:t>
            </w:r>
            <w:r w:rsidR="00D85084" w:rsidRPr="00550038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77D0B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4EE62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1114,5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9E1D8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954,2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9F6CF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886,7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3E26C9" w14:textId="77777777" w:rsidR="00543A1D" w:rsidRPr="006250F6" w:rsidRDefault="00976487" w:rsidP="00976487">
            <w:pPr>
              <w:jc w:val="center"/>
              <w:rPr>
                <w:b/>
                <w:sz w:val="18"/>
                <w:szCs w:val="18"/>
              </w:rPr>
            </w:pPr>
            <w:r w:rsidRPr="006250F6">
              <w:rPr>
                <w:b/>
                <w:sz w:val="18"/>
                <w:szCs w:val="18"/>
              </w:rPr>
              <w:t>+</w:t>
            </w:r>
            <w:r w:rsidR="00543A1D" w:rsidRPr="006250F6">
              <w:rPr>
                <w:b/>
                <w:sz w:val="18"/>
                <w:szCs w:val="18"/>
              </w:rPr>
              <w:t>517,2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2C0B7" w14:textId="77777777" w:rsidR="00543A1D" w:rsidRPr="006250F6" w:rsidRDefault="00543A1D" w:rsidP="00976487">
            <w:pPr>
              <w:jc w:val="center"/>
              <w:rPr>
                <w:b/>
                <w:sz w:val="18"/>
                <w:szCs w:val="18"/>
              </w:rPr>
            </w:pPr>
            <w:r w:rsidRPr="006250F6">
              <w:rPr>
                <w:b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880233" w14:textId="77777777" w:rsidR="00543A1D" w:rsidRPr="006250F6" w:rsidRDefault="00976487" w:rsidP="00976487">
            <w:pPr>
              <w:jc w:val="center"/>
              <w:rPr>
                <w:b/>
                <w:sz w:val="18"/>
                <w:szCs w:val="18"/>
              </w:rPr>
            </w:pPr>
            <w:r w:rsidRPr="006250F6">
              <w:rPr>
                <w:b/>
                <w:sz w:val="18"/>
                <w:szCs w:val="18"/>
              </w:rPr>
              <w:t>-</w:t>
            </w:r>
            <w:r w:rsidR="00543A1D" w:rsidRPr="006250F6">
              <w:rPr>
                <w:b/>
                <w:sz w:val="18"/>
                <w:szCs w:val="18"/>
              </w:rPr>
              <w:t>227,8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93094" w14:textId="77777777" w:rsidR="00543A1D" w:rsidRPr="006250F6" w:rsidRDefault="00543A1D" w:rsidP="00976487">
            <w:pPr>
              <w:jc w:val="center"/>
              <w:rPr>
                <w:b/>
                <w:sz w:val="18"/>
                <w:szCs w:val="18"/>
              </w:rPr>
            </w:pPr>
            <w:r w:rsidRPr="006250F6">
              <w:rPr>
                <w:b/>
                <w:sz w:val="18"/>
                <w:szCs w:val="18"/>
              </w:rPr>
              <w:t>79,6</w:t>
            </w:r>
          </w:p>
        </w:tc>
      </w:tr>
      <w:tr w:rsidR="00543A1D" w:rsidRPr="00550038" w14:paraId="779209F0" w14:textId="77777777" w:rsidTr="00550038">
        <w:trPr>
          <w:trHeight w:val="472"/>
        </w:trPr>
        <w:tc>
          <w:tcPr>
            <w:tcW w:w="2268" w:type="dxa"/>
            <w:shd w:val="clear" w:color="auto" w:fill="auto"/>
            <w:hideMark/>
          </w:tcPr>
          <w:p w14:paraId="3DF6300D" w14:textId="77777777" w:rsidR="00543A1D" w:rsidRPr="00550038" w:rsidRDefault="00543A1D" w:rsidP="003C751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50038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  <w:r w:rsidRPr="00550038">
              <w:rPr>
                <w:i/>
                <w:iCs/>
                <w:sz w:val="18"/>
                <w:szCs w:val="18"/>
              </w:rPr>
              <w:t xml:space="preserve"> </w:t>
            </w:r>
            <w:r w:rsidRPr="00550038">
              <w:rPr>
                <w:b/>
                <w:i/>
                <w:iCs/>
                <w:sz w:val="18"/>
                <w:szCs w:val="18"/>
              </w:rPr>
              <w:t>0400</w:t>
            </w:r>
            <w:r w:rsidR="00D85084" w:rsidRPr="00550038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E305A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703665,4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1A710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563889,2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2FDC2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563546,2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DD95C" w14:textId="77777777" w:rsidR="00543A1D" w:rsidRPr="006250F6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6250F6">
              <w:rPr>
                <w:b/>
                <w:bCs/>
                <w:sz w:val="18"/>
                <w:szCs w:val="18"/>
              </w:rPr>
              <w:t>480683,0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788F1E" w14:textId="77777777" w:rsidR="00543A1D" w:rsidRPr="00550038" w:rsidRDefault="00976487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50038">
              <w:rPr>
                <w:b/>
                <w:bCs/>
                <w:sz w:val="18"/>
                <w:szCs w:val="18"/>
              </w:rPr>
              <w:t>-</w:t>
            </w:r>
            <w:r w:rsidR="00543A1D" w:rsidRPr="00550038">
              <w:rPr>
                <w:b/>
                <w:bCs/>
                <w:sz w:val="18"/>
                <w:szCs w:val="18"/>
              </w:rPr>
              <w:t>222982,4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172C91" w14:textId="77777777" w:rsidR="00543A1D" w:rsidRPr="00550038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50038">
              <w:rPr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59923" w14:textId="77777777" w:rsidR="00543A1D" w:rsidRPr="00550038" w:rsidRDefault="00976487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50038">
              <w:rPr>
                <w:b/>
                <w:bCs/>
                <w:sz w:val="18"/>
                <w:szCs w:val="18"/>
              </w:rPr>
              <w:t>-</w:t>
            </w:r>
            <w:r w:rsidR="00543A1D" w:rsidRPr="00550038">
              <w:rPr>
                <w:b/>
                <w:bCs/>
                <w:sz w:val="18"/>
                <w:szCs w:val="18"/>
              </w:rPr>
              <w:t>83206,2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A07AC1" w14:textId="77777777" w:rsidR="00543A1D" w:rsidRPr="00550038" w:rsidRDefault="00543A1D" w:rsidP="00976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50038">
              <w:rPr>
                <w:b/>
                <w:bCs/>
                <w:sz w:val="18"/>
                <w:szCs w:val="18"/>
              </w:rPr>
              <w:t>85,2</w:t>
            </w:r>
          </w:p>
        </w:tc>
      </w:tr>
      <w:tr w:rsidR="00543A1D" w:rsidRPr="007F60A0" w14:paraId="2F069B91" w14:textId="77777777" w:rsidTr="00550038">
        <w:trPr>
          <w:trHeight w:val="487"/>
        </w:trPr>
        <w:tc>
          <w:tcPr>
            <w:tcW w:w="2268" w:type="dxa"/>
            <w:shd w:val="clear" w:color="auto" w:fill="auto"/>
            <w:hideMark/>
          </w:tcPr>
          <w:p w14:paraId="3894357F" w14:textId="77777777" w:rsidR="00543A1D" w:rsidRPr="006250F6" w:rsidRDefault="00543A1D" w:rsidP="003C751E">
            <w:pPr>
              <w:rPr>
                <w:i/>
                <w:sz w:val="18"/>
                <w:szCs w:val="18"/>
              </w:rPr>
            </w:pPr>
            <w:r w:rsidRPr="006250F6">
              <w:rPr>
                <w:i/>
                <w:sz w:val="18"/>
                <w:szCs w:val="18"/>
              </w:rPr>
              <w:t xml:space="preserve">Топливно-энергетический комплекс </w:t>
            </w:r>
            <w:r w:rsidRPr="006250F6">
              <w:rPr>
                <w:i/>
                <w:iCs/>
                <w:sz w:val="18"/>
                <w:szCs w:val="18"/>
              </w:rPr>
              <w:t>0402</w:t>
            </w:r>
            <w:r w:rsidR="00D85084" w:rsidRPr="006250F6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525FA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236965,0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E9D52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130800,0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620C9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130800,0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4C298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50120,8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A1990" w14:textId="77777777" w:rsidR="00543A1D" w:rsidRPr="006250F6" w:rsidRDefault="00976487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-</w:t>
            </w:r>
            <w:r w:rsidR="00543A1D" w:rsidRPr="006250F6">
              <w:rPr>
                <w:sz w:val="18"/>
                <w:szCs w:val="18"/>
              </w:rPr>
              <w:t>186844,2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362B5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E98D6" w14:textId="77777777" w:rsidR="00543A1D" w:rsidRPr="006250F6" w:rsidRDefault="00976487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-</w:t>
            </w:r>
            <w:r w:rsidR="00543A1D" w:rsidRPr="006250F6">
              <w:rPr>
                <w:sz w:val="18"/>
                <w:szCs w:val="18"/>
              </w:rPr>
              <w:t>80679,2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A36D7" w14:textId="77777777" w:rsidR="00543A1D" w:rsidRPr="006250F6" w:rsidRDefault="00543A1D" w:rsidP="00976487">
            <w:pPr>
              <w:jc w:val="center"/>
              <w:rPr>
                <w:sz w:val="18"/>
                <w:szCs w:val="18"/>
              </w:rPr>
            </w:pPr>
            <w:r w:rsidRPr="006250F6">
              <w:rPr>
                <w:sz w:val="18"/>
                <w:szCs w:val="18"/>
              </w:rPr>
              <w:t>38,3</w:t>
            </w:r>
          </w:p>
        </w:tc>
      </w:tr>
      <w:tr w:rsidR="00543A1D" w:rsidRPr="00CA2DD5" w14:paraId="51D1E9A0" w14:textId="77777777" w:rsidTr="00550038">
        <w:trPr>
          <w:trHeight w:val="561"/>
        </w:trPr>
        <w:tc>
          <w:tcPr>
            <w:tcW w:w="2268" w:type="dxa"/>
            <w:shd w:val="clear" w:color="auto" w:fill="auto"/>
            <w:hideMark/>
          </w:tcPr>
          <w:p w14:paraId="2B8ACBC4" w14:textId="77777777" w:rsidR="00543A1D" w:rsidRPr="006250F6" w:rsidRDefault="00543A1D" w:rsidP="003C751E">
            <w:pPr>
              <w:rPr>
                <w:i/>
                <w:color w:val="000000"/>
                <w:sz w:val="18"/>
                <w:szCs w:val="18"/>
              </w:rPr>
            </w:pPr>
            <w:r w:rsidRPr="006250F6">
              <w:rPr>
                <w:i/>
                <w:color w:val="000000"/>
                <w:sz w:val="18"/>
                <w:szCs w:val="18"/>
              </w:rPr>
              <w:t xml:space="preserve">Другие вопросы в области национальной экономики </w:t>
            </w:r>
            <w:r w:rsidRPr="006250F6">
              <w:rPr>
                <w:i/>
                <w:iCs/>
                <w:color w:val="000000"/>
                <w:sz w:val="18"/>
                <w:szCs w:val="18"/>
              </w:rPr>
              <w:t>0412</w:t>
            </w:r>
            <w:r w:rsidR="00D85084" w:rsidRPr="006250F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7D9A0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466700,4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4842C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433089,2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EF7CE7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432746,2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7797D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430562,2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CACDE" w14:textId="77777777" w:rsidR="00543A1D" w:rsidRPr="006250F6" w:rsidRDefault="00976487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-</w:t>
            </w:r>
            <w:r w:rsidR="00543A1D" w:rsidRPr="006250F6">
              <w:rPr>
                <w:color w:val="000000"/>
                <w:sz w:val="18"/>
                <w:szCs w:val="18"/>
              </w:rPr>
              <w:t>36138,2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208F40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24527B" w14:textId="77777777" w:rsidR="00543A1D" w:rsidRPr="006250F6" w:rsidRDefault="00976487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-</w:t>
            </w:r>
            <w:r w:rsidR="00543A1D" w:rsidRPr="006250F6">
              <w:rPr>
                <w:color w:val="000000"/>
                <w:sz w:val="18"/>
                <w:szCs w:val="18"/>
              </w:rPr>
              <w:t>2527,0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7D166B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543A1D" w:rsidRPr="00B14ACD" w14:paraId="6B4A061B" w14:textId="77777777" w:rsidTr="00550038">
        <w:trPr>
          <w:trHeight w:val="326"/>
        </w:trPr>
        <w:tc>
          <w:tcPr>
            <w:tcW w:w="2268" w:type="dxa"/>
            <w:shd w:val="clear" w:color="auto" w:fill="auto"/>
            <w:hideMark/>
          </w:tcPr>
          <w:p w14:paraId="7CFC8865" w14:textId="77777777" w:rsidR="00543A1D" w:rsidRPr="00550038" w:rsidRDefault="00543A1D" w:rsidP="003C751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03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Жилищно-коммунальное хозяйство </w:t>
            </w:r>
            <w:r w:rsidRPr="00550038">
              <w:rPr>
                <w:b/>
                <w:i/>
                <w:iCs/>
                <w:color w:val="000000"/>
                <w:sz w:val="18"/>
                <w:szCs w:val="18"/>
              </w:rPr>
              <w:t>0500</w:t>
            </w:r>
            <w:r w:rsidR="00D85084" w:rsidRPr="00550038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992C2" w14:textId="77777777" w:rsidR="00543A1D" w:rsidRPr="006250F6" w:rsidRDefault="00543A1D" w:rsidP="0097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F6">
              <w:rPr>
                <w:b/>
                <w:bCs/>
                <w:color w:val="000000"/>
                <w:sz w:val="18"/>
                <w:szCs w:val="18"/>
              </w:rPr>
              <w:t>89639,1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01749" w14:textId="77777777" w:rsidR="00543A1D" w:rsidRPr="006250F6" w:rsidRDefault="00543A1D" w:rsidP="0097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F6">
              <w:rPr>
                <w:b/>
                <w:bCs/>
                <w:color w:val="000000"/>
                <w:sz w:val="18"/>
                <w:szCs w:val="18"/>
              </w:rPr>
              <w:t>92729,9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A1A44" w14:textId="77777777" w:rsidR="00543A1D" w:rsidRPr="006250F6" w:rsidRDefault="00543A1D" w:rsidP="0097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F6">
              <w:rPr>
                <w:b/>
                <w:bCs/>
                <w:color w:val="000000"/>
                <w:sz w:val="18"/>
                <w:szCs w:val="18"/>
              </w:rPr>
              <w:t>92729,9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E9F3C" w14:textId="77777777" w:rsidR="00543A1D" w:rsidRPr="006250F6" w:rsidRDefault="00543A1D" w:rsidP="009764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F6">
              <w:rPr>
                <w:b/>
                <w:bCs/>
                <w:color w:val="000000"/>
                <w:sz w:val="18"/>
                <w:szCs w:val="18"/>
              </w:rPr>
              <w:t>91653,0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5F9671" w14:textId="77777777" w:rsidR="00543A1D" w:rsidRPr="006250F6" w:rsidRDefault="00B14ACD" w:rsidP="00976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50F6">
              <w:rPr>
                <w:b/>
                <w:color w:val="000000"/>
                <w:sz w:val="18"/>
                <w:szCs w:val="18"/>
              </w:rPr>
              <w:t>+</w:t>
            </w:r>
            <w:r w:rsidR="00543A1D" w:rsidRPr="006250F6">
              <w:rPr>
                <w:b/>
                <w:color w:val="000000"/>
                <w:sz w:val="18"/>
                <w:szCs w:val="18"/>
              </w:rPr>
              <w:t>2013,9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B3821" w14:textId="77777777" w:rsidR="00543A1D" w:rsidRPr="006250F6" w:rsidRDefault="00543A1D" w:rsidP="00976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50F6">
              <w:rPr>
                <w:b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523FA" w14:textId="77777777" w:rsidR="00543A1D" w:rsidRPr="006250F6" w:rsidRDefault="00F312A6" w:rsidP="00976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50F6">
              <w:rPr>
                <w:b/>
                <w:color w:val="000000"/>
                <w:sz w:val="18"/>
                <w:szCs w:val="18"/>
              </w:rPr>
              <w:t>-</w:t>
            </w:r>
            <w:r w:rsidR="00543A1D" w:rsidRPr="006250F6">
              <w:rPr>
                <w:b/>
                <w:color w:val="000000"/>
                <w:sz w:val="18"/>
                <w:szCs w:val="18"/>
              </w:rPr>
              <w:t>1076,9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0D6D" w14:textId="77777777" w:rsidR="00543A1D" w:rsidRPr="006250F6" w:rsidRDefault="00543A1D" w:rsidP="009764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50F6">
              <w:rPr>
                <w:b/>
                <w:color w:val="000000"/>
                <w:sz w:val="18"/>
                <w:szCs w:val="18"/>
              </w:rPr>
              <w:t>98,8</w:t>
            </w:r>
          </w:p>
        </w:tc>
      </w:tr>
      <w:tr w:rsidR="00543A1D" w:rsidRPr="00543A1D" w14:paraId="7B0E616C" w14:textId="77777777" w:rsidTr="00550038">
        <w:trPr>
          <w:trHeight w:val="263"/>
        </w:trPr>
        <w:tc>
          <w:tcPr>
            <w:tcW w:w="2268" w:type="dxa"/>
            <w:shd w:val="clear" w:color="auto" w:fill="auto"/>
            <w:hideMark/>
          </w:tcPr>
          <w:p w14:paraId="11D92F39" w14:textId="778361BE" w:rsidR="00543A1D" w:rsidRPr="006250F6" w:rsidRDefault="00543A1D" w:rsidP="003C751E">
            <w:pPr>
              <w:rPr>
                <w:i/>
                <w:color w:val="000000"/>
                <w:sz w:val="18"/>
                <w:szCs w:val="18"/>
              </w:rPr>
            </w:pPr>
            <w:r w:rsidRPr="006250F6">
              <w:rPr>
                <w:i/>
                <w:color w:val="000000"/>
                <w:sz w:val="18"/>
                <w:szCs w:val="18"/>
              </w:rPr>
              <w:t>Ком</w:t>
            </w:r>
            <w:r w:rsidR="00CA2DD5" w:rsidRPr="006250F6">
              <w:rPr>
                <w:i/>
                <w:color w:val="000000"/>
                <w:sz w:val="18"/>
                <w:szCs w:val="18"/>
              </w:rPr>
              <w:t>м</w:t>
            </w:r>
            <w:r w:rsidRPr="006250F6">
              <w:rPr>
                <w:i/>
                <w:color w:val="000000"/>
                <w:sz w:val="18"/>
                <w:szCs w:val="18"/>
              </w:rPr>
              <w:t>унальное хозяйство</w:t>
            </w:r>
            <w:r w:rsidR="00D85084" w:rsidRPr="006250F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CA2DD5" w:rsidRPr="006250F6">
              <w:rPr>
                <w:i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56975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84439,1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B9FD9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85215,7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00259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85215,7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70B36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84193,4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36129F" w14:textId="77777777" w:rsidR="00543A1D" w:rsidRPr="006250F6" w:rsidRDefault="0049793C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-</w:t>
            </w:r>
            <w:r w:rsidR="00543A1D" w:rsidRPr="006250F6">
              <w:rPr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754F46" w14:textId="77777777" w:rsidR="00543A1D" w:rsidRPr="006250F6" w:rsidRDefault="00543A1D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F37C1" w14:textId="77777777" w:rsidR="00543A1D" w:rsidRPr="006250F6" w:rsidRDefault="0049793C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-</w:t>
            </w:r>
            <w:r w:rsidR="00543A1D" w:rsidRPr="006250F6">
              <w:rPr>
                <w:color w:val="000000"/>
                <w:sz w:val="18"/>
                <w:szCs w:val="18"/>
              </w:rPr>
              <w:t>1022,3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A9C62" w14:textId="77777777" w:rsidR="00543A1D" w:rsidRPr="006250F6" w:rsidRDefault="0049793C" w:rsidP="00976487">
            <w:pPr>
              <w:jc w:val="center"/>
              <w:rPr>
                <w:color w:val="000000"/>
                <w:sz w:val="18"/>
                <w:szCs w:val="18"/>
              </w:rPr>
            </w:pPr>
            <w:r w:rsidRPr="006250F6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543A1D" w:rsidRPr="00543A1D" w14:paraId="68CB92D4" w14:textId="77777777" w:rsidTr="00550038">
        <w:trPr>
          <w:trHeight w:val="554"/>
        </w:trPr>
        <w:tc>
          <w:tcPr>
            <w:tcW w:w="2268" w:type="dxa"/>
            <w:shd w:val="clear" w:color="auto" w:fill="auto"/>
            <w:hideMark/>
          </w:tcPr>
          <w:p w14:paraId="71BC55F5" w14:textId="77777777" w:rsidR="00543A1D" w:rsidRPr="006250F6" w:rsidRDefault="00543A1D" w:rsidP="00543A1D">
            <w:pPr>
              <w:rPr>
                <w:bCs/>
                <w:i/>
                <w:sz w:val="18"/>
                <w:szCs w:val="18"/>
              </w:rPr>
            </w:pPr>
            <w:r w:rsidRPr="006250F6">
              <w:rPr>
                <w:bCs/>
                <w:i/>
                <w:sz w:val="18"/>
                <w:szCs w:val="18"/>
              </w:rPr>
              <w:t>Другие вопросы в области жилищно-коммунального хозяйства 0505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A7D3B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E3298F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7514,5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E26B7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7514,2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03D88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7459,6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A55868" w14:textId="77777777" w:rsidR="00543A1D" w:rsidRPr="006250F6" w:rsidRDefault="00B14AC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-</w:t>
            </w:r>
            <w:r w:rsidR="00543A1D" w:rsidRPr="006250F6">
              <w:rPr>
                <w:bCs/>
                <w:sz w:val="18"/>
                <w:szCs w:val="18"/>
              </w:rPr>
              <w:t>2259,6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3D6AFF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143,4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E6A9D" w14:textId="77777777" w:rsidR="00543A1D" w:rsidRPr="006250F6" w:rsidRDefault="00B14AC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-</w:t>
            </w:r>
            <w:r w:rsidR="00543A1D" w:rsidRPr="006250F6">
              <w:rPr>
                <w:bCs/>
                <w:sz w:val="18"/>
                <w:szCs w:val="18"/>
              </w:rPr>
              <w:t>54,9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CE8CA" w14:textId="77777777" w:rsidR="00543A1D" w:rsidRPr="006250F6" w:rsidRDefault="00543A1D" w:rsidP="00976487">
            <w:pPr>
              <w:jc w:val="center"/>
              <w:rPr>
                <w:bCs/>
                <w:sz w:val="18"/>
                <w:szCs w:val="18"/>
              </w:rPr>
            </w:pPr>
            <w:r w:rsidRPr="006250F6">
              <w:rPr>
                <w:bCs/>
                <w:sz w:val="18"/>
                <w:szCs w:val="18"/>
              </w:rPr>
              <w:t>99,3</w:t>
            </w:r>
          </w:p>
        </w:tc>
      </w:tr>
    </w:tbl>
    <w:p w14:paraId="64CCBC2F" w14:textId="77777777" w:rsidR="0057315F" w:rsidRPr="007F4E57" w:rsidRDefault="0057315F" w:rsidP="007D20E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D5C49DE" w14:textId="77777777" w:rsidR="008F73B0" w:rsidRDefault="00C46DD3" w:rsidP="00C46DD3">
      <w:pPr>
        <w:autoSpaceDE w:val="0"/>
        <w:autoSpaceDN w:val="0"/>
        <w:adjustRightInd w:val="0"/>
        <w:ind w:firstLine="709"/>
        <w:jc w:val="both"/>
      </w:pPr>
      <w:r w:rsidRPr="00C46DD3">
        <w:t xml:space="preserve">Утвержденные бюджетные назначения исполнены в объеме </w:t>
      </w:r>
      <w:r w:rsidR="00067C2D">
        <w:t>573222,7 тыс.</w:t>
      </w:r>
      <w:r w:rsidR="00866252">
        <w:t xml:space="preserve"> </w:t>
      </w:r>
      <w:r w:rsidR="00067C2D">
        <w:t>руб., или на 87,2%, к бюджетным назначениям, предусмотренным бюджетной росписью</w:t>
      </w:r>
      <w:r w:rsidR="008F73B0">
        <w:t xml:space="preserve">. </w:t>
      </w:r>
    </w:p>
    <w:p w14:paraId="788A879C" w14:textId="77777777" w:rsidR="00B13874" w:rsidRDefault="00B13874" w:rsidP="00C46DD3">
      <w:pPr>
        <w:autoSpaceDE w:val="0"/>
        <w:autoSpaceDN w:val="0"/>
        <w:adjustRightInd w:val="0"/>
        <w:ind w:firstLine="709"/>
        <w:jc w:val="both"/>
      </w:pPr>
      <w:r>
        <w:t xml:space="preserve">Согласно сведениям об исполнении бюджета (ф.0503164) и пояснительной записке (ф.0503160) неисполнение </w:t>
      </w:r>
      <w:r w:rsidR="00275724">
        <w:t xml:space="preserve">бюджетных </w:t>
      </w:r>
      <w:r>
        <w:t xml:space="preserve">назначений в сумме </w:t>
      </w:r>
      <w:r w:rsidR="00275724" w:rsidRPr="00B14ACD">
        <w:t>84510,9</w:t>
      </w:r>
      <w:r w:rsidR="00275724">
        <w:t xml:space="preserve"> тыс.</w:t>
      </w:r>
      <w:r w:rsidR="008F73B0">
        <w:t xml:space="preserve"> </w:t>
      </w:r>
      <w:r w:rsidR="00275724">
        <w:t xml:space="preserve">руб. сложилось в основном по </w:t>
      </w:r>
      <w:r w:rsidR="008F73B0">
        <w:t xml:space="preserve">следующим </w:t>
      </w:r>
      <w:r w:rsidR="00275724">
        <w:t>причин</w:t>
      </w:r>
      <w:r w:rsidR="008F73B0">
        <w:t>ам</w:t>
      </w:r>
      <w:r w:rsidR="00275724">
        <w:t>:</w:t>
      </w:r>
    </w:p>
    <w:p w14:paraId="75817430" w14:textId="77777777" w:rsidR="003C751E" w:rsidRPr="00004B32" w:rsidRDefault="003C751E" w:rsidP="00004B32">
      <w:pPr>
        <w:pStyle w:val="ad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32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 на сумму </w:t>
      </w:r>
      <w:r w:rsidRPr="00B14ACD">
        <w:rPr>
          <w:rFonts w:ascii="Times New Roman" w:hAnsi="Times New Roman" w:cs="Times New Roman"/>
          <w:sz w:val="24"/>
          <w:szCs w:val="24"/>
        </w:rPr>
        <w:t xml:space="preserve">80679,2 </w:t>
      </w:r>
      <w:r w:rsidRPr="00004B32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14:paraId="025353D8" w14:textId="6610502B" w:rsidR="00275724" w:rsidRDefault="00275724" w:rsidP="00004B32">
      <w:pPr>
        <w:tabs>
          <w:tab w:val="left" w:pos="1252"/>
        </w:tabs>
        <w:autoSpaceDE w:val="0"/>
        <w:autoSpaceDN w:val="0"/>
        <w:adjustRightInd w:val="0"/>
        <w:ind w:firstLine="709"/>
        <w:jc w:val="both"/>
      </w:pPr>
      <w:r>
        <w:lastRenderedPageBreak/>
        <w:t>-двум инвесторам</w:t>
      </w:r>
      <w:r w:rsidR="00F312A6">
        <w:t>, осуществляющим строительство автомобильных газонаполнительных компрессорных станций,</w:t>
      </w:r>
      <w:r>
        <w:t xml:space="preserve"> было отказано в</w:t>
      </w:r>
      <w:r w:rsidR="00F312A6">
        <w:t xml:space="preserve"> </w:t>
      </w:r>
      <w:r w:rsidR="00932377">
        <w:t>выделении</w:t>
      </w:r>
      <w:r w:rsidR="00F312A6">
        <w:t xml:space="preserve"> субсидии в размере </w:t>
      </w:r>
      <w:r w:rsidR="00F312A6" w:rsidRPr="00B14ACD">
        <w:t>800</w:t>
      </w:r>
      <w:r w:rsidR="00866252" w:rsidRPr="00B14ACD">
        <w:t>00</w:t>
      </w:r>
      <w:r w:rsidR="00F312A6">
        <w:t xml:space="preserve"> тыс.</w:t>
      </w:r>
      <w:r w:rsidR="008F73B0">
        <w:t xml:space="preserve"> </w:t>
      </w:r>
      <w:r w:rsidR="00F312A6">
        <w:t>руб. по причине предоставления документов, не соответствующих требованиям правил предоставления и распределения субсидий из федерального бюджета;</w:t>
      </w:r>
    </w:p>
    <w:p w14:paraId="51C4496E" w14:textId="7DA0BDE6" w:rsidR="00F312A6" w:rsidRPr="00004B32" w:rsidRDefault="00F312A6" w:rsidP="00004B32">
      <w:pPr>
        <w:tabs>
          <w:tab w:val="left" w:pos="1252"/>
        </w:tabs>
        <w:autoSpaceDE w:val="0"/>
        <w:autoSpaceDN w:val="0"/>
        <w:adjustRightInd w:val="0"/>
        <w:ind w:firstLine="709"/>
        <w:jc w:val="both"/>
      </w:pPr>
      <w:r>
        <w:t>-субсидирование организаций, производителей товаров, работ, услуг</w:t>
      </w:r>
      <w:r w:rsidR="005A0A9E">
        <w:t xml:space="preserve"> </w:t>
      </w:r>
      <w:r>
        <w:t>носи</w:t>
      </w:r>
      <w:r w:rsidR="00E84145">
        <w:t>ло</w:t>
      </w:r>
      <w:r>
        <w:t xml:space="preserve"> заявительный характер (</w:t>
      </w:r>
      <w:r w:rsidRPr="00B14ACD">
        <w:t>679,2</w:t>
      </w:r>
      <w:r w:rsidRPr="00866252">
        <w:rPr>
          <w:color w:val="00B0F0"/>
        </w:rPr>
        <w:t xml:space="preserve"> </w:t>
      </w:r>
      <w:r>
        <w:t>тыс.</w:t>
      </w:r>
      <w:r w:rsidR="00866252">
        <w:t xml:space="preserve"> </w:t>
      </w:r>
      <w:r>
        <w:t>руб.);</w:t>
      </w:r>
    </w:p>
    <w:p w14:paraId="7241D122" w14:textId="4A73DC1E" w:rsidR="00F312A6" w:rsidRDefault="007F4E57" w:rsidP="00004B32">
      <w:pPr>
        <w:pStyle w:val="ad"/>
        <w:numPr>
          <w:ilvl w:val="0"/>
          <w:numId w:val="6"/>
        </w:numPr>
        <w:tabs>
          <w:tab w:val="left" w:pos="12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</w:t>
      </w:r>
      <w:r w:rsidR="00F312A6" w:rsidRPr="00004B32">
        <w:rPr>
          <w:rFonts w:ascii="Times New Roman" w:hAnsi="Times New Roman" w:cs="Times New Roman"/>
          <w:sz w:val="24"/>
          <w:szCs w:val="24"/>
        </w:rPr>
        <w:t xml:space="preserve">сидии </w:t>
      </w:r>
      <w:r w:rsidR="00FB31FC">
        <w:rPr>
          <w:rFonts w:ascii="Times New Roman" w:hAnsi="Times New Roman" w:cs="Times New Roman"/>
          <w:sz w:val="24"/>
          <w:szCs w:val="24"/>
        </w:rPr>
        <w:t>на строительство внутрипоселковых газопроводов п</w:t>
      </w:r>
      <w:r w:rsidR="00F312A6" w:rsidRPr="00004B32">
        <w:rPr>
          <w:rFonts w:ascii="Times New Roman" w:hAnsi="Times New Roman" w:cs="Times New Roman"/>
          <w:sz w:val="24"/>
          <w:szCs w:val="24"/>
        </w:rPr>
        <w:t xml:space="preserve">редоставлены Нехаевскому муниципальному району на </w:t>
      </w:r>
      <w:r w:rsidR="00F312A6" w:rsidRPr="00B14ACD">
        <w:rPr>
          <w:rFonts w:ascii="Times New Roman" w:hAnsi="Times New Roman" w:cs="Times New Roman"/>
          <w:sz w:val="24"/>
          <w:szCs w:val="24"/>
        </w:rPr>
        <w:t>500,0</w:t>
      </w:r>
      <w:r w:rsidR="00F312A6" w:rsidRPr="0086625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312A6" w:rsidRPr="00004B32">
        <w:rPr>
          <w:rFonts w:ascii="Times New Roman" w:hAnsi="Times New Roman" w:cs="Times New Roman"/>
          <w:sz w:val="24"/>
          <w:szCs w:val="24"/>
        </w:rPr>
        <w:t>тыс.</w:t>
      </w:r>
      <w:r w:rsidR="00AE6D9C" w:rsidRPr="00004B32">
        <w:rPr>
          <w:rFonts w:ascii="Times New Roman" w:hAnsi="Times New Roman" w:cs="Times New Roman"/>
          <w:sz w:val="24"/>
          <w:szCs w:val="24"/>
        </w:rPr>
        <w:t xml:space="preserve"> </w:t>
      </w:r>
      <w:r w:rsidR="00F312A6" w:rsidRPr="00004B32">
        <w:rPr>
          <w:rFonts w:ascii="Times New Roman" w:hAnsi="Times New Roman" w:cs="Times New Roman"/>
          <w:sz w:val="24"/>
          <w:szCs w:val="24"/>
        </w:rPr>
        <w:t>руб. меньше доведенных назначений в связи с тем, что задолженност</w:t>
      </w:r>
      <w:r w:rsidR="00FB31FC">
        <w:rPr>
          <w:rFonts w:ascii="Times New Roman" w:hAnsi="Times New Roman" w:cs="Times New Roman"/>
          <w:sz w:val="24"/>
          <w:szCs w:val="24"/>
        </w:rPr>
        <w:t>ь</w:t>
      </w:r>
      <w:r w:rsidR="00F312A6" w:rsidRPr="00004B32">
        <w:rPr>
          <w:rFonts w:ascii="Times New Roman" w:hAnsi="Times New Roman" w:cs="Times New Roman"/>
          <w:sz w:val="24"/>
          <w:szCs w:val="24"/>
        </w:rPr>
        <w:t xml:space="preserve"> перед подрядными организациями за выполненные в 2018 году работы </w:t>
      </w:r>
      <w:r w:rsidR="005A0A9E" w:rsidRPr="00004B32">
        <w:rPr>
          <w:rFonts w:ascii="Times New Roman" w:hAnsi="Times New Roman" w:cs="Times New Roman"/>
          <w:sz w:val="24"/>
          <w:szCs w:val="24"/>
        </w:rPr>
        <w:t>в рамках заклю</w:t>
      </w:r>
      <w:r w:rsidR="005A0A9E">
        <w:rPr>
          <w:rFonts w:ascii="Times New Roman" w:hAnsi="Times New Roman" w:cs="Times New Roman"/>
          <w:sz w:val="24"/>
          <w:szCs w:val="24"/>
        </w:rPr>
        <w:t xml:space="preserve">ченных муниципальных контрактов </w:t>
      </w:r>
      <w:r w:rsidR="00FB31FC">
        <w:rPr>
          <w:rFonts w:ascii="Times New Roman" w:hAnsi="Times New Roman" w:cs="Times New Roman"/>
          <w:sz w:val="24"/>
          <w:szCs w:val="24"/>
        </w:rPr>
        <w:t>сложилась меньше</w:t>
      </w:r>
      <w:r w:rsidR="00004B32">
        <w:rPr>
          <w:rFonts w:ascii="Times New Roman" w:hAnsi="Times New Roman" w:cs="Times New Roman"/>
          <w:sz w:val="24"/>
          <w:szCs w:val="24"/>
        </w:rPr>
        <w:t>;</w:t>
      </w:r>
    </w:p>
    <w:p w14:paraId="620103D4" w14:textId="77777777" w:rsidR="00866252" w:rsidRDefault="00866252" w:rsidP="00004B32">
      <w:pPr>
        <w:pStyle w:val="ad"/>
        <w:numPr>
          <w:ilvl w:val="0"/>
          <w:numId w:val="6"/>
        </w:numPr>
        <w:tabs>
          <w:tab w:val="left" w:pos="12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выделенные из Резервного фонда Администрации Волгоградской области, израсходованы в меньшем объеме на </w:t>
      </w:r>
      <w:r w:rsidRPr="00B14ACD">
        <w:rPr>
          <w:rFonts w:ascii="Times New Roman" w:hAnsi="Times New Roman" w:cs="Times New Roman"/>
          <w:sz w:val="24"/>
          <w:szCs w:val="24"/>
        </w:rPr>
        <w:t>399,7</w:t>
      </w:r>
      <w:r w:rsidR="007D6098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потребности</w:t>
      </w:r>
      <w:r w:rsidR="007D6098">
        <w:rPr>
          <w:rFonts w:ascii="Times New Roman" w:hAnsi="Times New Roman" w:cs="Times New Roman"/>
          <w:sz w:val="24"/>
          <w:szCs w:val="24"/>
        </w:rPr>
        <w:t>.</w:t>
      </w:r>
    </w:p>
    <w:p w14:paraId="5BFCCD3B" w14:textId="72A7FD5A" w:rsidR="0032707A" w:rsidRPr="007F4E57" w:rsidRDefault="007E63EC" w:rsidP="00C46DD3">
      <w:pPr>
        <w:autoSpaceDE w:val="0"/>
        <w:autoSpaceDN w:val="0"/>
        <w:adjustRightInd w:val="0"/>
        <w:ind w:firstLine="709"/>
        <w:jc w:val="both"/>
      </w:pPr>
      <w:r w:rsidRPr="00C46DD3">
        <w:t xml:space="preserve">Утвержденные бюджетные назначения </w:t>
      </w:r>
      <w:r>
        <w:t>ГКУ «Центр развития промышленности и торговли»</w:t>
      </w:r>
      <w:r w:rsidR="00F312A6">
        <w:t xml:space="preserve"> в сумме – 8559,9 тыс.</w:t>
      </w:r>
      <w:r w:rsidR="007F4E57">
        <w:t xml:space="preserve"> </w:t>
      </w:r>
      <w:r w:rsidR="00F312A6">
        <w:t>руб.</w:t>
      </w:r>
      <w:r>
        <w:t xml:space="preserve"> </w:t>
      </w:r>
      <w:r w:rsidRPr="00C46DD3">
        <w:t>исполнены</w:t>
      </w:r>
      <w:r>
        <w:t xml:space="preserve"> в объеме 7486,8 тыс.</w:t>
      </w:r>
      <w:r w:rsidR="00E84145">
        <w:t xml:space="preserve"> </w:t>
      </w:r>
      <w:r>
        <w:t>руб., или на 87,5% к бюджетным назначениям.</w:t>
      </w:r>
      <w:r w:rsidR="00E84145">
        <w:t xml:space="preserve"> </w:t>
      </w:r>
      <w:r>
        <w:t>Причинами неисполнения расходов являются</w:t>
      </w:r>
      <w:r w:rsidR="00BA1230">
        <w:t>:</w:t>
      </w:r>
      <w:r>
        <w:t xml:space="preserve"> оплата работникам периодов временной нетрудоспособности за счет средств Фонда социального страхования РФ, наличие незаполненных вакансий и экономия, полученная по результатам осуществления </w:t>
      </w:r>
      <w:r w:rsidRPr="007F4E57">
        <w:t>закупок для нужд учреждения.</w:t>
      </w:r>
    </w:p>
    <w:p w14:paraId="0C5A3BE2" w14:textId="77777777" w:rsidR="00C320DE" w:rsidRPr="007F4E57" w:rsidRDefault="00C320DE" w:rsidP="00907429">
      <w:pPr>
        <w:pStyle w:val="af5"/>
        <w:ind w:firstLine="680"/>
        <w:jc w:val="both"/>
        <w:rPr>
          <w:sz w:val="24"/>
          <w:szCs w:val="24"/>
        </w:rPr>
      </w:pPr>
    </w:p>
    <w:p w14:paraId="7CB812B5" w14:textId="77777777" w:rsidR="00907429" w:rsidRPr="007F4E57" w:rsidRDefault="00907429" w:rsidP="00907429">
      <w:pPr>
        <w:autoSpaceDE w:val="0"/>
        <w:autoSpaceDN w:val="0"/>
        <w:adjustRightInd w:val="0"/>
        <w:jc w:val="center"/>
        <w:rPr>
          <w:b/>
        </w:rPr>
      </w:pPr>
      <w:r w:rsidRPr="007F4E57">
        <w:rPr>
          <w:b/>
        </w:rPr>
        <w:t>Состояние дебиторской и кредиторской задолженности</w:t>
      </w:r>
    </w:p>
    <w:p w14:paraId="3CB2A024" w14:textId="4B4A2A0F" w:rsidR="00502267" w:rsidRPr="007F4E57" w:rsidRDefault="00907429" w:rsidP="00550878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7F4E57">
        <w:t>Информация о динамике дебиторской и кредиторской задолженности в 20</w:t>
      </w:r>
      <w:r w:rsidR="00835056" w:rsidRPr="007F4E57">
        <w:t>20</w:t>
      </w:r>
      <w:r w:rsidRPr="007F4E57">
        <w:t xml:space="preserve"> году</w:t>
      </w:r>
      <w:r w:rsidR="002C2777">
        <w:t xml:space="preserve"> </w:t>
      </w:r>
      <w:r w:rsidRPr="007F4E57">
        <w:t>приведена в таблице</w:t>
      </w:r>
      <w:r w:rsidR="005A0A9E">
        <w:t xml:space="preserve"> 4</w:t>
      </w:r>
      <w:r w:rsidRPr="007F4E57">
        <w:t>.</w:t>
      </w:r>
    </w:p>
    <w:p w14:paraId="2BB65E9E" w14:textId="59D04A6E" w:rsidR="007225B6" w:rsidRPr="00B3683A" w:rsidRDefault="00907429" w:rsidP="007225B6">
      <w:pPr>
        <w:autoSpaceDE w:val="0"/>
        <w:autoSpaceDN w:val="0"/>
        <w:adjustRightInd w:val="0"/>
        <w:ind w:right="-1" w:firstLine="720"/>
        <w:jc w:val="right"/>
        <w:rPr>
          <w:bCs/>
          <w:i/>
          <w:sz w:val="20"/>
          <w:szCs w:val="20"/>
        </w:rPr>
      </w:pPr>
      <w:r w:rsidRPr="00565EE2">
        <w:rPr>
          <w:bCs/>
          <w:i/>
          <w:color w:val="3333FF"/>
          <w:sz w:val="20"/>
          <w:szCs w:val="20"/>
        </w:rPr>
        <w:t xml:space="preserve">  </w:t>
      </w:r>
      <w:r w:rsidR="007225B6" w:rsidRPr="00565EE2">
        <w:rPr>
          <w:bCs/>
          <w:i/>
          <w:color w:val="3333FF"/>
          <w:sz w:val="20"/>
          <w:szCs w:val="20"/>
        </w:rPr>
        <w:t xml:space="preserve">      </w:t>
      </w:r>
      <w:r w:rsidRPr="00B3683A">
        <w:rPr>
          <w:bCs/>
          <w:i/>
          <w:sz w:val="20"/>
          <w:szCs w:val="20"/>
        </w:rPr>
        <w:t xml:space="preserve">Таблица </w:t>
      </w:r>
      <w:r w:rsidR="00F9703A">
        <w:rPr>
          <w:bCs/>
          <w:i/>
          <w:sz w:val="20"/>
          <w:szCs w:val="20"/>
        </w:rPr>
        <w:t>4</w:t>
      </w:r>
      <w:r w:rsidR="002C2777">
        <w:rPr>
          <w:bCs/>
          <w:i/>
          <w:sz w:val="20"/>
          <w:szCs w:val="20"/>
        </w:rPr>
        <w:t xml:space="preserve"> </w:t>
      </w:r>
      <w:r w:rsidRPr="00B3683A">
        <w:rPr>
          <w:bCs/>
          <w:i/>
          <w:sz w:val="20"/>
          <w:szCs w:val="20"/>
        </w:rPr>
        <w:t>(тыс. руб.)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4"/>
        <w:gridCol w:w="1420"/>
        <w:gridCol w:w="1417"/>
        <w:gridCol w:w="994"/>
        <w:gridCol w:w="1701"/>
      </w:tblGrid>
      <w:tr w:rsidR="002E2126" w:rsidRPr="00565EE2" w14:paraId="70C4FC13" w14:textId="77777777" w:rsidTr="002C2777">
        <w:trPr>
          <w:trHeight w:val="347"/>
        </w:trPr>
        <w:tc>
          <w:tcPr>
            <w:tcW w:w="4674" w:type="dxa"/>
            <w:vMerge w:val="restart"/>
            <w:shd w:val="clear" w:color="auto" w:fill="auto"/>
            <w:vAlign w:val="center"/>
            <w:hideMark/>
          </w:tcPr>
          <w:p w14:paraId="0E58AF90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  <w:hideMark/>
          </w:tcPr>
          <w:p w14:paraId="7B53EAD2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Данные о задолженности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center"/>
            <w:hideMark/>
          </w:tcPr>
          <w:p w14:paraId="5D646D61" w14:textId="77777777" w:rsidR="002E2126" w:rsidRPr="00FD11D5" w:rsidRDefault="002E2126" w:rsidP="002E2126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Изменения</w:t>
            </w:r>
          </w:p>
        </w:tc>
      </w:tr>
      <w:tr w:rsidR="00D24626" w:rsidRPr="00565EE2" w14:paraId="2F8594F0" w14:textId="77777777" w:rsidTr="002C2777">
        <w:trPr>
          <w:trHeight w:val="492"/>
        </w:trPr>
        <w:tc>
          <w:tcPr>
            <w:tcW w:w="4674" w:type="dxa"/>
            <w:vMerge/>
            <w:vAlign w:val="center"/>
            <w:hideMark/>
          </w:tcPr>
          <w:p w14:paraId="50075CF0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5853CBA" w14:textId="77777777" w:rsidR="002E2126" w:rsidRPr="00FD11D5" w:rsidRDefault="002E2126" w:rsidP="00835056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на 01.01.2020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787BC" w14:textId="77777777" w:rsidR="002E2126" w:rsidRPr="00FD11D5" w:rsidRDefault="002E2126" w:rsidP="00835056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на 01.01.2021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B9EFACF" w14:textId="773C5092" w:rsidR="002E2126" w:rsidRPr="00FD11D5" w:rsidRDefault="002E2126" w:rsidP="002E2126">
            <w:pPr>
              <w:autoSpaceDE w:val="0"/>
              <w:autoSpaceDN w:val="0"/>
              <w:adjustRightInd w:val="0"/>
              <w:ind w:right="-1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тыс.</w:t>
            </w:r>
            <w:r w:rsidR="005A0A9E">
              <w:rPr>
                <w:bCs/>
                <w:sz w:val="18"/>
                <w:szCs w:val="18"/>
              </w:rPr>
              <w:t xml:space="preserve"> </w:t>
            </w:r>
            <w:r w:rsidRPr="00FD11D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8A3ED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% (раз)</w:t>
            </w:r>
          </w:p>
        </w:tc>
      </w:tr>
      <w:tr w:rsidR="00D24626" w:rsidRPr="00565EE2" w14:paraId="799193AE" w14:textId="77777777" w:rsidTr="002C2777">
        <w:trPr>
          <w:trHeight w:val="270"/>
        </w:trPr>
        <w:tc>
          <w:tcPr>
            <w:tcW w:w="4674" w:type="dxa"/>
            <w:shd w:val="clear" w:color="auto" w:fill="auto"/>
            <w:vAlign w:val="center"/>
            <w:hideMark/>
          </w:tcPr>
          <w:p w14:paraId="32AF8CDC" w14:textId="3E1ECFE2" w:rsidR="002E2126" w:rsidRPr="00FD11D5" w:rsidRDefault="002E2126" w:rsidP="007225B6">
            <w:pPr>
              <w:jc w:val="both"/>
              <w:rPr>
                <w:b/>
                <w:bCs/>
                <w:sz w:val="18"/>
                <w:szCs w:val="18"/>
              </w:rPr>
            </w:pPr>
            <w:r w:rsidRPr="00FD11D5">
              <w:rPr>
                <w:b/>
                <w:bCs/>
                <w:sz w:val="18"/>
                <w:szCs w:val="18"/>
              </w:rPr>
              <w:t xml:space="preserve">        Дебиторская задолженность всего</w:t>
            </w:r>
            <w:r w:rsidR="005A0A9E">
              <w:rPr>
                <w:b/>
                <w:bCs/>
                <w:sz w:val="18"/>
                <w:szCs w:val="18"/>
              </w:rPr>
              <w:t>,</w:t>
            </w:r>
            <w:r w:rsidRPr="00FD11D5">
              <w:rPr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3BBAD50" w14:textId="77777777" w:rsidR="002E2126" w:rsidRPr="00FD11D5" w:rsidRDefault="002E2126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FD11D5">
              <w:rPr>
                <w:b/>
                <w:bCs/>
                <w:sz w:val="18"/>
                <w:szCs w:val="18"/>
              </w:rPr>
              <w:t>13854,7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F4A44A" w14:textId="77777777" w:rsidR="002E2126" w:rsidRPr="00FD11D5" w:rsidRDefault="006D098B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423990,2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14F76A3" w14:textId="77777777" w:rsidR="002E2126" w:rsidRPr="00FD11D5" w:rsidRDefault="00E84145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24626">
              <w:rPr>
                <w:b/>
                <w:bCs/>
                <w:sz w:val="18"/>
                <w:szCs w:val="18"/>
              </w:rPr>
              <w:t>410135,5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71732" w14:textId="53C2636B" w:rsidR="002E2126" w:rsidRPr="00FD11D5" w:rsidRDefault="00D24626" w:rsidP="00D2462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</w:t>
            </w:r>
            <w:r w:rsidR="005A0A9E">
              <w:rPr>
                <w:b/>
                <w:bCs/>
                <w:sz w:val="18"/>
                <w:szCs w:val="18"/>
              </w:rPr>
              <w:t>илась</w:t>
            </w:r>
            <w:r>
              <w:rPr>
                <w:b/>
                <w:bCs/>
                <w:sz w:val="18"/>
                <w:szCs w:val="18"/>
              </w:rPr>
              <w:t xml:space="preserve"> в 30,6 раза</w:t>
            </w:r>
          </w:p>
        </w:tc>
      </w:tr>
      <w:tr w:rsidR="00D24626" w:rsidRPr="00565EE2" w14:paraId="402192C8" w14:textId="77777777" w:rsidTr="002C2777">
        <w:trPr>
          <w:trHeight w:val="210"/>
        </w:trPr>
        <w:tc>
          <w:tcPr>
            <w:tcW w:w="4674" w:type="dxa"/>
            <w:shd w:val="clear" w:color="auto" w:fill="auto"/>
            <w:vAlign w:val="center"/>
            <w:hideMark/>
          </w:tcPr>
          <w:p w14:paraId="60DB7517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Расчеты по выданным авансам</w:t>
            </w:r>
            <w:r w:rsidR="00A52750">
              <w:rPr>
                <w:bCs/>
                <w:sz w:val="18"/>
                <w:szCs w:val="18"/>
              </w:rPr>
              <w:t xml:space="preserve">   1 20600 000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E27EF5C" w14:textId="77777777" w:rsidR="002E2126" w:rsidRPr="00FD11D5" w:rsidRDefault="002E2126" w:rsidP="00BC7362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1</w:t>
            </w:r>
            <w:r w:rsidR="005C2E80">
              <w:rPr>
                <w:bCs/>
                <w:sz w:val="18"/>
                <w:szCs w:val="18"/>
              </w:rPr>
              <w:t>3</w:t>
            </w:r>
            <w:r w:rsidRPr="00FD11D5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68DDD" w14:textId="77777777" w:rsidR="002E2126" w:rsidRPr="00FD11D5" w:rsidRDefault="00D61DBD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54D3147" w14:textId="77777777" w:rsidR="002E2126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-13679,5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82A0A" w14:textId="5B2B64C7" w:rsidR="002E2126" w:rsidRPr="00FD11D5" w:rsidRDefault="005A0A9E" w:rsidP="00E84145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8172EE">
              <w:rPr>
                <w:bCs/>
                <w:sz w:val="18"/>
                <w:szCs w:val="18"/>
              </w:rPr>
              <w:t>меньш</w:t>
            </w:r>
            <w:r>
              <w:rPr>
                <w:bCs/>
                <w:sz w:val="18"/>
                <w:szCs w:val="18"/>
              </w:rPr>
              <w:t xml:space="preserve">илась </w:t>
            </w:r>
            <w:r w:rsidR="00E84145">
              <w:rPr>
                <w:bCs/>
                <w:sz w:val="18"/>
                <w:szCs w:val="18"/>
              </w:rPr>
              <w:t>почти на 100%</w:t>
            </w:r>
          </w:p>
        </w:tc>
      </w:tr>
      <w:tr w:rsidR="00D24626" w:rsidRPr="00565EE2" w14:paraId="29E37526" w14:textId="77777777" w:rsidTr="002C2777">
        <w:trPr>
          <w:trHeight w:val="255"/>
        </w:trPr>
        <w:tc>
          <w:tcPr>
            <w:tcW w:w="4674" w:type="dxa"/>
            <w:shd w:val="clear" w:color="auto" w:fill="auto"/>
            <w:vAlign w:val="center"/>
            <w:hideMark/>
          </w:tcPr>
          <w:p w14:paraId="6308D1A1" w14:textId="5FEBEA0C" w:rsidR="00DC5B34" w:rsidRPr="00FD11D5" w:rsidRDefault="007F60A3" w:rsidP="007F60A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Расчеты по платежам в бюджет</w:t>
            </w:r>
            <w:r w:rsidR="00963397">
              <w:rPr>
                <w:bCs/>
                <w:sz w:val="18"/>
                <w:szCs w:val="18"/>
              </w:rPr>
              <w:t xml:space="preserve"> 1 30300 000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45EF88F" w14:textId="77777777" w:rsidR="00DC5B34" w:rsidRPr="00FD11D5" w:rsidRDefault="007F60A3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27572" w14:textId="77777777" w:rsidR="00DC5B34" w:rsidRDefault="00DC5B34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41054AF" w14:textId="77777777" w:rsidR="00DC5B34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D6EE2" w14:textId="083C72D2" w:rsidR="00DC5B34" w:rsidRPr="00FD11D5" w:rsidRDefault="005A0A9E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8172EE">
              <w:rPr>
                <w:bCs/>
                <w:sz w:val="18"/>
                <w:szCs w:val="18"/>
              </w:rPr>
              <w:t>меньш</w:t>
            </w:r>
            <w:r>
              <w:rPr>
                <w:bCs/>
                <w:sz w:val="18"/>
                <w:szCs w:val="18"/>
              </w:rPr>
              <w:t xml:space="preserve">илась </w:t>
            </w:r>
            <w:r w:rsidR="008172EE">
              <w:rPr>
                <w:bCs/>
                <w:sz w:val="18"/>
                <w:szCs w:val="18"/>
              </w:rPr>
              <w:t>в 2,9 раза</w:t>
            </w:r>
          </w:p>
        </w:tc>
      </w:tr>
      <w:tr w:rsidR="00D24626" w:rsidRPr="00565EE2" w14:paraId="7D7A8DA3" w14:textId="77777777" w:rsidTr="002C2777">
        <w:trPr>
          <w:trHeight w:val="255"/>
        </w:trPr>
        <w:tc>
          <w:tcPr>
            <w:tcW w:w="4674" w:type="dxa"/>
            <w:shd w:val="clear" w:color="auto" w:fill="auto"/>
            <w:vAlign w:val="center"/>
            <w:hideMark/>
          </w:tcPr>
          <w:p w14:paraId="1611EA41" w14:textId="77777777" w:rsidR="002E2126" w:rsidRPr="00FD11D5" w:rsidRDefault="002E2126" w:rsidP="007225B6">
            <w:pPr>
              <w:jc w:val="both"/>
              <w:rPr>
                <w:bCs/>
                <w:sz w:val="18"/>
                <w:szCs w:val="18"/>
              </w:rPr>
            </w:pPr>
            <w:r w:rsidRPr="00E24C5D">
              <w:rPr>
                <w:bCs/>
                <w:sz w:val="18"/>
                <w:szCs w:val="18"/>
              </w:rPr>
              <w:t>Расчеты с подотчетными лицами</w:t>
            </w:r>
            <w:r w:rsidR="00963397">
              <w:rPr>
                <w:bCs/>
                <w:sz w:val="18"/>
                <w:szCs w:val="18"/>
              </w:rPr>
              <w:t xml:space="preserve"> 1 20800 000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8548E7A" w14:textId="77777777" w:rsidR="002E2126" w:rsidRPr="00FD11D5" w:rsidRDefault="002E2126" w:rsidP="00BC7362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EAABC2" w14:textId="77777777" w:rsidR="002E2126" w:rsidRPr="00FD11D5" w:rsidRDefault="000E7B3D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BCC13EF" w14:textId="77777777" w:rsidR="002E2126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58561" w14:textId="77777777" w:rsidR="002E2126" w:rsidRPr="00FD11D5" w:rsidRDefault="00E84145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D24626" w:rsidRPr="00565EE2" w14:paraId="7F8EA654" w14:textId="77777777" w:rsidTr="002C2777">
        <w:trPr>
          <w:trHeight w:val="210"/>
        </w:trPr>
        <w:tc>
          <w:tcPr>
            <w:tcW w:w="4674" w:type="dxa"/>
            <w:shd w:val="clear" w:color="auto" w:fill="auto"/>
            <w:vAlign w:val="center"/>
            <w:hideMark/>
          </w:tcPr>
          <w:p w14:paraId="61989748" w14:textId="787EB5AF" w:rsidR="002E2126" w:rsidRPr="00FD11D5" w:rsidRDefault="002E2126" w:rsidP="00B36D68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Расчеты по</w:t>
            </w:r>
            <w:r w:rsidR="007F60A3">
              <w:rPr>
                <w:bCs/>
                <w:sz w:val="18"/>
                <w:szCs w:val="18"/>
              </w:rPr>
              <w:t xml:space="preserve"> доходам</w:t>
            </w:r>
            <w:r w:rsidR="00B36D68">
              <w:rPr>
                <w:bCs/>
                <w:sz w:val="18"/>
                <w:szCs w:val="18"/>
              </w:rPr>
              <w:t xml:space="preserve"> от прочих сумм принудительного изъятия</w:t>
            </w:r>
            <w:r w:rsidR="007F60A3">
              <w:rPr>
                <w:bCs/>
                <w:sz w:val="18"/>
                <w:szCs w:val="18"/>
              </w:rPr>
              <w:t xml:space="preserve"> </w:t>
            </w:r>
            <w:r w:rsidR="00963397">
              <w:rPr>
                <w:bCs/>
                <w:sz w:val="18"/>
                <w:szCs w:val="18"/>
              </w:rPr>
              <w:t>1 20500 000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5F082BE" w14:textId="77777777" w:rsidR="002E2126" w:rsidRPr="00FD11D5" w:rsidRDefault="007F60A3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D487D7" w14:textId="77777777" w:rsidR="002E2126" w:rsidRPr="00FD11D5" w:rsidRDefault="000E7B3D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423930,4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26C34A0" w14:textId="77777777" w:rsidR="002E2126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+423930,4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B98B9" w14:textId="77777777" w:rsidR="002E2126" w:rsidRPr="00FD11D5" w:rsidRDefault="00E84145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D24626" w:rsidRPr="00565EE2" w14:paraId="2AFCCB41" w14:textId="77777777" w:rsidTr="002C2777">
        <w:trPr>
          <w:trHeight w:val="210"/>
        </w:trPr>
        <w:tc>
          <w:tcPr>
            <w:tcW w:w="4674" w:type="dxa"/>
            <w:shd w:val="clear" w:color="auto" w:fill="auto"/>
            <w:vAlign w:val="center"/>
            <w:hideMark/>
          </w:tcPr>
          <w:p w14:paraId="1E8FF366" w14:textId="5D60135D" w:rsidR="002E2126" w:rsidRPr="00FD11D5" w:rsidRDefault="002E2126" w:rsidP="007225B6">
            <w:pPr>
              <w:jc w:val="both"/>
              <w:rPr>
                <w:b/>
                <w:bCs/>
                <w:sz w:val="18"/>
                <w:szCs w:val="18"/>
              </w:rPr>
            </w:pPr>
            <w:r w:rsidRPr="00FD11D5">
              <w:rPr>
                <w:b/>
                <w:bCs/>
                <w:sz w:val="18"/>
                <w:szCs w:val="18"/>
              </w:rPr>
              <w:t xml:space="preserve">        Кредиторская задолженность всего</w:t>
            </w:r>
            <w:r w:rsidR="005A0A9E">
              <w:rPr>
                <w:b/>
                <w:bCs/>
                <w:sz w:val="18"/>
                <w:szCs w:val="18"/>
              </w:rPr>
              <w:t>,</w:t>
            </w:r>
            <w:r w:rsidRPr="00FD11D5">
              <w:rPr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379433C" w14:textId="77777777" w:rsidR="002E2126" w:rsidRPr="00FD11D5" w:rsidRDefault="002E2126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FD11D5">
              <w:rPr>
                <w:b/>
                <w:bCs/>
                <w:sz w:val="18"/>
                <w:szCs w:val="18"/>
              </w:rPr>
              <w:t>5693,1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150A99" w14:textId="77777777" w:rsidR="002E2126" w:rsidRPr="00FD11D5" w:rsidRDefault="00EA7492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1002,9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8445317" w14:textId="77777777" w:rsidR="002E2126" w:rsidRPr="00FD11D5" w:rsidRDefault="00E84145" w:rsidP="00BC7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172EE">
              <w:rPr>
                <w:b/>
                <w:bCs/>
                <w:sz w:val="18"/>
                <w:szCs w:val="18"/>
              </w:rPr>
              <w:t>4690,2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48C71" w14:textId="090EBF6D" w:rsidR="002E2126" w:rsidRPr="00FD11D5" w:rsidRDefault="008172EE" w:rsidP="00747ECD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</w:t>
            </w:r>
            <w:r w:rsidR="005A0A9E">
              <w:rPr>
                <w:b/>
                <w:bCs/>
                <w:sz w:val="18"/>
                <w:szCs w:val="18"/>
              </w:rPr>
              <w:t>илась</w:t>
            </w:r>
            <w:r>
              <w:rPr>
                <w:b/>
                <w:bCs/>
                <w:sz w:val="18"/>
                <w:szCs w:val="18"/>
              </w:rPr>
              <w:t xml:space="preserve"> в 5,</w:t>
            </w:r>
            <w:r w:rsidR="00747EC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раза</w:t>
            </w:r>
          </w:p>
        </w:tc>
      </w:tr>
      <w:tr w:rsidR="00D24626" w:rsidRPr="00565EE2" w14:paraId="70D2F47F" w14:textId="77777777" w:rsidTr="002C2777">
        <w:trPr>
          <w:trHeight w:val="255"/>
        </w:trPr>
        <w:tc>
          <w:tcPr>
            <w:tcW w:w="4674" w:type="dxa"/>
            <w:shd w:val="clear" w:color="auto" w:fill="auto"/>
            <w:vAlign w:val="center"/>
            <w:hideMark/>
          </w:tcPr>
          <w:p w14:paraId="3F0E4E5C" w14:textId="77777777" w:rsidR="002E2126" w:rsidRPr="00FD11D5" w:rsidRDefault="002E2126" w:rsidP="007F60A3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Расчеты по платежам в бюджет</w:t>
            </w:r>
            <w:r w:rsidR="002311A2">
              <w:rPr>
                <w:bCs/>
                <w:sz w:val="18"/>
                <w:szCs w:val="18"/>
              </w:rPr>
              <w:t xml:space="preserve"> 1 30300 000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2E0FFC8" w14:textId="77777777" w:rsidR="002E2126" w:rsidRPr="00FD11D5" w:rsidRDefault="002E2126" w:rsidP="00BC7362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0,</w:t>
            </w:r>
            <w:r w:rsidR="00BC29B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165C3" w14:textId="77777777" w:rsidR="002E2126" w:rsidRPr="00D030F4" w:rsidRDefault="00D030F4" w:rsidP="00BC7362">
            <w:pPr>
              <w:jc w:val="center"/>
              <w:rPr>
                <w:bCs/>
                <w:sz w:val="18"/>
                <w:szCs w:val="18"/>
              </w:rPr>
            </w:pPr>
            <w:r w:rsidRPr="00D030F4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269B5F8" w14:textId="77777777" w:rsidR="002E2126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6B38C" w14:textId="77777777" w:rsidR="002E2126" w:rsidRPr="00FD11D5" w:rsidRDefault="00E84145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D24626" w:rsidRPr="00565EE2" w14:paraId="062CBD09" w14:textId="77777777" w:rsidTr="002C2777">
        <w:trPr>
          <w:trHeight w:val="255"/>
        </w:trPr>
        <w:tc>
          <w:tcPr>
            <w:tcW w:w="4674" w:type="dxa"/>
            <w:shd w:val="clear" w:color="auto" w:fill="auto"/>
            <w:vAlign w:val="center"/>
            <w:hideMark/>
          </w:tcPr>
          <w:p w14:paraId="67FAA90A" w14:textId="77777777" w:rsidR="002E2126" w:rsidRPr="00FD11D5" w:rsidRDefault="002E2126" w:rsidP="002E2126">
            <w:pPr>
              <w:jc w:val="both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Расчеты по доходам</w:t>
            </w:r>
            <w:r w:rsidR="002311A2">
              <w:rPr>
                <w:bCs/>
                <w:sz w:val="18"/>
                <w:szCs w:val="18"/>
              </w:rPr>
              <w:t xml:space="preserve"> 1 20500 000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633DD0C" w14:textId="77777777" w:rsidR="002E2126" w:rsidRPr="00FD11D5" w:rsidRDefault="002E2126" w:rsidP="00BC7362">
            <w:pPr>
              <w:jc w:val="center"/>
              <w:rPr>
                <w:bCs/>
                <w:sz w:val="18"/>
                <w:szCs w:val="18"/>
              </w:rPr>
            </w:pPr>
            <w:r w:rsidRPr="00FD11D5">
              <w:rPr>
                <w:bCs/>
                <w:sz w:val="18"/>
                <w:szCs w:val="18"/>
              </w:rPr>
              <w:t>5</w:t>
            </w:r>
            <w:r w:rsidR="00BC29B0">
              <w:rPr>
                <w:bCs/>
                <w:sz w:val="18"/>
                <w:szCs w:val="18"/>
              </w:rPr>
              <w:t>693,1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3C4DD" w14:textId="77777777" w:rsidR="002E2126" w:rsidRPr="00D030F4" w:rsidRDefault="00D030F4" w:rsidP="00BC7362">
            <w:pPr>
              <w:jc w:val="center"/>
              <w:rPr>
                <w:bCs/>
                <w:sz w:val="18"/>
                <w:szCs w:val="18"/>
              </w:rPr>
            </w:pPr>
            <w:r w:rsidRPr="00D030F4">
              <w:rPr>
                <w:bCs/>
                <w:sz w:val="18"/>
                <w:szCs w:val="18"/>
              </w:rPr>
              <w:t>879,3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1943245" w14:textId="77777777" w:rsidR="002E2126" w:rsidRPr="00FD11D5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-4813,8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94EB2" w14:textId="684DEA58" w:rsidR="002E2126" w:rsidRPr="00FD11D5" w:rsidRDefault="008172EE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уменьш</w:t>
            </w:r>
            <w:r w:rsidR="005A0A9E">
              <w:rPr>
                <w:bCs/>
                <w:sz w:val="18"/>
                <w:szCs w:val="18"/>
              </w:rPr>
              <w:t>илась</w:t>
            </w:r>
            <w:r w:rsidR="00CA43E4">
              <w:rPr>
                <w:bCs/>
                <w:sz w:val="18"/>
                <w:szCs w:val="18"/>
              </w:rPr>
              <w:t xml:space="preserve"> </w:t>
            </w:r>
            <w:r w:rsidR="00747ECD">
              <w:rPr>
                <w:bCs/>
                <w:sz w:val="18"/>
                <w:szCs w:val="18"/>
              </w:rPr>
              <w:t>в 6,5 раза</w:t>
            </w:r>
          </w:p>
        </w:tc>
      </w:tr>
      <w:tr w:rsidR="00D24626" w:rsidRPr="00565EE2" w14:paraId="17E9DA11" w14:textId="77777777" w:rsidTr="002C2777">
        <w:trPr>
          <w:trHeight w:val="255"/>
        </w:trPr>
        <w:tc>
          <w:tcPr>
            <w:tcW w:w="4674" w:type="dxa"/>
            <w:shd w:val="clear" w:color="auto" w:fill="auto"/>
            <w:vAlign w:val="center"/>
            <w:hideMark/>
          </w:tcPr>
          <w:p w14:paraId="7D5CC8D9" w14:textId="77777777" w:rsidR="002E2126" w:rsidRPr="00FD11D5" w:rsidRDefault="00B36D68" w:rsidP="00B36D6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Расчеты по принятым обязательствам</w:t>
            </w:r>
            <w:r w:rsidR="002311A2">
              <w:rPr>
                <w:bCs/>
                <w:sz w:val="18"/>
                <w:szCs w:val="18"/>
              </w:rPr>
              <w:t xml:space="preserve"> 1 30200 000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B923114" w14:textId="77777777" w:rsidR="002E2126" w:rsidRPr="00FD11D5" w:rsidRDefault="00BC29B0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71BD08" w14:textId="77777777" w:rsidR="002E2126" w:rsidRPr="00D030F4" w:rsidRDefault="00BE2DF2" w:rsidP="00BC7362">
            <w:pPr>
              <w:jc w:val="center"/>
              <w:rPr>
                <w:bCs/>
                <w:sz w:val="18"/>
                <w:szCs w:val="18"/>
              </w:rPr>
            </w:pPr>
            <w:r w:rsidRPr="00D030F4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06DC3FB" w14:textId="77777777" w:rsidR="002E2126" w:rsidRPr="008172EE" w:rsidRDefault="008172EE" w:rsidP="00BC7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8172EE">
              <w:rPr>
                <w:bCs/>
                <w:sz w:val="18"/>
                <w:szCs w:val="18"/>
              </w:rPr>
              <w:t>58,3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4597C" w14:textId="77777777" w:rsidR="002E2126" w:rsidRPr="00747ECD" w:rsidRDefault="00E84145" w:rsidP="00D24626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</w:tbl>
    <w:p w14:paraId="015F86DC" w14:textId="77777777" w:rsidR="00747ECD" w:rsidRDefault="00747ECD" w:rsidP="00C61785">
      <w:pPr>
        <w:tabs>
          <w:tab w:val="left" w:pos="0"/>
        </w:tabs>
        <w:ind w:firstLine="709"/>
        <w:rPr>
          <w:i/>
          <w:u w:val="single"/>
        </w:rPr>
      </w:pPr>
    </w:p>
    <w:p w14:paraId="48C560BE" w14:textId="77777777" w:rsidR="00FC22CD" w:rsidRPr="00D24626" w:rsidRDefault="00FC22CD" w:rsidP="00C61785">
      <w:pPr>
        <w:tabs>
          <w:tab w:val="left" w:pos="0"/>
        </w:tabs>
        <w:ind w:firstLine="709"/>
        <w:rPr>
          <w:i/>
          <w:u w:val="single"/>
        </w:rPr>
      </w:pPr>
      <w:r w:rsidRPr="00D24626">
        <w:rPr>
          <w:i/>
          <w:u w:val="single"/>
        </w:rPr>
        <w:t>Состояние дебиторской задолженности:</w:t>
      </w:r>
    </w:p>
    <w:p w14:paraId="571D230D" w14:textId="71EFF700" w:rsidR="00D24626" w:rsidRPr="00D24626" w:rsidRDefault="00E24C5D" w:rsidP="00E24C5D">
      <w:pPr>
        <w:ind w:firstLine="709"/>
        <w:jc w:val="both"/>
      </w:pPr>
      <w:r w:rsidRPr="00D24626">
        <w:t>Дебиторская задолженность на 01.01.2021 составила 4239</w:t>
      </w:r>
      <w:r w:rsidR="00B36D68">
        <w:t>90,2</w:t>
      </w:r>
      <w:r w:rsidRPr="00D24626">
        <w:t xml:space="preserve"> тыс. руб., </w:t>
      </w:r>
      <w:r w:rsidR="005A0A9E">
        <w:t xml:space="preserve">то есть </w:t>
      </w:r>
      <w:r w:rsidRPr="00D24626">
        <w:t xml:space="preserve">увеличилась относительно 2020 года </w:t>
      </w:r>
      <w:r w:rsidR="00D24626">
        <w:t xml:space="preserve">на 410135,5 тыс. руб., </w:t>
      </w:r>
      <w:r w:rsidR="00B3683A">
        <w:t xml:space="preserve">или </w:t>
      </w:r>
      <w:r w:rsidR="00680F3C">
        <w:t>в 30,6 раза.</w:t>
      </w:r>
    </w:p>
    <w:p w14:paraId="13D6A0B6" w14:textId="77777777" w:rsidR="00C37B9B" w:rsidRDefault="00B36D68" w:rsidP="00B36D68">
      <w:pPr>
        <w:ind w:firstLine="709"/>
        <w:jc w:val="both"/>
      </w:pPr>
      <w:r>
        <w:t xml:space="preserve">Наибольший размер дебиторской задолженности в сумме </w:t>
      </w:r>
      <w:r w:rsidRPr="005A5AC8">
        <w:t xml:space="preserve">по коду счета 1 205 00 000 </w:t>
      </w:r>
      <w:r>
        <w:t>сложился в результате</w:t>
      </w:r>
      <w:r w:rsidR="00C37B9B">
        <w:t>:</w:t>
      </w:r>
    </w:p>
    <w:p w14:paraId="2BE02AAE" w14:textId="01435183" w:rsidR="00B36D68" w:rsidRPr="00570CD3" w:rsidRDefault="00C37B9B" w:rsidP="00B36D68">
      <w:pPr>
        <w:ind w:firstLine="709"/>
        <w:jc w:val="both"/>
      </w:pPr>
      <w:r>
        <w:t>-</w:t>
      </w:r>
      <w:r w:rsidR="00B36D68">
        <w:t>отражения доходов будущих периодов</w:t>
      </w:r>
      <w:r w:rsidR="00B36D68" w:rsidRPr="005A5AC8">
        <w:t xml:space="preserve"> </w:t>
      </w:r>
      <w:r>
        <w:t xml:space="preserve">2021-2022 гг. по предоставлению субсидии на мероприятия по развитию рынка газомоторного топлива в рамках заключенных соглашений между Администрацией Волгоградской области и Министерством </w:t>
      </w:r>
      <w:r w:rsidR="00B3683A">
        <w:t>э</w:t>
      </w:r>
      <w:r>
        <w:t xml:space="preserve">нергетики Российской Федерации в размере 400800,0 тыс. руб., из них долгосрочная дебиторская задолженность </w:t>
      </w:r>
      <w:r w:rsidR="005A0A9E">
        <w:t>-</w:t>
      </w:r>
      <w:r>
        <w:t xml:space="preserve"> </w:t>
      </w:r>
      <w:r w:rsidRPr="00570CD3">
        <w:t>187611,0 тыс. рублей;</w:t>
      </w:r>
    </w:p>
    <w:p w14:paraId="51D21067" w14:textId="048A659B" w:rsidR="00570CD3" w:rsidRPr="00570CD3" w:rsidRDefault="00C37B9B" w:rsidP="00570CD3">
      <w:pPr>
        <w:pStyle w:val="a3"/>
        <w:spacing w:after="0"/>
        <w:ind w:firstLine="708"/>
        <w:jc w:val="both"/>
      </w:pPr>
      <w:r w:rsidRPr="00570CD3">
        <w:rPr>
          <w:caps/>
        </w:rPr>
        <w:t>-</w:t>
      </w:r>
      <w:r w:rsidR="00570CD3" w:rsidRPr="00570CD3">
        <w:rPr>
          <w:highlight w:val="white"/>
          <w:shd w:val="clear" w:color="auto" w:fill="FFFFFF"/>
        </w:rPr>
        <w:t xml:space="preserve">неполного освоения предоставленной субсидии из областного бюджета Фонду </w:t>
      </w:r>
      <w:r w:rsidR="00570CD3">
        <w:rPr>
          <w:shd w:val="clear" w:color="auto" w:fill="FFFFFF"/>
        </w:rPr>
        <w:t>«</w:t>
      </w:r>
      <w:r w:rsidR="00570CD3" w:rsidRPr="00570CD3">
        <w:t>Перспективное развитие Волгоградской области</w:t>
      </w:r>
      <w:r w:rsidR="00570CD3">
        <w:t xml:space="preserve">» </w:t>
      </w:r>
      <w:r w:rsidR="00570CD3" w:rsidRPr="00570CD3">
        <w:rPr>
          <w:highlight w:val="white"/>
          <w:shd w:val="clear" w:color="auto" w:fill="FFFFFF"/>
        </w:rPr>
        <w:t xml:space="preserve">в размере 20000 </w:t>
      </w:r>
      <w:r w:rsidR="00570CD3" w:rsidRPr="00570CD3">
        <w:t>тыс. рублей</w:t>
      </w:r>
      <w:r w:rsidR="006B6AB7">
        <w:t xml:space="preserve"> (возврат осуществлен в 2021 году)</w:t>
      </w:r>
      <w:r w:rsidR="00570CD3" w:rsidRPr="00570CD3">
        <w:t>;</w:t>
      </w:r>
    </w:p>
    <w:p w14:paraId="02CC2C4B" w14:textId="5FB085B1" w:rsidR="00570CD3" w:rsidRPr="00570CD3" w:rsidRDefault="00570CD3" w:rsidP="00570CD3">
      <w:pPr>
        <w:ind w:firstLine="709"/>
        <w:jc w:val="both"/>
      </w:pPr>
      <w:r>
        <w:lastRenderedPageBreak/>
        <w:t>-</w:t>
      </w:r>
      <w:r w:rsidRPr="00570CD3">
        <w:t>неоплаченных штрафов</w:t>
      </w:r>
      <w:r w:rsidR="00B3683A">
        <w:t>,</w:t>
      </w:r>
      <w:r w:rsidRPr="00570CD3">
        <w:t xml:space="preserve"> наложенных </w:t>
      </w:r>
      <w:r>
        <w:t>К</w:t>
      </w:r>
      <w:r w:rsidRPr="00570CD3">
        <w:t>омитетом на физически</w:t>
      </w:r>
      <w:r w:rsidR="00B3683A">
        <w:t>х</w:t>
      </w:r>
      <w:r>
        <w:t xml:space="preserve"> </w:t>
      </w:r>
      <w:r w:rsidRPr="00570CD3">
        <w:t>и юридически</w:t>
      </w:r>
      <w:r w:rsidR="00B3683A">
        <w:t>х</w:t>
      </w:r>
      <w:r w:rsidRPr="00570CD3">
        <w:t xml:space="preserve"> лиц за нарушение правил продажи и (или) оборота этилового спирта, алкогольной спиртосодержащей продукции в сумме</w:t>
      </w:r>
      <w:r>
        <w:t xml:space="preserve"> </w:t>
      </w:r>
      <w:r w:rsidRPr="00570CD3">
        <w:t>1384,1 тыс. руб</w:t>
      </w:r>
      <w:r w:rsidR="005A0A9E">
        <w:t>.</w:t>
      </w:r>
      <w:r w:rsidRPr="00570CD3">
        <w:t>;</w:t>
      </w:r>
    </w:p>
    <w:p w14:paraId="6DCBE9CC" w14:textId="1F646C59" w:rsidR="00570CD3" w:rsidRPr="00570CD3" w:rsidRDefault="00570CD3" w:rsidP="00570CD3">
      <w:pPr>
        <w:ind w:firstLine="709"/>
        <w:jc w:val="both"/>
      </w:pPr>
      <w:r>
        <w:t>-</w:t>
      </w:r>
      <w:r w:rsidRPr="00570CD3">
        <w:t>неоплаченных штрафов</w:t>
      </w:r>
      <w:r w:rsidR="00B3683A">
        <w:t>,</w:t>
      </w:r>
      <w:r w:rsidRPr="00570CD3">
        <w:t xml:space="preserve"> наложенных </w:t>
      </w:r>
      <w:r w:rsidR="00B3683A">
        <w:t>К</w:t>
      </w:r>
      <w:r w:rsidRPr="00570CD3">
        <w:t>омитетом на физически</w:t>
      </w:r>
      <w:r w:rsidR="00B3683A">
        <w:t>х</w:t>
      </w:r>
      <w:r>
        <w:t xml:space="preserve"> </w:t>
      </w:r>
      <w:r w:rsidR="00B3683A">
        <w:t>и юридических</w:t>
      </w:r>
      <w:r w:rsidRPr="00570CD3">
        <w:t xml:space="preserve"> лиц за искажение информации и (или) нарушение порядка</w:t>
      </w:r>
      <w:r>
        <w:t xml:space="preserve"> </w:t>
      </w:r>
      <w:r w:rsidRPr="00570CD3">
        <w:t>и сроков при декларировании производства, оборота</w:t>
      </w:r>
      <w:r>
        <w:t xml:space="preserve"> </w:t>
      </w:r>
      <w:r w:rsidRPr="00570CD3">
        <w:t>и (или) использования этилового спирта, алкогольной и спиртосодержащей продукции юридическими лицами в сумме 952,3 тыс. руб</w:t>
      </w:r>
      <w:r w:rsidR="00B337BE">
        <w:t>.</w:t>
      </w:r>
      <w:r w:rsidRPr="00570CD3">
        <w:t>;</w:t>
      </w:r>
    </w:p>
    <w:p w14:paraId="42D52BED" w14:textId="62E0B915" w:rsidR="00C37B9B" w:rsidRDefault="00570CD3" w:rsidP="008172EE">
      <w:pPr>
        <w:ind w:firstLine="709"/>
        <w:jc w:val="both"/>
      </w:pPr>
      <w:r>
        <w:t>-</w:t>
      </w:r>
      <w:r w:rsidRPr="00570CD3">
        <w:t>неоплаченных штрафов</w:t>
      </w:r>
      <w:r w:rsidR="00B3683A">
        <w:t>,</w:t>
      </w:r>
      <w:r w:rsidRPr="00570CD3">
        <w:t xml:space="preserve"> наложенных </w:t>
      </w:r>
      <w:r w:rsidR="00B3683A">
        <w:t>К</w:t>
      </w:r>
      <w:r w:rsidRPr="00570CD3">
        <w:t>омитетом на физически</w:t>
      </w:r>
      <w:r w:rsidR="00B3683A">
        <w:t>х</w:t>
      </w:r>
      <w:r>
        <w:t xml:space="preserve"> </w:t>
      </w:r>
      <w:r w:rsidRPr="00570CD3">
        <w:t>и юридически</w:t>
      </w:r>
      <w:r w:rsidR="00B3683A">
        <w:t>х</w:t>
      </w:r>
      <w:r w:rsidRPr="00570CD3">
        <w:t xml:space="preserve"> лиц за</w:t>
      </w:r>
      <w:r>
        <w:t xml:space="preserve"> </w:t>
      </w:r>
      <w:r w:rsidRPr="00570CD3">
        <w:t>нарушение общественной безопасности в сумме</w:t>
      </w:r>
      <w:r>
        <w:t xml:space="preserve"> </w:t>
      </w:r>
      <w:r w:rsidRPr="00570CD3">
        <w:t>794 тыс. рублей.</w:t>
      </w:r>
    </w:p>
    <w:p w14:paraId="1766A39B" w14:textId="77777777" w:rsidR="00FC22CD" w:rsidRPr="005A5AC8" w:rsidRDefault="00FC22CD" w:rsidP="00B041D2">
      <w:pPr>
        <w:ind w:firstLine="709"/>
        <w:jc w:val="both"/>
        <w:rPr>
          <w:i/>
          <w:u w:val="single"/>
        </w:rPr>
      </w:pPr>
      <w:r w:rsidRPr="005A5AC8">
        <w:rPr>
          <w:i/>
          <w:u w:val="single"/>
        </w:rPr>
        <w:t>Состояние кредиторской задолженности:</w:t>
      </w:r>
    </w:p>
    <w:p w14:paraId="579F2DC6" w14:textId="51646E2B" w:rsidR="00570F2E" w:rsidRPr="005A5AC8" w:rsidRDefault="00B041D2" w:rsidP="00B041D2">
      <w:pPr>
        <w:ind w:firstLine="709"/>
        <w:jc w:val="both"/>
      </w:pPr>
      <w:r w:rsidRPr="005A5AC8">
        <w:t>Кредиторская задолженность на 01.01.20</w:t>
      </w:r>
      <w:r w:rsidR="00B3683A">
        <w:t>21</w:t>
      </w:r>
      <w:r w:rsidRPr="005A5AC8">
        <w:t xml:space="preserve"> состав</w:t>
      </w:r>
      <w:r w:rsidR="00E24C5D" w:rsidRPr="005A5AC8">
        <w:t>ила</w:t>
      </w:r>
      <w:r w:rsidRPr="005A5AC8">
        <w:t xml:space="preserve"> </w:t>
      </w:r>
      <w:r w:rsidR="008172EE">
        <w:t>1002,9</w:t>
      </w:r>
      <w:r w:rsidRPr="005A5AC8">
        <w:t xml:space="preserve"> тыс. руб.,</w:t>
      </w:r>
      <w:r w:rsidR="00E16766" w:rsidRPr="005A5AC8">
        <w:t xml:space="preserve"> </w:t>
      </w:r>
      <w:r w:rsidR="00B337BE">
        <w:t xml:space="preserve">то есть </w:t>
      </w:r>
      <w:r w:rsidR="00E16766" w:rsidRPr="005A5AC8">
        <w:t xml:space="preserve">уменьшилась в </w:t>
      </w:r>
      <w:r w:rsidR="00747ECD">
        <w:t>5,6</w:t>
      </w:r>
      <w:r w:rsidR="00E16766" w:rsidRPr="005A5AC8">
        <w:t xml:space="preserve"> раз</w:t>
      </w:r>
      <w:r w:rsidR="00B3683A">
        <w:t>а</w:t>
      </w:r>
      <w:r w:rsidR="003D16D7">
        <w:t xml:space="preserve"> и сложилась в результате: </w:t>
      </w:r>
    </w:p>
    <w:p w14:paraId="10ABF52D" w14:textId="49D3FCF5" w:rsidR="007F60A3" w:rsidRDefault="00B3683A" w:rsidP="007F60A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t>-</w:t>
      </w:r>
      <w:r w:rsidR="007F60A3" w:rsidRPr="00E82ECF">
        <w:t>58,</w:t>
      </w:r>
      <w:r w:rsidR="00E24C5D">
        <w:t>3</w:t>
      </w:r>
      <w:r w:rsidR="007F60A3" w:rsidRPr="00E82ECF">
        <w:t xml:space="preserve"> тыс. руб. </w:t>
      </w:r>
      <w:r w:rsidR="007F60A3">
        <w:t>–</w:t>
      </w:r>
      <w:r w:rsidR="007F60A3" w:rsidRPr="00E82ECF">
        <w:t xml:space="preserve"> </w:t>
      </w:r>
      <w:r w:rsidR="007F60A3">
        <w:t>просроченная задолженность</w:t>
      </w:r>
      <w:r w:rsidR="007D6098">
        <w:rPr>
          <w:bCs/>
          <w:shd w:val="clear" w:color="auto" w:fill="FFFFFF"/>
        </w:rPr>
        <w:t xml:space="preserve">, которая </w:t>
      </w:r>
      <w:r w:rsidR="007F60A3">
        <w:t>образовалась</w:t>
      </w:r>
      <w:r w:rsidR="007F60A3" w:rsidRPr="00E82ECF">
        <w:rPr>
          <w:shd w:val="clear" w:color="auto" w:fill="FFFFFF"/>
        </w:rPr>
        <w:t xml:space="preserve"> </w:t>
      </w:r>
      <w:r w:rsidR="007F60A3">
        <w:rPr>
          <w:shd w:val="clear" w:color="auto" w:fill="FFFFFF"/>
        </w:rPr>
        <w:t>в результате</w:t>
      </w:r>
      <w:r w:rsidR="006B6AB7">
        <w:rPr>
          <w:shd w:val="clear" w:color="auto" w:fill="FFFFFF"/>
        </w:rPr>
        <w:t xml:space="preserve"> возврата платежа 30.12.2020 по причине изменения банковских реквизитов поставщика</w:t>
      </w:r>
      <w:r w:rsidR="007F60A3">
        <w:rPr>
          <w:shd w:val="clear" w:color="auto" w:fill="FFFFFF"/>
        </w:rPr>
        <w:t>;</w:t>
      </w:r>
    </w:p>
    <w:p w14:paraId="2FE97692" w14:textId="776FD076" w:rsidR="007F60A3" w:rsidRDefault="00B3683A" w:rsidP="007F60A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7F60A3">
        <w:rPr>
          <w:shd w:val="clear" w:color="auto" w:fill="FFFFFF"/>
        </w:rPr>
        <w:t xml:space="preserve">879,3 тыс. руб. – образовалась по причине оплаты госпошлины </w:t>
      </w:r>
      <w:r w:rsidR="006B6AB7">
        <w:rPr>
          <w:shd w:val="clear" w:color="auto" w:fill="FFFFFF"/>
        </w:rPr>
        <w:t>в</w:t>
      </w:r>
      <w:r w:rsidR="007F60A3">
        <w:rPr>
          <w:shd w:val="clear" w:color="auto" w:fill="FFFFFF"/>
        </w:rPr>
        <w:t xml:space="preserve"> </w:t>
      </w:r>
      <w:r w:rsidR="00747ECD">
        <w:rPr>
          <w:shd w:val="clear" w:color="auto" w:fill="FFFFFF"/>
        </w:rPr>
        <w:t>отсутстви</w:t>
      </w:r>
      <w:r w:rsidR="00B337BE">
        <w:rPr>
          <w:shd w:val="clear" w:color="auto" w:fill="FFFFFF"/>
        </w:rPr>
        <w:t>е</w:t>
      </w:r>
      <w:r w:rsidR="00747ECD">
        <w:rPr>
          <w:shd w:val="clear" w:color="auto" w:fill="FFFFFF"/>
        </w:rPr>
        <w:t xml:space="preserve"> обращени</w:t>
      </w:r>
      <w:r w:rsidR="006B6AB7">
        <w:rPr>
          <w:shd w:val="clear" w:color="auto" w:fill="FFFFFF"/>
        </w:rPr>
        <w:t>й</w:t>
      </w:r>
      <w:r w:rsidR="00747ECD">
        <w:rPr>
          <w:shd w:val="clear" w:color="auto" w:fill="FFFFFF"/>
        </w:rPr>
        <w:t xml:space="preserve"> соискателей с заявлениями о выдаче</w:t>
      </w:r>
      <w:r w:rsidR="007F60A3">
        <w:rPr>
          <w:shd w:val="clear" w:color="auto" w:fill="FFFFFF"/>
        </w:rPr>
        <w:t xml:space="preserve"> лицензий на конец года; </w:t>
      </w:r>
    </w:p>
    <w:p w14:paraId="2A7693DC" w14:textId="495751D4" w:rsidR="007F60A3" w:rsidRDefault="00B3683A" w:rsidP="007F60A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7F60A3">
        <w:rPr>
          <w:shd w:val="clear" w:color="auto" w:fill="FFFFFF"/>
        </w:rPr>
        <w:t xml:space="preserve">65,3 тыс. руб. – </w:t>
      </w:r>
      <w:r w:rsidR="003D16D7">
        <w:t xml:space="preserve">по </w:t>
      </w:r>
      <w:r w:rsidR="007F60A3">
        <w:rPr>
          <w:shd w:val="clear" w:color="auto" w:fill="FFFFFF"/>
        </w:rPr>
        <w:t>страховы</w:t>
      </w:r>
      <w:r w:rsidR="006B6AB7">
        <w:rPr>
          <w:shd w:val="clear" w:color="auto" w:fill="FFFFFF"/>
        </w:rPr>
        <w:t>м</w:t>
      </w:r>
      <w:r w:rsidR="007F60A3">
        <w:rPr>
          <w:shd w:val="clear" w:color="auto" w:fill="FFFFFF"/>
        </w:rPr>
        <w:t xml:space="preserve"> взнос</w:t>
      </w:r>
      <w:r w:rsidR="006B6AB7">
        <w:rPr>
          <w:shd w:val="clear" w:color="auto" w:fill="FFFFFF"/>
        </w:rPr>
        <w:t>ам</w:t>
      </w:r>
      <w:r w:rsidR="007F60A3">
        <w:rPr>
          <w:shd w:val="clear" w:color="auto" w:fill="FFFFFF"/>
        </w:rPr>
        <w:t xml:space="preserve"> на обязательное социальное страхование</w:t>
      </w:r>
      <w:r w:rsidR="006B6AB7">
        <w:rPr>
          <w:shd w:val="clear" w:color="auto" w:fill="FFFFFF"/>
        </w:rPr>
        <w:t>.</w:t>
      </w:r>
    </w:p>
    <w:p w14:paraId="22132A14" w14:textId="77777777" w:rsidR="00B041D2" w:rsidRDefault="00B041D2" w:rsidP="00F43958">
      <w:pPr>
        <w:autoSpaceDE w:val="0"/>
        <w:autoSpaceDN w:val="0"/>
        <w:adjustRightInd w:val="0"/>
        <w:ind w:firstLine="709"/>
        <w:jc w:val="both"/>
      </w:pPr>
    </w:p>
    <w:p w14:paraId="5441FBDC" w14:textId="35EB1CCA" w:rsidR="006B6AB7" w:rsidRDefault="006B6AB7" w:rsidP="006B6A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B6AB7">
        <w:rPr>
          <w:b/>
        </w:rPr>
        <w:t>Выполнение целевых показателей государственных программ</w:t>
      </w:r>
    </w:p>
    <w:p w14:paraId="0268026A" w14:textId="45DD82BD" w:rsidR="006B6AB7" w:rsidRDefault="006B6AB7" w:rsidP="006B6A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B6AB7">
        <w:rPr>
          <w:b/>
        </w:rPr>
        <w:t>Волгоградской области</w:t>
      </w:r>
    </w:p>
    <w:p w14:paraId="5DED53EA" w14:textId="77777777" w:rsidR="009722CC" w:rsidRPr="006B6AB7" w:rsidRDefault="009722CC" w:rsidP="006B6AB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6B3147AA" w14:textId="77777777" w:rsidR="003C0DA3" w:rsidRPr="006B6AB7" w:rsidRDefault="007738F8" w:rsidP="00DA37EC">
      <w:pPr>
        <w:jc w:val="center"/>
        <w:rPr>
          <w:b/>
          <w:i/>
        </w:rPr>
      </w:pPr>
      <w:r w:rsidRPr="006B6AB7">
        <w:rPr>
          <w:b/>
          <w:i/>
        </w:rPr>
        <w:t>Государственная программа Волгоградской области «Энергосбережение и повышение энергетической эффективности в Волгоградской области»</w:t>
      </w:r>
    </w:p>
    <w:p w14:paraId="5C973693" w14:textId="77777777" w:rsidR="00AC4F77" w:rsidRDefault="004308D8" w:rsidP="00AC4F77">
      <w:pPr>
        <w:ind w:firstLine="709"/>
        <w:jc w:val="both"/>
      </w:pPr>
      <w:r>
        <w:t xml:space="preserve">Комитет </w:t>
      </w:r>
      <w:r w:rsidR="00AC4F77">
        <w:t xml:space="preserve">с 24.03.2020 определен ответственным исполнителем государственной программы Волгоградской области «Энергосбережение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31.12.2014 № </w:t>
      </w:r>
      <w:r w:rsidR="006D0556">
        <w:t>136-п</w:t>
      </w:r>
      <w:r w:rsidR="005A5AC8">
        <w:t xml:space="preserve"> </w:t>
      </w:r>
      <w:r w:rsidR="0047400A">
        <w:t>(далее</w:t>
      </w:r>
      <w:r w:rsidR="005A5AC8">
        <w:t xml:space="preserve"> Постановление № 136-п)</w:t>
      </w:r>
      <w:r w:rsidR="00645605">
        <w:t>.</w:t>
      </w:r>
    </w:p>
    <w:p w14:paraId="301592E0" w14:textId="77777777" w:rsidR="00447072" w:rsidRDefault="00447072" w:rsidP="00AC4F77">
      <w:pPr>
        <w:ind w:firstLine="709"/>
        <w:jc w:val="both"/>
      </w:pPr>
      <w:r>
        <w:t>Объем финансирования государственной программы предусмотрен из федерального, областного бюджетов и внебюджетных источников.</w:t>
      </w:r>
    </w:p>
    <w:p w14:paraId="46B05D50" w14:textId="77777777" w:rsidR="00D33087" w:rsidRDefault="005A5AC8" w:rsidP="00AC4F77">
      <w:pPr>
        <w:ind w:firstLine="709"/>
        <w:jc w:val="both"/>
      </w:pPr>
      <w:r>
        <w:t>П</w:t>
      </w:r>
      <w:r w:rsidR="00645605">
        <w:t xml:space="preserve">остановлением </w:t>
      </w:r>
      <w:r>
        <w:t xml:space="preserve">№ 136-п </w:t>
      </w:r>
      <w:r w:rsidR="00645605">
        <w:t>утверждены 5 подпрограмм, из которых по 2 Комитет является ответственным исполнителем</w:t>
      </w:r>
      <w:r w:rsidR="00D33087">
        <w:t>:</w:t>
      </w:r>
    </w:p>
    <w:p w14:paraId="76F899E7" w14:textId="2787CBC4" w:rsidR="00645605" w:rsidRDefault="00D33087" w:rsidP="00AC4F77">
      <w:pPr>
        <w:ind w:firstLine="709"/>
        <w:jc w:val="both"/>
      </w:pPr>
      <w:r>
        <w:t>-</w:t>
      </w:r>
      <w:r w:rsidR="007D6098">
        <w:t xml:space="preserve">по </w:t>
      </w:r>
      <w:r>
        <w:t>п</w:t>
      </w:r>
      <w:r w:rsidR="00645605">
        <w:t>одпрограмм</w:t>
      </w:r>
      <w:r w:rsidR="007D6098">
        <w:t>е</w:t>
      </w:r>
      <w:r w:rsidR="00645605">
        <w:t xml:space="preserve"> «Энергосбережение и повышение энергетической эффективности в топливно-энергетическом комплексе, сельском хозяйстве и на транспорте Волгоградской области»;</w:t>
      </w:r>
    </w:p>
    <w:p w14:paraId="3A353CF0" w14:textId="77777777" w:rsidR="00634EDB" w:rsidRPr="00D95131" w:rsidRDefault="00645605" w:rsidP="00AC4F77">
      <w:pPr>
        <w:ind w:firstLine="709"/>
        <w:jc w:val="both"/>
      </w:pPr>
      <w:r w:rsidRPr="00D95131">
        <w:t xml:space="preserve">- </w:t>
      </w:r>
      <w:r w:rsidR="007D6098" w:rsidRPr="00D95131">
        <w:t xml:space="preserve">по </w:t>
      </w:r>
      <w:r w:rsidRPr="00D95131">
        <w:t>подпрограмм</w:t>
      </w:r>
      <w:r w:rsidR="007D6098" w:rsidRPr="00D95131">
        <w:t>е</w:t>
      </w:r>
      <w:r w:rsidRPr="00D95131">
        <w:t xml:space="preserve"> «Газификация Волгоградской области».</w:t>
      </w:r>
    </w:p>
    <w:p w14:paraId="276F8D25" w14:textId="5AA5AB66" w:rsidR="008603E6" w:rsidRPr="00D95131" w:rsidRDefault="00D95131" w:rsidP="00AC4F77">
      <w:pPr>
        <w:ind w:firstLine="709"/>
        <w:jc w:val="both"/>
      </w:pPr>
      <w:r w:rsidRPr="00D95131">
        <w:t>Согласно и</w:t>
      </w:r>
      <w:r w:rsidR="00C74CCD" w:rsidRPr="00D95131">
        <w:t>нформаци</w:t>
      </w:r>
      <w:r w:rsidRPr="00D95131">
        <w:t>и</w:t>
      </w:r>
      <w:r w:rsidR="00C74CCD" w:rsidRPr="00D95131">
        <w:t xml:space="preserve"> о достижении значений целевых показателей, установленных </w:t>
      </w:r>
      <w:r w:rsidR="006B6AB7">
        <w:t>г</w:t>
      </w:r>
      <w:r w:rsidR="00C74CCD" w:rsidRPr="00D95131">
        <w:t>осударственной программой на 2020 год,</w:t>
      </w:r>
      <w:r w:rsidRPr="00D95131">
        <w:t xml:space="preserve"> представленной в </w:t>
      </w:r>
      <w:r w:rsidR="00C74CCD" w:rsidRPr="00D95131">
        <w:t>доклад</w:t>
      </w:r>
      <w:r w:rsidRPr="00D95131">
        <w:t>е</w:t>
      </w:r>
      <w:r w:rsidR="00C74CCD" w:rsidRPr="00D95131">
        <w:t xml:space="preserve"> </w:t>
      </w:r>
      <w:r w:rsidR="0047400A">
        <w:t xml:space="preserve">Комитета </w:t>
      </w:r>
      <w:r w:rsidR="00C74CCD" w:rsidRPr="00D95131">
        <w:t>от 26.02.2021 о ходе реализации и оценке эффективности реализации государственной программы</w:t>
      </w:r>
      <w:r w:rsidR="008603E6" w:rsidRPr="00D95131">
        <w:t>, из 22 целевых показателей</w:t>
      </w:r>
      <w:r w:rsidRPr="00D95131">
        <w:t xml:space="preserve"> в 2020 году</w:t>
      </w:r>
      <w:r w:rsidR="008603E6" w:rsidRPr="00D95131">
        <w:t xml:space="preserve"> выполнены</w:t>
      </w:r>
      <w:r w:rsidR="00487018" w:rsidRPr="00D95131">
        <w:t xml:space="preserve"> – </w:t>
      </w:r>
      <w:r w:rsidR="008603E6" w:rsidRPr="00D95131">
        <w:t>1</w:t>
      </w:r>
      <w:r w:rsidR="00810B5A" w:rsidRPr="00D95131">
        <w:t>6</w:t>
      </w:r>
      <w:r w:rsidR="00872EA3">
        <w:t>, или 72,7 процент</w:t>
      </w:r>
      <w:r w:rsidR="000E56D4">
        <w:t>а</w:t>
      </w:r>
      <w:r w:rsidR="00872EA3">
        <w:t>.</w:t>
      </w:r>
    </w:p>
    <w:p w14:paraId="7D8682A1" w14:textId="1FA0E4B7" w:rsidR="00503972" w:rsidRDefault="00503972" w:rsidP="00503972">
      <w:pPr>
        <w:ind w:firstLine="709"/>
        <w:jc w:val="both"/>
      </w:pPr>
      <w:r>
        <w:t>Невыполнение целевого показателя - к</w:t>
      </w:r>
      <w:r w:rsidRPr="00503972">
        <w:t>оличество изготовленной проектной документации на строительство и реконструкцию котельных на газовом топливе</w:t>
      </w:r>
      <w:r>
        <w:t xml:space="preserve"> обусловлено тем, что не</w:t>
      </w:r>
      <w:r w:rsidR="00872EA3">
        <w:t xml:space="preserve"> были</w:t>
      </w:r>
      <w:r>
        <w:t xml:space="preserve"> выполнены работы по проектированию газовых котельных 14 ФАПов, которые должны были б</w:t>
      </w:r>
      <w:r w:rsidR="00872EA3">
        <w:t>ыть выполнены еще до 25.12.2019</w:t>
      </w:r>
      <w:r>
        <w:t xml:space="preserve">. Срок выполнения работ по контракту был продлен до 31.12.2020, однако работы так и не были выполнены. </w:t>
      </w:r>
    </w:p>
    <w:p w14:paraId="19A1D5ED" w14:textId="21B41821" w:rsidR="00F77EB1" w:rsidRDefault="00F77EB1" w:rsidP="00F77EB1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два целевых показателя в соответствии с </w:t>
      </w:r>
      <w:r w:rsidRPr="00463CA8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63CA8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E81C40">
        <w:rPr>
          <w:rFonts w:ascii="Times New Roman" w:hAnsi="Times New Roman" w:cs="Times New Roman"/>
          <w:sz w:val="24"/>
          <w:szCs w:val="24"/>
        </w:rPr>
        <w:t xml:space="preserve"> </w:t>
      </w:r>
      <w:r w:rsidRPr="00463CA8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Pr="00463CA8">
        <w:rPr>
          <w:rFonts w:ascii="Times New Roman" w:hAnsi="Times New Roman" w:cs="Times New Roman"/>
          <w:sz w:val="24"/>
          <w:szCs w:val="24"/>
        </w:rPr>
        <w:t xml:space="preserve"> с Министерством энергетики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были выполнены, поскольку</w:t>
      </w:r>
      <w:r w:rsidRPr="0046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данными соглашениями в отсутствие</w:t>
      </w:r>
      <w:r w:rsidRPr="0046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463CA8"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3CA8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3CA8">
        <w:rPr>
          <w:rFonts w:ascii="Times New Roman" w:hAnsi="Times New Roman" w:cs="Times New Roman"/>
          <w:sz w:val="24"/>
          <w:szCs w:val="24"/>
        </w:rPr>
        <w:t xml:space="preserve"> в государственную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CA8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3CA8">
        <w:rPr>
          <w:rFonts w:ascii="Times New Roman" w:hAnsi="Times New Roman" w:cs="Times New Roman"/>
          <w:sz w:val="24"/>
          <w:szCs w:val="24"/>
        </w:rPr>
        <w:t xml:space="preserve"> объем финансирования и плановы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63CA8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целевых показателей.</w:t>
      </w:r>
    </w:p>
    <w:p w14:paraId="539B59D3" w14:textId="25ED4985" w:rsidR="00C06E03" w:rsidRPr="0039092B" w:rsidRDefault="00C06E03" w:rsidP="00AC4F77">
      <w:pPr>
        <w:ind w:firstLine="709"/>
        <w:jc w:val="both"/>
      </w:pPr>
      <w:r w:rsidRPr="0039092B">
        <w:t>Так</w:t>
      </w:r>
      <w:r w:rsidR="00822AC0">
        <w:t>,</w:t>
      </w:r>
      <w:r w:rsidRPr="0039092B">
        <w:t xml:space="preserve"> в результате выполнения мероприятий подпрограммы «Энергосбережение и повышение энергетической эффективности в топливно-энергетическом комплексе, сельском хозяйстве и на транспорте Волгоградской области» достигнуты следующие </w:t>
      </w:r>
      <w:r w:rsidR="00684B04">
        <w:t>значения</w:t>
      </w:r>
      <w:r w:rsidRPr="0039092B">
        <w:t xml:space="preserve"> целевы</w:t>
      </w:r>
      <w:r w:rsidR="00684B04">
        <w:t>х</w:t>
      </w:r>
      <w:r w:rsidRPr="0039092B">
        <w:t xml:space="preserve"> показател</w:t>
      </w:r>
      <w:r w:rsidR="00684B04">
        <w:t>ей</w:t>
      </w:r>
      <w:r w:rsidRPr="0039092B">
        <w:t>:</w:t>
      </w:r>
    </w:p>
    <w:p w14:paraId="09D1D80F" w14:textId="31AF6BF8" w:rsidR="00822AC0" w:rsidRDefault="00C06E03" w:rsidP="00AC4F77">
      <w:pPr>
        <w:ind w:firstLine="709"/>
        <w:jc w:val="both"/>
      </w:pPr>
      <w:r w:rsidRPr="0039092B">
        <w:lastRenderedPageBreak/>
        <w:t>-количество построенных объектов заправки транспортных средств природным газом составило 3 единицы при плане 5 единиц. Показатель выполнен на 60</w:t>
      </w:r>
      <w:r w:rsidR="00872EA3">
        <w:t xml:space="preserve"> процентов</w:t>
      </w:r>
      <w:r w:rsidR="001605A9" w:rsidRPr="0039092B">
        <w:t xml:space="preserve">. </w:t>
      </w:r>
    </w:p>
    <w:p w14:paraId="525A7A36" w14:textId="77777777" w:rsidR="001605A9" w:rsidRPr="0039092B" w:rsidRDefault="00F50C72" w:rsidP="00AC4F77">
      <w:pPr>
        <w:ind w:firstLine="709"/>
        <w:jc w:val="both"/>
      </w:pPr>
      <w:r w:rsidRPr="00075784">
        <w:t>Д</w:t>
      </w:r>
      <w:r w:rsidR="001605A9" w:rsidRPr="00075784">
        <w:t>ополнительн</w:t>
      </w:r>
      <w:r w:rsidRPr="00075784">
        <w:t>ым</w:t>
      </w:r>
      <w:r w:rsidR="001605A9" w:rsidRPr="00075784">
        <w:t xml:space="preserve"> соглашени</w:t>
      </w:r>
      <w:r w:rsidRPr="00075784">
        <w:t xml:space="preserve">ем от </w:t>
      </w:r>
      <w:r w:rsidR="00075784" w:rsidRPr="00075784">
        <w:t>07</w:t>
      </w:r>
      <w:r w:rsidRPr="00075784">
        <w:t>.12.2020 № 022-09-2020-006/</w:t>
      </w:r>
      <w:r w:rsidR="00075784" w:rsidRPr="00075784">
        <w:t>3</w:t>
      </w:r>
      <w:r w:rsidRPr="00075784">
        <w:t xml:space="preserve">, заключенным Администрацией Волгоградской области </w:t>
      </w:r>
      <w:r w:rsidR="001605A9" w:rsidRPr="00075784">
        <w:t>с</w:t>
      </w:r>
      <w:r w:rsidRPr="00075784">
        <w:t xml:space="preserve"> Министерством энергетики Российской Федерации</w:t>
      </w:r>
      <w:r w:rsidR="001605A9" w:rsidRPr="00075784">
        <w:t xml:space="preserve">, </w:t>
      </w:r>
      <w:r w:rsidR="000343ED" w:rsidRPr="00075784">
        <w:t>уменьшены объем субсидии</w:t>
      </w:r>
      <w:r w:rsidR="000343ED">
        <w:t xml:space="preserve"> и </w:t>
      </w:r>
      <w:r w:rsidR="001605A9" w:rsidRPr="0039092B">
        <w:t>целевой показатель – количество объектов заправки транспортных средств компримированным природным газом, введенных в эксплуатацию в 2020 году</w:t>
      </w:r>
      <w:r w:rsidR="00487018">
        <w:t>,</w:t>
      </w:r>
      <w:r w:rsidR="000343ED">
        <w:t xml:space="preserve"> до 3 единиц;</w:t>
      </w:r>
      <w:r w:rsidR="001605A9" w:rsidRPr="0039092B">
        <w:t xml:space="preserve"> </w:t>
      </w:r>
    </w:p>
    <w:p w14:paraId="740F3D62" w14:textId="31CDCFC1" w:rsidR="000343ED" w:rsidRDefault="006A7715" w:rsidP="00AC4F77">
      <w:pPr>
        <w:ind w:firstLine="709"/>
        <w:jc w:val="both"/>
      </w:pPr>
      <w:r w:rsidRPr="0039092B">
        <w:t>-количество транспортных средств, переоборудованных на использование природного газа (метана) в качестве моторного топлива</w:t>
      </w:r>
      <w:r w:rsidR="00872EA3">
        <w:t>,</w:t>
      </w:r>
      <w:r w:rsidRPr="0039092B">
        <w:t xml:space="preserve"> составило 175 единиц при плановом показателе 1000 единиц. </w:t>
      </w:r>
      <w:r w:rsidR="00503972">
        <w:t>Показатель выполнен</w:t>
      </w:r>
      <w:r w:rsidR="00487018">
        <w:t xml:space="preserve"> на 17,5</w:t>
      </w:r>
      <w:r w:rsidR="00872EA3">
        <w:t xml:space="preserve"> процента</w:t>
      </w:r>
      <w:r w:rsidR="00503972">
        <w:t>.</w:t>
      </w:r>
    </w:p>
    <w:p w14:paraId="07B2DBA8" w14:textId="3FA7DD9B" w:rsidR="006A7715" w:rsidRDefault="000343ED" w:rsidP="00AC4F77">
      <w:pPr>
        <w:ind w:firstLine="709"/>
        <w:jc w:val="both"/>
      </w:pPr>
      <w:r>
        <w:t>Д</w:t>
      </w:r>
      <w:r w:rsidR="006A7715" w:rsidRPr="0039092B">
        <w:t>ополнительн</w:t>
      </w:r>
      <w:r>
        <w:t xml:space="preserve">ым </w:t>
      </w:r>
      <w:r w:rsidR="006A7715" w:rsidRPr="0039092B">
        <w:t>соглашени</w:t>
      </w:r>
      <w:r>
        <w:t>ем</w:t>
      </w:r>
      <w:r w:rsidR="006A7715" w:rsidRPr="0039092B">
        <w:t xml:space="preserve"> </w:t>
      </w:r>
      <w:r w:rsidRPr="0039092B">
        <w:t xml:space="preserve">от </w:t>
      </w:r>
      <w:r w:rsidR="00BA1230">
        <w:t>0</w:t>
      </w:r>
      <w:r w:rsidR="00075784">
        <w:t>7</w:t>
      </w:r>
      <w:r>
        <w:t>.12.2020 № 022-09-2020-0</w:t>
      </w:r>
      <w:r w:rsidR="00075784">
        <w:t>19</w:t>
      </w:r>
      <w:r>
        <w:t>/</w:t>
      </w:r>
      <w:r w:rsidR="00075784">
        <w:t>2</w:t>
      </w:r>
      <w:r>
        <w:t>, з</w:t>
      </w:r>
      <w:r w:rsidRPr="0039092B">
        <w:t>аключен</w:t>
      </w:r>
      <w:r>
        <w:t>ным</w:t>
      </w:r>
      <w:r w:rsidRPr="0039092B">
        <w:t xml:space="preserve"> Администрацией Волгоградской области </w:t>
      </w:r>
      <w:r w:rsidR="006A7715" w:rsidRPr="0039092B">
        <w:t>с Министерством энергетики Российской Федерации</w:t>
      </w:r>
      <w:r w:rsidR="00487018">
        <w:t>,</w:t>
      </w:r>
      <w:r w:rsidR="006A7715" w:rsidRPr="0039092B">
        <w:t xml:space="preserve"> </w:t>
      </w:r>
      <w:r>
        <w:t xml:space="preserve">уменьшены </w:t>
      </w:r>
      <w:r w:rsidRPr="00075784">
        <w:t>объем субсидии</w:t>
      </w:r>
      <w:r>
        <w:t xml:space="preserve"> и </w:t>
      </w:r>
      <w:r w:rsidR="006A7715" w:rsidRPr="0039092B">
        <w:t>целевой показатель - количество транспортных средств, переоборудованных на использование природного газа (метана) в качестве моторного топлива в 2020 году</w:t>
      </w:r>
      <w:r w:rsidR="00487018">
        <w:t>,</w:t>
      </w:r>
      <w:r>
        <w:t xml:space="preserve"> до</w:t>
      </w:r>
      <w:r w:rsidR="006A7715" w:rsidRPr="0039092B">
        <w:t xml:space="preserve"> 175 единиц.</w:t>
      </w:r>
    </w:p>
    <w:p w14:paraId="11797456" w14:textId="77777777" w:rsidR="007738F8" w:rsidRPr="0047400A" w:rsidRDefault="007738F8" w:rsidP="00DA37EC">
      <w:pPr>
        <w:jc w:val="center"/>
        <w:rPr>
          <w:b/>
        </w:rPr>
      </w:pPr>
    </w:p>
    <w:p w14:paraId="7B70B937" w14:textId="77777777" w:rsidR="007738F8" w:rsidRPr="00872EA3" w:rsidRDefault="00FD5589" w:rsidP="0039092B">
      <w:pPr>
        <w:jc w:val="center"/>
        <w:rPr>
          <w:b/>
          <w:i/>
        </w:rPr>
      </w:pPr>
      <w:r w:rsidRPr="00872EA3">
        <w:rPr>
          <w:b/>
          <w:i/>
        </w:rPr>
        <w:t>Государственная программа Волгоградской области «Развитие промышленности Волгоградской области и повышение ее конкурентоспособности»</w:t>
      </w:r>
    </w:p>
    <w:p w14:paraId="2E7E791B" w14:textId="77777777" w:rsidR="003F3987" w:rsidRDefault="003F3987" w:rsidP="003F3987">
      <w:pPr>
        <w:ind w:firstLine="709"/>
        <w:jc w:val="both"/>
      </w:pPr>
      <w:r w:rsidRPr="0047400A">
        <w:t>Комитет определен ответственным исполнителем государственной</w:t>
      </w:r>
      <w:r>
        <w:t xml:space="preserve"> программы </w:t>
      </w:r>
      <w:r w:rsidR="00AC4F77">
        <w:t xml:space="preserve">Волгоградской области </w:t>
      </w:r>
      <w:r>
        <w:t>«Развитие промышленности Волгоградской области и повышение ее конкурентоспособности»</w:t>
      </w:r>
      <w:r w:rsidR="0082271D">
        <w:t>,</w:t>
      </w:r>
      <w:r>
        <w:t xml:space="preserve"> утвержденной постановлением Правительства Волгоградской области от 29.10.2013 № 573-п.</w:t>
      </w:r>
    </w:p>
    <w:p w14:paraId="44F8B9AE" w14:textId="5842D793" w:rsidR="00370093" w:rsidRPr="002D143C" w:rsidRDefault="00783D15" w:rsidP="00370093">
      <w:pPr>
        <w:ind w:firstLine="709"/>
        <w:jc w:val="both"/>
      </w:pPr>
      <w:r>
        <w:t xml:space="preserve">Согласно информации, предоставленной Комитетом, </w:t>
      </w:r>
      <w:r w:rsidR="00A353D8" w:rsidRPr="002D143C">
        <w:t xml:space="preserve">несмотря на отсутствие финансирования в 2020 году </w:t>
      </w:r>
      <w:r w:rsidR="00872EA3">
        <w:t>г</w:t>
      </w:r>
      <w:r w:rsidR="00370093" w:rsidRPr="002D143C">
        <w:t xml:space="preserve">осударственной программы </w:t>
      </w:r>
      <w:r w:rsidR="00A353D8" w:rsidRPr="002D143C">
        <w:t>за счет бюджетных и внебюджетных средств,</w:t>
      </w:r>
      <w:r w:rsidR="00370093" w:rsidRPr="002D143C">
        <w:t xml:space="preserve"> </w:t>
      </w:r>
      <w:r w:rsidR="000F7357" w:rsidRPr="002D143C">
        <w:t>из 26 целевых показателей</w:t>
      </w:r>
      <w:r w:rsidR="00A353D8" w:rsidRPr="002D143C">
        <w:t>,</w:t>
      </w:r>
      <w:r w:rsidR="000F7357" w:rsidRPr="002D143C">
        <w:t xml:space="preserve"> </w:t>
      </w:r>
      <w:r>
        <w:t xml:space="preserve">установленных </w:t>
      </w:r>
      <w:r w:rsidR="003E723C">
        <w:t>г</w:t>
      </w:r>
      <w:r>
        <w:t xml:space="preserve">оспрограммой, </w:t>
      </w:r>
      <w:r w:rsidR="006604F4" w:rsidRPr="002D143C">
        <w:t xml:space="preserve">по 24 достигнуты результаты </w:t>
      </w:r>
      <w:r w:rsidR="00A353D8" w:rsidRPr="002D143C">
        <w:t xml:space="preserve">на </w:t>
      </w:r>
      <w:r w:rsidR="006604F4" w:rsidRPr="002D143C">
        <w:t>100% и более</w:t>
      </w:r>
      <w:r w:rsidR="000F7357" w:rsidRPr="002D143C">
        <w:t>.</w:t>
      </w:r>
    </w:p>
    <w:p w14:paraId="14F81CE2" w14:textId="77777777" w:rsidR="00B91295" w:rsidRPr="00D3108A" w:rsidRDefault="00B91295" w:rsidP="00370093">
      <w:pPr>
        <w:ind w:firstLine="709"/>
        <w:jc w:val="both"/>
      </w:pPr>
    </w:p>
    <w:p w14:paraId="0D78C752" w14:textId="77777777" w:rsidR="00DD3278" w:rsidRPr="00FD5589" w:rsidRDefault="00DD3278" w:rsidP="00A353D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D5589">
        <w:rPr>
          <w:b/>
        </w:rPr>
        <w:t>Организация внутреннего финансового аудита</w:t>
      </w:r>
    </w:p>
    <w:p w14:paraId="6D83579F" w14:textId="77777777" w:rsidR="0037571C" w:rsidRDefault="00E220DD" w:rsidP="0037571C">
      <w:pPr>
        <w:autoSpaceDE w:val="0"/>
        <w:autoSpaceDN w:val="0"/>
        <w:adjustRightInd w:val="0"/>
        <w:ind w:firstLine="720"/>
        <w:jc w:val="both"/>
      </w:pPr>
      <w:r w:rsidRPr="00E220DD">
        <w:t xml:space="preserve">Во исполнение </w:t>
      </w:r>
      <w:r>
        <w:t>ст.16.2 – 1 Бюджетного Кодекса Российской Федерации, а также приказа Комитета от 17.07.2020 № 188-ОД «Об организации и осуществлении внутреннего финансового аудита в комитете промышленной политики, торговли и топливно-энергетического комплекса Волгоградской области» в Комитете организо</w:t>
      </w:r>
      <w:r w:rsidR="0037571C">
        <w:t>ван внутренний финансовый аудит</w:t>
      </w:r>
      <w:r>
        <w:t>.</w:t>
      </w:r>
      <w:r w:rsidR="0037571C">
        <w:t xml:space="preserve"> Субъектом внутреннего финансового аудита является сектор внутреннего финансового аудита (далее Сектор).</w:t>
      </w:r>
    </w:p>
    <w:p w14:paraId="62C56FDD" w14:textId="1DB2C5CC" w:rsidR="0037571C" w:rsidRDefault="0037571C" w:rsidP="0037571C">
      <w:pPr>
        <w:autoSpaceDE w:val="0"/>
        <w:autoSpaceDN w:val="0"/>
        <w:adjustRightInd w:val="0"/>
        <w:ind w:firstLine="720"/>
        <w:jc w:val="both"/>
      </w:pPr>
      <w:r>
        <w:t>В 2020 году Сектором в Комитете проведен</w:t>
      </w:r>
      <w:r w:rsidR="00EB0B16">
        <w:t>ы</w:t>
      </w:r>
      <w:r>
        <w:t xml:space="preserve"> 3 аудиторских мероприятия согласно утвержденному годовому плану.</w:t>
      </w:r>
    </w:p>
    <w:p w14:paraId="4B6149ED" w14:textId="77777777" w:rsidR="00E220DD" w:rsidRDefault="0037571C" w:rsidP="0037571C">
      <w:pPr>
        <w:autoSpaceDE w:val="0"/>
        <w:autoSpaceDN w:val="0"/>
        <w:adjustRightInd w:val="0"/>
        <w:ind w:firstLine="720"/>
        <w:jc w:val="both"/>
      </w:pPr>
      <w:r>
        <w:t xml:space="preserve">Контрольным мероприятием было выявлено нарушение в части неверного отражения сведения по КБК в форме 0503169 «Сведения по дебиторской и кредиторской задолженности». В ходе проверки данное нарушение устранено. </w:t>
      </w:r>
    </w:p>
    <w:p w14:paraId="6E5DDE5D" w14:textId="77777777" w:rsidR="00583D58" w:rsidRPr="00583D58" w:rsidRDefault="00583D58" w:rsidP="0037571C">
      <w:pPr>
        <w:autoSpaceDE w:val="0"/>
        <w:autoSpaceDN w:val="0"/>
        <w:adjustRightInd w:val="0"/>
        <w:ind w:firstLine="720"/>
        <w:jc w:val="both"/>
      </w:pPr>
    </w:p>
    <w:p w14:paraId="22288AC0" w14:textId="77777777" w:rsidR="008F537C" w:rsidRPr="00583D58" w:rsidRDefault="00583D58" w:rsidP="00583D5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83D58">
        <w:rPr>
          <w:b/>
        </w:rPr>
        <w:t>Выводы</w:t>
      </w:r>
    </w:p>
    <w:p w14:paraId="72793876" w14:textId="794782BE" w:rsidR="00D12087" w:rsidRPr="004244F8" w:rsidRDefault="00EE7C9B" w:rsidP="004244F8">
      <w:pPr>
        <w:ind w:firstLine="708"/>
        <w:jc w:val="both"/>
        <w:rPr>
          <w:shd w:val="clear" w:color="auto" w:fill="FFFFFF"/>
        </w:rPr>
      </w:pPr>
      <w:r>
        <w:t xml:space="preserve">1. </w:t>
      </w:r>
      <w:r w:rsidR="00D12087" w:rsidRPr="004244F8">
        <w:t xml:space="preserve">Постановлением Администрации Волгоградской области от 23.03.2020 №162-п «Об утверждении положения о комитете промышленной политики, торговли и топливно-энергетического комплекса Волгоградской области» создан комитет промышленной политики, торговли и топливно-энергетического комплекса Волгоградской области. </w:t>
      </w:r>
      <w:r w:rsidR="004244F8" w:rsidRPr="004244F8">
        <w:t>При этом</w:t>
      </w:r>
      <w:r w:rsidR="00D12087" w:rsidRPr="004244F8">
        <w:rPr>
          <w:shd w:val="clear" w:color="auto" w:fill="FFFFFF"/>
        </w:rPr>
        <w:t xml:space="preserve"> соответствующие изменения не были учтены при внесении изменений в Закон об областном бюджете на 2020 год, о чем неоднократно отмечала КСП в своих экспертных заключениях. Так, Комитет не был предусмотрен в качестве главного администратора доходов областного бюджета Приложением 5 «Перечень главных администраторов доходов областного бюджета – органов государственной власти Волгоградской области» и в качестве главного распорядителя бюджетных средств - Приложением 11 «Ведомственная структура расходов областного бюджета на 2020 год и на плановый период 2021 и 2022 годов». Вместе с тем в 2020 году Комитет фактически исполнял полномочия и главного администратора доходов, и главного распорядителя бюджетных средств.</w:t>
      </w:r>
    </w:p>
    <w:p w14:paraId="0291B1FC" w14:textId="36032C56" w:rsidR="00EE7C9B" w:rsidRPr="00EE7C9B" w:rsidRDefault="00EE7C9B" w:rsidP="00EE7C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="Calibri"/>
        </w:rPr>
        <w:lastRenderedPageBreak/>
        <w:t xml:space="preserve">2. </w:t>
      </w:r>
      <w:r w:rsidRPr="00EE7C9B">
        <w:rPr>
          <w:rFonts w:eastAsia="Calibri"/>
        </w:rPr>
        <w:t>В нарушение пунктов 324 и 325 Приказа №157н в</w:t>
      </w:r>
      <w:r w:rsidR="004244F8" w:rsidRPr="00EE7C9B">
        <w:rPr>
          <w:rFonts w:eastAsia="Calibri"/>
        </w:rPr>
        <w:t xml:space="preserve"> Главной книге Комитета по счету 150400000 «Сметные (плановые, прогнозные) назначения» не были учтены данные по прогнозным показателям доходов (поступлений) бюджета на отчетный финансовый год в части субсидий </w:t>
      </w:r>
      <w:r w:rsidR="00932377">
        <w:rPr>
          <w:rFonts w:eastAsia="Calibri"/>
        </w:rPr>
        <w:t xml:space="preserve">из федерального бюджета </w:t>
      </w:r>
      <w:r w:rsidR="004244F8" w:rsidRPr="00EE7C9B">
        <w:rPr>
          <w:rFonts w:eastAsia="Calibri"/>
        </w:rPr>
        <w:t>на мероприятия по развитию газомоторного топлива.</w:t>
      </w:r>
      <w:r w:rsidRPr="00EE7C9B">
        <w:rPr>
          <w:rFonts w:eastAsia="Calibri"/>
        </w:rPr>
        <w:t xml:space="preserve"> Как следствие, в нарушение п.55 Инструкции №191н Комитетом </w:t>
      </w:r>
      <w:r w:rsidRPr="00EE7C9B">
        <w:t xml:space="preserve">утвержденные бюджетные назначения по доходам на общую сумму 112488,0 тыс. руб. </w:t>
      </w:r>
      <w:r w:rsidRPr="00EE7C9B">
        <w:rPr>
          <w:rFonts w:eastAsia="Calibri"/>
        </w:rPr>
        <w:t xml:space="preserve">не отражены </w:t>
      </w:r>
      <w:r w:rsidRPr="00EE7C9B">
        <w:t>в графе 4 раздела 1 «Доходы бюджета»</w:t>
      </w:r>
      <w:r w:rsidRPr="00EE7C9B">
        <w:rPr>
          <w:rFonts w:eastAsia="Calibri"/>
        </w:rPr>
        <w:t xml:space="preserve"> </w:t>
      </w:r>
      <w:r w:rsidRPr="00EE7C9B">
        <w:t xml:space="preserve">формы 0503127, </w:t>
      </w:r>
      <w:r w:rsidRPr="00EE7C9B">
        <w:rPr>
          <w:rFonts w:eastAsia="Calibri"/>
        </w:rPr>
        <w:t>а также в графе 3 формы 0503164 «Сведения об исполнении бюджета», что</w:t>
      </w:r>
      <w:r w:rsidRPr="00EE7C9B">
        <w:rPr>
          <w:rFonts w:eastAsiaTheme="minorHAnsi"/>
          <w:lang w:eastAsia="en-US"/>
        </w:rPr>
        <w:t xml:space="preserve"> по пояснениям Комитета</w:t>
      </w:r>
      <w:r w:rsidRPr="00EE7C9B">
        <w:t xml:space="preserve"> </w:t>
      </w:r>
      <w:r w:rsidRPr="00EE7C9B">
        <w:rPr>
          <w:rFonts w:eastAsiaTheme="minorHAnsi"/>
          <w:lang w:eastAsia="en-US"/>
        </w:rPr>
        <w:t>обусловлен</w:t>
      </w:r>
      <w:r w:rsidRPr="00EE7C9B">
        <w:t>о</w:t>
      </w:r>
      <w:r w:rsidRPr="00EE7C9B">
        <w:rPr>
          <w:rFonts w:eastAsiaTheme="minorHAnsi"/>
          <w:lang w:eastAsia="en-US"/>
        </w:rPr>
        <w:t xml:space="preserve"> отсутствием </w:t>
      </w:r>
      <w:r w:rsidRPr="00EE7C9B">
        <w:t xml:space="preserve">его </w:t>
      </w:r>
      <w:r w:rsidR="00932377" w:rsidRPr="00EE7C9B">
        <w:rPr>
          <w:rFonts w:eastAsiaTheme="minorHAnsi"/>
          <w:lang w:eastAsia="en-US"/>
        </w:rPr>
        <w:t xml:space="preserve">в качестве главного администратора доходов </w:t>
      </w:r>
      <w:r w:rsidRPr="00EE7C9B">
        <w:rPr>
          <w:rFonts w:eastAsiaTheme="minorHAnsi"/>
          <w:lang w:eastAsia="en-US"/>
        </w:rPr>
        <w:t>в Законе об областном бюджете на 2020 год.</w:t>
      </w:r>
    </w:p>
    <w:p w14:paraId="276C1511" w14:textId="28A29030" w:rsidR="00A452FB" w:rsidRPr="00463CA8" w:rsidRDefault="00EE7C9B" w:rsidP="00A452F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При этом в</w:t>
      </w:r>
      <w:r w:rsidR="004244F8" w:rsidRPr="00EE7C9B">
        <w:rPr>
          <w:rFonts w:eastAsia="Calibri"/>
        </w:rPr>
        <w:t xml:space="preserve"> соответствии с соглашениями, заключенными Администрацией Волгоградской области с Министерством энергетики Российской Федерации, утвержденные бюджетные назначения по </w:t>
      </w:r>
      <w:r>
        <w:rPr>
          <w:rFonts w:eastAsia="Calibri"/>
        </w:rPr>
        <w:t>с</w:t>
      </w:r>
      <w:r w:rsidR="004244F8" w:rsidRPr="00EE7C9B">
        <w:rPr>
          <w:rFonts w:eastAsia="Calibri"/>
        </w:rPr>
        <w:t>убсиди</w:t>
      </w:r>
      <w:r>
        <w:rPr>
          <w:rFonts w:eastAsia="Calibri"/>
        </w:rPr>
        <w:t>ям</w:t>
      </w:r>
      <w:r w:rsidR="004244F8" w:rsidRPr="00EE7C9B">
        <w:rPr>
          <w:rFonts w:eastAsia="Calibri"/>
        </w:rPr>
        <w:t xml:space="preserve"> на мероприятия по развитию газомоторного топлива» составили 112488,0 тыс. рублей. </w:t>
      </w:r>
      <w:r w:rsidR="004244F8" w:rsidRPr="004244F8">
        <w:t>В ходе проверки Комитетом направлено письмо в Облфин от 02.03.2021 для внесения изменений в формы годовой бюджетной отчетности за 2020 год в целях устранения нарушений</w:t>
      </w:r>
      <w:r w:rsidR="004244F8" w:rsidRPr="00463CA8">
        <w:t xml:space="preserve">. </w:t>
      </w:r>
      <w:r w:rsidR="00A452FB" w:rsidRPr="00463CA8">
        <w:t>Исправленные отчетность и Главная книга представлены в КСП.</w:t>
      </w:r>
    </w:p>
    <w:p w14:paraId="67D6C090" w14:textId="51BA7309" w:rsidR="00B41223" w:rsidRPr="00463CA8" w:rsidRDefault="00932377" w:rsidP="00932377">
      <w:pPr>
        <w:autoSpaceDE w:val="0"/>
        <w:autoSpaceDN w:val="0"/>
        <w:adjustRightInd w:val="0"/>
        <w:ind w:firstLine="709"/>
        <w:jc w:val="both"/>
      </w:pPr>
      <w:r w:rsidRPr="00463CA8">
        <w:t>3. Кассовые расходы Комитета за 2020 год составили</w:t>
      </w:r>
      <w:r w:rsidR="00B41223" w:rsidRPr="00463CA8">
        <w:t xml:space="preserve"> 573222,7 тыс. руб., или 87,2%, к бюджетным назначениям. </w:t>
      </w:r>
      <w:r w:rsidRPr="00463CA8">
        <w:t>Н</w:t>
      </w:r>
      <w:r w:rsidR="00B41223" w:rsidRPr="00463CA8">
        <w:t xml:space="preserve">еисполнение бюджетных назначений </w:t>
      </w:r>
      <w:r w:rsidR="00A452FB" w:rsidRPr="00463CA8">
        <w:t>на</w:t>
      </w:r>
      <w:r w:rsidR="00B41223" w:rsidRPr="00463CA8">
        <w:t xml:space="preserve"> 84510,9 тыс. руб. сложилось в основном </w:t>
      </w:r>
      <w:r w:rsidRPr="00463CA8">
        <w:t xml:space="preserve">в связи с тем, что </w:t>
      </w:r>
      <w:r w:rsidR="00B41223" w:rsidRPr="00463CA8">
        <w:t xml:space="preserve">двум инвесторам, осуществляющим строительство автомобильных газонаполнительных компрессорных станций, было отказано в </w:t>
      </w:r>
      <w:r w:rsidRPr="00463CA8">
        <w:t>выделении</w:t>
      </w:r>
      <w:r w:rsidR="00B41223" w:rsidRPr="00463CA8">
        <w:t xml:space="preserve"> субсидии в размере 80000,0 тыс. руб. по причине предоставления документов, не соответствующих требованиям правил предоставления и распределения субсидий из федерального бюджета</w:t>
      </w:r>
      <w:r w:rsidRPr="00463CA8">
        <w:t>.</w:t>
      </w:r>
    </w:p>
    <w:p w14:paraId="6EFDAC19" w14:textId="105F31CE" w:rsidR="00491A43" w:rsidRPr="00463CA8" w:rsidRDefault="00932377" w:rsidP="00932377">
      <w:pPr>
        <w:tabs>
          <w:tab w:val="left" w:pos="0"/>
        </w:tabs>
        <w:jc w:val="both"/>
      </w:pPr>
      <w:r w:rsidRPr="00463CA8">
        <w:tab/>
        <w:t xml:space="preserve">4. </w:t>
      </w:r>
      <w:r w:rsidR="00491A43" w:rsidRPr="00463CA8">
        <w:t xml:space="preserve">Согласно информации о достижении значений целевых показателей, установленных </w:t>
      </w:r>
      <w:r w:rsidR="004244F8" w:rsidRPr="00463CA8">
        <w:t>г</w:t>
      </w:r>
      <w:r w:rsidR="00491A43" w:rsidRPr="00463CA8">
        <w:t xml:space="preserve">осударственной программой </w:t>
      </w:r>
      <w:r w:rsidR="004244F8" w:rsidRPr="00463CA8">
        <w:t xml:space="preserve">Волгоградской области </w:t>
      </w:r>
      <w:r w:rsidR="00FB656D" w:rsidRPr="00463CA8">
        <w:t xml:space="preserve">«Энергосбережение и повышение энергетической эффективности в Волгоградской области» </w:t>
      </w:r>
      <w:r w:rsidR="00491A43" w:rsidRPr="00463CA8">
        <w:t>на 2020 год, из 22 целевых показателей в 2020 году выполнены 16</w:t>
      </w:r>
      <w:r w:rsidR="004244F8" w:rsidRPr="00463CA8">
        <w:t xml:space="preserve"> (72,7%)</w:t>
      </w:r>
      <w:r w:rsidR="00E81C40">
        <w:t>, то есть не выполнены 6 целевых показателей</w:t>
      </w:r>
      <w:r w:rsidR="00463CA8">
        <w:t>.</w:t>
      </w:r>
    </w:p>
    <w:p w14:paraId="05E3649C" w14:textId="376DE787" w:rsidR="009B33C3" w:rsidRDefault="000E56D4" w:rsidP="009B33C3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A8">
        <w:rPr>
          <w:rFonts w:ascii="Times New Roman" w:hAnsi="Times New Roman" w:cs="Times New Roman"/>
          <w:sz w:val="24"/>
          <w:szCs w:val="24"/>
        </w:rPr>
        <w:t>При</w:t>
      </w:r>
      <w:r w:rsidR="00E81C40">
        <w:rPr>
          <w:rFonts w:ascii="Times New Roman" w:hAnsi="Times New Roman" w:cs="Times New Roman"/>
          <w:sz w:val="24"/>
          <w:szCs w:val="24"/>
        </w:rPr>
        <w:t xml:space="preserve">чем два целевых показателя в соответствии с </w:t>
      </w:r>
      <w:r w:rsidRPr="00463CA8">
        <w:rPr>
          <w:rFonts w:ascii="Times New Roman" w:hAnsi="Times New Roman" w:cs="Times New Roman"/>
          <w:sz w:val="24"/>
          <w:szCs w:val="24"/>
        </w:rPr>
        <w:t>дополнительны</w:t>
      </w:r>
      <w:r w:rsidR="00E81C40">
        <w:rPr>
          <w:rFonts w:ascii="Times New Roman" w:hAnsi="Times New Roman" w:cs="Times New Roman"/>
          <w:sz w:val="24"/>
          <w:szCs w:val="24"/>
        </w:rPr>
        <w:t>ми</w:t>
      </w:r>
      <w:r w:rsidRPr="00463CA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81C40">
        <w:rPr>
          <w:rFonts w:ascii="Times New Roman" w:hAnsi="Times New Roman" w:cs="Times New Roman"/>
          <w:sz w:val="24"/>
          <w:szCs w:val="24"/>
        </w:rPr>
        <w:t>ями,</w:t>
      </w:r>
      <w:r w:rsidR="00E81C40" w:rsidRPr="00E81C40">
        <w:rPr>
          <w:rFonts w:ascii="Times New Roman" w:hAnsi="Times New Roman" w:cs="Times New Roman"/>
          <w:sz w:val="24"/>
          <w:szCs w:val="24"/>
        </w:rPr>
        <w:t xml:space="preserve"> </w:t>
      </w:r>
      <w:r w:rsidR="00E81C40" w:rsidRPr="00463CA8">
        <w:rPr>
          <w:rFonts w:ascii="Times New Roman" w:hAnsi="Times New Roman" w:cs="Times New Roman"/>
          <w:sz w:val="24"/>
          <w:szCs w:val="24"/>
        </w:rPr>
        <w:t>заключен</w:t>
      </w:r>
      <w:r w:rsidR="00E81C40">
        <w:rPr>
          <w:rFonts w:ascii="Times New Roman" w:hAnsi="Times New Roman" w:cs="Times New Roman"/>
          <w:sz w:val="24"/>
          <w:szCs w:val="24"/>
        </w:rPr>
        <w:t>ными</w:t>
      </w:r>
      <w:r w:rsidRPr="00463CA8">
        <w:rPr>
          <w:rFonts w:ascii="Times New Roman" w:hAnsi="Times New Roman" w:cs="Times New Roman"/>
          <w:sz w:val="24"/>
          <w:szCs w:val="24"/>
        </w:rPr>
        <w:t xml:space="preserve"> с Министерством энергетики Российской Федерации</w:t>
      </w:r>
      <w:r w:rsidR="00E81C40">
        <w:rPr>
          <w:rFonts w:ascii="Times New Roman" w:hAnsi="Times New Roman" w:cs="Times New Roman"/>
          <w:sz w:val="24"/>
          <w:szCs w:val="24"/>
        </w:rPr>
        <w:t>, был</w:t>
      </w:r>
      <w:r w:rsidR="009B33C3">
        <w:rPr>
          <w:rFonts w:ascii="Times New Roman" w:hAnsi="Times New Roman" w:cs="Times New Roman"/>
          <w:sz w:val="24"/>
          <w:szCs w:val="24"/>
        </w:rPr>
        <w:t>и выполнены, поскольку</w:t>
      </w:r>
      <w:r w:rsidRPr="00463CA8">
        <w:rPr>
          <w:rFonts w:ascii="Times New Roman" w:hAnsi="Times New Roman" w:cs="Times New Roman"/>
          <w:sz w:val="24"/>
          <w:szCs w:val="24"/>
        </w:rPr>
        <w:t xml:space="preserve"> </w:t>
      </w:r>
      <w:r w:rsidR="009B33C3">
        <w:rPr>
          <w:rFonts w:ascii="Times New Roman" w:hAnsi="Times New Roman" w:cs="Times New Roman"/>
          <w:sz w:val="24"/>
          <w:szCs w:val="24"/>
        </w:rPr>
        <w:t>данными соглашениями в отсутствие</w:t>
      </w:r>
      <w:r w:rsidR="009B33C3" w:rsidRPr="00463CA8">
        <w:rPr>
          <w:rFonts w:ascii="Times New Roman" w:hAnsi="Times New Roman" w:cs="Times New Roman"/>
          <w:sz w:val="24"/>
          <w:szCs w:val="24"/>
        </w:rPr>
        <w:t xml:space="preserve"> </w:t>
      </w:r>
      <w:r w:rsidR="009B33C3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9B33C3" w:rsidRPr="00463CA8">
        <w:rPr>
          <w:rFonts w:ascii="Times New Roman" w:hAnsi="Times New Roman" w:cs="Times New Roman"/>
          <w:sz w:val="24"/>
          <w:szCs w:val="24"/>
        </w:rPr>
        <w:t>соответствующи</w:t>
      </w:r>
      <w:r w:rsidR="009B33C3">
        <w:rPr>
          <w:rFonts w:ascii="Times New Roman" w:hAnsi="Times New Roman" w:cs="Times New Roman"/>
          <w:sz w:val="24"/>
          <w:szCs w:val="24"/>
        </w:rPr>
        <w:t>х</w:t>
      </w:r>
      <w:r w:rsidR="009B33C3" w:rsidRPr="00463CA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B33C3">
        <w:rPr>
          <w:rFonts w:ascii="Times New Roman" w:hAnsi="Times New Roman" w:cs="Times New Roman"/>
          <w:sz w:val="24"/>
          <w:szCs w:val="24"/>
        </w:rPr>
        <w:t>й</w:t>
      </w:r>
      <w:r w:rsidR="009B33C3" w:rsidRPr="00463CA8">
        <w:rPr>
          <w:rFonts w:ascii="Times New Roman" w:hAnsi="Times New Roman" w:cs="Times New Roman"/>
          <w:sz w:val="24"/>
          <w:szCs w:val="24"/>
        </w:rPr>
        <w:t xml:space="preserve"> в государственную программу</w:t>
      </w:r>
      <w:r w:rsidR="009B33C3">
        <w:rPr>
          <w:rFonts w:ascii="Times New Roman" w:hAnsi="Times New Roman" w:cs="Times New Roman"/>
          <w:sz w:val="24"/>
          <w:szCs w:val="24"/>
        </w:rPr>
        <w:t xml:space="preserve"> </w:t>
      </w:r>
      <w:r w:rsidRPr="00463CA8">
        <w:rPr>
          <w:rFonts w:ascii="Times New Roman" w:hAnsi="Times New Roman" w:cs="Times New Roman"/>
          <w:sz w:val="24"/>
          <w:szCs w:val="24"/>
        </w:rPr>
        <w:t>уменьшен</w:t>
      </w:r>
      <w:r w:rsidR="009B33C3">
        <w:rPr>
          <w:rFonts w:ascii="Times New Roman" w:hAnsi="Times New Roman" w:cs="Times New Roman"/>
          <w:sz w:val="24"/>
          <w:szCs w:val="24"/>
        </w:rPr>
        <w:t>ы</w:t>
      </w:r>
      <w:r w:rsidRPr="00463CA8">
        <w:rPr>
          <w:rFonts w:ascii="Times New Roman" w:hAnsi="Times New Roman" w:cs="Times New Roman"/>
          <w:sz w:val="24"/>
          <w:szCs w:val="24"/>
        </w:rPr>
        <w:t xml:space="preserve"> объем финансирования и плановы</w:t>
      </w:r>
      <w:r w:rsidR="009B33C3">
        <w:rPr>
          <w:rFonts w:ascii="Times New Roman" w:hAnsi="Times New Roman" w:cs="Times New Roman"/>
          <w:sz w:val="24"/>
          <w:szCs w:val="24"/>
        </w:rPr>
        <w:t xml:space="preserve">е </w:t>
      </w:r>
      <w:r w:rsidRPr="00463CA8">
        <w:rPr>
          <w:rFonts w:ascii="Times New Roman" w:hAnsi="Times New Roman" w:cs="Times New Roman"/>
          <w:sz w:val="24"/>
          <w:szCs w:val="24"/>
        </w:rPr>
        <w:t>значени</w:t>
      </w:r>
      <w:r w:rsidR="009B33C3">
        <w:rPr>
          <w:rFonts w:ascii="Times New Roman" w:hAnsi="Times New Roman" w:cs="Times New Roman"/>
          <w:sz w:val="24"/>
          <w:szCs w:val="24"/>
        </w:rPr>
        <w:t>я</w:t>
      </w:r>
      <w:r w:rsidRPr="00463CA8">
        <w:rPr>
          <w:rFonts w:ascii="Times New Roman" w:hAnsi="Times New Roman" w:cs="Times New Roman"/>
          <w:sz w:val="24"/>
          <w:szCs w:val="24"/>
        </w:rPr>
        <w:t xml:space="preserve"> </w:t>
      </w:r>
      <w:r w:rsidR="009B33C3">
        <w:rPr>
          <w:rFonts w:ascii="Times New Roman" w:hAnsi="Times New Roman" w:cs="Times New Roman"/>
          <w:sz w:val="24"/>
          <w:szCs w:val="24"/>
        </w:rPr>
        <w:t>этих целевых показателей.</w:t>
      </w:r>
    </w:p>
    <w:p w14:paraId="7B1A34F0" w14:textId="77777777" w:rsidR="009B33C3" w:rsidRDefault="009B33C3" w:rsidP="009B33C3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C2FE6" w14:textId="59443DC8" w:rsidR="00B44FC3" w:rsidRDefault="00B44FC3" w:rsidP="00E81C40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2D0">
        <w:rPr>
          <w:rFonts w:ascii="Times New Roman" w:hAnsi="Times New Roman" w:cs="Times New Roman"/>
          <w:b/>
          <w:i/>
          <w:sz w:val="24"/>
          <w:szCs w:val="24"/>
        </w:rPr>
        <w:t>На основании вышеизложенного</w:t>
      </w:r>
      <w:r w:rsidR="009B33C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212D0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контрольно-счетная палата Волгоградской области рекомендует комитету промышленной политики, торговли и топливно-энергетического </w:t>
      </w:r>
      <w:r w:rsidR="005212D0" w:rsidRPr="005212D0">
        <w:rPr>
          <w:rFonts w:ascii="Times New Roman" w:hAnsi="Times New Roman" w:cs="Times New Roman"/>
          <w:b/>
          <w:i/>
          <w:sz w:val="24"/>
          <w:szCs w:val="24"/>
        </w:rPr>
        <w:t>комплекса Волгоградской области:</w:t>
      </w:r>
    </w:p>
    <w:p w14:paraId="5FEB499E" w14:textId="77777777" w:rsidR="00E81C40" w:rsidRDefault="00E81C40" w:rsidP="00E81C40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467389" w14:textId="4BB4BA85" w:rsidR="00583D58" w:rsidRPr="000C07EF" w:rsidRDefault="000C07EF" w:rsidP="00E81C4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При</w:t>
      </w:r>
      <w:r w:rsidR="001636D9" w:rsidRPr="000C07EF">
        <w:t xml:space="preserve"> заключени</w:t>
      </w:r>
      <w:r>
        <w:t>и</w:t>
      </w:r>
      <w:r w:rsidR="001636D9" w:rsidRPr="000C07EF">
        <w:t xml:space="preserve"> дополнительных соглашений к соглашениям о предоставлении субсидий </w:t>
      </w:r>
      <w:r w:rsidRPr="000C07EF">
        <w:t xml:space="preserve">из федерального бюджета своевременно готовить предложения о внесении изменений в государственные программы </w:t>
      </w:r>
      <w:r w:rsidR="001636D9" w:rsidRPr="000C07EF">
        <w:t xml:space="preserve">в части изменения объема финансирования и плановых </w:t>
      </w:r>
      <w:r w:rsidRPr="000C07EF">
        <w:t xml:space="preserve">значений </w:t>
      </w:r>
      <w:r w:rsidR="001636D9" w:rsidRPr="000C07EF">
        <w:t>целевых показателей.</w:t>
      </w:r>
    </w:p>
    <w:p w14:paraId="70726E08" w14:textId="77777777" w:rsidR="003E5F25" w:rsidRPr="00583D58" w:rsidRDefault="003E5F25" w:rsidP="003E5F25">
      <w:pPr>
        <w:tabs>
          <w:tab w:val="left" w:pos="-567"/>
        </w:tabs>
        <w:autoSpaceDE w:val="0"/>
        <w:autoSpaceDN w:val="0"/>
        <w:adjustRightInd w:val="0"/>
        <w:ind w:firstLine="709"/>
        <w:jc w:val="both"/>
      </w:pPr>
    </w:p>
    <w:p w14:paraId="70F414D6" w14:textId="77777777" w:rsidR="00583D58" w:rsidRPr="00583D58" w:rsidRDefault="00583D58" w:rsidP="003E5F25">
      <w:pPr>
        <w:tabs>
          <w:tab w:val="left" w:pos="-567"/>
        </w:tabs>
        <w:autoSpaceDE w:val="0"/>
        <w:autoSpaceDN w:val="0"/>
        <w:adjustRightInd w:val="0"/>
        <w:ind w:firstLine="709"/>
        <w:jc w:val="both"/>
      </w:pPr>
    </w:p>
    <w:p w14:paraId="5ED05BF0" w14:textId="77777777" w:rsidR="006B51C0" w:rsidRPr="006B51C0" w:rsidRDefault="006B51C0" w:rsidP="00583D58">
      <w:pPr>
        <w:autoSpaceDE w:val="0"/>
        <w:autoSpaceDN w:val="0"/>
        <w:adjustRightInd w:val="0"/>
        <w:ind w:firstLine="708"/>
        <w:jc w:val="both"/>
        <w:rPr>
          <w:b/>
        </w:rPr>
      </w:pPr>
      <w:r w:rsidRPr="00583D58">
        <w:rPr>
          <w:b/>
        </w:rPr>
        <w:t xml:space="preserve">Аудитор                                                                                                                </w:t>
      </w:r>
      <w:r w:rsidRPr="006B51C0">
        <w:rPr>
          <w:b/>
        </w:rPr>
        <w:t>Е.А.</w:t>
      </w:r>
      <w:r w:rsidR="00583D58">
        <w:rPr>
          <w:b/>
        </w:rPr>
        <w:t xml:space="preserve"> </w:t>
      </w:r>
      <w:r w:rsidRPr="006B51C0">
        <w:rPr>
          <w:b/>
        </w:rPr>
        <w:t>Пузикова</w:t>
      </w:r>
    </w:p>
    <w:sectPr w:rsidR="006B51C0" w:rsidRPr="006B51C0" w:rsidSect="00CF487D">
      <w:headerReference w:type="even" r:id="rId11"/>
      <w:headerReference w:type="default" r:id="rId12"/>
      <w:pgSz w:w="11906" w:h="16838" w:code="9"/>
      <w:pgMar w:top="993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F3A8" w14:textId="77777777" w:rsidR="00F64A99" w:rsidRDefault="00F64A99" w:rsidP="00223DA8">
      <w:r>
        <w:separator/>
      </w:r>
    </w:p>
  </w:endnote>
  <w:endnote w:type="continuationSeparator" w:id="0">
    <w:p w14:paraId="57246335" w14:textId="77777777" w:rsidR="00F64A99" w:rsidRDefault="00F64A99" w:rsidP="002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0141" w14:textId="77777777" w:rsidR="00F64A99" w:rsidRDefault="00F64A99" w:rsidP="00223DA8">
      <w:r>
        <w:separator/>
      </w:r>
    </w:p>
  </w:footnote>
  <w:footnote w:type="continuationSeparator" w:id="0">
    <w:p w14:paraId="291D8B15" w14:textId="77777777" w:rsidR="00F64A99" w:rsidRDefault="00F64A99" w:rsidP="0022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C046" w14:textId="77777777" w:rsidR="00A452FB" w:rsidRDefault="00A452FB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D33457" w14:textId="77777777" w:rsidR="00A452FB" w:rsidRDefault="00A452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2080" w14:textId="77777777" w:rsidR="00A452FB" w:rsidRDefault="00A452FB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14:paraId="57499083" w14:textId="77777777" w:rsidR="00A452FB" w:rsidRDefault="00A452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" w15:restartNumberingAfterBreak="0">
    <w:nsid w:val="124B67E6"/>
    <w:multiLevelType w:val="hybridMultilevel"/>
    <w:tmpl w:val="040A5C02"/>
    <w:lvl w:ilvl="0" w:tplc="BD46DC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C840D0"/>
    <w:multiLevelType w:val="hybridMultilevel"/>
    <w:tmpl w:val="376A6B1A"/>
    <w:lvl w:ilvl="0" w:tplc="06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04B35"/>
    <w:multiLevelType w:val="hybridMultilevel"/>
    <w:tmpl w:val="E682B55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C03"/>
    <w:multiLevelType w:val="hybridMultilevel"/>
    <w:tmpl w:val="5DCCB85A"/>
    <w:lvl w:ilvl="0" w:tplc="83D85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97FF1"/>
    <w:multiLevelType w:val="hybridMultilevel"/>
    <w:tmpl w:val="6914C2A4"/>
    <w:lvl w:ilvl="0" w:tplc="B78CF0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4554B"/>
    <w:multiLevelType w:val="hybridMultilevel"/>
    <w:tmpl w:val="313E9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356623"/>
    <w:multiLevelType w:val="hybridMultilevel"/>
    <w:tmpl w:val="5D8E963A"/>
    <w:lvl w:ilvl="0" w:tplc="A03ED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78"/>
    <w:rsid w:val="0000228C"/>
    <w:rsid w:val="000035B0"/>
    <w:rsid w:val="00003B02"/>
    <w:rsid w:val="00004B32"/>
    <w:rsid w:val="00006320"/>
    <w:rsid w:val="00013372"/>
    <w:rsid w:val="000154EA"/>
    <w:rsid w:val="00016A9C"/>
    <w:rsid w:val="00020B0D"/>
    <w:rsid w:val="00020B3D"/>
    <w:rsid w:val="00022E2A"/>
    <w:rsid w:val="00023A44"/>
    <w:rsid w:val="00026922"/>
    <w:rsid w:val="00027206"/>
    <w:rsid w:val="000337F6"/>
    <w:rsid w:val="000343ED"/>
    <w:rsid w:val="000349C9"/>
    <w:rsid w:val="00034DCA"/>
    <w:rsid w:val="0003539D"/>
    <w:rsid w:val="00036672"/>
    <w:rsid w:val="00045A77"/>
    <w:rsid w:val="000508D4"/>
    <w:rsid w:val="0005404D"/>
    <w:rsid w:val="00056EC8"/>
    <w:rsid w:val="00057874"/>
    <w:rsid w:val="00057F58"/>
    <w:rsid w:val="000655E5"/>
    <w:rsid w:val="0006575D"/>
    <w:rsid w:val="000675FF"/>
    <w:rsid w:val="00067C2D"/>
    <w:rsid w:val="00073DC6"/>
    <w:rsid w:val="0007518C"/>
    <w:rsid w:val="000753BB"/>
    <w:rsid w:val="00075784"/>
    <w:rsid w:val="00075972"/>
    <w:rsid w:val="00076D35"/>
    <w:rsid w:val="00080A59"/>
    <w:rsid w:val="00084EBA"/>
    <w:rsid w:val="00091185"/>
    <w:rsid w:val="00095185"/>
    <w:rsid w:val="000A04C4"/>
    <w:rsid w:val="000A203B"/>
    <w:rsid w:val="000A3574"/>
    <w:rsid w:val="000A4034"/>
    <w:rsid w:val="000A4F3E"/>
    <w:rsid w:val="000A71B1"/>
    <w:rsid w:val="000C07EF"/>
    <w:rsid w:val="000C2AD2"/>
    <w:rsid w:val="000C33C4"/>
    <w:rsid w:val="000C497E"/>
    <w:rsid w:val="000C54AA"/>
    <w:rsid w:val="000C63BB"/>
    <w:rsid w:val="000C79C7"/>
    <w:rsid w:val="000D16E4"/>
    <w:rsid w:val="000D2936"/>
    <w:rsid w:val="000D3840"/>
    <w:rsid w:val="000D4FF9"/>
    <w:rsid w:val="000D6246"/>
    <w:rsid w:val="000E02ED"/>
    <w:rsid w:val="000E083F"/>
    <w:rsid w:val="000E12F0"/>
    <w:rsid w:val="000E5502"/>
    <w:rsid w:val="000E56D4"/>
    <w:rsid w:val="000E7B3D"/>
    <w:rsid w:val="000F0F67"/>
    <w:rsid w:val="000F5A9A"/>
    <w:rsid w:val="000F7357"/>
    <w:rsid w:val="00101562"/>
    <w:rsid w:val="00103141"/>
    <w:rsid w:val="00103165"/>
    <w:rsid w:val="0010643A"/>
    <w:rsid w:val="0010780F"/>
    <w:rsid w:val="001132CE"/>
    <w:rsid w:val="001135BE"/>
    <w:rsid w:val="00116942"/>
    <w:rsid w:val="001169C1"/>
    <w:rsid w:val="001169E4"/>
    <w:rsid w:val="00117FDD"/>
    <w:rsid w:val="001204C1"/>
    <w:rsid w:val="0012282F"/>
    <w:rsid w:val="00123597"/>
    <w:rsid w:val="001242F9"/>
    <w:rsid w:val="0012609F"/>
    <w:rsid w:val="0013336C"/>
    <w:rsid w:val="00133C29"/>
    <w:rsid w:val="0013432C"/>
    <w:rsid w:val="00136500"/>
    <w:rsid w:val="001422C4"/>
    <w:rsid w:val="00143451"/>
    <w:rsid w:val="00146055"/>
    <w:rsid w:val="001516DB"/>
    <w:rsid w:val="00153FB5"/>
    <w:rsid w:val="001605A9"/>
    <w:rsid w:val="001636D9"/>
    <w:rsid w:val="00166A2E"/>
    <w:rsid w:val="00166F0A"/>
    <w:rsid w:val="0016773D"/>
    <w:rsid w:val="00171A19"/>
    <w:rsid w:val="00172B58"/>
    <w:rsid w:val="001759F9"/>
    <w:rsid w:val="00176CF0"/>
    <w:rsid w:val="00184AC6"/>
    <w:rsid w:val="0018603E"/>
    <w:rsid w:val="00186289"/>
    <w:rsid w:val="001879D0"/>
    <w:rsid w:val="00192014"/>
    <w:rsid w:val="00194E60"/>
    <w:rsid w:val="00195E46"/>
    <w:rsid w:val="00196A12"/>
    <w:rsid w:val="001A2034"/>
    <w:rsid w:val="001A2E23"/>
    <w:rsid w:val="001A2FAA"/>
    <w:rsid w:val="001A444C"/>
    <w:rsid w:val="001A4925"/>
    <w:rsid w:val="001A6C2E"/>
    <w:rsid w:val="001B094F"/>
    <w:rsid w:val="001B3A27"/>
    <w:rsid w:val="001B7A8B"/>
    <w:rsid w:val="001C2DC5"/>
    <w:rsid w:val="001C3389"/>
    <w:rsid w:val="001C41EB"/>
    <w:rsid w:val="001C7AA7"/>
    <w:rsid w:val="001D049C"/>
    <w:rsid w:val="001D1BA4"/>
    <w:rsid w:val="001D5D83"/>
    <w:rsid w:val="001D6C5C"/>
    <w:rsid w:val="001D7E35"/>
    <w:rsid w:val="001E0D69"/>
    <w:rsid w:val="001E3BD7"/>
    <w:rsid w:val="001F0393"/>
    <w:rsid w:val="001F2DC5"/>
    <w:rsid w:val="001F35FD"/>
    <w:rsid w:val="001F64DF"/>
    <w:rsid w:val="001F6BE5"/>
    <w:rsid w:val="001F7140"/>
    <w:rsid w:val="00201F95"/>
    <w:rsid w:val="00202D07"/>
    <w:rsid w:val="002031C8"/>
    <w:rsid w:val="00205D75"/>
    <w:rsid w:val="00207C60"/>
    <w:rsid w:val="00211ECF"/>
    <w:rsid w:val="002123E8"/>
    <w:rsid w:val="00217638"/>
    <w:rsid w:val="00221722"/>
    <w:rsid w:val="00223DA8"/>
    <w:rsid w:val="00226831"/>
    <w:rsid w:val="00230DE3"/>
    <w:rsid w:val="002311A2"/>
    <w:rsid w:val="002315AF"/>
    <w:rsid w:val="00233BAF"/>
    <w:rsid w:val="002343A2"/>
    <w:rsid w:val="00234694"/>
    <w:rsid w:val="00237144"/>
    <w:rsid w:val="00241C43"/>
    <w:rsid w:val="00241F33"/>
    <w:rsid w:val="0024680D"/>
    <w:rsid w:val="002503F7"/>
    <w:rsid w:val="00252431"/>
    <w:rsid w:val="0025403C"/>
    <w:rsid w:val="00255A15"/>
    <w:rsid w:val="00264788"/>
    <w:rsid w:val="002705F4"/>
    <w:rsid w:val="00272442"/>
    <w:rsid w:val="00273359"/>
    <w:rsid w:val="00273DCE"/>
    <w:rsid w:val="00274371"/>
    <w:rsid w:val="00274AEB"/>
    <w:rsid w:val="00275724"/>
    <w:rsid w:val="00276E50"/>
    <w:rsid w:val="00281CBF"/>
    <w:rsid w:val="00282E47"/>
    <w:rsid w:val="002835DB"/>
    <w:rsid w:val="00294073"/>
    <w:rsid w:val="0029413C"/>
    <w:rsid w:val="002970D5"/>
    <w:rsid w:val="002A2A1E"/>
    <w:rsid w:val="002A71BA"/>
    <w:rsid w:val="002A72B0"/>
    <w:rsid w:val="002A7A47"/>
    <w:rsid w:val="002B0D92"/>
    <w:rsid w:val="002B2F80"/>
    <w:rsid w:val="002B3C2F"/>
    <w:rsid w:val="002B474F"/>
    <w:rsid w:val="002B5508"/>
    <w:rsid w:val="002B6B0C"/>
    <w:rsid w:val="002B7B65"/>
    <w:rsid w:val="002C0C41"/>
    <w:rsid w:val="002C2355"/>
    <w:rsid w:val="002C2777"/>
    <w:rsid w:val="002C6416"/>
    <w:rsid w:val="002C6AAB"/>
    <w:rsid w:val="002D143C"/>
    <w:rsid w:val="002D173B"/>
    <w:rsid w:val="002D2B98"/>
    <w:rsid w:val="002D6850"/>
    <w:rsid w:val="002E0669"/>
    <w:rsid w:val="002E1E1F"/>
    <w:rsid w:val="002E2126"/>
    <w:rsid w:val="002E355B"/>
    <w:rsid w:val="002E73C7"/>
    <w:rsid w:val="002F0744"/>
    <w:rsid w:val="002F315B"/>
    <w:rsid w:val="002F348F"/>
    <w:rsid w:val="002F7D0D"/>
    <w:rsid w:val="00302FC4"/>
    <w:rsid w:val="0030422B"/>
    <w:rsid w:val="00305D9C"/>
    <w:rsid w:val="00310A83"/>
    <w:rsid w:val="00311502"/>
    <w:rsid w:val="00311ADF"/>
    <w:rsid w:val="003129D5"/>
    <w:rsid w:val="00316F5D"/>
    <w:rsid w:val="00322A5C"/>
    <w:rsid w:val="00322D77"/>
    <w:rsid w:val="00326359"/>
    <w:rsid w:val="0032707A"/>
    <w:rsid w:val="003301D8"/>
    <w:rsid w:val="00333488"/>
    <w:rsid w:val="003337C6"/>
    <w:rsid w:val="00340136"/>
    <w:rsid w:val="00340C40"/>
    <w:rsid w:val="00345CC8"/>
    <w:rsid w:val="00345E43"/>
    <w:rsid w:val="00350C67"/>
    <w:rsid w:val="0036076F"/>
    <w:rsid w:val="00361B6E"/>
    <w:rsid w:val="0036221F"/>
    <w:rsid w:val="00362A01"/>
    <w:rsid w:val="003634C0"/>
    <w:rsid w:val="00364CFB"/>
    <w:rsid w:val="00365EC6"/>
    <w:rsid w:val="00370093"/>
    <w:rsid w:val="00370157"/>
    <w:rsid w:val="0037199E"/>
    <w:rsid w:val="00372CB4"/>
    <w:rsid w:val="0037571C"/>
    <w:rsid w:val="00375949"/>
    <w:rsid w:val="00380048"/>
    <w:rsid w:val="003824F5"/>
    <w:rsid w:val="003830F3"/>
    <w:rsid w:val="00383192"/>
    <w:rsid w:val="00387774"/>
    <w:rsid w:val="00387FFC"/>
    <w:rsid w:val="0039092B"/>
    <w:rsid w:val="00391780"/>
    <w:rsid w:val="00392665"/>
    <w:rsid w:val="00392C4D"/>
    <w:rsid w:val="0039504A"/>
    <w:rsid w:val="0039527B"/>
    <w:rsid w:val="003A4A5D"/>
    <w:rsid w:val="003A6BA3"/>
    <w:rsid w:val="003B189C"/>
    <w:rsid w:val="003B47FD"/>
    <w:rsid w:val="003C0DA3"/>
    <w:rsid w:val="003C201B"/>
    <w:rsid w:val="003C751E"/>
    <w:rsid w:val="003D16D7"/>
    <w:rsid w:val="003D178E"/>
    <w:rsid w:val="003D1B91"/>
    <w:rsid w:val="003D556C"/>
    <w:rsid w:val="003E21D1"/>
    <w:rsid w:val="003E3799"/>
    <w:rsid w:val="003E553C"/>
    <w:rsid w:val="003E5F25"/>
    <w:rsid w:val="003E723C"/>
    <w:rsid w:val="003E7B59"/>
    <w:rsid w:val="003E7EE8"/>
    <w:rsid w:val="003E7F59"/>
    <w:rsid w:val="003F0396"/>
    <w:rsid w:val="003F13D0"/>
    <w:rsid w:val="003F2156"/>
    <w:rsid w:val="003F23C4"/>
    <w:rsid w:val="003F34D5"/>
    <w:rsid w:val="003F3987"/>
    <w:rsid w:val="004005AF"/>
    <w:rsid w:val="004008C4"/>
    <w:rsid w:val="00402AD5"/>
    <w:rsid w:val="00405D9C"/>
    <w:rsid w:val="00412908"/>
    <w:rsid w:val="004141CA"/>
    <w:rsid w:val="00414884"/>
    <w:rsid w:val="00423126"/>
    <w:rsid w:val="004244F8"/>
    <w:rsid w:val="00426770"/>
    <w:rsid w:val="004308D8"/>
    <w:rsid w:val="004317BE"/>
    <w:rsid w:val="004317CD"/>
    <w:rsid w:val="00435FDA"/>
    <w:rsid w:val="00437FB3"/>
    <w:rsid w:val="00440ABC"/>
    <w:rsid w:val="0044527F"/>
    <w:rsid w:val="00447072"/>
    <w:rsid w:val="004509EB"/>
    <w:rsid w:val="00455190"/>
    <w:rsid w:val="00455A1A"/>
    <w:rsid w:val="00455C15"/>
    <w:rsid w:val="00456575"/>
    <w:rsid w:val="00457734"/>
    <w:rsid w:val="00460045"/>
    <w:rsid w:val="00460B7C"/>
    <w:rsid w:val="004610C3"/>
    <w:rsid w:val="00463CA8"/>
    <w:rsid w:val="004666EB"/>
    <w:rsid w:val="00467F9C"/>
    <w:rsid w:val="004735D3"/>
    <w:rsid w:val="0047400A"/>
    <w:rsid w:val="00474B91"/>
    <w:rsid w:val="0047577B"/>
    <w:rsid w:val="00477430"/>
    <w:rsid w:val="00480894"/>
    <w:rsid w:val="00481CD2"/>
    <w:rsid w:val="004824CA"/>
    <w:rsid w:val="00482D6E"/>
    <w:rsid w:val="0048381D"/>
    <w:rsid w:val="004846D6"/>
    <w:rsid w:val="00487018"/>
    <w:rsid w:val="00487D78"/>
    <w:rsid w:val="00490471"/>
    <w:rsid w:val="00491A43"/>
    <w:rsid w:val="0049235F"/>
    <w:rsid w:val="00495E2C"/>
    <w:rsid w:val="00497844"/>
    <w:rsid w:val="0049793C"/>
    <w:rsid w:val="004A0097"/>
    <w:rsid w:val="004A0BAB"/>
    <w:rsid w:val="004A1C9B"/>
    <w:rsid w:val="004A56B2"/>
    <w:rsid w:val="004A577A"/>
    <w:rsid w:val="004A7075"/>
    <w:rsid w:val="004B11C4"/>
    <w:rsid w:val="004B1463"/>
    <w:rsid w:val="004B6153"/>
    <w:rsid w:val="004B67FA"/>
    <w:rsid w:val="004B7263"/>
    <w:rsid w:val="004B7FD4"/>
    <w:rsid w:val="004C1302"/>
    <w:rsid w:val="004C1D48"/>
    <w:rsid w:val="004C3295"/>
    <w:rsid w:val="004D1A34"/>
    <w:rsid w:val="004D25BC"/>
    <w:rsid w:val="004D2C11"/>
    <w:rsid w:val="004D572D"/>
    <w:rsid w:val="004D609F"/>
    <w:rsid w:val="004E059D"/>
    <w:rsid w:val="004E2085"/>
    <w:rsid w:val="004E2192"/>
    <w:rsid w:val="004E21E9"/>
    <w:rsid w:val="004E4580"/>
    <w:rsid w:val="004E53D3"/>
    <w:rsid w:val="004E697F"/>
    <w:rsid w:val="004E7749"/>
    <w:rsid w:val="004E7963"/>
    <w:rsid w:val="004E7FBF"/>
    <w:rsid w:val="004F038C"/>
    <w:rsid w:val="004F5331"/>
    <w:rsid w:val="004F60B6"/>
    <w:rsid w:val="004F64F6"/>
    <w:rsid w:val="00500FC1"/>
    <w:rsid w:val="00502267"/>
    <w:rsid w:val="00502693"/>
    <w:rsid w:val="00502DCB"/>
    <w:rsid w:val="00503757"/>
    <w:rsid w:val="00503972"/>
    <w:rsid w:val="0050463E"/>
    <w:rsid w:val="00504E9A"/>
    <w:rsid w:val="0050615A"/>
    <w:rsid w:val="005065D4"/>
    <w:rsid w:val="00506DD0"/>
    <w:rsid w:val="0051062A"/>
    <w:rsid w:val="0051107D"/>
    <w:rsid w:val="005142C7"/>
    <w:rsid w:val="00516438"/>
    <w:rsid w:val="005212D0"/>
    <w:rsid w:val="00522BC2"/>
    <w:rsid w:val="00523F26"/>
    <w:rsid w:val="00525630"/>
    <w:rsid w:val="00530D8A"/>
    <w:rsid w:val="0053131A"/>
    <w:rsid w:val="005329CE"/>
    <w:rsid w:val="00532F84"/>
    <w:rsid w:val="005348B4"/>
    <w:rsid w:val="0053575B"/>
    <w:rsid w:val="005376CA"/>
    <w:rsid w:val="005378A1"/>
    <w:rsid w:val="00537A88"/>
    <w:rsid w:val="00540C56"/>
    <w:rsid w:val="00543A1D"/>
    <w:rsid w:val="00547A68"/>
    <w:rsid w:val="00550038"/>
    <w:rsid w:val="00550878"/>
    <w:rsid w:val="005537F6"/>
    <w:rsid w:val="0055784C"/>
    <w:rsid w:val="00557E46"/>
    <w:rsid w:val="00560DA8"/>
    <w:rsid w:val="00563406"/>
    <w:rsid w:val="00565EE2"/>
    <w:rsid w:val="005664BC"/>
    <w:rsid w:val="00570CD3"/>
    <w:rsid w:val="00570F2E"/>
    <w:rsid w:val="0057313B"/>
    <w:rsid w:val="0057315F"/>
    <w:rsid w:val="005744B0"/>
    <w:rsid w:val="00580618"/>
    <w:rsid w:val="00583D58"/>
    <w:rsid w:val="00583E77"/>
    <w:rsid w:val="00584D65"/>
    <w:rsid w:val="005860F8"/>
    <w:rsid w:val="00590F0A"/>
    <w:rsid w:val="00592984"/>
    <w:rsid w:val="00593EB0"/>
    <w:rsid w:val="00595823"/>
    <w:rsid w:val="005A0A9E"/>
    <w:rsid w:val="005A38C9"/>
    <w:rsid w:val="005A5AC8"/>
    <w:rsid w:val="005B2E45"/>
    <w:rsid w:val="005B3921"/>
    <w:rsid w:val="005B56DD"/>
    <w:rsid w:val="005B5CA6"/>
    <w:rsid w:val="005C1755"/>
    <w:rsid w:val="005C2E80"/>
    <w:rsid w:val="005C3F18"/>
    <w:rsid w:val="005C3F19"/>
    <w:rsid w:val="005C6DC5"/>
    <w:rsid w:val="005C7202"/>
    <w:rsid w:val="005D492A"/>
    <w:rsid w:val="005D633E"/>
    <w:rsid w:val="005D7261"/>
    <w:rsid w:val="005E1480"/>
    <w:rsid w:val="005E2A3F"/>
    <w:rsid w:val="005E3ECC"/>
    <w:rsid w:val="005E41EB"/>
    <w:rsid w:val="005E4A2C"/>
    <w:rsid w:val="005E5113"/>
    <w:rsid w:val="005E7607"/>
    <w:rsid w:val="005F13AC"/>
    <w:rsid w:val="005F1831"/>
    <w:rsid w:val="005F279C"/>
    <w:rsid w:val="005F59F8"/>
    <w:rsid w:val="005F7566"/>
    <w:rsid w:val="006026BC"/>
    <w:rsid w:val="00604BF5"/>
    <w:rsid w:val="006119E6"/>
    <w:rsid w:val="00614412"/>
    <w:rsid w:val="0062355D"/>
    <w:rsid w:val="006250F6"/>
    <w:rsid w:val="00626F6A"/>
    <w:rsid w:val="00634620"/>
    <w:rsid w:val="00634DA6"/>
    <w:rsid w:val="00634EDB"/>
    <w:rsid w:val="006351B3"/>
    <w:rsid w:val="00635436"/>
    <w:rsid w:val="00641233"/>
    <w:rsid w:val="00641A31"/>
    <w:rsid w:val="00642E68"/>
    <w:rsid w:val="00643217"/>
    <w:rsid w:val="00645605"/>
    <w:rsid w:val="00651C6C"/>
    <w:rsid w:val="00652359"/>
    <w:rsid w:val="0065268A"/>
    <w:rsid w:val="00652692"/>
    <w:rsid w:val="00660103"/>
    <w:rsid w:val="006604F4"/>
    <w:rsid w:val="00662F3D"/>
    <w:rsid w:val="00673010"/>
    <w:rsid w:val="006735C5"/>
    <w:rsid w:val="0067406D"/>
    <w:rsid w:val="00676919"/>
    <w:rsid w:val="00677329"/>
    <w:rsid w:val="00680F3C"/>
    <w:rsid w:val="00681DE9"/>
    <w:rsid w:val="006829CF"/>
    <w:rsid w:val="00684B04"/>
    <w:rsid w:val="00685176"/>
    <w:rsid w:val="00686658"/>
    <w:rsid w:val="00690157"/>
    <w:rsid w:val="00691BCC"/>
    <w:rsid w:val="00692184"/>
    <w:rsid w:val="00694A88"/>
    <w:rsid w:val="00694B82"/>
    <w:rsid w:val="00695A0D"/>
    <w:rsid w:val="006A0CAB"/>
    <w:rsid w:val="006A35B9"/>
    <w:rsid w:val="006A3932"/>
    <w:rsid w:val="006A7715"/>
    <w:rsid w:val="006B3425"/>
    <w:rsid w:val="006B49D3"/>
    <w:rsid w:val="006B49DE"/>
    <w:rsid w:val="006B51C0"/>
    <w:rsid w:val="006B5381"/>
    <w:rsid w:val="006B6AB7"/>
    <w:rsid w:val="006C0517"/>
    <w:rsid w:val="006C0A80"/>
    <w:rsid w:val="006C1DAE"/>
    <w:rsid w:val="006C2E78"/>
    <w:rsid w:val="006C464A"/>
    <w:rsid w:val="006C66B4"/>
    <w:rsid w:val="006D0556"/>
    <w:rsid w:val="006D098B"/>
    <w:rsid w:val="006D1ECE"/>
    <w:rsid w:val="006D5DA4"/>
    <w:rsid w:val="006D655D"/>
    <w:rsid w:val="006D749B"/>
    <w:rsid w:val="006E3242"/>
    <w:rsid w:val="006E45D2"/>
    <w:rsid w:val="006F1263"/>
    <w:rsid w:val="006F2836"/>
    <w:rsid w:val="006F2EC9"/>
    <w:rsid w:val="006F6B94"/>
    <w:rsid w:val="00700334"/>
    <w:rsid w:val="00704060"/>
    <w:rsid w:val="00705269"/>
    <w:rsid w:val="00712690"/>
    <w:rsid w:val="00712C33"/>
    <w:rsid w:val="007145ED"/>
    <w:rsid w:val="00721B9C"/>
    <w:rsid w:val="007225B6"/>
    <w:rsid w:val="00727B1C"/>
    <w:rsid w:val="00731090"/>
    <w:rsid w:val="007315B5"/>
    <w:rsid w:val="007354A0"/>
    <w:rsid w:val="007356CE"/>
    <w:rsid w:val="0073587A"/>
    <w:rsid w:val="00736477"/>
    <w:rsid w:val="00740B6F"/>
    <w:rsid w:val="00740E27"/>
    <w:rsid w:val="00743EDE"/>
    <w:rsid w:val="00744ED7"/>
    <w:rsid w:val="00747714"/>
    <w:rsid w:val="00747E3F"/>
    <w:rsid w:val="00747ECD"/>
    <w:rsid w:val="007512E1"/>
    <w:rsid w:val="00753340"/>
    <w:rsid w:val="00754986"/>
    <w:rsid w:val="00766D2C"/>
    <w:rsid w:val="0077090B"/>
    <w:rsid w:val="00771D28"/>
    <w:rsid w:val="00772F56"/>
    <w:rsid w:val="007738F8"/>
    <w:rsid w:val="007752C8"/>
    <w:rsid w:val="00776330"/>
    <w:rsid w:val="00776C3F"/>
    <w:rsid w:val="007804E8"/>
    <w:rsid w:val="00782394"/>
    <w:rsid w:val="00782890"/>
    <w:rsid w:val="00783D15"/>
    <w:rsid w:val="00784749"/>
    <w:rsid w:val="007876E5"/>
    <w:rsid w:val="00792274"/>
    <w:rsid w:val="007923DE"/>
    <w:rsid w:val="00795FCC"/>
    <w:rsid w:val="0079742A"/>
    <w:rsid w:val="007A2CAE"/>
    <w:rsid w:val="007B180E"/>
    <w:rsid w:val="007B1CFD"/>
    <w:rsid w:val="007B1FF4"/>
    <w:rsid w:val="007B5E37"/>
    <w:rsid w:val="007B6EC8"/>
    <w:rsid w:val="007C0BF9"/>
    <w:rsid w:val="007C1468"/>
    <w:rsid w:val="007C2275"/>
    <w:rsid w:val="007C2425"/>
    <w:rsid w:val="007C3CCC"/>
    <w:rsid w:val="007C5924"/>
    <w:rsid w:val="007D0833"/>
    <w:rsid w:val="007D0ECD"/>
    <w:rsid w:val="007D1961"/>
    <w:rsid w:val="007D20E5"/>
    <w:rsid w:val="007D2497"/>
    <w:rsid w:val="007D499F"/>
    <w:rsid w:val="007D6098"/>
    <w:rsid w:val="007D6B94"/>
    <w:rsid w:val="007E0C4F"/>
    <w:rsid w:val="007E1202"/>
    <w:rsid w:val="007E235F"/>
    <w:rsid w:val="007E63EC"/>
    <w:rsid w:val="007F2F63"/>
    <w:rsid w:val="007F4E57"/>
    <w:rsid w:val="007F60A0"/>
    <w:rsid w:val="007F60A3"/>
    <w:rsid w:val="007F6E61"/>
    <w:rsid w:val="00802DA3"/>
    <w:rsid w:val="00805353"/>
    <w:rsid w:val="008064FE"/>
    <w:rsid w:val="00810B5A"/>
    <w:rsid w:val="0081109C"/>
    <w:rsid w:val="00811FD9"/>
    <w:rsid w:val="00812BCE"/>
    <w:rsid w:val="00814A30"/>
    <w:rsid w:val="00815621"/>
    <w:rsid w:val="00815C8F"/>
    <w:rsid w:val="00815E2D"/>
    <w:rsid w:val="00816915"/>
    <w:rsid w:val="008172EE"/>
    <w:rsid w:val="008211AC"/>
    <w:rsid w:val="00821A31"/>
    <w:rsid w:val="0082271D"/>
    <w:rsid w:val="00822AC0"/>
    <w:rsid w:val="008235DB"/>
    <w:rsid w:val="008244C9"/>
    <w:rsid w:val="00830992"/>
    <w:rsid w:val="008322F1"/>
    <w:rsid w:val="00832EC3"/>
    <w:rsid w:val="00835042"/>
    <w:rsid w:val="00835056"/>
    <w:rsid w:val="00840DA6"/>
    <w:rsid w:val="00845C79"/>
    <w:rsid w:val="008468C8"/>
    <w:rsid w:val="00852BC9"/>
    <w:rsid w:val="00855816"/>
    <w:rsid w:val="00856A0F"/>
    <w:rsid w:val="008603E6"/>
    <w:rsid w:val="008636FD"/>
    <w:rsid w:val="00863B35"/>
    <w:rsid w:val="00866252"/>
    <w:rsid w:val="008673DC"/>
    <w:rsid w:val="008726BB"/>
    <w:rsid w:val="00872EA3"/>
    <w:rsid w:val="008744AD"/>
    <w:rsid w:val="00874BD4"/>
    <w:rsid w:val="00874E9C"/>
    <w:rsid w:val="00876FB6"/>
    <w:rsid w:val="00880A37"/>
    <w:rsid w:val="00883058"/>
    <w:rsid w:val="00887B7E"/>
    <w:rsid w:val="00891006"/>
    <w:rsid w:val="00891A85"/>
    <w:rsid w:val="00891C44"/>
    <w:rsid w:val="00892EBF"/>
    <w:rsid w:val="008941A8"/>
    <w:rsid w:val="0089421C"/>
    <w:rsid w:val="00895131"/>
    <w:rsid w:val="008A049C"/>
    <w:rsid w:val="008A0841"/>
    <w:rsid w:val="008A1313"/>
    <w:rsid w:val="008A3EF8"/>
    <w:rsid w:val="008A4253"/>
    <w:rsid w:val="008A6BBC"/>
    <w:rsid w:val="008B5100"/>
    <w:rsid w:val="008B5208"/>
    <w:rsid w:val="008B6BBF"/>
    <w:rsid w:val="008B7AA2"/>
    <w:rsid w:val="008C0B34"/>
    <w:rsid w:val="008C4C3A"/>
    <w:rsid w:val="008C7309"/>
    <w:rsid w:val="008D0334"/>
    <w:rsid w:val="008D12AF"/>
    <w:rsid w:val="008D1930"/>
    <w:rsid w:val="008D19A3"/>
    <w:rsid w:val="008D4C2A"/>
    <w:rsid w:val="008D51DA"/>
    <w:rsid w:val="008D57B6"/>
    <w:rsid w:val="008E330D"/>
    <w:rsid w:val="008E5DD9"/>
    <w:rsid w:val="008E7761"/>
    <w:rsid w:val="008E7987"/>
    <w:rsid w:val="008F537C"/>
    <w:rsid w:val="008F5E73"/>
    <w:rsid w:val="008F646F"/>
    <w:rsid w:val="008F6EA6"/>
    <w:rsid w:val="008F73B0"/>
    <w:rsid w:val="00902119"/>
    <w:rsid w:val="00903CC6"/>
    <w:rsid w:val="00906521"/>
    <w:rsid w:val="00907429"/>
    <w:rsid w:val="00910728"/>
    <w:rsid w:val="00913D49"/>
    <w:rsid w:val="00916F24"/>
    <w:rsid w:val="00917A47"/>
    <w:rsid w:val="00922116"/>
    <w:rsid w:val="00932377"/>
    <w:rsid w:val="00932B63"/>
    <w:rsid w:val="00936672"/>
    <w:rsid w:val="00936F65"/>
    <w:rsid w:val="00940454"/>
    <w:rsid w:val="009407E8"/>
    <w:rsid w:val="00941A4B"/>
    <w:rsid w:val="00942B94"/>
    <w:rsid w:val="0094630F"/>
    <w:rsid w:val="00950AA0"/>
    <w:rsid w:val="009517FB"/>
    <w:rsid w:val="009526A4"/>
    <w:rsid w:val="00953321"/>
    <w:rsid w:val="00954B80"/>
    <w:rsid w:val="009559BD"/>
    <w:rsid w:val="00956EFF"/>
    <w:rsid w:val="00957405"/>
    <w:rsid w:val="00957DA5"/>
    <w:rsid w:val="00960A1D"/>
    <w:rsid w:val="009632C9"/>
    <w:rsid w:val="00963397"/>
    <w:rsid w:val="0096396F"/>
    <w:rsid w:val="009666D2"/>
    <w:rsid w:val="00967AB7"/>
    <w:rsid w:val="009701B5"/>
    <w:rsid w:val="00971556"/>
    <w:rsid w:val="00971E1A"/>
    <w:rsid w:val="009722CC"/>
    <w:rsid w:val="00974F7E"/>
    <w:rsid w:val="00976487"/>
    <w:rsid w:val="009810AA"/>
    <w:rsid w:val="009822FE"/>
    <w:rsid w:val="00985009"/>
    <w:rsid w:val="00986286"/>
    <w:rsid w:val="00987BB7"/>
    <w:rsid w:val="00987C9C"/>
    <w:rsid w:val="00990160"/>
    <w:rsid w:val="009901BF"/>
    <w:rsid w:val="00990920"/>
    <w:rsid w:val="00992E78"/>
    <w:rsid w:val="00997181"/>
    <w:rsid w:val="009A190C"/>
    <w:rsid w:val="009A2314"/>
    <w:rsid w:val="009A4617"/>
    <w:rsid w:val="009B0B97"/>
    <w:rsid w:val="009B1A35"/>
    <w:rsid w:val="009B33C3"/>
    <w:rsid w:val="009B5B1B"/>
    <w:rsid w:val="009B610D"/>
    <w:rsid w:val="009B6542"/>
    <w:rsid w:val="009B69BB"/>
    <w:rsid w:val="009C2615"/>
    <w:rsid w:val="009D363C"/>
    <w:rsid w:val="009D4102"/>
    <w:rsid w:val="009D51C5"/>
    <w:rsid w:val="009D77AA"/>
    <w:rsid w:val="009D7960"/>
    <w:rsid w:val="009E110F"/>
    <w:rsid w:val="009E22AC"/>
    <w:rsid w:val="009E3632"/>
    <w:rsid w:val="009E49B7"/>
    <w:rsid w:val="009E55E7"/>
    <w:rsid w:val="009E5BBA"/>
    <w:rsid w:val="009F0CCB"/>
    <w:rsid w:val="009F0E4B"/>
    <w:rsid w:val="009F456C"/>
    <w:rsid w:val="009F5F85"/>
    <w:rsid w:val="009F7048"/>
    <w:rsid w:val="00A03B92"/>
    <w:rsid w:val="00A046EA"/>
    <w:rsid w:val="00A06248"/>
    <w:rsid w:val="00A069FB"/>
    <w:rsid w:val="00A1036F"/>
    <w:rsid w:val="00A10A07"/>
    <w:rsid w:val="00A12EF1"/>
    <w:rsid w:val="00A17AD5"/>
    <w:rsid w:val="00A20127"/>
    <w:rsid w:val="00A205F9"/>
    <w:rsid w:val="00A20D69"/>
    <w:rsid w:val="00A23FE4"/>
    <w:rsid w:val="00A2723F"/>
    <w:rsid w:val="00A27D5B"/>
    <w:rsid w:val="00A339B6"/>
    <w:rsid w:val="00A33D8E"/>
    <w:rsid w:val="00A353D8"/>
    <w:rsid w:val="00A35953"/>
    <w:rsid w:val="00A36CBC"/>
    <w:rsid w:val="00A37EE4"/>
    <w:rsid w:val="00A411EF"/>
    <w:rsid w:val="00A411F1"/>
    <w:rsid w:val="00A41814"/>
    <w:rsid w:val="00A4267B"/>
    <w:rsid w:val="00A43F84"/>
    <w:rsid w:val="00A452FB"/>
    <w:rsid w:val="00A47034"/>
    <w:rsid w:val="00A51F88"/>
    <w:rsid w:val="00A52750"/>
    <w:rsid w:val="00A56BDF"/>
    <w:rsid w:val="00A577D2"/>
    <w:rsid w:val="00A60A75"/>
    <w:rsid w:val="00A61008"/>
    <w:rsid w:val="00A73FBB"/>
    <w:rsid w:val="00A74627"/>
    <w:rsid w:val="00A75202"/>
    <w:rsid w:val="00A77E8E"/>
    <w:rsid w:val="00A83DAE"/>
    <w:rsid w:val="00A83E5A"/>
    <w:rsid w:val="00A87315"/>
    <w:rsid w:val="00A875D2"/>
    <w:rsid w:val="00A87D01"/>
    <w:rsid w:val="00A96BF9"/>
    <w:rsid w:val="00AA0A78"/>
    <w:rsid w:val="00AA1537"/>
    <w:rsid w:val="00AA245D"/>
    <w:rsid w:val="00AA33D2"/>
    <w:rsid w:val="00AA77BE"/>
    <w:rsid w:val="00AA7D79"/>
    <w:rsid w:val="00AB0191"/>
    <w:rsid w:val="00AB02EE"/>
    <w:rsid w:val="00AB3433"/>
    <w:rsid w:val="00AB6666"/>
    <w:rsid w:val="00AB6851"/>
    <w:rsid w:val="00AB6C21"/>
    <w:rsid w:val="00AC455D"/>
    <w:rsid w:val="00AC484F"/>
    <w:rsid w:val="00AC4F77"/>
    <w:rsid w:val="00AC6364"/>
    <w:rsid w:val="00AC6C72"/>
    <w:rsid w:val="00AC7251"/>
    <w:rsid w:val="00AD03B9"/>
    <w:rsid w:val="00AD2CDD"/>
    <w:rsid w:val="00AD3F2B"/>
    <w:rsid w:val="00AD5282"/>
    <w:rsid w:val="00AD6445"/>
    <w:rsid w:val="00AD74C7"/>
    <w:rsid w:val="00AE0514"/>
    <w:rsid w:val="00AE4D63"/>
    <w:rsid w:val="00AE511B"/>
    <w:rsid w:val="00AE5750"/>
    <w:rsid w:val="00AE582B"/>
    <w:rsid w:val="00AE6D9C"/>
    <w:rsid w:val="00AE7193"/>
    <w:rsid w:val="00AF47C1"/>
    <w:rsid w:val="00AF5E1D"/>
    <w:rsid w:val="00B003C3"/>
    <w:rsid w:val="00B0153E"/>
    <w:rsid w:val="00B021B0"/>
    <w:rsid w:val="00B0284B"/>
    <w:rsid w:val="00B041D2"/>
    <w:rsid w:val="00B05830"/>
    <w:rsid w:val="00B05B2D"/>
    <w:rsid w:val="00B061BB"/>
    <w:rsid w:val="00B06D92"/>
    <w:rsid w:val="00B10F96"/>
    <w:rsid w:val="00B13874"/>
    <w:rsid w:val="00B14ACD"/>
    <w:rsid w:val="00B14C21"/>
    <w:rsid w:val="00B15F28"/>
    <w:rsid w:val="00B17A92"/>
    <w:rsid w:val="00B21320"/>
    <w:rsid w:val="00B22BF4"/>
    <w:rsid w:val="00B336CA"/>
    <w:rsid w:val="00B337BE"/>
    <w:rsid w:val="00B34FDA"/>
    <w:rsid w:val="00B350AB"/>
    <w:rsid w:val="00B3683A"/>
    <w:rsid w:val="00B36D68"/>
    <w:rsid w:val="00B37DFE"/>
    <w:rsid w:val="00B40837"/>
    <w:rsid w:val="00B41223"/>
    <w:rsid w:val="00B43D27"/>
    <w:rsid w:val="00B44FC3"/>
    <w:rsid w:val="00B50B29"/>
    <w:rsid w:val="00B522FE"/>
    <w:rsid w:val="00B542B3"/>
    <w:rsid w:val="00B5486C"/>
    <w:rsid w:val="00B60B11"/>
    <w:rsid w:val="00B62801"/>
    <w:rsid w:val="00B6408F"/>
    <w:rsid w:val="00B640A5"/>
    <w:rsid w:val="00B67DBE"/>
    <w:rsid w:val="00B708C4"/>
    <w:rsid w:val="00B71003"/>
    <w:rsid w:val="00B713BE"/>
    <w:rsid w:val="00B737E8"/>
    <w:rsid w:val="00B75DAC"/>
    <w:rsid w:val="00B81AA7"/>
    <w:rsid w:val="00B81C3F"/>
    <w:rsid w:val="00B828CE"/>
    <w:rsid w:val="00B91295"/>
    <w:rsid w:val="00B916EB"/>
    <w:rsid w:val="00B923E3"/>
    <w:rsid w:val="00B92B30"/>
    <w:rsid w:val="00B931A7"/>
    <w:rsid w:val="00B96AA9"/>
    <w:rsid w:val="00BA0F82"/>
    <w:rsid w:val="00BA1230"/>
    <w:rsid w:val="00BA23D6"/>
    <w:rsid w:val="00BA61CF"/>
    <w:rsid w:val="00BA73AE"/>
    <w:rsid w:val="00BB2DA8"/>
    <w:rsid w:val="00BC1FF6"/>
    <w:rsid w:val="00BC29B0"/>
    <w:rsid w:val="00BC3820"/>
    <w:rsid w:val="00BC48A3"/>
    <w:rsid w:val="00BC7362"/>
    <w:rsid w:val="00BD01E3"/>
    <w:rsid w:val="00BD2AC5"/>
    <w:rsid w:val="00BD2F34"/>
    <w:rsid w:val="00BE0CAA"/>
    <w:rsid w:val="00BE1A46"/>
    <w:rsid w:val="00BE2939"/>
    <w:rsid w:val="00BE2DF2"/>
    <w:rsid w:val="00BE3C8D"/>
    <w:rsid w:val="00BE4A00"/>
    <w:rsid w:val="00BE4B2A"/>
    <w:rsid w:val="00BE5CD0"/>
    <w:rsid w:val="00BE735C"/>
    <w:rsid w:val="00C00619"/>
    <w:rsid w:val="00C03E74"/>
    <w:rsid w:val="00C05F72"/>
    <w:rsid w:val="00C06E03"/>
    <w:rsid w:val="00C07721"/>
    <w:rsid w:val="00C12C05"/>
    <w:rsid w:val="00C15611"/>
    <w:rsid w:val="00C1598F"/>
    <w:rsid w:val="00C16ADE"/>
    <w:rsid w:val="00C2003B"/>
    <w:rsid w:val="00C221A3"/>
    <w:rsid w:val="00C22D61"/>
    <w:rsid w:val="00C231A0"/>
    <w:rsid w:val="00C24DCF"/>
    <w:rsid w:val="00C25B68"/>
    <w:rsid w:val="00C27922"/>
    <w:rsid w:val="00C27F9B"/>
    <w:rsid w:val="00C31443"/>
    <w:rsid w:val="00C320DE"/>
    <w:rsid w:val="00C32BEE"/>
    <w:rsid w:val="00C36FE8"/>
    <w:rsid w:val="00C37B9B"/>
    <w:rsid w:val="00C37EE6"/>
    <w:rsid w:val="00C4163A"/>
    <w:rsid w:val="00C43B98"/>
    <w:rsid w:val="00C442EE"/>
    <w:rsid w:val="00C459D4"/>
    <w:rsid w:val="00C46DD3"/>
    <w:rsid w:val="00C50A27"/>
    <w:rsid w:val="00C511B1"/>
    <w:rsid w:val="00C52D36"/>
    <w:rsid w:val="00C53E4E"/>
    <w:rsid w:val="00C54118"/>
    <w:rsid w:val="00C54BE3"/>
    <w:rsid w:val="00C60DAE"/>
    <w:rsid w:val="00C61785"/>
    <w:rsid w:val="00C620BC"/>
    <w:rsid w:val="00C62875"/>
    <w:rsid w:val="00C63889"/>
    <w:rsid w:val="00C66FCD"/>
    <w:rsid w:val="00C6707E"/>
    <w:rsid w:val="00C7087A"/>
    <w:rsid w:val="00C717B3"/>
    <w:rsid w:val="00C7192D"/>
    <w:rsid w:val="00C72F1B"/>
    <w:rsid w:val="00C735B3"/>
    <w:rsid w:val="00C73C33"/>
    <w:rsid w:val="00C74CCD"/>
    <w:rsid w:val="00C74E03"/>
    <w:rsid w:val="00C75D42"/>
    <w:rsid w:val="00C766B5"/>
    <w:rsid w:val="00C76CD0"/>
    <w:rsid w:val="00C80FC7"/>
    <w:rsid w:val="00C82C01"/>
    <w:rsid w:val="00C83EFC"/>
    <w:rsid w:val="00C908D9"/>
    <w:rsid w:val="00C910CF"/>
    <w:rsid w:val="00C9294E"/>
    <w:rsid w:val="00C92E50"/>
    <w:rsid w:val="00C92F1F"/>
    <w:rsid w:val="00C9561B"/>
    <w:rsid w:val="00C95824"/>
    <w:rsid w:val="00C95E91"/>
    <w:rsid w:val="00CA04DF"/>
    <w:rsid w:val="00CA2DD5"/>
    <w:rsid w:val="00CA43E4"/>
    <w:rsid w:val="00CA79DE"/>
    <w:rsid w:val="00CB1500"/>
    <w:rsid w:val="00CB18F0"/>
    <w:rsid w:val="00CB2E32"/>
    <w:rsid w:val="00CB67A9"/>
    <w:rsid w:val="00CB7ECC"/>
    <w:rsid w:val="00CC0D76"/>
    <w:rsid w:val="00CC25A6"/>
    <w:rsid w:val="00CD6178"/>
    <w:rsid w:val="00CD6C7F"/>
    <w:rsid w:val="00CD79CC"/>
    <w:rsid w:val="00CE1992"/>
    <w:rsid w:val="00CE2421"/>
    <w:rsid w:val="00CE3BB0"/>
    <w:rsid w:val="00CE47F0"/>
    <w:rsid w:val="00CE4E82"/>
    <w:rsid w:val="00CF185A"/>
    <w:rsid w:val="00CF4038"/>
    <w:rsid w:val="00CF487D"/>
    <w:rsid w:val="00CF4B7C"/>
    <w:rsid w:val="00D02CE6"/>
    <w:rsid w:val="00D030F4"/>
    <w:rsid w:val="00D0320C"/>
    <w:rsid w:val="00D053E1"/>
    <w:rsid w:val="00D07B24"/>
    <w:rsid w:val="00D10342"/>
    <w:rsid w:val="00D11447"/>
    <w:rsid w:val="00D12087"/>
    <w:rsid w:val="00D1389D"/>
    <w:rsid w:val="00D13D33"/>
    <w:rsid w:val="00D1468C"/>
    <w:rsid w:val="00D215C6"/>
    <w:rsid w:val="00D22534"/>
    <w:rsid w:val="00D227FD"/>
    <w:rsid w:val="00D2326E"/>
    <w:rsid w:val="00D23E92"/>
    <w:rsid w:val="00D24626"/>
    <w:rsid w:val="00D249C5"/>
    <w:rsid w:val="00D24B5C"/>
    <w:rsid w:val="00D24DA8"/>
    <w:rsid w:val="00D253ED"/>
    <w:rsid w:val="00D3108A"/>
    <w:rsid w:val="00D33087"/>
    <w:rsid w:val="00D33120"/>
    <w:rsid w:val="00D339B7"/>
    <w:rsid w:val="00D34821"/>
    <w:rsid w:val="00D34869"/>
    <w:rsid w:val="00D37557"/>
    <w:rsid w:val="00D37C68"/>
    <w:rsid w:val="00D4140C"/>
    <w:rsid w:val="00D43482"/>
    <w:rsid w:val="00D4380B"/>
    <w:rsid w:val="00D47E33"/>
    <w:rsid w:val="00D52B10"/>
    <w:rsid w:val="00D5324D"/>
    <w:rsid w:val="00D537F4"/>
    <w:rsid w:val="00D5534C"/>
    <w:rsid w:val="00D602F7"/>
    <w:rsid w:val="00D61DBD"/>
    <w:rsid w:val="00D63384"/>
    <w:rsid w:val="00D64FCF"/>
    <w:rsid w:val="00D65CA3"/>
    <w:rsid w:val="00D70ADF"/>
    <w:rsid w:val="00D730A9"/>
    <w:rsid w:val="00D73611"/>
    <w:rsid w:val="00D73AE6"/>
    <w:rsid w:val="00D74D0E"/>
    <w:rsid w:val="00D76AF1"/>
    <w:rsid w:val="00D7717F"/>
    <w:rsid w:val="00D7730B"/>
    <w:rsid w:val="00D82C56"/>
    <w:rsid w:val="00D85084"/>
    <w:rsid w:val="00D9064E"/>
    <w:rsid w:val="00D92324"/>
    <w:rsid w:val="00D950E7"/>
    <w:rsid w:val="00D95131"/>
    <w:rsid w:val="00DA0162"/>
    <w:rsid w:val="00DA0C79"/>
    <w:rsid w:val="00DA1A91"/>
    <w:rsid w:val="00DA1EE3"/>
    <w:rsid w:val="00DA2107"/>
    <w:rsid w:val="00DA37EC"/>
    <w:rsid w:val="00DA4D47"/>
    <w:rsid w:val="00DA5EF7"/>
    <w:rsid w:val="00DB12CB"/>
    <w:rsid w:val="00DB1FD7"/>
    <w:rsid w:val="00DB23EF"/>
    <w:rsid w:val="00DB4989"/>
    <w:rsid w:val="00DB4BBC"/>
    <w:rsid w:val="00DB58F6"/>
    <w:rsid w:val="00DB5DB2"/>
    <w:rsid w:val="00DC04EA"/>
    <w:rsid w:val="00DC43B7"/>
    <w:rsid w:val="00DC555B"/>
    <w:rsid w:val="00DC5B34"/>
    <w:rsid w:val="00DC732F"/>
    <w:rsid w:val="00DC784B"/>
    <w:rsid w:val="00DC7D28"/>
    <w:rsid w:val="00DD0223"/>
    <w:rsid w:val="00DD2A1D"/>
    <w:rsid w:val="00DD323A"/>
    <w:rsid w:val="00DD3278"/>
    <w:rsid w:val="00DD3BCA"/>
    <w:rsid w:val="00DD432C"/>
    <w:rsid w:val="00DD4A49"/>
    <w:rsid w:val="00DD6A9A"/>
    <w:rsid w:val="00DE14DC"/>
    <w:rsid w:val="00DE26C4"/>
    <w:rsid w:val="00DE2759"/>
    <w:rsid w:val="00DE30A3"/>
    <w:rsid w:val="00DE4D0D"/>
    <w:rsid w:val="00DE5006"/>
    <w:rsid w:val="00DE5BAC"/>
    <w:rsid w:val="00DE6988"/>
    <w:rsid w:val="00DE6D63"/>
    <w:rsid w:val="00DF2FA8"/>
    <w:rsid w:val="00DF30AF"/>
    <w:rsid w:val="00DF33B1"/>
    <w:rsid w:val="00DF590E"/>
    <w:rsid w:val="00DF6D33"/>
    <w:rsid w:val="00E001F6"/>
    <w:rsid w:val="00E01AB4"/>
    <w:rsid w:val="00E05DB0"/>
    <w:rsid w:val="00E068FB"/>
    <w:rsid w:val="00E10D98"/>
    <w:rsid w:val="00E10F1D"/>
    <w:rsid w:val="00E11CF8"/>
    <w:rsid w:val="00E14450"/>
    <w:rsid w:val="00E1546B"/>
    <w:rsid w:val="00E15D0F"/>
    <w:rsid w:val="00E16459"/>
    <w:rsid w:val="00E16766"/>
    <w:rsid w:val="00E21C35"/>
    <w:rsid w:val="00E220DD"/>
    <w:rsid w:val="00E23A0E"/>
    <w:rsid w:val="00E24C5D"/>
    <w:rsid w:val="00E25262"/>
    <w:rsid w:val="00E25358"/>
    <w:rsid w:val="00E266FD"/>
    <w:rsid w:val="00E341A5"/>
    <w:rsid w:val="00E37AEC"/>
    <w:rsid w:val="00E4231D"/>
    <w:rsid w:val="00E442CF"/>
    <w:rsid w:val="00E52183"/>
    <w:rsid w:val="00E63431"/>
    <w:rsid w:val="00E64CA0"/>
    <w:rsid w:val="00E70EE5"/>
    <w:rsid w:val="00E713DD"/>
    <w:rsid w:val="00E75AFB"/>
    <w:rsid w:val="00E80566"/>
    <w:rsid w:val="00E81C40"/>
    <w:rsid w:val="00E82ECF"/>
    <w:rsid w:val="00E84145"/>
    <w:rsid w:val="00E91E09"/>
    <w:rsid w:val="00E92A79"/>
    <w:rsid w:val="00E94C66"/>
    <w:rsid w:val="00EA226F"/>
    <w:rsid w:val="00EA38A2"/>
    <w:rsid w:val="00EA6478"/>
    <w:rsid w:val="00EA71F1"/>
    <w:rsid w:val="00EA7492"/>
    <w:rsid w:val="00EB0B16"/>
    <w:rsid w:val="00EB2B16"/>
    <w:rsid w:val="00EB3395"/>
    <w:rsid w:val="00EB5EAF"/>
    <w:rsid w:val="00EB70EB"/>
    <w:rsid w:val="00EC2CB0"/>
    <w:rsid w:val="00EC3CCD"/>
    <w:rsid w:val="00EC5312"/>
    <w:rsid w:val="00EC5635"/>
    <w:rsid w:val="00ED40E2"/>
    <w:rsid w:val="00ED5A44"/>
    <w:rsid w:val="00ED6F3E"/>
    <w:rsid w:val="00ED74AA"/>
    <w:rsid w:val="00EE4CEB"/>
    <w:rsid w:val="00EE7C9B"/>
    <w:rsid w:val="00EF20AC"/>
    <w:rsid w:val="00EF2A22"/>
    <w:rsid w:val="00EF412E"/>
    <w:rsid w:val="00EF5FBF"/>
    <w:rsid w:val="00EF625A"/>
    <w:rsid w:val="00EF7800"/>
    <w:rsid w:val="00F04045"/>
    <w:rsid w:val="00F054AF"/>
    <w:rsid w:val="00F11442"/>
    <w:rsid w:val="00F11E19"/>
    <w:rsid w:val="00F124F5"/>
    <w:rsid w:val="00F128C8"/>
    <w:rsid w:val="00F141B9"/>
    <w:rsid w:val="00F14747"/>
    <w:rsid w:val="00F168D9"/>
    <w:rsid w:val="00F200B4"/>
    <w:rsid w:val="00F20E52"/>
    <w:rsid w:val="00F219AC"/>
    <w:rsid w:val="00F21F15"/>
    <w:rsid w:val="00F27A03"/>
    <w:rsid w:val="00F27D3D"/>
    <w:rsid w:val="00F30D60"/>
    <w:rsid w:val="00F312A6"/>
    <w:rsid w:val="00F43958"/>
    <w:rsid w:val="00F443A1"/>
    <w:rsid w:val="00F50C72"/>
    <w:rsid w:val="00F51076"/>
    <w:rsid w:val="00F5134D"/>
    <w:rsid w:val="00F51AA8"/>
    <w:rsid w:val="00F549E8"/>
    <w:rsid w:val="00F56768"/>
    <w:rsid w:val="00F56A68"/>
    <w:rsid w:val="00F61AD3"/>
    <w:rsid w:val="00F63A03"/>
    <w:rsid w:val="00F64A99"/>
    <w:rsid w:val="00F6507F"/>
    <w:rsid w:val="00F67E77"/>
    <w:rsid w:val="00F7007E"/>
    <w:rsid w:val="00F713C8"/>
    <w:rsid w:val="00F742AB"/>
    <w:rsid w:val="00F77EB1"/>
    <w:rsid w:val="00F83A1E"/>
    <w:rsid w:val="00F84E71"/>
    <w:rsid w:val="00F852D5"/>
    <w:rsid w:val="00F85E64"/>
    <w:rsid w:val="00F91565"/>
    <w:rsid w:val="00F930A3"/>
    <w:rsid w:val="00F93D7E"/>
    <w:rsid w:val="00F9703A"/>
    <w:rsid w:val="00F97324"/>
    <w:rsid w:val="00F974D7"/>
    <w:rsid w:val="00FA12D7"/>
    <w:rsid w:val="00FA3295"/>
    <w:rsid w:val="00FA535D"/>
    <w:rsid w:val="00FA7591"/>
    <w:rsid w:val="00FA7808"/>
    <w:rsid w:val="00FB2844"/>
    <w:rsid w:val="00FB3068"/>
    <w:rsid w:val="00FB31FC"/>
    <w:rsid w:val="00FB656D"/>
    <w:rsid w:val="00FC002C"/>
    <w:rsid w:val="00FC0E3C"/>
    <w:rsid w:val="00FC22CD"/>
    <w:rsid w:val="00FC334A"/>
    <w:rsid w:val="00FC46EF"/>
    <w:rsid w:val="00FC534D"/>
    <w:rsid w:val="00FC7514"/>
    <w:rsid w:val="00FD0D87"/>
    <w:rsid w:val="00FD11D5"/>
    <w:rsid w:val="00FD2344"/>
    <w:rsid w:val="00FD3317"/>
    <w:rsid w:val="00FD54AC"/>
    <w:rsid w:val="00FD5589"/>
    <w:rsid w:val="00FD6E83"/>
    <w:rsid w:val="00FD7DEC"/>
    <w:rsid w:val="00FE1D18"/>
    <w:rsid w:val="00FE258A"/>
    <w:rsid w:val="00FE324C"/>
    <w:rsid w:val="00FE3B57"/>
    <w:rsid w:val="00FE4AFB"/>
    <w:rsid w:val="00FE5FB9"/>
    <w:rsid w:val="00FF091C"/>
    <w:rsid w:val="00FF1A01"/>
    <w:rsid w:val="00FF2DC6"/>
    <w:rsid w:val="00FF3D5C"/>
    <w:rsid w:val="00FF4521"/>
    <w:rsid w:val="00FF46A0"/>
    <w:rsid w:val="00FF561F"/>
    <w:rsid w:val="00FF620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3763"/>
  <w15:docId w15:val="{F50C67C6-6352-4982-AEF2-D8D6DE7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3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D327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D3278"/>
    <w:rPr>
      <w:rFonts w:cs="Times New Roman"/>
    </w:rPr>
  </w:style>
  <w:style w:type="paragraph" w:customStyle="1" w:styleId="aa">
    <w:name w:val="Заголовок статьи"/>
    <w:basedOn w:val="a"/>
    <w:next w:val="a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unhideWhenUsed/>
    <w:rsid w:val="004B6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4B67FA"/>
    <w:rPr>
      <w:rFonts w:ascii="Arial" w:hAnsi="Arial" w:cs="Arial" w:hint="default"/>
      <w:color w:val="666666"/>
      <w:sz w:val="14"/>
      <w:szCs w:val="14"/>
    </w:rPr>
  </w:style>
  <w:style w:type="paragraph" w:styleId="ad">
    <w:name w:val="List Paragraph"/>
    <w:basedOn w:val="a"/>
    <w:uiPriority w:val="34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522F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59D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903CC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34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34821"/>
    <w:rPr>
      <w:color w:val="0000FF"/>
      <w:u w:val="single"/>
    </w:rPr>
  </w:style>
  <w:style w:type="table" w:styleId="af4">
    <w:name w:val="Table Grid"/>
    <w:basedOn w:val="a1"/>
    <w:uiPriority w:val="59"/>
    <w:rsid w:val="00A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C7087A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08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6C6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z.volgograd.ru/about/organizations/list/385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BD1F-316E-4C83-B16B-3EC493BE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6876</TotalTime>
  <Pages>9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Пузикова Елена Александровна</cp:lastModifiedBy>
  <cp:revision>322</cp:revision>
  <cp:lastPrinted>2021-03-26T11:05:00Z</cp:lastPrinted>
  <dcterms:created xsi:type="dcterms:W3CDTF">2018-03-11T09:09:00Z</dcterms:created>
  <dcterms:modified xsi:type="dcterms:W3CDTF">2021-03-26T11:22:00Z</dcterms:modified>
</cp:coreProperties>
</file>