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theme/theme1.xml" ContentType="application/vnd.openxmlformats-officedocument.theme+xml"/>
  <Override PartName="/word/charts/chart2.xml" ContentType="application/vnd.openxmlformats-officedocument.drawingml.chart+xml"/>
  <Default Extension="xlsx" ContentType="application/vnd.openxmlformats-officedocument.spreadsheetml.sheet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12"/>
        <w:tblW w:w="100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5868"/>
        <w:gridCol w:w="4140"/>
      </w:tblGrid>
      <w:tr w:rsidR="00F22218" w:rsidTr="00F22218">
        <w:tc>
          <w:tcPr>
            <w:tcW w:w="5868" w:type="dxa"/>
          </w:tcPr>
          <w:p w:rsidR="00F22218" w:rsidRDefault="00F22218">
            <w:pPr>
              <w:jc w:val="center"/>
              <w:rPr>
                <w:rFonts w:eastAsia="Times New Roman"/>
                <w:b/>
                <w:bCs/>
                <w:color w:val="00B050"/>
                <w:spacing w:val="-2"/>
                <w:sz w:val="28"/>
                <w:szCs w:val="28"/>
              </w:rPr>
            </w:pPr>
          </w:p>
        </w:tc>
        <w:tc>
          <w:tcPr>
            <w:tcW w:w="4140" w:type="dxa"/>
          </w:tcPr>
          <w:p w:rsidR="00F22218" w:rsidRDefault="00F22218">
            <w:pPr>
              <w:tabs>
                <w:tab w:val="left" w:pos="2505"/>
              </w:tabs>
              <w:rPr>
                <w:b/>
              </w:rPr>
            </w:pPr>
            <w:r>
              <w:rPr>
                <w:b/>
              </w:rPr>
              <w:t>УТВЕРЖДАЮ</w:t>
            </w:r>
          </w:p>
          <w:p w:rsidR="00F22218" w:rsidRDefault="00F22218">
            <w:pPr>
              <w:tabs>
                <w:tab w:val="left" w:pos="2505"/>
              </w:tabs>
            </w:pPr>
            <w:r>
              <w:t xml:space="preserve">председатель контрольно - счетной </w:t>
            </w:r>
          </w:p>
          <w:p w:rsidR="00F22218" w:rsidRDefault="00F22218">
            <w:pPr>
              <w:tabs>
                <w:tab w:val="left" w:pos="2505"/>
              </w:tabs>
            </w:pPr>
            <w:r>
              <w:t>палаты Волгоградской области</w:t>
            </w:r>
          </w:p>
          <w:p w:rsidR="00F22218" w:rsidRDefault="00F22218">
            <w:pPr>
              <w:tabs>
                <w:tab w:val="left" w:pos="2505"/>
              </w:tabs>
            </w:pPr>
            <w:r>
              <w:t>______________ И. А. Дьяченко</w:t>
            </w:r>
          </w:p>
          <w:p w:rsidR="00F22218" w:rsidRDefault="0084474F">
            <w:pPr>
              <w:tabs>
                <w:tab w:val="left" w:pos="2505"/>
              </w:tabs>
            </w:pPr>
            <w:r>
              <w:t>«</w:t>
            </w:r>
            <w:r w:rsidR="00A074EE">
              <w:t>11</w:t>
            </w:r>
            <w:r>
              <w:t xml:space="preserve"> » </w:t>
            </w:r>
            <w:r w:rsidR="00F22218">
              <w:t xml:space="preserve">декабря 2019 года </w:t>
            </w:r>
          </w:p>
          <w:p w:rsidR="00F22218" w:rsidRDefault="00F22218">
            <w:pPr>
              <w:rPr>
                <w:rFonts w:eastAsia="Times New Roman"/>
                <w:bCs/>
                <w:color w:val="00B050"/>
                <w:spacing w:val="-2"/>
              </w:rPr>
            </w:pPr>
          </w:p>
        </w:tc>
      </w:tr>
    </w:tbl>
    <w:p w:rsidR="00F22218" w:rsidRDefault="00F22218" w:rsidP="00F22218">
      <w:pPr>
        <w:shd w:val="clear" w:color="auto" w:fill="FFFFFF"/>
        <w:jc w:val="center"/>
        <w:rPr>
          <w:rFonts w:eastAsia="Times New Roman"/>
          <w:b/>
          <w:bCs/>
          <w:spacing w:val="-2"/>
        </w:rPr>
      </w:pPr>
      <w:r>
        <w:rPr>
          <w:b/>
          <w:bCs/>
          <w:spacing w:val="-2"/>
        </w:rPr>
        <w:t>ОТЧЕТ</w:t>
      </w:r>
    </w:p>
    <w:p w:rsidR="00F22218" w:rsidRPr="00F22218" w:rsidRDefault="00F22218" w:rsidP="00F22218">
      <w:pPr>
        <w:shd w:val="clear" w:color="auto" w:fill="FFFFFF"/>
        <w:jc w:val="center"/>
        <w:rPr>
          <w:b/>
        </w:rPr>
      </w:pPr>
      <w:r>
        <w:rPr>
          <w:b/>
          <w:bCs/>
          <w:spacing w:val="-2"/>
        </w:rPr>
        <w:t xml:space="preserve">о результатах </w:t>
      </w:r>
      <w:r w:rsidRPr="00F22218">
        <w:rPr>
          <w:b/>
        </w:rPr>
        <w:t>проверки эффективности использования бюджетных средств, направленных на реализацию мероприятия по развитию региональной инфраструктуры предоставления государственных и муниципальных услуг (обеспечение деятельности системы многофункциональных центров предоставления государственных и муниципальных услуг в Волгоградской области) подпрограммы «Совершенствование государственного и муниципального управления» государственной программы Волгоградской области «Экономическое разв</w:t>
      </w:r>
      <w:r>
        <w:rPr>
          <w:b/>
        </w:rPr>
        <w:t>итие и инновационная экономика»</w:t>
      </w:r>
    </w:p>
    <w:p w:rsidR="00F22218" w:rsidRDefault="00F22218" w:rsidP="00F22218">
      <w:pPr>
        <w:shd w:val="clear" w:color="auto" w:fill="FFFFFF"/>
        <w:jc w:val="center"/>
        <w:rPr>
          <w:b/>
          <w:bCs/>
          <w:spacing w:val="-2"/>
        </w:rPr>
      </w:pPr>
    </w:p>
    <w:p w:rsidR="00F22218" w:rsidRPr="008112D5" w:rsidRDefault="00F22218" w:rsidP="00F22218">
      <w:pPr>
        <w:shd w:val="clear" w:color="auto" w:fill="FFFFFF"/>
        <w:ind w:firstLine="680"/>
        <w:jc w:val="both"/>
      </w:pPr>
      <w:r w:rsidRPr="008112D5">
        <w:rPr>
          <w:b/>
          <w:bCs/>
        </w:rPr>
        <w:t xml:space="preserve">Основание для проведения </w:t>
      </w:r>
      <w:r w:rsidR="00ED0166" w:rsidRPr="008112D5">
        <w:rPr>
          <w:b/>
          <w:bCs/>
        </w:rPr>
        <w:t>контрольного</w:t>
      </w:r>
      <w:r w:rsidRPr="008112D5">
        <w:rPr>
          <w:b/>
          <w:bCs/>
        </w:rPr>
        <w:t xml:space="preserve"> </w:t>
      </w:r>
      <w:r w:rsidRPr="008112D5">
        <w:rPr>
          <w:b/>
          <w:bCs/>
          <w:spacing w:val="-9"/>
        </w:rPr>
        <w:t xml:space="preserve">мероприятия: </w:t>
      </w:r>
      <w:r w:rsidRPr="008112D5">
        <w:rPr>
          <w:bCs/>
          <w:spacing w:val="-9"/>
        </w:rPr>
        <w:t xml:space="preserve">пункт </w:t>
      </w:r>
      <w:r w:rsidR="00ED0166" w:rsidRPr="008112D5">
        <w:rPr>
          <w:bCs/>
          <w:spacing w:val="-9"/>
        </w:rPr>
        <w:t>2</w:t>
      </w:r>
      <w:r w:rsidRPr="008112D5">
        <w:rPr>
          <w:bCs/>
          <w:spacing w:val="-9"/>
        </w:rPr>
        <w:t>.</w:t>
      </w:r>
      <w:r w:rsidR="00ED0166" w:rsidRPr="008112D5">
        <w:rPr>
          <w:bCs/>
          <w:spacing w:val="-9"/>
        </w:rPr>
        <w:t>12</w:t>
      </w:r>
      <w:r w:rsidRPr="008112D5">
        <w:rPr>
          <w:bCs/>
          <w:spacing w:val="-9"/>
        </w:rPr>
        <w:t xml:space="preserve"> </w:t>
      </w:r>
      <w:r w:rsidRPr="008112D5">
        <w:t>плана работы контрольно-счетной палаты Волгоградской области (далее – КСП) на 2019 год, утвержденного постановлением коллегии КСП от 17.12.2018 № 23/2.</w:t>
      </w:r>
    </w:p>
    <w:p w:rsidR="00F22218" w:rsidRPr="008112D5" w:rsidRDefault="00F22218" w:rsidP="00F22218">
      <w:pPr>
        <w:shd w:val="clear" w:color="auto" w:fill="FFFFFF"/>
        <w:tabs>
          <w:tab w:val="left" w:leader="underscore" w:pos="7855"/>
        </w:tabs>
        <w:ind w:firstLine="680"/>
        <w:jc w:val="both"/>
        <w:rPr>
          <w:b/>
          <w:bCs/>
          <w:spacing w:val="-12"/>
        </w:rPr>
      </w:pPr>
      <w:r w:rsidRPr="008112D5">
        <w:rPr>
          <w:b/>
          <w:bCs/>
          <w:spacing w:val="-1"/>
        </w:rPr>
        <w:t xml:space="preserve">Срок проведения </w:t>
      </w:r>
      <w:r w:rsidR="008112D5" w:rsidRPr="008112D5">
        <w:rPr>
          <w:b/>
          <w:bCs/>
          <w:spacing w:val="-1"/>
        </w:rPr>
        <w:t>контрольного</w:t>
      </w:r>
      <w:r w:rsidRPr="008112D5">
        <w:rPr>
          <w:b/>
          <w:bCs/>
          <w:spacing w:val="-1"/>
        </w:rPr>
        <w:t xml:space="preserve"> мероприятия:</w:t>
      </w:r>
      <w:r w:rsidRPr="008112D5">
        <w:t xml:space="preserve"> </w:t>
      </w:r>
      <w:r w:rsidR="008112D5" w:rsidRPr="008112D5">
        <w:t>с 26.08.2019 по  31.10.2019.</w:t>
      </w:r>
    </w:p>
    <w:p w:rsidR="00F22218" w:rsidRPr="008112D5" w:rsidRDefault="00F22218" w:rsidP="00F22218">
      <w:pPr>
        <w:shd w:val="clear" w:color="auto" w:fill="FFFFFF"/>
        <w:tabs>
          <w:tab w:val="left" w:leader="underscore" w:pos="9559"/>
        </w:tabs>
        <w:ind w:firstLine="680"/>
        <w:rPr>
          <w:b/>
          <w:bCs/>
          <w:spacing w:val="-2"/>
        </w:rPr>
      </w:pPr>
      <w:r w:rsidRPr="008112D5">
        <w:rPr>
          <w:b/>
          <w:bCs/>
          <w:spacing w:val="-2"/>
        </w:rPr>
        <w:t xml:space="preserve">Цели </w:t>
      </w:r>
      <w:r w:rsidR="008112D5" w:rsidRPr="008112D5">
        <w:rPr>
          <w:b/>
          <w:bCs/>
          <w:spacing w:val="-2"/>
        </w:rPr>
        <w:t xml:space="preserve">контрольного </w:t>
      </w:r>
      <w:r w:rsidRPr="008112D5">
        <w:rPr>
          <w:b/>
          <w:bCs/>
          <w:spacing w:val="-2"/>
        </w:rPr>
        <w:t xml:space="preserve"> мероприятия: </w:t>
      </w:r>
    </w:p>
    <w:p w:rsidR="008112D5" w:rsidRPr="002405A9" w:rsidRDefault="008112D5" w:rsidP="008112D5">
      <w:pPr>
        <w:pStyle w:val="21"/>
        <w:spacing w:after="0" w:line="240" w:lineRule="auto"/>
        <w:ind w:firstLine="680"/>
        <w:jc w:val="both"/>
        <w:rPr>
          <w:b/>
          <w:i/>
        </w:rPr>
      </w:pPr>
      <w:r w:rsidRPr="002405A9">
        <w:t>-</w:t>
      </w:r>
      <w:r>
        <w:t xml:space="preserve"> </w:t>
      </w:r>
      <w:r w:rsidRPr="002405A9">
        <w:t>определить законность и эффективность использования бюджетных средств;</w:t>
      </w:r>
    </w:p>
    <w:p w:rsidR="008112D5" w:rsidRPr="00D772C9" w:rsidRDefault="008112D5" w:rsidP="008112D5">
      <w:pPr>
        <w:pStyle w:val="21"/>
        <w:spacing w:after="0" w:line="240" w:lineRule="auto"/>
        <w:ind w:firstLine="680"/>
        <w:jc w:val="both"/>
        <w:rPr>
          <w:b/>
          <w:i/>
        </w:rPr>
      </w:pPr>
      <w:r w:rsidRPr="002405A9">
        <w:t>-</w:t>
      </w:r>
      <w:r>
        <w:t xml:space="preserve"> проанализировать проведение централизации сети </w:t>
      </w:r>
      <w:r w:rsidRPr="00BD0F08">
        <w:t xml:space="preserve">многофункциональных центров </w:t>
      </w:r>
      <w:r w:rsidRPr="00D772C9">
        <w:t>предоставления государственных и муниципальных услуг Волгоградской области (далее – МФЦ);</w:t>
      </w:r>
    </w:p>
    <w:p w:rsidR="008112D5" w:rsidRPr="00D772C9" w:rsidRDefault="008112D5" w:rsidP="008112D5">
      <w:pPr>
        <w:pStyle w:val="21"/>
        <w:spacing w:after="0" w:line="240" w:lineRule="auto"/>
        <w:ind w:firstLine="680"/>
        <w:jc w:val="both"/>
        <w:rPr>
          <w:b/>
          <w:i/>
        </w:rPr>
      </w:pPr>
      <w:r w:rsidRPr="00D772C9">
        <w:t>- оценить исполнение целевых показателей государственной программы Волгоградской области «Экономическое развитие и инновационная экономика», а также целевых показателей и ожидаемых результатов подпрограммы «Совершенствование государственного и муниципального управления» Госпрограммы</w:t>
      </w:r>
      <w:r>
        <w:t>, касающихся деятельности МФЦ</w:t>
      </w:r>
      <w:r w:rsidRPr="00D772C9">
        <w:t>;</w:t>
      </w:r>
    </w:p>
    <w:p w:rsidR="008112D5" w:rsidRPr="009C26A6" w:rsidRDefault="008112D5" w:rsidP="008112D5">
      <w:pPr>
        <w:pStyle w:val="21"/>
        <w:spacing w:after="0" w:line="240" w:lineRule="auto"/>
        <w:ind w:firstLine="680"/>
        <w:jc w:val="both"/>
        <w:rPr>
          <w:b/>
          <w:i/>
        </w:rPr>
      </w:pPr>
      <w:r w:rsidRPr="009C26A6">
        <w:t>-</w:t>
      </w:r>
      <w:r>
        <w:t xml:space="preserve"> </w:t>
      </w:r>
      <w:r w:rsidRPr="009C26A6">
        <w:t>оценить поступление доходов областного бюджета, связанных с деятельностью МФЦ.</w:t>
      </w:r>
    </w:p>
    <w:p w:rsidR="009C5DE6" w:rsidRPr="00CA1D3F" w:rsidRDefault="009C5DE6" w:rsidP="008112D5">
      <w:pPr>
        <w:ind w:firstLine="680"/>
        <w:jc w:val="both"/>
      </w:pPr>
      <w:r w:rsidRPr="008112D5">
        <w:rPr>
          <w:b/>
        </w:rPr>
        <w:t xml:space="preserve">Проверяемый </w:t>
      </w:r>
      <w:r w:rsidR="00F22218" w:rsidRPr="008112D5">
        <w:rPr>
          <w:b/>
          <w:bCs/>
          <w:spacing w:val="-3"/>
        </w:rPr>
        <w:t>период деятельности:</w:t>
      </w:r>
      <w:r w:rsidRPr="008112D5">
        <w:rPr>
          <w:b/>
          <w:bCs/>
          <w:spacing w:val="-3"/>
        </w:rPr>
        <w:t xml:space="preserve"> </w:t>
      </w:r>
      <w:r w:rsidRPr="008112D5">
        <w:t>2017</w:t>
      </w:r>
      <w:r w:rsidRPr="00CA1D3F">
        <w:t>-2018 годы, истекший период 2019 года.</w:t>
      </w:r>
    </w:p>
    <w:p w:rsidR="008112D5" w:rsidRDefault="00F22218" w:rsidP="008112D5">
      <w:pPr>
        <w:shd w:val="clear" w:color="auto" w:fill="FFFFFF"/>
        <w:tabs>
          <w:tab w:val="left" w:leader="underscore" w:pos="9559"/>
        </w:tabs>
        <w:ind w:firstLine="680"/>
        <w:jc w:val="both"/>
      </w:pPr>
      <w:r w:rsidRPr="008112D5">
        <w:rPr>
          <w:b/>
          <w:bCs/>
          <w:spacing w:val="-15"/>
        </w:rPr>
        <w:t xml:space="preserve">Объект </w:t>
      </w:r>
      <w:r w:rsidR="008112D5" w:rsidRPr="008112D5">
        <w:rPr>
          <w:b/>
          <w:bCs/>
          <w:spacing w:val="-15"/>
        </w:rPr>
        <w:t>контрольного</w:t>
      </w:r>
      <w:r w:rsidRPr="008112D5">
        <w:rPr>
          <w:b/>
          <w:bCs/>
          <w:spacing w:val="-15"/>
        </w:rPr>
        <w:t xml:space="preserve"> мероприятия</w:t>
      </w:r>
      <w:r w:rsidR="008112D5" w:rsidRPr="008112D5">
        <w:rPr>
          <w:b/>
          <w:bCs/>
          <w:spacing w:val="-15"/>
        </w:rPr>
        <w:t xml:space="preserve">: </w:t>
      </w:r>
      <w:r w:rsidR="008112D5" w:rsidRPr="008112D5">
        <w:t xml:space="preserve">комитет экономической политики и развития Волгоградской области (далее – </w:t>
      </w:r>
      <w:proofErr w:type="spellStart"/>
      <w:r w:rsidR="008112D5" w:rsidRPr="008112D5">
        <w:t>Облкомэкономразвития</w:t>
      </w:r>
      <w:proofErr w:type="spellEnd"/>
      <w:r w:rsidR="008112D5">
        <w:t>)</w:t>
      </w:r>
      <w:r w:rsidR="008112D5" w:rsidRPr="00D94934">
        <w:t>, государственное казенное учреждение Волгоградской области «Многофункциональный центр предоставления государственных и муниципальных услуг» (далее – ГКУ «МФЦ»), комитет социальной защиты населения Волгоградской области</w:t>
      </w:r>
      <w:r w:rsidR="008112D5">
        <w:t xml:space="preserve"> (далее – </w:t>
      </w:r>
      <w:proofErr w:type="spellStart"/>
      <w:r w:rsidR="008112D5">
        <w:t>Облкомсоцзащита</w:t>
      </w:r>
      <w:proofErr w:type="spellEnd"/>
      <w:r w:rsidR="008112D5">
        <w:t>)</w:t>
      </w:r>
      <w:r w:rsidR="008112D5" w:rsidRPr="00D94934">
        <w:t xml:space="preserve">, </w:t>
      </w:r>
      <w:r w:rsidR="008112D5">
        <w:t xml:space="preserve">комитет </w:t>
      </w:r>
      <w:r w:rsidR="008112D5" w:rsidRPr="00D94934">
        <w:t>по управлению государственным имуществом Волгоградской области</w:t>
      </w:r>
      <w:r w:rsidR="008112D5">
        <w:t xml:space="preserve"> (далее – </w:t>
      </w:r>
      <w:proofErr w:type="spellStart"/>
      <w:r w:rsidR="008112D5">
        <w:t>Облкомимущество</w:t>
      </w:r>
      <w:proofErr w:type="spellEnd"/>
      <w:r w:rsidR="008112D5">
        <w:t>).</w:t>
      </w:r>
      <w:r w:rsidR="008112D5" w:rsidRPr="00D94934">
        <w:t xml:space="preserve"> </w:t>
      </w:r>
    </w:p>
    <w:p w:rsidR="00AA0FFF" w:rsidRPr="00AA0FFF" w:rsidRDefault="00F22218" w:rsidP="00AA0FFF">
      <w:pPr>
        <w:shd w:val="clear" w:color="auto" w:fill="FFFFFF"/>
        <w:ind w:firstLine="680"/>
        <w:jc w:val="both"/>
      </w:pPr>
      <w:r w:rsidRPr="00AA0FFF">
        <w:rPr>
          <w:b/>
        </w:rPr>
        <w:t xml:space="preserve">Перечень оформленных актов: </w:t>
      </w:r>
      <w:r w:rsidRPr="00AA0FFF">
        <w:t xml:space="preserve">акт проверки </w:t>
      </w:r>
      <w:proofErr w:type="spellStart"/>
      <w:r w:rsidR="009254A1" w:rsidRPr="00AA0FFF">
        <w:t>Облкомэкономразвития</w:t>
      </w:r>
      <w:proofErr w:type="spellEnd"/>
      <w:r w:rsidR="009254A1" w:rsidRPr="00AA0FFF">
        <w:t xml:space="preserve"> от 31.10.2019, акт проверки ГКУ «МФЦ» от 31.10.2019</w:t>
      </w:r>
      <w:r w:rsidR="00EE5615">
        <w:t xml:space="preserve"> </w:t>
      </w:r>
      <w:r w:rsidR="00EE5615" w:rsidRPr="00D22AB1">
        <w:t>(с замечаниями)</w:t>
      </w:r>
      <w:r w:rsidR="009254A1" w:rsidRPr="00D22AB1">
        <w:t>, акт</w:t>
      </w:r>
      <w:r w:rsidR="00AA0FFF" w:rsidRPr="00D22AB1">
        <w:t xml:space="preserve">ы </w:t>
      </w:r>
      <w:r w:rsidR="009254A1" w:rsidRPr="00D22AB1">
        <w:t>провер</w:t>
      </w:r>
      <w:r w:rsidR="00AA0FFF" w:rsidRPr="00D22AB1">
        <w:t>ок</w:t>
      </w:r>
      <w:r w:rsidR="009254A1" w:rsidRPr="00D22AB1">
        <w:t xml:space="preserve"> </w:t>
      </w:r>
      <w:proofErr w:type="spellStart"/>
      <w:r w:rsidR="00AA0FFF" w:rsidRPr="00D22AB1">
        <w:t>Облкомсоцзащиты</w:t>
      </w:r>
      <w:proofErr w:type="spellEnd"/>
      <w:r w:rsidR="00AA0FFF" w:rsidRPr="00D22AB1">
        <w:t xml:space="preserve"> и </w:t>
      </w:r>
      <w:proofErr w:type="spellStart"/>
      <w:r w:rsidR="00AA0FFF" w:rsidRPr="00D22AB1">
        <w:t>Облкомимущества</w:t>
      </w:r>
      <w:proofErr w:type="spellEnd"/>
      <w:r w:rsidR="00AA0FFF" w:rsidRPr="00D22AB1">
        <w:t xml:space="preserve"> от 18.10.2019 по вопросам взаимодействия</w:t>
      </w:r>
      <w:r w:rsidR="00AA0FFF" w:rsidRPr="00AA0FFF">
        <w:t xml:space="preserve"> с многофункциональными центрами при предоставлении государственных услуг.</w:t>
      </w:r>
    </w:p>
    <w:p w:rsidR="00F22218" w:rsidRPr="00411398" w:rsidRDefault="00F22218" w:rsidP="00F22218">
      <w:pPr>
        <w:shd w:val="clear" w:color="auto" w:fill="FFFFFF"/>
        <w:ind w:firstLine="680"/>
        <w:jc w:val="both"/>
        <w:rPr>
          <w:b/>
        </w:rPr>
      </w:pPr>
      <w:r w:rsidRPr="00411398">
        <w:rPr>
          <w:b/>
        </w:rPr>
        <w:t>Характеристика объект</w:t>
      </w:r>
      <w:r w:rsidR="00431D1E">
        <w:rPr>
          <w:b/>
        </w:rPr>
        <w:t>ов</w:t>
      </w:r>
      <w:r w:rsidRPr="00411398">
        <w:rPr>
          <w:b/>
        </w:rPr>
        <w:t xml:space="preserve"> контроля:</w:t>
      </w:r>
    </w:p>
    <w:p w:rsidR="007A755F" w:rsidRPr="00AA0FFF" w:rsidRDefault="00F846D6" w:rsidP="007A755F">
      <w:pPr>
        <w:shd w:val="clear" w:color="auto" w:fill="FFFFFF"/>
        <w:ind w:firstLine="680"/>
        <w:jc w:val="both"/>
      </w:pPr>
      <w:r w:rsidRPr="00411398">
        <w:t xml:space="preserve">В Волгоградской области с 2009 года в рамках </w:t>
      </w:r>
      <w:r w:rsidR="00411398" w:rsidRPr="00411398">
        <w:t xml:space="preserve">проведения </w:t>
      </w:r>
      <w:r w:rsidRPr="00411398">
        <w:t>административной реформы осуществля</w:t>
      </w:r>
      <w:r w:rsidR="007A755F">
        <w:t xml:space="preserve">лось </w:t>
      </w:r>
      <w:r w:rsidRPr="00411398">
        <w:t xml:space="preserve">создание </w:t>
      </w:r>
      <w:r w:rsidR="00411398" w:rsidRPr="00411398">
        <w:t xml:space="preserve">и развитие сети </w:t>
      </w:r>
      <w:r w:rsidR="007A755F" w:rsidRPr="00AA0FFF">
        <w:t>многофункциональны</w:t>
      </w:r>
      <w:r w:rsidR="007A755F">
        <w:t>х</w:t>
      </w:r>
      <w:r w:rsidR="007A755F" w:rsidRPr="00AA0FFF">
        <w:t xml:space="preserve"> центр</w:t>
      </w:r>
      <w:r w:rsidR="007A755F">
        <w:t>ов предоставления государственных и муниципальных услуг (далее – МФЦ).</w:t>
      </w:r>
    </w:p>
    <w:p w:rsidR="00032C53" w:rsidRDefault="00AC52DA" w:rsidP="00AC52DA">
      <w:pPr>
        <w:autoSpaceDE w:val="0"/>
        <w:autoSpaceDN w:val="0"/>
        <w:adjustRightInd w:val="0"/>
        <w:ind w:firstLine="680"/>
        <w:jc w:val="both"/>
      </w:pPr>
      <w:r w:rsidRPr="00C655E1">
        <w:t>Органом исполнительной власти Волгоградской области, осуществляющим государственное управление в сфере проведения административной реформы на территории Волгоградской области, в частности</w:t>
      </w:r>
      <w:r w:rsidR="00032C53">
        <w:t>,</w:t>
      </w:r>
      <w:r w:rsidRPr="00C655E1">
        <w:t xml:space="preserve"> в части осуществления функции по методологической и консультационной поддержке оптимизации порядка предоставления услуг, в том </w:t>
      </w:r>
      <w:r w:rsidR="00032C53">
        <w:t>числе по принципу «одного окна»</w:t>
      </w:r>
      <w:r w:rsidRPr="00C655E1">
        <w:t xml:space="preserve"> в </w:t>
      </w:r>
      <w:r>
        <w:t xml:space="preserve">МФЦ, является </w:t>
      </w:r>
      <w:proofErr w:type="spellStart"/>
      <w:r>
        <w:t>Облкомэк</w:t>
      </w:r>
      <w:r w:rsidR="00032C53">
        <w:t>о</w:t>
      </w:r>
      <w:r>
        <w:t>номразвития</w:t>
      </w:r>
      <w:proofErr w:type="spellEnd"/>
      <w:r w:rsidR="00032C53">
        <w:t>.</w:t>
      </w:r>
    </w:p>
    <w:p w:rsidR="00FC2A4A" w:rsidRDefault="00BC429E" w:rsidP="0055024E">
      <w:pPr>
        <w:ind w:firstLine="68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Согласно Правилам о</w:t>
      </w:r>
      <w:r w:rsidRPr="00423FF9">
        <w:rPr>
          <w:rFonts w:eastAsiaTheme="minorHAnsi"/>
          <w:lang w:eastAsia="en-US"/>
        </w:rPr>
        <w:t>рганизации деятельности многофункциональных центров предоставления государственных и м</w:t>
      </w:r>
      <w:r>
        <w:rPr>
          <w:rFonts w:eastAsiaTheme="minorHAnsi"/>
          <w:lang w:eastAsia="en-US"/>
        </w:rPr>
        <w:t>униципальных услуг, утвержденным</w:t>
      </w:r>
      <w:r w:rsidRPr="00423FF9">
        <w:rPr>
          <w:rFonts w:eastAsiaTheme="minorHAnsi"/>
          <w:lang w:eastAsia="en-US"/>
        </w:rPr>
        <w:t xml:space="preserve"> постановлением Правительства Р</w:t>
      </w:r>
      <w:r>
        <w:rPr>
          <w:rFonts w:eastAsiaTheme="minorHAnsi"/>
          <w:lang w:eastAsia="en-US"/>
        </w:rPr>
        <w:t>Ф</w:t>
      </w:r>
      <w:r w:rsidRPr="00423FF9">
        <w:rPr>
          <w:rFonts w:eastAsiaTheme="minorHAnsi"/>
          <w:lang w:eastAsia="en-US"/>
        </w:rPr>
        <w:t xml:space="preserve"> от 22.12.2012 № 1376 «Об утверждении Правил организации деятельности многофункциональных центров предоставления государственных и муниципальных услуг» </w:t>
      </w:r>
      <w:r w:rsidRPr="00423FF9">
        <w:rPr>
          <w:rFonts w:eastAsiaTheme="minorHAnsi"/>
          <w:lang w:eastAsia="en-US"/>
        </w:rPr>
        <w:lastRenderedPageBreak/>
        <w:t>(далее - Правила № 1376)</w:t>
      </w:r>
      <w:r w:rsidR="00B61FCD">
        <w:rPr>
          <w:rFonts w:eastAsiaTheme="minorHAnsi"/>
          <w:lang w:eastAsia="en-US"/>
        </w:rPr>
        <w:t>,</w:t>
      </w:r>
      <w:r>
        <w:rPr>
          <w:rFonts w:eastAsiaTheme="minorHAnsi"/>
          <w:lang w:eastAsia="en-US"/>
        </w:rPr>
        <w:t xml:space="preserve"> МФЦ организует предоставление </w:t>
      </w:r>
      <w:r w:rsidR="00E72496">
        <w:rPr>
          <w:rFonts w:eastAsiaTheme="minorHAnsi"/>
          <w:lang w:eastAsia="en-US"/>
        </w:rPr>
        <w:t xml:space="preserve">государственных и муниципальных услуг (далее – </w:t>
      </w:r>
      <w:r>
        <w:rPr>
          <w:rFonts w:eastAsiaTheme="minorHAnsi"/>
          <w:lang w:eastAsia="en-US"/>
        </w:rPr>
        <w:t>услуг</w:t>
      </w:r>
      <w:r w:rsidR="00E72496">
        <w:rPr>
          <w:rFonts w:eastAsiaTheme="minorHAnsi"/>
          <w:lang w:eastAsia="en-US"/>
        </w:rPr>
        <w:t>)</w:t>
      </w:r>
      <w:r>
        <w:rPr>
          <w:rFonts w:eastAsiaTheme="minorHAnsi"/>
          <w:lang w:eastAsia="en-US"/>
        </w:rPr>
        <w:t xml:space="preserve"> по принципу </w:t>
      </w:r>
      <w:r w:rsidRPr="00423FF9">
        <w:rPr>
          <w:rFonts w:eastAsiaTheme="minorHAnsi"/>
          <w:lang w:eastAsia="en-US"/>
        </w:rPr>
        <w:t>«</w:t>
      </w:r>
      <w:r>
        <w:rPr>
          <w:rFonts w:eastAsiaTheme="minorHAnsi"/>
          <w:lang w:eastAsia="en-US"/>
        </w:rPr>
        <w:t>одного окна</w:t>
      </w:r>
      <w:r w:rsidRPr="00423FF9">
        <w:rPr>
          <w:rFonts w:eastAsiaTheme="minorHAnsi"/>
          <w:lang w:eastAsia="en-US"/>
        </w:rPr>
        <w:t>»</w:t>
      </w:r>
      <w:r>
        <w:rPr>
          <w:rFonts w:eastAsiaTheme="minorHAnsi"/>
          <w:lang w:eastAsia="en-US"/>
        </w:rPr>
        <w:t xml:space="preserve"> в соответствии с соглашениями о взаимодействии с федеральными органами исполнительной </w:t>
      </w:r>
      <w:r w:rsidRPr="00D86BC9">
        <w:rPr>
          <w:rFonts w:eastAsiaTheme="minorHAnsi"/>
          <w:lang w:eastAsia="en-US"/>
        </w:rPr>
        <w:t>власти (далее – ФОИВ), органами государственных внебюджетных фондов, органами исполнительной власти субъектов РФ (далее – ОИВ), органами местного самоуправления (далее – ОМСУ).</w:t>
      </w:r>
      <w:r w:rsidR="00FC2A4A" w:rsidRPr="00D86BC9">
        <w:rPr>
          <w:rFonts w:eastAsiaTheme="minorHAnsi"/>
          <w:lang w:eastAsia="en-US"/>
        </w:rPr>
        <w:t xml:space="preserve"> При организации предоставления услуг в МФЦ исключается взаимодействие заявителя с</w:t>
      </w:r>
      <w:r w:rsidR="00FC2A4A">
        <w:rPr>
          <w:rFonts w:eastAsiaTheme="minorHAnsi"/>
          <w:lang w:eastAsia="en-US"/>
        </w:rPr>
        <w:t xml:space="preserve"> сотрудниками органов, предоставляющих услуги</w:t>
      </w:r>
      <w:r w:rsidR="00054168">
        <w:rPr>
          <w:rFonts w:eastAsiaTheme="minorHAnsi"/>
          <w:lang w:eastAsia="en-US"/>
        </w:rPr>
        <w:t>.</w:t>
      </w:r>
      <w:r w:rsidR="00FC2A4A">
        <w:rPr>
          <w:rFonts w:eastAsiaTheme="minorHAnsi"/>
          <w:lang w:eastAsia="en-US"/>
        </w:rPr>
        <w:t xml:space="preserve"> </w:t>
      </w:r>
    </w:p>
    <w:p w:rsidR="003B2D6C" w:rsidRDefault="008D4B7F" w:rsidP="003B2D6C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8D4B7F">
        <w:t>П</w:t>
      </w:r>
      <w:r w:rsidR="00D51FC6" w:rsidRPr="008D4B7F">
        <w:t>остановление</w:t>
      </w:r>
      <w:r w:rsidR="00D51FC6" w:rsidRPr="0060396B">
        <w:t>м Губернатора Волгоградской области от 19.12.</w:t>
      </w:r>
      <w:r w:rsidR="00D51FC6">
        <w:t>20</w:t>
      </w:r>
      <w:r w:rsidR="00D51FC6" w:rsidRPr="0060396B">
        <w:t xml:space="preserve">16 № 951 «Об отдельных вопросах организации </w:t>
      </w:r>
      <w:r w:rsidR="00D51FC6" w:rsidRPr="00E36BD4">
        <w:t xml:space="preserve">предоставления государственных и муниципальных услуг в МФЦ Волгоградской области» </w:t>
      </w:r>
      <w:r>
        <w:t xml:space="preserve">было установлено, что </w:t>
      </w:r>
      <w:r>
        <w:rPr>
          <w:rFonts w:eastAsiaTheme="minorHAnsi"/>
          <w:lang w:eastAsia="en-US"/>
        </w:rPr>
        <w:t>организация предоставления государственных и муниципальных услуг в Волгоградской области осуществляется в рамках централизованной системы организации МФЦ</w:t>
      </w:r>
      <w:r w:rsidR="003B2D6C">
        <w:rPr>
          <w:rFonts w:eastAsiaTheme="minorHAnsi"/>
          <w:lang w:eastAsia="en-US"/>
        </w:rPr>
        <w:t xml:space="preserve"> и поручено </w:t>
      </w:r>
      <w:proofErr w:type="spellStart"/>
      <w:r w:rsidR="003B2D6C">
        <w:rPr>
          <w:rFonts w:eastAsiaTheme="minorHAnsi"/>
          <w:lang w:eastAsia="en-US"/>
        </w:rPr>
        <w:t>Облкомэкономразвития</w:t>
      </w:r>
      <w:proofErr w:type="spellEnd"/>
      <w:r w:rsidR="003B2D6C">
        <w:rPr>
          <w:rFonts w:eastAsiaTheme="minorHAnsi"/>
          <w:lang w:eastAsia="en-US"/>
        </w:rPr>
        <w:t xml:space="preserve"> обеспечить переход к централизованной системе МФЦ.</w:t>
      </w:r>
    </w:p>
    <w:p w:rsidR="00E1505A" w:rsidRDefault="00E1505A" w:rsidP="00E1505A">
      <w:pPr>
        <w:ind w:firstLine="708"/>
        <w:jc w:val="both"/>
        <w:rPr>
          <w:rFonts w:eastAsiaTheme="minorHAnsi"/>
          <w:lang w:eastAsia="en-US"/>
        </w:rPr>
      </w:pPr>
      <w:r w:rsidRPr="00545C63">
        <w:t>Централизация сети МФЦ на территории Волгоградской области начата с 201</w:t>
      </w:r>
      <w:r w:rsidR="00545C63" w:rsidRPr="00545C63">
        <w:t>6</w:t>
      </w:r>
      <w:r w:rsidRPr="00545C63">
        <w:t xml:space="preserve"> года, (децентрализованная система МФЦ включала муниципальные учреждения различного вида)</w:t>
      </w:r>
      <w:r w:rsidR="00032C53">
        <w:t>,</w:t>
      </w:r>
      <w:r w:rsidR="00032C53" w:rsidRPr="00032C53">
        <w:t xml:space="preserve"> </w:t>
      </w:r>
      <w:r w:rsidR="00032C53" w:rsidRPr="00E36BD4">
        <w:t>завершен переход к централизованной сети МФЦ</w:t>
      </w:r>
      <w:r w:rsidR="00032C53">
        <w:t xml:space="preserve"> в 2017 году</w:t>
      </w:r>
      <w:r w:rsidRPr="00545C63">
        <w:t>.</w:t>
      </w:r>
      <w:r>
        <w:t xml:space="preserve"> </w:t>
      </w:r>
    </w:p>
    <w:p w:rsidR="00504156" w:rsidRDefault="00032C53" w:rsidP="0095034C">
      <w:pPr>
        <w:ind w:firstLine="708"/>
        <w:jc w:val="both"/>
      </w:pPr>
      <w:r>
        <w:t xml:space="preserve">Изначально </w:t>
      </w:r>
      <w:r w:rsidR="00504156" w:rsidRPr="0055024E">
        <w:t xml:space="preserve">ГКУ «МФЦ» создано в соответствии с постановлением Правительства Волгоградской области от 28.02.2013 №94-п, </w:t>
      </w:r>
      <w:r w:rsidR="00555F51">
        <w:t xml:space="preserve">реорганизовано </w:t>
      </w:r>
      <w:r w:rsidR="00555F51" w:rsidRPr="0055024E">
        <w:rPr>
          <w:rFonts w:eastAsia="Times New Roman"/>
        </w:rPr>
        <w:t xml:space="preserve">с 01.06.2017 </w:t>
      </w:r>
      <w:r w:rsidR="00504156" w:rsidRPr="0055024E">
        <w:t>на основании</w:t>
      </w:r>
      <w:r w:rsidR="00504156" w:rsidRPr="0055024E">
        <w:rPr>
          <w:rFonts w:eastAsia="Times New Roman"/>
        </w:rPr>
        <w:t xml:space="preserve"> постановления Администрации Волгоградск</w:t>
      </w:r>
      <w:r w:rsidR="00555F51">
        <w:rPr>
          <w:rFonts w:eastAsia="Times New Roman"/>
        </w:rPr>
        <w:t>ой области от 23.01.2017 № 31-п</w:t>
      </w:r>
      <w:r w:rsidR="00504156" w:rsidRPr="0055024E">
        <w:rPr>
          <w:rFonts w:eastAsia="Times New Roman"/>
        </w:rPr>
        <w:t xml:space="preserve"> в форме присоединения к нему государственного бюджетного учреждения Волгоградской области «Многофункциональный центр предоставления государственных и муниципальных услуг</w:t>
      </w:r>
      <w:r w:rsidR="00504156" w:rsidRPr="0055024E">
        <w:t>»</w:t>
      </w:r>
      <w:r w:rsidR="0095034C">
        <w:t xml:space="preserve"> (далее – ГБУ ВО </w:t>
      </w:r>
      <w:r w:rsidR="0095034C" w:rsidRPr="0055024E">
        <w:t>«</w:t>
      </w:r>
      <w:r w:rsidR="0095034C">
        <w:t>МФЦ</w:t>
      </w:r>
      <w:r w:rsidR="0095034C" w:rsidRPr="0055024E">
        <w:t>»</w:t>
      </w:r>
      <w:r w:rsidR="0095034C">
        <w:t>)</w:t>
      </w:r>
      <w:r w:rsidR="00504156">
        <w:t>.</w:t>
      </w:r>
      <w:r w:rsidR="0095034C">
        <w:t xml:space="preserve"> </w:t>
      </w:r>
      <w:r w:rsidR="00504156">
        <w:t>У</w:t>
      </w:r>
      <w:r w:rsidR="00504156" w:rsidRPr="0055024E">
        <w:t>чредителем ГКУ «МФЦ»</w:t>
      </w:r>
      <w:r w:rsidR="00504156">
        <w:t xml:space="preserve"> является </w:t>
      </w:r>
      <w:proofErr w:type="spellStart"/>
      <w:r w:rsidR="00504156" w:rsidRPr="0055024E">
        <w:t>Облкомэкономразвития</w:t>
      </w:r>
      <w:proofErr w:type="spellEnd"/>
      <w:r w:rsidR="00504156">
        <w:t>.</w:t>
      </w:r>
    </w:p>
    <w:p w:rsidR="00B869D7" w:rsidRDefault="00B869D7" w:rsidP="00B869D7">
      <w:pPr>
        <w:ind w:firstLine="680"/>
        <w:jc w:val="both"/>
      </w:pPr>
      <w:r w:rsidRPr="00B869D7">
        <w:t>Предме</w:t>
      </w:r>
      <w:r w:rsidR="00504156">
        <w:t>том деятельности ГКУ «МФЦ» являе</w:t>
      </w:r>
      <w:r w:rsidRPr="00B869D7">
        <w:t>тся организация и обеспечение деятельности ед</w:t>
      </w:r>
      <w:r w:rsidR="00B61FCD">
        <w:t>иного места приема, регистрации</w:t>
      </w:r>
      <w:r w:rsidRPr="00B869D7">
        <w:t xml:space="preserve"> и выдачи необходимых документов при предоставлении услуг по принципу «одного окна», предоставление возможности получения одновременно нескольких взаимосвязанных услуг, информирование и организация консультационной деятельности по вопросам предоставления услуг, развитие и совершенствование межведомственного информационного и документационного взаимодействия при предоставлении услуг.</w:t>
      </w:r>
    </w:p>
    <w:p w:rsidR="00FD27D9" w:rsidRPr="00D22AB1" w:rsidRDefault="00D22AB1" w:rsidP="00D22AB1">
      <w:pPr>
        <w:pStyle w:val="ConsPlusNormal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D22AB1">
        <w:rPr>
          <w:rFonts w:ascii="Times New Roman" w:hAnsi="Times New Roman" w:cs="Times New Roman"/>
          <w:sz w:val="24"/>
          <w:szCs w:val="24"/>
        </w:rPr>
        <w:t>П</w:t>
      </w:r>
      <w:r w:rsidR="00FD27D9" w:rsidRPr="00D22AB1">
        <w:rPr>
          <w:rFonts w:ascii="Times New Roman" w:hAnsi="Times New Roman" w:cs="Times New Roman"/>
          <w:sz w:val="24"/>
          <w:szCs w:val="24"/>
        </w:rPr>
        <w:t xml:space="preserve">о состоянию на 01.09.2019 </w:t>
      </w:r>
      <w:r w:rsidRPr="00D22AB1">
        <w:rPr>
          <w:rFonts w:ascii="Times New Roman" w:hAnsi="Times New Roman" w:cs="Times New Roman"/>
          <w:sz w:val="24"/>
          <w:szCs w:val="24"/>
        </w:rPr>
        <w:t xml:space="preserve">на базе ГКУ «МФЦ» предоставление услуг осуществляется </w:t>
      </w:r>
      <w:r w:rsidRPr="00345F73">
        <w:rPr>
          <w:rFonts w:ascii="Times New Roman" w:hAnsi="Times New Roman" w:cs="Times New Roman"/>
          <w:sz w:val="24"/>
          <w:szCs w:val="24"/>
        </w:rPr>
        <w:t>в 4</w:t>
      </w:r>
      <w:r w:rsidR="003D1A6F">
        <w:rPr>
          <w:rFonts w:ascii="Times New Roman" w:hAnsi="Times New Roman" w:cs="Times New Roman"/>
          <w:sz w:val="24"/>
          <w:szCs w:val="24"/>
        </w:rPr>
        <w:t>8</w:t>
      </w:r>
      <w:r w:rsidRPr="00345F73">
        <w:rPr>
          <w:rFonts w:ascii="Times New Roman" w:hAnsi="Times New Roman" w:cs="Times New Roman"/>
          <w:sz w:val="24"/>
          <w:szCs w:val="24"/>
        </w:rPr>
        <w:t>-ми</w:t>
      </w:r>
      <w:r w:rsidRPr="00D22AB1">
        <w:rPr>
          <w:rFonts w:ascii="Times New Roman" w:hAnsi="Times New Roman" w:cs="Times New Roman"/>
          <w:sz w:val="24"/>
          <w:szCs w:val="24"/>
        </w:rPr>
        <w:t xml:space="preserve"> филиалах по работе с заявителями</w:t>
      </w:r>
      <w:r w:rsidR="003D1A6F">
        <w:rPr>
          <w:rFonts w:ascii="Times New Roman" w:hAnsi="Times New Roman" w:cs="Times New Roman"/>
          <w:sz w:val="24"/>
          <w:szCs w:val="24"/>
        </w:rPr>
        <w:t xml:space="preserve"> ( в т.ч. в</w:t>
      </w:r>
      <w:r w:rsidRPr="00D22AB1">
        <w:rPr>
          <w:rFonts w:ascii="Times New Roman" w:hAnsi="Times New Roman" w:cs="Times New Roman"/>
          <w:sz w:val="24"/>
          <w:szCs w:val="24"/>
        </w:rPr>
        <w:t xml:space="preserve"> 1-ом филиале по работе с юридическими лицами</w:t>
      </w:r>
      <w:r w:rsidR="003D1A6F">
        <w:rPr>
          <w:rFonts w:ascii="Times New Roman" w:hAnsi="Times New Roman" w:cs="Times New Roman"/>
          <w:sz w:val="24"/>
          <w:szCs w:val="24"/>
        </w:rPr>
        <w:t>)</w:t>
      </w:r>
      <w:r w:rsidRPr="00D22AB1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FD27D9" w:rsidRPr="00D22AB1">
        <w:rPr>
          <w:rFonts w:ascii="Times New Roman" w:hAnsi="Times New Roman" w:cs="Times New Roman"/>
          <w:sz w:val="24"/>
          <w:szCs w:val="24"/>
        </w:rPr>
        <w:t>260</w:t>
      </w:r>
      <w:r w:rsidRPr="00D22AB1">
        <w:rPr>
          <w:rFonts w:ascii="Times New Roman" w:hAnsi="Times New Roman" w:cs="Times New Roman"/>
          <w:sz w:val="24"/>
          <w:szCs w:val="24"/>
        </w:rPr>
        <w:t>-ти</w:t>
      </w:r>
      <w:r w:rsidR="00FD27D9" w:rsidRPr="00D22AB1">
        <w:rPr>
          <w:rFonts w:ascii="Times New Roman" w:hAnsi="Times New Roman" w:cs="Times New Roman"/>
          <w:sz w:val="24"/>
          <w:szCs w:val="24"/>
        </w:rPr>
        <w:t xml:space="preserve"> территориально обособленных структурных подразделения</w:t>
      </w:r>
      <w:r>
        <w:rPr>
          <w:rFonts w:ascii="Times New Roman" w:hAnsi="Times New Roman" w:cs="Times New Roman"/>
          <w:sz w:val="24"/>
          <w:szCs w:val="24"/>
        </w:rPr>
        <w:t>х</w:t>
      </w:r>
      <w:r w:rsidR="00FD27D9" w:rsidRPr="00D22AB1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3D1A6F">
        <w:rPr>
          <w:rFonts w:ascii="Times New Roman" w:hAnsi="Times New Roman" w:cs="Times New Roman"/>
          <w:sz w:val="24"/>
          <w:szCs w:val="24"/>
        </w:rPr>
        <w:t>-</w:t>
      </w:r>
      <w:r w:rsidR="00FD27D9" w:rsidRPr="00D22AB1">
        <w:rPr>
          <w:rFonts w:ascii="Times New Roman" w:hAnsi="Times New Roman" w:cs="Times New Roman"/>
          <w:sz w:val="24"/>
          <w:szCs w:val="24"/>
        </w:rPr>
        <w:t xml:space="preserve"> ТОСП).</w:t>
      </w:r>
    </w:p>
    <w:p w:rsidR="00FD27D9" w:rsidRDefault="00FD27D9" w:rsidP="00D22AB1">
      <w:pPr>
        <w:pStyle w:val="afa"/>
        <w:ind w:firstLine="680"/>
        <w:jc w:val="both"/>
        <w:rPr>
          <w:sz w:val="24"/>
          <w:szCs w:val="24"/>
        </w:rPr>
      </w:pPr>
      <w:r w:rsidRPr="00753D6A">
        <w:rPr>
          <w:sz w:val="24"/>
          <w:szCs w:val="24"/>
        </w:rPr>
        <w:t>Информация об изменении структуры ГКУ «МФЦ» в течение проверяемого периода представлена на диаграмме.</w:t>
      </w:r>
    </w:p>
    <w:p w:rsidR="006B60EF" w:rsidRDefault="006B60EF" w:rsidP="006B60EF">
      <w:pPr>
        <w:pStyle w:val="afa"/>
        <w:jc w:val="both"/>
        <w:rPr>
          <w:sz w:val="24"/>
          <w:szCs w:val="24"/>
        </w:rPr>
      </w:pPr>
      <w:r w:rsidRPr="006B60EF">
        <w:rPr>
          <w:noProof/>
          <w:sz w:val="24"/>
          <w:szCs w:val="24"/>
        </w:rPr>
        <w:drawing>
          <wp:inline distT="0" distB="0" distL="0" distR="0">
            <wp:extent cx="6137955" cy="1745087"/>
            <wp:effectExtent l="19050" t="0" r="15195" b="7513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73F0D" w:rsidRPr="00345F73" w:rsidRDefault="00753D6A" w:rsidP="00432AB4">
      <w:pPr>
        <w:pStyle w:val="afa"/>
        <w:ind w:firstLine="680"/>
        <w:jc w:val="both"/>
        <w:rPr>
          <w:sz w:val="24"/>
          <w:szCs w:val="24"/>
        </w:rPr>
      </w:pPr>
      <w:r w:rsidRPr="00345F73">
        <w:rPr>
          <w:sz w:val="24"/>
          <w:szCs w:val="24"/>
        </w:rPr>
        <w:t>Как видно из диаграммы</w:t>
      </w:r>
      <w:r w:rsidR="006B60EF">
        <w:rPr>
          <w:sz w:val="24"/>
          <w:szCs w:val="24"/>
        </w:rPr>
        <w:t>,</w:t>
      </w:r>
      <w:r w:rsidRPr="00345F73">
        <w:rPr>
          <w:sz w:val="24"/>
          <w:szCs w:val="24"/>
        </w:rPr>
        <w:t xml:space="preserve"> </w:t>
      </w:r>
      <w:r w:rsidR="004E41F7" w:rsidRPr="00345F73">
        <w:rPr>
          <w:sz w:val="24"/>
          <w:szCs w:val="24"/>
        </w:rPr>
        <w:t xml:space="preserve">в связи с завершением централизации </w:t>
      </w:r>
      <w:r w:rsidRPr="00345F73">
        <w:rPr>
          <w:sz w:val="24"/>
          <w:szCs w:val="24"/>
        </w:rPr>
        <w:t xml:space="preserve">количество </w:t>
      </w:r>
      <w:r w:rsidR="00A45C68" w:rsidRPr="00345F73">
        <w:rPr>
          <w:sz w:val="24"/>
          <w:szCs w:val="24"/>
        </w:rPr>
        <w:t xml:space="preserve">филиалов </w:t>
      </w:r>
      <w:r w:rsidR="00173F0D" w:rsidRPr="00345F73">
        <w:rPr>
          <w:sz w:val="24"/>
          <w:szCs w:val="24"/>
        </w:rPr>
        <w:t xml:space="preserve">по работе с населением на 01.01.2018 составило 49 ед. (32 на территории муниципальных районов, 5 - в г.Волжский, 10 - в г.Волгоград, по 1 в г. Камышин и Михайловка), количество ТОСП – 249 единиц. По состоянию на 01.01.2019 количество филиалов уменьшилось до 48 ед. по причине исключения из штатного расписания филиала по работе с населением в </w:t>
      </w:r>
      <w:proofErr w:type="spellStart"/>
      <w:r w:rsidR="00173F0D" w:rsidRPr="00345F73">
        <w:rPr>
          <w:sz w:val="24"/>
          <w:szCs w:val="24"/>
        </w:rPr>
        <w:t>Тракторозаводском</w:t>
      </w:r>
      <w:proofErr w:type="spellEnd"/>
      <w:r w:rsidR="00173F0D" w:rsidRPr="00345F73">
        <w:rPr>
          <w:sz w:val="24"/>
          <w:szCs w:val="24"/>
        </w:rPr>
        <w:t xml:space="preserve"> районе г. Волгоград (ул.Н.Отрады) ввиду отсутствия финансирования на проведение ремонтных работ. По состоянию на 01.</w:t>
      </w:r>
      <w:r w:rsidR="006B60EF">
        <w:rPr>
          <w:sz w:val="24"/>
          <w:szCs w:val="24"/>
        </w:rPr>
        <w:t>10</w:t>
      </w:r>
      <w:r w:rsidR="00173F0D" w:rsidRPr="00345F73">
        <w:rPr>
          <w:sz w:val="24"/>
          <w:szCs w:val="24"/>
        </w:rPr>
        <w:t>.2019 количество филиалов не изменилось, а количество ТОСП уменьшилось до 260 ед. в связи с проведенной оптимизацией по причине отсутствия или минимального количества обращений заявителей.</w:t>
      </w:r>
    </w:p>
    <w:p w:rsidR="006B60EF" w:rsidRPr="003B2E16" w:rsidRDefault="006B60EF" w:rsidP="006B60EF">
      <w:pPr>
        <w:autoSpaceDE w:val="0"/>
        <w:autoSpaceDN w:val="0"/>
        <w:adjustRightInd w:val="0"/>
        <w:ind w:firstLine="680"/>
        <w:jc w:val="both"/>
      </w:pPr>
      <w:r w:rsidRPr="003B2E16">
        <w:rPr>
          <w:rFonts w:eastAsia="Times New Roman"/>
          <w:bCs/>
        </w:rPr>
        <w:lastRenderedPageBreak/>
        <w:t xml:space="preserve">Штатная численность </w:t>
      </w:r>
      <w:r w:rsidRPr="003B2E16">
        <w:rPr>
          <w:rFonts w:eastAsia="Times New Roman"/>
        </w:rPr>
        <w:t xml:space="preserve">ГКУ </w:t>
      </w:r>
      <w:r w:rsidRPr="003B2E16">
        <w:t xml:space="preserve">«МФЦ» </w:t>
      </w:r>
      <w:r>
        <w:t xml:space="preserve">на 01.10.2019 составила </w:t>
      </w:r>
      <w:r w:rsidRPr="003B2E16">
        <w:t>1526 ед.</w:t>
      </w:r>
      <w:r>
        <w:t xml:space="preserve">, фактическая - </w:t>
      </w:r>
      <w:r w:rsidRPr="003B2E16">
        <w:t>1330 единиц.</w:t>
      </w:r>
    </w:p>
    <w:p w:rsidR="00713780" w:rsidRDefault="00713780" w:rsidP="0087462B">
      <w:pPr>
        <w:ind w:firstLine="708"/>
        <w:jc w:val="center"/>
        <w:rPr>
          <w:b/>
        </w:rPr>
      </w:pPr>
    </w:p>
    <w:p w:rsidR="00713780" w:rsidRDefault="00713780" w:rsidP="00713780">
      <w:pPr>
        <w:pStyle w:val="ConsPlusNormal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проверяемый период м</w:t>
      </w:r>
      <w:r w:rsidRPr="00522C6E">
        <w:rPr>
          <w:rFonts w:ascii="Times New Roman" w:hAnsi="Times New Roman" w:cs="Times New Roman"/>
          <w:sz w:val="24"/>
          <w:szCs w:val="24"/>
        </w:rPr>
        <w:t xml:space="preserve">ероприятия по </w:t>
      </w:r>
      <w:r w:rsidRPr="00522C6E">
        <w:rPr>
          <w:rFonts w:ascii="Times New Roman" w:eastAsiaTheme="minorHAnsi" w:hAnsi="Times New Roman" w:cs="Times New Roman"/>
          <w:sz w:val="24"/>
          <w:szCs w:val="24"/>
          <w:lang w:eastAsia="en-US"/>
        </w:rPr>
        <w:t>развитию региональной инфраструктуры предоставления государственных и муниципальных услуг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(в т.ч. обеспечение </w:t>
      </w:r>
      <w:r w:rsidRPr="009D118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выполнения </w:t>
      </w:r>
      <w:r w:rsidRPr="00431D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функций </w:t>
      </w:r>
      <w:r w:rsidRPr="00431D1E">
        <w:rPr>
          <w:rFonts w:ascii="Times New Roman" w:hAnsi="Times New Roman" w:cs="Times New Roman"/>
          <w:sz w:val="24"/>
          <w:szCs w:val="24"/>
        </w:rPr>
        <w:t>ГКУ «МФЦ»</w:t>
      </w:r>
      <w:r w:rsidRPr="00431D1E">
        <w:rPr>
          <w:rFonts w:ascii="Times New Roman" w:eastAsiaTheme="minorHAnsi" w:hAnsi="Times New Roman" w:cs="Times New Roman"/>
          <w:sz w:val="24"/>
          <w:szCs w:val="24"/>
          <w:lang w:eastAsia="en-US"/>
        </w:rPr>
        <w:t>, завершение</w:t>
      </w:r>
      <w:r w:rsidRPr="00431D1E">
        <w:rPr>
          <w:rFonts w:ascii="Times New Roman" w:hAnsi="Times New Roman" w:cs="Times New Roman"/>
          <w:sz w:val="24"/>
          <w:szCs w:val="24"/>
        </w:rPr>
        <w:t xml:space="preserve"> централизации системы организации МФЦ) проводятся в рамках</w:t>
      </w:r>
      <w:r w:rsidRPr="00522C6E">
        <w:rPr>
          <w:rFonts w:ascii="Times New Roman" w:hAnsi="Times New Roman" w:cs="Times New Roman"/>
          <w:sz w:val="24"/>
          <w:szCs w:val="24"/>
        </w:rPr>
        <w:t xml:space="preserve"> подпрограммы «Совершенствование государственного и муниципального управления» (далее – Подпрограмма)</w:t>
      </w:r>
      <w:r w:rsidRPr="000152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в 2017 году подпрограммы </w:t>
      </w:r>
      <w:r w:rsidRPr="00B265C4">
        <w:rPr>
          <w:rFonts w:ascii="Times New Roman" w:hAnsi="Times New Roman" w:cs="Times New Roman"/>
          <w:bCs/>
          <w:sz w:val="24"/>
          <w:szCs w:val="24"/>
        </w:rPr>
        <w:t>«Р</w:t>
      </w:r>
      <w:r w:rsidRPr="00B265C4">
        <w:rPr>
          <w:rFonts w:ascii="Times New Roman" w:hAnsi="Times New Roman" w:cs="Times New Roman"/>
          <w:sz w:val="24"/>
          <w:szCs w:val="24"/>
        </w:rPr>
        <w:t>азвитие и поддержка малого и среднего предпринимательства в Волгоградской области»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7B4D">
        <w:rPr>
          <w:rFonts w:ascii="Times New Roman" w:hAnsi="Times New Roman" w:cs="Times New Roman"/>
          <w:sz w:val="24"/>
          <w:szCs w:val="24"/>
        </w:rPr>
        <w:t>государственной программ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187B4D">
        <w:rPr>
          <w:rFonts w:ascii="Times New Roman" w:hAnsi="Times New Roman" w:cs="Times New Roman"/>
          <w:sz w:val="24"/>
          <w:szCs w:val="24"/>
        </w:rPr>
        <w:t xml:space="preserve"> Волгоградской области «Экономическое развитие и инновационная экономика», утвержденной постановлением Администрации Волгоградской области от 23.01.2017 № 14-п (далее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187B4D">
        <w:rPr>
          <w:rFonts w:ascii="Times New Roman" w:hAnsi="Times New Roman" w:cs="Times New Roman"/>
          <w:sz w:val="24"/>
          <w:szCs w:val="24"/>
        </w:rPr>
        <w:t xml:space="preserve"> Госпрограмма),</w:t>
      </w:r>
      <w:r w:rsidRPr="00522C6E">
        <w:rPr>
          <w:rFonts w:ascii="Times New Roman" w:hAnsi="Times New Roman" w:cs="Times New Roman"/>
          <w:sz w:val="24"/>
          <w:szCs w:val="24"/>
        </w:rPr>
        <w:t xml:space="preserve"> ответственным исполнителем которой является </w:t>
      </w:r>
      <w:proofErr w:type="spellStart"/>
      <w:r w:rsidRPr="00522C6E">
        <w:rPr>
          <w:rFonts w:ascii="Times New Roman" w:hAnsi="Times New Roman" w:cs="Times New Roman"/>
          <w:sz w:val="24"/>
          <w:szCs w:val="24"/>
        </w:rPr>
        <w:t>Облкомэкономразвития</w:t>
      </w:r>
      <w:proofErr w:type="spellEnd"/>
      <w:r w:rsidRPr="00522C6E">
        <w:rPr>
          <w:rFonts w:ascii="Times New Roman" w:hAnsi="Times New Roman" w:cs="Times New Roman"/>
          <w:sz w:val="24"/>
          <w:szCs w:val="24"/>
        </w:rPr>
        <w:t>.</w:t>
      </w:r>
    </w:p>
    <w:p w:rsidR="00713780" w:rsidRPr="00522C6E" w:rsidRDefault="00713780" w:rsidP="00713780">
      <w:pPr>
        <w:autoSpaceDE w:val="0"/>
        <w:autoSpaceDN w:val="0"/>
        <w:adjustRightInd w:val="0"/>
        <w:ind w:firstLine="680"/>
        <w:jc w:val="both"/>
      </w:pPr>
      <w:r w:rsidRPr="00522C6E">
        <w:t>Целью Подпрограмм</w:t>
      </w:r>
      <w:r>
        <w:t>ы</w:t>
      </w:r>
      <w:r w:rsidRPr="00522C6E">
        <w:t xml:space="preserve"> является развитие системы государственного управления, повышение качества и доступности государственных, муниципальных услуг.</w:t>
      </w:r>
      <w:r>
        <w:t xml:space="preserve"> </w:t>
      </w:r>
      <w:r w:rsidRPr="00522C6E">
        <w:t>Подпрограмма реализуется в 2017 - 2024 годах.</w:t>
      </w:r>
    </w:p>
    <w:p w:rsidR="00C01D87" w:rsidRPr="00482190" w:rsidRDefault="00C01D87" w:rsidP="0087462B">
      <w:pPr>
        <w:ind w:firstLine="708"/>
        <w:jc w:val="center"/>
        <w:rPr>
          <w:b/>
        </w:rPr>
      </w:pPr>
    </w:p>
    <w:p w:rsidR="0087462B" w:rsidRPr="004E41F7" w:rsidRDefault="0087462B" w:rsidP="0087462B">
      <w:pPr>
        <w:ind w:firstLine="708"/>
        <w:jc w:val="center"/>
        <w:rPr>
          <w:b/>
        </w:rPr>
      </w:pPr>
      <w:r w:rsidRPr="004E41F7">
        <w:rPr>
          <w:b/>
        </w:rPr>
        <w:t>Информация об оказываемых в МФЦ услугах</w:t>
      </w:r>
    </w:p>
    <w:p w:rsidR="009624C3" w:rsidRDefault="00A325BF" w:rsidP="009624C3">
      <w:pPr>
        <w:autoSpaceDE w:val="0"/>
        <w:autoSpaceDN w:val="0"/>
        <w:adjustRightInd w:val="0"/>
        <w:ind w:firstLine="680"/>
        <w:jc w:val="both"/>
        <w:rPr>
          <w:spacing w:val="-2"/>
        </w:rPr>
      </w:pPr>
      <w:r>
        <w:rPr>
          <w:spacing w:val="-2"/>
        </w:rPr>
        <w:t xml:space="preserve">На основании ст. 15 </w:t>
      </w:r>
      <w:r w:rsidRPr="00105BAE">
        <w:rPr>
          <w:rFonts w:eastAsiaTheme="minorHAnsi"/>
          <w:lang w:eastAsia="en-US"/>
        </w:rPr>
        <w:t>Федеральн</w:t>
      </w:r>
      <w:r w:rsidRPr="00417A4E">
        <w:rPr>
          <w:rFonts w:eastAsiaTheme="minorHAnsi"/>
          <w:lang w:eastAsia="en-US"/>
        </w:rPr>
        <w:t>ого</w:t>
      </w:r>
      <w:r w:rsidRPr="00105BAE">
        <w:rPr>
          <w:rFonts w:eastAsiaTheme="minorHAnsi"/>
          <w:lang w:eastAsia="en-US"/>
        </w:rPr>
        <w:t xml:space="preserve"> </w:t>
      </w:r>
      <w:hyperlink r:id="rId9" w:history="1">
        <w:r w:rsidRPr="00417A4E">
          <w:rPr>
            <w:rFonts w:eastAsiaTheme="minorHAnsi"/>
            <w:lang w:eastAsia="en-US"/>
          </w:rPr>
          <w:t>закона</w:t>
        </w:r>
      </w:hyperlink>
      <w:r w:rsidRPr="00105BAE">
        <w:rPr>
          <w:rFonts w:eastAsiaTheme="minorHAnsi"/>
          <w:lang w:eastAsia="en-US"/>
        </w:rPr>
        <w:t xml:space="preserve"> от 27</w:t>
      </w:r>
      <w:r w:rsidRPr="00417A4E">
        <w:rPr>
          <w:rFonts w:eastAsiaTheme="minorHAnsi"/>
          <w:lang w:eastAsia="en-US"/>
        </w:rPr>
        <w:t>.07</w:t>
      </w:r>
      <w:r>
        <w:rPr>
          <w:rFonts w:eastAsiaTheme="minorHAnsi"/>
          <w:lang w:eastAsia="en-US"/>
        </w:rPr>
        <w:t>.2010 № 210-ФЗ «</w:t>
      </w:r>
      <w:r w:rsidRPr="00105BAE">
        <w:rPr>
          <w:rFonts w:eastAsiaTheme="minorHAnsi"/>
          <w:lang w:eastAsia="en-US"/>
        </w:rPr>
        <w:t>Об организации предоставления госуда</w:t>
      </w:r>
      <w:r>
        <w:rPr>
          <w:rFonts w:eastAsiaTheme="minorHAnsi"/>
          <w:lang w:eastAsia="en-US"/>
        </w:rPr>
        <w:t>рственных и муниципальных услуг»</w:t>
      </w:r>
      <w:r w:rsidR="00BE6ECF">
        <w:rPr>
          <w:rFonts w:eastAsiaTheme="minorHAnsi"/>
          <w:lang w:eastAsia="en-US"/>
        </w:rPr>
        <w:t xml:space="preserve"> (далее – Закон № 210-ФЗ)</w:t>
      </w:r>
      <w:r>
        <w:rPr>
          <w:rFonts w:eastAsiaTheme="minorHAnsi"/>
          <w:lang w:eastAsia="en-US"/>
        </w:rPr>
        <w:t xml:space="preserve"> взаимодействие с органами, предоставляющими услуги</w:t>
      </w:r>
      <w:r w:rsidR="009624C3">
        <w:rPr>
          <w:rFonts w:eastAsiaTheme="minorHAnsi"/>
          <w:lang w:eastAsia="en-US"/>
        </w:rPr>
        <w:t>,</w:t>
      </w:r>
      <w:r>
        <w:rPr>
          <w:rFonts w:eastAsiaTheme="minorHAnsi"/>
          <w:lang w:eastAsia="en-US"/>
        </w:rPr>
        <w:t xml:space="preserve"> осуществляется МФЦ без участия заявителя в соответствии с нормативными правовыми актами и соглашением о взаимодействии</w:t>
      </w:r>
      <w:r w:rsidR="009624C3">
        <w:rPr>
          <w:rFonts w:eastAsiaTheme="minorHAnsi"/>
          <w:lang w:eastAsia="en-US"/>
        </w:rPr>
        <w:t xml:space="preserve">. </w:t>
      </w:r>
      <w:r w:rsidR="009624C3">
        <w:rPr>
          <w:spacing w:val="-2"/>
        </w:rPr>
        <w:t xml:space="preserve">В 2017 году действовало </w:t>
      </w:r>
      <w:r w:rsidR="009624C3" w:rsidRPr="0060396B">
        <w:rPr>
          <w:spacing w:val="-2"/>
        </w:rPr>
        <w:t>48</w:t>
      </w:r>
      <w:r w:rsidR="009624C3">
        <w:rPr>
          <w:spacing w:val="-2"/>
        </w:rPr>
        <w:t>5</w:t>
      </w:r>
      <w:r w:rsidR="009624C3" w:rsidRPr="0060396B">
        <w:rPr>
          <w:spacing w:val="-2"/>
        </w:rPr>
        <w:t xml:space="preserve"> соглашений о взаимодействии</w:t>
      </w:r>
      <w:r w:rsidR="009624C3">
        <w:rPr>
          <w:spacing w:val="-2"/>
        </w:rPr>
        <w:t xml:space="preserve"> с ФОИВ, ОИВ,</w:t>
      </w:r>
      <w:r w:rsidR="009624C3" w:rsidRPr="0060396B">
        <w:rPr>
          <w:spacing w:val="-2"/>
        </w:rPr>
        <w:t xml:space="preserve"> внебюджетными фондами; администрациями муниципальных образований и сельских поселений Волгоградской области</w:t>
      </w:r>
      <w:r w:rsidR="009624C3">
        <w:rPr>
          <w:spacing w:val="-2"/>
        </w:rPr>
        <w:t>, в</w:t>
      </w:r>
      <w:r w:rsidR="009624C3" w:rsidRPr="00190CCB">
        <w:rPr>
          <w:spacing w:val="-2"/>
        </w:rPr>
        <w:t xml:space="preserve"> 2018 году было заключено </w:t>
      </w:r>
      <w:r w:rsidR="00555F51">
        <w:rPr>
          <w:spacing w:val="-2"/>
        </w:rPr>
        <w:t xml:space="preserve">еще </w:t>
      </w:r>
      <w:r w:rsidR="009624C3" w:rsidRPr="00190CCB">
        <w:rPr>
          <w:spacing w:val="-2"/>
        </w:rPr>
        <w:t>24 соглашения о взаимодействии</w:t>
      </w:r>
      <w:r w:rsidR="009624C3">
        <w:rPr>
          <w:spacing w:val="-2"/>
        </w:rPr>
        <w:t>.</w:t>
      </w:r>
    </w:p>
    <w:p w:rsidR="00EA45A9" w:rsidRDefault="00BE6ECF" w:rsidP="00EA45A9">
      <w:pPr>
        <w:ind w:firstLine="680"/>
        <w:jc w:val="both"/>
        <w:rPr>
          <w:rFonts w:eastAsiaTheme="minorHAnsi"/>
          <w:lang w:eastAsia="en-US"/>
        </w:rPr>
      </w:pPr>
      <w:r>
        <w:rPr>
          <w:spacing w:val="-2"/>
        </w:rPr>
        <w:t xml:space="preserve">Статьей 9 Закона № 210-ФЗ определено, что </w:t>
      </w:r>
      <w:r w:rsidR="00EA45A9">
        <w:rPr>
          <w:spacing w:val="-2"/>
        </w:rPr>
        <w:t>п</w:t>
      </w:r>
      <w:r>
        <w:rPr>
          <w:rFonts w:eastAsiaTheme="minorHAnsi"/>
          <w:lang w:eastAsia="en-US"/>
        </w:rPr>
        <w:t>еречень услуг, которые являются необходимыми и обязательными для предоставления государственных и муниципальных услуг</w:t>
      </w:r>
      <w:r w:rsidR="00EA45A9">
        <w:rPr>
          <w:rFonts w:eastAsiaTheme="minorHAnsi"/>
          <w:lang w:eastAsia="en-US"/>
        </w:rPr>
        <w:t>,</w:t>
      </w:r>
      <w:r>
        <w:rPr>
          <w:rFonts w:eastAsiaTheme="minorHAnsi"/>
          <w:lang w:eastAsia="en-US"/>
        </w:rPr>
        <w:t xml:space="preserve"> утверждается</w:t>
      </w:r>
      <w:r w:rsidR="00EA45A9">
        <w:rPr>
          <w:rFonts w:eastAsiaTheme="minorHAnsi"/>
          <w:lang w:eastAsia="en-US"/>
        </w:rPr>
        <w:t xml:space="preserve"> </w:t>
      </w:r>
      <w:hyperlink r:id="rId10" w:history="1">
        <w:r w:rsidR="00EA45A9" w:rsidRPr="00EA45A9">
          <w:rPr>
            <w:rFonts w:eastAsiaTheme="minorHAnsi"/>
            <w:lang w:eastAsia="en-US"/>
          </w:rPr>
          <w:t>постановлением</w:t>
        </w:r>
      </w:hyperlink>
      <w:r w:rsidR="00EA45A9" w:rsidRPr="00EA45A9">
        <w:rPr>
          <w:rFonts w:eastAsiaTheme="minorHAnsi"/>
          <w:lang w:eastAsia="en-US"/>
        </w:rPr>
        <w:t xml:space="preserve"> Правител</w:t>
      </w:r>
      <w:r w:rsidR="00EA45A9">
        <w:rPr>
          <w:rFonts w:eastAsiaTheme="minorHAnsi"/>
          <w:lang w:eastAsia="en-US"/>
        </w:rPr>
        <w:t>ьства РФ (в отношении федеральных услуг),  нормативным правовым актом субъекта РФ (в отношении региональных услуг) и нормативным правовым актом представительного органа местного самоуправления (в отношении муниципальных услуг).</w:t>
      </w:r>
    </w:p>
    <w:p w:rsidR="00C64579" w:rsidRDefault="00C64579" w:rsidP="0087462B">
      <w:pPr>
        <w:ind w:firstLine="680"/>
        <w:jc w:val="both"/>
        <w:rPr>
          <w:bCs/>
        </w:rPr>
      </w:pPr>
      <w:r>
        <w:rPr>
          <w:bCs/>
        </w:rPr>
        <w:t>В частности, по услугам</w:t>
      </w:r>
      <w:r w:rsidR="004910F6">
        <w:rPr>
          <w:bCs/>
        </w:rPr>
        <w:t>,</w:t>
      </w:r>
      <w:r>
        <w:rPr>
          <w:bCs/>
        </w:rPr>
        <w:t xml:space="preserve"> </w:t>
      </w:r>
      <w:r w:rsidR="004910F6" w:rsidRPr="00E137F7">
        <w:rPr>
          <w:bCs/>
        </w:rPr>
        <w:t>предоставл</w:t>
      </w:r>
      <w:r w:rsidR="004910F6">
        <w:rPr>
          <w:bCs/>
        </w:rPr>
        <w:t>яемым ОИВ, государственными учреждениями Волгоградской области, а также ОМСУ</w:t>
      </w:r>
      <w:r w:rsidR="004910F6">
        <w:rPr>
          <w:rFonts w:eastAsiaTheme="minorHAnsi"/>
          <w:lang w:eastAsia="en-US"/>
        </w:rPr>
        <w:t xml:space="preserve"> муниципальных образований Волгоградской области в рамках переданных государственных полномочий, </w:t>
      </w:r>
      <w:r>
        <w:rPr>
          <w:bCs/>
        </w:rPr>
        <w:t xml:space="preserve">перечень утвержден </w:t>
      </w:r>
      <w:r w:rsidR="004910F6">
        <w:rPr>
          <w:bCs/>
        </w:rPr>
        <w:t>п</w:t>
      </w:r>
      <w:r w:rsidRPr="00E137F7">
        <w:rPr>
          <w:bCs/>
        </w:rPr>
        <w:t xml:space="preserve">остановлением Правительства Волгоградской области от 25.09.2012 № 385-п </w:t>
      </w:r>
      <w:r>
        <w:rPr>
          <w:bCs/>
        </w:rPr>
        <w:t>«</w:t>
      </w:r>
      <w:r w:rsidRPr="00E137F7">
        <w:rPr>
          <w:bCs/>
        </w:rPr>
        <w:t>О перечне государственных услуг, предоставление которых организуется в многофункциональных центрах предоставления госуда</w:t>
      </w:r>
      <w:r>
        <w:rPr>
          <w:bCs/>
        </w:rPr>
        <w:t>рственных и муниципальных услуг»</w:t>
      </w:r>
      <w:r w:rsidRPr="00E137F7">
        <w:rPr>
          <w:bCs/>
        </w:rPr>
        <w:t xml:space="preserve"> (далее – Постановление № 385-п)</w:t>
      </w:r>
      <w:r w:rsidR="004910F6">
        <w:rPr>
          <w:bCs/>
        </w:rPr>
        <w:t>.</w:t>
      </w:r>
    </w:p>
    <w:p w:rsidR="004910F6" w:rsidRDefault="004910F6" w:rsidP="004910F6">
      <w:pPr>
        <w:ind w:firstLine="680"/>
        <w:jc w:val="both"/>
      </w:pPr>
      <w:r>
        <w:t>А</w:t>
      </w:r>
      <w:r w:rsidRPr="00423FF9">
        <w:t xml:space="preserve">нализ перечня услуг, </w:t>
      </w:r>
      <w:r w:rsidR="006A4D6D">
        <w:t>включенных в указанный перечень,</w:t>
      </w:r>
      <w:r w:rsidRPr="00423FF9">
        <w:t xml:space="preserve"> и реестр</w:t>
      </w:r>
      <w:r w:rsidR="006A4D6D">
        <w:t xml:space="preserve">ов региональных </w:t>
      </w:r>
      <w:r w:rsidRPr="00423FF9">
        <w:t>услуг, оказываемых через МФЦ (размещен на официальном сайте МФЦ)</w:t>
      </w:r>
      <w:r>
        <w:t xml:space="preserve"> показал, что </w:t>
      </w:r>
      <w:r w:rsidR="006A4D6D">
        <w:t xml:space="preserve">на момент проведения проверки </w:t>
      </w:r>
      <w:r>
        <w:t xml:space="preserve">не </w:t>
      </w:r>
      <w:r w:rsidR="006A4D6D">
        <w:t xml:space="preserve">были </w:t>
      </w:r>
      <w:r>
        <w:t>заключены соглашения о взаимодействии и соответственно не оказыва</w:t>
      </w:r>
      <w:r w:rsidR="003718C8">
        <w:t>лись</w:t>
      </w:r>
      <w:r>
        <w:t xml:space="preserve"> 8 видов услуг, внесенных в Постановление № 385-п изменениями от 12.11.2018 и 24.12.2018, а именно 2 услуги </w:t>
      </w:r>
      <w:r w:rsidRPr="00423FF9">
        <w:t>комитет</w:t>
      </w:r>
      <w:r>
        <w:t>а</w:t>
      </w:r>
      <w:r w:rsidRPr="00423FF9">
        <w:t xml:space="preserve"> государственной охраны объектов культурного </w:t>
      </w:r>
      <w:r w:rsidR="00662102">
        <w:t>наследия</w:t>
      </w:r>
      <w:r w:rsidRPr="00423FF9">
        <w:t xml:space="preserve"> Волгоградской </w:t>
      </w:r>
      <w:r w:rsidRPr="005B633C">
        <w:t xml:space="preserve">области («Выдача разрешения на строительство в соответствии с Градостроительным </w:t>
      </w:r>
      <w:hyperlink r:id="rId11" w:history="1">
        <w:r w:rsidRPr="005B633C">
          <w:t>кодексом</w:t>
        </w:r>
      </w:hyperlink>
      <w:r w:rsidRPr="005B633C">
        <w:t xml:space="preserve"> Российской Федерации» и «Выдача разрешения на ввод объекта в эксплуатацию в соответствии с Градостроительным </w:t>
      </w:r>
      <w:hyperlink r:id="rId12" w:history="1">
        <w:r w:rsidRPr="005B633C">
          <w:t>кодексом</w:t>
        </w:r>
      </w:hyperlink>
      <w:r w:rsidRPr="005B633C">
        <w:t xml:space="preserve"> Российской Федерации»), 3 услуги комитета по обеспечению безопасности жизнедеятельности населения Волгоградской области («Оформление и выдача гражданам удостоверения участника ликвидации последствий катастрофы на Чернобыльской АЭС», «Оформление и выдача удостоверений гражданам, подвергшимся воздействию радиации вследствие аварии в 1957 году на производственном объединении «Маяк» и сбросов радиоактивных отходов в реку </w:t>
      </w:r>
      <w:proofErr w:type="spellStart"/>
      <w:r w:rsidRPr="005B633C">
        <w:t>Теча</w:t>
      </w:r>
      <w:proofErr w:type="spellEnd"/>
      <w:r w:rsidRPr="005B633C">
        <w:t xml:space="preserve">» и «Выдача удостоверений единого образца гражданам, подвергшимся радиационному воздействию вследствие ядерных испытаний на </w:t>
      </w:r>
      <w:r w:rsidRPr="005B633C">
        <w:lastRenderedPageBreak/>
        <w:t>Семипалатинском полигоне»), 3 услуги государственных учреждений («Прием заявок (запись) на прием к врачу», «Предоставление мер социальной поддержки по оплате жилого помещения и коммунальных услуг отдельным категориям граждан за счет средств областного бюджета, источником финансового обеспечения которых являются субвенции из федерального бюджета на оплату жилищно-коммунальных услуг отдельным категориям граждан», «Предоставление ежемесячной денежной выплаты ветеранам труда и ветеранам военной службы, труженикам тыла, жертвам политических репрессий, гражданам, имеющим статус «Дети Сталинграда», ветеранам труда Волгоградской области»).</w:t>
      </w:r>
    </w:p>
    <w:p w:rsidR="005B633C" w:rsidRDefault="004910F6" w:rsidP="004910F6">
      <w:pPr>
        <w:ind w:firstLine="680"/>
        <w:jc w:val="both"/>
      </w:pPr>
      <w:r>
        <w:rPr>
          <w:rFonts w:eastAsiaTheme="minorHAnsi"/>
          <w:lang w:eastAsia="en-US"/>
        </w:rPr>
        <w:t xml:space="preserve">Исходя из нормы </w:t>
      </w:r>
      <w:r w:rsidRPr="00423FF9">
        <w:rPr>
          <w:rFonts w:eastAsiaTheme="minorHAnsi"/>
          <w:lang w:eastAsia="en-US"/>
        </w:rPr>
        <w:t>п. 3 Постановления № 385-п</w:t>
      </w:r>
      <w:r w:rsidR="006A4D6D">
        <w:rPr>
          <w:rFonts w:eastAsiaTheme="minorHAnsi"/>
          <w:lang w:eastAsia="en-US"/>
        </w:rPr>
        <w:t>,</w:t>
      </w:r>
      <w:r w:rsidRPr="00423FF9">
        <w:rPr>
          <w:rFonts w:eastAsiaTheme="minorHAnsi"/>
          <w:lang w:eastAsia="en-US"/>
        </w:rPr>
        <w:t xml:space="preserve"> </w:t>
      </w:r>
      <w:r w:rsidRPr="00423FF9">
        <w:t xml:space="preserve">инициатива о заключении соглашений о взаимодействии </w:t>
      </w:r>
      <w:r>
        <w:t>исходит</w:t>
      </w:r>
      <w:r w:rsidRPr="00423FF9">
        <w:t xml:space="preserve"> от соответствующего ОИВ</w:t>
      </w:r>
      <w:r>
        <w:t xml:space="preserve">. </w:t>
      </w:r>
      <w:r w:rsidRPr="00423FF9">
        <w:t xml:space="preserve">По пояснению должностных лиц </w:t>
      </w:r>
      <w:r w:rsidRPr="00431D1E">
        <w:t>ГКУ «МФЦ»</w:t>
      </w:r>
      <w:r>
        <w:rPr>
          <w:rFonts w:eastAsiaTheme="minorHAnsi"/>
          <w:lang w:eastAsia="en-US"/>
        </w:rPr>
        <w:t xml:space="preserve"> в адрес указанных ОИВ направлялись письма о необходимости заключения соглашений о взаимодействии. Однако до настоящего времени не решен вопрос по услугам </w:t>
      </w:r>
      <w:r w:rsidRPr="00270466">
        <w:t>комитета государственной охраны объектов культурного</w:t>
      </w:r>
      <w:r w:rsidR="000F77D9">
        <w:t xml:space="preserve"> наследия Волгоградской области</w:t>
      </w:r>
      <w:r w:rsidR="005B633C">
        <w:t>,</w:t>
      </w:r>
      <w:r w:rsidR="005B633C" w:rsidRPr="005B633C">
        <w:t xml:space="preserve"> </w:t>
      </w:r>
      <w:r w:rsidR="00482190">
        <w:t xml:space="preserve">а также </w:t>
      </w:r>
      <w:r w:rsidR="005B633C" w:rsidRPr="00270466">
        <w:t xml:space="preserve">по услуге «Прием заявок (запись) на прием к врачу» </w:t>
      </w:r>
      <w:r w:rsidR="005B633C">
        <w:t>(</w:t>
      </w:r>
      <w:r w:rsidR="00B61FCD">
        <w:t xml:space="preserve">государственное </w:t>
      </w:r>
      <w:r w:rsidR="005B633C">
        <w:t xml:space="preserve">учреждение </w:t>
      </w:r>
      <w:r w:rsidR="005B633C" w:rsidRPr="00270466">
        <w:t>комитет</w:t>
      </w:r>
      <w:r w:rsidR="005B633C">
        <w:t>а</w:t>
      </w:r>
      <w:r w:rsidR="005B633C" w:rsidRPr="00270466">
        <w:t xml:space="preserve"> здравоохранения Волгоградской</w:t>
      </w:r>
      <w:r w:rsidR="005B633C" w:rsidRPr="00423FF9">
        <w:t xml:space="preserve"> области</w:t>
      </w:r>
      <w:r w:rsidR="005B633C">
        <w:t>)</w:t>
      </w:r>
      <w:r w:rsidRPr="00270466">
        <w:t>. В отношении услуг, оказываемых комитетом по обеспечению безопасности жизнедеятельности населения, ГКУ «МФЦ»</w:t>
      </w:r>
      <w:r w:rsidRPr="00270466">
        <w:rPr>
          <w:rFonts w:eastAsiaTheme="minorHAnsi"/>
          <w:lang w:eastAsia="en-US"/>
        </w:rPr>
        <w:t xml:space="preserve"> </w:t>
      </w:r>
      <w:r w:rsidRPr="00270466">
        <w:t xml:space="preserve">22.10.2019 направлен </w:t>
      </w:r>
      <w:r w:rsidR="006932EF">
        <w:t xml:space="preserve">в адрес комитета </w:t>
      </w:r>
      <w:r w:rsidRPr="00270466">
        <w:t>проект соглашения</w:t>
      </w:r>
      <w:r w:rsidR="006932EF">
        <w:t xml:space="preserve"> о взаимодействии</w:t>
      </w:r>
      <w:r w:rsidRPr="00270466">
        <w:t xml:space="preserve">, по 2-м услугам по предоставлению мер социальной поддержки с </w:t>
      </w:r>
      <w:proofErr w:type="spellStart"/>
      <w:r w:rsidRPr="00270466">
        <w:t>Облкомсоцзащитой</w:t>
      </w:r>
      <w:proofErr w:type="spellEnd"/>
      <w:r w:rsidRPr="00270466">
        <w:t xml:space="preserve"> заключено дополнительное соглашение только 08.10.2019</w:t>
      </w:r>
      <w:r w:rsidR="00482190">
        <w:t xml:space="preserve"> (при внесении указанных услуг в перечень 24.12.2018).</w:t>
      </w:r>
    </w:p>
    <w:p w:rsidR="006932EF" w:rsidRPr="006932EF" w:rsidRDefault="006932EF" w:rsidP="006932EF">
      <w:pPr>
        <w:ind w:firstLine="680"/>
        <w:jc w:val="both"/>
        <w:rPr>
          <w:i/>
        </w:rPr>
      </w:pPr>
      <w:r w:rsidRPr="006932EF">
        <w:rPr>
          <w:i/>
        </w:rPr>
        <w:t>Таким образом, затягивание ОИВ процесса заключения соглашений на предоставление услуг негативно влияет на расширение перечня услуг, предоставляемых через МФЦ, и обеспечение их доступности.</w:t>
      </w:r>
    </w:p>
    <w:p w:rsidR="003718C8" w:rsidRDefault="003718C8" w:rsidP="004910F6">
      <w:pPr>
        <w:ind w:firstLine="680"/>
        <w:jc w:val="both"/>
      </w:pPr>
    </w:p>
    <w:p w:rsidR="0087462B" w:rsidRDefault="0087462B" w:rsidP="0087462B">
      <w:pPr>
        <w:ind w:firstLine="680"/>
        <w:jc w:val="both"/>
      </w:pPr>
      <w:r w:rsidRPr="004248AF">
        <w:t xml:space="preserve">Согласно </w:t>
      </w:r>
      <w:r w:rsidR="00B32E34">
        <w:t>Подпрограмме</w:t>
      </w:r>
      <w:r w:rsidRPr="004248AF">
        <w:t xml:space="preserve"> одним из приоритетных направлений работы в среднесрочной перспективе является расширение перечня услуг, предоставление которых организовано по принципу «одного окна» в МФЦ.</w:t>
      </w:r>
    </w:p>
    <w:p w:rsidR="00B26F6B" w:rsidRDefault="006D61E6" w:rsidP="0087462B">
      <w:pPr>
        <w:ind w:firstLine="680"/>
        <w:jc w:val="both"/>
      </w:pPr>
      <w:r>
        <w:t>В</w:t>
      </w:r>
      <w:r w:rsidR="00556358">
        <w:t xml:space="preserve"> проверяемом периоде </w:t>
      </w:r>
      <w:r>
        <w:t xml:space="preserve">наблюдается расширение видов предоставляемых услуг, что представлено в </w:t>
      </w:r>
      <w:r w:rsidR="00556358">
        <w:t xml:space="preserve">таблице. </w:t>
      </w:r>
    </w:p>
    <w:tbl>
      <w:tblPr>
        <w:tblW w:w="9635" w:type="dxa"/>
        <w:tblInd w:w="85" w:type="dxa"/>
        <w:tblLook w:val="04A0"/>
      </w:tblPr>
      <w:tblGrid>
        <w:gridCol w:w="1157"/>
        <w:gridCol w:w="2423"/>
        <w:gridCol w:w="1347"/>
        <w:gridCol w:w="1423"/>
        <w:gridCol w:w="1686"/>
        <w:gridCol w:w="1599"/>
      </w:tblGrid>
      <w:tr w:rsidR="00B26F6B" w:rsidRPr="00B26F6B" w:rsidTr="00882068">
        <w:trPr>
          <w:trHeight w:val="927"/>
        </w:trPr>
        <w:tc>
          <w:tcPr>
            <w:tcW w:w="115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B26F6B" w:rsidRPr="00B26F6B" w:rsidRDefault="005F5016" w:rsidP="005F501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Г</w:t>
            </w:r>
            <w:r w:rsidR="00B26F6B" w:rsidRPr="00B26F6B">
              <w:rPr>
                <w:rFonts w:eastAsia="Times New Roman"/>
                <w:color w:val="000000"/>
                <w:sz w:val="20"/>
                <w:szCs w:val="20"/>
              </w:rPr>
              <w:t>оды</w:t>
            </w:r>
          </w:p>
        </w:tc>
        <w:tc>
          <w:tcPr>
            <w:tcW w:w="2423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B26F6B" w:rsidRPr="00B26F6B" w:rsidRDefault="005F5016" w:rsidP="005F501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</w:t>
            </w:r>
            <w:r w:rsidR="00B26F6B" w:rsidRPr="00B26F6B">
              <w:rPr>
                <w:rFonts w:eastAsia="Times New Roman"/>
                <w:color w:val="000000"/>
                <w:sz w:val="20"/>
                <w:szCs w:val="20"/>
              </w:rPr>
              <w:t>бщее количество  предоставляемых услуг</w:t>
            </w:r>
            <w:r w:rsidR="00556358">
              <w:rPr>
                <w:rFonts w:eastAsia="Times New Roman"/>
                <w:color w:val="000000"/>
                <w:sz w:val="20"/>
                <w:szCs w:val="20"/>
              </w:rPr>
              <w:t xml:space="preserve"> (ед.)</w:t>
            </w:r>
            <w:r w:rsidR="00B26F6B" w:rsidRPr="00B26F6B">
              <w:rPr>
                <w:rFonts w:eastAsia="Times New Roman"/>
                <w:color w:val="000000"/>
                <w:sz w:val="20"/>
                <w:szCs w:val="20"/>
              </w:rPr>
              <w:t>, в т.ч.</w:t>
            </w:r>
          </w:p>
        </w:tc>
        <w:tc>
          <w:tcPr>
            <w:tcW w:w="134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B26F6B" w:rsidRPr="00B26F6B" w:rsidRDefault="00B26F6B" w:rsidP="00B26F6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26F6B">
              <w:rPr>
                <w:rFonts w:eastAsia="Times New Roman"/>
                <w:color w:val="000000"/>
                <w:sz w:val="20"/>
                <w:szCs w:val="20"/>
              </w:rPr>
              <w:t>федеральных</w:t>
            </w:r>
          </w:p>
        </w:tc>
        <w:tc>
          <w:tcPr>
            <w:tcW w:w="1423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B26F6B" w:rsidRPr="00B26F6B" w:rsidRDefault="00B26F6B" w:rsidP="00B26F6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26F6B">
              <w:rPr>
                <w:rFonts w:eastAsia="Times New Roman"/>
                <w:color w:val="000000"/>
                <w:sz w:val="20"/>
                <w:szCs w:val="20"/>
              </w:rPr>
              <w:t>региональных</w:t>
            </w:r>
          </w:p>
        </w:tc>
        <w:tc>
          <w:tcPr>
            <w:tcW w:w="168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B26F6B" w:rsidRPr="00B26F6B" w:rsidRDefault="00B26F6B" w:rsidP="00B26F6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26F6B">
              <w:rPr>
                <w:rFonts w:eastAsia="Times New Roman"/>
                <w:color w:val="000000"/>
                <w:sz w:val="20"/>
                <w:szCs w:val="20"/>
              </w:rPr>
              <w:t>услуг государственных внебюджетных фондов</w:t>
            </w:r>
          </w:p>
        </w:tc>
        <w:tc>
          <w:tcPr>
            <w:tcW w:w="159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EAF1DD"/>
            <w:vAlign w:val="center"/>
            <w:hideMark/>
          </w:tcPr>
          <w:p w:rsidR="00B26F6B" w:rsidRPr="00B26F6B" w:rsidRDefault="00B26F6B" w:rsidP="00B26F6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26F6B">
              <w:rPr>
                <w:rFonts w:eastAsia="Times New Roman"/>
                <w:color w:val="000000"/>
                <w:sz w:val="20"/>
                <w:szCs w:val="20"/>
              </w:rPr>
              <w:t>муниципальных</w:t>
            </w:r>
          </w:p>
        </w:tc>
      </w:tr>
      <w:tr w:rsidR="00B26F6B" w:rsidRPr="00B26F6B" w:rsidTr="00882068">
        <w:trPr>
          <w:trHeight w:val="315"/>
        </w:trPr>
        <w:tc>
          <w:tcPr>
            <w:tcW w:w="11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F6B" w:rsidRPr="00B26F6B" w:rsidRDefault="00B26F6B" w:rsidP="00B26F6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26F6B">
              <w:rPr>
                <w:rFonts w:eastAsia="Times New Roman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F6B" w:rsidRPr="00B26F6B" w:rsidRDefault="00B26F6B" w:rsidP="00B26F6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26F6B">
              <w:rPr>
                <w:rFonts w:eastAsia="Times New Roman"/>
                <w:color w:val="000000"/>
                <w:sz w:val="20"/>
                <w:szCs w:val="20"/>
              </w:rPr>
              <w:t>от 201 до 266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F6B" w:rsidRPr="00B26F6B" w:rsidRDefault="00B26F6B" w:rsidP="00B26F6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26F6B">
              <w:rPr>
                <w:rFonts w:eastAsia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F6B" w:rsidRPr="00B26F6B" w:rsidRDefault="00B26F6B" w:rsidP="00B26F6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26F6B">
              <w:rPr>
                <w:rFonts w:eastAsia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F6B" w:rsidRPr="00B26F6B" w:rsidRDefault="00B26F6B" w:rsidP="00B26F6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26F6B">
              <w:rPr>
                <w:rFonts w:eastAsia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26F6B" w:rsidRPr="00B26F6B" w:rsidRDefault="00B26F6B" w:rsidP="00B26F6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26F6B">
              <w:rPr>
                <w:rFonts w:eastAsia="Times New Roman"/>
                <w:color w:val="000000"/>
                <w:sz w:val="20"/>
                <w:szCs w:val="20"/>
              </w:rPr>
              <w:t>от 15 до 80</w:t>
            </w:r>
          </w:p>
        </w:tc>
      </w:tr>
      <w:tr w:rsidR="00B26F6B" w:rsidRPr="00B26F6B" w:rsidTr="00882068">
        <w:trPr>
          <w:trHeight w:val="300"/>
        </w:trPr>
        <w:tc>
          <w:tcPr>
            <w:tcW w:w="11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F6B" w:rsidRPr="00B26F6B" w:rsidRDefault="00B26F6B" w:rsidP="00B26F6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26F6B">
              <w:rPr>
                <w:rFonts w:eastAsia="Times New Roman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F6B" w:rsidRPr="00B26F6B" w:rsidRDefault="00B26F6B" w:rsidP="00B26F6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26F6B">
              <w:rPr>
                <w:rFonts w:eastAsia="Times New Roman"/>
                <w:color w:val="000000"/>
                <w:sz w:val="20"/>
                <w:szCs w:val="20"/>
              </w:rPr>
              <w:t>от 217 до 282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F6B" w:rsidRPr="00B26F6B" w:rsidRDefault="00B26F6B" w:rsidP="00B26F6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26F6B">
              <w:rPr>
                <w:rFonts w:eastAsia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F6B" w:rsidRPr="00B26F6B" w:rsidRDefault="00B26F6B" w:rsidP="00B26F6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26F6B">
              <w:rPr>
                <w:rFonts w:eastAsia="Times New Roman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F6B" w:rsidRPr="00B26F6B" w:rsidRDefault="00B26F6B" w:rsidP="00B26F6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26F6B">
              <w:rPr>
                <w:rFonts w:eastAsia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26F6B" w:rsidRPr="00B26F6B" w:rsidRDefault="00B26F6B" w:rsidP="00B26F6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26F6B">
              <w:rPr>
                <w:rFonts w:eastAsia="Times New Roman"/>
                <w:color w:val="000000"/>
                <w:sz w:val="20"/>
                <w:szCs w:val="20"/>
              </w:rPr>
              <w:t>от 15 до 80</w:t>
            </w:r>
          </w:p>
        </w:tc>
      </w:tr>
      <w:tr w:rsidR="00B26F6B" w:rsidRPr="00B26F6B" w:rsidTr="00882068">
        <w:trPr>
          <w:trHeight w:val="315"/>
        </w:trPr>
        <w:tc>
          <w:tcPr>
            <w:tcW w:w="1157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F6B" w:rsidRPr="00B26F6B" w:rsidRDefault="00EC5DCE" w:rsidP="00EC5D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</w:t>
            </w:r>
            <w:r w:rsidR="00E917B2">
              <w:rPr>
                <w:rFonts w:eastAsia="Times New Roman"/>
                <w:color w:val="000000"/>
                <w:sz w:val="20"/>
                <w:szCs w:val="20"/>
              </w:rPr>
              <w:t xml:space="preserve">а 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9 мес. </w:t>
            </w:r>
            <w:r w:rsidR="00882068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="00B26F6B" w:rsidRPr="00B26F6B">
              <w:rPr>
                <w:rFonts w:eastAsia="Times New Roman"/>
                <w:color w:val="000000"/>
                <w:sz w:val="20"/>
                <w:szCs w:val="20"/>
              </w:rPr>
              <w:t>2019</w:t>
            </w:r>
            <w:r w:rsidR="00882068">
              <w:rPr>
                <w:rFonts w:eastAsia="Times New Roman"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42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F6B" w:rsidRPr="00B26F6B" w:rsidRDefault="00B26F6B" w:rsidP="00B61FC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26F6B">
              <w:rPr>
                <w:rFonts w:eastAsia="Times New Roman"/>
                <w:color w:val="000000"/>
                <w:sz w:val="20"/>
                <w:szCs w:val="20"/>
              </w:rPr>
              <w:t>от 223 до 28</w:t>
            </w:r>
            <w:r w:rsidR="00B61FCD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4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F6B" w:rsidRPr="00B26F6B" w:rsidRDefault="00B26F6B" w:rsidP="00B26F6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26F6B">
              <w:rPr>
                <w:rFonts w:eastAsia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42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F6B" w:rsidRPr="00B26F6B" w:rsidRDefault="00B26F6B" w:rsidP="00B26F6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26F6B">
              <w:rPr>
                <w:rFonts w:eastAsia="Times New Roman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168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F6B" w:rsidRPr="00B26F6B" w:rsidRDefault="00B26F6B" w:rsidP="00B26F6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26F6B">
              <w:rPr>
                <w:rFonts w:eastAsia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59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26F6B" w:rsidRPr="00B26F6B" w:rsidRDefault="00B26F6B" w:rsidP="00B26F6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26F6B">
              <w:rPr>
                <w:rFonts w:eastAsia="Times New Roman"/>
                <w:color w:val="000000"/>
                <w:sz w:val="20"/>
                <w:szCs w:val="20"/>
              </w:rPr>
              <w:t>от 15 до 80</w:t>
            </w:r>
          </w:p>
        </w:tc>
      </w:tr>
    </w:tbl>
    <w:p w:rsidR="0087462B" w:rsidRPr="00CE52A2" w:rsidRDefault="0087462B" w:rsidP="0087462B">
      <w:pPr>
        <w:pStyle w:val="afa"/>
        <w:ind w:firstLine="680"/>
        <w:jc w:val="both"/>
        <w:rPr>
          <w:sz w:val="24"/>
          <w:szCs w:val="24"/>
        </w:rPr>
      </w:pPr>
      <w:r w:rsidRPr="00CE52A2">
        <w:rPr>
          <w:sz w:val="24"/>
          <w:szCs w:val="24"/>
        </w:rPr>
        <w:t>Основная часть услуг, предоставление которых организован</w:t>
      </w:r>
      <w:r>
        <w:rPr>
          <w:sz w:val="24"/>
          <w:szCs w:val="24"/>
        </w:rPr>
        <w:t>о</w:t>
      </w:r>
      <w:r w:rsidRPr="00CE52A2">
        <w:rPr>
          <w:sz w:val="24"/>
          <w:szCs w:val="24"/>
        </w:rPr>
        <w:t xml:space="preserve"> в МФЦ</w:t>
      </w:r>
      <w:r>
        <w:rPr>
          <w:sz w:val="24"/>
          <w:szCs w:val="24"/>
        </w:rPr>
        <w:t>,</w:t>
      </w:r>
      <w:r w:rsidRPr="00CE52A2">
        <w:rPr>
          <w:sz w:val="24"/>
          <w:szCs w:val="24"/>
        </w:rPr>
        <w:t xml:space="preserve"> относится к следующим сферам деятельности: гражданство и миграция, социальная сфера, жилищно-коммунальное хозяйство, земельно-имущественные отношения и градостроительство. </w:t>
      </w:r>
    </w:p>
    <w:p w:rsidR="0087462B" w:rsidRPr="00D52B64" w:rsidRDefault="0087462B" w:rsidP="0087462B">
      <w:pPr>
        <w:pStyle w:val="afa"/>
        <w:ind w:firstLine="680"/>
        <w:jc w:val="both"/>
        <w:rPr>
          <w:color w:val="FF0000"/>
          <w:sz w:val="24"/>
          <w:szCs w:val="24"/>
        </w:rPr>
      </w:pPr>
      <w:r w:rsidRPr="00E94894">
        <w:rPr>
          <w:sz w:val="24"/>
          <w:szCs w:val="24"/>
        </w:rPr>
        <w:t xml:space="preserve">В 2018 году на базе филиалов </w:t>
      </w:r>
      <w:r w:rsidRPr="00377ACF">
        <w:rPr>
          <w:sz w:val="24"/>
          <w:szCs w:val="24"/>
        </w:rPr>
        <w:t>ГКУ «МФЦ»</w:t>
      </w:r>
      <w:r w:rsidRPr="00E94894">
        <w:rPr>
          <w:rFonts w:eastAsiaTheme="minorHAnsi"/>
          <w:lang w:eastAsia="en-US"/>
        </w:rPr>
        <w:t xml:space="preserve"> </w:t>
      </w:r>
      <w:r w:rsidRPr="00E94894">
        <w:rPr>
          <w:sz w:val="24"/>
          <w:szCs w:val="24"/>
        </w:rPr>
        <w:t>ежемесячно было оказано более 170 тыс. услуг, средняя нагрузка на одного специалиста составляла 20 пакетов, принятых от заявителей в день, в 2019 году</w:t>
      </w:r>
      <w:r w:rsidR="00F169B4">
        <w:rPr>
          <w:sz w:val="24"/>
          <w:szCs w:val="24"/>
        </w:rPr>
        <w:t xml:space="preserve"> нагрузка на одного специалиста</w:t>
      </w:r>
      <w:r w:rsidRPr="00E94894">
        <w:rPr>
          <w:sz w:val="24"/>
          <w:szCs w:val="24"/>
        </w:rPr>
        <w:t xml:space="preserve"> увеличилась до 25 пакетов документов в день.</w:t>
      </w:r>
      <w:r w:rsidRPr="000E3EE1">
        <w:rPr>
          <w:sz w:val="24"/>
          <w:szCs w:val="24"/>
        </w:rPr>
        <w:t xml:space="preserve"> </w:t>
      </w:r>
    </w:p>
    <w:p w:rsidR="0087462B" w:rsidRDefault="0087462B" w:rsidP="0087462B">
      <w:pPr>
        <w:ind w:firstLine="680"/>
        <w:jc w:val="both"/>
      </w:pPr>
      <w:r>
        <w:t>Информация о количестве оказанных</w:t>
      </w:r>
      <w:r w:rsidRPr="00C30C06">
        <w:t xml:space="preserve"> услуг</w:t>
      </w:r>
      <w:r>
        <w:t xml:space="preserve"> и предоставленных консультаций</w:t>
      </w:r>
      <w:r w:rsidRPr="00C30C06">
        <w:t xml:space="preserve"> </w:t>
      </w:r>
      <w:r>
        <w:t>пр</w:t>
      </w:r>
      <w:r w:rsidR="00A211DE">
        <w:t xml:space="preserve">иведена </w:t>
      </w:r>
      <w:r>
        <w:t>в таблице.</w:t>
      </w:r>
    </w:p>
    <w:tbl>
      <w:tblPr>
        <w:tblStyle w:val="af5"/>
        <w:tblW w:w="9889" w:type="dxa"/>
        <w:tblLook w:val="04A0"/>
      </w:tblPr>
      <w:tblGrid>
        <w:gridCol w:w="560"/>
        <w:gridCol w:w="2809"/>
        <w:gridCol w:w="1631"/>
        <w:gridCol w:w="1614"/>
        <w:gridCol w:w="1624"/>
        <w:gridCol w:w="1651"/>
      </w:tblGrid>
      <w:tr w:rsidR="0087462B" w:rsidRPr="00086CEA" w:rsidTr="00BE6ECF">
        <w:tc>
          <w:tcPr>
            <w:tcW w:w="560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87462B" w:rsidRPr="00767831" w:rsidRDefault="0087462B" w:rsidP="00BE6ECF">
            <w:pPr>
              <w:jc w:val="center"/>
              <w:rPr>
                <w:b/>
                <w:sz w:val="18"/>
                <w:szCs w:val="18"/>
              </w:rPr>
            </w:pPr>
            <w:r w:rsidRPr="00767831">
              <w:rPr>
                <w:b/>
                <w:sz w:val="18"/>
                <w:szCs w:val="18"/>
              </w:rPr>
              <w:t>№</w:t>
            </w:r>
          </w:p>
          <w:p w:rsidR="0087462B" w:rsidRPr="00767831" w:rsidRDefault="0087462B" w:rsidP="00BE6ECF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767831">
              <w:rPr>
                <w:b/>
                <w:sz w:val="18"/>
                <w:szCs w:val="18"/>
              </w:rPr>
              <w:t>п</w:t>
            </w:r>
            <w:proofErr w:type="spellEnd"/>
            <w:r w:rsidRPr="00767831">
              <w:rPr>
                <w:b/>
                <w:sz w:val="18"/>
                <w:szCs w:val="18"/>
              </w:rPr>
              <w:t>/</w:t>
            </w:r>
            <w:proofErr w:type="spellStart"/>
            <w:r w:rsidRPr="00767831">
              <w:rPr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80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87462B" w:rsidRPr="00767831" w:rsidRDefault="0087462B" w:rsidP="00BE6ECF">
            <w:pPr>
              <w:jc w:val="center"/>
              <w:rPr>
                <w:b/>
                <w:sz w:val="18"/>
                <w:szCs w:val="18"/>
              </w:rPr>
            </w:pPr>
            <w:r w:rsidRPr="00767831">
              <w:rPr>
                <w:b/>
                <w:sz w:val="18"/>
                <w:szCs w:val="18"/>
              </w:rPr>
              <w:t>Наименование услуги</w:t>
            </w:r>
          </w:p>
        </w:tc>
        <w:tc>
          <w:tcPr>
            <w:tcW w:w="6520" w:type="dxa"/>
            <w:gridSpan w:val="4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87462B" w:rsidRPr="00767831" w:rsidRDefault="0087462B" w:rsidP="00BE6ECF">
            <w:pPr>
              <w:jc w:val="center"/>
              <w:rPr>
                <w:b/>
                <w:sz w:val="18"/>
                <w:szCs w:val="18"/>
              </w:rPr>
            </w:pPr>
            <w:r w:rsidRPr="00767831">
              <w:rPr>
                <w:b/>
                <w:sz w:val="18"/>
                <w:szCs w:val="18"/>
              </w:rPr>
              <w:t>Количество оказанных услуг/предоставленных консультаций</w:t>
            </w:r>
          </w:p>
          <w:p w:rsidR="0087462B" w:rsidRPr="00767831" w:rsidRDefault="0087462B" w:rsidP="00BE6ECF">
            <w:pPr>
              <w:jc w:val="center"/>
              <w:rPr>
                <w:b/>
                <w:sz w:val="18"/>
                <w:szCs w:val="18"/>
              </w:rPr>
            </w:pPr>
            <w:r w:rsidRPr="00767831">
              <w:rPr>
                <w:b/>
                <w:sz w:val="18"/>
                <w:szCs w:val="18"/>
              </w:rPr>
              <w:t xml:space="preserve"> ( тыс. ед.)</w:t>
            </w:r>
          </w:p>
        </w:tc>
      </w:tr>
      <w:tr w:rsidR="0087462B" w:rsidRPr="00086CEA" w:rsidTr="00BE6ECF">
        <w:trPr>
          <w:trHeight w:hRule="exact" w:val="437"/>
        </w:trPr>
        <w:tc>
          <w:tcPr>
            <w:tcW w:w="560" w:type="dxa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87462B" w:rsidRPr="00767831" w:rsidRDefault="0087462B" w:rsidP="00BE6EC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09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87462B" w:rsidRPr="00767831" w:rsidRDefault="0087462B" w:rsidP="00BE6EC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87462B" w:rsidRPr="00767831" w:rsidRDefault="0087462B" w:rsidP="00BE6ECF">
            <w:pPr>
              <w:jc w:val="center"/>
              <w:rPr>
                <w:b/>
                <w:sz w:val="18"/>
                <w:szCs w:val="18"/>
              </w:rPr>
            </w:pPr>
            <w:r w:rsidRPr="00767831">
              <w:rPr>
                <w:b/>
                <w:sz w:val="18"/>
                <w:szCs w:val="18"/>
              </w:rPr>
              <w:t>2017 год</w:t>
            </w:r>
          </w:p>
          <w:p w:rsidR="0087462B" w:rsidRPr="00767831" w:rsidRDefault="0087462B" w:rsidP="00BE6EC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87462B" w:rsidRPr="00767831" w:rsidRDefault="0087462B" w:rsidP="00BE6ECF">
            <w:pPr>
              <w:jc w:val="center"/>
              <w:rPr>
                <w:b/>
                <w:sz w:val="18"/>
                <w:szCs w:val="18"/>
              </w:rPr>
            </w:pPr>
            <w:r w:rsidRPr="00767831">
              <w:rPr>
                <w:b/>
                <w:sz w:val="18"/>
                <w:szCs w:val="18"/>
              </w:rPr>
              <w:t>2018 год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87462B" w:rsidRPr="00767831" w:rsidRDefault="0087462B" w:rsidP="00BE6ECF">
            <w:pPr>
              <w:jc w:val="center"/>
              <w:rPr>
                <w:b/>
                <w:sz w:val="18"/>
                <w:szCs w:val="18"/>
              </w:rPr>
            </w:pPr>
            <w:r w:rsidRPr="00767831">
              <w:rPr>
                <w:b/>
                <w:sz w:val="18"/>
                <w:szCs w:val="18"/>
              </w:rPr>
              <w:t>прирост</w:t>
            </w:r>
          </w:p>
          <w:p w:rsidR="0087462B" w:rsidRPr="00767831" w:rsidRDefault="0087462B" w:rsidP="00BE6ECF">
            <w:pPr>
              <w:jc w:val="center"/>
              <w:rPr>
                <w:b/>
                <w:sz w:val="18"/>
                <w:szCs w:val="18"/>
              </w:rPr>
            </w:pPr>
            <w:r w:rsidRPr="00767831">
              <w:rPr>
                <w:b/>
                <w:sz w:val="18"/>
                <w:szCs w:val="18"/>
              </w:rPr>
              <w:t>(%)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87462B" w:rsidRPr="00767831" w:rsidRDefault="0087462B" w:rsidP="00BE6ECF">
            <w:pPr>
              <w:jc w:val="center"/>
              <w:rPr>
                <w:b/>
                <w:sz w:val="18"/>
                <w:szCs w:val="18"/>
              </w:rPr>
            </w:pPr>
            <w:r w:rsidRPr="00767831">
              <w:rPr>
                <w:b/>
                <w:sz w:val="18"/>
                <w:szCs w:val="18"/>
              </w:rPr>
              <w:t>по состоянию 01.07.2019</w:t>
            </w:r>
          </w:p>
        </w:tc>
      </w:tr>
      <w:tr w:rsidR="0087462B" w:rsidRPr="00086CEA" w:rsidTr="00BE6ECF"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7462B" w:rsidRPr="00767831" w:rsidRDefault="0087462B" w:rsidP="00BE6ECF">
            <w:pPr>
              <w:jc w:val="both"/>
              <w:rPr>
                <w:sz w:val="18"/>
                <w:szCs w:val="18"/>
              </w:rPr>
            </w:pPr>
            <w:r w:rsidRPr="00767831">
              <w:rPr>
                <w:sz w:val="18"/>
                <w:szCs w:val="18"/>
              </w:rPr>
              <w:t>1</w:t>
            </w:r>
          </w:p>
        </w:tc>
        <w:tc>
          <w:tcPr>
            <w:tcW w:w="280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62B" w:rsidRPr="00767831" w:rsidRDefault="0087462B" w:rsidP="00BE6ECF">
            <w:pPr>
              <w:jc w:val="both"/>
              <w:rPr>
                <w:sz w:val="18"/>
                <w:szCs w:val="18"/>
              </w:rPr>
            </w:pPr>
            <w:r w:rsidRPr="00767831">
              <w:rPr>
                <w:sz w:val="18"/>
                <w:szCs w:val="18"/>
              </w:rPr>
              <w:t>Федеральные услуги</w:t>
            </w:r>
          </w:p>
        </w:tc>
        <w:tc>
          <w:tcPr>
            <w:tcW w:w="163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462B" w:rsidRPr="00767831" w:rsidRDefault="0087462B" w:rsidP="00BE6ECF">
            <w:pPr>
              <w:jc w:val="center"/>
              <w:rPr>
                <w:sz w:val="18"/>
                <w:szCs w:val="18"/>
              </w:rPr>
            </w:pPr>
            <w:r w:rsidRPr="00767831">
              <w:rPr>
                <w:sz w:val="18"/>
                <w:szCs w:val="18"/>
              </w:rPr>
              <w:t>1 104,0/1 196,1</w:t>
            </w:r>
          </w:p>
        </w:tc>
        <w:tc>
          <w:tcPr>
            <w:tcW w:w="161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462B" w:rsidRPr="00767831" w:rsidRDefault="0087462B" w:rsidP="00BE6ECF">
            <w:pPr>
              <w:jc w:val="center"/>
              <w:rPr>
                <w:sz w:val="18"/>
                <w:szCs w:val="18"/>
              </w:rPr>
            </w:pPr>
            <w:r w:rsidRPr="00767831">
              <w:rPr>
                <w:sz w:val="18"/>
                <w:szCs w:val="18"/>
              </w:rPr>
              <w:t>1 261,9/1 345,8</w:t>
            </w:r>
          </w:p>
        </w:tc>
        <w:tc>
          <w:tcPr>
            <w:tcW w:w="16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462B" w:rsidRPr="00767831" w:rsidRDefault="0087462B" w:rsidP="00BE6ECF">
            <w:pPr>
              <w:jc w:val="center"/>
              <w:rPr>
                <w:sz w:val="18"/>
                <w:szCs w:val="18"/>
              </w:rPr>
            </w:pPr>
            <w:r w:rsidRPr="00767831">
              <w:rPr>
                <w:sz w:val="18"/>
                <w:szCs w:val="18"/>
              </w:rPr>
              <w:t>14,3/12,5</w:t>
            </w:r>
          </w:p>
        </w:tc>
        <w:tc>
          <w:tcPr>
            <w:tcW w:w="165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7462B" w:rsidRPr="00767831" w:rsidRDefault="0087462B" w:rsidP="00BE6ECF">
            <w:pPr>
              <w:jc w:val="center"/>
              <w:rPr>
                <w:sz w:val="18"/>
                <w:szCs w:val="18"/>
              </w:rPr>
            </w:pPr>
            <w:r w:rsidRPr="00767831">
              <w:rPr>
                <w:sz w:val="18"/>
                <w:szCs w:val="18"/>
              </w:rPr>
              <w:t>603,1/669,7</w:t>
            </w:r>
          </w:p>
        </w:tc>
      </w:tr>
      <w:tr w:rsidR="0087462B" w:rsidRPr="00086CEA" w:rsidTr="00BE6ECF">
        <w:tc>
          <w:tcPr>
            <w:tcW w:w="56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7462B" w:rsidRPr="00767831" w:rsidRDefault="0087462B" w:rsidP="00BE6ECF">
            <w:pPr>
              <w:jc w:val="both"/>
              <w:rPr>
                <w:sz w:val="18"/>
                <w:szCs w:val="18"/>
              </w:rPr>
            </w:pPr>
            <w:r w:rsidRPr="00767831">
              <w:rPr>
                <w:sz w:val="18"/>
                <w:szCs w:val="18"/>
              </w:rPr>
              <w:t>2</w:t>
            </w:r>
          </w:p>
        </w:tc>
        <w:tc>
          <w:tcPr>
            <w:tcW w:w="2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62B" w:rsidRPr="00767831" w:rsidRDefault="0087462B" w:rsidP="00BE6ECF">
            <w:pPr>
              <w:jc w:val="both"/>
              <w:rPr>
                <w:sz w:val="18"/>
                <w:szCs w:val="18"/>
              </w:rPr>
            </w:pPr>
            <w:r w:rsidRPr="00767831">
              <w:rPr>
                <w:sz w:val="18"/>
                <w:szCs w:val="18"/>
              </w:rPr>
              <w:t>Региональные услуги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462B" w:rsidRPr="00767831" w:rsidRDefault="0087462B" w:rsidP="00BE6ECF">
            <w:pPr>
              <w:jc w:val="center"/>
              <w:rPr>
                <w:sz w:val="18"/>
                <w:szCs w:val="18"/>
              </w:rPr>
            </w:pPr>
            <w:r w:rsidRPr="00767831">
              <w:rPr>
                <w:sz w:val="18"/>
                <w:szCs w:val="18"/>
              </w:rPr>
              <w:t>72,2/81,4</w:t>
            </w:r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462B" w:rsidRPr="00767831" w:rsidRDefault="0087462B" w:rsidP="00BE6ECF">
            <w:pPr>
              <w:jc w:val="center"/>
              <w:rPr>
                <w:sz w:val="18"/>
                <w:szCs w:val="18"/>
              </w:rPr>
            </w:pPr>
            <w:r w:rsidRPr="00767831">
              <w:rPr>
                <w:sz w:val="18"/>
                <w:szCs w:val="18"/>
              </w:rPr>
              <w:t>78,8/87,3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462B" w:rsidRPr="00767831" w:rsidRDefault="0087462B" w:rsidP="00BE6ECF">
            <w:pPr>
              <w:jc w:val="center"/>
              <w:rPr>
                <w:sz w:val="18"/>
                <w:szCs w:val="18"/>
              </w:rPr>
            </w:pPr>
            <w:r w:rsidRPr="00767831">
              <w:rPr>
                <w:sz w:val="18"/>
                <w:szCs w:val="18"/>
              </w:rPr>
              <w:t>9,2/7,3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7462B" w:rsidRPr="00767831" w:rsidRDefault="0087462B" w:rsidP="00BE6ECF">
            <w:pPr>
              <w:jc w:val="center"/>
              <w:rPr>
                <w:sz w:val="18"/>
                <w:szCs w:val="18"/>
              </w:rPr>
            </w:pPr>
            <w:r w:rsidRPr="00767831">
              <w:rPr>
                <w:sz w:val="18"/>
                <w:szCs w:val="18"/>
              </w:rPr>
              <w:t>56,1/65,2</w:t>
            </w:r>
          </w:p>
        </w:tc>
      </w:tr>
      <w:tr w:rsidR="0087462B" w:rsidRPr="00086CEA" w:rsidTr="00BE6ECF">
        <w:tc>
          <w:tcPr>
            <w:tcW w:w="56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7462B" w:rsidRPr="00767831" w:rsidRDefault="0087462B" w:rsidP="00BE6ECF">
            <w:pPr>
              <w:jc w:val="both"/>
              <w:rPr>
                <w:sz w:val="18"/>
                <w:szCs w:val="18"/>
              </w:rPr>
            </w:pPr>
            <w:r w:rsidRPr="00767831">
              <w:rPr>
                <w:sz w:val="18"/>
                <w:szCs w:val="18"/>
              </w:rPr>
              <w:t>3</w:t>
            </w:r>
          </w:p>
        </w:tc>
        <w:tc>
          <w:tcPr>
            <w:tcW w:w="2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62B" w:rsidRPr="00767831" w:rsidRDefault="0087462B" w:rsidP="00BE6ECF">
            <w:pPr>
              <w:jc w:val="both"/>
              <w:rPr>
                <w:sz w:val="18"/>
                <w:szCs w:val="18"/>
              </w:rPr>
            </w:pPr>
            <w:r w:rsidRPr="00767831">
              <w:rPr>
                <w:sz w:val="18"/>
                <w:szCs w:val="18"/>
              </w:rPr>
              <w:t>Муниципальные услуги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462B" w:rsidRPr="00767831" w:rsidRDefault="0087462B" w:rsidP="00BE6ECF">
            <w:pPr>
              <w:jc w:val="center"/>
              <w:rPr>
                <w:sz w:val="18"/>
                <w:szCs w:val="18"/>
              </w:rPr>
            </w:pPr>
            <w:r w:rsidRPr="00767831">
              <w:rPr>
                <w:sz w:val="18"/>
                <w:szCs w:val="18"/>
              </w:rPr>
              <w:t>638,6/688,1</w:t>
            </w:r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462B" w:rsidRPr="00767831" w:rsidRDefault="0087462B" w:rsidP="00BE6ECF">
            <w:pPr>
              <w:jc w:val="center"/>
              <w:rPr>
                <w:sz w:val="18"/>
                <w:szCs w:val="18"/>
              </w:rPr>
            </w:pPr>
            <w:r w:rsidRPr="00767831">
              <w:rPr>
                <w:sz w:val="18"/>
                <w:szCs w:val="18"/>
              </w:rPr>
              <w:t>485,0/516,0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462B" w:rsidRPr="00767831" w:rsidRDefault="0087462B" w:rsidP="00BE6ECF">
            <w:pPr>
              <w:jc w:val="center"/>
              <w:rPr>
                <w:sz w:val="18"/>
                <w:szCs w:val="18"/>
              </w:rPr>
            </w:pPr>
            <w:r w:rsidRPr="00767831">
              <w:rPr>
                <w:sz w:val="18"/>
                <w:szCs w:val="18"/>
              </w:rPr>
              <w:t>-24,1/-25,0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7462B" w:rsidRPr="00767831" w:rsidRDefault="0087462B" w:rsidP="00BE6ECF">
            <w:pPr>
              <w:jc w:val="center"/>
              <w:rPr>
                <w:sz w:val="18"/>
                <w:szCs w:val="18"/>
              </w:rPr>
            </w:pPr>
            <w:r w:rsidRPr="00767831">
              <w:rPr>
                <w:sz w:val="18"/>
                <w:szCs w:val="18"/>
              </w:rPr>
              <w:t>94,7/105,4</w:t>
            </w:r>
          </w:p>
        </w:tc>
      </w:tr>
      <w:tr w:rsidR="0087462B" w:rsidRPr="00086CEA" w:rsidTr="00BE6ECF">
        <w:tc>
          <w:tcPr>
            <w:tcW w:w="56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7462B" w:rsidRPr="00767831" w:rsidRDefault="0087462B" w:rsidP="00BE6ECF">
            <w:pPr>
              <w:jc w:val="both"/>
              <w:rPr>
                <w:sz w:val="18"/>
                <w:szCs w:val="18"/>
              </w:rPr>
            </w:pPr>
            <w:r w:rsidRPr="00767831">
              <w:rPr>
                <w:sz w:val="18"/>
                <w:szCs w:val="18"/>
              </w:rPr>
              <w:t>4</w:t>
            </w:r>
          </w:p>
        </w:tc>
        <w:tc>
          <w:tcPr>
            <w:tcW w:w="2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62B" w:rsidRPr="00767831" w:rsidRDefault="0087462B" w:rsidP="00BE6ECF">
            <w:pPr>
              <w:jc w:val="both"/>
              <w:rPr>
                <w:sz w:val="18"/>
                <w:szCs w:val="18"/>
              </w:rPr>
            </w:pPr>
            <w:r w:rsidRPr="00767831">
              <w:rPr>
                <w:sz w:val="18"/>
                <w:szCs w:val="18"/>
              </w:rPr>
              <w:t>Прочие услуги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462B" w:rsidRPr="00767831" w:rsidRDefault="0087462B" w:rsidP="00BE6ECF">
            <w:pPr>
              <w:jc w:val="center"/>
              <w:rPr>
                <w:sz w:val="18"/>
                <w:szCs w:val="18"/>
              </w:rPr>
            </w:pPr>
            <w:r w:rsidRPr="00767831">
              <w:rPr>
                <w:sz w:val="18"/>
                <w:szCs w:val="18"/>
              </w:rPr>
              <w:t>83,1/88,6</w:t>
            </w:r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462B" w:rsidRPr="00767831" w:rsidRDefault="0087462B" w:rsidP="00BE6ECF">
            <w:pPr>
              <w:jc w:val="center"/>
              <w:rPr>
                <w:sz w:val="18"/>
                <w:szCs w:val="18"/>
              </w:rPr>
            </w:pPr>
            <w:r w:rsidRPr="00767831">
              <w:rPr>
                <w:sz w:val="18"/>
                <w:szCs w:val="18"/>
              </w:rPr>
              <w:t>239,7/250,6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462B" w:rsidRPr="00767831" w:rsidRDefault="0087462B" w:rsidP="00BE6ECF">
            <w:pPr>
              <w:jc w:val="center"/>
              <w:rPr>
                <w:sz w:val="18"/>
                <w:szCs w:val="18"/>
              </w:rPr>
            </w:pPr>
            <w:r w:rsidRPr="00767831">
              <w:rPr>
                <w:sz w:val="18"/>
                <w:szCs w:val="18"/>
              </w:rPr>
              <w:t>в 2,8 раза/в 2,8 раза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7462B" w:rsidRPr="00767831" w:rsidRDefault="0087462B" w:rsidP="00BE6ECF">
            <w:pPr>
              <w:jc w:val="center"/>
              <w:rPr>
                <w:sz w:val="18"/>
                <w:szCs w:val="18"/>
              </w:rPr>
            </w:pPr>
            <w:r w:rsidRPr="00767831">
              <w:rPr>
                <w:sz w:val="18"/>
                <w:szCs w:val="18"/>
              </w:rPr>
              <w:t>161,6/177,7</w:t>
            </w:r>
          </w:p>
        </w:tc>
      </w:tr>
      <w:tr w:rsidR="0087462B" w:rsidRPr="00086CEA" w:rsidTr="00BE6ECF">
        <w:tc>
          <w:tcPr>
            <w:tcW w:w="3369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87462B" w:rsidRPr="00767831" w:rsidRDefault="0087462B" w:rsidP="00BE6EC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</w:t>
            </w:r>
            <w:r w:rsidRPr="00767831">
              <w:rPr>
                <w:b/>
                <w:sz w:val="18"/>
                <w:szCs w:val="18"/>
              </w:rPr>
              <w:t xml:space="preserve">Итого 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7462B" w:rsidRPr="00767831" w:rsidRDefault="0087462B" w:rsidP="00BE6ECF">
            <w:pPr>
              <w:jc w:val="center"/>
              <w:rPr>
                <w:b/>
                <w:sz w:val="18"/>
                <w:szCs w:val="18"/>
              </w:rPr>
            </w:pPr>
            <w:r w:rsidRPr="00767831">
              <w:rPr>
                <w:b/>
                <w:sz w:val="18"/>
                <w:szCs w:val="18"/>
              </w:rPr>
              <w:t>1 897,9/2 054,2</w:t>
            </w:r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7462B" w:rsidRPr="00767831" w:rsidRDefault="0087462B" w:rsidP="00BE6ECF">
            <w:pPr>
              <w:jc w:val="center"/>
              <w:rPr>
                <w:b/>
                <w:sz w:val="18"/>
                <w:szCs w:val="18"/>
              </w:rPr>
            </w:pPr>
            <w:r w:rsidRPr="00767831">
              <w:rPr>
                <w:b/>
                <w:sz w:val="18"/>
                <w:szCs w:val="18"/>
              </w:rPr>
              <w:t>2 065,4/2 199,7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7462B" w:rsidRPr="00767831" w:rsidRDefault="0087462B" w:rsidP="00BE6ECF">
            <w:pPr>
              <w:jc w:val="center"/>
              <w:rPr>
                <w:b/>
                <w:sz w:val="18"/>
                <w:szCs w:val="18"/>
              </w:rPr>
            </w:pPr>
            <w:r w:rsidRPr="00767831">
              <w:rPr>
                <w:b/>
                <w:sz w:val="18"/>
                <w:szCs w:val="18"/>
              </w:rPr>
              <w:t>8,8/7,1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7462B" w:rsidRPr="00767831" w:rsidRDefault="0087462B" w:rsidP="00BE6ECF">
            <w:pPr>
              <w:jc w:val="center"/>
              <w:rPr>
                <w:b/>
                <w:sz w:val="18"/>
                <w:szCs w:val="18"/>
              </w:rPr>
            </w:pPr>
            <w:r w:rsidRPr="00767831">
              <w:rPr>
                <w:b/>
                <w:sz w:val="18"/>
                <w:szCs w:val="18"/>
              </w:rPr>
              <w:t>915,5/1 018,0</w:t>
            </w:r>
          </w:p>
        </w:tc>
      </w:tr>
    </w:tbl>
    <w:p w:rsidR="0087462B" w:rsidRDefault="0087462B" w:rsidP="0087462B">
      <w:pPr>
        <w:pStyle w:val="afa"/>
        <w:ind w:firstLine="680"/>
        <w:jc w:val="both"/>
        <w:rPr>
          <w:sz w:val="24"/>
          <w:szCs w:val="24"/>
        </w:rPr>
      </w:pPr>
      <w:r w:rsidRPr="00D0386B">
        <w:rPr>
          <w:sz w:val="24"/>
          <w:szCs w:val="24"/>
        </w:rPr>
        <w:lastRenderedPageBreak/>
        <w:t>За 2018 год количе</w:t>
      </w:r>
      <w:r>
        <w:rPr>
          <w:sz w:val="24"/>
          <w:szCs w:val="24"/>
        </w:rPr>
        <w:t xml:space="preserve">ство оказанных услуг </w:t>
      </w:r>
      <w:r w:rsidR="00C1025C">
        <w:rPr>
          <w:sz w:val="24"/>
          <w:szCs w:val="24"/>
        </w:rPr>
        <w:t xml:space="preserve">и </w:t>
      </w:r>
      <w:r>
        <w:rPr>
          <w:sz w:val="24"/>
          <w:szCs w:val="24"/>
        </w:rPr>
        <w:t xml:space="preserve">предоставленных консультаций  увеличилось по сравнению </w:t>
      </w:r>
      <w:r w:rsidRPr="00D0386B">
        <w:rPr>
          <w:sz w:val="24"/>
          <w:szCs w:val="24"/>
        </w:rPr>
        <w:t>с 2017 годом</w:t>
      </w:r>
      <w:r>
        <w:rPr>
          <w:sz w:val="24"/>
          <w:szCs w:val="24"/>
        </w:rPr>
        <w:t xml:space="preserve"> соответственно на 167,5 тыс.ед. (+8,8%) и 145,5 тыс.ед</w:t>
      </w:r>
      <w:r w:rsidRPr="00C71C0F">
        <w:rPr>
          <w:sz w:val="24"/>
          <w:szCs w:val="24"/>
        </w:rPr>
        <w:t>. (+7,1%)</w:t>
      </w:r>
      <w:r>
        <w:rPr>
          <w:sz w:val="24"/>
          <w:szCs w:val="24"/>
        </w:rPr>
        <w:t>. Н</w:t>
      </w:r>
      <w:r w:rsidRPr="00D0386B">
        <w:rPr>
          <w:sz w:val="24"/>
          <w:szCs w:val="24"/>
        </w:rPr>
        <w:t>аибольшее количество оказано по федеральн</w:t>
      </w:r>
      <w:r>
        <w:rPr>
          <w:sz w:val="24"/>
          <w:szCs w:val="24"/>
        </w:rPr>
        <w:t>ым услугам</w:t>
      </w:r>
      <w:r w:rsidR="00C1025C">
        <w:rPr>
          <w:sz w:val="24"/>
          <w:szCs w:val="24"/>
        </w:rPr>
        <w:t xml:space="preserve"> -</w:t>
      </w:r>
      <w:r>
        <w:rPr>
          <w:sz w:val="24"/>
          <w:szCs w:val="24"/>
        </w:rPr>
        <w:t xml:space="preserve"> соответственно 58,2</w:t>
      </w:r>
      <w:r w:rsidRPr="00D0386B">
        <w:rPr>
          <w:sz w:val="24"/>
          <w:szCs w:val="24"/>
        </w:rPr>
        <w:t>% и 61,1%</w:t>
      </w:r>
      <w:r>
        <w:rPr>
          <w:sz w:val="24"/>
          <w:szCs w:val="24"/>
        </w:rPr>
        <w:t xml:space="preserve"> </w:t>
      </w:r>
      <w:r w:rsidRPr="00D0386B">
        <w:rPr>
          <w:sz w:val="24"/>
          <w:szCs w:val="24"/>
        </w:rPr>
        <w:t>от общего</w:t>
      </w:r>
      <w:r>
        <w:rPr>
          <w:sz w:val="24"/>
          <w:szCs w:val="24"/>
        </w:rPr>
        <w:t xml:space="preserve"> объема оказанных услуг.</w:t>
      </w:r>
    </w:p>
    <w:p w:rsidR="0087462B" w:rsidRDefault="0087462B" w:rsidP="0087462B">
      <w:pPr>
        <w:pStyle w:val="afa"/>
        <w:ind w:firstLine="680"/>
        <w:jc w:val="both"/>
        <w:rPr>
          <w:color w:val="000000" w:themeColor="text1"/>
          <w:sz w:val="24"/>
          <w:szCs w:val="24"/>
        </w:rPr>
      </w:pPr>
      <w:r w:rsidRPr="009F6C21">
        <w:rPr>
          <w:sz w:val="24"/>
          <w:szCs w:val="24"/>
        </w:rPr>
        <w:t xml:space="preserve">За </w:t>
      </w:r>
      <w:r w:rsidRPr="009F6C21"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 xml:space="preserve"> </w:t>
      </w:r>
      <w:r w:rsidRPr="009F6C21">
        <w:rPr>
          <w:sz w:val="24"/>
          <w:szCs w:val="24"/>
        </w:rPr>
        <w:t>полугодие 2019 года оказано 44,5% от оказанных услуг в 2018 году и</w:t>
      </w:r>
      <w:r w:rsidR="00C1025C">
        <w:rPr>
          <w:sz w:val="24"/>
          <w:szCs w:val="24"/>
        </w:rPr>
        <w:t xml:space="preserve"> 46,3% от консультаций 2018 года</w:t>
      </w:r>
      <w:r w:rsidRPr="009F6C21">
        <w:rPr>
          <w:sz w:val="24"/>
          <w:szCs w:val="24"/>
        </w:rPr>
        <w:t xml:space="preserve">, т.е. наблюдается </w:t>
      </w:r>
      <w:r w:rsidR="00C1025C">
        <w:rPr>
          <w:sz w:val="24"/>
          <w:szCs w:val="24"/>
        </w:rPr>
        <w:t>их</w:t>
      </w:r>
      <w:r w:rsidR="00F169B4">
        <w:rPr>
          <w:sz w:val="24"/>
          <w:szCs w:val="24"/>
        </w:rPr>
        <w:t xml:space="preserve"> незначительное снижение</w:t>
      </w:r>
      <w:r w:rsidR="00C1025C">
        <w:rPr>
          <w:sz w:val="24"/>
          <w:szCs w:val="24"/>
        </w:rPr>
        <w:t xml:space="preserve">, </w:t>
      </w:r>
      <w:r w:rsidRPr="009F6C21">
        <w:rPr>
          <w:sz w:val="24"/>
          <w:szCs w:val="24"/>
        </w:rPr>
        <w:t xml:space="preserve">что обусловлено отменой </w:t>
      </w:r>
      <w:r w:rsidRPr="009F6C21">
        <w:rPr>
          <w:color w:val="000000" w:themeColor="text1"/>
          <w:sz w:val="24"/>
          <w:szCs w:val="24"/>
        </w:rPr>
        <w:t>муниципальной услуги «Предоставление выписки из домовой книги, карточки учета собственника жилого помещения» в соответствии с изменениями федерального законодательства, которая являлась наиболее массовой. </w:t>
      </w:r>
    </w:p>
    <w:p w:rsidR="00C1025C" w:rsidRDefault="00C1025C" w:rsidP="0087462B">
      <w:pPr>
        <w:ind w:firstLine="680"/>
        <w:jc w:val="both"/>
      </w:pPr>
    </w:p>
    <w:p w:rsidR="0087462B" w:rsidRDefault="0087462B" w:rsidP="0087462B">
      <w:pPr>
        <w:ind w:firstLine="680"/>
        <w:jc w:val="both"/>
      </w:pPr>
      <w:r w:rsidRPr="007258AF">
        <w:t>Согласно Подпрограмме другим приоритетным направлением в работе является открытие дополнительных «окон для бизнеса» в уже действующих МФЦ.</w:t>
      </w:r>
    </w:p>
    <w:p w:rsidR="0087462B" w:rsidRDefault="0087462B" w:rsidP="006006CE">
      <w:pPr>
        <w:ind w:firstLine="680"/>
        <w:jc w:val="both"/>
      </w:pPr>
      <w:r w:rsidRPr="00716686">
        <w:t xml:space="preserve">В 2017 году было открыто 17 </w:t>
      </w:r>
      <w:proofErr w:type="spellStart"/>
      <w:r w:rsidRPr="00716686">
        <w:t>бизнес-окон</w:t>
      </w:r>
      <w:proofErr w:type="spellEnd"/>
      <w:r w:rsidRPr="00716686">
        <w:t xml:space="preserve"> и 1 МФЦ для бизнеса </w:t>
      </w:r>
      <w:r>
        <w:t>(ф</w:t>
      </w:r>
      <w:r>
        <w:rPr>
          <w:color w:val="000000" w:themeColor="text1"/>
        </w:rPr>
        <w:t>илиал</w:t>
      </w:r>
      <w:r w:rsidRPr="00F13BF6">
        <w:rPr>
          <w:color w:val="000000" w:themeColor="text1"/>
        </w:rPr>
        <w:t xml:space="preserve"> по работе с </w:t>
      </w:r>
      <w:r w:rsidR="0030381A">
        <w:rPr>
          <w:color w:val="000000" w:themeColor="text1"/>
        </w:rPr>
        <w:t>юридическими лицами</w:t>
      </w:r>
      <w:r w:rsidRPr="00F13BF6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в </w:t>
      </w:r>
      <w:r w:rsidRPr="00F13BF6">
        <w:rPr>
          <w:color w:val="000000" w:themeColor="text1"/>
        </w:rPr>
        <w:t>г.Волжск</w:t>
      </w:r>
      <w:r>
        <w:rPr>
          <w:color w:val="000000" w:themeColor="text1"/>
        </w:rPr>
        <w:t>ий)</w:t>
      </w:r>
      <w:r w:rsidRPr="00716686">
        <w:t xml:space="preserve"> с 7 окнами обслуживания, в 2018 году количество </w:t>
      </w:r>
      <w:proofErr w:type="spellStart"/>
      <w:r w:rsidRPr="00716686">
        <w:t>бизнес-окон</w:t>
      </w:r>
      <w:proofErr w:type="spellEnd"/>
      <w:r w:rsidRPr="00716686">
        <w:t xml:space="preserve"> увеличилось до 25 ед</w:t>
      </w:r>
      <w:r w:rsidR="006006CE">
        <w:t>., п</w:t>
      </w:r>
      <w:r w:rsidRPr="00716686">
        <w:t xml:space="preserve">о состоянию на 01.09.2019 действуют 23 </w:t>
      </w:r>
      <w:proofErr w:type="spellStart"/>
      <w:r w:rsidRPr="00716686">
        <w:t>бизнес-окна</w:t>
      </w:r>
      <w:proofErr w:type="spellEnd"/>
      <w:r w:rsidR="006006CE">
        <w:t xml:space="preserve">. </w:t>
      </w:r>
      <w:proofErr w:type="spellStart"/>
      <w:r w:rsidRPr="00716686">
        <w:t>Бизнес-окна</w:t>
      </w:r>
      <w:proofErr w:type="spellEnd"/>
      <w:r w:rsidRPr="00716686">
        <w:t xml:space="preserve"> созданы на площадках</w:t>
      </w:r>
      <w:r>
        <w:t xml:space="preserve"> МФЦ</w:t>
      </w:r>
      <w:r w:rsidRPr="00716686">
        <w:t xml:space="preserve"> «Мои Документы»</w:t>
      </w:r>
      <w:r>
        <w:t xml:space="preserve">, ряда </w:t>
      </w:r>
      <w:r w:rsidRPr="00716686">
        <w:t xml:space="preserve">кредитных организаций </w:t>
      </w:r>
      <w:r>
        <w:t>(</w:t>
      </w:r>
      <w:r w:rsidRPr="00716686">
        <w:t xml:space="preserve">СБ РФ, ВТБ-24, </w:t>
      </w:r>
      <w:proofErr w:type="spellStart"/>
      <w:r w:rsidRPr="00716686">
        <w:t>Центр-инвест</w:t>
      </w:r>
      <w:proofErr w:type="spellEnd"/>
      <w:r w:rsidRPr="00716686">
        <w:t xml:space="preserve"> банк г.Михайловка, </w:t>
      </w:r>
      <w:proofErr w:type="spellStart"/>
      <w:r w:rsidRPr="00716686">
        <w:t>Россельхозбанк</w:t>
      </w:r>
      <w:proofErr w:type="spellEnd"/>
      <w:r w:rsidRPr="00716686">
        <w:t xml:space="preserve"> г.Новоаннинский</w:t>
      </w:r>
      <w:r>
        <w:t>)</w:t>
      </w:r>
      <w:r w:rsidRPr="00716686">
        <w:t xml:space="preserve">, а также в Волгоградской торгово-промышленной палате. </w:t>
      </w:r>
    </w:p>
    <w:p w:rsidR="006006CE" w:rsidRPr="008726FD" w:rsidRDefault="006006CE" w:rsidP="006006CE">
      <w:pPr>
        <w:pStyle w:val="afa"/>
        <w:ind w:firstLine="680"/>
        <w:jc w:val="both"/>
        <w:rPr>
          <w:rFonts w:eastAsiaTheme="minorHAnsi"/>
          <w:sz w:val="24"/>
          <w:szCs w:val="24"/>
          <w:lang w:eastAsia="en-US"/>
        </w:rPr>
      </w:pPr>
      <w:r w:rsidRPr="008726FD">
        <w:rPr>
          <w:sz w:val="24"/>
          <w:szCs w:val="24"/>
        </w:rPr>
        <w:t>Созданные бизнес окна позволяют представителям</w:t>
      </w:r>
      <w:r w:rsidR="0030381A">
        <w:rPr>
          <w:sz w:val="24"/>
          <w:szCs w:val="24"/>
        </w:rPr>
        <w:t xml:space="preserve"> малого и среднего предпринимательства </w:t>
      </w:r>
      <w:r w:rsidRPr="008726FD">
        <w:rPr>
          <w:sz w:val="24"/>
          <w:szCs w:val="24"/>
        </w:rPr>
        <w:t xml:space="preserve">получить комплекс государственных, муниципальных и дополнительных услуг (разработка </w:t>
      </w:r>
      <w:r w:rsidRPr="00085E43">
        <w:rPr>
          <w:rFonts w:eastAsiaTheme="minorHAnsi"/>
          <w:sz w:val="24"/>
          <w:szCs w:val="24"/>
          <w:lang w:eastAsia="en-US"/>
        </w:rPr>
        <w:t>индивидуального пр</w:t>
      </w:r>
      <w:r w:rsidRPr="008726FD">
        <w:rPr>
          <w:rFonts w:eastAsiaTheme="minorHAnsi"/>
          <w:sz w:val="24"/>
          <w:szCs w:val="24"/>
          <w:lang w:eastAsia="en-US"/>
        </w:rPr>
        <w:t>оекта устава для ЮЛ, с</w:t>
      </w:r>
      <w:r w:rsidRPr="00085E43">
        <w:rPr>
          <w:rFonts w:eastAsiaTheme="minorHAnsi"/>
          <w:sz w:val="24"/>
          <w:szCs w:val="24"/>
          <w:lang w:eastAsia="en-US"/>
        </w:rPr>
        <w:t>оставление договора, связанного с недвижимостью</w:t>
      </w:r>
      <w:r w:rsidRPr="008726FD">
        <w:rPr>
          <w:rFonts w:eastAsiaTheme="minorHAnsi"/>
          <w:sz w:val="24"/>
          <w:szCs w:val="24"/>
          <w:lang w:eastAsia="en-US"/>
        </w:rPr>
        <w:t>, заключение договоров для составления отчетов об оценке имущества, прием заявлений на открытие расчетного счета и др.).</w:t>
      </w:r>
    </w:p>
    <w:p w:rsidR="0087462B" w:rsidRPr="00716686" w:rsidRDefault="0087462B" w:rsidP="006006CE">
      <w:pPr>
        <w:pStyle w:val="afa"/>
        <w:ind w:firstLine="680"/>
        <w:jc w:val="both"/>
      </w:pPr>
      <w:r w:rsidRPr="00BE7130">
        <w:rPr>
          <w:sz w:val="24"/>
          <w:szCs w:val="24"/>
        </w:rPr>
        <w:t xml:space="preserve">За период с 01.01.2019 по 01.09.2019 количество обращений в </w:t>
      </w:r>
      <w:proofErr w:type="spellStart"/>
      <w:r w:rsidRPr="00BE7130">
        <w:rPr>
          <w:sz w:val="24"/>
          <w:szCs w:val="24"/>
        </w:rPr>
        <w:t>бизнес</w:t>
      </w:r>
      <w:r>
        <w:rPr>
          <w:sz w:val="24"/>
          <w:szCs w:val="24"/>
        </w:rPr>
        <w:t>-</w:t>
      </w:r>
      <w:r w:rsidRPr="00BE7130">
        <w:rPr>
          <w:sz w:val="24"/>
          <w:szCs w:val="24"/>
        </w:rPr>
        <w:t>окна</w:t>
      </w:r>
      <w:proofErr w:type="spellEnd"/>
      <w:r w:rsidRPr="00BE7130">
        <w:rPr>
          <w:sz w:val="24"/>
          <w:szCs w:val="24"/>
        </w:rPr>
        <w:t xml:space="preserve"> и МФЦ для бизнеса составило более 103,5 тыс. ед.</w:t>
      </w:r>
      <w:r>
        <w:rPr>
          <w:sz w:val="24"/>
          <w:szCs w:val="24"/>
        </w:rPr>
        <w:t xml:space="preserve"> (</w:t>
      </w:r>
      <w:r w:rsidRPr="00BE7130">
        <w:rPr>
          <w:sz w:val="24"/>
          <w:szCs w:val="24"/>
        </w:rPr>
        <w:t xml:space="preserve">за аналогичный период 2018 года </w:t>
      </w:r>
      <w:r>
        <w:rPr>
          <w:sz w:val="24"/>
          <w:szCs w:val="24"/>
        </w:rPr>
        <w:t>-</w:t>
      </w:r>
      <w:r w:rsidRPr="00BE7130">
        <w:rPr>
          <w:sz w:val="24"/>
          <w:szCs w:val="24"/>
        </w:rPr>
        <w:t xml:space="preserve"> более 86,4 тыс. ед.</w:t>
      </w:r>
      <w:r>
        <w:rPr>
          <w:sz w:val="24"/>
          <w:szCs w:val="24"/>
        </w:rPr>
        <w:t>).</w:t>
      </w:r>
      <w:r w:rsidR="006006CE">
        <w:rPr>
          <w:sz w:val="24"/>
          <w:szCs w:val="24"/>
        </w:rPr>
        <w:t xml:space="preserve"> </w:t>
      </w:r>
      <w:r w:rsidRPr="006006CE">
        <w:rPr>
          <w:sz w:val="24"/>
          <w:szCs w:val="24"/>
        </w:rPr>
        <w:t xml:space="preserve">Количество услуг, оказанных </w:t>
      </w:r>
      <w:proofErr w:type="spellStart"/>
      <w:r w:rsidRPr="006006CE">
        <w:rPr>
          <w:sz w:val="24"/>
          <w:szCs w:val="24"/>
        </w:rPr>
        <w:t>бизнес-окнами</w:t>
      </w:r>
      <w:proofErr w:type="spellEnd"/>
      <w:r w:rsidRPr="006006CE">
        <w:rPr>
          <w:sz w:val="24"/>
          <w:szCs w:val="24"/>
        </w:rPr>
        <w:t>, в 2017 году составило 29,5 тыс. ед., в 2018 году увеличилось до 68,3 тыс. ед. (в 2,3 раза), за 9 месяцев 2019 года - 58,9 тыс. ед</w:t>
      </w:r>
      <w:r w:rsidR="00F169B4">
        <w:rPr>
          <w:sz w:val="24"/>
          <w:szCs w:val="24"/>
        </w:rPr>
        <w:t>иниц.</w:t>
      </w:r>
    </w:p>
    <w:p w:rsidR="00950CB5" w:rsidRDefault="00950CB5" w:rsidP="003B70BD">
      <w:pPr>
        <w:autoSpaceDE w:val="0"/>
        <w:autoSpaceDN w:val="0"/>
        <w:adjustRightInd w:val="0"/>
        <w:ind w:firstLine="680"/>
        <w:jc w:val="both"/>
        <w:rPr>
          <w:rFonts w:eastAsiaTheme="minorHAnsi"/>
          <w:lang w:eastAsia="en-US"/>
        </w:rPr>
      </w:pPr>
    </w:p>
    <w:p w:rsidR="00212DC0" w:rsidRPr="009C25FA" w:rsidRDefault="00212DC0" w:rsidP="00212DC0">
      <w:pPr>
        <w:autoSpaceDE w:val="0"/>
        <w:autoSpaceDN w:val="0"/>
        <w:adjustRightInd w:val="0"/>
        <w:ind w:firstLine="709"/>
        <w:jc w:val="center"/>
        <w:rPr>
          <w:rFonts w:eastAsia="Times New Roman"/>
          <w:b/>
        </w:rPr>
      </w:pPr>
      <w:r>
        <w:rPr>
          <w:rFonts w:eastAsia="Times New Roman"/>
          <w:b/>
        </w:rPr>
        <w:t xml:space="preserve">Использование </w:t>
      </w:r>
      <w:r w:rsidRPr="008A7CB2">
        <w:rPr>
          <w:rFonts w:eastAsia="Times New Roman"/>
          <w:b/>
        </w:rPr>
        <w:t xml:space="preserve">ГКУ </w:t>
      </w:r>
      <w:r w:rsidRPr="008A7CB2">
        <w:rPr>
          <w:b/>
        </w:rPr>
        <w:t>«МФЦ»</w:t>
      </w:r>
      <w:r w:rsidRPr="006235DE">
        <w:rPr>
          <w:color w:val="000000"/>
        </w:rPr>
        <w:t xml:space="preserve"> </w:t>
      </w:r>
      <w:r w:rsidRPr="009C25FA">
        <w:rPr>
          <w:b/>
          <w:color w:val="000000"/>
        </w:rPr>
        <w:t>информационных систем</w:t>
      </w:r>
    </w:p>
    <w:p w:rsidR="00212DC0" w:rsidRDefault="00212DC0" w:rsidP="00212DC0">
      <w:pPr>
        <w:pStyle w:val="ConsPlusNormal"/>
        <w:ind w:firstLine="680"/>
        <w:jc w:val="both"/>
        <w:rPr>
          <w:rFonts w:ascii="Times New Roman" w:hAnsi="Times New Roman" w:cs="Times New Roman"/>
          <w:sz w:val="24"/>
          <w:szCs w:val="24"/>
          <w:highlight w:val="cyan"/>
        </w:rPr>
      </w:pPr>
      <w:r w:rsidRPr="00FF7368">
        <w:rPr>
          <w:rFonts w:ascii="Times New Roman" w:hAnsi="Times New Roman" w:cs="Times New Roman"/>
          <w:sz w:val="24"/>
          <w:szCs w:val="24"/>
        </w:rPr>
        <w:t xml:space="preserve">Всего на момент настоящей проверки в </w:t>
      </w:r>
      <w:r w:rsidRPr="002A4214">
        <w:rPr>
          <w:rFonts w:ascii="Times New Roman" w:hAnsi="Times New Roman" w:cs="Times New Roman"/>
          <w:sz w:val="24"/>
          <w:szCs w:val="24"/>
        </w:rPr>
        <w:t>ГКУ «МФЦ»</w:t>
      </w:r>
      <w:r w:rsidRPr="002A42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F7368">
        <w:rPr>
          <w:rFonts w:ascii="Times New Roman" w:hAnsi="Times New Roman" w:cs="Times New Roman"/>
          <w:sz w:val="24"/>
          <w:szCs w:val="24"/>
        </w:rPr>
        <w:t>для предоставления государственных и мун</w:t>
      </w:r>
      <w:r>
        <w:rPr>
          <w:rFonts w:ascii="Times New Roman" w:hAnsi="Times New Roman" w:cs="Times New Roman"/>
          <w:sz w:val="24"/>
          <w:szCs w:val="24"/>
        </w:rPr>
        <w:t xml:space="preserve">иципальных услуг используется </w:t>
      </w:r>
      <w:r w:rsidRPr="00FF7368">
        <w:rPr>
          <w:rFonts w:ascii="Times New Roman" w:hAnsi="Times New Roman" w:cs="Times New Roman"/>
          <w:sz w:val="24"/>
          <w:szCs w:val="24"/>
        </w:rPr>
        <w:t>8 информационных систем, в т</w:t>
      </w:r>
      <w:r>
        <w:rPr>
          <w:rFonts w:ascii="Times New Roman" w:hAnsi="Times New Roman" w:cs="Times New Roman"/>
          <w:sz w:val="24"/>
          <w:szCs w:val="24"/>
        </w:rPr>
        <w:t>.ч.</w:t>
      </w:r>
      <w:r w:rsidRPr="00FF7368">
        <w:rPr>
          <w:rFonts w:ascii="Times New Roman" w:hAnsi="Times New Roman" w:cs="Times New Roman"/>
          <w:sz w:val="24"/>
          <w:szCs w:val="24"/>
        </w:rPr>
        <w:t xml:space="preserve"> предоставляемых федеральными органами и организациями. </w:t>
      </w:r>
    </w:p>
    <w:p w:rsidR="00212DC0" w:rsidRPr="00311882" w:rsidRDefault="00212DC0" w:rsidP="00212DC0">
      <w:pPr>
        <w:pStyle w:val="ConsPlusNormal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EA08AA">
        <w:rPr>
          <w:rFonts w:ascii="Times New Roman" w:hAnsi="Times New Roman" w:cs="Times New Roman"/>
          <w:sz w:val="24"/>
          <w:szCs w:val="24"/>
        </w:rPr>
        <w:t>Пунктом 21 Правил № 1376 предусмотрены определенные требования к  автоматизированной информационной системе МФЦ</w:t>
      </w:r>
      <w:r w:rsidR="00D01791" w:rsidRPr="00EA08AA">
        <w:rPr>
          <w:rFonts w:ascii="Times New Roman" w:hAnsi="Times New Roman" w:cs="Times New Roman"/>
          <w:sz w:val="24"/>
          <w:szCs w:val="24"/>
        </w:rPr>
        <w:t>, из</w:t>
      </w:r>
      <w:r w:rsidRPr="00EA08AA">
        <w:rPr>
          <w:rFonts w:ascii="Times New Roman" w:hAnsi="Times New Roman" w:cs="Times New Roman"/>
          <w:sz w:val="24"/>
          <w:szCs w:val="24"/>
        </w:rPr>
        <w:t xml:space="preserve"> 21 требования к информационной системе выполнены в полном объеме 18.</w:t>
      </w:r>
    </w:p>
    <w:p w:rsidR="00D01791" w:rsidRPr="00FD5646" w:rsidRDefault="00212DC0" w:rsidP="00D01791">
      <w:pPr>
        <w:autoSpaceDE w:val="0"/>
        <w:autoSpaceDN w:val="0"/>
        <w:adjustRightInd w:val="0"/>
        <w:ind w:firstLine="680"/>
        <w:jc w:val="both"/>
        <w:rPr>
          <w:i/>
        </w:rPr>
      </w:pPr>
      <w:r w:rsidRPr="00311882">
        <w:t>Не выполнено требование п.п.</w:t>
      </w:r>
      <w:r w:rsidR="00357B0D">
        <w:t xml:space="preserve"> в</w:t>
      </w:r>
      <w:r w:rsidR="00D01791">
        <w:t>(1</w:t>
      </w:r>
      <w:r w:rsidR="00D01791" w:rsidRPr="00D435DA">
        <w:t>)) п.21 П</w:t>
      </w:r>
      <w:r w:rsidR="00EC5026" w:rsidRPr="00D435DA">
        <w:t>равил</w:t>
      </w:r>
      <w:r w:rsidR="00D01791">
        <w:t xml:space="preserve"> №1376</w:t>
      </w:r>
      <w:r w:rsidRPr="00311882">
        <w:t xml:space="preserve"> </w:t>
      </w:r>
      <w:r w:rsidRPr="00DF18A5">
        <w:rPr>
          <w:i/>
        </w:rPr>
        <w:t>по интеграции с Един</w:t>
      </w:r>
      <w:r w:rsidR="00D01791">
        <w:rPr>
          <w:i/>
        </w:rPr>
        <w:t>ым</w:t>
      </w:r>
      <w:r w:rsidRPr="00DF18A5">
        <w:rPr>
          <w:i/>
        </w:rPr>
        <w:t xml:space="preserve"> портал</w:t>
      </w:r>
      <w:r w:rsidR="00D01791">
        <w:rPr>
          <w:i/>
        </w:rPr>
        <w:t xml:space="preserve">ом </w:t>
      </w:r>
      <w:r w:rsidRPr="00DF18A5">
        <w:rPr>
          <w:i/>
        </w:rPr>
        <w:t>государственных и муниципальных услуг</w:t>
      </w:r>
      <w:r w:rsidR="00702BDE">
        <w:rPr>
          <w:i/>
        </w:rPr>
        <w:t xml:space="preserve">, </w:t>
      </w:r>
      <w:r w:rsidRPr="00DF18A5">
        <w:rPr>
          <w:i/>
        </w:rPr>
        <w:t>функций</w:t>
      </w:r>
      <w:r w:rsidRPr="00311882">
        <w:t xml:space="preserve"> </w:t>
      </w:r>
      <w:r w:rsidR="00702BDE">
        <w:t xml:space="preserve">(далее – ЕПГУ) </w:t>
      </w:r>
      <w:r w:rsidR="00D01791" w:rsidRPr="00DB78FA">
        <w:t>в части передачи в систему МФЦ заявлений в электронной форме, поданных с</w:t>
      </w:r>
      <w:r w:rsidR="00D01791" w:rsidRPr="00311882">
        <w:t xml:space="preserve"> использованием Единого портала государственных и муниципальных услуг (функций), и обеспечения возможности для заявителя записаться на прием в </w:t>
      </w:r>
      <w:r w:rsidR="00D01791">
        <w:t>МФЦ</w:t>
      </w:r>
      <w:r w:rsidR="00D01791" w:rsidRPr="00311882">
        <w:t xml:space="preserve"> при подаче такого заявления</w:t>
      </w:r>
      <w:r w:rsidR="00D01791">
        <w:t>.</w:t>
      </w:r>
    </w:p>
    <w:p w:rsidR="00212DC0" w:rsidRPr="00702BDE" w:rsidRDefault="00212DC0" w:rsidP="00212DC0">
      <w:pPr>
        <w:pStyle w:val="ConsPlusNormal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C25FA">
        <w:rPr>
          <w:rFonts w:ascii="Times New Roman" w:hAnsi="Times New Roman" w:cs="Times New Roman"/>
          <w:sz w:val="24"/>
          <w:szCs w:val="24"/>
        </w:rPr>
        <w:t xml:space="preserve">По указанному вопросу </w:t>
      </w:r>
      <w:r w:rsidRPr="00702BDE">
        <w:rPr>
          <w:rFonts w:ascii="Times New Roman" w:hAnsi="Times New Roman" w:cs="Times New Roman"/>
          <w:sz w:val="24"/>
          <w:szCs w:val="24"/>
        </w:rPr>
        <w:t xml:space="preserve">КСП направлен запрос в </w:t>
      </w:r>
      <w:r w:rsidR="00223B80" w:rsidRPr="001C53C1">
        <w:rPr>
          <w:rFonts w:ascii="Times New Roman" w:hAnsi="Times New Roman" w:cs="Times New Roman"/>
          <w:sz w:val="24"/>
          <w:szCs w:val="24"/>
        </w:rPr>
        <w:t xml:space="preserve">комитет информационных технологий Волгоградской области (далее - </w:t>
      </w:r>
      <w:proofErr w:type="spellStart"/>
      <w:r w:rsidR="00223B80" w:rsidRPr="001C53C1">
        <w:rPr>
          <w:rFonts w:ascii="Times New Roman" w:hAnsi="Times New Roman" w:cs="Times New Roman"/>
          <w:sz w:val="24"/>
          <w:szCs w:val="24"/>
        </w:rPr>
        <w:t>Облкоминформтехнологии</w:t>
      </w:r>
      <w:proofErr w:type="spellEnd"/>
      <w:r w:rsidR="00223B80" w:rsidRPr="001C53C1">
        <w:rPr>
          <w:rFonts w:ascii="Times New Roman" w:hAnsi="Times New Roman" w:cs="Times New Roman"/>
          <w:sz w:val="24"/>
          <w:szCs w:val="24"/>
        </w:rPr>
        <w:t>)</w:t>
      </w:r>
      <w:r w:rsidRPr="00702BDE">
        <w:rPr>
          <w:rFonts w:ascii="Times New Roman" w:hAnsi="Times New Roman" w:cs="Times New Roman"/>
          <w:sz w:val="24"/>
          <w:szCs w:val="24"/>
        </w:rPr>
        <w:t>, в ответ на котор</w:t>
      </w:r>
      <w:r w:rsidR="008E2C8E">
        <w:rPr>
          <w:rFonts w:ascii="Times New Roman" w:hAnsi="Times New Roman" w:cs="Times New Roman"/>
          <w:sz w:val="24"/>
          <w:szCs w:val="24"/>
        </w:rPr>
        <w:t xml:space="preserve">ый </w:t>
      </w:r>
      <w:r w:rsidRPr="00702BDE">
        <w:rPr>
          <w:rFonts w:ascii="Times New Roman" w:hAnsi="Times New Roman" w:cs="Times New Roman"/>
          <w:sz w:val="24"/>
          <w:szCs w:val="24"/>
        </w:rPr>
        <w:t>сообщено</w:t>
      </w:r>
      <w:r w:rsidR="00702BDE" w:rsidRPr="00702BDE">
        <w:rPr>
          <w:rFonts w:ascii="Times New Roman" w:hAnsi="Times New Roman" w:cs="Times New Roman"/>
          <w:sz w:val="24"/>
          <w:szCs w:val="24"/>
        </w:rPr>
        <w:t xml:space="preserve"> (письмо от 29.11.2019 № 22-08-06/4306)</w:t>
      </w:r>
      <w:r w:rsidR="00153945" w:rsidRPr="00702BDE">
        <w:rPr>
          <w:rFonts w:ascii="Times New Roman" w:hAnsi="Times New Roman" w:cs="Times New Roman"/>
          <w:sz w:val="24"/>
          <w:szCs w:val="24"/>
        </w:rPr>
        <w:t xml:space="preserve">, что </w:t>
      </w:r>
      <w:r w:rsidR="00702BDE" w:rsidRPr="00702BDE">
        <w:rPr>
          <w:rFonts w:ascii="Times New Roman" w:hAnsi="Times New Roman" w:cs="Times New Roman"/>
          <w:sz w:val="24"/>
          <w:szCs w:val="24"/>
        </w:rPr>
        <w:t xml:space="preserve">необходимость интеграции </w:t>
      </w:r>
      <w:r w:rsidR="008E2C8E" w:rsidRPr="001C53C1">
        <w:rPr>
          <w:rFonts w:ascii="Times New Roman" w:hAnsi="Times New Roman" w:cs="Times New Roman"/>
          <w:sz w:val="24"/>
          <w:szCs w:val="24"/>
        </w:rPr>
        <w:t>государственной информационной системы «Контроль исполнения административных регламентов предоставления государственных и муниципальных услуг Волгоградской</w:t>
      </w:r>
      <w:r w:rsidR="008E2C8E" w:rsidRPr="00BF7094">
        <w:rPr>
          <w:rFonts w:ascii="Times New Roman" w:hAnsi="Times New Roman" w:cs="Times New Roman"/>
          <w:sz w:val="24"/>
          <w:szCs w:val="24"/>
        </w:rPr>
        <w:t xml:space="preserve"> области» (далее</w:t>
      </w:r>
      <w:r w:rsidR="008E2C8E">
        <w:rPr>
          <w:rFonts w:ascii="Times New Roman" w:hAnsi="Times New Roman" w:cs="Times New Roman"/>
          <w:sz w:val="24"/>
          <w:szCs w:val="24"/>
        </w:rPr>
        <w:t xml:space="preserve"> -</w:t>
      </w:r>
      <w:r w:rsidR="008E2C8E" w:rsidRPr="00BF709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E2C8E" w:rsidRPr="00BF7094">
        <w:rPr>
          <w:rFonts w:ascii="Times New Roman" w:hAnsi="Times New Roman" w:cs="Times New Roman"/>
          <w:sz w:val="24"/>
          <w:szCs w:val="24"/>
        </w:rPr>
        <w:t>ГИС КИАР)</w:t>
      </w:r>
      <w:r w:rsidR="008E2C8E">
        <w:rPr>
          <w:rFonts w:ascii="Times New Roman" w:hAnsi="Times New Roman" w:cs="Times New Roman"/>
          <w:sz w:val="24"/>
          <w:szCs w:val="24"/>
        </w:rPr>
        <w:t xml:space="preserve"> с</w:t>
      </w:r>
      <w:r w:rsidR="00702BDE" w:rsidRPr="00702BDE">
        <w:rPr>
          <w:rFonts w:ascii="Times New Roman" w:hAnsi="Times New Roman" w:cs="Times New Roman"/>
          <w:sz w:val="24"/>
          <w:szCs w:val="24"/>
        </w:rPr>
        <w:t xml:space="preserve"> Е</w:t>
      </w:r>
      <w:r w:rsidR="008E2C8E">
        <w:rPr>
          <w:rFonts w:ascii="Times New Roman" w:hAnsi="Times New Roman" w:cs="Times New Roman"/>
          <w:sz w:val="24"/>
          <w:szCs w:val="24"/>
        </w:rPr>
        <w:t>П</w:t>
      </w:r>
      <w:r w:rsidR="00702BDE" w:rsidRPr="00702BDE">
        <w:rPr>
          <w:rFonts w:ascii="Times New Roman" w:hAnsi="Times New Roman" w:cs="Times New Roman"/>
          <w:sz w:val="24"/>
          <w:szCs w:val="24"/>
        </w:rPr>
        <w:t>ГУ в части обеспечения возможности для заявителя записаться на прием в МФЦ учтена в проекте технического задания на выполнение работ по сопровождению и развитию ГИС КИАР в 2020 году</w:t>
      </w:r>
      <w:r w:rsidR="0047160C">
        <w:rPr>
          <w:rFonts w:ascii="Times New Roman" w:hAnsi="Times New Roman" w:cs="Times New Roman"/>
          <w:sz w:val="24"/>
          <w:szCs w:val="24"/>
        </w:rPr>
        <w:t xml:space="preserve"> (</w:t>
      </w:r>
      <w:r w:rsidR="00702BDE" w:rsidRPr="00702BDE">
        <w:rPr>
          <w:rFonts w:ascii="Times New Roman" w:hAnsi="Times New Roman" w:cs="Times New Roman"/>
          <w:sz w:val="24"/>
          <w:szCs w:val="24"/>
        </w:rPr>
        <w:t>приблизительная стоимость доработки - 700 тыс. руб.), возможность интеграции в части передачи в ГИС КИАР заявлений на оказание услуг в электронной форме, поданных с использование</w:t>
      </w:r>
      <w:r w:rsidR="0047160C">
        <w:rPr>
          <w:rFonts w:ascii="Times New Roman" w:hAnsi="Times New Roman" w:cs="Times New Roman"/>
          <w:sz w:val="24"/>
          <w:szCs w:val="24"/>
        </w:rPr>
        <w:t>м</w:t>
      </w:r>
      <w:r w:rsidR="00702BDE" w:rsidRPr="00702BDE">
        <w:rPr>
          <w:rFonts w:ascii="Times New Roman" w:hAnsi="Times New Roman" w:cs="Times New Roman"/>
          <w:sz w:val="24"/>
          <w:szCs w:val="24"/>
        </w:rPr>
        <w:t xml:space="preserve"> Е</w:t>
      </w:r>
      <w:r w:rsidR="008E2C8E">
        <w:rPr>
          <w:rFonts w:ascii="Times New Roman" w:hAnsi="Times New Roman" w:cs="Times New Roman"/>
          <w:sz w:val="24"/>
          <w:szCs w:val="24"/>
        </w:rPr>
        <w:t>ПГ</w:t>
      </w:r>
      <w:r w:rsidR="00702BDE" w:rsidRPr="00702BDE">
        <w:rPr>
          <w:rFonts w:ascii="Times New Roman" w:hAnsi="Times New Roman" w:cs="Times New Roman"/>
          <w:sz w:val="24"/>
          <w:szCs w:val="24"/>
        </w:rPr>
        <w:t>У, в настоящее время прорабатывается подрядчиком по текущему контракту (стоимость реализации необходимой для этого функциональности предварительно оценена в 500 тыс. руб.).</w:t>
      </w:r>
    </w:p>
    <w:p w:rsidR="00212DC0" w:rsidRPr="00311882" w:rsidRDefault="00212DC0" w:rsidP="00212DC0">
      <w:pPr>
        <w:pStyle w:val="ConsPlusNormal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702BDE">
        <w:rPr>
          <w:rFonts w:ascii="Times New Roman" w:hAnsi="Times New Roman" w:cs="Times New Roman"/>
          <w:sz w:val="24"/>
          <w:szCs w:val="24"/>
        </w:rPr>
        <w:t>Выполнение 2-х других подпунктов т) и у) п.21 Правил №1376 связано с подготовкой</w:t>
      </w:r>
      <w:r w:rsidRPr="00311882">
        <w:rPr>
          <w:rFonts w:ascii="Times New Roman" w:hAnsi="Times New Roman" w:cs="Times New Roman"/>
          <w:sz w:val="24"/>
          <w:szCs w:val="24"/>
        </w:rPr>
        <w:t xml:space="preserve"> информационной системы</w:t>
      </w:r>
      <w:r w:rsidRPr="00311882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B77051">
        <w:rPr>
          <w:rFonts w:ascii="Times New Roman" w:hAnsi="Times New Roman" w:cs="Times New Roman"/>
          <w:i/>
          <w:sz w:val="24"/>
          <w:szCs w:val="24"/>
        </w:rPr>
        <w:t>для составления и регистрации актов гражданского состояния</w:t>
      </w:r>
      <w:r w:rsidRPr="00311882">
        <w:rPr>
          <w:rFonts w:ascii="Times New Roman" w:hAnsi="Times New Roman" w:cs="Times New Roman"/>
          <w:sz w:val="24"/>
          <w:szCs w:val="24"/>
        </w:rPr>
        <w:t xml:space="preserve">, </w:t>
      </w:r>
      <w:r w:rsidRPr="00311882">
        <w:rPr>
          <w:rFonts w:ascii="Times New Roman" w:hAnsi="Times New Roman" w:cs="Times New Roman"/>
          <w:sz w:val="24"/>
          <w:szCs w:val="24"/>
        </w:rPr>
        <w:lastRenderedPageBreak/>
        <w:t xml:space="preserve">совершения иных юридически значимых действий, для осуществления которых </w:t>
      </w:r>
      <w:r w:rsidRPr="002A4214">
        <w:rPr>
          <w:rFonts w:ascii="Times New Roman" w:hAnsi="Times New Roman" w:cs="Times New Roman"/>
          <w:sz w:val="24"/>
          <w:szCs w:val="24"/>
        </w:rPr>
        <w:t>ГКУ «МФЦ»</w:t>
      </w:r>
      <w:r w:rsidRPr="002A42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1882">
        <w:rPr>
          <w:rFonts w:ascii="Times New Roman" w:hAnsi="Times New Roman" w:cs="Times New Roman"/>
          <w:sz w:val="24"/>
          <w:szCs w:val="24"/>
        </w:rPr>
        <w:t>необходим доступ к федеральной информационной системе (в части обмена информацией).</w:t>
      </w:r>
    </w:p>
    <w:p w:rsidR="00212DC0" w:rsidRDefault="00212DC0" w:rsidP="00212DC0">
      <w:pPr>
        <w:pStyle w:val="ConsPlusNormal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11882">
        <w:rPr>
          <w:rFonts w:ascii="Times New Roman" w:hAnsi="Times New Roman" w:cs="Times New Roman"/>
          <w:sz w:val="24"/>
          <w:szCs w:val="24"/>
        </w:rPr>
        <w:t>Выполнение указанных требований предусмотрено в случае принятия уполномоченным исполнительным органом государственной власти субъекта РФ решения об интеграции с указанными системами</w:t>
      </w:r>
      <w:r>
        <w:rPr>
          <w:rFonts w:ascii="Times New Roman" w:hAnsi="Times New Roman" w:cs="Times New Roman"/>
          <w:sz w:val="24"/>
          <w:szCs w:val="24"/>
        </w:rPr>
        <w:t>, которое д</w:t>
      </w:r>
      <w:r w:rsidRPr="00311882">
        <w:rPr>
          <w:rFonts w:ascii="Times New Roman" w:hAnsi="Times New Roman" w:cs="Times New Roman"/>
          <w:sz w:val="24"/>
          <w:szCs w:val="24"/>
        </w:rPr>
        <w:t>о настоящего времени</w:t>
      </w:r>
      <w:r w:rsidRPr="00B77051">
        <w:rPr>
          <w:rFonts w:ascii="Times New Roman" w:hAnsi="Times New Roman" w:cs="Times New Roman"/>
          <w:sz w:val="24"/>
          <w:szCs w:val="24"/>
        </w:rPr>
        <w:t xml:space="preserve"> </w:t>
      </w:r>
      <w:r w:rsidRPr="00311882">
        <w:rPr>
          <w:rFonts w:ascii="Times New Roman" w:hAnsi="Times New Roman" w:cs="Times New Roman"/>
          <w:sz w:val="24"/>
          <w:szCs w:val="24"/>
        </w:rPr>
        <w:t>не принято</w:t>
      </w:r>
      <w:r>
        <w:rPr>
          <w:rFonts w:ascii="Times New Roman" w:hAnsi="Times New Roman" w:cs="Times New Roman"/>
          <w:sz w:val="24"/>
          <w:szCs w:val="24"/>
        </w:rPr>
        <w:t xml:space="preserve"> в связи </w:t>
      </w:r>
      <w:r w:rsidRPr="003118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потребностью в </w:t>
      </w:r>
      <w:r w:rsidR="00D01791">
        <w:rPr>
          <w:rFonts w:ascii="Times New Roman" w:hAnsi="Times New Roman" w:cs="Times New Roman"/>
          <w:sz w:val="24"/>
          <w:szCs w:val="24"/>
        </w:rPr>
        <w:t>денежных средствах</w:t>
      </w:r>
      <w:r>
        <w:rPr>
          <w:rFonts w:ascii="Times New Roman" w:hAnsi="Times New Roman" w:cs="Times New Roman"/>
          <w:sz w:val="24"/>
          <w:szCs w:val="24"/>
        </w:rPr>
        <w:t xml:space="preserve">, которые </w:t>
      </w:r>
      <w:r w:rsidRPr="008B5109">
        <w:rPr>
          <w:rFonts w:ascii="Times New Roman" w:hAnsi="Times New Roman" w:cs="Times New Roman"/>
          <w:sz w:val="24"/>
          <w:szCs w:val="24"/>
        </w:rPr>
        <w:t xml:space="preserve">по оценке </w:t>
      </w:r>
      <w:proofErr w:type="spellStart"/>
      <w:r w:rsidRPr="008B5109">
        <w:rPr>
          <w:rFonts w:ascii="Times New Roman" w:hAnsi="Times New Roman" w:cs="Times New Roman"/>
          <w:sz w:val="24"/>
          <w:szCs w:val="24"/>
        </w:rPr>
        <w:t>Облкомэкономразвития</w:t>
      </w:r>
      <w:proofErr w:type="spellEnd"/>
      <w:r w:rsidRPr="008B51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01791">
        <w:rPr>
          <w:rFonts w:ascii="Times New Roman" w:hAnsi="Times New Roman" w:cs="Times New Roman"/>
          <w:sz w:val="24"/>
          <w:szCs w:val="24"/>
        </w:rPr>
        <w:t>состав</w:t>
      </w:r>
      <w:r w:rsidR="00D01791">
        <w:rPr>
          <w:rFonts w:ascii="Times New Roman" w:hAnsi="Times New Roman" w:cs="Times New Roman"/>
          <w:sz w:val="24"/>
          <w:szCs w:val="24"/>
        </w:rPr>
        <w:t>ят</w:t>
      </w:r>
      <w:r w:rsidRPr="00D01791">
        <w:rPr>
          <w:rFonts w:ascii="Times New Roman" w:hAnsi="Times New Roman" w:cs="Times New Roman"/>
          <w:sz w:val="24"/>
          <w:szCs w:val="24"/>
        </w:rPr>
        <w:t xml:space="preserve"> ориентировочно от 28,3 млн. руб. в год (на интеграцию информационных систем) до 51,2 млн. руб. (на оборудование).</w:t>
      </w:r>
    </w:p>
    <w:p w:rsidR="00212DC0" w:rsidRDefault="00212DC0" w:rsidP="00212DC0">
      <w:pPr>
        <w:pStyle w:val="ConsPlusNormal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212DC0" w:rsidRPr="001C53C1" w:rsidRDefault="00212DC0" w:rsidP="00212DC0">
      <w:pPr>
        <w:jc w:val="center"/>
        <w:rPr>
          <w:rFonts w:eastAsia="Times New Roman"/>
          <w:b/>
          <w:i/>
        </w:rPr>
      </w:pPr>
      <w:r w:rsidRPr="001C53C1">
        <w:rPr>
          <w:rFonts w:eastAsia="Times New Roman"/>
          <w:b/>
        </w:rPr>
        <w:t xml:space="preserve">Использование в работе МФЦ разработанных технологических схем </w:t>
      </w:r>
    </w:p>
    <w:p w:rsidR="00212DC0" w:rsidRPr="001900A9" w:rsidRDefault="007C4D4B" w:rsidP="001900A9">
      <w:pPr>
        <w:pStyle w:val="ConsPlusNormal"/>
        <w:ind w:firstLine="680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hyperlink r:id="rId13" w:history="1">
        <w:r w:rsidR="00212DC0">
          <w:rPr>
            <w:rFonts w:ascii="Times New Roman" w:hAnsi="Times New Roman" w:cs="Times New Roman"/>
            <w:sz w:val="24"/>
            <w:szCs w:val="24"/>
          </w:rPr>
          <w:t>П</w:t>
        </w:r>
        <w:r w:rsidR="00212DC0" w:rsidRPr="00BF7094">
          <w:rPr>
            <w:rFonts w:ascii="Times New Roman" w:hAnsi="Times New Roman" w:cs="Times New Roman"/>
            <w:sz w:val="24"/>
            <w:szCs w:val="24"/>
          </w:rPr>
          <w:t>остановлением</w:t>
        </w:r>
      </w:hyperlink>
      <w:r w:rsidR="00212DC0" w:rsidRPr="00BF7094">
        <w:rPr>
          <w:rFonts w:ascii="Times New Roman" w:hAnsi="Times New Roman" w:cs="Times New Roman"/>
          <w:sz w:val="24"/>
          <w:szCs w:val="24"/>
        </w:rPr>
        <w:t xml:space="preserve"> Правительства РФ от 19.11.2016 №1217 «О внесении изменений в постановление Правительства Р</w:t>
      </w:r>
      <w:r w:rsidR="00212DC0">
        <w:rPr>
          <w:rFonts w:ascii="Times New Roman" w:hAnsi="Times New Roman" w:cs="Times New Roman"/>
          <w:sz w:val="24"/>
          <w:szCs w:val="24"/>
        </w:rPr>
        <w:t>Ф</w:t>
      </w:r>
      <w:r w:rsidR="00212DC0" w:rsidRPr="00BF7094">
        <w:rPr>
          <w:rFonts w:ascii="Times New Roman" w:hAnsi="Times New Roman" w:cs="Times New Roman"/>
          <w:sz w:val="24"/>
          <w:szCs w:val="24"/>
        </w:rPr>
        <w:t xml:space="preserve"> от</w:t>
      </w:r>
      <w:r w:rsidR="00212DC0">
        <w:rPr>
          <w:rFonts w:ascii="Times New Roman" w:hAnsi="Times New Roman" w:cs="Times New Roman"/>
          <w:sz w:val="24"/>
          <w:szCs w:val="24"/>
        </w:rPr>
        <w:t xml:space="preserve"> 27 сентября 2011 г. № 797</w:t>
      </w:r>
      <w:r w:rsidR="001900A9" w:rsidRPr="001900A9">
        <w:rPr>
          <w:rFonts w:ascii="Times New Roman" w:hAnsi="Times New Roman" w:cs="Times New Roman"/>
          <w:sz w:val="24"/>
          <w:szCs w:val="24"/>
        </w:rPr>
        <w:t>«</w:t>
      </w:r>
      <w:r w:rsidR="001900A9" w:rsidRPr="001900A9">
        <w:rPr>
          <w:rFonts w:ascii="Times New Roman" w:eastAsiaTheme="minorHAnsi" w:hAnsi="Times New Roman" w:cs="Times New Roman"/>
          <w:sz w:val="24"/>
          <w:szCs w:val="24"/>
          <w:lang w:eastAsia="en-US"/>
        </w:rPr>
        <w:t>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</w:t>
      </w:r>
      <w:r w:rsidR="001900A9" w:rsidRPr="002A4214">
        <w:rPr>
          <w:rFonts w:ascii="Times New Roman" w:hAnsi="Times New Roman" w:cs="Times New Roman"/>
          <w:sz w:val="24"/>
          <w:szCs w:val="24"/>
        </w:rPr>
        <w:t>»</w:t>
      </w:r>
      <w:r w:rsidR="00212DC0" w:rsidRPr="00C9692A">
        <w:rPr>
          <w:rFonts w:ascii="Times New Roman" w:hAnsi="Times New Roman" w:cs="Times New Roman"/>
          <w:sz w:val="24"/>
          <w:szCs w:val="24"/>
        </w:rPr>
        <w:t xml:space="preserve"> рекомендовано </w:t>
      </w:r>
      <w:r w:rsidR="00212DC0" w:rsidRPr="00C9692A">
        <w:rPr>
          <w:rFonts w:ascii="Times New Roman" w:eastAsiaTheme="minorHAnsi" w:hAnsi="Times New Roman" w:cs="Times New Roman"/>
          <w:sz w:val="24"/>
          <w:szCs w:val="24"/>
          <w:lang w:eastAsia="en-US"/>
        </w:rPr>
        <w:t>высшим исполнительным органам государственной власти субъектов РФ</w:t>
      </w:r>
      <w:r w:rsidR="00212DC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212DC0" w:rsidRPr="00C9692A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обеспечить формирование технологических схем </w:t>
      </w:r>
      <w:r w:rsidR="001900A9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(далее – </w:t>
      </w:r>
      <w:proofErr w:type="spellStart"/>
      <w:r w:rsidR="001900A9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техносхемы</w:t>
      </w:r>
      <w:proofErr w:type="spellEnd"/>
      <w:r w:rsidR="001900A9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)</w:t>
      </w:r>
      <w:r w:rsidR="001900A9" w:rsidRPr="00C9692A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="00212DC0" w:rsidRPr="00C9692A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предоставления </w:t>
      </w:r>
      <w:r w:rsidR="001900A9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государственных и муниципальных </w:t>
      </w:r>
      <w:r w:rsidR="00212DC0" w:rsidRPr="00C9692A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услуг</w:t>
      </w:r>
      <w:r w:rsidR="00212DC0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="00212DC0" w:rsidRPr="00C9692A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в отношении </w:t>
      </w:r>
      <w:r w:rsidR="001900A9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услуг, </w:t>
      </w:r>
      <w:r w:rsidR="00212DC0" w:rsidRPr="00C9692A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предоставление которых организовано по принципу </w:t>
      </w:r>
      <w:r w:rsidR="00212DC0" w:rsidRPr="00C9692A">
        <w:rPr>
          <w:rFonts w:ascii="Times New Roman" w:hAnsi="Times New Roman" w:cs="Times New Roman"/>
          <w:sz w:val="24"/>
          <w:szCs w:val="24"/>
        </w:rPr>
        <w:t>«</w:t>
      </w:r>
      <w:r w:rsidR="00212DC0" w:rsidRPr="00C9692A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одного окна</w:t>
      </w:r>
      <w:r w:rsidR="00212DC0" w:rsidRPr="00C9692A">
        <w:rPr>
          <w:rFonts w:ascii="Times New Roman" w:hAnsi="Times New Roman" w:cs="Times New Roman"/>
          <w:sz w:val="24"/>
          <w:szCs w:val="24"/>
        </w:rPr>
        <w:t>»</w:t>
      </w:r>
      <w:r w:rsidR="00212DC0" w:rsidRPr="00C9692A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в </w:t>
      </w:r>
      <w:r w:rsidR="00212DC0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МФЦ</w:t>
      </w:r>
      <w:r w:rsidR="001900A9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="001900A9" w:rsidRPr="001900A9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до </w:t>
      </w:r>
      <w:r w:rsidR="001900A9" w:rsidRPr="001900A9">
        <w:rPr>
          <w:rFonts w:ascii="Times New Roman" w:eastAsiaTheme="minorHAnsi" w:hAnsi="Times New Roman" w:cs="Times New Roman"/>
          <w:sz w:val="24"/>
          <w:szCs w:val="24"/>
          <w:lang w:eastAsia="en-US"/>
        </w:rPr>
        <w:t>1 октября 2017 года</w:t>
      </w:r>
      <w:r w:rsidR="00212DC0" w:rsidRPr="001900A9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.</w:t>
      </w:r>
    </w:p>
    <w:p w:rsidR="00212DC0" w:rsidRPr="001C53C1" w:rsidRDefault="00212DC0" w:rsidP="00212DC0">
      <w:pPr>
        <w:ind w:firstLine="680"/>
        <w:jc w:val="both"/>
      </w:pPr>
      <w:proofErr w:type="spellStart"/>
      <w:r w:rsidRPr="00AB546E">
        <w:t>Техносхемы</w:t>
      </w:r>
      <w:proofErr w:type="spellEnd"/>
      <w:r w:rsidRPr="00AB546E">
        <w:t xml:space="preserve"> содержат </w:t>
      </w:r>
      <w:r w:rsidRPr="00AB546E">
        <w:rPr>
          <w:rFonts w:eastAsiaTheme="minorHAnsi"/>
          <w:lang w:eastAsia="en-US"/>
        </w:rPr>
        <w:t xml:space="preserve">подробное описание требований, условий, процесса предоставления услуг, основанное на нормативных правовых актах РФ, регулирующих предоставление услуг, детализированные разъяснения, а также информацию о требуемом документационном и технологическом обеспечении процесса предоставления услуг. </w:t>
      </w:r>
    </w:p>
    <w:p w:rsidR="00212DC0" w:rsidRPr="00BF7094" w:rsidRDefault="00212DC0" w:rsidP="00212DC0">
      <w:pPr>
        <w:pStyle w:val="ConsPlusNormal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1C53C1">
        <w:rPr>
          <w:rFonts w:ascii="Times New Roman" w:hAnsi="Times New Roman" w:cs="Times New Roman"/>
          <w:sz w:val="24"/>
          <w:szCs w:val="24"/>
        </w:rPr>
        <w:t>Разработка и внедрение подсистемы «</w:t>
      </w:r>
      <w:proofErr w:type="spellStart"/>
      <w:r w:rsidRPr="001C53C1">
        <w:rPr>
          <w:rFonts w:ascii="Times New Roman" w:hAnsi="Times New Roman" w:cs="Times New Roman"/>
          <w:sz w:val="24"/>
          <w:szCs w:val="24"/>
        </w:rPr>
        <w:t>Техносхема</w:t>
      </w:r>
      <w:proofErr w:type="spellEnd"/>
      <w:r w:rsidRPr="001C53C1">
        <w:rPr>
          <w:rFonts w:ascii="Times New Roman" w:hAnsi="Times New Roman" w:cs="Times New Roman"/>
          <w:sz w:val="24"/>
          <w:szCs w:val="24"/>
        </w:rPr>
        <w:t xml:space="preserve">» </w:t>
      </w:r>
      <w:r w:rsidR="00AD416B">
        <w:rPr>
          <w:rFonts w:ascii="Times New Roman" w:hAnsi="Times New Roman" w:cs="Times New Roman"/>
          <w:sz w:val="24"/>
          <w:szCs w:val="24"/>
        </w:rPr>
        <w:t>на территории региона начал</w:t>
      </w:r>
      <w:r w:rsidR="00C8773B">
        <w:rPr>
          <w:rFonts w:ascii="Times New Roman" w:hAnsi="Times New Roman" w:cs="Times New Roman"/>
          <w:sz w:val="24"/>
          <w:szCs w:val="24"/>
        </w:rPr>
        <w:t>и</w:t>
      </w:r>
      <w:r w:rsidR="00AD416B">
        <w:rPr>
          <w:rFonts w:ascii="Times New Roman" w:hAnsi="Times New Roman" w:cs="Times New Roman"/>
          <w:sz w:val="24"/>
          <w:szCs w:val="24"/>
        </w:rPr>
        <w:t xml:space="preserve">сь в конце 2018 года </w:t>
      </w:r>
      <w:r w:rsidRPr="001C53C1">
        <w:rPr>
          <w:rFonts w:ascii="Times New Roman" w:hAnsi="Times New Roman" w:cs="Times New Roman"/>
          <w:sz w:val="24"/>
          <w:szCs w:val="24"/>
        </w:rPr>
        <w:t xml:space="preserve">в рамках </w:t>
      </w:r>
      <w:r>
        <w:rPr>
          <w:rFonts w:ascii="Times New Roman" w:hAnsi="Times New Roman" w:cs="Times New Roman"/>
          <w:sz w:val="24"/>
          <w:szCs w:val="24"/>
        </w:rPr>
        <w:t>государственного контракта</w:t>
      </w:r>
      <w:r w:rsidRPr="001C53C1">
        <w:rPr>
          <w:rFonts w:ascii="Times New Roman" w:hAnsi="Times New Roman" w:cs="Times New Roman"/>
          <w:sz w:val="24"/>
          <w:szCs w:val="24"/>
        </w:rPr>
        <w:t xml:space="preserve"> от 04.12.2018, заключенного между </w:t>
      </w:r>
      <w:proofErr w:type="spellStart"/>
      <w:r w:rsidRPr="001C53C1">
        <w:rPr>
          <w:rFonts w:ascii="Times New Roman" w:hAnsi="Times New Roman" w:cs="Times New Roman"/>
          <w:sz w:val="24"/>
          <w:szCs w:val="24"/>
        </w:rPr>
        <w:t>Облкоминформтехнологии</w:t>
      </w:r>
      <w:proofErr w:type="spellEnd"/>
      <w:r w:rsidR="00B05A32">
        <w:rPr>
          <w:rFonts w:ascii="Times New Roman" w:hAnsi="Times New Roman" w:cs="Times New Roman"/>
          <w:sz w:val="24"/>
          <w:szCs w:val="24"/>
        </w:rPr>
        <w:t xml:space="preserve"> </w:t>
      </w:r>
      <w:r w:rsidRPr="001C53C1">
        <w:rPr>
          <w:rFonts w:ascii="Times New Roman" w:hAnsi="Times New Roman" w:cs="Times New Roman"/>
          <w:sz w:val="24"/>
          <w:szCs w:val="24"/>
        </w:rPr>
        <w:t xml:space="preserve">и </w:t>
      </w:r>
      <w:r w:rsidR="003631E9">
        <w:rPr>
          <w:rFonts w:ascii="Times New Roman" w:hAnsi="Times New Roman" w:cs="Times New Roman"/>
          <w:sz w:val="24"/>
          <w:szCs w:val="24"/>
        </w:rPr>
        <w:t>исполнителем</w:t>
      </w:r>
      <w:r w:rsidRPr="001C53C1">
        <w:rPr>
          <w:rFonts w:ascii="Times New Roman" w:hAnsi="Times New Roman" w:cs="Times New Roman"/>
          <w:sz w:val="24"/>
          <w:szCs w:val="24"/>
        </w:rPr>
        <w:t xml:space="preserve"> на выполнение работ по развитию </w:t>
      </w:r>
      <w:r w:rsidRPr="00BF7094">
        <w:rPr>
          <w:rFonts w:ascii="Times New Roman" w:hAnsi="Times New Roman" w:cs="Times New Roman"/>
          <w:sz w:val="24"/>
          <w:szCs w:val="24"/>
        </w:rPr>
        <w:t>ГИС КИАР</w:t>
      </w:r>
      <w:r w:rsidR="003631E9">
        <w:rPr>
          <w:rFonts w:ascii="Times New Roman" w:hAnsi="Times New Roman" w:cs="Times New Roman"/>
          <w:sz w:val="24"/>
          <w:szCs w:val="24"/>
        </w:rPr>
        <w:t>.</w:t>
      </w:r>
    </w:p>
    <w:p w:rsidR="00212DC0" w:rsidRDefault="00212DC0" w:rsidP="00212D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4E9A">
        <w:rPr>
          <w:rFonts w:ascii="Times New Roman" w:hAnsi="Times New Roman" w:cs="Times New Roman"/>
          <w:sz w:val="24"/>
          <w:szCs w:val="24"/>
        </w:rPr>
        <w:t xml:space="preserve">Из 95 видов оказанных за 7 месяцев 2019 года региональных услуг (принято 65 497 документов) с использованием </w:t>
      </w:r>
      <w:proofErr w:type="spellStart"/>
      <w:r w:rsidRPr="00454E9A">
        <w:rPr>
          <w:rFonts w:ascii="Times New Roman" w:hAnsi="Times New Roman" w:cs="Times New Roman"/>
          <w:sz w:val="24"/>
          <w:szCs w:val="24"/>
        </w:rPr>
        <w:t>техносхем</w:t>
      </w:r>
      <w:proofErr w:type="spellEnd"/>
      <w:r w:rsidRPr="00454E9A">
        <w:rPr>
          <w:rFonts w:ascii="Times New Roman" w:hAnsi="Times New Roman" w:cs="Times New Roman"/>
          <w:sz w:val="24"/>
          <w:szCs w:val="24"/>
        </w:rPr>
        <w:t xml:space="preserve"> в АИС «</w:t>
      </w:r>
      <w:proofErr w:type="spellStart"/>
      <w:r w:rsidRPr="00454E9A">
        <w:rPr>
          <w:rFonts w:ascii="Times New Roman" w:hAnsi="Times New Roman" w:cs="Times New Roman"/>
          <w:sz w:val="24"/>
          <w:szCs w:val="24"/>
        </w:rPr>
        <w:t>Техносхема</w:t>
      </w:r>
      <w:proofErr w:type="spellEnd"/>
      <w:r w:rsidRPr="00454E9A">
        <w:rPr>
          <w:rFonts w:ascii="Times New Roman" w:hAnsi="Times New Roman" w:cs="Times New Roman"/>
          <w:sz w:val="24"/>
          <w:szCs w:val="24"/>
        </w:rPr>
        <w:t>» предоставлялось</w:t>
      </w:r>
      <w:r w:rsidRPr="00454E9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54E9A">
        <w:rPr>
          <w:rFonts w:ascii="Times New Roman" w:hAnsi="Times New Roman" w:cs="Times New Roman"/>
          <w:sz w:val="24"/>
          <w:szCs w:val="24"/>
        </w:rPr>
        <w:t>20 услуг (за 7 месяцев по ним принят 41 571 документ)</w:t>
      </w:r>
      <w:r w:rsidR="00454E9A" w:rsidRPr="00454E9A">
        <w:rPr>
          <w:rFonts w:ascii="Times New Roman" w:hAnsi="Times New Roman" w:cs="Times New Roman"/>
          <w:sz w:val="24"/>
          <w:szCs w:val="24"/>
        </w:rPr>
        <w:t xml:space="preserve"> по 9-ти</w:t>
      </w:r>
      <w:r w:rsidRPr="00454E9A">
        <w:rPr>
          <w:rFonts w:ascii="Times New Roman" w:hAnsi="Times New Roman" w:cs="Times New Roman"/>
          <w:sz w:val="24"/>
          <w:szCs w:val="24"/>
        </w:rPr>
        <w:t xml:space="preserve"> ОИВ</w:t>
      </w:r>
      <w:r w:rsidR="00B2652B">
        <w:rPr>
          <w:rFonts w:ascii="Times New Roman" w:hAnsi="Times New Roman" w:cs="Times New Roman"/>
          <w:sz w:val="24"/>
          <w:szCs w:val="24"/>
        </w:rPr>
        <w:t>,</w:t>
      </w:r>
      <w:r w:rsidRPr="00454E9A">
        <w:rPr>
          <w:rFonts w:ascii="Times New Roman" w:hAnsi="Times New Roman" w:cs="Times New Roman"/>
          <w:sz w:val="24"/>
          <w:szCs w:val="24"/>
        </w:rPr>
        <w:t xml:space="preserve"> </w:t>
      </w:r>
      <w:r w:rsidR="00B2652B">
        <w:rPr>
          <w:rFonts w:ascii="Times New Roman" w:hAnsi="Times New Roman" w:cs="Times New Roman"/>
          <w:sz w:val="24"/>
          <w:szCs w:val="24"/>
        </w:rPr>
        <w:t>упразднены 4 услуги.</w:t>
      </w:r>
      <w:r w:rsidR="00B2652B" w:rsidRPr="00454E9A">
        <w:rPr>
          <w:rFonts w:ascii="Times New Roman" w:hAnsi="Times New Roman" w:cs="Times New Roman"/>
          <w:sz w:val="24"/>
          <w:szCs w:val="24"/>
        </w:rPr>
        <w:t xml:space="preserve"> </w:t>
      </w:r>
      <w:r w:rsidRPr="00454E9A">
        <w:rPr>
          <w:rFonts w:ascii="Times New Roman" w:hAnsi="Times New Roman" w:cs="Times New Roman"/>
          <w:sz w:val="24"/>
          <w:szCs w:val="24"/>
        </w:rPr>
        <w:t xml:space="preserve">В стадии настройки  находится 70 </w:t>
      </w:r>
      <w:proofErr w:type="spellStart"/>
      <w:r w:rsidRPr="00454E9A">
        <w:rPr>
          <w:rFonts w:ascii="Times New Roman" w:hAnsi="Times New Roman" w:cs="Times New Roman"/>
          <w:sz w:val="24"/>
          <w:szCs w:val="24"/>
        </w:rPr>
        <w:t>техносхем</w:t>
      </w:r>
      <w:proofErr w:type="spellEnd"/>
      <w:r w:rsidRPr="00454E9A">
        <w:rPr>
          <w:rFonts w:ascii="Times New Roman" w:hAnsi="Times New Roman" w:cs="Times New Roman"/>
          <w:sz w:val="24"/>
          <w:szCs w:val="24"/>
        </w:rPr>
        <w:t xml:space="preserve">, в стадии разработки </w:t>
      </w:r>
      <w:proofErr w:type="spellStart"/>
      <w:r w:rsidRPr="00454E9A">
        <w:rPr>
          <w:rFonts w:ascii="Times New Roman" w:hAnsi="Times New Roman" w:cs="Times New Roman"/>
          <w:sz w:val="24"/>
          <w:szCs w:val="24"/>
        </w:rPr>
        <w:t>Облкомсоцзащитой</w:t>
      </w:r>
      <w:proofErr w:type="spellEnd"/>
      <w:r w:rsidRPr="00454E9A">
        <w:rPr>
          <w:rFonts w:ascii="Times New Roman" w:hAnsi="Times New Roman" w:cs="Times New Roman"/>
          <w:sz w:val="24"/>
          <w:szCs w:val="24"/>
        </w:rPr>
        <w:t xml:space="preserve"> – 1 </w:t>
      </w:r>
      <w:proofErr w:type="spellStart"/>
      <w:r w:rsidRPr="00454E9A">
        <w:rPr>
          <w:rFonts w:ascii="Times New Roman" w:hAnsi="Times New Roman" w:cs="Times New Roman"/>
          <w:sz w:val="24"/>
          <w:szCs w:val="24"/>
        </w:rPr>
        <w:t>техносхема</w:t>
      </w:r>
      <w:proofErr w:type="spellEnd"/>
      <w:r w:rsidRPr="00454E9A">
        <w:rPr>
          <w:rFonts w:ascii="Times New Roman" w:hAnsi="Times New Roman" w:cs="Times New Roman"/>
          <w:sz w:val="24"/>
          <w:szCs w:val="24"/>
        </w:rPr>
        <w:t xml:space="preserve"> по услуге «Предоставление государственной услуги в сфере переданных полномочий РФ по назначению государственных пособий гражданам, имеющим детей» (содержит 161 </w:t>
      </w:r>
      <w:proofErr w:type="spellStart"/>
      <w:r w:rsidRPr="00454E9A">
        <w:rPr>
          <w:rFonts w:ascii="Times New Roman" w:hAnsi="Times New Roman" w:cs="Times New Roman"/>
          <w:sz w:val="24"/>
          <w:szCs w:val="24"/>
        </w:rPr>
        <w:t>подуслугу</w:t>
      </w:r>
      <w:proofErr w:type="spellEnd"/>
      <w:r w:rsidRPr="00454E9A">
        <w:rPr>
          <w:rFonts w:ascii="Times New Roman" w:hAnsi="Times New Roman" w:cs="Times New Roman"/>
          <w:sz w:val="24"/>
          <w:szCs w:val="24"/>
        </w:rPr>
        <w:t>).</w:t>
      </w:r>
      <w:r w:rsidRPr="00C92F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2DC0" w:rsidRPr="00084558" w:rsidRDefault="008057D7" w:rsidP="00A27E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0022">
        <w:rPr>
          <w:rFonts w:ascii="Times New Roman" w:hAnsi="Times New Roman" w:cs="Times New Roman"/>
          <w:sz w:val="24"/>
          <w:szCs w:val="24"/>
        </w:rPr>
        <w:t xml:space="preserve">Целью разработки </w:t>
      </w:r>
      <w:proofErr w:type="spellStart"/>
      <w:r w:rsidRPr="00400022">
        <w:rPr>
          <w:rFonts w:ascii="Times New Roman" w:hAnsi="Times New Roman" w:cs="Times New Roman"/>
          <w:sz w:val="24"/>
          <w:szCs w:val="24"/>
        </w:rPr>
        <w:t>техносхем</w:t>
      </w:r>
      <w:proofErr w:type="spellEnd"/>
      <w:r w:rsidRPr="00400022">
        <w:rPr>
          <w:rFonts w:ascii="Times New Roman" w:hAnsi="Times New Roman" w:cs="Times New Roman"/>
          <w:sz w:val="24"/>
          <w:szCs w:val="24"/>
        </w:rPr>
        <w:t xml:space="preserve"> является обеспечение единообразного предоставления услуг</w:t>
      </w:r>
      <w:r w:rsidR="006B5357" w:rsidRPr="00400022">
        <w:rPr>
          <w:rFonts w:ascii="Times New Roman" w:hAnsi="Times New Roman" w:cs="Times New Roman"/>
          <w:sz w:val="24"/>
          <w:szCs w:val="24"/>
        </w:rPr>
        <w:t>, что позволит повысить качество предоставления услуг</w:t>
      </w:r>
      <w:r w:rsidR="0001536E" w:rsidRPr="00400022">
        <w:rPr>
          <w:rFonts w:ascii="Times New Roman" w:hAnsi="Times New Roman" w:cs="Times New Roman"/>
          <w:sz w:val="24"/>
          <w:szCs w:val="24"/>
        </w:rPr>
        <w:t>, обеспечит полноту и правильность описания услуг, сократит рабочее время обучения сотрудников ОИВ</w:t>
      </w:r>
      <w:r w:rsidR="00EF2A8F" w:rsidRPr="00400022">
        <w:rPr>
          <w:rFonts w:ascii="Times New Roman" w:hAnsi="Times New Roman" w:cs="Times New Roman"/>
          <w:sz w:val="24"/>
          <w:szCs w:val="24"/>
        </w:rPr>
        <w:t>,</w:t>
      </w:r>
      <w:r w:rsidR="0001536E" w:rsidRPr="00400022">
        <w:rPr>
          <w:rFonts w:ascii="Times New Roman" w:hAnsi="Times New Roman" w:cs="Times New Roman"/>
          <w:sz w:val="24"/>
          <w:szCs w:val="24"/>
        </w:rPr>
        <w:t xml:space="preserve"> ОМСУ</w:t>
      </w:r>
      <w:r w:rsidR="00EF2A8F" w:rsidRPr="00400022">
        <w:rPr>
          <w:rFonts w:ascii="Times New Roman" w:hAnsi="Times New Roman" w:cs="Times New Roman"/>
          <w:sz w:val="24"/>
          <w:szCs w:val="24"/>
        </w:rPr>
        <w:t>, МФЦ, участвующих в предоставлении услуг.</w:t>
      </w:r>
      <w:r w:rsidR="002E4EF1" w:rsidRPr="00400022">
        <w:rPr>
          <w:rFonts w:ascii="Times New Roman" w:hAnsi="Times New Roman" w:cs="Times New Roman"/>
          <w:sz w:val="24"/>
          <w:szCs w:val="24"/>
        </w:rPr>
        <w:t xml:space="preserve"> </w:t>
      </w:r>
      <w:r w:rsidR="00A27E72" w:rsidRPr="00400022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22547D" w:rsidRPr="00400022">
        <w:rPr>
          <w:rFonts w:ascii="Times New Roman" w:hAnsi="Times New Roman" w:cs="Times New Roman"/>
          <w:sz w:val="24"/>
          <w:szCs w:val="24"/>
        </w:rPr>
        <w:t xml:space="preserve">экономится </w:t>
      </w:r>
      <w:r w:rsidR="00A27E72" w:rsidRPr="00400022">
        <w:rPr>
          <w:rFonts w:ascii="Times New Roman" w:hAnsi="Times New Roman" w:cs="Times New Roman"/>
          <w:sz w:val="24"/>
          <w:szCs w:val="24"/>
        </w:rPr>
        <w:t>рабоч</w:t>
      </w:r>
      <w:r w:rsidR="0022547D" w:rsidRPr="00400022">
        <w:rPr>
          <w:rFonts w:ascii="Times New Roman" w:hAnsi="Times New Roman" w:cs="Times New Roman"/>
          <w:sz w:val="24"/>
          <w:szCs w:val="24"/>
        </w:rPr>
        <w:t>ее</w:t>
      </w:r>
      <w:r w:rsidR="00A27E72" w:rsidRPr="00400022">
        <w:rPr>
          <w:rFonts w:ascii="Times New Roman" w:hAnsi="Times New Roman" w:cs="Times New Roman"/>
          <w:sz w:val="24"/>
          <w:szCs w:val="24"/>
        </w:rPr>
        <w:t xml:space="preserve"> врем</w:t>
      </w:r>
      <w:r w:rsidR="0022547D" w:rsidRPr="00400022">
        <w:rPr>
          <w:rFonts w:ascii="Times New Roman" w:hAnsi="Times New Roman" w:cs="Times New Roman"/>
          <w:sz w:val="24"/>
          <w:szCs w:val="24"/>
        </w:rPr>
        <w:t>я</w:t>
      </w:r>
      <w:r w:rsidR="00A27E72" w:rsidRPr="00400022">
        <w:rPr>
          <w:rFonts w:ascii="Times New Roman" w:hAnsi="Times New Roman" w:cs="Times New Roman"/>
          <w:sz w:val="24"/>
          <w:szCs w:val="24"/>
        </w:rPr>
        <w:t xml:space="preserve"> при приеме документов, а именно экономия п</w:t>
      </w:r>
      <w:r w:rsidR="00212DC0" w:rsidRPr="00400022">
        <w:rPr>
          <w:rFonts w:ascii="Times New Roman" w:hAnsi="Times New Roman" w:cs="Times New Roman"/>
          <w:sz w:val="24"/>
          <w:szCs w:val="24"/>
        </w:rPr>
        <w:t xml:space="preserve">о 20 региональным услугам за год составит ориентировочно около 425 </w:t>
      </w:r>
      <w:r w:rsidR="00DB6CAC" w:rsidRPr="00400022">
        <w:rPr>
          <w:rFonts w:ascii="Times New Roman" w:hAnsi="Times New Roman" w:cs="Times New Roman"/>
          <w:sz w:val="24"/>
          <w:szCs w:val="24"/>
        </w:rPr>
        <w:t>чел</w:t>
      </w:r>
      <w:r w:rsidR="00400022" w:rsidRPr="00400022">
        <w:rPr>
          <w:rFonts w:ascii="Times New Roman" w:hAnsi="Times New Roman" w:cs="Times New Roman"/>
          <w:sz w:val="24"/>
          <w:szCs w:val="24"/>
        </w:rPr>
        <w:t>овеко-</w:t>
      </w:r>
      <w:r w:rsidR="00212DC0" w:rsidRPr="00400022">
        <w:rPr>
          <w:rFonts w:ascii="Times New Roman" w:hAnsi="Times New Roman" w:cs="Times New Roman"/>
          <w:sz w:val="24"/>
          <w:szCs w:val="24"/>
        </w:rPr>
        <w:t xml:space="preserve">дней в году, или время работы почти 2-х работников (исходя из 247 рабочих дней в году). Соответственно при настройке всех </w:t>
      </w:r>
      <w:proofErr w:type="spellStart"/>
      <w:r w:rsidR="00212DC0" w:rsidRPr="00400022">
        <w:rPr>
          <w:rFonts w:ascii="Times New Roman" w:hAnsi="Times New Roman" w:cs="Times New Roman"/>
          <w:sz w:val="24"/>
          <w:szCs w:val="24"/>
        </w:rPr>
        <w:t>техносхем</w:t>
      </w:r>
      <w:proofErr w:type="spellEnd"/>
      <w:r w:rsidR="00212DC0" w:rsidRPr="00400022">
        <w:rPr>
          <w:rFonts w:ascii="Times New Roman" w:hAnsi="Times New Roman" w:cs="Times New Roman"/>
          <w:sz w:val="24"/>
          <w:szCs w:val="24"/>
        </w:rPr>
        <w:t xml:space="preserve"> экономия рабочего времени составит порядка 672 </w:t>
      </w:r>
      <w:r w:rsidR="00DB6CAC" w:rsidRPr="00400022">
        <w:rPr>
          <w:rFonts w:ascii="Times New Roman" w:hAnsi="Times New Roman" w:cs="Times New Roman"/>
          <w:sz w:val="24"/>
          <w:szCs w:val="24"/>
        </w:rPr>
        <w:t>чел</w:t>
      </w:r>
      <w:r w:rsidR="00400022" w:rsidRPr="00400022">
        <w:rPr>
          <w:rFonts w:ascii="Times New Roman" w:hAnsi="Times New Roman" w:cs="Times New Roman"/>
          <w:sz w:val="24"/>
          <w:szCs w:val="24"/>
        </w:rPr>
        <w:t>овеко-дней</w:t>
      </w:r>
      <w:r w:rsidR="00212DC0" w:rsidRPr="00400022">
        <w:rPr>
          <w:rFonts w:ascii="Times New Roman" w:hAnsi="Times New Roman" w:cs="Times New Roman"/>
          <w:sz w:val="24"/>
          <w:szCs w:val="24"/>
        </w:rPr>
        <w:t xml:space="preserve"> в году, </w:t>
      </w:r>
      <w:r w:rsidR="00454E9A" w:rsidRPr="00400022">
        <w:rPr>
          <w:rFonts w:ascii="Times New Roman" w:hAnsi="Times New Roman" w:cs="Times New Roman"/>
          <w:sz w:val="24"/>
          <w:szCs w:val="24"/>
        </w:rPr>
        <w:t>что соизмеримо с рабочим временем практи</w:t>
      </w:r>
      <w:r w:rsidR="00212DC0" w:rsidRPr="00400022">
        <w:rPr>
          <w:rFonts w:ascii="Times New Roman" w:hAnsi="Times New Roman" w:cs="Times New Roman"/>
          <w:sz w:val="24"/>
          <w:szCs w:val="24"/>
        </w:rPr>
        <w:t>чески 3-х работников</w:t>
      </w:r>
      <w:r w:rsidR="00156352">
        <w:rPr>
          <w:rFonts w:ascii="Times New Roman" w:hAnsi="Times New Roman" w:cs="Times New Roman"/>
          <w:sz w:val="24"/>
          <w:szCs w:val="24"/>
        </w:rPr>
        <w:t xml:space="preserve"> (с заработной платой порядка </w:t>
      </w:r>
      <w:r w:rsidR="00BB6005">
        <w:rPr>
          <w:rFonts w:ascii="Times New Roman" w:hAnsi="Times New Roman" w:cs="Times New Roman"/>
          <w:sz w:val="24"/>
          <w:szCs w:val="24"/>
        </w:rPr>
        <w:t>10</w:t>
      </w:r>
      <w:r w:rsidR="00156352">
        <w:rPr>
          <w:rFonts w:ascii="Times New Roman" w:hAnsi="Times New Roman" w:cs="Times New Roman"/>
          <w:sz w:val="24"/>
          <w:szCs w:val="24"/>
        </w:rPr>
        <w:t>00 тыс. руб.)</w:t>
      </w:r>
      <w:r w:rsidR="00212DC0" w:rsidRPr="00400022">
        <w:rPr>
          <w:rFonts w:ascii="Times New Roman" w:hAnsi="Times New Roman" w:cs="Times New Roman"/>
          <w:sz w:val="24"/>
          <w:szCs w:val="24"/>
        </w:rPr>
        <w:t>.</w:t>
      </w:r>
      <w:r w:rsidR="00212DC0" w:rsidRPr="005306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2DC0" w:rsidRDefault="00212DC0" w:rsidP="00212DC0">
      <w:pPr>
        <w:autoSpaceDE w:val="0"/>
        <w:autoSpaceDN w:val="0"/>
        <w:adjustRightInd w:val="0"/>
        <w:ind w:firstLine="680"/>
        <w:jc w:val="both"/>
      </w:pPr>
      <w:r w:rsidRPr="00BF7094">
        <w:t>По муниципальным услугам по пояснени</w:t>
      </w:r>
      <w:r w:rsidR="00454E9A">
        <w:t xml:space="preserve">ю сотрудников </w:t>
      </w:r>
      <w:r w:rsidRPr="006235DE">
        <w:rPr>
          <w:rFonts w:eastAsia="Times New Roman"/>
        </w:rPr>
        <w:t xml:space="preserve">ГКУ </w:t>
      </w:r>
      <w:r w:rsidRPr="006235DE">
        <w:t>«МФЦ»</w:t>
      </w:r>
      <w:r w:rsidRPr="006235DE">
        <w:rPr>
          <w:color w:val="000000"/>
        </w:rPr>
        <w:t xml:space="preserve"> </w:t>
      </w:r>
      <w:proofErr w:type="spellStart"/>
      <w:r>
        <w:rPr>
          <w:rFonts w:eastAsia="Times New Roman"/>
        </w:rPr>
        <w:t>т</w:t>
      </w:r>
      <w:r w:rsidRPr="00BF7094">
        <w:t>ехносхемы</w:t>
      </w:r>
      <w:proofErr w:type="spellEnd"/>
      <w:r w:rsidRPr="00BF7094">
        <w:t xml:space="preserve"> находятся в </w:t>
      </w:r>
      <w:r w:rsidR="00454E9A">
        <w:t>стадии разработки (в стадии н</w:t>
      </w:r>
      <w:r w:rsidRPr="00BF7094">
        <w:t xml:space="preserve">астройки находятся 6 </w:t>
      </w:r>
      <w:proofErr w:type="spellStart"/>
      <w:r w:rsidRPr="00BF7094">
        <w:t>техносхем</w:t>
      </w:r>
      <w:proofErr w:type="spellEnd"/>
      <w:r w:rsidR="00454E9A">
        <w:t>)</w:t>
      </w:r>
      <w:r>
        <w:t>.</w:t>
      </w:r>
    </w:p>
    <w:p w:rsidR="00212DC0" w:rsidRPr="00BF7094" w:rsidRDefault="00212DC0" w:rsidP="00212DC0">
      <w:pPr>
        <w:autoSpaceDE w:val="0"/>
        <w:autoSpaceDN w:val="0"/>
        <w:adjustRightInd w:val="0"/>
        <w:ind w:firstLine="680"/>
        <w:jc w:val="both"/>
      </w:pPr>
      <w:r w:rsidRPr="00BF7094">
        <w:t xml:space="preserve"> </w:t>
      </w:r>
    </w:p>
    <w:p w:rsidR="00942147" w:rsidRPr="00553FBB" w:rsidRDefault="00EA6FD7" w:rsidP="00EA6FD7">
      <w:pPr>
        <w:ind w:firstLine="709"/>
        <w:jc w:val="center"/>
        <w:rPr>
          <w:b/>
        </w:rPr>
      </w:pPr>
      <w:r w:rsidRPr="00553FBB">
        <w:rPr>
          <w:b/>
        </w:rPr>
        <w:t xml:space="preserve">Анализ достижения </w:t>
      </w:r>
      <w:r w:rsidR="002D6256">
        <w:rPr>
          <w:b/>
        </w:rPr>
        <w:t xml:space="preserve">целевых показателей </w:t>
      </w:r>
      <w:r w:rsidRPr="00553FBB">
        <w:rPr>
          <w:b/>
        </w:rPr>
        <w:t>и ожидаемых результатов</w:t>
      </w:r>
      <w:r w:rsidR="00553FBB" w:rsidRPr="00553FBB">
        <w:rPr>
          <w:highlight w:val="yellow"/>
        </w:rPr>
        <w:t xml:space="preserve"> </w:t>
      </w:r>
      <w:r w:rsidR="00553FBB" w:rsidRPr="00553FBB">
        <w:rPr>
          <w:b/>
        </w:rPr>
        <w:t>государственной программы Волгоградской области «Экономическое развитие и инновационная э</w:t>
      </w:r>
      <w:r w:rsidR="0050229C">
        <w:rPr>
          <w:b/>
        </w:rPr>
        <w:t>кономика»</w:t>
      </w:r>
    </w:p>
    <w:p w:rsidR="00617A2E" w:rsidRDefault="00617A2E" w:rsidP="00B610E9">
      <w:pPr>
        <w:ind w:firstLine="680"/>
        <w:jc w:val="both"/>
      </w:pPr>
      <w:r>
        <w:t xml:space="preserve">Целевые показатели Госпрограммы в части совершенствования системы государственного управления формировались с учетом следующих показателей </w:t>
      </w:r>
      <w:r w:rsidRPr="008C5A5B">
        <w:t>Указ</w:t>
      </w:r>
      <w:r>
        <w:t>а</w:t>
      </w:r>
      <w:r w:rsidRPr="008C5A5B">
        <w:t xml:space="preserve"> Президента Р</w:t>
      </w:r>
      <w:r>
        <w:t>Ф</w:t>
      </w:r>
      <w:r w:rsidRPr="008C5A5B">
        <w:t xml:space="preserve"> от </w:t>
      </w:r>
      <w:r>
        <w:t>0</w:t>
      </w:r>
      <w:r w:rsidRPr="008C5A5B">
        <w:t>7</w:t>
      </w:r>
      <w:r>
        <w:t>.05.2012</w:t>
      </w:r>
      <w:r w:rsidRPr="008C5A5B">
        <w:t xml:space="preserve"> №</w:t>
      </w:r>
      <w:r>
        <w:t xml:space="preserve"> </w:t>
      </w:r>
      <w:r w:rsidRPr="008C5A5B">
        <w:t>601 «Об основных направлениях совершенствования системы государственного управления»</w:t>
      </w:r>
      <w:r>
        <w:t xml:space="preserve">  (далее  - </w:t>
      </w:r>
      <w:r w:rsidRPr="00793531">
        <w:t>Указ № 601)</w:t>
      </w:r>
      <w:r>
        <w:t>:</w:t>
      </w:r>
    </w:p>
    <w:p w:rsidR="00F26498" w:rsidRDefault="00617A2E" w:rsidP="00617A2E">
      <w:pPr>
        <w:autoSpaceDE w:val="0"/>
        <w:autoSpaceDN w:val="0"/>
        <w:adjustRightInd w:val="0"/>
        <w:ind w:firstLine="68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- уровень удовлетворенности граждан РФ качеством предоставления государственных и муниципальных услуг к 2018 году - не менее 90%;</w:t>
      </w:r>
    </w:p>
    <w:p w:rsidR="00617A2E" w:rsidRDefault="00617A2E" w:rsidP="00617A2E">
      <w:pPr>
        <w:autoSpaceDE w:val="0"/>
        <w:autoSpaceDN w:val="0"/>
        <w:adjustRightInd w:val="0"/>
        <w:ind w:firstLine="68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доля граждан, имеющих доступ к получению государственных и муниципальных услуг по принципу </w:t>
      </w:r>
      <w:r w:rsidRPr="008C5A5B">
        <w:t>«</w:t>
      </w:r>
      <w:r>
        <w:rPr>
          <w:rFonts w:eastAsiaTheme="minorHAnsi"/>
          <w:lang w:eastAsia="en-US"/>
        </w:rPr>
        <w:t>одного окна</w:t>
      </w:r>
      <w:r w:rsidRPr="008C5A5B">
        <w:t>»</w:t>
      </w:r>
      <w:r>
        <w:rPr>
          <w:rFonts w:eastAsiaTheme="minorHAnsi"/>
          <w:lang w:eastAsia="en-US"/>
        </w:rPr>
        <w:t xml:space="preserve"> по месту пребывания, в т.ч. в МФЦ, к 2015 году - не менее 90%;</w:t>
      </w:r>
    </w:p>
    <w:p w:rsidR="00A26B7F" w:rsidRDefault="00617A2E" w:rsidP="00A26B7F">
      <w:pPr>
        <w:autoSpaceDE w:val="0"/>
        <w:autoSpaceDN w:val="0"/>
        <w:adjustRightInd w:val="0"/>
        <w:ind w:firstLine="68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сокращение времени ожидания в очереди при обращении заявителя в орган государственной власти РФ (</w:t>
      </w:r>
      <w:r w:rsidR="00A26B7F">
        <w:rPr>
          <w:rFonts w:eastAsiaTheme="minorHAnsi"/>
          <w:lang w:eastAsia="en-US"/>
        </w:rPr>
        <w:t>ОМСУ</w:t>
      </w:r>
      <w:r>
        <w:rPr>
          <w:rFonts w:eastAsiaTheme="minorHAnsi"/>
          <w:lang w:eastAsia="en-US"/>
        </w:rPr>
        <w:t>) для получения государственных (муниципальных) услуг к 2014 году - до 15 минут.</w:t>
      </w:r>
    </w:p>
    <w:p w:rsidR="00673183" w:rsidRPr="00A26B7F" w:rsidRDefault="00673183" w:rsidP="00A26B7F">
      <w:pPr>
        <w:autoSpaceDE w:val="0"/>
        <w:autoSpaceDN w:val="0"/>
        <w:adjustRightInd w:val="0"/>
        <w:ind w:firstLine="680"/>
        <w:jc w:val="both"/>
        <w:rPr>
          <w:rFonts w:eastAsiaTheme="minorHAnsi"/>
          <w:lang w:eastAsia="en-US"/>
        </w:rPr>
      </w:pPr>
      <w:r w:rsidRPr="00911A6D">
        <w:t xml:space="preserve">Информация о достижении значений целевых показателей </w:t>
      </w:r>
      <w:bookmarkStart w:id="0" w:name="OLE_LINK5"/>
      <w:bookmarkStart w:id="1" w:name="OLE_LINK6"/>
      <w:r w:rsidR="009731F3">
        <w:t xml:space="preserve">Госпрограммы, в т.ч. </w:t>
      </w:r>
      <w:r w:rsidR="00307CE9">
        <w:t>П</w:t>
      </w:r>
      <w:r w:rsidR="009731F3">
        <w:t xml:space="preserve">одпрограммы </w:t>
      </w:r>
      <w:bookmarkEnd w:id="0"/>
      <w:bookmarkEnd w:id="1"/>
      <w:r w:rsidRPr="00911A6D">
        <w:t>представлена в таблице.</w:t>
      </w:r>
      <w:r w:rsidR="00B610E9">
        <w:t xml:space="preserve"> </w:t>
      </w:r>
    </w:p>
    <w:tbl>
      <w:tblPr>
        <w:tblW w:w="10065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426"/>
        <w:gridCol w:w="5103"/>
        <w:gridCol w:w="709"/>
        <w:gridCol w:w="1134"/>
        <w:gridCol w:w="850"/>
        <w:gridCol w:w="851"/>
        <w:gridCol w:w="992"/>
      </w:tblGrid>
      <w:tr w:rsidR="00673183" w:rsidRPr="00EF1352" w:rsidTr="00F55A8B">
        <w:trPr>
          <w:trHeight w:val="529"/>
        </w:trPr>
        <w:tc>
          <w:tcPr>
            <w:tcW w:w="426" w:type="dxa"/>
            <w:vMerge w:val="restart"/>
            <w:tcBorders>
              <w:top w:val="double" w:sz="4" w:space="0" w:color="auto"/>
              <w:bottom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673183" w:rsidRPr="00EF1352" w:rsidRDefault="00673183" w:rsidP="00CD3F63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EF1352">
              <w:rPr>
                <w:rFonts w:eastAsia="Times New Roman"/>
                <w:b/>
                <w:sz w:val="18"/>
                <w:szCs w:val="18"/>
              </w:rPr>
              <w:t xml:space="preserve">№ </w:t>
            </w:r>
            <w:r w:rsidRPr="00EF1352">
              <w:rPr>
                <w:rFonts w:eastAsia="Times New Roman"/>
                <w:b/>
                <w:sz w:val="18"/>
                <w:szCs w:val="18"/>
              </w:rPr>
              <w:br/>
            </w:r>
            <w:proofErr w:type="spellStart"/>
            <w:r w:rsidRPr="00EF1352">
              <w:rPr>
                <w:rFonts w:eastAsia="Times New Roman"/>
                <w:b/>
                <w:sz w:val="18"/>
                <w:szCs w:val="18"/>
              </w:rPr>
              <w:t>п</w:t>
            </w:r>
            <w:proofErr w:type="spellEnd"/>
            <w:r w:rsidRPr="00EF1352">
              <w:rPr>
                <w:rFonts w:eastAsia="Times New Roman"/>
                <w:b/>
                <w:sz w:val="18"/>
                <w:szCs w:val="18"/>
              </w:rPr>
              <w:t>/</w:t>
            </w:r>
            <w:proofErr w:type="spellStart"/>
            <w:r w:rsidRPr="00EF1352">
              <w:rPr>
                <w:rFonts w:eastAsia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  <w:tcBorders>
              <w:top w:val="double" w:sz="4" w:space="0" w:color="auto"/>
              <w:bottom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673183" w:rsidRPr="00EF1352" w:rsidRDefault="00673183" w:rsidP="00CD3F63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EF1352">
              <w:rPr>
                <w:rFonts w:eastAsia="Times New Roman"/>
                <w:b/>
                <w:sz w:val="18"/>
                <w:szCs w:val="18"/>
              </w:rPr>
              <w:t>Целевой показатель</w:t>
            </w:r>
            <w:r w:rsidRPr="00EF1352">
              <w:rPr>
                <w:rFonts w:eastAsia="Times New Roman"/>
                <w:b/>
                <w:sz w:val="18"/>
                <w:szCs w:val="18"/>
              </w:rPr>
              <w:br/>
              <w:t>(наименование)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bottom w:val="single" w:sz="6" w:space="0" w:color="auto"/>
            </w:tcBorders>
            <w:shd w:val="clear" w:color="auto" w:fill="EAF1DD" w:themeFill="accent3" w:themeFillTint="33"/>
            <w:vAlign w:val="center"/>
          </w:tcPr>
          <w:p w:rsidR="00673183" w:rsidRPr="00EF1352" w:rsidRDefault="00673183" w:rsidP="00CD3F63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EF1352">
              <w:rPr>
                <w:rFonts w:eastAsia="Times New Roman"/>
                <w:b/>
                <w:sz w:val="18"/>
                <w:szCs w:val="18"/>
              </w:rPr>
              <w:t xml:space="preserve">Ед. </w:t>
            </w:r>
            <w:proofErr w:type="spellStart"/>
            <w:r w:rsidRPr="00EF1352">
              <w:rPr>
                <w:rFonts w:eastAsia="Times New Roman"/>
                <w:b/>
                <w:sz w:val="18"/>
                <w:szCs w:val="18"/>
              </w:rPr>
              <w:t>изм</w:t>
            </w:r>
            <w:proofErr w:type="spellEnd"/>
            <w:r w:rsidRPr="00EF1352">
              <w:rPr>
                <w:rFonts w:eastAsia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bottom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673183" w:rsidRPr="00EF1352" w:rsidRDefault="00673183" w:rsidP="00CD3F63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План</w:t>
            </w:r>
          </w:p>
        </w:tc>
        <w:tc>
          <w:tcPr>
            <w:tcW w:w="2693" w:type="dxa"/>
            <w:gridSpan w:val="3"/>
            <w:tcBorders>
              <w:top w:val="double" w:sz="4" w:space="0" w:color="auto"/>
              <w:bottom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673183" w:rsidRPr="00EF1352" w:rsidRDefault="00673183" w:rsidP="0009506B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EF1352">
              <w:rPr>
                <w:rFonts w:eastAsia="Times New Roman"/>
                <w:b/>
                <w:sz w:val="18"/>
                <w:szCs w:val="18"/>
              </w:rPr>
              <w:t xml:space="preserve">Значения целевых показателей госпрограммы, подпрограммы </w:t>
            </w:r>
          </w:p>
        </w:tc>
      </w:tr>
      <w:tr w:rsidR="00673183" w:rsidRPr="00EF1352" w:rsidTr="00F55A8B">
        <w:trPr>
          <w:trHeight w:val="240"/>
        </w:trPr>
        <w:tc>
          <w:tcPr>
            <w:tcW w:w="426" w:type="dxa"/>
            <w:vMerge/>
            <w:tcBorders>
              <w:top w:val="single" w:sz="6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73183" w:rsidRPr="00EF1352" w:rsidRDefault="00673183" w:rsidP="00CD3F63">
            <w:pPr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  <w:vMerge/>
            <w:tcBorders>
              <w:top w:val="single" w:sz="6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73183" w:rsidRPr="00EF1352" w:rsidRDefault="00673183" w:rsidP="00CD3F63">
            <w:pPr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</w:tcPr>
          <w:p w:rsidR="00673183" w:rsidRPr="00EF1352" w:rsidRDefault="00673183" w:rsidP="00CD3F63">
            <w:pPr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73183" w:rsidRPr="00EF1352" w:rsidRDefault="00673183" w:rsidP="00CD3F63">
            <w:pPr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73183" w:rsidRDefault="00673183" w:rsidP="00CD3F63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Факт</w:t>
            </w:r>
          </w:p>
          <w:p w:rsidR="00673183" w:rsidRPr="00EF1352" w:rsidRDefault="00673183" w:rsidP="00CD3F63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2017</w:t>
            </w:r>
            <w:r w:rsidR="009731F3">
              <w:rPr>
                <w:rFonts w:eastAsia="Times New Roman"/>
                <w:b/>
                <w:sz w:val="18"/>
                <w:szCs w:val="18"/>
              </w:rPr>
              <w:t xml:space="preserve"> г.</w:t>
            </w:r>
          </w:p>
        </w:tc>
        <w:tc>
          <w:tcPr>
            <w:tcW w:w="851" w:type="dxa"/>
            <w:tcBorders>
              <w:top w:val="single" w:sz="6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73183" w:rsidRDefault="00673183" w:rsidP="00CD3F63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EF1352">
              <w:rPr>
                <w:rFonts w:eastAsia="Times New Roman"/>
                <w:b/>
                <w:sz w:val="18"/>
                <w:szCs w:val="18"/>
              </w:rPr>
              <w:t>Факт</w:t>
            </w:r>
          </w:p>
          <w:p w:rsidR="00673183" w:rsidRPr="00EF1352" w:rsidRDefault="00673183" w:rsidP="00CD3F63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2018</w:t>
            </w:r>
            <w:r w:rsidR="009731F3">
              <w:rPr>
                <w:rFonts w:eastAsia="Times New Roman"/>
                <w:b/>
                <w:sz w:val="18"/>
                <w:szCs w:val="18"/>
              </w:rPr>
              <w:t xml:space="preserve"> г.</w:t>
            </w:r>
          </w:p>
        </w:tc>
        <w:tc>
          <w:tcPr>
            <w:tcW w:w="992" w:type="dxa"/>
            <w:tcBorders>
              <w:top w:val="single" w:sz="6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</w:tcPr>
          <w:p w:rsidR="00673183" w:rsidRDefault="00673183" w:rsidP="00CD3F63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Факт</w:t>
            </w:r>
          </w:p>
          <w:p w:rsidR="00673183" w:rsidRPr="00EF1352" w:rsidRDefault="00673183" w:rsidP="009731F3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eastAsia="Times New Roman"/>
                <w:b/>
                <w:sz w:val="18"/>
                <w:szCs w:val="18"/>
              </w:rPr>
              <w:t>полуг</w:t>
            </w:r>
            <w:r w:rsidR="009731F3">
              <w:rPr>
                <w:rFonts w:eastAsia="Times New Roman"/>
                <w:b/>
                <w:sz w:val="18"/>
                <w:szCs w:val="18"/>
              </w:rPr>
              <w:t>-</w:t>
            </w:r>
            <w:r>
              <w:rPr>
                <w:rFonts w:eastAsia="Times New Roman"/>
                <w:b/>
                <w:sz w:val="18"/>
                <w:szCs w:val="18"/>
              </w:rPr>
              <w:t>е</w:t>
            </w:r>
            <w:proofErr w:type="spellEnd"/>
            <w:r>
              <w:rPr>
                <w:rFonts w:eastAsia="Times New Roman"/>
                <w:b/>
                <w:sz w:val="18"/>
                <w:szCs w:val="18"/>
              </w:rPr>
              <w:t xml:space="preserve"> 2019</w:t>
            </w:r>
            <w:r w:rsidR="009731F3">
              <w:rPr>
                <w:rFonts w:eastAsia="Times New Roman"/>
                <w:b/>
                <w:sz w:val="18"/>
                <w:szCs w:val="18"/>
              </w:rPr>
              <w:t xml:space="preserve"> г.</w:t>
            </w:r>
          </w:p>
        </w:tc>
      </w:tr>
      <w:tr w:rsidR="00673183" w:rsidRPr="00EF1352" w:rsidTr="00F55A8B">
        <w:trPr>
          <w:trHeight w:val="138"/>
        </w:trPr>
        <w:tc>
          <w:tcPr>
            <w:tcW w:w="10065" w:type="dxa"/>
            <w:gridSpan w:val="7"/>
            <w:tcBorders>
              <w:top w:val="double" w:sz="4" w:space="0" w:color="auto"/>
            </w:tcBorders>
          </w:tcPr>
          <w:p w:rsidR="00673183" w:rsidRPr="00EF1352" w:rsidRDefault="00673183" w:rsidP="00CD3F63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F1352">
              <w:rPr>
                <w:rFonts w:eastAsia="Times New Roman"/>
                <w:b/>
                <w:sz w:val="18"/>
                <w:szCs w:val="18"/>
              </w:rPr>
              <w:t xml:space="preserve">Государственная </w:t>
            </w:r>
            <w:r>
              <w:rPr>
                <w:rFonts w:eastAsia="Times New Roman"/>
                <w:b/>
                <w:sz w:val="18"/>
                <w:szCs w:val="18"/>
              </w:rPr>
              <w:t>программа «</w:t>
            </w:r>
            <w:r w:rsidRPr="00EF1352">
              <w:rPr>
                <w:rFonts w:eastAsia="Times New Roman"/>
                <w:b/>
                <w:sz w:val="18"/>
                <w:szCs w:val="18"/>
              </w:rPr>
              <w:t>Экономическое развитие и инновационная экономика</w:t>
            </w:r>
            <w:r>
              <w:rPr>
                <w:rFonts w:eastAsia="Times New Roman"/>
                <w:b/>
                <w:sz w:val="18"/>
                <w:szCs w:val="18"/>
              </w:rPr>
              <w:t>»</w:t>
            </w:r>
          </w:p>
        </w:tc>
      </w:tr>
      <w:tr w:rsidR="00673183" w:rsidRPr="00EF1352" w:rsidTr="00F55A8B">
        <w:trPr>
          <w:trHeight w:val="661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73183" w:rsidRPr="00EF1352" w:rsidRDefault="00673183" w:rsidP="00CD3F63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673183" w:rsidRPr="00374D9C" w:rsidRDefault="00673183" w:rsidP="0050229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011F">
              <w:rPr>
                <w:rFonts w:ascii="Times New Roman" w:hAnsi="Times New Roman" w:cs="Times New Roman"/>
                <w:sz w:val="18"/>
                <w:szCs w:val="18"/>
              </w:rPr>
              <w:t>Уровень удовлетворенности граждан Р</w:t>
            </w:r>
            <w:r w:rsidR="0050229C">
              <w:rPr>
                <w:rFonts w:ascii="Times New Roman" w:hAnsi="Times New Roman" w:cs="Times New Roman"/>
                <w:sz w:val="18"/>
                <w:szCs w:val="18"/>
              </w:rPr>
              <w:t>Ф</w:t>
            </w:r>
            <w:r w:rsidRPr="00C1011F">
              <w:rPr>
                <w:rFonts w:ascii="Times New Roman" w:hAnsi="Times New Roman" w:cs="Times New Roman"/>
                <w:sz w:val="18"/>
                <w:szCs w:val="18"/>
              </w:rPr>
              <w:t xml:space="preserve"> качеством предоставления государственных и муниципальных услуг на территории Волгоградской области</w:t>
            </w:r>
          </w:p>
        </w:tc>
        <w:tc>
          <w:tcPr>
            <w:tcW w:w="709" w:type="dxa"/>
            <w:vAlign w:val="center"/>
          </w:tcPr>
          <w:p w:rsidR="00673183" w:rsidRDefault="00673183" w:rsidP="00CD3F63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%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3183" w:rsidRPr="00EF1352" w:rsidRDefault="00673183" w:rsidP="00CD3F63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90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73183" w:rsidRPr="00EF1352" w:rsidRDefault="00673183" w:rsidP="00CD3F63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97,53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73183" w:rsidRPr="00EF1352" w:rsidRDefault="00673183" w:rsidP="00097E6F">
            <w:pPr>
              <w:ind w:right="-8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98,9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73183" w:rsidRPr="00EF1352" w:rsidRDefault="00673183" w:rsidP="00CD3F63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99,1</w:t>
            </w:r>
          </w:p>
        </w:tc>
      </w:tr>
      <w:tr w:rsidR="008B64C9" w:rsidRPr="00EF1352" w:rsidTr="00F55A8B">
        <w:trPr>
          <w:trHeight w:val="873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8B64C9" w:rsidRPr="00601C1B" w:rsidRDefault="008B64C9" w:rsidP="00CD3F63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601C1B"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:rsidR="008B64C9" w:rsidRPr="00601C1B" w:rsidRDefault="008B64C9" w:rsidP="00CD3F6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01C1B">
              <w:rPr>
                <w:rFonts w:ascii="Times New Roman" w:hAnsi="Times New Roman" w:cs="Times New Roman"/>
                <w:sz w:val="18"/>
                <w:szCs w:val="18"/>
              </w:rPr>
              <w:t>Доля многофункциональных центров предоставления государственных и муниципальных услуг, территориально обособленных структурных подразделений и привлекаемых организаций, предоставляющих государственные и муниципальные услуги, в которых обеспечивается предоставление специализированных услуг для предпринимателей</w:t>
            </w:r>
          </w:p>
        </w:tc>
        <w:tc>
          <w:tcPr>
            <w:tcW w:w="709" w:type="dxa"/>
            <w:vAlign w:val="center"/>
          </w:tcPr>
          <w:p w:rsidR="008B64C9" w:rsidRPr="00601C1B" w:rsidRDefault="008B64C9" w:rsidP="00CD3F63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601C1B">
              <w:rPr>
                <w:rFonts w:eastAsia="Times New Roman"/>
                <w:sz w:val="18"/>
                <w:szCs w:val="18"/>
              </w:rPr>
              <w:t>%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1324" w:rsidRPr="00601C1B" w:rsidRDefault="00601C1B" w:rsidP="00CD3F63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601C1B">
              <w:rPr>
                <w:rFonts w:eastAsia="Times New Roman"/>
                <w:sz w:val="18"/>
                <w:szCs w:val="18"/>
              </w:rPr>
              <w:t>2017</w:t>
            </w:r>
            <w:r w:rsidR="00307CE9">
              <w:rPr>
                <w:rFonts w:eastAsia="Times New Roman"/>
                <w:sz w:val="18"/>
                <w:szCs w:val="18"/>
              </w:rPr>
              <w:t>г.</w:t>
            </w:r>
            <w:r w:rsidRPr="00601C1B">
              <w:rPr>
                <w:rFonts w:eastAsia="Times New Roman"/>
                <w:sz w:val="18"/>
                <w:szCs w:val="18"/>
              </w:rPr>
              <w:t>- 20, 2018</w:t>
            </w:r>
            <w:r w:rsidR="00307CE9">
              <w:rPr>
                <w:rFonts w:eastAsia="Times New Roman"/>
                <w:sz w:val="18"/>
                <w:szCs w:val="18"/>
              </w:rPr>
              <w:t>г.</w:t>
            </w:r>
            <w:r w:rsidRPr="00601C1B">
              <w:rPr>
                <w:rFonts w:eastAsia="Times New Roman"/>
                <w:sz w:val="18"/>
                <w:szCs w:val="18"/>
              </w:rPr>
              <w:t>- 20,</w:t>
            </w:r>
          </w:p>
          <w:p w:rsidR="00601C1B" w:rsidRPr="00601C1B" w:rsidRDefault="00601C1B" w:rsidP="00CD3F63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601C1B">
              <w:rPr>
                <w:rFonts w:eastAsia="Times New Roman"/>
                <w:sz w:val="18"/>
                <w:szCs w:val="18"/>
              </w:rPr>
              <w:t>2019</w:t>
            </w:r>
            <w:r w:rsidR="00307CE9">
              <w:rPr>
                <w:rFonts w:eastAsia="Times New Roman"/>
                <w:sz w:val="18"/>
                <w:szCs w:val="18"/>
              </w:rPr>
              <w:t>г.</w:t>
            </w:r>
            <w:r w:rsidRPr="00601C1B">
              <w:rPr>
                <w:rFonts w:eastAsia="Times New Roman"/>
                <w:sz w:val="18"/>
                <w:szCs w:val="18"/>
              </w:rPr>
              <w:t xml:space="preserve"> - 21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B64C9" w:rsidRPr="00601C1B" w:rsidRDefault="008B64C9" w:rsidP="00CD3F63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601C1B">
              <w:rPr>
                <w:rFonts w:eastAsia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64C9" w:rsidRPr="00601C1B" w:rsidRDefault="008B64C9" w:rsidP="00097E6F">
            <w:pPr>
              <w:ind w:right="-8"/>
              <w:jc w:val="center"/>
              <w:rPr>
                <w:rFonts w:eastAsia="Times New Roman"/>
                <w:sz w:val="18"/>
                <w:szCs w:val="18"/>
              </w:rPr>
            </w:pPr>
            <w:r w:rsidRPr="00601C1B">
              <w:rPr>
                <w:rFonts w:eastAsia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64C9" w:rsidRPr="00601C1B" w:rsidRDefault="008B64C9" w:rsidP="00CD3F63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601C1B">
              <w:rPr>
                <w:rFonts w:eastAsia="Times New Roman"/>
                <w:sz w:val="18"/>
                <w:szCs w:val="18"/>
              </w:rPr>
              <w:t>100</w:t>
            </w:r>
          </w:p>
        </w:tc>
      </w:tr>
      <w:tr w:rsidR="00673183" w:rsidRPr="00EF1352" w:rsidTr="00F55A8B">
        <w:trPr>
          <w:trHeight w:val="183"/>
        </w:trPr>
        <w:tc>
          <w:tcPr>
            <w:tcW w:w="10065" w:type="dxa"/>
            <w:gridSpan w:val="7"/>
            <w:shd w:val="clear" w:color="auto" w:fill="auto"/>
            <w:noWrap/>
            <w:vAlign w:val="center"/>
            <w:hideMark/>
          </w:tcPr>
          <w:p w:rsidR="00673183" w:rsidRPr="00EF1352" w:rsidRDefault="00673183" w:rsidP="00CD3F63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F1352">
              <w:rPr>
                <w:rFonts w:eastAsia="Times New Roman"/>
                <w:b/>
                <w:i/>
                <w:sz w:val="18"/>
                <w:szCs w:val="18"/>
              </w:rPr>
              <w:t xml:space="preserve">подпрограмма </w:t>
            </w:r>
            <w:r>
              <w:rPr>
                <w:rFonts w:eastAsia="Times New Roman"/>
                <w:b/>
                <w:i/>
                <w:sz w:val="18"/>
                <w:szCs w:val="18"/>
              </w:rPr>
              <w:t>«</w:t>
            </w:r>
            <w:r w:rsidRPr="00EF1352">
              <w:rPr>
                <w:rFonts w:eastAsia="Times New Roman"/>
                <w:b/>
                <w:i/>
                <w:sz w:val="18"/>
                <w:szCs w:val="18"/>
              </w:rPr>
              <w:t>Совершенствование государственного и муниципального управления</w:t>
            </w:r>
            <w:r>
              <w:rPr>
                <w:rFonts w:eastAsia="Times New Roman"/>
                <w:b/>
                <w:i/>
                <w:sz w:val="18"/>
                <w:szCs w:val="18"/>
              </w:rPr>
              <w:t>»</w:t>
            </w:r>
          </w:p>
        </w:tc>
      </w:tr>
      <w:tr w:rsidR="00673183" w:rsidRPr="00EF1352" w:rsidTr="00F55A8B">
        <w:trPr>
          <w:trHeight w:val="881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73183" w:rsidRPr="00EF1352" w:rsidRDefault="0050229C" w:rsidP="00CD3F63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673183" w:rsidRPr="00EF1352" w:rsidRDefault="00673183" w:rsidP="00C366BB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EF1352">
              <w:rPr>
                <w:rFonts w:eastAsia="Times New Roman"/>
                <w:sz w:val="18"/>
                <w:szCs w:val="18"/>
              </w:rPr>
              <w:t>Доля граждан, имеющих доступ к получению государственных и м</w:t>
            </w:r>
            <w:r w:rsidR="00C366BB">
              <w:rPr>
                <w:rFonts w:eastAsia="Times New Roman"/>
                <w:sz w:val="18"/>
                <w:szCs w:val="18"/>
              </w:rPr>
              <w:t xml:space="preserve">униципальных услуг по принципу </w:t>
            </w:r>
            <w:r w:rsidR="00C366BB" w:rsidRPr="00C366BB">
              <w:rPr>
                <w:rFonts w:eastAsiaTheme="minorHAnsi"/>
                <w:sz w:val="18"/>
                <w:szCs w:val="18"/>
                <w:lang w:eastAsia="en-US"/>
              </w:rPr>
              <w:t>«</w:t>
            </w:r>
            <w:r w:rsidRPr="00C366BB">
              <w:rPr>
                <w:rFonts w:eastAsia="Times New Roman"/>
                <w:sz w:val="18"/>
                <w:szCs w:val="18"/>
              </w:rPr>
              <w:t>одного окна</w:t>
            </w:r>
            <w:r w:rsidR="00C366BB" w:rsidRPr="00C366BB">
              <w:rPr>
                <w:sz w:val="18"/>
                <w:szCs w:val="18"/>
              </w:rPr>
              <w:t>»</w:t>
            </w:r>
            <w:r w:rsidRPr="00C366BB">
              <w:rPr>
                <w:rFonts w:eastAsia="Times New Roman"/>
                <w:sz w:val="18"/>
                <w:szCs w:val="18"/>
              </w:rPr>
              <w:t xml:space="preserve"> по месту</w:t>
            </w:r>
            <w:r w:rsidRPr="00EF1352">
              <w:rPr>
                <w:rFonts w:eastAsia="Times New Roman"/>
                <w:sz w:val="18"/>
                <w:szCs w:val="18"/>
              </w:rPr>
              <w:t xml:space="preserve"> пребывания, в том числе в многофункциональных центрах предоставления государственных и муниципальных услуг</w:t>
            </w:r>
          </w:p>
        </w:tc>
        <w:tc>
          <w:tcPr>
            <w:tcW w:w="709" w:type="dxa"/>
            <w:vAlign w:val="center"/>
          </w:tcPr>
          <w:p w:rsidR="00673183" w:rsidRPr="00EF1352" w:rsidRDefault="00673183" w:rsidP="00CD3F63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F1352">
              <w:rPr>
                <w:rFonts w:eastAsia="Times New Roman"/>
                <w:sz w:val="18"/>
                <w:szCs w:val="18"/>
              </w:rPr>
              <w:t>%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73183" w:rsidRPr="00EF1352" w:rsidRDefault="00673183" w:rsidP="00CD3F63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90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73183" w:rsidRPr="00EF1352" w:rsidRDefault="00673183" w:rsidP="00CD3F63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98,2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73183" w:rsidRPr="00EF1352" w:rsidRDefault="00673183" w:rsidP="00CD3F63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99,1</w:t>
            </w:r>
          </w:p>
        </w:tc>
        <w:tc>
          <w:tcPr>
            <w:tcW w:w="992" w:type="dxa"/>
            <w:vAlign w:val="center"/>
          </w:tcPr>
          <w:p w:rsidR="00673183" w:rsidRPr="00FB345F" w:rsidRDefault="00FB345F" w:rsidP="00CD3F63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B345F">
              <w:rPr>
                <w:rFonts w:eastAsia="Times New Roman"/>
                <w:sz w:val="18"/>
                <w:szCs w:val="18"/>
              </w:rPr>
              <w:t>99,1</w:t>
            </w:r>
          </w:p>
        </w:tc>
      </w:tr>
      <w:tr w:rsidR="00673183" w:rsidRPr="00EF1352" w:rsidTr="00F55A8B">
        <w:trPr>
          <w:trHeight w:val="667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73183" w:rsidRPr="00EF1352" w:rsidRDefault="0050229C" w:rsidP="00CD3F63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673183" w:rsidRPr="00EF1352" w:rsidRDefault="00673183" w:rsidP="00CD3F63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EF1352">
              <w:rPr>
                <w:rFonts w:eastAsia="Times New Roman"/>
                <w:sz w:val="18"/>
                <w:szCs w:val="18"/>
              </w:rPr>
              <w:t>Среднее время ожидания в очереди при обращении заявителя в орган государственной власти (орган местного самоуправления) для получения государственных (муниципальных) услуг</w:t>
            </w:r>
          </w:p>
        </w:tc>
        <w:tc>
          <w:tcPr>
            <w:tcW w:w="709" w:type="dxa"/>
            <w:vAlign w:val="center"/>
          </w:tcPr>
          <w:p w:rsidR="00673183" w:rsidRPr="00EF1352" w:rsidRDefault="00F55A8B" w:rsidP="00F55A8B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м</w:t>
            </w:r>
            <w:r w:rsidR="00673183" w:rsidRPr="00EF1352">
              <w:rPr>
                <w:rFonts w:eastAsia="Times New Roman"/>
                <w:sz w:val="18"/>
                <w:szCs w:val="18"/>
              </w:rPr>
              <w:t>ин</w:t>
            </w:r>
            <w:r>
              <w:rPr>
                <w:rFonts w:eastAsia="Times New Roman"/>
                <w:sz w:val="18"/>
                <w:szCs w:val="18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73183" w:rsidRPr="00EF1352" w:rsidRDefault="00673183" w:rsidP="00CD3F63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73183" w:rsidRPr="00EF1352" w:rsidRDefault="00673183" w:rsidP="00CD3F63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11,</w:t>
            </w:r>
            <w:r w:rsidRPr="00F218B2">
              <w:rPr>
                <w:rFonts w:eastAsia="Times New Roman"/>
                <w:sz w:val="18"/>
                <w:szCs w:val="18"/>
              </w:rPr>
              <w:t>31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73183" w:rsidRPr="00EF1352" w:rsidRDefault="00673183" w:rsidP="00CD3F63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10,52</w:t>
            </w:r>
          </w:p>
        </w:tc>
        <w:tc>
          <w:tcPr>
            <w:tcW w:w="992" w:type="dxa"/>
            <w:vAlign w:val="center"/>
          </w:tcPr>
          <w:p w:rsidR="00673183" w:rsidRPr="00EF1352" w:rsidRDefault="00673183" w:rsidP="002C17E8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10,15</w:t>
            </w:r>
          </w:p>
        </w:tc>
      </w:tr>
    </w:tbl>
    <w:p w:rsidR="00673183" w:rsidRPr="008A05C6" w:rsidRDefault="00673183" w:rsidP="00B97C6F">
      <w:pPr>
        <w:ind w:firstLine="680"/>
        <w:jc w:val="both"/>
        <w:rPr>
          <w:rFonts w:eastAsia="Times New Roman"/>
        </w:rPr>
      </w:pPr>
      <w:r w:rsidRPr="008A05C6">
        <w:rPr>
          <w:rFonts w:eastAsiaTheme="minorHAnsi"/>
          <w:lang w:eastAsia="en-US"/>
        </w:rPr>
        <w:t>Расчет показателей «</w:t>
      </w:r>
      <w:r w:rsidRPr="008A05C6">
        <w:rPr>
          <w:rFonts w:eastAsia="Times New Roman"/>
        </w:rPr>
        <w:t>Среднее время ожидания в очереди при обращении заявителя в орган государственной власти (орган местного самоуправления) для получения государственных (муниципальных) услуг» и «</w:t>
      </w:r>
      <w:r w:rsidRPr="008A05C6">
        <w:t>Уровень удовлетворенности граждан Р</w:t>
      </w:r>
      <w:r w:rsidR="006F1F31" w:rsidRPr="008A05C6">
        <w:t xml:space="preserve">Ф </w:t>
      </w:r>
      <w:r w:rsidRPr="008A05C6">
        <w:t>качеством предоставления государственных и муниципальных услуг на территории Волгоградской области»</w:t>
      </w:r>
      <w:r w:rsidRPr="008A05C6">
        <w:rPr>
          <w:rFonts w:eastAsiaTheme="minorHAnsi"/>
          <w:lang w:eastAsia="en-US"/>
        </w:rPr>
        <w:t xml:space="preserve"> осуществлялся по результатам мониторинга качества предоставления </w:t>
      </w:r>
      <w:r w:rsidR="003A002E" w:rsidRPr="008A05C6">
        <w:rPr>
          <w:rFonts w:eastAsiaTheme="minorHAnsi"/>
          <w:lang w:eastAsia="en-US"/>
        </w:rPr>
        <w:t>государственных и муниципаль</w:t>
      </w:r>
      <w:r w:rsidR="009A3B7F">
        <w:rPr>
          <w:rFonts w:eastAsiaTheme="minorHAnsi"/>
          <w:lang w:eastAsia="en-US"/>
        </w:rPr>
        <w:t xml:space="preserve">ных услуг </w:t>
      </w:r>
      <w:r w:rsidRPr="008A05C6">
        <w:rPr>
          <w:rFonts w:eastAsiaTheme="minorHAnsi"/>
          <w:lang w:eastAsia="en-US"/>
        </w:rPr>
        <w:t xml:space="preserve">на территории Волгоградской области </w:t>
      </w:r>
      <w:r w:rsidR="003A002E" w:rsidRPr="008A05C6">
        <w:rPr>
          <w:rFonts w:eastAsiaTheme="minorHAnsi"/>
          <w:lang w:eastAsia="en-US"/>
        </w:rPr>
        <w:t>(далее – Мониторинг</w:t>
      </w:r>
      <w:r w:rsidR="003A002E" w:rsidRPr="00EE4561">
        <w:rPr>
          <w:rFonts w:eastAsiaTheme="minorHAnsi"/>
          <w:lang w:eastAsia="en-US"/>
        </w:rPr>
        <w:t xml:space="preserve">) </w:t>
      </w:r>
      <w:r w:rsidRPr="00EE4561">
        <w:rPr>
          <w:rFonts w:eastAsiaTheme="minorHAnsi"/>
          <w:lang w:eastAsia="en-US"/>
        </w:rPr>
        <w:t xml:space="preserve">в рамках </w:t>
      </w:r>
      <w:r w:rsidR="00006791" w:rsidRPr="00EE4561">
        <w:rPr>
          <w:rFonts w:eastAsiaTheme="minorHAnsi"/>
          <w:lang w:eastAsia="en-US"/>
        </w:rPr>
        <w:t>П</w:t>
      </w:r>
      <w:r w:rsidRPr="00EE4561">
        <w:rPr>
          <w:rFonts w:eastAsiaTheme="minorHAnsi"/>
          <w:lang w:eastAsia="en-US"/>
        </w:rPr>
        <w:t>рограммы</w:t>
      </w:r>
      <w:r w:rsidR="00006791" w:rsidRPr="00EE4561">
        <w:rPr>
          <w:rFonts w:eastAsiaTheme="minorHAnsi"/>
          <w:lang w:eastAsia="en-US"/>
        </w:rPr>
        <w:t xml:space="preserve"> п</w:t>
      </w:r>
      <w:r w:rsidR="00E633D1" w:rsidRPr="00EE4561">
        <w:rPr>
          <w:rFonts w:eastAsiaTheme="minorHAnsi"/>
          <w:lang w:eastAsia="en-US"/>
        </w:rPr>
        <w:t xml:space="preserve">роведения </w:t>
      </w:r>
      <w:r w:rsidR="00006791" w:rsidRPr="00EE4561">
        <w:rPr>
          <w:rFonts w:eastAsiaTheme="minorHAnsi"/>
          <w:lang w:eastAsia="en-US"/>
        </w:rPr>
        <w:t>м</w:t>
      </w:r>
      <w:r w:rsidRPr="00EE4561">
        <w:rPr>
          <w:rFonts w:eastAsiaTheme="minorHAnsi"/>
          <w:lang w:eastAsia="en-US"/>
        </w:rPr>
        <w:t>ониторинга</w:t>
      </w:r>
      <w:r w:rsidR="00E633D1" w:rsidRPr="00EE4561">
        <w:rPr>
          <w:rFonts w:eastAsiaTheme="minorHAnsi"/>
          <w:lang w:eastAsia="en-US"/>
        </w:rPr>
        <w:t xml:space="preserve"> в 2017 году</w:t>
      </w:r>
      <w:r w:rsidRPr="00EE4561">
        <w:rPr>
          <w:rFonts w:eastAsiaTheme="minorHAnsi"/>
          <w:lang w:eastAsia="en-US"/>
        </w:rPr>
        <w:t>, утвержд</w:t>
      </w:r>
      <w:r w:rsidR="00E633D1" w:rsidRPr="00EE4561">
        <w:rPr>
          <w:rFonts w:eastAsiaTheme="minorHAnsi"/>
          <w:lang w:eastAsia="en-US"/>
        </w:rPr>
        <w:t xml:space="preserve">енной приказом </w:t>
      </w:r>
      <w:proofErr w:type="spellStart"/>
      <w:r w:rsidR="00E633D1" w:rsidRPr="00EE4561">
        <w:rPr>
          <w:rFonts w:eastAsiaTheme="minorHAnsi"/>
          <w:lang w:eastAsia="en-US"/>
        </w:rPr>
        <w:t>Облкомэкономразвития</w:t>
      </w:r>
      <w:proofErr w:type="spellEnd"/>
      <w:r w:rsidR="00E633D1" w:rsidRPr="00EE4561">
        <w:rPr>
          <w:rFonts w:eastAsiaTheme="minorHAnsi"/>
          <w:lang w:eastAsia="en-US"/>
        </w:rPr>
        <w:t xml:space="preserve"> от 18.08.2017 № 188, и вносимых в нее ежегодно изменений (далее – Программа мониторинга).</w:t>
      </w:r>
    </w:p>
    <w:p w:rsidR="00673183" w:rsidRPr="002A62A5" w:rsidRDefault="00AA08D3" w:rsidP="002A62A5">
      <w:pPr>
        <w:pStyle w:val="afa"/>
        <w:ind w:firstLine="680"/>
        <w:jc w:val="both"/>
        <w:rPr>
          <w:sz w:val="24"/>
          <w:szCs w:val="24"/>
        </w:rPr>
      </w:pPr>
      <w:r w:rsidRPr="002A62A5">
        <w:rPr>
          <w:sz w:val="24"/>
          <w:szCs w:val="24"/>
        </w:rPr>
        <w:t xml:space="preserve">В 2017-2018 годах и 1 полугодии 2019 года </w:t>
      </w:r>
      <w:r w:rsidR="002A62A5" w:rsidRPr="00EE4561">
        <w:rPr>
          <w:sz w:val="24"/>
          <w:szCs w:val="24"/>
        </w:rPr>
        <w:t>Мониторинг проводился на основании</w:t>
      </w:r>
      <w:r w:rsidR="002A62A5" w:rsidRPr="009A3B7F">
        <w:rPr>
          <w:sz w:val="24"/>
          <w:szCs w:val="24"/>
          <w:u w:val="single"/>
        </w:rPr>
        <w:t xml:space="preserve"> </w:t>
      </w:r>
      <w:r w:rsidR="00673183" w:rsidRPr="009A3B7F">
        <w:rPr>
          <w:sz w:val="24"/>
          <w:szCs w:val="24"/>
          <w:u w:val="single"/>
        </w:rPr>
        <w:t>опрос</w:t>
      </w:r>
      <w:r w:rsidR="002A62A5" w:rsidRPr="009A3B7F">
        <w:rPr>
          <w:sz w:val="24"/>
          <w:szCs w:val="24"/>
          <w:u w:val="single"/>
        </w:rPr>
        <w:t>а</w:t>
      </w:r>
      <w:r w:rsidR="00673183" w:rsidRPr="009A3B7F">
        <w:rPr>
          <w:sz w:val="24"/>
          <w:szCs w:val="24"/>
          <w:u w:val="single"/>
        </w:rPr>
        <w:t xml:space="preserve"> заявителей</w:t>
      </w:r>
      <w:r w:rsidR="00673183" w:rsidRPr="002A62A5">
        <w:rPr>
          <w:sz w:val="24"/>
          <w:szCs w:val="24"/>
        </w:rPr>
        <w:t xml:space="preserve">, </w:t>
      </w:r>
      <w:r w:rsidR="00673183" w:rsidRPr="00EE4561">
        <w:rPr>
          <w:sz w:val="24"/>
          <w:szCs w:val="24"/>
          <w:u w:val="single"/>
        </w:rPr>
        <w:t>обратившихся в органы власти и МФЦ</w:t>
      </w:r>
      <w:r>
        <w:rPr>
          <w:sz w:val="24"/>
          <w:szCs w:val="24"/>
        </w:rPr>
        <w:t xml:space="preserve">, </w:t>
      </w:r>
      <w:r w:rsidR="00673183" w:rsidRPr="002A62A5">
        <w:rPr>
          <w:sz w:val="24"/>
          <w:szCs w:val="24"/>
        </w:rPr>
        <w:t>в разрезе наиболее распространенных (массовых) вариантов получения услуг</w:t>
      </w:r>
      <w:r w:rsidR="00DD3B9B" w:rsidRPr="002A62A5">
        <w:rPr>
          <w:sz w:val="24"/>
          <w:szCs w:val="24"/>
        </w:rPr>
        <w:t xml:space="preserve"> (</w:t>
      </w:r>
      <w:r w:rsidR="00673183" w:rsidRPr="002A62A5">
        <w:rPr>
          <w:sz w:val="24"/>
          <w:szCs w:val="24"/>
        </w:rPr>
        <w:t>«Регистрационный учет граждан Р</w:t>
      </w:r>
      <w:r w:rsidR="00B97C6F" w:rsidRPr="002A62A5">
        <w:rPr>
          <w:sz w:val="24"/>
          <w:szCs w:val="24"/>
        </w:rPr>
        <w:t>Ф</w:t>
      </w:r>
      <w:r w:rsidR="00673183" w:rsidRPr="002A62A5">
        <w:rPr>
          <w:sz w:val="24"/>
          <w:szCs w:val="24"/>
        </w:rPr>
        <w:t xml:space="preserve"> по месту пребывания и по месту жительства в пределах Р</w:t>
      </w:r>
      <w:r w:rsidR="00B97C6F" w:rsidRPr="002A62A5">
        <w:rPr>
          <w:sz w:val="24"/>
          <w:szCs w:val="24"/>
        </w:rPr>
        <w:t>Ф</w:t>
      </w:r>
      <w:r w:rsidR="00673183" w:rsidRPr="002A62A5">
        <w:rPr>
          <w:sz w:val="24"/>
          <w:szCs w:val="24"/>
        </w:rPr>
        <w:t>»;</w:t>
      </w:r>
      <w:r w:rsidR="00DD3B9B" w:rsidRPr="002A62A5">
        <w:rPr>
          <w:sz w:val="24"/>
          <w:szCs w:val="24"/>
        </w:rPr>
        <w:t xml:space="preserve"> </w:t>
      </w:r>
      <w:r w:rsidR="00673183" w:rsidRPr="002A62A5">
        <w:rPr>
          <w:sz w:val="24"/>
          <w:szCs w:val="24"/>
        </w:rPr>
        <w:t>«Прием заявления и документов на предоставление ежемесячного пособия по уходу за ребенком»;</w:t>
      </w:r>
      <w:r w:rsidR="006F1F31" w:rsidRPr="002A62A5">
        <w:rPr>
          <w:sz w:val="24"/>
          <w:szCs w:val="24"/>
        </w:rPr>
        <w:t xml:space="preserve"> </w:t>
      </w:r>
      <w:r w:rsidR="00673183" w:rsidRPr="002A62A5">
        <w:rPr>
          <w:sz w:val="24"/>
          <w:szCs w:val="24"/>
        </w:rPr>
        <w:t>«Предоставление субсидий на оплату жилого помещения и коммунальных услуг гражданам, проживающим на территории Волгограда»;</w:t>
      </w:r>
      <w:r w:rsidR="006F1F31" w:rsidRPr="002A62A5">
        <w:rPr>
          <w:sz w:val="24"/>
          <w:szCs w:val="24"/>
        </w:rPr>
        <w:t xml:space="preserve"> </w:t>
      </w:r>
      <w:r w:rsidR="00673183" w:rsidRPr="002A62A5">
        <w:rPr>
          <w:sz w:val="24"/>
          <w:szCs w:val="24"/>
        </w:rPr>
        <w:t>«Прием заявлений, постановка на учет для зачисления детей в образовательные учреждения, реализующие основную образовательную программу дошкольного образования»;</w:t>
      </w:r>
      <w:r w:rsidR="006F1F31" w:rsidRPr="002A62A5">
        <w:rPr>
          <w:sz w:val="24"/>
          <w:szCs w:val="24"/>
        </w:rPr>
        <w:t xml:space="preserve"> </w:t>
      </w:r>
      <w:r w:rsidR="00673183" w:rsidRPr="002A62A5">
        <w:rPr>
          <w:sz w:val="24"/>
          <w:szCs w:val="24"/>
        </w:rPr>
        <w:t>«Государственный кадастровый учет недвижимого имущества и (или) государственная регистрация прав на недвижимое имущество и сделок с ним»</w:t>
      </w:r>
      <w:r w:rsidR="00DD3B9B" w:rsidRPr="002A62A5">
        <w:rPr>
          <w:sz w:val="24"/>
          <w:szCs w:val="24"/>
        </w:rPr>
        <w:t>)</w:t>
      </w:r>
      <w:r w:rsidR="00B97C6F" w:rsidRPr="002A62A5">
        <w:rPr>
          <w:sz w:val="24"/>
          <w:szCs w:val="24"/>
        </w:rPr>
        <w:t>.</w:t>
      </w:r>
    </w:p>
    <w:p w:rsidR="00EE4561" w:rsidRDefault="00673183" w:rsidP="00EE4561">
      <w:pPr>
        <w:ind w:firstLine="680"/>
        <w:jc w:val="both"/>
      </w:pPr>
      <w:r w:rsidRPr="008A05C6">
        <w:t xml:space="preserve">Также </w:t>
      </w:r>
      <w:r w:rsidR="00FD7C23">
        <w:t xml:space="preserve">для проведения </w:t>
      </w:r>
      <w:r w:rsidR="003A002E" w:rsidRPr="008A05C6">
        <w:t>М</w:t>
      </w:r>
      <w:r w:rsidRPr="008A05C6">
        <w:t xml:space="preserve">ониторинга определены </w:t>
      </w:r>
      <w:r w:rsidR="00FD7C23">
        <w:t xml:space="preserve">следующие </w:t>
      </w:r>
      <w:r w:rsidRPr="008A05C6">
        <w:t xml:space="preserve">МФЦ и </w:t>
      </w:r>
      <w:r w:rsidR="00DD3B9B">
        <w:t>ОИВ</w:t>
      </w:r>
      <w:r w:rsidRPr="008A05C6">
        <w:t>:</w:t>
      </w:r>
      <w:r w:rsidR="009A3B7F">
        <w:t xml:space="preserve"> </w:t>
      </w:r>
      <w:r w:rsidRPr="008A05C6">
        <w:t xml:space="preserve">в 2017 году органы власти и МФЦ Кировского района г. Волгограда, Быковского и </w:t>
      </w:r>
      <w:proofErr w:type="spellStart"/>
      <w:r w:rsidRPr="008A05C6">
        <w:t>Жирновского</w:t>
      </w:r>
      <w:proofErr w:type="spellEnd"/>
      <w:r w:rsidRPr="008A05C6">
        <w:t xml:space="preserve"> муниципальных районов Волгоградской области;</w:t>
      </w:r>
      <w:r w:rsidR="006F1F31" w:rsidRPr="008A05C6">
        <w:t xml:space="preserve"> </w:t>
      </w:r>
      <w:r w:rsidRPr="008A05C6">
        <w:t xml:space="preserve">в 2018 году органы власти и МФЦ </w:t>
      </w:r>
      <w:proofErr w:type="spellStart"/>
      <w:r w:rsidRPr="008A05C6">
        <w:t>Калачевского</w:t>
      </w:r>
      <w:proofErr w:type="spellEnd"/>
      <w:r w:rsidRPr="008A05C6">
        <w:rPr>
          <w:bCs/>
        </w:rPr>
        <w:t xml:space="preserve">, </w:t>
      </w:r>
      <w:proofErr w:type="spellStart"/>
      <w:r w:rsidRPr="008A05C6">
        <w:rPr>
          <w:bCs/>
        </w:rPr>
        <w:t>Котельниковского</w:t>
      </w:r>
      <w:proofErr w:type="spellEnd"/>
      <w:r w:rsidRPr="008A05C6">
        <w:rPr>
          <w:bCs/>
        </w:rPr>
        <w:t>,</w:t>
      </w:r>
      <w:r w:rsidRPr="008A05C6">
        <w:t xml:space="preserve"> Новоаннинского муниципальных районов Волгоградской </w:t>
      </w:r>
      <w:r w:rsidRPr="008A05C6">
        <w:lastRenderedPageBreak/>
        <w:t>области;</w:t>
      </w:r>
      <w:r w:rsidR="006F1F31" w:rsidRPr="008A05C6">
        <w:t xml:space="preserve"> </w:t>
      </w:r>
      <w:r w:rsidRPr="008A05C6">
        <w:t>в 1 полугодии 2019 года органы власти и МФЦ Дубовского</w:t>
      </w:r>
      <w:r w:rsidRPr="008A05C6">
        <w:rPr>
          <w:bCs/>
        </w:rPr>
        <w:t>, Котовского,</w:t>
      </w:r>
      <w:r w:rsidRPr="008A05C6">
        <w:t xml:space="preserve"> </w:t>
      </w:r>
      <w:proofErr w:type="spellStart"/>
      <w:r w:rsidRPr="008A05C6">
        <w:t>Суровикинского</w:t>
      </w:r>
      <w:proofErr w:type="spellEnd"/>
      <w:r w:rsidRPr="008A05C6">
        <w:t xml:space="preserve"> муниципальных районов Волгоградской области.</w:t>
      </w:r>
    </w:p>
    <w:p w:rsidR="00BC194F" w:rsidRDefault="00EE4561" w:rsidP="00BC194F">
      <w:pPr>
        <w:ind w:firstLine="680"/>
        <w:jc w:val="both"/>
      </w:pPr>
      <w:r>
        <w:t>По результатам Мониторинга</w:t>
      </w:r>
      <w:r w:rsidR="00BC194F">
        <w:t>:</w:t>
      </w:r>
    </w:p>
    <w:p w:rsidR="00BC194F" w:rsidRDefault="00BC194F" w:rsidP="00BC194F">
      <w:pPr>
        <w:ind w:firstLine="680"/>
        <w:jc w:val="both"/>
      </w:pPr>
      <w:r>
        <w:t xml:space="preserve">- </w:t>
      </w:r>
      <w:r w:rsidR="00EE4561">
        <w:t>п</w:t>
      </w:r>
      <w:r w:rsidR="00F20B78" w:rsidRPr="00E4099D">
        <w:t>оказатель</w:t>
      </w:r>
      <w:r w:rsidR="00F20B78" w:rsidRPr="00FD7C23">
        <w:rPr>
          <w:i/>
        </w:rPr>
        <w:t xml:space="preserve"> </w:t>
      </w:r>
      <w:r w:rsidR="00F20B78" w:rsidRPr="00340AAE">
        <w:rPr>
          <w:b/>
          <w:i/>
        </w:rPr>
        <w:t>у</w:t>
      </w:r>
      <w:r w:rsidR="00673183" w:rsidRPr="00340AAE">
        <w:rPr>
          <w:b/>
          <w:i/>
        </w:rPr>
        <w:t>ров</w:t>
      </w:r>
      <w:r w:rsidR="00F20B78" w:rsidRPr="00340AAE">
        <w:rPr>
          <w:b/>
          <w:i/>
        </w:rPr>
        <w:t>ня</w:t>
      </w:r>
      <w:r w:rsidR="00673183" w:rsidRPr="00340AAE">
        <w:rPr>
          <w:b/>
          <w:i/>
        </w:rPr>
        <w:t xml:space="preserve"> удовлетворенности граждан качеством </w:t>
      </w:r>
      <w:r w:rsidR="00FD7C23" w:rsidRPr="00340AAE">
        <w:rPr>
          <w:b/>
          <w:i/>
        </w:rPr>
        <w:t>предоставления услуг</w:t>
      </w:r>
      <w:r w:rsidR="00FD7C23" w:rsidRPr="00FD7C23">
        <w:rPr>
          <w:i/>
        </w:rPr>
        <w:t xml:space="preserve"> </w:t>
      </w:r>
      <w:r w:rsidR="00673183" w:rsidRPr="00E4099D">
        <w:t>в 2017 году состав</w:t>
      </w:r>
      <w:r w:rsidR="00AA08D3" w:rsidRPr="00E4099D">
        <w:t>ил</w:t>
      </w:r>
      <w:r w:rsidR="00673183" w:rsidRPr="00E4099D">
        <w:t xml:space="preserve"> 97,53%, в 2018 году - 98,9%, в 1 полугодии 2019 года </w:t>
      </w:r>
      <w:r w:rsidR="00AA08D3" w:rsidRPr="00E4099D">
        <w:t>-</w:t>
      </w:r>
      <w:r w:rsidR="00673183" w:rsidRPr="00E4099D">
        <w:t xml:space="preserve"> 99,1</w:t>
      </w:r>
      <w:r w:rsidR="009A3B7F">
        <w:t xml:space="preserve">%, т.е. </w:t>
      </w:r>
      <w:r w:rsidR="009A3B7F" w:rsidRPr="009A3B7F">
        <w:t>плановое значение показателя (90%) в проверяемом периоде перевыполнено</w:t>
      </w:r>
      <w:r w:rsidR="00E12937">
        <w:t>, также выполняется значение показателя, определенного Указом № 601</w:t>
      </w:r>
      <w:r>
        <w:t>;</w:t>
      </w:r>
    </w:p>
    <w:p w:rsidR="00673183" w:rsidRDefault="00BC194F" w:rsidP="00BC194F">
      <w:pPr>
        <w:ind w:firstLine="680"/>
        <w:jc w:val="both"/>
      </w:pPr>
      <w:r>
        <w:t>- п</w:t>
      </w:r>
      <w:r w:rsidR="00711AFA" w:rsidRPr="00E4099D">
        <w:rPr>
          <w:rFonts w:eastAsia="Times New Roman"/>
        </w:rPr>
        <w:t>оказатель</w:t>
      </w:r>
      <w:r w:rsidR="00711AFA" w:rsidRPr="00E4099D">
        <w:rPr>
          <w:rFonts w:eastAsia="Times New Roman"/>
          <w:i/>
        </w:rPr>
        <w:t xml:space="preserve"> </w:t>
      </w:r>
      <w:r w:rsidR="00CF38B3" w:rsidRPr="00CF38B3">
        <w:rPr>
          <w:rFonts w:eastAsia="Times New Roman"/>
          <w:b/>
          <w:i/>
        </w:rPr>
        <w:t>среднего времени</w:t>
      </w:r>
      <w:r w:rsidR="00CF38B3">
        <w:rPr>
          <w:rFonts w:eastAsia="Times New Roman"/>
          <w:i/>
        </w:rPr>
        <w:t xml:space="preserve"> </w:t>
      </w:r>
      <w:r w:rsidR="00673183" w:rsidRPr="00340AAE">
        <w:rPr>
          <w:rFonts w:eastAsia="Times New Roman"/>
          <w:b/>
          <w:i/>
        </w:rPr>
        <w:t>ожидания в очереди при обращении заявителя в орган государственной власти (орган местного самоуправления) для получения государственных (муниципальных) услуг</w:t>
      </w:r>
      <w:r w:rsidR="00EE4561">
        <w:rPr>
          <w:rFonts w:eastAsia="Times New Roman"/>
          <w:b/>
          <w:i/>
        </w:rPr>
        <w:t xml:space="preserve"> </w:t>
      </w:r>
      <w:r w:rsidR="00673183" w:rsidRPr="00E4099D">
        <w:t>в 2017 году составил 11,31 мин</w:t>
      </w:r>
      <w:r w:rsidR="00B350FC" w:rsidRPr="00E4099D">
        <w:t>.</w:t>
      </w:r>
      <w:r w:rsidR="00673183" w:rsidRPr="00E4099D">
        <w:t xml:space="preserve">, в 2018 году </w:t>
      </w:r>
      <w:r w:rsidR="00330458">
        <w:t>-</w:t>
      </w:r>
      <w:r w:rsidR="00673183" w:rsidRPr="00E4099D">
        <w:t xml:space="preserve"> 10,52 мин</w:t>
      </w:r>
      <w:r w:rsidR="00B350FC" w:rsidRPr="00E4099D">
        <w:t>.</w:t>
      </w:r>
      <w:r w:rsidR="00673183" w:rsidRPr="00E4099D">
        <w:t xml:space="preserve">, в 1 полугодии 2019 года </w:t>
      </w:r>
      <w:r w:rsidR="00330458">
        <w:t>-</w:t>
      </w:r>
      <w:r w:rsidR="00673183" w:rsidRPr="00E4099D">
        <w:t xml:space="preserve"> 10,15 мин</w:t>
      </w:r>
      <w:r w:rsidR="00E4099D">
        <w:t>. и не превысил в проверяемом периоде плановое значение</w:t>
      </w:r>
      <w:r w:rsidR="00330458">
        <w:t xml:space="preserve"> </w:t>
      </w:r>
      <w:r w:rsidR="00E4099D">
        <w:t>(15 мин.).</w:t>
      </w:r>
    </w:p>
    <w:p w:rsidR="008D00A5" w:rsidRPr="008A05C6" w:rsidRDefault="008D00A5" w:rsidP="008D00A5">
      <w:pPr>
        <w:pStyle w:val="afa"/>
        <w:ind w:firstLine="680"/>
        <w:jc w:val="both"/>
        <w:rPr>
          <w:rFonts w:eastAsiaTheme="minorHAnsi"/>
          <w:sz w:val="24"/>
          <w:szCs w:val="24"/>
          <w:lang w:eastAsia="en-US"/>
        </w:rPr>
      </w:pPr>
      <w:r w:rsidRPr="008A05C6">
        <w:rPr>
          <w:rFonts w:eastAsiaTheme="minorHAnsi"/>
          <w:sz w:val="24"/>
          <w:szCs w:val="24"/>
          <w:lang w:eastAsia="en-US"/>
        </w:rPr>
        <w:t xml:space="preserve">Выборочной проверкой </w:t>
      </w:r>
      <w:r w:rsidR="0058117C">
        <w:rPr>
          <w:rFonts w:eastAsiaTheme="minorHAnsi"/>
          <w:sz w:val="24"/>
          <w:szCs w:val="24"/>
          <w:lang w:eastAsia="en-US"/>
        </w:rPr>
        <w:t>документов</w:t>
      </w:r>
      <w:r>
        <w:rPr>
          <w:rFonts w:eastAsiaTheme="minorHAnsi"/>
          <w:sz w:val="24"/>
          <w:szCs w:val="24"/>
          <w:lang w:eastAsia="en-US"/>
        </w:rPr>
        <w:t xml:space="preserve"> о </w:t>
      </w:r>
      <w:r w:rsidRPr="008A05C6">
        <w:rPr>
          <w:rFonts w:eastAsiaTheme="minorHAnsi"/>
          <w:sz w:val="24"/>
          <w:szCs w:val="24"/>
          <w:lang w:eastAsia="en-US"/>
        </w:rPr>
        <w:t>проведенно</w:t>
      </w:r>
      <w:r>
        <w:rPr>
          <w:rFonts w:eastAsiaTheme="minorHAnsi"/>
          <w:sz w:val="24"/>
          <w:szCs w:val="24"/>
          <w:lang w:eastAsia="en-US"/>
        </w:rPr>
        <w:t>м</w:t>
      </w:r>
      <w:r w:rsidRPr="008A05C6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>анкетировании</w:t>
      </w:r>
      <w:r w:rsidRPr="008A05C6">
        <w:rPr>
          <w:rFonts w:eastAsiaTheme="minorHAnsi"/>
          <w:sz w:val="24"/>
          <w:szCs w:val="24"/>
          <w:lang w:eastAsia="en-US"/>
        </w:rPr>
        <w:t xml:space="preserve"> заявителей в 2018 году и 1 полугодии 2019 года </w:t>
      </w:r>
      <w:r w:rsidR="0058117C">
        <w:rPr>
          <w:rFonts w:eastAsiaTheme="minorHAnsi"/>
          <w:sz w:val="24"/>
          <w:szCs w:val="24"/>
          <w:lang w:eastAsia="en-US"/>
        </w:rPr>
        <w:t xml:space="preserve">в отношении вышеприведенных двух показателей </w:t>
      </w:r>
      <w:r w:rsidRPr="008A05C6">
        <w:rPr>
          <w:rFonts w:eastAsiaTheme="minorHAnsi"/>
          <w:sz w:val="24"/>
          <w:szCs w:val="24"/>
          <w:lang w:eastAsia="en-US"/>
        </w:rPr>
        <w:t>установлено следующее:</w:t>
      </w:r>
    </w:p>
    <w:p w:rsidR="008D00A5" w:rsidRPr="001C53C1" w:rsidRDefault="008D00A5" w:rsidP="008D00A5">
      <w:pPr>
        <w:pStyle w:val="afa"/>
        <w:ind w:firstLine="680"/>
        <w:jc w:val="both"/>
        <w:rPr>
          <w:sz w:val="24"/>
          <w:szCs w:val="24"/>
        </w:rPr>
      </w:pPr>
      <w:r w:rsidRPr="008A05C6">
        <w:rPr>
          <w:rFonts w:eastAsiaTheme="minorHAnsi"/>
          <w:sz w:val="24"/>
          <w:szCs w:val="24"/>
          <w:lang w:eastAsia="en-US"/>
        </w:rPr>
        <w:t>- в части анкет отсутствует информация о телефонных номерах заявителей, по которым можно проверить достоверность сведений, указанных в анкетах</w:t>
      </w:r>
      <w:r>
        <w:rPr>
          <w:rFonts w:eastAsiaTheme="minorHAnsi"/>
          <w:sz w:val="24"/>
          <w:szCs w:val="24"/>
          <w:lang w:eastAsia="en-US"/>
        </w:rPr>
        <w:t>. Н</w:t>
      </w:r>
      <w:r w:rsidRPr="008A05C6">
        <w:rPr>
          <w:rFonts w:eastAsiaTheme="minorHAnsi"/>
          <w:sz w:val="24"/>
          <w:szCs w:val="24"/>
          <w:lang w:eastAsia="en-US"/>
        </w:rPr>
        <w:t>апример, в 1 полугодии 2019 года в Дубовском муниципальном районе из 140 анкет в 94-х отсутствуют номера телефонов заявителей</w:t>
      </w:r>
      <w:r>
        <w:rPr>
          <w:rFonts w:eastAsiaTheme="minorHAnsi"/>
          <w:sz w:val="24"/>
          <w:szCs w:val="24"/>
          <w:lang w:eastAsia="en-US"/>
        </w:rPr>
        <w:t>.</w:t>
      </w:r>
      <w:r w:rsidRPr="00577186">
        <w:rPr>
          <w:rFonts w:eastAsiaTheme="minorHAnsi"/>
          <w:sz w:val="24"/>
          <w:szCs w:val="24"/>
          <w:lang w:eastAsia="en-US"/>
        </w:rPr>
        <w:t xml:space="preserve"> </w:t>
      </w:r>
      <w:r w:rsidRPr="001C53C1">
        <w:rPr>
          <w:rFonts w:eastAsiaTheme="minorHAnsi"/>
          <w:sz w:val="24"/>
          <w:szCs w:val="24"/>
          <w:lang w:eastAsia="en-US"/>
        </w:rPr>
        <w:t xml:space="preserve">По пояснению сотрудников </w:t>
      </w:r>
      <w:r w:rsidRPr="00C92F54">
        <w:rPr>
          <w:sz w:val="24"/>
          <w:szCs w:val="24"/>
        </w:rPr>
        <w:t>ГКУ «МФЦ»</w:t>
      </w:r>
      <w:r w:rsidRPr="00C92F54">
        <w:rPr>
          <w:color w:val="000000"/>
          <w:sz w:val="24"/>
          <w:szCs w:val="24"/>
        </w:rPr>
        <w:t xml:space="preserve"> </w:t>
      </w:r>
      <w:r w:rsidRPr="001C53C1">
        <w:rPr>
          <w:rFonts w:eastAsiaTheme="minorHAnsi"/>
          <w:sz w:val="24"/>
          <w:szCs w:val="24"/>
          <w:lang w:eastAsia="en-US"/>
        </w:rPr>
        <w:t>указанная ситуация сложилась в связи с тем, что в рамках анкетирования гражданам</w:t>
      </w:r>
      <w:r w:rsidRPr="001C53C1">
        <w:rPr>
          <w:sz w:val="24"/>
          <w:szCs w:val="24"/>
        </w:rPr>
        <w:t xml:space="preserve"> предоставляется право самостоятельного выбора указания своих персональных данных</w:t>
      </w:r>
      <w:r>
        <w:rPr>
          <w:sz w:val="24"/>
          <w:szCs w:val="24"/>
        </w:rPr>
        <w:t>;</w:t>
      </w:r>
    </w:p>
    <w:p w:rsidR="008D00A5" w:rsidRDefault="008D00A5" w:rsidP="008D00A5">
      <w:pPr>
        <w:pStyle w:val="afa"/>
        <w:ind w:firstLine="680"/>
        <w:jc w:val="both"/>
        <w:rPr>
          <w:rFonts w:eastAsiaTheme="minorHAnsi"/>
          <w:sz w:val="24"/>
          <w:szCs w:val="24"/>
          <w:lang w:eastAsia="en-US"/>
        </w:rPr>
      </w:pPr>
      <w:r w:rsidRPr="008A05C6">
        <w:rPr>
          <w:rFonts w:eastAsiaTheme="minorHAnsi"/>
          <w:sz w:val="24"/>
          <w:szCs w:val="24"/>
          <w:lang w:eastAsia="en-US"/>
        </w:rPr>
        <w:t>- опрос заявителей по телефонным номерам, указанным в анкетах, показал, что из 23 выборочно проверенных должностными лицами КСП телефонных номеров только 5 заявителей подтвердили достоверность сведений, остальные заявители или не обращались за услугами в МФЦ и не проходили анкетирование, или был указан несуществующий номер телефона, а также номер, который  временно</w:t>
      </w:r>
      <w:r w:rsidRPr="004046BA">
        <w:rPr>
          <w:rFonts w:eastAsiaTheme="minorHAnsi"/>
          <w:sz w:val="24"/>
          <w:szCs w:val="24"/>
          <w:lang w:eastAsia="en-US"/>
        </w:rPr>
        <w:t xml:space="preserve"> не доступен</w:t>
      </w:r>
      <w:r w:rsidR="00080889">
        <w:rPr>
          <w:rFonts w:eastAsiaTheme="minorHAnsi"/>
          <w:sz w:val="24"/>
          <w:szCs w:val="24"/>
          <w:lang w:eastAsia="en-US"/>
        </w:rPr>
        <w:t>;</w:t>
      </w:r>
    </w:p>
    <w:p w:rsidR="00673183" w:rsidRPr="000614D3" w:rsidRDefault="00673183" w:rsidP="008E6FED">
      <w:pPr>
        <w:pStyle w:val="afa"/>
        <w:ind w:firstLine="680"/>
        <w:jc w:val="both"/>
        <w:rPr>
          <w:rFonts w:eastAsiaTheme="minorHAnsi"/>
          <w:sz w:val="24"/>
          <w:szCs w:val="24"/>
          <w:lang w:eastAsia="en-US"/>
        </w:rPr>
      </w:pPr>
      <w:r w:rsidRPr="000614D3">
        <w:rPr>
          <w:rFonts w:eastAsiaTheme="minorHAnsi"/>
          <w:sz w:val="24"/>
          <w:szCs w:val="24"/>
          <w:lang w:eastAsia="en-US"/>
        </w:rPr>
        <w:t xml:space="preserve">- </w:t>
      </w:r>
      <w:r w:rsidR="0058117C">
        <w:rPr>
          <w:rFonts w:eastAsiaTheme="minorHAnsi"/>
          <w:sz w:val="24"/>
          <w:szCs w:val="24"/>
          <w:lang w:eastAsia="en-US"/>
        </w:rPr>
        <w:t xml:space="preserve">в анкетах </w:t>
      </w:r>
      <w:r w:rsidRPr="000614D3">
        <w:rPr>
          <w:rFonts w:eastAsiaTheme="minorHAnsi"/>
          <w:sz w:val="24"/>
          <w:szCs w:val="24"/>
          <w:lang w:eastAsia="en-US"/>
        </w:rPr>
        <w:t>отсутствует время проведения анкетирования</w:t>
      </w:r>
      <w:r w:rsidR="00080889">
        <w:rPr>
          <w:rFonts w:eastAsiaTheme="minorHAnsi"/>
          <w:sz w:val="24"/>
          <w:szCs w:val="24"/>
          <w:lang w:eastAsia="en-US"/>
        </w:rPr>
        <w:t>,</w:t>
      </w:r>
      <w:r w:rsidRPr="000614D3">
        <w:rPr>
          <w:rFonts w:eastAsiaTheme="minorHAnsi"/>
          <w:sz w:val="24"/>
          <w:szCs w:val="24"/>
          <w:lang w:eastAsia="en-US"/>
        </w:rPr>
        <w:t xml:space="preserve"> </w:t>
      </w:r>
      <w:r w:rsidR="0058117C">
        <w:rPr>
          <w:rFonts w:eastAsiaTheme="minorHAnsi"/>
          <w:sz w:val="24"/>
          <w:szCs w:val="24"/>
          <w:lang w:eastAsia="en-US"/>
        </w:rPr>
        <w:t xml:space="preserve">в то время как </w:t>
      </w:r>
      <w:r>
        <w:rPr>
          <w:rFonts w:eastAsiaTheme="minorHAnsi"/>
          <w:sz w:val="24"/>
          <w:szCs w:val="24"/>
          <w:lang w:eastAsia="en-US"/>
        </w:rPr>
        <w:t>загрузка сотрудников МФЦ в разный период рабочего времени  неодинакова</w:t>
      </w:r>
      <w:r w:rsidRPr="000614D3">
        <w:rPr>
          <w:rFonts w:eastAsiaTheme="minorHAnsi"/>
          <w:sz w:val="24"/>
          <w:szCs w:val="24"/>
          <w:lang w:eastAsia="en-US"/>
        </w:rPr>
        <w:t>;</w:t>
      </w:r>
    </w:p>
    <w:p w:rsidR="00935CEA" w:rsidRDefault="008E6FED" w:rsidP="008E6FED">
      <w:pPr>
        <w:pStyle w:val="afa"/>
        <w:tabs>
          <w:tab w:val="left" w:pos="993"/>
        </w:tabs>
        <w:ind w:firstLine="680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>-</w:t>
      </w:r>
      <w:r w:rsidR="00205CB8">
        <w:rPr>
          <w:rFonts w:eastAsiaTheme="minorHAnsi"/>
          <w:sz w:val="24"/>
          <w:szCs w:val="24"/>
          <w:lang w:eastAsia="en-US"/>
        </w:rPr>
        <w:t xml:space="preserve"> </w:t>
      </w:r>
      <w:r w:rsidR="00205CB8" w:rsidRPr="00205CB8">
        <w:rPr>
          <w:sz w:val="24"/>
          <w:szCs w:val="24"/>
        </w:rPr>
        <w:t>показатель среднего времени ожидания в очереди сформирован не по полному кругу опрашиваемых заявителей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="00673183">
        <w:rPr>
          <w:rFonts w:eastAsiaTheme="minorHAnsi"/>
          <w:sz w:val="24"/>
          <w:szCs w:val="24"/>
          <w:lang w:eastAsia="en-US"/>
        </w:rPr>
        <w:t xml:space="preserve">(в части анкет отсутствовала информация по </w:t>
      </w:r>
      <w:r w:rsidR="0058117C">
        <w:rPr>
          <w:rFonts w:eastAsiaTheme="minorHAnsi"/>
          <w:sz w:val="24"/>
          <w:szCs w:val="24"/>
          <w:lang w:eastAsia="en-US"/>
        </w:rPr>
        <w:t xml:space="preserve">этому </w:t>
      </w:r>
      <w:r w:rsidR="00673183">
        <w:rPr>
          <w:rFonts w:eastAsiaTheme="minorHAnsi"/>
          <w:sz w:val="24"/>
          <w:szCs w:val="24"/>
          <w:lang w:eastAsia="en-US"/>
        </w:rPr>
        <w:t>показателю),</w:t>
      </w:r>
      <w:r w:rsidR="00673183" w:rsidRPr="00392BAD">
        <w:rPr>
          <w:rFonts w:eastAsiaTheme="minorHAnsi"/>
          <w:sz w:val="24"/>
          <w:szCs w:val="24"/>
          <w:lang w:eastAsia="en-US"/>
        </w:rPr>
        <w:t xml:space="preserve"> что не позволяет в полном объеме оценить</w:t>
      </w:r>
      <w:r w:rsidR="00205CB8">
        <w:rPr>
          <w:rFonts w:eastAsiaTheme="minorHAnsi"/>
          <w:sz w:val="24"/>
          <w:szCs w:val="24"/>
          <w:lang w:eastAsia="en-US"/>
        </w:rPr>
        <w:t xml:space="preserve"> его фактическое исполнение.</w:t>
      </w:r>
      <w:r w:rsidR="00205CB8">
        <w:rPr>
          <w:rFonts w:eastAsiaTheme="minorHAnsi"/>
          <w:i/>
          <w:sz w:val="24"/>
          <w:szCs w:val="24"/>
          <w:lang w:eastAsia="en-US"/>
        </w:rPr>
        <w:t xml:space="preserve"> </w:t>
      </w:r>
      <w:r w:rsidR="0058117C">
        <w:rPr>
          <w:rFonts w:eastAsiaTheme="minorHAnsi"/>
          <w:sz w:val="24"/>
          <w:szCs w:val="24"/>
          <w:lang w:eastAsia="en-US"/>
        </w:rPr>
        <w:t xml:space="preserve">Например, </w:t>
      </w:r>
      <w:r w:rsidR="00673183" w:rsidRPr="00A21BD6">
        <w:rPr>
          <w:rFonts w:eastAsiaTheme="minorHAnsi"/>
          <w:sz w:val="24"/>
          <w:szCs w:val="24"/>
          <w:lang w:eastAsia="en-US"/>
        </w:rPr>
        <w:t>по услугам «П</w:t>
      </w:r>
      <w:r w:rsidR="00673183" w:rsidRPr="00A21BD6">
        <w:rPr>
          <w:sz w:val="24"/>
          <w:szCs w:val="24"/>
        </w:rPr>
        <w:t>редоставление субсидий на оплату жилого помещения и коммунальных услуг гражданам, проживающим на территории Волгоградской области»  и «Прием заявлений, постановка на учет для зачисления детей в образовательные учреждения, реализующие основную образовательную программу дошкольного образования» в МФЦ Дубовского муниципального района</w:t>
      </w:r>
      <w:r w:rsidR="00673183">
        <w:rPr>
          <w:sz w:val="24"/>
          <w:szCs w:val="24"/>
        </w:rPr>
        <w:t xml:space="preserve"> в 1 полугодии 2019 года </w:t>
      </w:r>
      <w:r w:rsidR="00673183" w:rsidRPr="00A21BD6">
        <w:rPr>
          <w:sz w:val="24"/>
          <w:szCs w:val="24"/>
        </w:rPr>
        <w:t xml:space="preserve"> из 21 </w:t>
      </w:r>
      <w:r w:rsidR="00441352">
        <w:rPr>
          <w:sz w:val="24"/>
          <w:szCs w:val="24"/>
        </w:rPr>
        <w:t>анкетируемого</w:t>
      </w:r>
      <w:r w:rsidR="00673183" w:rsidRPr="00A21BD6">
        <w:rPr>
          <w:sz w:val="24"/>
          <w:szCs w:val="24"/>
        </w:rPr>
        <w:t xml:space="preserve"> только по 1 и 4 заявителям соответственно были отражены сведения о времени ожидания в очереди</w:t>
      </w:r>
      <w:r w:rsidR="00935CEA">
        <w:rPr>
          <w:sz w:val="24"/>
          <w:szCs w:val="24"/>
        </w:rPr>
        <w:t>.</w:t>
      </w:r>
      <w:r w:rsidR="00935CEA" w:rsidRPr="00935CEA">
        <w:rPr>
          <w:sz w:val="24"/>
          <w:szCs w:val="24"/>
        </w:rPr>
        <w:t xml:space="preserve"> </w:t>
      </w:r>
      <w:r w:rsidR="00935CEA">
        <w:rPr>
          <w:sz w:val="24"/>
          <w:szCs w:val="24"/>
        </w:rPr>
        <w:t>П</w:t>
      </w:r>
      <w:r w:rsidR="00935CEA" w:rsidRPr="00A21BD6">
        <w:rPr>
          <w:sz w:val="24"/>
          <w:szCs w:val="24"/>
        </w:rPr>
        <w:t xml:space="preserve">о услуге «Выдача, замена паспортов гражданина Российской Федерации, удостоверяющих личность гражданина Российской Федерации на территории Российской Федерации»  в МФЦ </w:t>
      </w:r>
      <w:proofErr w:type="spellStart"/>
      <w:r w:rsidR="00935CEA" w:rsidRPr="00A21BD6">
        <w:rPr>
          <w:rFonts w:eastAsiaTheme="minorHAnsi"/>
          <w:sz w:val="24"/>
          <w:szCs w:val="24"/>
          <w:lang w:eastAsia="en-US"/>
        </w:rPr>
        <w:t>Суровикинского</w:t>
      </w:r>
      <w:proofErr w:type="spellEnd"/>
      <w:r w:rsidR="00935CEA" w:rsidRPr="00A21BD6">
        <w:rPr>
          <w:rFonts w:eastAsiaTheme="minorHAnsi"/>
          <w:sz w:val="24"/>
          <w:szCs w:val="24"/>
          <w:lang w:eastAsia="en-US"/>
        </w:rPr>
        <w:t xml:space="preserve"> муниципального района</w:t>
      </w:r>
      <w:r w:rsidR="00935CEA">
        <w:rPr>
          <w:rFonts w:eastAsiaTheme="minorHAnsi"/>
          <w:sz w:val="24"/>
          <w:szCs w:val="24"/>
          <w:lang w:eastAsia="en-US"/>
        </w:rPr>
        <w:t xml:space="preserve"> в 1 полугодии 2019 года</w:t>
      </w:r>
      <w:r w:rsidR="00935CEA" w:rsidRPr="00A21BD6">
        <w:rPr>
          <w:rFonts w:eastAsiaTheme="minorHAnsi"/>
          <w:sz w:val="24"/>
          <w:szCs w:val="24"/>
          <w:lang w:eastAsia="en-US"/>
        </w:rPr>
        <w:t xml:space="preserve">  </w:t>
      </w:r>
      <w:r w:rsidR="00935CEA" w:rsidRPr="00A21BD6">
        <w:rPr>
          <w:sz w:val="24"/>
          <w:szCs w:val="24"/>
        </w:rPr>
        <w:t>из 13 опрошенн</w:t>
      </w:r>
      <w:r w:rsidR="00935CEA">
        <w:rPr>
          <w:sz w:val="24"/>
          <w:szCs w:val="24"/>
        </w:rPr>
        <w:t xml:space="preserve">ых только по  4  </w:t>
      </w:r>
      <w:r w:rsidR="00935CEA" w:rsidRPr="00A21BD6">
        <w:rPr>
          <w:sz w:val="24"/>
          <w:szCs w:val="24"/>
        </w:rPr>
        <w:t>были отражены сведения о времени ожидания</w:t>
      </w:r>
      <w:r w:rsidR="00935CEA">
        <w:rPr>
          <w:sz w:val="24"/>
          <w:szCs w:val="24"/>
        </w:rPr>
        <w:t xml:space="preserve"> в очереди.</w:t>
      </w:r>
    </w:p>
    <w:p w:rsidR="00E64045" w:rsidRDefault="0058117C" w:rsidP="00E64045">
      <w:pPr>
        <w:pStyle w:val="afa"/>
        <w:ind w:firstLine="680"/>
        <w:jc w:val="both"/>
        <w:rPr>
          <w:i/>
          <w:sz w:val="24"/>
          <w:szCs w:val="24"/>
        </w:rPr>
      </w:pPr>
      <w:r w:rsidRPr="001C53C1">
        <w:rPr>
          <w:rFonts w:eastAsiaTheme="minorHAnsi"/>
          <w:i/>
          <w:sz w:val="24"/>
          <w:szCs w:val="24"/>
          <w:lang w:eastAsia="en-US"/>
        </w:rPr>
        <w:t xml:space="preserve">С учетом изложенного, подтвердить достоверность </w:t>
      </w:r>
      <w:r w:rsidR="00E64045">
        <w:rPr>
          <w:rFonts w:eastAsiaTheme="minorHAnsi"/>
          <w:i/>
          <w:sz w:val="24"/>
          <w:szCs w:val="24"/>
          <w:lang w:eastAsia="en-US"/>
        </w:rPr>
        <w:t xml:space="preserve">фактических значений </w:t>
      </w:r>
      <w:r w:rsidRPr="001C53C1">
        <w:rPr>
          <w:rFonts w:eastAsiaTheme="minorHAnsi"/>
          <w:i/>
          <w:sz w:val="24"/>
          <w:szCs w:val="24"/>
          <w:lang w:eastAsia="en-US"/>
        </w:rPr>
        <w:t>показател</w:t>
      </w:r>
      <w:r w:rsidR="00205CB8">
        <w:rPr>
          <w:rFonts w:eastAsiaTheme="minorHAnsi"/>
          <w:i/>
          <w:sz w:val="24"/>
          <w:szCs w:val="24"/>
          <w:lang w:eastAsia="en-US"/>
        </w:rPr>
        <w:t>ей</w:t>
      </w:r>
      <w:r w:rsidRPr="001C53C1">
        <w:rPr>
          <w:rFonts w:eastAsiaTheme="minorHAnsi"/>
          <w:i/>
          <w:sz w:val="24"/>
          <w:szCs w:val="24"/>
          <w:lang w:eastAsia="en-US"/>
        </w:rPr>
        <w:t xml:space="preserve"> уровня удовлетворенности граждан </w:t>
      </w:r>
      <w:r w:rsidR="00E64045">
        <w:rPr>
          <w:rFonts w:eastAsiaTheme="minorHAnsi"/>
          <w:i/>
          <w:sz w:val="24"/>
          <w:szCs w:val="24"/>
          <w:lang w:eastAsia="en-US"/>
        </w:rPr>
        <w:t xml:space="preserve">и среднего времени ожидания в очереди </w:t>
      </w:r>
      <w:r w:rsidRPr="001C53C1">
        <w:rPr>
          <w:rFonts w:eastAsiaTheme="minorHAnsi"/>
          <w:i/>
          <w:sz w:val="24"/>
          <w:szCs w:val="24"/>
          <w:lang w:eastAsia="en-US"/>
        </w:rPr>
        <w:t>не представляется возможным.</w:t>
      </w:r>
    </w:p>
    <w:p w:rsidR="00506888" w:rsidRDefault="00F93B06" w:rsidP="00F93B06">
      <w:pPr>
        <w:pStyle w:val="afa"/>
        <w:ind w:firstLine="680"/>
        <w:jc w:val="both"/>
        <w:rPr>
          <w:sz w:val="24"/>
          <w:szCs w:val="24"/>
        </w:rPr>
      </w:pPr>
      <w:r w:rsidRPr="00B57CC9">
        <w:rPr>
          <w:rFonts w:eastAsiaTheme="minorHAnsi"/>
          <w:sz w:val="24"/>
          <w:szCs w:val="24"/>
          <w:lang w:eastAsia="en-US"/>
        </w:rPr>
        <w:t xml:space="preserve">Помимо вышеприведенной оценки на основании постановления Правительства РФ от 12.12.2012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…,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услуг…» (далее – Постановление № 1284) проводится оценка гражданами эффективности деятельности руководителей МФЦ по аналогичным показателям в отношении определенного Постановлением № 1284 </w:t>
      </w:r>
      <w:r w:rsidRPr="00B57CC9">
        <w:rPr>
          <w:rFonts w:eastAsiaTheme="minorHAnsi"/>
          <w:sz w:val="24"/>
          <w:szCs w:val="24"/>
          <w:u w:val="single"/>
          <w:lang w:eastAsia="en-US"/>
        </w:rPr>
        <w:t>перечня федеральных услуг</w:t>
      </w:r>
      <w:r w:rsidRPr="00B57CC9">
        <w:rPr>
          <w:rFonts w:eastAsiaTheme="minorHAnsi"/>
          <w:sz w:val="24"/>
          <w:szCs w:val="24"/>
          <w:lang w:eastAsia="en-US"/>
        </w:rPr>
        <w:t xml:space="preserve">. Мнение гражданина выявляется </w:t>
      </w:r>
      <w:r w:rsidRPr="00B57CC9">
        <w:rPr>
          <w:rFonts w:eastAsiaTheme="minorHAnsi"/>
          <w:sz w:val="24"/>
          <w:szCs w:val="24"/>
          <w:u w:val="single"/>
          <w:lang w:eastAsia="en-US"/>
        </w:rPr>
        <w:t>посредством использования</w:t>
      </w:r>
      <w:r w:rsidRPr="00506888">
        <w:rPr>
          <w:rFonts w:eastAsiaTheme="minorHAnsi"/>
          <w:sz w:val="24"/>
          <w:szCs w:val="24"/>
          <w:u w:val="single"/>
          <w:lang w:eastAsia="en-US"/>
        </w:rPr>
        <w:t xml:space="preserve"> устройств подвижной </w:t>
      </w:r>
      <w:r w:rsidRPr="00506888">
        <w:rPr>
          <w:rFonts w:eastAsiaTheme="minorHAnsi"/>
          <w:sz w:val="24"/>
          <w:szCs w:val="24"/>
          <w:u w:val="single"/>
          <w:lang w:eastAsia="en-US"/>
        </w:rPr>
        <w:lastRenderedPageBreak/>
        <w:t>радиотелефонной связи, терминальных и иных устройств,</w:t>
      </w:r>
      <w:r w:rsidRPr="00506888">
        <w:rPr>
          <w:rFonts w:eastAsiaTheme="minorHAnsi"/>
          <w:iCs/>
          <w:sz w:val="24"/>
          <w:szCs w:val="24"/>
          <w:u w:val="single"/>
          <w:lang w:eastAsia="en-US"/>
        </w:rPr>
        <w:t xml:space="preserve"> информационно-телекоммуникационной сети </w:t>
      </w:r>
      <w:r w:rsidRPr="00506888">
        <w:rPr>
          <w:sz w:val="24"/>
          <w:szCs w:val="24"/>
          <w:u w:val="single"/>
        </w:rPr>
        <w:t>«</w:t>
      </w:r>
      <w:r w:rsidRPr="00506888">
        <w:rPr>
          <w:rFonts w:eastAsiaTheme="minorHAnsi"/>
          <w:iCs/>
          <w:sz w:val="24"/>
          <w:szCs w:val="24"/>
          <w:u w:val="single"/>
          <w:lang w:eastAsia="en-US"/>
        </w:rPr>
        <w:t>Интернет</w:t>
      </w:r>
      <w:r w:rsidRPr="00506888">
        <w:rPr>
          <w:sz w:val="24"/>
          <w:szCs w:val="24"/>
          <w:u w:val="single"/>
        </w:rPr>
        <w:t>».</w:t>
      </w:r>
      <w:r>
        <w:rPr>
          <w:sz w:val="24"/>
          <w:szCs w:val="24"/>
        </w:rPr>
        <w:t xml:space="preserve"> </w:t>
      </w:r>
    </w:p>
    <w:p w:rsidR="00D116EE" w:rsidRDefault="00D116EE" w:rsidP="00D116EE">
      <w:pPr>
        <w:pStyle w:val="afa"/>
        <w:ind w:firstLine="680"/>
        <w:jc w:val="both"/>
        <w:rPr>
          <w:rFonts w:eastAsiaTheme="minorHAnsi"/>
          <w:sz w:val="24"/>
          <w:szCs w:val="24"/>
          <w:lang w:eastAsia="en-US"/>
        </w:rPr>
      </w:pPr>
      <w:r w:rsidRPr="00236977">
        <w:rPr>
          <w:sz w:val="24"/>
          <w:szCs w:val="24"/>
        </w:rPr>
        <w:t xml:space="preserve">Приказом Минэкономразвития России от 22.03.2019 №155 утверждены методические рекомендации по внедрению системы оценки гражданами эффективности деятельности руководителей </w:t>
      </w:r>
      <w:r>
        <w:rPr>
          <w:sz w:val="24"/>
          <w:szCs w:val="24"/>
        </w:rPr>
        <w:t>МФЦ</w:t>
      </w:r>
      <w:r w:rsidRPr="00236977">
        <w:rPr>
          <w:sz w:val="24"/>
          <w:szCs w:val="24"/>
        </w:rPr>
        <w:t xml:space="preserve"> с учетом качества организации предоставления услуг</w:t>
      </w:r>
      <w:r w:rsidR="00396CB1">
        <w:rPr>
          <w:sz w:val="24"/>
          <w:szCs w:val="24"/>
        </w:rPr>
        <w:t xml:space="preserve"> (далее – </w:t>
      </w:r>
      <w:proofErr w:type="spellStart"/>
      <w:r w:rsidR="00396CB1">
        <w:rPr>
          <w:sz w:val="24"/>
          <w:szCs w:val="24"/>
        </w:rPr>
        <w:t>Методрекомендации</w:t>
      </w:r>
      <w:proofErr w:type="spellEnd"/>
      <w:r w:rsidR="00396CB1">
        <w:rPr>
          <w:sz w:val="24"/>
          <w:szCs w:val="24"/>
        </w:rPr>
        <w:t xml:space="preserve"> № 155)</w:t>
      </w:r>
      <w:r>
        <w:rPr>
          <w:sz w:val="24"/>
          <w:szCs w:val="24"/>
        </w:rPr>
        <w:t>, действующие с 01.07.2019</w:t>
      </w:r>
      <w:r w:rsidRPr="004977F9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4977F9">
        <w:rPr>
          <w:sz w:val="24"/>
          <w:szCs w:val="24"/>
        </w:rPr>
        <w:t xml:space="preserve">По пояснениям должностных лиц </w:t>
      </w:r>
      <w:r w:rsidRPr="00C92F54">
        <w:rPr>
          <w:sz w:val="24"/>
          <w:szCs w:val="24"/>
        </w:rPr>
        <w:t>ГКУ «МФЦ»</w:t>
      </w:r>
      <w:r w:rsidRPr="00C92F54"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в настоящее время ведутся работы по формированию процесса осуществления оценки</w:t>
      </w:r>
      <w:r w:rsidRPr="005C637B">
        <w:rPr>
          <w:sz w:val="24"/>
          <w:szCs w:val="24"/>
        </w:rPr>
        <w:t xml:space="preserve"> по всем видам услуг, </w:t>
      </w:r>
      <w:r w:rsidRPr="00E34879">
        <w:rPr>
          <w:rFonts w:eastAsiaTheme="minorHAnsi"/>
          <w:sz w:val="24"/>
          <w:szCs w:val="24"/>
          <w:lang w:eastAsia="en-US"/>
        </w:rPr>
        <w:t>возможность осуществления корректных выгрузок оценок появится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E34879">
        <w:rPr>
          <w:rFonts w:eastAsiaTheme="minorHAnsi"/>
          <w:sz w:val="24"/>
          <w:szCs w:val="24"/>
          <w:lang w:eastAsia="en-US"/>
        </w:rPr>
        <w:t xml:space="preserve">в начале 2020 года после ввода в промышленную эксплуатацию соответствующего вида сведений. </w:t>
      </w:r>
    </w:p>
    <w:p w:rsidR="00C5125D" w:rsidRDefault="00C5125D" w:rsidP="005817FC">
      <w:pPr>
        <w:pStyle w:val="afa"/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Мониторинг</w:t>
      </w:r>
      <w:r w:rsidRPr="00BD0DEE">
        <w:rPr>
          <w:sz w:val="24"/>
          <w:szCs w:val="24"/>
        </w:rPr>
        <w:t xml:space="preserve"> качества предоставления</w:t>
      </w:r>
      <w:r>
        <w:rPr>
          <w:sz w:val="24"/>
          <w:szCs w:val="24"/>
        </w:rPr>
        <w:t xml:space="preserve"> федеральных услуг в </w:t>
      </w:r>
      <w:r w:rsidRPr="00C92F54">
        <w:rPr>
          <w:sz w:val="24"/>
          <w:szCs w:val="24"/>
        </w:rPr>
        <w:t>ГКУ «МФЦ»</w:t>
      </w:r>
      <w:r w:rsidR="00D116EE">
        <w:rPr>
          <w:sz w:val="24"/>
          <w:szCs w:val="24"/>
        </w:rPr>
        <w:t xml:space="preserve"> в проверяемый период </w:t>
      </w:r>
      <w:r>
        <w:rPr>
          <w:sz w:val="24"/>
          <w:szCs w:val="24"/>
        </w:rPr>
        <w:t xml:space="preserve">проводился посредством </w:t>
      </w:r>
      <w:proofErr w:type="spellStart"/>
      <w:r>
        <w:rPr>
          <w:sz w:val="24"/>
          <w:szCs w:val="24"/>
        </w:rPr>
        <w:t>СМС-опросов</w:t>
      </w:r>
      <w:proofErr w:type="spellEnd"/>
      <w:r>
        <w:rPr>
          <w:sz w:val="24"/>
          <w:szCs w:val="24"/>
        </w:rPr>
        <w:t xml:space="preserve">, заполнением анкет на </w:t>
      </w:r>
      <w:proofErr w:type="spellStart"/>
      <w:r>
        <w:rPr>
          <w:sz w:val="24"/>
          <w:szCs w:val="24"/>
        </w:rPr>
        <w:t>инфоматах</w:t>
      </w:r>
      <w:proofErr w:type="spellEnd"/>
      <w:r>
        <w:rPr>
          <w:sz w:val="24"/>
          <w:szCs w:val="24"/>
        </w:rPr>
        <w:t>, расположенных в помещении МФЦ, опросов граждан телефонным центром.</w:t>
      </w:r>
      <w:r w:rsidR="00F634F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 данным </w:t>
      </w:r>
      <w:r w:rsidRPr="00C92F54">
        <w:rPr>
          <w:sz w:val="24"/>
          <w:szCs w:val="24"/>
        </w:rPr>
        <w:t>ГКУ «МФЦ»</w:t>
      </w:r>
      <w:r w:rsidRPr="00C92F54"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Pr="00B35EE0">
        <w:rPr>
          <w:sz w:val="24"/>
          <w:szCs w:val="24"/>
        </w:rPr>
        <w:t xml:space="preserve"> 2017 году уровень удовлетворенности качеством услуг составил 99,1%, в 2018 году </w:t>
      </w:r>
      <w:r w:rsidR="00F634F3">
        <w:rPr>
          <w:sz w:val="24"/>
          <w:szCs w:val="24"/>
        </w:rPr>
        <w:t xml:space="preserve">- </w:t>
      </w:r>
      <w:r w:rsidRPr="00B35EE0">
        <w:rPr>
          <w:sz w:val="24"/>
          <w:szCs w:val="24"/>
        </w:rPr>
        <w:t>99,7 процент</w:t>
      </w:r>
      <w:r>
        <w:rPr>
          <w:sz w:val="24"/>
          <w:szCs w:val="24"/>
        </w:rPr>
        <w:t>а.</w:t>
      </w:r>
    </w:p>
    <w:p w:rsidR="001E7C98" w:rsidRDefault="001E7C98" w:rsidP="005817FC">
      <w:pPr>
        <w:pStyle w:val="afa"/>
        <w:ind w:firstLine="680"/>
        <w:jc w:val="both"/>
        <w:rPr>
          <w:sz w:val="24"/>
          <w:szCs w:val="24"/>
        </w:rPr>
      </w:pPr>
      <w:r w:rsidRPr="005817FC">
        <w:rPr>
          <w:sz w:val="24"/>
          <w:szCs w:val="24"/>
        </w:rPr>
        <w:t xml:space="preserve">Информация об уровне удовлетворенности граждан качеством организации предоставления услуг в МФЦ формировалась </w:t>
      </w:r>
      <w:r>
        <w:rPr>
          <w:sz w:val="24"/>
          <w:szCs w:val="24"/>
        </w:rPr>
        <w:t xml:space="preserve">также </w:t>
      </w:r>
      <w:r w:rsidRPr="005817FC">
        <w:rPr>
          <w:sz w:val="24"/>
          <w:szCs w:val="24"/>
        </w:rPr>
        <w:t xml:space="preserve">на сайте «Ваш контроль» </w:t>
      </w:r>
      <w:hyperlink r:id="rId14" w:history="1">
        <w:r w:rsidRPr="005817FC">
          <w:rPr>
            <w:rStyle w:val="a7"/>
            <w:color w:val="auto"/>
            <w:sz w:val="24"/>
            <w:szCs w:val="24"/>
          </w:rPr>
          <w:t>https://vashkontrol.ru/</w:t>
        </w:r>
      </w:hyperlink>
      <w:r w:rsidRPr="005817FC">
        <w:t xml:space="preserve"> (</w:t>
      </w:r>
      <w:r w:rsidRPr="005817FC">
        <w:rPr>
          <w:rFonts w:eastAsiaTheme="minorHAnsi"/>
          <w:sz w:val="24"/>
          <w:szCs w:val="24"/>
          <w:lang w:eastAsia="en-US"/>
        </w:rPr>
        <w:t>по региональным и муниципальным услугам оценка у</w:t>
      </w:r>
      <w:r w:rsidRPr="005817FC">
        <w:rPr>
          <w:sz w:val="24"/>
          <w:szCs w:val="24"/>
        </w:rPr>
        <w:t>довлетворенности граждан качеством предоставления услуг не формировалась)</w:t>
      </w:r>
    </w:p>
    <w:p w:rsidR="005817FC" w:rsidRDefault="005817FC" w:rsidP="005817FC">
      <w:pPr>
        <w:pStyle w:val="afa"/>
        <w:ind w:firstLine="680"/>
        <w:jc w:val="both"/>
        <w:rPr>
          <w:sz w:val="24"/>
          <w:szCs w:val="24"/>
        </w:rPr>
      </w:pPr>
      <w:r w:rsidRPr="001D33F2">
        <w:rPr>
          <w:sz w:val="24"/>
          <w:szCs w:val="24"/>
        </w:rPr>
        <w:t xml:space="preserve">Согласно выгрузке, сделанной </w:t>
      </w:r>
      <w:r w:rsidRPr="00C92F54">
        <w:rPr>
          <w:sz w:val="24"/>
          <w:szCs w:val="24"/>
        </w:rPr>
        <w:t>ГКУ «МФЦ»</w:t>
      </w:r>
      <w:r w:rsidRPr="00C92F54"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 xml:space="preserve">из ГИС КИАР, </w:t>
      </w:r>
      <w:r w:rsidRPr="001D33F2">
        <w:rPr>
          <w:sz w:val="24"/>
          <w:szCs w:val="24"/>
        </w:rPr>
        <w:t>среднее время ожидания в очереди при обращении заявителя по всем МФЦ Волгоградской</w:t>
      </w:r>
      <w:r w:rsidRPr="001D6191">
        <w:rPr>
          <w:sz w:val="24"/>
          <w:szCs w:val="24"/>
        </w:rPr>
        <w:t xml:space="preserve"> области по </w:t>
      </w:r>
      <w:r w:rsidRPr="00E064C5">
        <w:rPr>
          <w:sz w:val="24"/>
          <w:szCs w:val="24"/>
        </w:rPr>
        <w:t>федеральным услугам в 2017</w:t>
      </w:r>
      <w:r w:rsidRPr="001D6191">
        <w:rPr>
          <w:sz w:val="24"/>
          <w:szCs w:val="24"/>
        </w:rPr>
        <w:t xml:space="preserve"> году составило </w:t>
      </w:r>
      <w:r>
        <w:rPr>
          <w:sz w:val="24"/>
          <w:szCs w:val="24"/>
        </w:rPr>
        <w:t>15,31 мин.</w:t>
      </w:r>
      <w:r w:rsidRPr="001D6191">
        <w:rPr>
          <w:sz w:val="24"/>
          <w:szCs w:val="24"/>
        </w:rPr>
        <w:t xml:space="preserve">, в 2018 году </w:t>
      </w:r>
      <w:r>
        <w:rPr>
          <w:sz w:val="24"/>
          <w:szCs w:val="24"/>
        </w:rPr>
        <w:t>– 3,35 мин.</w:t>
      </w:r>
      <w:r w:rsidRPr="001D6191">
        <w:rPr>
          <w:sz w:val="24"/>
          <w:szCs w:val="24"/>
        </w:rPr>
        <w:t xml:space="preserve">, по состоянию на </w:t>
      </w:r>
      <w:r>
        <w:rPr>
          <w:sz w:val="24"/>
          <w:szCs w:val="24"/>
        </w:rPr>
        <w:t>01.07.2019 - 4,5 минут.</w:t>
      </w:r>
      <w:r w:rsidR="0084418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ходе проверки </w:t>
      </w:r>
      <w:r w:rsidRPr="006417A3">
        <w:rPr>
          <w:sz w:val="24"/>
          <w:szCs w:val="24"/>
        </w:rPr>
        <w:t>произведена выгрузка из ГИС КИАР среднего времени ожидания в очереди за 02.09.2019 по филиал</w:t>
      </w:r>
      <w:r>
        <w:rPr>
          <w:sz w:val="24"/>
          <w:szCs w:val="24"/>
        </w:rPr>
        <w:t>ам</w:t>
      </w:r>
      <w:r w:rsidRPr="006417A3">
        <w:rPr>
          <w:sz w:val="24"/>
          <w:szCs w:val="24"/>
        </w:rPr>
        <w:t xml:space="preserve"> по работе с заявителями </w:t>
      </w:r>
      <w:r>
        <w:rPr>
          <w:sz w:val="24"/>
          <w:szCs w:val="24"/>
        </w:rPr>
        <w:t xml:space="preserve">г. </w:t>
      </w:r>
      <w:r w:rsidRPr="006417A3">
        <w:rPr>
          <w:sz w:val="24"/>
          <w:szCs w:val="24"/>
        </w:rPr>
        <w:t>Волжск</w:t>
      </w:r>
      <w:r>
        <w:rPr>
          <w:sz w:val="24"/>
          <w:szCs w:val="24"/>
        </w:rPr>
        <w:t>ий</w:t>
      </w:r>
      <w:r w:rsidRPr="006417A3">
        <w:rPr>
          <w:sz w:val="24"/>
          <w:szCs w:val="24"/>
        </w:rPr>
        <w:t xml:space="preserve"> (на проспекте Ленина)</w:t>
      </w:r>
      <w:r>
        <w:rPr>
          <w:sz w:val="24"/>
          <w:szCs w:val="24"/>
        </w:rPr>
        <w:t>,</w:t>
      </w:r>
      <w:r w:rsidRPr="006417A3">
        <w:rPr>
          <w:sz w:val="24"/>
          <w:szCs w:val="24"/>
        </w:rPr>
        <w:t xml:space="preserve"> Дзержинского</w:t>
      </w:r>
      <w:r>
        <w:rPr>
          <w:sz w:val="24"/>
          <w:szCs w:val="24"/>
        </w:rPr>
        <w:t>,</w:t>
      </w:r>
      <w:r w:rsidRPr="006417A3">
        <w:rPr>
          <w:sz w:val="24"/>
          <w:szCs w:val="24"/>
        </w:rPr>
        <w:t xml:space="preserve"> Центрального</w:t>
      </w:r>
      <w:r>
        <w:rPr>
          <w:sz w:val="24"/>
          <w:szCs w:val="24"/>
        </w:rPr>
        <w:t xml:space="preserve">, </w:t>
      </w:r>
      <w:proofErr w:type="spellStart"/>
      <w:r w:rsidRPr="006417A3">
        <w:rPr>
          <w:sz w:val="24"/>
          <w:szCs w:val="24"/>
        </w:rPr>
        <w:t>Тракторозаводского</w:t>
      </w:r>
      <w:proofErr w:type="spellEnd"/>
      <w:r w:rsidRPr="006417A3">
        <w:rPr>
          <w:sz w:val="24"/>
          <w:szCs w:val="24"/>
        </w:rPr>
        <w:t xml:space="preserve"> район</w:t>
      </w:r>
      <w:r>
        <w:rPr>
          <w:sz w:val="24"/>
          <w:szCs w:val="24"/>
        </w:rPr>
        <w:t>ов</w:t>
      </w:r>
      <w:r w:rsidRPr="006417A3">
        <w:rPr>
          <w:sz w:val="24"/>
          <w:szCs w:val="24"/>
        </w:rPr>
        <w:t xml:space="preserve"> г. Волгограда</w:t>
      </w:r>
      <w:r>
        <w:rPr>
          <w:sz w:val="24"/>
          <w:szCs w:val="24"/>
        </w:rPr>
        <w:t>. Среднее время ожидания в очереди составило от 0,54 мин. до 7,52 минут.</w:t>
      </w:r>
    </w:p>
    <w:p w:rsidR="00351C21" w:rsidRDefault="00351C21" w:rsidP="00351C21">
      <w:pPr>
        <w:pStyle w:val="afa"/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Pr="0083603E">
        <w:rPr>
          <w:sz w:val="24"/>
          <w:szCs w:val="24"/>
        </w:rPr>
        <w:t xml:space="preserve">нализ поступивших в проверяемый период жалоб от заявителей показал, что </w:t>
      </w:r>
      <w:r>
        <w:rPr>
          <w:sz w:val="24"/>
          <w:szCs w:val="24"/>
        </w:rPr>
        <w:t>они,</w:t>
      </w:r>
      <w:r w:rsidRPr="0083603E">
        <w:rPr>
          <w:sz w:val="24"/>
          <w:szCs w:val="24"/>
        </w:rPr>
        <w:t xml:space="preserve"> в том числе поступали по вопросу нарушения установленного времени ожидания заявителей в очереди.</w:t>
      </w:r>
      <w:r>
        <w:rPr>
          <w:sz w:val="24"/>
          <w:szCs w:val="24"/>
        </w:rPr>
        <w:t xml:space="preserve"> </w:t>
      </w:r>
      <w:r w:rsidRPr="001D6191">
        <w:rPr>
          <w:sz w:val="24"/>
          <w:szCs w:val="24"/>
        </w:rPr>
        <w:t xml:space="preserve">Выборочной проверкой среднего времени ожидания в очереди по жалобам заявителей проведена выгрузка из ГИС КИАР: </w:t>
      </w:r>
      <w:r>
        <w:rPr>
          <w:sz w:val="24"/>
          <w:szCs w:val="24"/>
        </w:rPr>
        <w:t xml:space="preserve">например, </w:t>
      </w:r>
      <w:r w:rsidRPr="001D6191">
        <w:rPr>
          <w:sz w:val="24"/>
          <w:szCs w:val="24"/>
        </w:rPr>
        <w:t xml:space="preserve">по филиалу по работе с заявителями </w:t>
      </w:r>
      <w:proofErr w:type="spellStart"/>
      <w:r w:rsidRPr="001D6191">
        <w:rPr>
          <w:sz w:val="24"/>
          <w:szCs w:val="24"/>
        </w:rPr>
        <w:t>Тракторозаводского</w:t>
      </w:r>
      <w:proofErr w:type="spellEnd"/>
      <w:r w:rsidRPr="001D6191">
        <w:rPr>
          <w:sz w:val="24"/>
          <w:szCs w:val="24"/>
        </w:rPr>
        <w:t xml:space="preserve"> района г. Волгограда поступила жалоба от Муравьева А.П. на ожидание в очереди 24.03.2018 более 1 часа</w:t>
      </w:r>
      <w:r>
        <w:rPr>
          <w:sz w:val="24"/>
          <w:szCs w:val="24"/>
        </w:rPr>
        <w:t xml:space="preserve"> (</w:t>
      </w:r>
      <w:r w:rsidRPr="001D6191">
        <w:rPr>
          <w:sz w:val="24"/>
          <w:szCs w:val="24"/>
        </w:rPr>
        <w:t>согласно выгрузке</w:t>
      </w:r>
      <w:r>
        <w:rPr>
          <w:sz w:val="24"/>
          <w:szCs w:val="24"/>
        </w:rPr>
        <w:t xml:space="preserve"> из ГИС КИАР</w:t>
      </w:r>
      <w:r w:rsidRPr="001D6191">
        <w:rPr>
          <w:sz w:val="24"/>
          <w:szCs w:val="24"/>
        </w:rPr>
        <w:t xml:space="preserve"> среднее врем</w:t>
      </w:r>
      <w:r w:rsidR="000E2FDC">
        <w:rPr>
          <w:sz w:val="24"/>
          <w:szCs w:val="24"/>
        </w:rPr>
        <w:t>я</w:t>
      </w:r>
      <w:r w:rsidRPr="001D6191">
        <w:rPr>
          <w:sz w:val="24"/>
          <w:szCs w:val="24"/>
        </w:rPr>
        <w:t xml:space="preserve"> ожидания в очереди </w:t>
      </w:r>
      <w:r>
        <w:rPr>
          <w:sz w:val="24"/>
          <w:szCs w:val="24"/>
        </w:rPr>
        <w:t>по всем услугам</w:t>
      </w:r>
      <w:r w:rsidRPr="001D619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 </w:t>
      </w:r>
      <w:r w:rsidRPr="001D6191">
        <w:rPr>
          <w:sz w:val="24"/>
          <w:szCs w:val="24"/>
        </w:rPr>
        <w:t xml:space="preserve">24.03.2018 </w:t>
      </w:r>
      <w:r>
        <w:rPr>
          <w:sz w:val="24"/>
          <w:szCs w:val="24"/>
        </w:rPr>
        <w:t>составило</w:t>
      </w:r>
      <w:r w:rsidRPr="001D6191">
        <w:rPr>
          <w:sz w:val="24"/>
          <w:szCs w:val="24"/>
        </w:rPr>
        <w:t xml:space="preserve"> </w:t>
      </w:r>
      <w:r>
        <w:rPr>
          <w:sz w:val="24"/>
          <w:szCs w:val="24"/>
        </w:rPr>
        <w:t>21,51 мин.), по</w:t>
      </w:r>
      <w:r w:rsidRPr="001D6191">
        <w:rPr>
          <w:sz w:val="24"/>
          <w:szCs w:val="24"/>
        </w:rPr>
        <w:t xml:space="preserve"> филиалу по работе с заявителями</w:t>
      </w:r>
      <w:r>
        <w:rPr>
          <w:sz w:val="24"/>
          <w:szCs w:val="24"/>
        </w:rPr>
        <w:t xml:space="preserve"> г.</w:t>
      </w:r>
      <w:r w:rsidRPr="001D6191">
        <w:rPr>
          <w:sz w:val="24"/>
          <w:szCs w:val="24"/>
        </w:rPr>
        <w:t xml:space="preserve"> Волжск</w:t>
      </w:r>
      <w:r>
        <w:rPr>
          <w:sz w:val="24"/>
          <w:szCs w:val="24"/>
        </w:rPr>
        <w:t>ий</w:t>
      </w:r>
      <w:r w:rsidRPr="001D6191">
        <w:rPr>
          <w:sz w:val="24"/>
          <w:szCs w:val="24"/>
        </w:rPr>
        <w:t xml:space="preserve"> (на проспекте Ленина)  поступила жалоба от Соловей В.С. на ожидание в </w:t>
      </w:r>
      <w:r w:rsidRPr="006417A3">
        <w:rPr>
          <w:sz w:val="24"/>
          <w:szCs w:val="24"/>
        </w:rPr>
        <w:t xml:space="preserve">очереди 07.02.2018 </w:t>
      </w:r>
      <w:r w:rsidRPr="001D6191">
        <w:rPr>
          <w:sz w:val="24"/>
          <w:szCs w:val="24"/>
        </w:rPr>
        <w:t xml:space="preserve">40 мин, </w:t>
      </w:r>
      <w:r w:rsidRPr="00E54F22">
        <w:rPr>
          <w:sz w:val="24"/>
          <w:szCs w:val="24"/>
        </w:rPr>
        <w:t>также сообщается, что данная ситуация происходила неоднократно в период работы МФЦ с 13 до 14 часов</w:t>
      </w:r>
      <w:r>
        <w:rPr>
          <w:sz w:val="24"/>
          <w:szCs w:val="24"/>
        </w:rPr>
        <w:t xml:space="preserve"> (</w:t>
      </w:r>
      <w:r w:rsidRPr="00E54F22">
        <w:rPr>
          <w:sz w:val="24"/>
          <w:szCs w:val="24"/>
        </w:rPr>
        <w:t>согласно выгрузке из ГИС КИАР среднее</w:t>
      </w:r>
      <w:r w:rsidRPr="001D6191">
        <w:rPr>
          <w:sz w:val="24"/>
          <w:szCs w:val="24"/>
        </w:rPr>
        <w:t xml:space="preserve"> врем</w:t>
      </w:r>
      <w:r w:rsidR="000E2FDC">
        <w:rPr>
          <w:sz w:val="24"/>
          <w:szCs w:val="24"/>
        </w:rPr>
        <w:t>я</w:t>
      </w:r>
      <w:r w:rsidRPr="001D6191">
        <w:rPr>
          <w:sz w:val="24"/>
          <w:szCs w:val="24"/>
        </w:rPr>
        <w:t xml:space="preserve"> ожидания в очереди </w:t>
      </w:r>
      <w:r>
        <w:rPr>
          <w:sz w:val="24"/>
          <w:szCs w:val="24"/>
        </w:rPr>
        <w:t>на</w:t>
      </w:r>
      <w:r w:rsidRPr="001D6191">
        <w:rPr>
          <w:sz w:val="24"/>
          <w:szCs w:val="24"/>
        </w:rPr>
        <w:t xml:space="preserve"> 07.02.2018 составило </w:t>
      </w:r>
      <w:r>
        <w:rPr>
          <w:sz w:val="24"/>
          <w:szCs w:val="24"/>
        </w:rPr>
        <w:t>20,09 мин.,</w:t>
      </w:r>
      <w:r w:rsidRPr="001D6191">
        <w:rPr>
          <w:sz w:val="24"/>
          <w:szCs w:val="24"/>
        </w:rPr>
        <w:t xml:space="preserve"> в период работы с 11.00 до 16.00 </w:t>
      </w:r>
      <w:r>
        <w:rPr>
          <w:sz w:val="24"/>
          <w:szCs w:val="24"/>
        </w:rPr>
        <w:t>-</w:t>
      </w:r>
      <w:r w:rsidRPr="001D6191">
        <w:rPr>
          <w:sz w:val="24"/>
          <w:szCs w:val="24"/>
        </w:rPr>
        <w:t xml:space="preserve"> </w:t>
      </w:r>
      <w:r>
        <w:rPr>
          <w:sz w:val="24"/>
          <w:szCs w:val="24"/>
        </w:rPr>
        <w:t>25,37 мин.).</w:t>
      </w:r>
    </w:p>
    <w:p w:rsidR="00351C21" w:rsidRDefault="00351C21" w:rsidP="00351C21">
      <w:pPr>
        <w:pStyle w:val="afa"/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Из вышеизложенного следует, что </w:t>
      </w:r>
      <w:r w:rsidRPr="001D33F2">
        <w:rPr>
          <w:sz w:val="24"/>
          <w:szCs w:val="24"/>
        </w:rPr>
        <w:t xml:space="preserve">наличие случаев значительного времени ожидания в очереди по отдельным заявителям не оказывает существенного влияния на общий показатель </w:t>
      </w:r>
      <w:r w:rsidRPr="001D33F2">
        <w:rPr>
          <w:sz w:val="24"/>
          <w:szCs w:val="24"/>
          <w:u w:val="single"/>
        </w:rPr>
        <w:t>среднего</w:t>
      </w:r>
      <w:r w:rsidRPr="001D33F2">
        <w:rPr>
          <w:sz w:val="24"/>
          <w:szCs w:val="24"/>
        </w:rPr>
        <w:t xml:space="preserve"> времени ожидания в очереди по всем услугам, который информационной системой рассчитывается</w:t>
      </w:r>
      <w:r>
        <w:rPr>
          <w:sz w:val="24"/>
          <w:szCs w:val="24"/>
        </w:rPr>
        <w:t>,</w:t>
      </w:r>
      <w:r w:rsidRPr="001D33F2">
        <w:rPr>
          <w:sz w:val="24"/>
          <w:szCs w:val="24"/>
        </w:rPr>
        <w:t xml:space="preserve"> </w:t>
      </w:r>
      <w:r w:rsidRPr="005D194B">
        <w:rPr>
          <w:sz w:val="24"/>
          <w:szCs w:val="24"/>
        </w:rPr>
        <w:t xml:space="preserve">как среднее арифметическое время ожидания в очереди </w:t>
      </w:r>
      <w:r>
        <w:rPr>
          <w:sz w:val="24"/>
          <w:szCs w:val="24"/>
        </w:rPr>
        <w:t>в</w:t>
      </w:r>
      <w:r w:rsidRPr="005D194B">
        <w:rPr>
          <w:sz w:val="24"/>
          <w:szCs w:val="24"/>
        </w:rPr>
        <w:t xml:space="preserve"> интервалы с 8:00-11:00, 11:00-16:00, 16:00-20:00</w:t>
      </w:r>
      <w:r w:rsidR="0098538A">
        <w:rPr>
          <w:sz w:val="24"/>
          <w:szCs w:val="24"/>
        </w:rPr>
        <w:t>,</w:t>
      </w:r>
      <w:r w:rsidRPr="005D194B">
        <w:rPr>
          <w:sz w:val="24"/>
          <w:szCs w:val="24"/>
        </w:rPr>
        <w:t xml:space="preserve"> по</w:t>
      </w:r>
      <w:r>
        <w:rPr>
          <w:sz w:val="24"/>
          <w:szCs w:val="24"/>
        </w:rPr>
        <w:t xml:space="preserve">павших в отчет </w:t>
      </w:r>
      <w:r w:rsidRPr="005D194B">
        <w:rPr>
          <w:sz w:val="24"/>
          <w:szCs w:val="24"/>
        </w:rPr>
        <w:t>2 типов заявок</w:t>
      </w:r>
      <w:r>
        <w:rPr>
          <w:sz w:val="24"/>
          <w:szCs w:val="24"/>
        </w:rPr>
        <w:t xml:space="preserve"> (текущая очередь и предварительная запись).</w:t>
      </w:r>
    </w:p>
    <w:p w:rsidR="00D116EE" w:rsidRPr="00D116EE" w:rsidRDefault="00D116EE" w:rsidP="0098538A">
      <w:pPr>
        <w:pStyle w:val="afa"/>
        <w:ind w:firstLine="680"/>
        <w:jc w:val="both"/>
        <w:rPr>
          <w:rFonts w:eastAsiaTheme="minorHAnsi"/>
          <w:i/>
          <w:sz w:val="24"/>
          <w:szCs w:val="24"/>
          <w:lang w:eastAsia="en-US"/>
        </w:rPr>
      </w:pPr>
      <w:r w:rsidRPr="00D116EE">
        <w:rPr>
          <w:i/>
          <w:sz w:val="24"/>
          <w:szCs w:val="24"/>
        </w:rPr>
        <w:t xml:space="preserve">Таким образом, наряду с оценкой качества предоставления услуг в ОИВ и МФЦ, предусмотренной </w:t>
      </w:r>
      <w:r w:rsidR="0098538A" w:rsidRPr="00D116EE">
        <w:rPr>
          <w:rFonts w:eastAsiaTheme="minorHAnsi"/>
          <w:i/>
          <w:sz w:val="24"/>
          <w:szCs w:val="24"/>
          <w:lang w:eastAsia="en-US"/>
        </w:rPr>
        <w:t>Программ</w:t>
      </w:r>
      <w:r w:rsidRPr="00D116EE">
        <w:rPr>
          <w:rFonts w:eastAsiaTheme="minorHAnsi"/>
          <w:i/>
          <w:sz w:val="24"/>
          <w:szCs w:val="24"/>
          <w:lang w:eastAsia="en-US"/>
        </w:rPr>
        <w:t>ой</w:t>
      </w:r>
      <w:r w:rsidR="0098538A" w:rsidRPr="00D116EE">
        <w:rPr>
          <w:rFonts w:eastAsiaTheme="minorHAnsi"/>
          <w:i/>
          <w:sz w:val="24"/>
          <w:szCs w:val="24"/>
          <w:lang w:eastAsia="en-US"/>
        </w:rPr>
        <w:t xml:space="preserve"> мониторинга</w:t>
      </w:r>
      <w:r w:rsidRPr="00D116EE">
        <w:rPr>
          <w:rFonts w:eastAsiaTheme="minorHAnsi"/>
          <w:i/>
          <w:sz w:val="24"/>
          <w:szCs w:val="24"/>
          <w:lang w:eastAsia="en-US"/>
        </w:rPr>
        <w:t>,</w:t>
      </w:r>
      <w:r>
        <w:rPr>
          <w:rFonts w:eastAsiaTheme="minorHAnsi"/>
          <w:i/>
          <w:sz w:val="24"/>
          <w:szCs w:val="24"/>
          <w:lang w:eastAsia="en-US"/>
        </w:rPr>
        <w:t xml:space="preserve"> действует оценка качества организации предоставления услуг по Постановлению № 1284</w:t>
      </w:r>
      <w:r w:rsidR="00D47B80">
        <w:rPr>
          <w:rFonts w:eastAsiaTheme="minorHAnsi"/>
          <w:i/>
          <w:sz w:val="24"/>
          <w:szCs w:val="24"/>
          <w:lang w:eastAsia="en-US"/>
        </w:rPr>
        <w:t xml:space="preserve"> (</w:t>
      </w:r>
      <w:r w:rsidR="00396CB1">
        <w:rPr>
          <w:rFonts w:eastAsiaTheme="minorHAnsi"/>
          <w:i/>
          <w:sz w:val="24"/>
          <w:szCs w:val="24"/>
          <w:lang w:eastAsia="en-US"/>
        </w:rPr>
        <w:t xml:space="preserve">согласно </w:t>
      </w:r>
      <w:proofErr w:type="spellStart"/>
      <w:r w:rsidR="00396CB1">
        <w:rPr>
          <w:rFonts w:eastAsiaTheme="minorHAnsi"/>
          <w:i/>
          <w:sz w:val="24"/>
          <w:szCs w:val="24"/>
          <w:lang w:eastAsia="en-US"/>
        </w:rPr>
        <w:t>Методрекомендациям</w:t>
      </w:r>
      <w:proofErr w:type="spellEnd"/>
      <w:r w:rsidR="00396CB1">
        <w:rPr>
          <w:rFonts w:eastAsiaTheme="minorHAnsi"/>
          <w:i/>
          <w:sz w:val="24"/>
          <w:szCs w:val="24"/>
          <w:lang w:eastAsia="en-US"/>
        </w:rPr>
        <w:t xml:space="preserve"> № 155 </w:t>
      </w:r>
      <w:r w:rsidR="00D47B80">
        <w:rPr>
          <w:rFonts w:eastAsiaTheme="minorHAnsi"/>
          <w:i/>
          <w:sz w:val="24"/>
          <w:szCs w:val="24"/>
          <w:lang w:eastAsia="en-US"/>
        </w:rPr>
        <w:t>будет применяться не только в отношении федеральных услуг, но и региональных и муниципальных)</w:t>
      </w:r>
      <w:r>
        <w:rPr>
          <w:rFonts w:eastAsiaTheme="minorHAnsi"/>
          <w:i/>
          <w:sz w:val="24"/>
          <w:szCs w:val="24"/>
          <w:lang w:eastAsia="en-US"/>
        </w:rPr>
        <w:t xml:space="preserve">, в которой используются </w:t>
      </w:r>
      <w:r w:rsidR="005D7DEC">
        <w:rPr>
          <w:rFonts w:eastAsiaTheme="minorHAnsi"/>
          <w:i/>
          <w:sz w:val="24"/>
          <w:szCs w:val="24"/>
          <w:lang w:eastAsia="en-US"/>
        </w:rPr>
        <w:t xml:space="preserve">методы и </w:t>
      </w:r>
      <w:r>
        <w:rPr>
          <w:rFonts w:eastAsiaTheme="minorHAnsi"/>
          <w:i/>
          <w:sz w:val="24"/>
          <w:szCs w:val="24"/>
          <w:lang w:eastAsia="en-US"/>
        </w:rPr>
        <w:t xml:space="preserve">средства опроса заявителей, отличные от </w:t>
      </w:r>
      <w:r w:rsidR="005D7DEC">
        <w:rPr>
          <w:rFonts w:eastAsiaTheme="minorHAnsi"/>
          <w:i/>
          <w:sz w:val="24"/>
          <w:szCs w:val="24"/>
          <w:lang w:eastAsia="en-US"/>
        </w:rPr>
        <w:t>применяемых в Мониторинге</w:t>
      </w:r>
      <w:r w:rsidR="00D47B80">
        <w:rPr>
          <w:rFonts w:eastAsiaTheme="minorHAnsi"/>
          <w:i/>
          <w:sz w:val="24"/>
          <w:szCs w:val="24"/>
          <w:lang w:eastAsia="en-US"/>
        </w:rPr>
        <w:t xml:space="preserve">. В связи с этим целесообразно </w:t>
      </w:r>
      <w:r w:rsidR="00396CB1">
        <w:rPr>
          <w:rFonts w:eastAsiaTheme="minorHAnsi"/>
          <w:i/>
          <w:sz w:val="24"/>
          <w:szCs w:val="24"/>
          <w:lang w:eastAsia="en-US"/>
        </w:rPr>
        <w:t>изменить Программу мониторинга с учетом федеральной  оценки эффективности деятельности руководителей МФЦ.</w:t>
      </w:r>
    </w:p>
    <w:p w:rsidR="005B6155" w:rsidRPr="00033D3C" w:rsidRDefault="00601C1B" w:rsidP="005B6155">
      <w:pPr>
        <w:ind w:firstLine="680"/>
        <w:jc w:val="both"/>
      </w:pPr>
      <w:r w:rsidRPr="00213102">
        <w:lastRenderedPageBreak/>
        <w:t xml:space="preserve">Согласно отчетным данным </w:t>
      </w:r>
      <w:r w:rsidRPr="00BB3D5D">
        <w:rPr>
          <w:b/>
          <w:i/>
        </w:rPr>
        <w:t>показатель д</w:t>
      </w:r>
      <w:r w:rsidR="00E922A2" w:rsidRPr="00BB3D5D">
        <w:rPr>
          <w:b/>
          <w:i/>
        </w:rPr>
        <w:t>ол</w:t>
      </w:r>
      <w:r w:rsidR="00C366BB" w:rsidRPr="00BB3D5D">
        <w:rPr>
          <w:b/>
          <w:i/>
        </w:rPr>
        <w:t>и МФЦ</w:t>
      </w:r>
      <w:r w:rsidR="00E21324" w:rsidRPr="00BB3D5D">
        <w:rPr>
          <w:b/>
          <w:i/>
        </w:rPr>
        <w:t xml:space="preserve">, территориально обособленных структурных подразделений и привлекаемых организаций, предоставляющих </w:t>
      </w:r>
      <w:r w:rsidR="00C366BB" w:rsidRPr="00BB3D5D">
        <w:rPr>
          <w:b/>
          <w:i/>
        </w:rPr>
        <w:t>услуги</w:t>
      </w:r>
      <w:r w:rsidR="00E21324" w:rsidRPr="00BB3D5D">
        <w:rPr>
          <w:b/>
          <w:i/>
        </w:rPr>
        <w:t>, в которых обеспечивается предоставление специализированных услуг для предпринимателей</w:t>
      </w:r>
      <w:r w:rsidRPr="00213102">
        <w:t xml:space="preserve"> </w:t>
      </w:r>
      <w:r w:rsidRPr="001D33F2">
        <w:t xml:space="preserve">при плановых </w:t>
      </w:r>
      <w:r w:rsidR="00C366BB">
        <w:t>значениях</w:t>
      </w:r>
      <w:r w:rsidRPr="001D33F2">
        <w:t xml:space="preserve"> 20 % (в 2017-2018 годах)</w:t>
      </w:r>
      <w:r w:rsidR="006C1061">
        <w:t xml:space="preserve"> и </w:t>
      </w:r>
      <w:r w:rsidRPr="001D33F2">
        <w:t>21% (в 2019</w:t>
      </w:r>
      <w:r w:rsidR="005B6155">
        <w:t>-2024</w:t>
      </w:r>
      <w:r w:rsidRPr="001D33F2">
        <w:t xml:space="preserve"> год</w:t>
      </w:r>
      <w:r w:rsidR="005B6155">
        <w:t>ах</w:t>
      </w:r>
      <w:r w:rsidRPr="001D33F2">
        <w:t>) вы</w:t>
      </w:r>
      <w:r w:rsidR="00B8096E" w:rsidRPr="001D33F2">
        <w:t>полнен на 100</w:t>
      </w:r>
      <w:r w:rsidR="00213102" w:rsidRPr="001D33F2">
        <w:t xml:space="preserve">%, т.е. в каждом МФЦ обеспечена возможность предоставления услуг для предпринимателей. </w:t>
      </w:r>
      <w:r w:rsidR="005B6155" w:rsidRPr="005B6155">
        <w:t xml:space="preserve">При достижении в 2017 году значения показателя в 100% </w:t>
      </w:r>
      <w:proofErr w:type="spellStart"/>
      <w:r w:rsidR="005B6155" w:rsidRPr="005B6155">
        <w:t>Облкомэкономразвития</w:t>
      </w:r>
      <w:proofErr w:type="spellEnd"/>
      <w:r w:rsidR="005B6155" w:rsidRPr="005B6155">
        <w:t xml:space="preserve"> не откорректировано плановое значение показателя на последующие годы.</w:t>
      </w:r>
    </w:p>
    <w:p w:rsidR="007B00B8" w:rsidRDefault="007B00B8" w:rsidP="007B00B8">
      <w:pPr>
        <w:pStyle w:val="afa"/>
        <w:ind w:firstLine="680"/>
        <w:jc w:val="both"/>
        <w:rPr>
          <w:i/>
          <w:sz w:val="24"/>
          <w:szCs w:val="24"/>
        </w:rPr>
      </w:pPr>
      <w:r w:rsidRPr="00C366BB">
        <w:rPr>
          <w:sz w:val="24"/>
          <w:szCs w:val="24"/>
        </w:rPr>
        <w:t xml:space="preserve">Показатель </w:t>
      </w:r>
      <w:r w:rsidRPr="00340AAE">
        <w:rPr>
          <w:b/>
          <w:i/>
          <w:sz w:val="24"/>
          <w:szCs w:val="24"/>
        </w:rPr>
        <w:t xml:space="preserve">доли граждан, имеющих доступ к получению государственных и муниципальных услуг по принципу «одного окна» по месту пребывания, в том числе в </w:t>
      </w:r>
      <w:r w:rsidR="00381753" w:rsidRPr="00340AAE">
        <w:rPr>
          <w:b/>
          <w:i/>
          <w:sz w:val="24"/>
          <w:szCs w:val="24"/>
        </w:rPr>
        <w:t>МФЦ</w:t>
      </w:r>
      <w:r w:rsidR="00D737E0">
        <w:rPr>
          <w:b/>
          <w:i/>
          <w:sz w:val="24"/>
          <w:szCs w:val="24"/>
        </w:rPr>
        <w:t>,</w:t>
      </w:r>
      <w:r w:rsidR="00381753" w:rsidRPr="00340AAE">
        <w:rPr>
          <w:b/>
          <w:i/>
          <w:sz w:val="24"/>
          <w:szCs w:val="24"/>
        </w:rPr>
        <w:t xml:space="preserve"> в 2017 году составил 98,2%, 2018 году - 99,1%, </w:t>
      </w:r>
      <w:r w:rsidRPr="00340AAE">
        <w:rPr>
          <w:b/>
          <w:i/>
          <w:sz w:val="24"/>
          <w:szCs w:val="24"/>
        </w:rPr>
        <w:t>1 полугодии 2019 года - 99,1 процента</w:t>
      </w:r>
      <w:r w:rsidRPr="007B00B8">
        <w:rPr>
          <w:i/>
          <w:sz w:val="24"/>
          <w:szCs w:val="24"/>
        </w:rPr>
        <w:t>.</w:t>
      </w:r>
      <w:r w:rsidR="005F4140">
        <w:rPr>
          <w:i/>
          <w:sz w:val="24"/>
          <w:szCs w:val="24"/>
        </w:rPr>
        <w:t xml:space="preserve"> </w:t>
      </w:r>
      <w:r w:rsidR="005F4140" w:rsidRPr="005F4140">
        <w:rPr>
          <w:sz w:val="24"/>
          <w:szCs w:val="24"/>
        </w:rPr>
        <w:t xml:space="preserve">Плановое значение показателя (90%) </w:t>
      </w:r>
      <w:r w:rsidR="009C37F6">
        <w:rPr>
          <w:sz w:val="24"/>
          <w:szCs w:val="24"/>
        </w:rPr>
        <w:t xml:space="preserve">в проверяемый период </w:t>
      </w:r>
      <w:r w:rsidR="005F4140" w:rsidRPr="005F4140">
        <w:rPr>
          <w:sz w:val="24"/>
          <w:szCs w:val="24"/>
        </w:rPr>
        <w:t>перевыполнено.</w:t>
      </w:r>
    </w:p>
    <w:p w:rsidR="00FC2C98" w:rsidRDefault="00617653" w:rsidP="005B6155">
      <w:pPr>
        <w:ind w:firstLine="680"/>
        <w:jc w:val="both"/>
      </w:pPr>
      <w:r>
        <w:t>Ч</w:t>
      </w:r>
      <w:r w:rsidR="00FC2C98" w:rsidRPr="00DF7C13">
        <w:t>исленность граждан субъекта РФ, имеющих доступ к получению  услуг, определяется в соответствии с количеством окон обслуживания населения</w:t>
      </w:r>
      <w:r w:rsidR="00BC1DB7">
        <w:t>, которые рассчитываются согласно</w:t>
      </w:r>
      <w:r w:rsidR="00FC2C98" w:rsidRPr="00DF7C13">
        <w:t xml:space="preserve"> </w:t>
      </w:r>
      <w:r w:rsidR="00A762CA">
        <w:t>п</w:t>
      </w:r>
      <w:r w:rsidR="00FC2C98" w:rsidRPr="00DF7C13">
        <w:t>риказ</w:t>
      </w:r>
      <w:r w:rsidR="00BC1DB7">
        <w:t>у</w:t>
      </w:r>
      <w:r w:rsidR="00FC2C98" w:rsidRPr="00DF7C13">
        <w:t xml:space="preserve"> Минэкономразвития России от 27.05.2016 №322 «Об утверждении Методических рекомендаций по созданию и организации деятельности многофункциональных центров предоставления государственных и муниципальных услуг»</w:t>
      </w:r>
      <w:r w:rsidR="00ED7BDC">
        <w:t xml:space="preserve"> </w:t>
      </w:r>
      <w:r w:rsidR="00FC2C98" w:rsidRPr="00DF7C13">
        <w:t xml:space="preserve">в зависимости от численности населения соответствующего муниципального образования из расчета </w:t>
      </w:r>
      <w:r w:rsidR="00FC2C98" w:rsidRPr="00DF7C13">
        <w:rPr>
          <w:u w:val="single"/>
        </w:rPr>
        <w:t>не менее 1 окна</w:t>
      </w:r>
      <w:r w:rsidR="00FC2C98" w:rsidRPr="00DF7C13">
        <w:t xml:space="preserve"> обслуживания на каждые 5 </w:t>
      </w:r>
      <w:r w:rsidR="00BC1DB7">
        <w:t xml:space="preserve">тыс. </w:t>
      </w:r>
      <w:r w:rsidR="00FC2C98" w:rsidRPr="00DF7C13">
        <w:t>жителей.</w:t>
      </w:r>
    </w:p>
    <w:p w:rsidR="00DC217E" w:rsidRDefault="000E0F0E" w:rsidP="00340AAE">
      <w:pPr>
        <w:pStyle w:val="afa"/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Окна обслуживания </w:t>
      </w:r>
      <w:r w:rsidRPr="00ED7BDC">
        <w:rPr>
          <w:sz w:val="24"/>
          <w:szCs w:val="24"/>
        </w:rPr>
        <w:t>формируются на основании схем размещения МФЦ</w:t>
      </w:r>
      <w:r w:rsidR="00DC217E" w:rsidRPr="00ED7BDC">
        <w:rPr>
          <w:sz w:val="24"/>
          <w:szCs w:val="24"/>
        </w:rPr>
        <w:t>, к</w:t>
      </w:r>
      <w:r w:rsidRPr="00ED7BDC">
        <w:rPr>
          <w:sz w:val="24"/>
          <w:szCs w:val="24"/>
        </w:rPr>
        <w:t xml:space="preserve">оторые </w:t>
      </w:r>
      <w:r w:rsidR="00DC217E" w:rsidRPr="00ED7BDC">
        <w:rPr>
          <w:sz w:val="24"/>
          <w:szCs w:val="24"/>
        </w:rPr>
        <w:t>согласно Правилам № 1376 утверждаются комиссией по вопросам повышения качества и доступности предоставления государственных и муниципальных услуг субъекта РФ.</w:t>
      </w:r>
    </w:p>
    <w:p w:rsidR="00617653" w:rsidRDefault="00617653" w:rsidP="00617653">
      <w:pPr>
        <w:pStyle w:val="afa"/>
        <w:ind w:firstLine="680"/>
        <w:jc w:val="both"/>
        <w:rPr>
          <w:sz w:val="24"/>
          <w:szCs w:val="24"/>
        </w:rPr>
      </w:pPr>
      <w:r w:rsidRPr="00ED7BDC">
        <w:rPr>
          <w:sz w:val="24"/>
          <w:szCs w:val="24"/>
        </w:rPr>
        <w:t>Информация о количестве офисов МФЦ и ТОСП и количестве открытых</w:t>
      </w:r>
      <w:r>
        <w:rPr>
          <w:sz w:val="24"/>
          <w:szCs w:val="24"/>
        </w:rPr>
        <w:t xml:space="preserve"> окон </w:t>
      </w:r>
      <w:r w:rsidRPr="00ED7BDC">
        <w:rPr>
          <w:sz w:val="24"/>
          <w:szCs w:val="24"/>
        </w:rPr>
        <w:t>согласно схем</w:t>
      </w:r>
      <w:r>
        <w:rPr>
          <w:sz w:val="24"/>
          <w:szCs w:val="24"/>
        </w:rPr>
        <w:t>ам</w:t>
      </w:r>
      <w:r w:rsidRPr="00ED7BDC">
        <w:rPr>
          <w:sz w:val="24"/>
          <w:szCs w:val="24"/>
        </w:rPr>
        <w:t xml:space="preserve"> размещения представлена в таблице.</w:t>
      </w:r>
    </w:p>
    <w:p w:rsidR="00617653" w:rsidRPr="00B57CC9" w:rsidRDefault="00B57CC9" w:rsidP="00B57CC9">
      <w:pPr>
        <w:pStyle w:val="afa"/>
        <w:ind w:firstLine="540"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 </w:t>
      </w:r>
      <w:r w:rsidR="00617653" w:rsidRPr="00B57CC9">
        <w:rPr>
          <w:sz w:val="20"/>
        </w:rPr>
        <w:t>(ед.)</w:t>
      </w:r>
    </w:p>
    <w:p w:rsidR="00617653" w:rsidRDefault="00617653" w:rsidP="00617653">
      <w:pPr>
        <w:pStyle w:val="afa"/>
        <w:jc w:val="both"/>
        <w:rPr>
          <w:sz w:val="24"/>
          <w:szCs w:val="24"/>
        </w:rPr>
      </w:pPr>
    </w:p>
    <w:tbl>
      <w:tblPr>
        <w:tblStyle w:val="af5"/>
        <w:tblpPr w:leftFromText="180" w:rightFromText="180" w:vertAnchor="text" w:horzAnchor="margin" w:tblpXSpec="center" w:tblpY="-228"/>
        <w:tblW w:w="946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4077"/>
        <w:gridCol w:w="1134"/>
        <w:gridCol w:w="1701"/>
        <w:gridCol w:w="1276"/>
        <w:gridCol w:w="1276"/>
      </w:tblGrid>
      <w:tr w:rsidR="00617653" w:rsidTr="00AB546E">
        <w:trPr>
          <w:trHeight w:hRule="exact" w:val="539"/>
          <w:jc w:val="center"/>
        </w:trPr>
        <w:tc>
          <w:tcPr>
            <w:tcW w:w="4077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</w:tcPr>
          <w:p w:rsidR="00617653" w:rsidRPr="00C60851" w:rsidRDefault="00617653" w:rsidP="00C01D8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60851">
              <w:rPr>
                <w:b/>
                <w:sz w:val="18"/>
                <w:szCs w:val="18"/>
              </w:rPr>
              <w:t>Период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</w:tcPr>
          <w:p w:rsidR="00617653" w:rsidRPr="00C60851" w:rsidRDefault="00617653" w:rsidP="00C01D8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60851">
              <w:rPr>
                <w:b/>
                <w:sz w:val="18"/>
                <w:szCs w:val="18"/>
              </w:rPr>
              <w:t>Офисы МФЦ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</w:tcPr>
          <w:p w:rsidR="00617653" w:rsidRPr="00C60851" w:rsidRDefault="00617653" w:rsidP="00C01D8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:rsidR="00617653" w:rsidRPr="00C60851" w:rsidRDefault="00617653" w:rsidP="00C01D8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60851">
              <w:rPr>
                <w:b/>
                <w:sz w:val="18"/>
                <w:szCs w:val="18"/>
              </w:rPr>
              <w:t>ТОСП</w:t>
            </w:r>
          </w:p>
          <w:p w:rsidR="00617653" w:rsidRPr="00C60851" w:rsidRDefault="00617653" w:rsidP="00C01D8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</w:tcPr>
          <w:p w:rsidR="00617653" w:rsidRPr="00C60851" w:rsidRDefault="00617653" w:rsidP="00C01D8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:rsidR="00617653" w:rsidRPr="00C60851" w:rsidRDefault="00617653" w:rsidP="00C01D8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60851">
              <w:rPr>
                <w:b/>
                <w:sz w:val="18"/>
                <w:szCs w:val="18"/>
              </w:rPr>
              <w:t>Окна</w:t>
            </w:r>
          </w:p>
          <w:p w:rsidR="00617653" w:rsidRPr="00C60851" w:rsidRDefault="00617653" w:rsidP="00C01D8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</w:tcPr>
          <w:p w:rsidR="00617653" w:rsidRPr="00C60851" w:rsidRDefault="00617653" w:rsidP="00C01D8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60851">
              <w:rPr>
                <w:b/>
                <w:sz w:val="18"/>
                <w:szCs w:val="18"/>
              </w:rPr>
              <w:t xml:space="preserve">в т.ч. </w:t>
            </w:r>
            <w:proofErr w:type="spellStart"/>
            <w:r w:rsidRPr="00C60851">
              <w:rPr>
                <w:b/>
                <w:sz w:val="18"/>
                <w:szCs w:val="18"/>
              </w:rPr>
              <w:t>бизнес-окна</w:t>
            </w:r>
            <w:proofErr w:type="spellEnd"/>
          </w:p>
        </w:tc>
      </w:tr>
      <w:tr w:rsidR="00617653" w:rsidTr="005168C9">
        <w:trPr>
          <w:trHeight w:val="286"/>
          <w:jc w:val="center"/>
        </w:trPr>
        <w:tc>
          <w:tcPr>
            <w:tcW w:w="407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17653" w:rsidRPr="00C60851" w:rsidRDefault="00617653" w:rsidP="00C01D8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60851">
              <w:rPr>
                <w:sz w:val="18"/>
                <w:szCs w:val="18"/>
              </w:rPr>
              <w:t xml:space="preserve">в рамках трансферта из федерального бюджета 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17653" w:rsidRPr="00C60851" w:rsidRDefault="00617653" w:rsidP="00C01D8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60851">
              <w:rPr>
                <w:b/>
                <w:sz w:val="18"/>
                <w:szCs w:val="18"/>
              </w:rPr>
              <w:t>46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17653" w:rsidRPr="00C60851" w:rsidRDefault="00617653" w:rsidP="00C01D8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60851">
              <w:rPr>
                <w:b/>
                <w:sz w:val="18"/>
                <w:szCs w:val="18"/>
              </w:rPr>
              <w:t>229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17653" w:rsidRPr="00C60851" w:rsidRDefault="00617653" w:rsidP="00C01D8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60851">
              <w:rPr>
                <w:b/>
                <w:sz w:val="18"/>
                <w:szCs w:val="18"/>
              </w:rPr>
              <w:t>824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17653" w:rsidRPr="00C60851" w:rsidRDefault="00617653" w:rsidP="00C01D8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60851">
              <w:rPr>
                <w:b/>
                <w:sz w:val="18"/>
                <w:szCs w:val="18"/>
              </w:rPr>
              <w:t>-</w:t>
            </w:r>
          </w:p>
        </w:tc>
      </w:tr>
      <w:tr w:rsidR="00617653" w:rsidTr="00C01D87">
        <w:trPr>
          <w:trHeight w:val="20"/>
          <w:jc w:val="center"/>
        </w:trPr>
        <w:tc>
          <w:tcPr>
            <w:tcW w:w="4077" w:type="dxa"/>
            <w:vAlign w:val="center"/>
          </w:tcPr>
          <w:p w:rsidR="00617653" w:rsidRPr="00C60851" w:rsidRDefault="00617653" w:rsidP="00C01D8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60851">
              <w:rPr>
                <w:sz w:val="18"/>
                <w:szCs w:val="18"/>
              </w:rPr>
              <w:t xml:space="preserve">по состоянию на 01.01.2016 </w:t>
            </w:r>
          </w:p>
        </w:tc>
        <w:tc>
          <w:tcPr>
            <w:tcW w:w="1134" w:type="dxa"/>
            <w:vAlign w:val="center"/>
          </w:tcPr>
          <w:p w:rsidR="00617653" w:rsidRPr="00C60851" w:rsidRDefault="00617653" w:rsidP="00C01D8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60851">
              <w:rPr>
                <w:sz w:val="18"/>
                <w:szCs w:val="18"/>
              </w:rPr>
              <w:t>46</w:t>
            </w:r>
          </w:p>
        </w:tc>
        <w:tc>
          <w:tcPr>
            <w:tcW w:w="1701" w:type="dxa"/>
            <w:vAlign w:val="center"/>
          </w:tcPr>
          <w:p w:rsidR="00617653" w:rsidRPr="00C60851" w:rsidRDefault="00617653" w:rsidP="00C01D8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60851">
              <w:rPr>
                <w:sz w:val="18"/>
                <w:szCs w:val="18"/>
              </w:rPr>
              <w:t>235</w:t>
            </w:r>
          </w:p>
        </w:tc>
        <w:tc>
          <w:tcPr>
            <w:tcW w:w="1276" w:type="dxa"/>
            <w:vAlign w:val="center"/>
          </w:tcPr>
          <w:p w:rsidR="00617653" w:rsidRPr="00C60851" w:rsidRDefault="00617653" w:rsidP="00C01D8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60851">
              <w:rPr>
                <w:sz w:val="18"/>
                <w:szCs w:val="18"/>
              </w:rPr>
              <w:t>831</w:t>
            </w:r>
          </w:p>
        </w:tc>
        <w:tc>
          <w:tcPr>
            <w:tcW w:w="1276" w:type="dxa"/>
          </w:tcPr>
          <w:p w:rsidR="00617653" w:rsidRPr="00C60851" w:rsidRDefault="00617653" w:rsidP="00C01D8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60851">
              <w:rPr>
                <w:sz w:val="18"/>
                <w:szCs w:val="18"/>
              </w:rPr>
              <w:t>7</w:t>
            </w:r>
          </w:p>
        </w:tc>
      </w:tr>
      <w:tr w:rsidR="00617653" w:rsidRPr="005471D3" w:rsidTr="00C01D87">
        <w:trPr>
          <w:trHeight w:val="20"/>
          <w:jc w:val="center"/>
        </w:trPr>
        <w:tc>
          <w:tcPr>
            <w:tcW w:w="4077" w:type="dxa"/>
            <w:vAlign w:val="center"/>
          </w:tcPr>
          <w:p w:rsidR="00617653" w:rsidRPr="00C60851" w:rsidRDefault="00617653" w:rsidP="00C01D8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60851">
              <w:rPr>
                <w:sz w:val="18"/>
                <w:szCs w:val="18"/>
              </w:rPr>
              <w:t xml:space="preserve">по состоянию на 01.01.2017 </w:t>
            </w:r>
          </w:p>
        </w:tc>
        <w:tc>
          <w:tcPr>
            <w:tcW w:w="1134" w:type="dxa"/>
            <w:vAlign w:val="center"/>
          </w:tcPr>
          <w:p w:rsidR="00617653" w:rsidRPr="00C60851" w:rsidRDefault="00617653" w:rsidP="00C01D8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60851">
              <w:rPr>
                <w:sz w:val="18"/>
                <w:szCs w:val="18"/>
              </w:rPr>
              <w:t>48</w:t>
            </w:r>
          </w:p>
        </w:tc>
        <w:tc>
          <w:tcPr>
            <w:tcW w:w="1701" w:type="dxa"/>
            <w:vAlign w:val="center"/>
          </w:tcPr>
          <w:p w:rsidR="00617653" w:rsidRPr="00C60851" w:rsidRDefault="00617653" w:rsidP="00C01D8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60851">
              <w:rPr>
                <w:sz w:val="18"/>
                <w:szCs w:val="18"/>
              </w:rPr>
              <w:t>244</w:t>
            </w:r>
          </w:p>
        </w:tc>
        <w:tc>
          <w:tcPr>
            <w:tcW w:w="1276" w:type="dxa"/>
            <w:vAlign w:val="center"/>
          </w:tcPr>
          <w:p w:rsidR="00617653" w:rsidRPr="00C60851" w:rsidRDefault="00617653" w:rsidP="00C01D8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60851">
              <w:rPr>
                <w:sz w:val="18"/>
                <w:szCs w:val="18"/>
              </w:rPr>
              <w:t>834</w:t>
            </w:r>
          </w:p>
        </w:tc>
        <w:tc>
          <w:tcPr>
            <w:tcW w:w="1276" w:type="dxa"/>
          </w:tcPr>
          <w:p w:rsidR="00617653" w:rsidRPr="00C60851" w:rsidRDefault="00617653" w:rsidP="00C01D8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60851">
              <w:rPr>
                <w:sz w:val="18"/>
                <w:szCs w:val="18"/>
              </w:rPr>
              <w:t>10</w:t>
            </w:r>
          </w:p>
        </w:tc>
      </w:tr>
      <w:tr w:rsidR="00617653" w:rsidTr="00C01D87">
        <w:trPr>
          <w:trHeight w:val="20"/>
          <w:jc w:val="center"/>
        </w:trPr>
        <w:tc>
          <w:tcPr>
            <w:tcW w:w="4077" w:type="dxa"/>
            <w:vAlign w:val="center"/>
          </w:tcPr>
          <w:p w:rsidR="00617653" w:rsidRPr="00C60851" w:rsidRDefault="00617653" w:rsidP="00C01D8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60851">
              <w:rPr>
                <w:sz w:val="18"/>
                <w:szCs w:val="18"/>
              </w:rPr>
              <w:t>по состоянию на 01.01. 2018</w:t>
            </w:r>
          </w:p>
        </w:tc>
        <w:tc>
          <w:tcPr>
            <w:tcW w:w="1134" w:type="dxa"/>
            <w:vAlign w:val="center"/>
          </w:tcPr>
          <w:p w:rsidR="00617653" w:rsidRPr="00C60851" w:rsidRDefault="00617653" w:rsidP="00C01D8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60851">
              <w:rPr>
                <w:sz w:val="18"/>
                <w:szCs w:val="18"/>
              </w:rPr>
              <w:t>49</w:t>
            </w:r>
          </w:p>
        </w:tc>
        <w:tc>
          <w:tcPr>
            <w:tcW w:w="1701" w:type="dxa"/>
            <w:vAlign w:val="center"/>
          </w:tcPr>
          <w:p w:rsidR="00617653" w:rsidRPr="00C60851" w:rsidRDefault="00617653" w:rsidP="00C01D8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60851">
              <w:rPr>
                <w:sz w:val="18"/>
                <w:szCs w:val="18"/>
              </w:rPr>
              <w:t>249</w:t>
            </w:r>
          </w:p>
        </w:tc>
        <w:tc>
          <w:tcPr>
            <w:tcW w:w="1276" w:type="dxa"/>
            <w:vAlign w:val="center"/>
          </w:tcPr>
          <w:p w:rsidR="00617653" w:rsidRPr="00C60851" w:rsidRDefault="00617653" w:rsidP="00C01D8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60851">
              <w:rPr>
                <w:sz w:val="18"/>
                <w:szCs w:val="18"/>
              </w:rPr>
              <w:t>861</w:t>
            </w:r>
          </w:p>
        </w:tc>
        <w:tc>
          <w:tcPr>
            <w:tcW w:w="1276" w:type="dxa"/>
            <w:vAlign w:val="center"/>
          </w:tcPr>
          <w:p w:rsidR="00617653" w:rsidRPr="00C60851" w:rsidRDefault="00617653" w:rsidP="00C01D87">
            <w:pPr>
              <w:tabs>
                <w:tab w:val="left" w:pos="614"/>
                <w:tab w:val="center" w:pos="831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60851">
              <w:rPr>
                <w:sz w:val="18"/>
                <w:szCs w:val="18"/>
              </w:rPr>
              <w:t>17</w:t>
            </w:r>
          </w:p>
        </w:tc>
      </w:tr>
      <w:tr w:rsidR="00617653" w:rsidTr="00C01D87">
        <w:trPr>
          <w:trHeight w:val="20"/>
          <w:jc w:val="center"/>
        </w:trPr>
        <w:tc>
          <w:tcPr>
            <w:tcW w:w="4077" w:type="dxa"/>
            <w:vAlign w:val="center"/>
          </w:tcPr>
          <w:p w:rsidR="00617653" w:rsidRPr="00C60851" w:rsidRDefault="00617653" w:rsidP="00C01D8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60851">
              <w:rPr>
                <w:sz w:val="18"/>
                <w:szCs w:val="18"/>
              </w:rPr>
              <w:t xml:space="preserve">по состоянию на 01.01. 2019 </w:t>
            </w:r>
          </w:p>
        </w:tc>
        <w:tc>
          <w:tcPr>
            <w:tcW w:w="1134" w:type="dxa"/>
            <w:vAlign w:val="center"/>
          </w:tcPr>
          <w:p w:rsidR="00617653" w:rsidRPr="00C60851" w:rsidRDefault="00617653" w:rsidP="00C01D8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60851">
              <w:rPr>
                <w:sz w:val="18"/>
                <w:szCs w:val="18"/>
              </w:rPr>
              <w:t>49</w:t>
            </w:r>
          </w:p>
        </w:tc>
        <w:tc>
          <w:tcPr>
            <w:tcW w:w="1701" w:type="dxa"/>
            <w:vAlign w:val="center"/>
          </w:tcPr>
          <w:p w:rsidR="00617653" w:rsidRPr="00C60851" w:rsidRDefault="00617653" w:rsidP="00C01D8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60851">
              <w:rPr>
                <w:sz w:val="18"/>
                <w:szCs w:val="18"/>
              </w:rPr>
              <w:t>281</w:t>
            </w:r>
          </w:p>
        </w:tc>
        <w:tc>
          <w:tcPr>
            <w:tcW w:w="1276" w:type="dxa"/>
            <w:vAlign w:val="center"/>
          </w:tcPr>
          <w:p w:rsidR="00617653" w:rsidRPr="00C60851" w:rsidRDefault="00617653" w:rsidP="00C01D8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60851">
              <w:rPr>
                <w:sz w:val="18"/>
                <w:szCs w:val="18"/>
              </w:rPr>
              <w:t>873</w:t>
            </w:r>
          </w:p>
        </w:tc>
        <w:tc>
          <w:tcPr>
            <w:tcW w:w="1276" w:type="dxa"/>
            <w:vAlign w:val="center"/>
          </w:tcPr>
          <w:p w:rsidR="00617653" w:rsidRPr="00C60851" w:rsidRDefault="00617653" w:rsidP="00C01D8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60851">
              <w:rPr>
                <w:sz w:val="18"/>
                <w:szCs w:val="18"/>
              </w:rPr>
              <w:t>25</w:t>
            </w:r>
          </w:p>
        </w:tc>
      </w:tr>
      <w:tr w:rsidR="00617653" w:rsidTr="00C01D87">
        <w:trPr>
          <w:trHeight w:val="20"/>
          <w:jc w:val="center"/>
        </w:trPr>
        <w:tc>
          <w:tcPr>
            <w:tcW w:w="4077" w:type="dxa"/>
            <w:vAlign w:val="center"/>
          </w:tcPr>
          <w:p w:rsidR="00617653" w:rsidRPr="00C60851" w:rsidRDefault="00617653" w:rsidP="00C01D8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60851">
              <w:rPr>
                <w:sz w:val="18"/>
                <w:szCs w:val="18"/>
              </w:rPr>
              <w:t xml:space="preserve">по состоянию на 01.07. 2019 </w:t>
            </w:r>
          </w:p>
        </w:tc>
        <w:tc>
          <w:tcPr>
            <w:tcW w:w="1134" w:type="dxa"/>
            <w:vAlign w:val="center"/>
          </w:tcPr>
          <w:p w:rsidR="00617653" w:rsidRPr="00C60851" w:rsidRDefault="00617653" w:rsidP="00C01D8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60851">
              <w:rPr>
                <w:sz w:val="18"/>
                <w:szCs w:val="18"/>
              </w:rPr>
              <w:t>49</w:t>
            </w:r>
          </w:p>
        </w:tc>
        <w:tc>
          <w:tcPr>
            <w:tcW w:w="1701" w:type="dxa"/>
            <w:vAlign w:val="center"/>
          </w:tcPr>
          <w:p w:rsidR="00617653" w:rsidRPr="00C60851" w:rsidRDefault="00617653" w:rsidP="00C01D8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60851">
              <w:rPr>
                <w:sz w:val="18"/>
                <w:szCs w:val="18"/>
              </w:rPr>
              <w:t>281</w:t>
            </w:r>
          </w:p>
        </w:tc>
        <w:tc>
          <w:tcPr>
            <w:tcW w:w="1276" w:type="dxa"/>
            <w:vAlign w:val="center"/>
          </w:tcPr>
          <w:p w:rsidR="00617653" w:rsidRPr="00C60851" w:rsidRDefault="00617653" w:rsidP="00C01D8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60851">
              <w:rPr>
                <w:sz w:val="18"/>
                <w:szCs w:val="18"/>
              </w:rPr>
              <w:t>876</w:t>
            </w:r>
          </w:p>
        </w:tc>
        <w:tc>
          <w:tcPr>
            <w:tcW w:w="1276" w:type="dxa"/>
            <w:vAlign w:val="center"/>
          </w:tcPr>
          <w:p w:rsidR="00617653" w:rsidRPr="00C60851" w:rsidRDefault="00617653" w:rsidP="00C01D8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60851">
              <w:rPr>
                <w:sz w:val="18"/>
                <w:szCs w:val="18"/>
              </w:rPr>
              <w:t>25</w:t>
            </w:r>
          </w:p>
        </w:tc>
      </w:tr>
      <w:tr w:rsidR="00617653" w:rsidTr="00C01D87">
        <w:trPr>
          <w:trHeight w:val="20"/>
          <w:jc w:val="center"/>
        </w:trPr>
        <w:tc>
          <w:tcPr>
            <w:tcW w:w="4077" w:type="dxa"/>
            <w:vAlign w:val="center"/>
          </w:tcPr>
          <w:p w:rsidR="00617653" w:rsidRPr="00C60851" w:rsidRDefault="00617653" w:rsidP="00C01D8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60851">
              <w:rPr>
                <w:sz w:val="18"/>
                <w:szCs w:val="18"/>
              </w:rPr>
              <w:t>по состоянию на 01.09.2019</w:t>
            </w:r>
          </w:p>
        </w:tc>
        <w:tc>
          <w:tcPr>
            <w:tcW w:w="1134" w:type="dxa"/>
            <w:vAlign w:val="center"/>
          </w:tcPr>
          <w:p w:rsidR="00617653" w:rsidRPr="00C60851" w:rsidRDefault="00617653" w:rsidP="00C01D8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60851">
              <w:rPr>
                <w:sz w:val="18"/>
                <w:szCs w:val="18"/>
              </w:rPr>
              <w:t>49</w:t>
            </w:r>
          </w:p>
        </w:tc>
        <w:tc>
          <w:tcPr>
            <w:tcW w:w="1701" w:type="dxa"/>
            <w:vAlign w:val="center"/>
          </w:tcPr>
          <w:p w:rsidR="00617653" w:rsidRPr="00C60851" w:rsidRDefault="00617653" w:rsidP="00C01D8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60851">
              <w:rPr>
                <w:sz w:val="18"/>
                <w:szCs w:val="18"/>
              </w:rPr>
              <w:t>260</w:t>
            </w:r>
          </w:p>
        </w:tc>
        <w:tc>
          <w:tcPr>
            <w:tcW w:w="1276" w:type="dxa"/>
            <w:vAlign w:val="center"/>
          </w:tcPr>
          <w:p w:rsidR="00617653" w:rsidRPr="00C60851" w:rsidRDefault="00617653" w:rsidP="00C01D8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60851">
              <w:rPr>
                <w:sz w:val="18"/>
                <w:szCs w:val="18"/>
              </w:rPr>
              <w:t>856</w:t>
            </w:r>
          </w:p>
        </w:tc>
        <w:tc>
          <w:tcPr>
            <w:tcW w:w="1276" w:type="dxa"/>
            <w:vAlign w:val="center"/>
          </w:tcPr>
          <w:p w:rsidR="00617653" w:rsidRPr="00C60851" w:rsidRDefault="00617653" w:rsidP="00C01D8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60851">
              <w:rPr>
                <w:sz w:val="18"/>
                <w:szCs w:val="18"/>
              </w:rPr>
              <w:t>23</w:t>
            </w:r>
          </w:p>
        </w:tc>
      </w:tr>
    </w:tbl>
    <w:p w:rsidR="00433E06" w:rsidRDefault="00433E06" w:rsidP="00433E06">
      <w:pPr>
        <w:pStyle w:val="ConsPlusNormal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видно из таблицы, в проверяемый период количество окон обслуживания увеличилось с 834 до 856, или на 22 единицы.</w:t>
      </w:r>
    </w:p>
    <w:p w:rsidR="00085092" w:rsidRDefault="00120F53" w:rsidP="00433E06">
      <w:pPr>
        <w:pStyle w:val="afa"/>
        <w:ind w:firstLine="68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По состоянию на 01.01.2016 действовали 824 окна обслуживания, которые открыты за счет средств федерального </w:t>
      </w:r>
      <w:r w:rsidR="00340AAE">
        <w:rPr>
          <w:sz w:val="24"/>
          <w:szCs w:val="24"/>
        </w:rPr>
        <w:t xml:space="preserve">бюджета </w:t>
      </w:r>
      <w:r>
        <w:rPr>
          <w:sz w:val="24"/>
          <w:szCs w:val="24"/>
        </w:rPr>
        <w:t xml:space="preserve">на основании </w:t>
      </w:r>
      <w:r w:rsidR="00CA03EB">
        <w:rPr>
          <w:sz w:val="24"/>
          <w:szCs w:val="24"/>
        </w:rPr>
        <w:t>с</w:t>
      </w:r>
      <w:r w:rsidRPr="00B06E68">
        <w:rPr>
          <w:sz w:val="24"/>
          <w:szCs w:val="24"/>
        </w:rPr>
        <w:t>оглашени</w:t>
      </w:r>
      <w:r>
        <w:rPr>
          <w:sz w:val="24"/>
          <w:szCs w:val="24"/>
        </w:rPr>
        <w:t>я</w:t>
      </w:r>
      <w:r w:rsidRPr="00B06E6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 </w:t>
      </w:r>
      <w:r w:rsidRPr="00B06E68">
        <w:rPr>
          <w:sz w:val="24"/>
          <w:szCs w:val="24"/>
        </w:rPr>
        <w:t>Минэкономразвития</w:t>
      </w:r>
      <w:r>
        <w:rPr>
          <w:sz w:val="24"/>
          <w:szCs w:val="24"/>
        </w:rPr>
        <w:t xml:space="preserve"> РФ</w:t>
      </w:r>
      <w:r w:rsidRPr="00B06E68">
        <w:rPr>
          <w:sz w:val="24"/>
          <w:szCs w:val="24"/>
        </w:rPr>
        <w:t xml:space="preserve"> от 15.10.2014 о предоставлении иного межбюджетного трансферта из федерального бюджета на завершение работ по созданию сети МФЦ</w:t>
      </w:r>
      <w:r w:rsidR="00CA03EB">
        <w:rPr>
          <w:sz w:val="24"/>
          <w:szCs w:val="24"/>
        </w:rPr>
        <w:t xml:space="preserve"> (далее – Соглашение от 15.10.2014)</w:t>
      </w:r>
      <w:r w:rsidRPr="00B06E68">
        <w:rPr>
          <w:sz w:val="24"/>
          <w:szCs w:val="24"/>
        </w:rPr>
        <w:t xml:space="preserve"> и 7 </w:t>
      </w:r>
      <w:r>
        <w:rPr>
          <w:sz w:val="24"/>
          <w:szCs w:val="24"/>
        </w:rPr>
        <w:t>б</w:t>
      </w:r>
      <w:r w:rsidRPr="00B06E68">
        <w:rPr>
          <w:sz w:val="24"/>
          <w:szCs w:val="24"/>
        </w:rPr>
        <w:t>изнес – окон</w:t>
      </w:r>
      <w:r>
        <w:rPr>
          <w:sz w:val="24"/>
          <w:szCs w:val="24"/>
        </w:rPr>
        <w:t xml:space="preserve">, </w:t>
      </w:r>
      <w:r w:rsidR="00340AAE">
        <w:rPr>
          <w:sz w:val="24"/>
          <w:szCs w:val="24"/>
        </w:rPr>
        <w:t>открыты</w:t>
      </w:r>
      <w:r w:rsidR="001B7650">
        <w:rPr>
          <w:sz w:val="24"/>
          <w:szCs w:val="24"/>
        </w:rPr>
        <w:t>х</w:t>
      </w:r>
      <w:r w:rsidRPr="00B06E68">
        <w:rPr>
          <w:sz w:val="24"/>
          <w:szCs w:val="24"/>
        </w:rPr>
        <w:t xml:space="preserve"> за счет средств областного бюджета.</w:t>
      </w:r>
      <w:r w:rsidR="00433E06">
        <w:rPr>
          <w:sz w:val="24"/>
          <w:szCs w:val="24"/>
        </w:rPr>
        <w:t xml:space="preserve"> </w:t>
      </w:r>
    </w:p>
    <w:p w:rsidR="00A66980" w:rsidRPr="00E51F8D" w:rsidRDefault="00B22D7A" w:rsidP="00B22D7A">
      <w:pPr>
        <w:pStyle w:val="ConsPlusNormal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Изменения в схему размещения в части окон обслуживания, открытых в соответствии с </w:t>
      </w:r>
      <w:r w:rsidRPr="00CA03EB">
        <w:rPr>
          <w:rFonts w:ascii="Times New Roman" w:hAnsi="Times New Roman" w:cs="Times New Roman"/>
          <w:sz w:val="24"/>
          <w:szCs w:val="24"/>
        </w:rPr>
        <w:t>Соглашением от 15.10.2014</w:t>
      </w:r>
      <w:r>
        <w:rPr>
          <w:rFonts w:ascii="Times New Roman" w:hAnsi="Times New Roman" w:cs="Times New Roman"/>
          <w:sz w:val="24"/>
          <w:szCs w:val="24"/>
        </w:rPr>
        <w:t xml:space="preserve">, вносились </w:t>
      </w:r>
      <w:r w:rsidR="0017183F">
        <w:rPr>
          <w:rFonts w:ascii="Times New Roman" w:hAnsi="Times New Roman" w:cs="Times New Roman"/>
          <w:sz w:val="24"/>
          <w:szCs w:val="24"/>
        </w:rPr>
        <w:t>по согласованию с Минэкономразвития РФ</w:t>
      </w:r>
      <w:r w:rsidRPr="00B22D7A">
        <w:rPr>
          <w:rFonts w:ascii="Times New Roman" w:hAnsi="Times New Roman" w:cs="Times New Roman"/>
          <w:sz w:val="24"/>
          <w:szCs w:val="24"/>
        </w:rPr>
        <w:t xml:space="preserve">. </w:t>
      </w:r>
      <w:r w:rsidR="00085092" w:rsidRPr="00B22D7A">
        <w:rPr>
          <w:rFonts w:ascii="Times New Roman" w:hAnsi="Times New Roman" w:cs="Times New Roman"/>
          <w:sz w:val="24"/>
          <w:szCs w:val="24"/>
        </w:rPr>
        <w:t xml:space="preserve">В </w:t>
      </w:r>
      <w:r w:rsidR="00214BE4" w:rsidRPr="00B22D7A">
        <w:rPr>
          <w:rFonts w:ascii="Times New Roman" w:hAnsi="Times New Roman" w:cs="Times New Roman"/>
          <w:sz w:val="24"/>
          <w:szCs w:val="24"/>
        </w:rPr>
        <w:t xml:space="preserve">частности, в </w:t>
      </w:r>
      <w:r w:rsidR="00FC2C98" w:rsidRPr="00B22D7A">
        <w:rPr>
          <w:rFonts w:ascii="Times New Roman" w:hAnsi="Times New Roman" w:cs="Times New Roman"/>
          <w:sz w:val="24"/>
          <w:szCs w:val="24"/>
        </w:rPr>
        <w:t xml:space="preserve">целях эффективного использования окон обслуживания МФЦ </w:t>
      </w:r>
      <w:proofErr w:type="spellStart"/>
      <w:r w:rsidR="00FC2C98" w:rsidRPr="00B22D7A">
        <w:rPr>
          <w:rFonts w:ascii="Times New Roman" w:hAnsi="Times New Roman" w:cs="Times New Roman"/>
          <w:sz w:val="24"/>
          <w:szCs w:val="24"/>
        </w:rPr>
        <w:t>Облкомэконом</w:t>
      </w:r>
      <w:r w:rsidR="00C035B8" w:rsidRPr="00B22D7A">
        <w:rPr>
          <w:rFonts w:ascii="Times New Roman" w:hAnsi="Times New Roman" w:cs="Times New Roman"/>
          <w:sz w:val="24"/>
          <w:szCs w:val="24"/>
        </w:rPr>
        <w:t>развития</w:t>
      </w:r>
      <w:proofErr w:type="spellEnd"/>
      <w:r w:rsidR="00C035B8" w:rsidRPr="00B22D7A">
        <w:rPr>
          <w:rFonts w:ascii="Times New Roman" w:hAnsi="Times New Roman" w:cs="Times New Roman"/>
          <w:sz w:val="24"/>
          <w:szCs w:val="24"/>
        </w:rPr>
        <w:t xml:space="preserve"> </w:t>
      </w:r>
      <w:r w:rsidR="00FC2C98" w:rsidRPr="00B22D7A">
        <w:rPr>
          <w:rFonts w:ascii="Times New Roman" w:hAnsi="Times New Roman" w:cs="Times New Roman"/>
          <w:sz w:val="24"/>
          <w:szCs w:val="24"/>
        </w:rPr>
        <w:t xml:space="preserve">письмом от 15.11.2018 </w:t>
      </w:r>
      <w:r w:rsidR="00A66980" w:rsidRPr="00B22D7A">
        <w:rPr>
          <w:rFonts w:ascii="Times New Roman" w:hAnsi="Times New Roman" w:cs="Times New Roman"/>
          <w:sz w:val="24"/>
          <w:szCs w:val="24"/>
        </w:rPr>
        <w:t>(на запрос Минэкономразвития Р</w:t>
      </w:r>
      <w:r w:rsidR="005F52E5" w:rsidRPr="00B22D7A">
        <w:rPr>
          <w:rFonts w:ascii="Times New Roman" w:hAnsi="Times New Roman" w:cs="Times New Roman"/>
          <w:sz w:val="24"/>
          <w:szCs w:val="24"/>
        </w:rPr>
        <w:t>Ф</w:t>
      </w:r>
      <w:r w:rsidR="00A66980" w:rsidRPr="00B22D7A">
        <w:rPr>
          <w:rFonts w:ascii="Times New Roman" w:hAnsi="Times New Roman" w:cs="Times New Roman"/>
          <w:sz w:val="24"/>
          <w:szCs w:val="24"/>
        </w:rPr>
        <w:t xml:space="preserve">) </w:t>
      </w:r>
      <w:r w:rsidR="00214BE4" w:rsidRPr="00B22D7A">
        <w:rPr>
          <w:rFonts w:ascii="Times New Roman" w:hAnsi="Times New Roman" w:cs="Times New Roman"/>
          <w:sz w:val="24"/>
          <w:szCs w:val="24"/>
        </w:rPr>
        <w:t>предлагалось внести корректировки в схему размещения МФЦ в части сокращения окон обслуживания</w:t>
      </w:r>
      <w:r w:rsidR="0017789D" w:rsidRPr="00B22D7A">
        <w:rPr>
          <w:rFonts w:ascii="Times New Roman" w:hAnsi="Times New Roman" w:cs="Times New Roman"/>
          <w:sz w:val="24"/>
          <w:szCs w:val="24"/>
        </w:rPr>
        <w:t xml:space="preserve"> на 42 ед</w:t>
      </w:r>
      <w:r w:rsidR="00085092" w:rsidRPr="00B22D7A">
        <w:rPr>
          <w:rFonts w:ascii="Times New Roman" w:hAnsi="Times New Roman" w:cs="Times New Roman"/>
          <w:sz w:val="24"/>
          <w:szCs w:val="24"/>
        </w:rPr>
        <w:t>иниц</w:t>
      </w:r>
      <w:r w:rsidR="00A66980" w:rsidRPr="00B22D7A">
        <w:rPr>
          <w:rFonts w:ascii="Times New Roman" w:hAnsi="Times New Roman" w:cs="Times New Roman"/>
          <w:sz w:val="24"/>
          <w:szCs w:val="24"/>
        </w:rPr>
        <w:t>ы</w:t>
      </w:r>
      <w:r w:rsidR="009C156D" w:rsidRPr="009C156D">
        <w:rPr>
          <w:rFonts w:ascii="Times New Roman" w:hAnsi="Times New Roman" w:cs="Times New Roman"/>
          <w:sz w:val="24"/>
          <w:szCs w:val="24"/>
        </w:rPr>
        <w:t xml:space="preserve"> </w:t>
      </w:r>
      <w:r w:rsidR="009C156D" w:rsidRPr="00B22D7A">
        <w:rPr>
          <w:rFonts w:ascii="Times New Roman" w:hAnsi="Times New Roman" w:cs="Times New Roman"/>
          <w:sz w:val="24"/>
          <w:szCs w:val="24"/>
        </w:rPr>
        <w:t xml:space="preserve">в </w:t>
      </w:r>
      <w:r w:rsidR="009C156D">
        <w:rPr>
          <w:rFonts w:ascii="Times New Roman" w:hAnsi="Times New Roman" w:cs="Times New Roman"/>
          <w:sz w:val="24"/>
          <w:szCs w:val="24"/>
        </w:rPr>
        <w:t>отдельных населенных пунктах Волгоградской области</w:t>
      </w:r>
      <w:r w:rsidR="00085092" w:rsidRPr="00B22D7A">
        <w:rPr>
          <w:rFonts w:ascii="Times New Roman" w:hAnsi="Times New Roman" w:cs="Times New Roman"/>
          <w:sz w:val="24"/>
          <w:szCs w:val="24"/>
        </w:rPr>
        <w:t xml:space="preserve">. </w:t>
      </w:r>
      <w:r w:rsidR="00A66980" w:rsidRPr="00B22D7A">
        <w:rPr>
          <w:rFonts w:ascii="Times New Roman" w:hAnsi="Times New Roman" w:cs="Times New Roman"/>
          <w:sz w:val="24"/>
          <w:szCs w:val="24"/>
        </w:rPr>
        <w:t xml:space="preserve">Однако в сокращении окон обслуживания было отказано. По пояснению </w:t>
      </w:r>
      <w:r w:rsidR="00D31ADB">
        <w:rPr>
          <w:rFonts w:ascii="Times New Roman" w:hAnsi="Times New Roman" w:cs="Times New Roman"/>
          <w:sz w:val="24"/>
          <w:szCs w:val="24"/>
        </w:rPr>
        <w:t xml:space="preserve">сотрудников </w:t>
      </w:r>
      <w:proofErr w:type="spellStart"/>
      <w:r w:rsidR="00A66980" w:rsidRPr="00B22D7A">
        <w:rPr>
          <w:rFonts w:ascii="Times New Roman" w:hAnsi="Times New Roman" w:cs="Times New Roman"/>
          <w:sz w:val="24"/>
          <w:szCs w:val="24"/>
        </w:rPr>
        <w:t>Облкомэкономразвития</w:t>
      </w:r>
      <w:proofErr w:type="spellEnd"/>
      <w:r w:rsidR="00A66980" w:rsidRPr="00B22D7A">
        <w:rPr>
          <w:rFonts w:ascii="Times New Roman" w:hAnsi="Times New Roman" w:cs="Times New Roman"/>
          <w:sz w:val="24"/>
          <w:szCs w:val="24"/>
        </w:rPr>
        <w:t xml:space="preserve">, учитывая, что предложенные изменения не согласованы Минэкономразвития России, сократить </w:t>
      </w:r>
      <w:r w:rsidR="00D31ADB">
        <w:rPr>
          <w:rFonts w:ascii="Times New Roman" w:hAnsi="Times New Roman" w:cs="Times New Roman"/>
          <w:sz w:val="24"/>
          <w:szCs w:val="24"/>
        </w:rPr>
        <w:t>их</w:t>
      </w:r>
      <w:r w:rsidR="00A66980" w:rsidRPr="00B22D7A">
        <w:rPr>
          <w:rFonts w:ascii="Times New Roman" w:hAnsi="Times New Roman" w:cs="Times New Roman"/>
          <w:sz w:val="24"/>
          <w:szCs w:val="24"/>
        </w:rPr>
        <w:t xml:space="preserve"> будет возможным после 2020 г. (согласно условиям </w:t>
      </w:r>
      <w:r w:rsidR="00AB546E">
        <w:rPr>
          <w:rFonts w:ascii="Times New Roman" w:hAnsi="Times New Roman" w:cs="Times New Roman"/>
          <w:sz w:val="24"/>
          <w:szCs w:val="24"/>
        </w:rPr>
        <w:t>С</w:t>
      </w:r>
      <w:r w:rsidR="00A66980" w:rsidRPr="00B22D7A">
        <w:rPr>
          <w:rFonts w:ascii="Times New Roman" w:hAnsi="Times New Roman" w:cs="Times New Roman"/>
          <w:sz w:val="24"/>
          <w:szCs w:val="24"/>
        </w:rPr>
        <w:t>оглашения</w:t>
      </w:r>
      <w:r w:rsidR="00AB546E">
        <w:rPr>
          <w:rFonts w:ascii="Times New Roman" w:hAnsi="Times New Roman" w:cs="Times New Roman"/>
          <w:sz w:val="24"/>
          <w:szCs w:val="24"/>
        </w:rPr>
        <w:t xml:space="preserve"> от 15.10.2014</w:t>
      </w:r>
      <w:r w:rsidR="00E51F8D">
        <w:rPr>
          <w:rFonts w:ascii="Times New Roman" w:hAnsi="Times New Roman" w:cs="Times New Roman"/>
          <w:sz w:val="24"/>
          <w:szCs w:val="24"/>
        </w:rPr>
        <w:t xml:space="preserve"> Правительством Волгоградской области обеспечивается предоставление услуг в перечне МФЦ с количеством окон обслуживания, предусмотренных соглашением, </w:t>
      </w:r>
      <w:r w:rsidR="00E51F8D" w:rsidRPr="00E51F8D">
        <w:rPr>
          <w:rFonts w:ascii="Times New Roman" w:hAnsi="Times New Roman" w:cs="Times New Roman"/>
          <w:sz w:val="24"/>
          <w:szCs w:val="24"/>
        </w:rPr>
        <w:t>не позднее чем до 31.12.2020</w:t>
      </w:r>
      <w:r w:rsidR="00A66980" w:rsidRPr="00E51F8D">
        <w:rPr>
          <w:rFonts w:ascii="Times New Roman" w:hAnsi="Times New Roman" w:cs="Times New Roman"/>
          <w:sz w:val="24"/>
          <w:szCs w:val="24"/>
        </w:rPr>
        <w:t>).</w:t>
      </w:r>
    </w:p>
    <w:p w:rsidR="00FC2C98" w:rsidRPr="001C53C1" w:rsidRDefault="00387686" w:rsidP="00A66980">
      <w:pPr>
        <w:pStyle w:val="ConsPlusNormal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1C53C1">
        <w:rPr>
          <w:rFonts w:ascii="Times New Roman" w:hAnsi="Times New Roman" w:cs="Times New Roman"/>
          <w:sz w:val="24"/>
          <w:szCs w:val="24"/>
        </w:rPr>
        <w:t>Проверк</w:t>
      </w:r>
      <w:r w:rsidR="00A66980" w:rsidRPr="001C53C1">
        <w:rPr>
          <w:rFonts w:ascii="Times New Roman" w:hAnsi="Times New Roman" w:cs="Times New Roman"/>
          <w:sz w:val="24"/>
          <w:szCs w:val="24"/>
        </w:rPr>
        <w:t xml:space="preserve">ой подтверждена необходимость сокращения окон обслуживания. Так, </w:t>
      </w:r>
      <w:r w:rsidR="001E6899" w:rsidRPr="001C53C1">
        <w:rPr>
          <w:rFonts w:ascii="Times New Roman" w:hAnsi="Times New Roman" w:cs="Times New Roman"/>
          <w:sz w:val="24"/>
          <w:szCs w:val="24"/>
        </w:rPr>
        <w:t xml:space="preserve">на </w:t>
      </w:r>
      <w:r w:rsidR="001E6899" w:rsidRPr="001C53C1">
        <w:rPr>
          <w:rFonts w:ascii="Times New Roman" w:hAnsi="Times New Roman" w:cs="Times New Roman"/>
          <w:sz w:val="24"/>
          <w:szCs w:val="24"/>
        </w:rPr>
        <w:lastRenderedPageBreak/>
        <w:t xml:space="preserve">территории отдельных </w:t>
      </w:r>
      <w:r w:rsidR="00D31ADB">
        <w:rPr>
          <w:rFonts w:ascii="Times New Roman" w:hAnsi="Times New Roman" w:cs="Times New Roman"/>
          <w:sz w:val="24"/>
          <w:szCs w:val="24"/>
        </w:rPr>
        <w:t xml:space="preserve">населенных пунктов </w:t>
      </w:r>
      <w:r w:rsidRPr="001C53C1">
        <w:rPr>
          <w:rFonts w:ascii="Times New Roman" w:hAnsi="Times New Roman" w:cs="Times New Roman"/>
          <w:sz w:val="24"/>
          <w:szCs w:val="24"/>
        </w:rPr>
        <w:t>ф</w:t>
      </w:r>
      <w:r w:rsidR="005B521D" w:rsidRPr="001C53C1">
        <w:rPr>
          <w:rFonts w:ascii="Times New Roman" w:hAnsi="Times New Roman" w:cs="Times New Roman"/>
          <w:sz w:val="24"/>
          <w:szCs w:val="24"/>
        </w:rPr>
        <w:t xml:space="preserve">актическое количество окон обслуживания МФЦ превышает нормативное количество, рассчитанное в соответствии с </w:t>
      </w:r>
      <w:r w:rsidR="00214BE4">
        <w:rPr>
          <w:rFonts w:ascii="Times New Roman" w:hAnsi="Times New Roman" w:cs="Times New Roman"/>
          <w:sz w:val="24"/>
          <w:szCs w:val="24"/>
        </w:rPr>
        <w:t xml:space="preserve">вышеназванными </w:t>
      </w:r>
      <w:proofErr w:type="spellStart"/>
      <w:r w:rsidR="005B521D" w:rsidRPr="001C53C1">
        <w:rPr>
          <w:rFonts w:ascii="Times New Roman" w:hAnsi="Times New Roman" w:cs="Times New Roman"/>
          <w:sz w:val="24"/>
          <w:szCs w:val="24"/>
        </w:rPr>
        <w:t>Метод</w:t>
      </w:r>
      <w:r w:rsidR="00DE5FC0" w:rsidRPr="001C53C1">
        <w:rPr>
          <w:rFonts w:ascii="Times New Roman" w:hAnsi="Times New Roman" w:cs="Times New Roman"/>
          <w:sz w:val="24"/>
          <w:szCs w:val="24"/>
        </w:rPr>
        <w:t>рекомендациями</w:t>
      </w:r>
      <w:proofErr w:type="spellEnd"/>
      <w:r w:rsidR="00DE5FC0" w:rsidRPr="001C53C1">
        <w:rPr>
          <w:rFonts w:ascii="Times New Roman" w:hAnsi="Times New Roman" w:cs="Times New Roman"/>
          <w:sz w:val="24"/>
          <w:szCs w:val="24"/>
        </w:rPr>
        <w:t xml:space="preserve"> </w:t>
      </w:r>
      <w:r w:rsidR="00ED7BDC" w:rsidRPr="001C53C1">
        <w:rPr>
          <w:rFonts w:ascii="Times New Roman" w:hAnsi="Times New Roman" w:cs="Times New Roman"/>
          <w:sz w:val="24"/>
          <w:szCs w:val="24"/>
        </w:rPr>
        <w:t xml:space="preserve">по организации деятельности МФЦ </w:t>
      </w:r>
      <w:r w:rsidR="00DE5FC0" w:rsidRPr="001C53C1">
        <w:rPr>
          <w:rFonts w:ascii="Times New Roman" w:hAnsi="Times New Roman" w:cs="Times New Roman"/>
          <w:sz w:val="24"/>
          <w:szCs w:val="24"/>
        </w:rPr>
        <w:t>(не менее 1</w:t>
      </w:r>
      <w:r w:rsidR="001E6899" w:rsidRPr="001C53C1">
        <w:rPr>
          <w:rFonts w:ascii="Times New Roman" w:hAnsi="Times New Roman" w:cs="Times New Roman"/>
          <w:sz w:val="24"/>
          <w:szCs w:val="24"/>
        </w:rPr>
        <w:t xml:space="preserve"> </w:t>
      </w:r>
      <w:r w:rsidR="00DE5FC0" w:rsidRPr="001C53C1">
        <w:rPr>
          <w:rFonts w:ascii="Times New Roman" w:hAnsi="Times New Roman" w:cs="Times New Roman"/>
          <w:sz w:val="24"/>
          <w:szCs w:val="24"/>
        </w:rPr>
        <w:t>окна обслуживания на каждые 5</w:t>
      </w:r>
      <w:r w:rsidR="002F4264">
        <w:rPr>
          <w:rFonts w:ascii="Times New Roman" w:hAnsi="Times New Roman" w:cs="Times New Roman"/>
          <w:sz w:val="24"/>
          <w:szCs w:val="24"/>
        </w:rPr>
        <w:t xml:space="preserve"> тыс. </w:t>
      </w:r>
      <w:r w:rsidR="00DE5FC0" w:rsidRPr="001C53C1">
        <w:rPr>
          <w:rFonts w:ascii="Times New Roman" w:hAnsi="Times New Roman" w:cs="Times New Roman"/>
          <w:sz w:val="24"/>
          <w:szCs w:val="24"/>
        </w:rPr>
        <w:t xml:space="preserve">жителей). При этом </w:t>
      </w:r>
      <w:r w:rsidR="00FC2C98" w:rsidRPr="001C53C1">
        <w:rPr>
          <w:rFonts w:ascii="Times New Roman" w:hAnsi="Times New Roman" w:cs="Times New Roman"/>
          <w:sz w:val="24"/>
          <w:szCs w:val="24"/>
        </w:rPr>
        <w:t>анализ</w:t>
      </w:r>
      <w:r w:rsidR="00DE5FC0" w:rsidRPr="001C53C1">
        <w:rPr>
          <w:rFonts w:ascii="Times New Roman" w:hAnsi="Times New Roman" w:cs="Times New Roman"/>
          <w:sz w:val="24"/>
          <w:szCs w:val="24"/>
        </w:rPr>
        <w:t xml:space="preserve"> количества </w:t>
      </w:r>
      <w:r w:rsidR="00FC2C98" w:rsidRPr="001C53C1">
        <w:rPr>
          <w:rFonts w:ascii="Times New Roman" w:hAnsi="Times New Roman" w:cs="Times New Roman"/>
          <w:sz w:val="24"/>
          <w:szCs w:val="24"/>
        </w:rPr>
        <w:t>оказанных услуг</w:t>
      </w:r>
      <w:r w:rsidR="00DE5FC0" w:rsidRPr="001C53C1">
        <w:rPr>
          <w:rFonts w:ascii="Times New Roman" w:hAnsi="Times New Roman" w:cs="Times New Roman"/>
          <w:sz w:val="24"/>
          <w:szCs w:val="24"/>
        </w:rPr>
        <w:t xml:space="preserve"> </w:t>
      </w:r>
      <w:r w:rsidR="00FC2C98" w:rsidRPr="001C53C1">
        <w:rPr>
          <w:rFonts w:ascii="Times New Roman" w:hAnsi="Times New Roman" w:cs="Times New Roman"/>
          <w:sz w:val="24"/>
          <w:szCs w:val="24"/>
        </w:rPr>
        <w:t>показал неэффективность использования окон обслуживания МФЦ, например:</w:t>
      </w:r>
    </w:p>
    <w:p w:rsidR="00FC2C98" w:rsidRPr="001C53C1" w:rsidRDefault="00FC2C98" w:rsidP="009540D0">
      <w:pPr>
        <w:pStyle w:val="afa"/>
        <w:ind w:firstLine="680"/>
        <w:jc w:val="both"/>
        <w:rPr>
          <w:sz w:val="24"/>
          <w:szCs w:val="24"/>
        </w:rPr>
      </w:pPr>
      <w:r w:rsidRPr="001C53C1">
        <w:rPr>
          <w:sz w:val="24"/>
          <w:szCs w:val="24"/>
        </w:rPr>
        <w:t>-</w:t>
      </w:r>
      <w:r w:rsidR="0031638A" w:rsidRPr="001C53C1">
        <w:rPr>
          <w:sz w:val="24"/>
          <w:szCs w:val="24"/>
        </w:rPr>
        <w:t xml:space="preserve"> </w:t>
      </w:r>
      <w:r w:rsidRPr="001C53C1">
        <w:rPr>
          <w:sz w:val="24"/>
          <w:szCs w:val="24"/>
        </w:rPr>
        <w:t xml:space="preserve">в филиале по работе с заявителями </w:t>
      </w:r>
      <w:proofErr w:type="spellStart"/>
      <w:r w:rsidRPr="001C53C1">
        <w:rPr>
          <w:sz w:val="24"/>
          <w:szCs w:val="24"/>
        </w:rPr>
        <w:t>Городищенского</w:t>
      </w:r>
      <w:proofErr w:type="spellEnd"/>
      <w:r w:rsidRPr="001C53C1">
        <w:rPr>
          <w:sz w:val="24"/>
          <w:szCs w:val="24"/>
        </w:rPr>
        <w:t xml:space="preserve"> района (</w:t>
      </w:r>
      <w:r w:rsidR="0031638A" w:rsidRPr="001C53C1">
        <w:rPr>
          <w:sz w:val="24"/>
          <w:szCs w:val="24"/>
        </w:rPr>
        <w:t>ТОСП п. Кузьмичи) на 2 247 чел.</w:t>
      </w:r>
      <w:r w:rsidRPr="001C53C1">
        <w:rPr>
          <w:sz w:val="24"/>
          <w:szCs w:val="24"/>
        </w:rPr>
        <w:t xml:space="preserve"> открыто 2 окна, при этом в 2017 году оказано </w:t>
      </w:r>
      <w:r w:rsidR="0031638A" w:rsidRPr="001C53C1">
        <w:rPr>
          <w:sz w:val="24"/>
          <w:szCs w:val="24"/>
        </w:rPr>
        <w:t>всего</w:t>
      </w:r>
      <w:r w:rsidRPr="001C53C1">
        <w:rPr>
          <w:sz w:val="24"/>
          <w:szCs w:val="24"/>
        </w:rPr>
        <w:t xml:space="preserve"> 10 услуг, в 2018 году услуги не оказывали</w:t>
      </w:r>
      <w:r w:rsidR="0031638A" w:rsidRPr="001C53C1">
        <w:rPr>
          <w:sz w:val="24"/>
          <w:szCs w:val="24"/>
        </w:rPr>
        <w:t>сь</w:t>
      </w:r>
      <w:r w:rsidR="002F4264">
        <w:rPr>
          <w:sz w:val="24"/>
          <w:szCs w:val="24"/>
        </w:rPr>
        <w:t xml:space="preserve"> (не были востребованы)</w:t>
      </w:r>
      <w:r w:rsidRPr="001C53C1">
        <w:rPr>
          <w:sz w:val="24"/>
          <w:szCs w:val="24"/>
        </w:rPr>
        <w:t xml:space="preserve">, в 2019 году </w:t>
      </w:r>
      <w:r w:rsidR="00C01D87" w:rsidRPr="00C01D87">
        <w:rPr>
          <w:sz w:val="24"/>
          <w:szCs w:val="24"/>
        </w:rPr>
        <w:t>-</w:t>
      </w:r>
      <w:r w:rsidRPr="001C53C1">
        <w:rPr>
          <w:sz w:val="24"/>
          <w:szCs w:val="24"/>
        </w:rPr>
        <w:t xml:space="preserve"> 2 услуги</w:t>
      </w:r>
      <w:r w:rsidR="0031638A" w:rsidRPr="001C53C1">
        <w:rPr>
          <w:sz w:val="24"/>
          <w:szCs w:val="24"/>
        </w:rPr>
        <w:t>;</w:t>
      </w:r>
    </w:p>
    <w:p w:rsidR="00B6403A" w:rsidRDefault="00FC2C98" w:rsidP="00A723EB">
      <w:pPr>
        <w:pStyle w:val="afa"/>
        <w:ind w:firstLine="680"/>
        <w:jc w:val="both"/>
        <w:rPr>
          <w:sz w:val="24"/>
          <w:szCs w:val="24"/>
        </w:rPr>
      </w:pPr>
      <w:r w:rsidRPr="001C53C1">
        <w:rPr>
          <w:sz w:val="24"/>
          <w:szCs w:val="24"/>
        </w:rPr>
        <w:t xml:space="preserve">- в филиале по работе с заявителями Нехаевского района </w:t>
      </w:r>
      <w:r w:rsidR="0031638A" w:rsidRPr="001C53C1">
        <w:rPr>
          <w:sz w:val="24"/>
          <w:szCs w:val="24"/>
        </w:rPr>
        <w:t xml:space="preserve">(ТОСП х. </w:t>
      </w:r>
      <w:proofErr w:type="spellStart"/>
      <w:r w:rsidR="0031638A" w:rsidRPr="001C53C1">
        <w:rPr>
          <w:sz w:val="24"/>
          <w:szCs w:val="24"/>
        </w:rPr>
        <w:t>Кругловка</w:t>
      </w:r>
      <w:proofErr w:type="spellEnd"/>
      <w:r w:rsidR="0031638A" w:rsidRPr="001C53C1">
        <w:rPr>
          <w:sz w:val="24"/>
          <w:szCs w:val="24"/>
        </w:rPr>
        <w:t>) на 959 чел.</w:t>
      </w:r>
      <w:r w:rsidRPr="001C53C1">
        <w:rPr>
          <w:sz w:val="24"/>
          <w:szCs w:val="24"/>
        </w:rPr>
        <w:t xml:space="preserve"> открыто 2 окна, при этом в 2017 году услуги не ок</w:t>
      </w:r>
      <w:r w:rsidR="0031638A" w:rsidRPr="001C53C1">
        <w:rPr>
          <w:sz w:val="24"/>
          <w:szCs w:val="24"/>
        </w:rPr>
        <w:t>азывались, в 2018 году оказано</w:t>
      </w:r>
      <w:r w:rsidRPr="001C53C1">
        <w:rPr>
          <w:sz w:val="24"/>
          <w:szCs w:val="24"/>
        </w:rPr>
        <w:t xml:space="preserve"> 154 услуги, в 2019 году  услуги не оказывались</w:t>
      </w:r>
      <w:r w:rsidR="002F4264">
        <w:rPr>
          <w:sz w:val="24"/>
          <w:szCs w:val="24"/>
        </w:rPr>
        <w:t xml:space="preserve"> (не были востребованы)</w:t>
      </w:r>
      <w:r w:rsidRPr="001C53C1">
        <w:rPr>
          <w:sz w:val="24"/>
          <w:szCs w:val="24"/>
        </w:rPr>
        <w:t>.</w:t>
      </w:r>
    </w:p>
    <w:p w:rsidR="00F373B6" w:rsidRPr="00D27761" w:rsidRDefault="00F373B6" w:rsidP="00A723EB">
      <w:pPr>
        <w:pStyle w:val="afa"/>
        <w:ind w:firstLine="680"/>
        <w:jc w:val="both"/>
        <w:rPr>
          <w:i/>
          <w:sz w:val="24"/>
          <w:szCs w:val="24"/>
        </w:rPr>
      </w:pPr>
      <w:r w:rsidRPr="001C53C1">
        <w:rPr>
          <w:sz w:val="24"/>
          <w:szCs w:val="24"/>
        </w:rPr>
        <w:t>Следует отметить, что предложени</w:t>
      </w:r>
      <w:r w:rsidR="00553640">
        <w:rPr>
          <w:sz w:val="24"/>
          <w:szCs w:val="24"/>
        </w:rPr>
        <w:t>е</w:t>
      </w:r>
      <w:r w:rsidRPr="001C53C1">
        <w:rPr>
          <w:sz w:val="24"/>
          <w:szCs w:val="24"/>
        </w:rPr>
        <w:t xml:space="preserve"> </w:t>
      </w:r>
      <w:r w:rsidR="00553640">
        <w:rPr>
          <w:sz w:val="24"/>
          <w:szCs w:val="24"/>
        </w:rPr>
        <w:t xml:space="preserve">о сокращении окон обслуживания </w:t>
      </w:r>
      <w:r w:rsidR="009C156D">
        <w:rPr>
          <w:sz w:val="24"/>
          <w:szCs w:val="24"/>
        </w:rPr>
        <w:t xml:space="preserve">направлено </w:t>
      </w:r>
      <w:r w:rsidRPr="001C53C1">
        <w:rPr>
          <w:sz w:val="24"/>
          <w:szCs w:val="24"/>
        </w:rPr>
        <w:t>по запрашиваемой министерством форме, которая предусматривает только количественные показатели</w:t>
      </w:r>
      <w:r w:rsidR="00553640">
        <w:rPr>
          <w:sz w:val="24"/>
          <w:szCs w:val="24"/>
        </w:rPr>
        <w:t>.</w:t>
      </w:r>
      <w:r w:rsidR="002F4264">
        <w:rPr>
          <w:sz w:val="24"/>
          <w:szCs w:val="24"/>
        </w:rPr>
        <w:t xml:space="preserve"> При этом обоснование причин </w:t>
      </w:r>
      <w:r w:rsidR="00A723EB">
        <w:rPr>
          <w:sz w:val="24"/>
          <w:szCs w:val="24"/>
        </w:rPr>
        <w:t xml:space="preserve">необходимости </w:t>
      </w:r>
      <w:r w:rsidR="002F4264">
        <w:rPr>
          <w:sz w:val="24"/>
          <w:szCs w:val="24"/>
        </w:rPr>
        <w:t xml:space="preserve">сокращения окон </w:t>
      </w:r>
      <w:r w:rsidR="002F4264" w:rsidRPr="002F4264">
        <w:rPr>
          <w:sz w:val="24"/>
          <w:szCs w:val="24"/>
        </w:rPr>
        <w:t xml:space="preserve">(в т.ч. с указанием объема </w:t>
      </w:r>
      <w:r w:rsidR="00553640">
        <w:rPr>
          <w:sz w:val="24"/>
          <w:szCs w:val="24"/>
        </w:rPr>
        <w:t>предполагаемых к сокращению</w:t>
      </w:r>
      <w:r w:rsidR="002F4264" w:rsidRPr="002F4264">
        <w:rPr>
          <w:sz w:val="24"/>
          <w:szCs w:val="24"/>
        </w:rPr>
        <w:t xml:space="preserve"> расходов)</w:t>
      </w:r>
      <w:r w:rsidR="002F4264" w:rsidRPr="001C53C1">
        <w:rPr>
          <w:i/>
          <w:sz w:val="24"/>
          <w:szCs w:val="24"/>
        </w:rPr>
        <w:t xml:space="preserve"> </w:t>
      </w:r>
      <w:r w:rsidR="002F4264">
        <w:rPr>
          <w:sz w:val="24"/>
          <w:szCs w:val="24"/>
        </w:rPr>
        <w:t>не производилось</w:t>
      </w:r>
      <w:r w:rsidR="00A723EB">
        <w:rPr>
          <w:sz w:val="24"/>
          <w:szCs w:val="24"/>
        </w:rPr>
        <w:t xml:space="preserve">. </w:t>
      </w:r>
      <w:r w:rsidR="009C156D" w:rsidRPr="009C156D">
        <w:rPr>
          <w:i/>
          <w:sz w:val="24"/>
          <w:szCs w:val="24"/>
        </w:rPr>
        <w:t xml:space="preserve">В случае сокращения </w:t>
      </w:r>
      <w:r w:rsidRPr="00D27761">
        <w:rPr>
          <w:i/>
          <w:sz w:val="24"/>
          <w:szCs w:val="24"/>
        </w:rPr>
        <w:t>окон</w:t>
      </w:r>
      <w:r w:rsidR="009C156D">
        <w:rPr>
          <w:i/>
          <w:sz w:val="24"/>
          <w:szCs w:val="24"/>
        </w:rPr>
        <w:t xml:space="preserve"> обслуживания </w:t>
      </w:r>
      <w:r w:rsidRPr="00D27761">
        <w:rPr>
          <w:i/>
          <w:sz w:val="24"/>
          <w:szCs w:val="24"/>
        </w:rPr>
        <w:t>в количестве 42 ед. показатель доли граждан, имеющих доступ к получению услуг по принципу «одного окна» на территории Волгоградской области, предусмотренный Указом № 601, останется на прежнем уровне (99,1%), а расходы на оплату труда сократятся как минимум на 12</w:t>
      </w:r>
      <w:r w:rsidR="00553640">
        <w:rPr>
          <w:i/>
          <w:sz w:val="24"/>
          <w:szCs w:val="24"/>
        </w:rPr>
        <w:t>,</w:t>
      </w:r>
      <w:r w:rsidR="00A723EB" w:rsidRPr="00D27761">
        <w:rPr>
          <w:i/>
          <w:sz w:val="24"/>
          <w:szCs w:val="24"/>
        </w:rPr>
        <w:t>1 млн.</w:t>
      </w:r>
      <w:r w:rsidRPr="00D27761">
        <w:rPr>
          <w:i/>
          <w:sz w:val="24"/>
          <w:szCs w:val="24"/>
        </w:rPr>
        <w:t xml:space="preserve"> руб</w:t>
      </w:r>
      <w:r w:rsidR="00A723EB" w:rsidRPr="00D27761">
        <w:rPr>
          <w:i/>
          <w:sz w:val="24"/>
          <w:szCs w:val="24"/>
        </w:rPr>
        <w:t>лей.</w:t>
      </w:r>
    </w:p>
    <w:p w:rsidR="00290694" w:rsidRDefault="00290694" w:rsidP="00FA5C6C">
      <w:pPr>
        <w:pStyle w:val="afa"/>
        <w:ind w:firstLine="680"/>
        <w:jc w:val="both"/>
        <w:rPr>
          <w:sz w:val="24"/>
          <w:szCs w:val="24"/>
        </w:rPr>
      </w:pPr>
    </w:p>
    <w:p w:rsidR="00673183" w:rsidRPr="001E3C3B" w:rsidRDefault="00F41540" w:rsidP="001E3C3B">
      <w:pPr>
        <w:pStyle w:val="afa"/>
        <w:ind w:firstLine="680"/>
        <w:jc w:val="both"/>
        <w:rPr>
          <w:rFonts w:eastAsiaTheme="minorHAnsi"/>
          <w:sz w:val="24"/>
          <w:szCs w:val="24"/>
          <w:lang w:eastAsia="en-US"/>
        </w:rPr>
      </w:pPr>
      <w:r w:rsidRPr="00A723EB">
        <w:rPr>
          <w:sz w:val="24"/>
          <w:szCs w:val="24"/>
        </w:rPr>
        <w:t xml:space="preserve">По результатам проведенной </w:t>
      </w:r>
      <w:r w:rsidR="00D27761">
        <w:rPr>
          <w:sz w:val="24"/>
          <w:szCs w:val="24"/>
        </w:rPr>
        <w:t>КСП</w:t>
      </w:r>
      <w:r w:rsidRPr="00A723EB">
        <w:rPr>
          <w:sz w:val="24"/>
          <w:szCs w:val="24"/>
        </w:rPr>
        <w:t xml:space="preserve"> </w:t>
      </w:r>
      <w:r w:rsidR="00FA5C6C" w:rsidRPr="00A723EB">
        <w:rPr>
          <w:sz w:val="24"/>
          <w:szCs w:val="24"/>
        </w:rPr>
        <w:t>в 2016 году проверки</w:t>
      </w:r>
      <w:r w:rsidRPr="00A723EB">
        <w:rPr>
          <w:bCs/>
          <w:sz w:val="24"/>
          <w:szCs w:val="24"/>
        </w:rPr>
        <w:t xml:space="preserve"> </w:t>
      </w:r>
      <w:r w:rsidRPr="00A723EB">
        <w:rPr>
          <w:sz w:val="24"/>
          <w:szCs w:val="24"/>
        </w:rPr>
        <w:t>реализации мероприятий по созданию в Волгоградской области региональной инфраструктуры предоставления услуг в</w:t>
      </w:r>
      <w:r w:rsidR="00A723EB" w:rsidRPr="00A723EB">
        <w:rPr>
          <w:sz w:val="24"/>
          <w:szCs w:val="24"/>
        </w:rPr>
        <w:t xml:space="preserve"> МФЦ </w:t>
      </w:r>
      <w:r w:rsidRPr="00A723EB">
        <w:rPr>
          <w:sz w:val="24"/>
          <w:szCs w:val="24"/>
        </w:rPr>
        <w:t>за 2014</w:t>
      </w:r>
      <w:r w:rsidR="003C5219">
        <w:rPr>
          <w:sz w:val="24"/>
          <w:szCs w:val="24"/>
        </w:rPr>
        <w:t xml:space="preserve"> год </w:t>
      </w:r>
      <w:r w:rsidRPr="00A723EB">
        <w:rPr>
          <w:sz w:val="24"/>
          <w:szCs w:val="24"/>
        </w:rPr>
        <w:t>-</w:t>
      </w:r>
      <w:r w:rsidR="003C5219">
        <w:rPr>
          <w:sz w:val="24"/>
          <w:szCs w:val="24"/>
        </w:rPr>
        <w:t xml:space="preserve"> </w:t>
      </w:r>
      <w:r w:rsidRPr="00A723EB">
        <w:rPr>
          <w:sz w:val="24"/>
          <w:szCs w:val="24"/>
        </w:rPr>
        <w:t>истекший период 2016 года</w:t>
      </w:r>
      <w:r w:rsidR="00FA5C6C" w:rsidRPr="00A723EB">
        <w:rPr>
          <w:sz w:val="24"/>
          <w:szCs w:val="24"/>
        </w:rPr>
        <w:t xml:space="preserve"> было предложено </w:t>
      </w:r>
      <w:r w:rsidR="003C5219" w:rsidRPr="00C92F54">
        <w:rPr>
          <w:sz w:val="24"/>
          <w:szCs w:val="24"/>
        </w:rPr>
        <w:t>ГКУ «МФЦ»</w:t>
      </w:r>
      <w:r w:rsidR="00FA5C6C" w:rsidRPr="00A723EB">
        <w:rPr>
          <w:sz w:val="24"/>
          <w:szCs w:val="24"/>
        </w:rPr>
        <w:t> обеспечить</w:t>
      </w:r>
      <w:r w:rsidR="0068117A" w:rsidRPr="00A723EB">
        <w:rPr>
          <w:sz w:val="24"/>
          <w:szCs w:val="24"/>
        </w:rPr>
        <w:t xml:space="preserve"> увеличение объема оказанных через МФЦ услуг, предоставляемых органами государственной власти (организациями) Волгоградской области, а также увеличение доли заявлений, принятых МФЦ, на оказание услуг (предоставление сведений, документов) федеральными органами (учреждениями), предполагающих поступление </w:t>
      </w:r>
      <w:r w:rsidR="008A7CB2">
        <w:rPr>
          <w:sz w:val="24"/>
          <w:szCs w:val="24"/>
        </w:rPr>
        <w:t>гос</w:t>
      </w:r>
      <w:r w:rsidR="0068117A" w:rsidRPr="00A723EB">
        <w:rPr>
          <w:sz w:val="24"/>
          <w:szCs w:val="24"/>
        </w:rPr>
        <w:t>пошлины</w:t>
      </w:r>
      <w:r w:rsidR="003C5219">
        <w:rPr>
          <w:sz w:val="24"/>
          <w:szCs w:val="24"/>
        </w:rPr>
        <w:t xml:space="preserve"> </w:t>
      </w:r>
      <w:r w:rsidR="0068117A" w:rsidRPr="00A723EB">
        <w:rPr>
          <w:sz w:val="24"/>
          <w:szCs w:val="24"/>
        </w:rPr>
        <w:t>в областной бюджет, от общего количества заявлений на оказание  этих услуг (предоставление сведений, документов).</w:t>
      </w:r>
      <w:r w:rsidR="001E3C3B">
        <w:rPr>
          <w:sz w:val="24"/>
          <w:szCs w:val="24"/>
        </w:rPr>
        <w:t xml:space="preserve"> </w:t>
      </w:r>
      <w:r w:rsidR="001E3C3B" w:rsidRPr="001E3C3B">
        <w:rPr>
          <w:sz w:val="24"/>
          <w:szCs w:val="24"/>
        </w:rPr>
        <w:t>П</w:t>
      </w:r>
      <w:r w:rsidR="0068117A" w:rsidRPr="001E3C3B">
        <w:rPr>
          <w:sz w:val="24"/>
          <w:szCs w:val="24"/>
        </w:rPr>
        <w:t xml:space="preserve">остановлением </w:t>
      </w:r>
      <w:r w:rsidR="0068117A" w:rsidRPr="001E3C3B">
        <w:rPr>
          <w:rFonts w:eastAsiaTheme="minorHAnsi"/>
          <w:sz w:val="24"/>
          <w:szCs w:val="24"/>
          <w:lang w:eastAsia="en-US"/>
        </w:rPr>
        <w:t xml:space="preserve">Администрации Волгоградской области от 01.08.2017 № 408-п были внесены изменения в Госпрограмму, согласно которым </w:t>
      </w:r>
      <w:r w:rsidR="000B4DC5" w:rsidRPr="001E3C3B">
        <w:rPr>
          <w:rFonts w:eastAsiaTheme="minorHAnsi"/>
          <w:sz w:val="24"/>
          <w:szCs w:val="24"/>
          <w:lang w:eastAsia="en-US"/>
        </w:rPr>
        <w:t>По</w:t>
      </w:r>
      <w:r w:rsidR="0068117A" w:rsidRPr="001E3C3B">
        <w:rPr>
          <w:rFonts w:eastAsiaTheme="minorHAnsi"/>
          <w:sz w:val="24"/>
          <w:szCs w:val="24"/>
          <w:lang w:eastAsia="en-US"/>
        </w:rPr>
        <w:t xml:space="preserve">дпрограмма дополнена ожидаемыми результатами </w:t>
      </w:r>
      <w:r w:rsidR="000B4DC5" w:rsidRPr="001E3C3B">
        <w:rPr>
          <w:rFonts w:eastAsiaTheme="minorHAnsi"/>
          <w:sz w:val="24"/>
          <w:szCs w:val="24"/>
          <w:lang w:eastAsia="en-US"/>
        </w:rPr>
        <w:t xml:space="preserve">ее </w:t>
      </w:r>
      <w:r w:rsidR="00673183" w:rsidRPr="001E3C3B">
        <w:rPr>
          <w:rFonts w:eastAsiaTheme="minorHAnsi"/>
          <w:sz w:val="24"/>
          <w:szCs w:val="24"/>
          <w:lang w:eastAsia="en-US"/>
        </w:rPr>
        <w:t xml:space="preserve">реализации </w:t>
      </w:r>
      <w:r w:rsidR="00E058D5">
        <w:rPr>
          <w:rFonts w:eastAsiaTheme="minorHAnsi"/>
          <w:sz w:val="24"/>
          <w:szCs w:val="24"/>
          <w:lang w:eastAsia="en-US"/>
        </w:rPr>
        <w:t>в</w:t>
      </w:r>
      <w:r w:rsidR="00673183" w:rsidRPr="001E3C3B">
        <w:rPr>
          <w:rFonts w:eastAsiaTheme="minorHAnsi"/>
          <w:sz w:val="24"/>
          <w:szCs w:val="24"/>
          <w:lang w:eastAsia="en-US"/>
        </w:rPr>
        <w:t xml:space="preserve"> 2024 году</w:t>
      </w:r>
      <w:r w:rsidR="00D27761" w:rsidRPr="001E3C3B">
        <w:rPr>
          <w:rFonts w:eastAsiaTheme="minorHAnsi"/>
          <w:sz w:val="24"/>
          <w:szCs w:val="24"/>
          <w:lang w:eastAsia="en-US"/>
        </w:rPr>
        <w:t>, приведенными ниже в таблице.</w:t>
      </w:r>
      <w:r w:rsidR="00673183" w:rsidRPr="001E3C3B">
        <w:rPr>
          <w:rFonts w:eastAsiaTheme="minorHAnsi"/>
          <w:sz w:val="24"/>
          <w:szCs w:val="24"/>
          <w:lang w:eastAsia="en-US"/>
        </w:rPr>
        <w:t xml:space="preserve"> </w:t>
      </w:r>
    </w:p>
    <w:p w:rsidR="00673183" w:rsidRPr="000B4DC5" w:rsidRDefault="00673183" w:rsidP="000B4DC5">
      <w:pPr>
        <w:autoSpaceDE w:val="0"/>
        <w:autoSpaceDN w:val="0"/>
        <w:adjustRightInd w:val="0"/>
        <w:ind w:firstLine="680"/>
        <w:jc w:val="both"/>
        <w:rPr>
          <w:rFonts w:eastAsiaTheme="minorHAnsi"/>
          <w:i/>
          <w:lang w:eastAsia="en-US"/>
        </w:rPr>
      </w:pPr>
      <w:r w:rsidRPr="000B4DC5">
        <w:rPr>
          <w:rFonts w:eastAsiaTheme="minorHAnsi"/>
          <w:i/>
          <w:lang w:eastAsia="en-US"/>
        </w:rPr>
        <w:tab/>
      </w:r>
      <w:r w:rsidRPr="000B4DC5">
        <w:rPr>
          <w:rFonts w:eastAsiaTheme="minorHAnsi"/>
          <w:lang w:eastAsia="en-US"/>
        </w:rPr>
        <w:t xml:space="preserve">В ходе настоящей проверки </w:t>
      </w:r>
      <w:r w:rsidR="004042FE" w:rsidRPr="000B4DC5">
        <w:rPr>
          <w:rFonts w:eastAsiaTheme="minorHAnsi"/>
          <w:lang w:eastAsia="en-US"/>
        </w:rPr>
        <w:t xml:space="preserve">на основании </w:t>
      </w:r>
      <w:r w:rsidR="00A32C4A" w:rsidRPr="000B4DC5">
        <w:rPr>
          <w:rFonts w:eastAsiaTheme="minorHAnsi"/>
          <w:lang w:eastAsia="en-US"/>
        </w:rPr>
        <w:t xml:space="preserve">представленной </w:t>
      </w:r>
      <w:r w:rsidR="00207DED" w:rsidRPr="00C92F54">
        <w:t>ГКУ «МФЦ»</w:t>
      </w:r>
      <w:r w:rsidR="00C54B1C">
        <w:rPr>
          <w:rFonts w:eastAsia="Times New Roman"/>
        </w:rPr>
        <w:t xml:space="preserve"> и </w:t>
      </w:r>
      <w:proofErr w:type="spellStart"/>
      <w:r w:rsidR="004042FE" w:rsidRPr="000B4DC5">
        <w:rPr>
          <w:rFonts w:eastAsiaTheme="minorHAnsi"/>
          <w:lang w:eastAsia="en-US"/>
        </w:rPr>
        <w:t>Облкомэкономразвития</w:t>
      </w:r>
      <w:proofErr w:type="spellEnd"/>
      <w:r w:rsidR="00C54B1C" w:rsidRPr="00C54B1C">
        <w:rPr>
          <w:rFonts w:eastAsiaTheme="minorHAnsi"/>
          <w:lang w:eastAsia="en-US"/>
        </w:rPr>
        <w:t xml:space="preserve"> </w:t>
      </w:r>
      <w:r w:rsidR="00C54B1C" w:rsidRPr="000B4DC5">
        <w:rPr>
          <w:rFonts w:eastAsiaTheme="minorHAnsi"/>
          <w:lang w:eastAsia="en-US"/>
        </w:rPr>
        <w:t>информации</w:t>
      </w:r>
      <w:r w:rsidR="00C54B1C">
        <w:rPr>
          <w:rFonts w:eastAsiaTheme="minorHAnsi"/>
          <w:lang w:eastAsia="en-US"/>
        </w:rPr>
        <w:t xml:space="preserve"> </w:t>
      </w:r>
      <w:r w:rsidRPr="000B4DC5">
        <w:rPr>
          <w:rFonts w:eastAsiaTheme="minorHAnsi"/>
          <w:lang w:eastAsia="en-US"/>
        </w:rPr>
        <w:t xml:space="preserve">произведен расчет </w:t>
      </w:r>
      <w:r w:rsidR="00474881">
        <w:rPr>
          <w:rFonts w:eastAsiaTheme="minorHAnsi"/>
          <w:lang w:eastAsia="en-US"/>
        </w:rPr>
        <w:t>ожидаемых результатов реализации Подпрограммы</w:t>
      </w:r>
      <w:r w:rsidR="0076761A" w:rsidRPr="000B4DC5">
        <w:rPr>
          <w:rFonts w:eastAsiaTheme="minorHAnsi"/>
          <w:lang w:eastAsia="en-US"/>
        </w:rPr>
        <w:t xml:space="preserve"> </w:t>
      </w:r>
      <w:r w:rsidR="004042FE" w:rsidRPr="000B4DC5">
        <w:rPr>
          <w:rFonts w:eastAsiaTheme="minorHAnsi"/>
          <w:lang w:eastAsia="en-US"/>
        </w:rPr>
        <w:t>за</w:t>
      </w:r>
      <w:r w:rsidRPr="000B4DC5">
        <w:rPr>
          <w:rFonts w:eastAsiaTheme="minorHAnsi"/>
          <w:lang w:eastAsia="en-US"/>
        </w:rPr>
        <w:t xml:space="preserve"> 2018 год и 1 полугодие 2019 года</w:t>
      </w:r>
      <w:r w:rsidR="001E3C3B">
        <w:rPr>
          <w:rFonts w:eastAsiaTheme="minorHAnsi"/>
          <w:lang w:eastAsia="en-US"/>
        </w:rPr>
        <w:t>, что представлено в таблице.</w:t>
      </w:r>
      <w:r w:rsidRPr="000B4DC5">
        <w:rPr>
          <w:rFonts w:eastAsiaTheme="minorHAnsi"/>
          <w:i/>
          <w:lang w:eastAsia="en-US"/>
        </w:rPr>
        <w:t>.</w:t>
      </w:r>
    </w:p>
    <w:p w:rsidR="00673183" w:rsidRPr="00474881" w:rsidRDefault="004F1858" w:rsidP="004F1858">
      <w:pPr>
        <w:autoSpaceDE w:val="0"/>
        <w:autoSpaceDN w:val="0"/>
        <w:adjustRightInd w:val="0"/>
        <w:ind w:firstLine="283"/>
        <w:jc w:val="center"/>
        <w:rPr>
          <w:rFonts w:eastAsiaTheme="minorHAnsi"/>
          <w:i/>
          <w:sz w:val="20"/>
          <w:szCs w:val="20"/>
          <w:lang w:eastAsia="en-US"/>
        </w:rPr>
      </w:pPr>
      <w:r w:rsidRPr="008A7CB2">
        <w:rPr>
          <w:rFonts w:eastAsiaTheme="minorHAnsi"/>
          <w:sz w:val="22"/>
          <w:szCs w:val="22"/>
          <w:lang w:eastAsia="en-US"/>
        </w:rPr>
        <w:t xml:space="preserve">                                                                                                         </w:t>
      </w:r>
      <w:r w:rsidR="008A7CB2" w:rsidRPr="008A7CB2">
        <w:rPr>
          <w:rFonts w:eastAsiaTheme="minorHAnsi"/>
          <w:sz w:val="22"/>
          <w:szCs w:val="22"/>
          <w:lang w:eastAsia="en-US"/>
        </w:rPr>
        <w:t xml:space="preserve">                             </w:t>
      </w:r>
      <w:r w:rsidRPr="008A7CB2">
        <w:rPr>
          <w:rFonts w:eastAsiaTheme="minorHAnsi"/>
          <w:sz w:val="22"/>
          <w:szCs w:val="22"/>
          <w:lang w:eastAsia="en-US"/>
        </w:rPr>
        <w:t xml:space="preserve"> </w:t>
      </w:r>
      <w:r w:rsidR="00673183" w:rsidRPr="00474881">
        <w:rPr>
          <w:rFonts w:eastAsiaTheme="minorHAnsi"/>
          <w:sz w:val="20"/>
          <w:szCs w:val="20"/>
          <w:lang w:eastAsia="en-US"/>
        </w:rPr>
        <w:t>(%)</w:t>
      </w:r>
    </w:p>
    <w:tbl>
      <w:tblPr>
        <w:tblStyle w:val="af5"/>
        <w:tblW w:w="974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7621"/>
        <w:gridCol w:w="992"/>
        <w:gridCol w:w="1134"/>
      </w:tblGrid>
      <w:tr w:rsidR="00673183" w:rsidTr="005F5016">
        <w:tc>
          <w:tcPr>
            <w:tcW w:w="762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</w:tcPr>
          <w:p w:rsidR="00673183" w:rsidRPr="008A7CB2" w:rsidRDefault="00673183" w:rsidP="00CD3F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8A7CB2">
              <w:rPr>
                <w:rFonts w:eastAsiaTheme="minorHAnsi"/>
                <w:b/>
                <w:sz w:val="20"/>
                <w:szCs w:val="20"/>
                <w:lang w:eastAsia="en-US"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</w:tcPr>
          <w:p w:rsidR="00673183" w:rsidRPr="008A7CB2" w:rsidRDefault="00673183" w:rsidP="00CD3F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8A7CB2">
              <w:rPr>
                <w:rFonts w:eastAsiaTheme="minorHAnsi"/>
                <w:b/>
                <w:sz w:val="20"/>
                <w:szCs w:val="20"/>
                <w:lang w:eastAsia="en-US"/>
              </w:rPr>
              <w:t>2018</w:t>
            </w:r>
            <w:r w:rsidR="004214A1" w:rsidRPr="008A7CB2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год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</w:tcPr>
          <w:p w:rsidR="00673183" w:rsidRPr="008A7CB2" w:rsidRDefault="00673183" w:rsidP="00474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8A7CB2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1 </w:t>
            </w:r>
            <w:proofErr w:type="spellStart"/>
            <w:r w:rsidRPr="008A7CB2">
              <w:rPr>
                <w:rFonts w:eastAsiaTheme="minorHAnsi"/>
                <w:b/>
                <w:sz w:val="20"/>
                <w:szCs w:val="20"/>
                <w:lang w:eastAsia="en-US"/>
              </w:rPr>
              <w:t>полуг</w:t>
            </w:r>
            <w:r w:rsidR="00474881">
              <w:rPr>
                <w:rFonts w:eastAsiaTheme="minorHAnsi"/>
                <w:b/>
                <w:sz w:val="20"/>
                <w:szCs w:val="20"/>
                <w:lang w:eastAsia="en-US"/>
              </w:rPr>
              <w:t>-</w:t>
            </w:r>
            <w:r w:rsidRPr="008A7CB2">
              <w:rPr>
                <w:rFonts w:eastAsiaTheme="minorHAnsi"/>
                <w:b/>
                <w:sz w:val="20"/>
                <w:szCs w:val="20"/>
                <w:lang w:eastAsia="en-US"/>
              </w:rPr>
              <w:t>е</w:t>
            </w:r>
            <w:proofErr w:type="spellEnd"/>
            <w:r w:rsidRPr="008A7CB2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2019 года</w:t>
            </w:r>
          </w:p>
        </w:tc>
      </w:tr>
      <w:tr w:rsidR="00673183" w:rsidRPr="007E4676" w:rsidTr="005F5016">
        <w:tc>
          <w:tcPr>
            <w:tcW w:w="7621" w:type="dxa"/>
            <w:tcBorders>
              <w:top w:val="double" w:sz="4" w:space="0" w:color="auto"/>
            </w:tcBorders>
          </w:tcPr>
          <w:p w:rsidR="00673183" w:rsidRPr="008A7CB2" w:rsidRDefault="00673183" w:rsidP="0037111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474881">
              <w:rPr>
                <w:rFonts w:eastAsiaTheme="minorHAnsi"/>
                <w:sz w:val="20"/>
                <w:szCs w:val="20"/>
                <w:lang w:eastAsia="en-US"/>
              </w:rPr>
              <w:t xml:space="preserve">Доля государственных услуг, оказываемых </w:t>
            </w:r>
            <w:r w:rsidR="00D27761" w:rsidRPr="00474881">
              <w:rPr>
                <w:rFonts w:eastAsiaTheme="minorHAnsi"/>
                <w:sz w:val="20"/>
                <w:szCs w:val="20"/>
                <w:lang w:eastAsia="en-US"/>
              </w:rPr>
              <w:t>органами исполнительной власти Волгоградской области</w:t>
            </w:r>
            <w:r w:rsidRPr="00474881">
              <w:rPr>
                <w:rFonts w:eastAsiaTheme="minorHAnsi"/>
                <w:sz w:val="20"/>
                <w:szCs w:val="20"/>
                <w:lang w:eastAsia="en-US"/>
              </w:rPr>
              <w:t>, предоставленных в МФЦ</w:t>
            </w:r>
            <w:r w:rsidR="00D27761" w:rsidRPr="00474881">
              <w:rPr>
                <w:rFonts w:eastAsiaTheme="minorHAnsi"/>
                <w:sz w:val="20"/>
                <w:szCs w:val="20"/>
                <w:lang w:eastAsia="en-US"/>
              </w:rPr>
              <w:t xml:space="preserve"> и иных организациях, привлекаемых к реализации функций МФЦ</w:t>
            </w:r>
            <w:r w:rsidRPr="00474881">
              <w:rPr>
                <w:rFonts w:eastAsiaTheme="minorHAnsi"/>
                <w:sz w:val="20"/>
                <w:szCs w:val="20"/>
                <w:lang w:eastAsia="en-US"/>
              </w:rPr>
              <w:t xml:space="preserve">, в общем количестве государственных услуг, предоставленных </w:t>
            </w:r>
            <w:r w:rsidR="00474881" w:rsidRPr="00474881">
              <w:rPr>
                <w:rFonts w:eastAsiaTheme="minorHAnsi"/>
                <w:sz w:val="20"/>
                <w:szCs w:val="20"/>
                <w:lang w:eastAsia="en-US"/>
              </w:rPr>
              <w:t>органами исполнительной власти Во</w:t>
            </w:r>
            <w:r w:rsidR="0046347C" w:rsidRPr="00474881">
              <w:rPr>
                <w:rFonts w:eastAsiaTheme="minorHAnsi"/>
                <w:sz w:val="20"/>
                <w:szCs w:val="20"/>
                <w:lang w:eastAsia="en-US"/>
              </w:rPr>
              <w:t>лгоградской области</w:t>
            </w:r>
            <w:r w:rsidR="0046347C" w:rsidRPr="008A7CB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8A7CB2">
              <w:rPr>
                <w:rFonts w:eastAsiaTheme="minorHAnsi"/>
                <w:i/>
                <w:sz w:val="20"/>
                <w:szCs w:val="20"/>
                <w:lang w:eastAsia="en-US"/>
              </w:rPr>
              <w:t>(</w:t>
            </w:r>
            <w:r w:rsidR="0037111D">
              <w:rPr>
                <w:rFonts w:eastAsiaTheme="minorHAnsi"/>
                <w:i/>
                <w:sz w:val="20"/>
                <w:szCs w:val="20"/>
                <w:lang w:eastAsia="en-US"/>
              </w:rPr>
              <w:t>в</w:t>
            </w:r>
            <w:r w:rsidRPr="008A7CB2">
              <w:rPr>
                <w:rFonts w:eastAsiaTheme="minorHAnsi"/>
                <w:i/>
                <w:sz w:val="20"/>
                <w:szCs w:val="20"/>
                <w:lang w:eastAsia="en-US"/>
              </w:rPr>
              <w:t xml:space="preserve"> 2024 году не менее 50%)</w:t>
            </w: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:rsidR="00673183" w:rsidRPr="008A7CB2" w:rsidRDefault="007E4676" w:rsidP="007E467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A7CB2">
              <w:rPr>
                <w:rFonts w:eastAsiaTheme="minorHAnsi"/>
                <w:sz w:val="20"/>
                <w:szCs w:val="20"/>
                <w:lang w:eastAsia="en-US"/>
              </w:rPr>
              <w:t>8,0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:rsidR="00673183" w:rsidRPr="008A7CB2" w:rsidRDefault="00673183" w:rsidP="007E467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A7CB2">
              <w:rPr>
                <w:rFonts w:eastAsiaTheme="minorHAnsi"/>
                <w:sz w:val="20"/>
                <w:szCs w:val="20"/>
                <w:lang w:eastAsia="en-US"/>
              </w:rPr>
              <w:t>12,</w:t>
            </w:r>
            <w:r w:rsidR="007E4676" w:rsidRPr="008A7CB2">
              <w:rPr>
                <w:rFonts w:eastAsiaTheme="minorHAnsi"/>
                <w:sz w:val="20"/>
                <w:szCs w:val="20"/>
                <w:lang w:eastAsia="en-US"/>
              </w:rPr>
              <w:t>5</w:t>
            </w:r>
          </w:p>
        </w:tc>
      </w:tr>
      <w:tr w:rsidR="00673183" w:rsidRPr="007E4676" w:rsidTr="00474881">
        <w:tc>
          <w:tcPr>
            <w:tcW w:w="7621" w:type="dxa"/>
          </w:tcPr>
          <w:p w:rsidR="00673183" w:rsidRPr="008A7CB2" w:rsidRDefault="0046347C" w:rsidP="0037111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474881">
              <w:rPr>
                <w:rFonts w:eastAsiaTheme="minorHAnsi"/>
                <w:sz w:val="20"/>
                <w:szCs w:val="20"/>
                <w:lang w:eastAsia="en-US"/>
              </w:rPr>
              <w:t>Доля</w:t>
            </w:r>
            <w:r w:rsidR="00673183" w:rsidRPr="00474881">
              <w:rPr>
                <w:rFonts w:eastAsiaTheme="minorHAnsi"/>
                <w:sz w:val="20"/>
                <w:szCs w:val="20"/>
                <w:lang w:eastAsia="en-US"/>
              </w:rPr>
              <w:t xml:space="preserve"> государственных услуг, предполагающих поступление государственной пошлины</w:t>
            </w:r>
            <w:r w:rsidRPr="00474881">
              <w:rPr>
                <w:rFonts w:eastAsiaTheme="minorHAnsi"/>
                <w:sz w:val="20"/>
                <w:szCs w:val="20"/>
                <w:lang w:eastAsia="en-US"/>
              </w:rPr>
              <w:t xml:space="preserve"> (платы)</w:t>
            </w:r>
            <w:r w:rsidR="00673183" w:rsidRPr="00474881">
              <w:rPr>
                <w:rFonts w:eastAsiaTheme="minorHAnsi"/>
                <w:sz w:val="20"/>
                <w:szCs w:val="20"/>
                <w:lang w:eastAsia="en-US"/>
              </w:rPr>
              <w:t xml:space="preserve"> в областной бюджет, предоставлен</w:t>
            </w:r>
            <w:r w:rsidRPr="00474881">
              <w:rPr>
                <w:rFonts w:eastAsiaTheme="minorHAnsi"/>
                <w:sz w:val="20"/>
                <w:szCs w:val="20"/>
                <w:lang w:eastAsia="en-US"/>
              </w:rPr>
              <w:t>ных в МФЦ</w:t>
            </w:r>
            <w:r w:rsidR="00474881" w:rsidRPr="00474881">
              <w:rPr>
                <w:rFonts w:eastAsiaTheme="minorHAnsi"/>
                <w:sz w:val="20"/>
                <w:szCs w:val="20"/>
                <w:lang w:eastAsia="en-US"/>
              </w:rPr>
              <w:t xml:space="preserve"> и иных организациях, привлекаемых к реализации функций МФЦ</w:t>
            </w:r>
            <w:r w:rsidRPr="00474881">
              <w:rPr>
                <w:rFonts w:eastAsiaTheme="minorHAnsi"/>
                <w:sz w:val="20"/>
                <w:szCs w:val="20"/>
                <w:lang w:eastAsia="en-US"/>
              </w:rPr>
              <w:t xml:space="preserve">, </w:t>
            </w:r>
            <w:r w:rsidR="00673183" w:rsidRPr="00474881">
              <w:rPr>
                <w:rFonts w:eastAsiaTheme="minorHAnsi"/>
                <w:sz w:val="20"/>
                <w:szCs w:val="20"/>
                <w:lang w:eastAsia="en-US"/>
              </w:rPr>
              <w:t xml:space="preserve">в общем количестве государственных услуг, предоставленных </w:t>
            </w:r>
            <w:r w:rsidR="00474881" w:rsidRPr="00474881">
              <w:rPr>
                <w:rFonts w:eastAsiaTheme="minorHAnsi"/>
                <w:sz w:val="20"/>
                <w:szCs w:val="20"/>
                <w:lang w:eastAsia="en-US"/>
              </w:rPr>
              <w:t xml:space="preserve">органами исполнительной власти </w:t>
            </w:r>
            <w:r w:rsidRPr="00474881">
              <w:rPr>
                <w:rFonts w:eastAsiaTheme="minorHAnsi"/>
                <w:sz w:val="20"/>
                <w:szCs w:val="20"/>
                <w:lang w:eastAsia="en-US"/>
              </w:rPr>
              <w:t>Волгоградской области</w:t>
            </w:r>
            <w:r w:rsidR="00673183" w:rsidRPr="008A7CB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673183" w:rsidRPr="008A7CB2">
              <w:rPr>
                <w:rFonts w:eastAsiaTheme="minorHAnsi"/>
                <w:i/>
                <w:sz w:val="20"/>
                <w:szCs w:val="20"/>
                <w:lang w:eastAsia="en-US"/>
              </w:rPr>
              <w:t>(</w:t>
            </w:r>
            <w:r w:rsidR="0037111D">
              <w:rPr>
                <w:rFonts w:eastAsiaTheme="minorHAnsi"/>
                <w:i/>
                <w:sz w:val="20"/>
                <w:szCs w:val="20"/>
                <w:lang w:eastAsia="en-US"/>
              </w:rPr>
              <w:t>в</w:t>
            </w:r>
            <w:r w:rsidR="00673183" w:rsidRPr="008A7CB2">
              <w:rPr>
                <w:rFonts w:eastAsiaTheme="minorHAnsi"/>
                <w:i/>
                <w:sz w:val="20"/>
                <w:szCs w:val="20"/>
                <w:lang w:eastAsia="en-US"/>
              </w:rPr>
              <w:t xml:space="preserve"> 2024 году не менее 70%)</w:t>
            </w:r>
          </w:p>
        </w:tc>
        <w:tc>
          <w:tcPr>
            <w:tcW w:w="992" w:type="dxa"/>
            <w:vAlign w:val="center"/>
          </w:tcPr>
          <w:p w:rsidR="00673183" w:rsidRPr="008A7CB2" w:rsidRDefault="00673183" w:rsidP="007E467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A7CB2">
              <w:rPr>
                <w:rFonts w:eastAsiaTheme="minorHAnsi"/>
                <w:sz w:val="20"/>
                <w:szCs w:val="20"/>
                <w:lang w:eastAsia="en-US"/>
              </w:rPr>
              <w:t>73,0</w:t>
            </w:r>
          </w:p>
        </w:tc>
        <w:tc>
          <w:tcPr>
            <w:tcW w:w="1134" w:type="dxa"/>
            <w:vAlign w:val="center"/>
          </w:tcPr>
          <w:p w:rsidR="00673183" w:rsidRPr="008A7CB2" w:rsidRDefault="00673183" w:rsidP="007E467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A7CB2">
              <w:rPr>
                <w:rFonts w:eastAsiaTheme="minorHAnsi"/>
                <w:sz w:val="20"/>
                <w:szCs w:val="20"/>
                <w:lang w:eastAsia="en-US"/>
              </w:rPr>
              <w:t>78,</w:t>
            </w:r>
            <w:r w:rsidR="00E1210B" w:rsidRPr="008A7CB2">
              <w:rPr>
                <w:rFonts w:eastAsiaTheme="minorHAnsi"/>
                <w:sz w:val="20"/>
                <w:szCs w:val="20"/>
                <w:lang w:eastAsia="en-US"/>
              </w:rPr>
              <w:t>0</w:t>
            </w:r>
          </w:p>
        </w:tc>
      </w:tr>
    </w:tbl>
    <w:p w:rsidR="004744D3" w:rsidRDefault="00407003" w:rsidP="008A7CB2">
      <w:pPr>
        <w:autoSpaceDE w:val="0"/>
        <w:autoSpaceDN w:val="0"/>
        <w:adjustRightInd w:val="0"/>
        <w:ind w:firstLine="68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Как видно</w:t>
      </w:r>
      <w:r w:rsidR="00512E4F">
        <w:rPr>
          <w:rFonts w:eastAsiaTheme="minorHAnsi"/>
          <w:lang w:eastAsia="en-US"/>
        </w:rPr>
        <w:t xml:space="preserve"> из таблицы, показатель, характеризующий поступление госпошлины, уже достигнут в 2018 году </w:t>
      </w:r>
      <w:r w:rsidR="00FD06B6" w:rsidRPr="004744D3">
        <w:rPr>
          <w:rFonts w:eastAsiaTheme="minorHAnsi"/>
          <w:lang w:eastAsia="en-US"/>
        </w:rPr>
        <w:t>и</w:t>
      </w:r>
      <w:r w:rsidR="00512E4F" w:rsidRPr="004744D3">
        <w:rPr>
          <w:rFonts w:eastAsiaTheme="minorHAnsi"/>
          <w:lang w:eastAsia="en-US"/>
        </w:rPr>
        <w:t xml:space="preserve"> </w:t>
      </w:r>
      <w:r w:rsidR="00512E4F" w:rsidRPr="004744D3">
        <w:rPr>
          <w:rFonts w:eastAsiaTheme="minorHAnsi"/>
          <w:lang w:val="en-US" w:eastAsia="en-US"/>
        </w:rPr>
        <w:t>I</w:t>
      </w:r>
      <w:r w:rsidR="00512E4F" w:rsidRPr="00512E4F">
        <w:rPr>
          <w:rFonts w:eastAsiaTheme="minorHAnsi"/>
          <w:lang w:eastAsia="en-US"/>
        </w:rPr>
        <w:t xml:space="preserve"> </w:t>
      </w:r>
      <w:r w:rsidR="00512E4F">
        <w:rPr>
          <w:rFonts w:eastAsiaTheme="minorHAnsi"/>
          <w:lang w:eastAsia="en-US"/>
        </w:rPr>
        <w:t>полугодии 2019 года</w:t>
      </w:r>
      <w:r>
        <w:rPr>
          <w:rFonts w:eastAsiaTheme="minorHAnsi"/>
          <w:lang w:eastAsia="en-US"/>
        </w:rPr>
        <w:t>, в связи с чем необходимо откорректировать плановое значение показателя на последующие годы.</w:t>
      </w:r>
      <w:r w:rsidR="00512E4F">
        <w:rPr>
          <w:rFonts w:eastAsiaTheme="minorHAnsi"/>
          <w:lang w:eastAsia="en-US"/>
        </w:rPr>
        <w:t xml:space="preserve"> </w:t>
      </w:r>
    </w:p>
    <w:p w:rsidR="004744D3" w:rsidRDefault="004744D3" w:rsidP="008A7CB2">
      <w:pPr>
        <w:autoSpaceDE w:val="0"/>
        <w:autoSpaceDN w:val="0"/>
        <w:adjustRightInd w:val="0"/>
        <w:ind w:firstLine="68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</w:t>
      </w:r>
      <w:r w:rsidR="00474881">
        <w:rPr>
          <w:rFonts w:eastAsiaTheme="minorHAnsi"/>
          <w:lang w:eastAsia="en-US"/>
        </w:rPr>
        <w:t xml:space="preserve">оказатель доли </w:t>
      </w:r>
      <w:r w:rsidR="00CE1B71" w:rsidRPr="004214A1">
        <w:rPr>
          <w:rFonts w:eastAsiaTheme="minorHAnsi"/>
          <w:lang w:eastAsia="en-US"/>
        </w:rPr>
        <w:t>услуг, предоставленных в МФЦ, в общем ко</w:t>
      </w:r>
      <w:r w:rsidR="00474881">
        <w:rPr>
          <w:rFonts w:eastAsiaTheme="minorHAnsi"/>
          <w:lang w:eastAsia="en-US"/>
        </w:rPr>
        <w:t xml:space="preserve">личестве предоставленных ОИВ </w:t>
      </w:r>
      <w:r w:rsidR="00CE1B71" w:rsidRPr="004214A1">
        <w:rPr>
          <w:rFonts w:eastAsiaTheme="minorHAnsi"/>
          <w:lang w:eastAsia="en-US"/>
        </w:rPr>
        <w:t>услуг, остается пока незначительным, хотя наблюд</w:t>
      </w:r>
      <w:r w:rsidR="002E618C" w:rsidRPr="004214A1">
        <w:rPr>
          <w:rFonts w:eastAsiaTheme="minorHAnsi"/>
          <w:lang w:eastAsia="en-US"/>
        </w:rPr>
        <w:t>ается рост указанного показател</w:t>
      </w:r>
      <w:r w:rsidR="00CE1B71" w:rsidRPr="004214A1">
        <w:rPr>
          <w:rFonts w:eastAsiaTheme="minorHAnsi"/>
          <w:lang w:eastAsia="en-US"/>
        </w:rPr>
        <w:t xml:space="preserve">я в </w:t>
      </w:r>
      <w:r w:rsidR="00CE1B71" w:rsidRPr="004214A1">
        <w:rPr>
          <w:rFonts w:eastAsiaTheme="minorHAnsi"/>
          <w:lang w:val="en-US" w:eastAsia="en-US"/>
        </w:rPr>
        <w:t>I</w:t>
      </w:r>
      <w:r w:rsidR="00CE1B71" w:rsidRPr="004214A1">
        <w:rPr>
          <w:rFonts w:eastAsiaTheme="minorHAnsi"/>
          <w:lang w:eastAsia="en-US"/>
        </w:rPr>
        <w:t xml:space="preserve"> полугодии 2019 года в сравнении с 2018 годом.</w:t>
      </w:r>
      <w:r>
        <w:rPr>
          <w:rFonts w:eastAsiaTheme="minorHAnsi"/>
          <w:lang w:eastAsia="en-US"/>
        </w:rPr>
        <w:t xml:space="preserve"> Для достижения указанного показателя ОИВ должны инициировать вопрос внесения изменений </w:t>
      </w:r>
      <w:r w:rsidR="00D84685">
        <w:rPr>
          <w:rFonts w:eastAsiaTheme="minorHAnsi"/>
          <w:lang w:eastAsia="en-US"/>
        </w:rPr>
        <w:t xml:space="preserve">в </w:t>
      </w:r>
      <w:r w:rsidR="00D84685">
        <w:rPr>
          <w:rFonts w:eastAsiaTheme="minorHAnsi"/>
          <w:lang w:eastAsia="en-US"/>
        </w:rPr>
        <w:lastRenderedPageBreak/>
        <w:t xml:space="preserve">Постановление № 385-п в части дополнения перечня </w:t>
      </w:r>
      <w:r w:rsidR="00AB313A">
        <w:rPr>
          <w:rFonts w:eastAsiaTheme="minorHAnsi"/>
          <w:lang w:eastAsia="en-US"/>
        </w:rPr>
        <w:t xml:space="preserve">услуг, предоставление которых организуется в МФЦ. </w:t>
      </w:r>
    </w:p>
    <w:p w:rsidR="00A34C6B" w:rsidRDefault="007C5F08" w:rsidP="008A7CB2">
      <w:pPr>
        <w:autoSpaceDE w:val="0"/>
        <w:autoSpaceDN w:val="0"/>
        <w:adjustRightInd w:val="0"/>
        <w:ind w:firstLine="680"/>
        <w:jc w:val="both"/>
        <w:rPr>
          <w:rFonts w:eastAsiaTheme="minorHAnsi"/>
          <w:lang w:eastAsia="en-US"/>
        </w:rPr>
      </w:pPr>
      <w:r>
        <w:t xml:space="preserve">Низкий уровень показателя объясняется, как наличием объективных причин (отсутствие в нормативных правовых актах, регламентирующих предоставление услуг, возможности </w:t>
      </w:r>
      <w:r w:rsidR="00F11657">
        <w:t xml:space="preserve">их </w:t>
      </w:r>
      <w:r>
        <w:t>оказания посредством МФЦ</w:t>
      </w:r>
      <w:r w:rsidR="00F11657">
        <w:t>, нецелесообразность предоставления отдельных видов услуг через МФЦ по сведениям проверенных ОИВ</w:t>
      </w:r>
      <w:r>
        <w:t>), так и отсутствием инициативы со стороны ОИВ по внесению изменений в Постановление № 385-п</w:t>
      </w:r>
      <w:r w:rsidR="00E34B5A">
        <w:t>.</w:t>
      </w:r>
      <w:r w:rsidR="00F11657" w:rsidRPr="00F11657">
        <w:t xml:space="preserve"> </w:t>
      </w:r>
      <w:r w:rsidR="007619A9" w:rsidRPr="0047160C">
        <w:t xml:space="preserve">Всего из </w:t>
      </w:r>
      <w:r w:rsidR="00B4668F">
        <w:t xml:space="preserve">порядка </w:t>
      </w:r>
      <w:r w:rsidR="00B4668F" w:rsidRPr="00574694">
        <w:t>250</w:t>
      </w:r>
      <w:r w:rsidR="00EE52C3" w:rsidRPr="00574694">
        <w:t xml:space="preserve"> </w:t>
      </w:r>
      <w:r w:rsidR="007619A9" w:rsidRPr="00574694">
        <w:t>видов услуг</w:t>
      </w:r>
      <w:r w:rsidR="0047160C" w:rsidRPr="00574694">
        <w:t>,</w:t>
      </w:r>
      <w:r w:rsidR="00EE52C3" w:rsidRPr="0047160C">
        <w:t xml:space="preserve"> включенных в перечни государственных слуг, предоставляемых ОИВ</w:t>
      </w:r>
      <w:r w:rsidR="005C71D5" w:rsidRPr="005C71D5">
        <w:t>, на базе МФЦ организовано предоставление 147 видов услуг.</w:t>
      </w:r>
    </w:p>
    <w:p w:rsidR="006B62C0" w:rsidRDefault="006B62C0" w:rsidP="004F2F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ходе настоящего контрольного мероприятия </w:t>
      </w:r>
      <w:r w:rsidRPr="004F2FF3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прове</w:t>
      </w:r>
      <w:r w:rsidR="009A3162">
        <w:rPr>
          <w:rFonts w:ascii="Times New Roman" w:eastAsiaTheme="minorHAnsi" w:hAnsi="Times New Roman" w:cs="Times New Roman"/>
          <w:sz w:val="24"/>
          <w:szCs w:val="24"/>
          <w:lang w:eastAsia="en-US"/>
        </w:rPr>
        <w:t>рены два</w:t>
      </w:r>
      <w:r w:rsidRPr="004F2FF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3965C2">
        <w:rPr>
          <w:rFonts w:ascii="Times New Roman" w:eastAsiaTheme="minorHAnsi" w:hAnsi="Times New Roman" w:cs="Times New Roman"/>
          <w:sz w:val="24"/>
          <w:szCs w:val="24"/>
          <w:lang w:eastAsia="en-US"/>
        </w:rPr>
        <w:t>ОИВ</w:t>
      </w:r>
      <w:r w:rsidRPr="003965C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965C2">
        <w:rPr>
          <w:rFonts w:ascii="Times New Roman" w:hAnsi="Times New Roman" w:cs="Times New Roman"/>
          <w:sz w:val="24"/>
          <w:szCs w:val="24"/>
        </w:rPr>
        <w:t>Облкомсоцзащита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Облкомимущество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4F2FF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 вопросу взаимодействия с </w:t>
      </w:r>
      <w:r w:rsidRPr="004F2FF3">
        <w:rPr>
          <w:rFonts w:ascii="Times New Roman" w:hAnsi="Times New Roman" w:cs="Times New Roman"/>
          <w:sz w:val="24"/>
          <w:szCs w:val="24"/>
        </w:rPr>
        <w:t>МФЦ</w:t>
      </w:r>
      <w:r>
        <w:rPr>
          <w:rFonts w:ascii="Times New Roman" w:hAnsi="Times New Roman" w:cs="Times New Roman"/>
          <w:sz w:val="24"/>
          <w:szCs w:val="24"/>
        </w:rPr>
        <w:t xml:space="preserve"> при предоставлении услуг (</w:t>
      </w:r>
      <w:r w:rsidRPr="004F2FF3">
        <w:rPr>
          <w:rFonts w:ascii="Times New Roman" w:hAnsi="Times New Roman" w:cs="Times New Roman"/>
          <w:sz w:val="24"/>
          <w:szCs w:val="24"/>
        </w:rPr>
        <w:t xml:space="preserve">за 2018 год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4F2FF3">
        <w:rPr>
          <w:rFonts w:ascii="Times New Roman" w:hAnsi="Times New Roman" w:cs="Times New Roman"/>
          <w:sz w:val="24"/>
          <w:szCs w:val="24"/>
        </w:rPr>
        <w:t xml:space="preserve"> </w:t>
      </w:r>
      <w:r w:rsidRPr="004F2FF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F2FF3">
        <w:rPr>
          <w:rFonts w:ascii="Times New Roman" w:hAnsi="Times New Roman" w:cs="Times New Roman"/>
          <w:sz w:val="24"/>
          <w:szCs w:val="24"/>
        </w:rPr>
        <w:t xml:space="preserve"> полугодие 2019 года</w:t>
      </w:r>
      <w:r>
        <w:rPr>
          <w:rFonts w:ascii="Times New Roman" w:hAnsi="Times New Roman" w:cs="Times New Roman"/>
          <w:sz w:val="24"/>
          <w:szCs w:val="24"/>
        </w:rPr>
        <w:t xml:space="preserve">), при </w:t>
      </w:r>
      <w:r w:rsidR="009A3162">
        <w:rPr>
          <w:rFonts w:ascii="Times New Roman" w:hAnsi="Times New Roman" w:cs="Times New Roman"/>
          <w:sz w:val="24"/>
          <w:szCs w:val="24"/>
        </w:rPr>
        <w:t xml:space="preserve">проведении </w:t>
      </w:r>
      <w:r>
        <w:rPr>
          <w:rFonts w:ascii="Times New Roman" w:hAnsi="Times New Roman" w:cs="Times New Roman"/>
          <w:sz w:val="24"/>
          <w:szCs w:val="24"/>
        </w:rPr>
        <w:t>которых также рассматривал</w:t>
      </w:r>
      <w:r w:rsidR="009D07A4">
        <w:rPr>
          <w:rFonts w:ascii="Times New Roman" w:hAnsi="Times New Roman" w:cs="Times New Roman"/>
          <w:sz w:val="24"/>
          <w:szCs w:val="24"/>
        </w:rPr>
        <w:t>а</w:t>
      </w:r>
      <w:r w:rsidR="00FA7EAF" w:rsidRPr="009A3162">
        <w:rPr>
          <w:rFonts w:ascii="Times New Roman" w:hAnsi="Times New Roman" w:cs="Times New Roman"/>
          <w:sz w:val="24"/>
          <w:szCs w:val="24"/>
        </w:rPr>
        <w:t>с</w:t>
      </w:r>
      <w:r w:rsidRPr="009A3162">
        <w:rPr>
          <w:rFonts w:ascii="Times New Roman" w:hAnsi="Times New Roman" w:cs="Times New Roman"/>
          <w:sz w:val="24"/>
          <w:szCs w:val="24"/>
        </w:rPr>
        <w:t>ь</w:t>
      </w:r>
      <w:r w:rsidR="00D32B75">
        <w:rPr>
          <w:rFonts w:ascii="Times New Roman" w:hAnsi="Times New Roman" w:cs="Times New Roman"/>
          <w:sz w:val="24"/>
          <w:szCs w:val="24"/>
        </w:rPr>
        <w:t xml:space="preserve"> возможность </w:t>
      </w:r>
      <w:r>
        <w:rPr>
          <w:rFonts w:ascii="Times New Roman" w:hAnsi="Times New Roman" w:cs="Times New Roman"/>
          <w:sz w:val="24"/>
          <w:szCs w:val="24"/>
        </w:rPr>
        <w:t>повышени</w:t>
      </w:r>
      <w:r w:rsidR="00D32B75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доли оказываемых услуг через МФЦ.</w:t>
      </w:r>
    </w:p>
    <w:p w:rsidR="00023DEB" w:rsidRPr="00C23323" w:rsidRDefault="007C0CF6" w:rsidP="0035657C">
      <w:pPr>
        <w:pStyle w:val="ConsPlusNormal"/>
        <w:ind w:firstLine="68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Результаты проверки </w:t>
      </w:r>
      <w:proofErr w:type="spellStart"/>
      <w:r w:rsidR="00023DEB" w:rsidRPr="00C23323">
        <w:rPr>
          <w:rFonts w:ascii="Times New Roman" w:hAnsi="Times New Roman" w:cs="Times New Roman"/>
          <w:sz w:val="24"/>
          <w:szCs w:val="24"/>
          <w:u w:val="single"/>
        </w:rPr>
        <w:t>Облкомсоцзащит</w:t>
      </w:r>
      <w:r>
        <w:rPr>
          <w:rFonts w:ascii="Times New Roman" w:hAnsi="Times New Roman" w:cs="Times New Roman"/>
          <w:sz w:val="24"/>
          <w:szCs w:val="24"/>
          <w:u w:val="single"/>
        </w:rPr>
        <w:t>ы</w:t>
      </w:r>
      <w:proofErr w:type="spellEnd"/>
      <w:r w:rsidR="00023DEB" w:rsidRPr="00C2332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23DEB" w:rsidRPr="00FB1216" w:rsidRDefault="00023DEB" w:rsidP="00D32B75">
      <w:pPr>
        <w:ind w:firstLine="680"/>
        <w:jc w:val="both"/>
      </w:pPr>
      <w:r w:rsidRPr="00FB1216">
        <w:t xml:space="preserve">В систему подведомственных учреждений </w:t>
      </w:r>
      <w:proofErr w:type="spellStart"/>
      <w:r w:rsidRPr="00FB1216">
        <w:t>Облкомсоцзащиты</w:t>
      </w:r>
      <w:proofErr w:type="spellEnd"/>
      <w:r w:rsidRPr="00FB1216">
        <w:t xml:space="preserve"> входят 43 центра соци</w:t>
      </w:r>
      <w:r w:rsidR="009A3162">
        <w:t>альной защиты населения (далее -</w:t>
      </w:r>
      <w:r w:rsidRPr="00FB1216">
        <w:t xml:space="preserve"> ЦСЗН)</w:t>
      </w:r>
      <w:r w:rsidR="00694FBB">
        <w:t xml:space="preserve">, одной из задач которых является </w:t>
      </w:r>
      <w:r w:rsidRPr="00FB1216">
        <w:t>предоставлени</w:t>
      </w:r>
      <w:r w:rsidR="00694FBB">
        <w:t>е</w:t>
      </w:r>
      <w:r w:rsidRPr="00FB1216">
        <w:t xml:space="preserve"> мер социальной поддержки и государственной социальной помощи.</w:t>
      </w:r>
    </w:p>
    <w:p w:rsidR="00023DEB" w:rsidRPr="00FB1216" w:rsidRDefault="009A3162" w:rsidP="00D32B75">
      <w:pPr>
        <w:ind w:firstLine="680"/>
        <w:jc w:val="both"/>
      </w:pPr>
      <w:r>
        <w:t xml:space="preserve">За 2018 год через МФЦ </w:t>
      </w:r>
      <w:r w:rsidR="00023DEB">
        <w:t xml:space="preserve"> </w:t>
      </w:r>
      <w:r w:rsidR="00023DEB" w:rsidRPr="00FB1216">
        <w:t xml:space="preserve">оказано </w:t>
      </w:r>
      <w:r w:rsidR="00023DEB" w:rsidRPr="001048D0">
        <w:t xml:space="preserve">70 544 </w:t>
      </w:r>
      <w:r w:rsidR="008053D5">
        <w:t>услуг</w:t>
      </w:r>
      <w:r>
        <w:t>и</w:t>
      </w:r>
      <w:r w:rsidR="00023DEB" w:rsidRPr="00FB1216">
        <w:t xml:space="preserve">, или 17,4 % от всех оказанных </w:t>
      </w:r>
      <w:r w:rsidR="00F11657">
        <w:t xml:space="preserve">ЦСЗН </w:t>
      </w:r>
      <w:r w:rsidR="00023DEB" w:rsidRPr="00FB1216">
        <w:t xml:space="preserve">услуг </w:t>
      </w:r>
      <w:r>
        <w:t>(</w:t>
      </w:r>
      <w:r w:rsidRPr="00FB1216">
        <w:t>405</w:t>
      </w:r>
      <w:r>
        <w:t> </w:t>
      </w:r>
      <w:r w:rsidRPr="00FB1216">
        <w:t xml:space="preserve">402 </w:t>
      </w:r>
      <w:r>
        <w:t>ед.</w:t>
      </w:r>
      <w:r w:rsidRPr="00FB1216">
        <w:t xml:space="preserve"> по 56 видам</w:t>
      </w:r>
      <w:r>
        <w:t>)</w:t>
      </w:r>
      <w:r w:rsidRPr="00FB1216">
        <w:t xml:space="preserve"> </w:t>
      </w:r>
      <w:r w:rsidR="00023DEB" w:rsidRPr="00FB1216">
        <w:t>и 33,4% от услуг, предоставление которых предусмотрено через МФЦ</w:t>
      </w:r>
      <w:r>
        <w:t xml:space="preserve"> (</w:t>
      </w:r>
      <w:r w:rsidRPr="001048D0">
        <w:t>211 073</w:t>
      </w:r>
      <w:r w:rsidRPr="00FB1216">
        <w:t xml:space="preserve"> </w:t>
      </w:r>
      <w:r>
        <w:t xml:space="preserve">ед. </w:t>
      </w:r>
      <w:r w:rsidRPr="00FB1216">
        <w:t xml:space="preserve">по </w:t>
      </w:r>
      <w:r w:rsidRPr="001048D0">
        <w:t>23</w:t>
      </w:r>
      <w:r w:rsidRPr="00FB1216">
        <w:t xml:space="preserve"> видам</w:t>
      </w:r>
      <w:r>
        <w:t>)</w:t>
      </w:r>
      <w:r w:rsidR="00023DEB" w:rsidRPr="00FB1216">
        <w:t>.</w:t>
      </w:r>
    </w:p>
    <w:p w:rsidR="00850C00" w:rsidRDefault="00850C00" w:rsidP="00850C00">
      <w:pPr>
        <w:ind w:firstLine="680"/>
        <w:jc w:val="both"/>
      </w:pPr>
      <w:r>
        <w:t xml:space="preserve">За </w:t>
      </w:r>
      <w:r>
        <w:rPr>
          <w:lang w:val="en-US"/>
        </w:rPr>
        <w:t>I</w:t>
      </w:r>
      <w:r>
        <w:t xml:space="preserve"> полугодие 2019 года </w:t>
      </w:r>
      <w:r w:rsidRPr="00FB1216">
        <w:t>через МФЦ</w:t>
      </w:r>
      <w:r>
        <w:t xml:space="preserve"> оказано 57 753 </w:t>
      </w:r>
      <w:r w:rsidRPr="001048D0">
        <w:t>услуг</w:t>
      </w:r>
      <w:r w:rsidRPr="00FB1216">
        <w:t xml:space="preserve">, или 29,1 % от всех оказанных услуг </w:t>
      </w:r>
      <w:r>
        <w:t xml:space="preserve">(198 687 ед. по 56 видам) </w:t>
      </w:r>
      <w:r w:rsidRPr="00FB1216">
        <w:t>и 48,8% от услуг, предоставление которых предусмотрено через МФЦ</w:t>
      </w:r>
      <w:r>
        <w:t xml:space="preserve"> (</w:t>
      </w:r>
      <w:r w:rsidRPr="001048D0">
        <w:rPr>
          <w:color w:val="000000"/>
        </w:rPr>
        <w:t>118 355</w:t>
      </w:r>
      <w:r w:rsidRPr="00FB1216">
        <w:rPr>
          <w:color w:val="000000"/>
        </w:rPr>
        <w:t xml:space="preserve"> </w:t>
      </w:r>
      <w:r>
        <w:rPr>
          <w:color w:val="000000"/>
        </w:rPr>
        <w:t xml:space="preserve">ед. </w:t>
      </w:r>
      <w:r w:rsidRPr="00FB1216">
        <w:t>по 23 видам</w:t>
      </w:r>
      <w:r>
        <w:t>).</w:t>
      </w:r>
    </w:p>
    <w:p w:rsidR="00023DEB" w:rsidRDefault="00023DEB" w:rsidP="00D32B75">
      <w:pPr>
        <w:ind w:firstLine="680"/>
        <w:jc w:val="both"/>
      </w:pPr>
      <w:r w:rsidRPr="003E66FF">
        <w:t xml:space="preserve">Дополнительная возможность предоставления услуг в сфере социальной защиты населения через МФЦ планируется по 8 </w:t>
      </w:r>
      <w:r w:rsidR="00452E26">
        <w:t xml:space="preserve">видам </w:t>
      </w:r>
      <w:r w:rsidRPr="003E66FF">
        <w:t xml:space="preserve">услуг, которых на 01.07.2019 оказано </w:t>
      </w:r>
      <w:proofErr w:type="spellStart"/>
      <w:r w:rsidRPr="003E66FF">
        <w:t>Облкомсоцзащитой</w:t>
      </w:r>
      <w:proofErr w:type="spellEnd"/>
      <w:r w:rsidRPr="003E66FF">
        <w:t xml:space="preserve"> порядка 29 072 </w:t>
      </w:r>
      <w:r w:rsidR="00F11657">
        <w:t>услуг</w:t>
      </w:r>
      <w:r w:rsidRPr="003E66FF">
        <w:t>, что повысит долю оказания услуг через МФЦ</w:t>
      </w:r>
      <w:r w:rsidRPr="00FB1216">
        <w:t xml:space="preserve"> в общем количестве </w:t>
      </w:r>
      <w:r w:rsidR="00D32B75">
        <w:t xml:space="preserve">услуг, оказанных </w:t>
      </w:r>
      <w:proofErr w:type="spellStart"/>
      <w:r w:rsidR="00D32B75">
        <w:t>Облкомсоцзащитой</w:t>
      </w:r>
      <w:proofErr w:type="spellEnd"/>
      <w:r w:rsidR="009D07A4">
        <w:t>.</w:t>
      </w:r>
      <w:r w:rsidRPr="00FB1216">
        <w:t xml:space="preserve"> По остальным </w:t>
      </w:r>
      <w:r w:rsidR="0031306E">
        <w:t xml:space="preserve">25-ти </w:t>
      </w:r>
      <w:r w:rsidR="0055218A">
        <w:t xml:space="preserve">видам </w:t>
      </w:r>
      <w:r>
        <w:t>услуг</w:t>
      </w:r>
      <w:r w:rsidR="002F26FB">
        <w:t xml:space="preserve"> </w:t>
      </w:r>
      <w:r w:rsidRPr="00FB1216">
        <w:t xml:space="preserve">предоставление их через МФЦ по пояснениям </w:t>
      </w:r>
      <w:proofErr w:type="spellStart"/>
      <w:r w:rsidRPr="00FB1216">
        <w:t>Облкомсоцзащиты</w:t>
      </w:r>
      <w:proofErr w:type="spellEnd"/>
      <w:r w:rsidRPr="00FB1216">
        <w:t xml:space="preserve"> нецелесообразно в связи со специфичностью и</w:t>
      </w:r>
      <w:r w:rsidR="009A3162">
        <w:t>х предоставления (необходимость</w:t>
      </w:r>
      <w:r w:rsidRPr="00FB1216">
        <w:t xml:space="preserve"> специальных знаний в</w:t>
      </w:r>
      <w:r w:rsidR="009D07A4">
        <w:t xml:space="preserve"> сфере оказания отдельных услуг</w:t>
      </w:r>
      <w:r w:rsidRPr="00FB1216">
        <w:t>, предоставлени</w:t>
      </w:r>
      <w:r w:rsidR="009A3162">
        <w:t>е</w:t>
      </w:r>
      <w:r w:rsidRPr="00FB1216">
        <w:t xml:space="preserve"> отдельных видов услуг в день обращения, а также по причине небольшого количества получателей</w:t>
      </w:r>
      <w:r w:rsidR="00D32B75">
        <w:t>)</w:t>
      </w:r>
      <w:r w:rsidRPr="00FB1216">
        <w:t xml:space="preserve">. </w:t>
      </w:r>
    </w:p>
    <w:p w:rsidR="00774C82" w:rsidRPr="00FB1216" w:rsidRDefault="00774C82" w:rsidP="00774C82">
      <w:pPr>
        <w:ind w:firstLine="680"/>
        <w:jc w:val="both"/>
        <w:rPr>
          <w:color w:val="000000"/>
        </w:rPr>
      </w:pPr>
      <w:r>
        <w:rPr>
          <w:color w:val="000000"/>
        </w:rPr>
        <w:t>В ходе проверки рассмотрен вопрос работы ГИС КИАР</w:t>
      </w:r>
      <w:r w:rsidRPr="00774C82">
        <w:t xml:space="preserve"> </w:t>
      </w:r>
      <w:r>
        <w:t xml:space="preserve">на базе </w:t>
      </w:r>
      <w:r w:rsidRPr="00FB1216">
        <w:t xml:space="preserve">ГКУ </w:t>
      </w:r>
      <w:r>
        <w:rPr>
          <w:color w:val="000000"/>
        </w:rPr>
        <w:t xml:space="preserve">ЦСЗН по Ворошиловскому району и </w:t>
      </w:r>
      <w:r w:rsidRPr="00FB1216">
        <w:rPr>
          <w:color w:val="000000"/>
        </w:rPr>
        <w:t xml:space="preserve">установлены следующие </w:t>
      </w:r>
      <w:r w:rsidRPr="003E66FF">
        <w:rPr>
          <w:color w:val="000000"/>
          <w:u w:val="single"/>
        </w:rPr>
        <w:t>проблемы в работе</w:t>
      </w:r>
      <w:r>
        <w:rPr>
          <w:color w:val="000000"/>
          <w:u w:val="single"/>
        </w:rPr>
        <w:t xml:space="preserve"> системы</w:t>
      </w:r>
      <w:r w:rsidRPr="00FB1216">
        <w:t>:</w:t>
      </w:r>
    </w:p>
    <w:p w:rsidR="00023DEB" w:rsidRDefault="00023DEB" w:rsidP="0035657C">
      <w:pPr>
        <w:autoSpaceDE w:val="0"/>
        <w:autoSpaceDN w:val="0"/>
        <w:adjustRightInd w:val="0"/>
        <w:ind w:firstLine="680"/>
        <w:jc w:val="both"/>
        <w:rPr>
          <w:color w:val="000000"/>
        </w:rPr>
      </w:pPr>
      <w:r w:rsidRPr="00FB1216">
        <w:rPr>
          <w:rFonts w:eastAsia="Times New Roman"/>
        </w:rPr>
        <w:t>-</w:t>
      </w:r>
      <w:r>
        <w:rPr>
          <w:rFonts w:eastAsia="Times New Roman"/>
        </w:rPr>
        <w:t xml:space="preserve"> </w:t>
      </w:r>
      <w:r w:rsidRPr="00FB1216">
        <w:rPr>
          <w:rFonts w:eastAsia="Times New Roman"/>
        </w:rPr>
        <w:t xml:space="preserve">низкая скорость работы </w:t>
      </w:r>
      <w:r w:rsidRPr="00FB1216">
        <w:t>ГИС КИАР</w:t>
      </w:r>
      <w:r w:rsidR="008E0318" w:rsidRPr="008E0318">
        <w:rPr>
          <w:rFonts w:eastAsia="Times New Roman"/>
        </w:rPr>
        <w:t xml:space="preserve"> </w:t>
      </w:r>
      <w:r w:rsidR="008E0318">
        <w:rPr>
          <w:rFonts w:eastAsia="Times New Roman"/>
        </w:rPr>
        <w:t>(</w:t>
      </w:r>
      <w:r w:rsidR="008E0318" w:rsidRPr="00FB1216">
        <w:rPr>
          <w:rFonts w:eastAsia="Times New Roman"/>
        </w:rPr>
        <w:t>для входа в электронное дело заявителя требуется в среднем от 10 до 30 мин</w:t>
      </w:r>
      <w:r w:rsidR="008E0318">
        <w:rPr>
          <w:rFonts w:eastAsia="Times New Roman"/>
        </w:rPr>
        <w:t>.)</w:t>
      </w:r>
      <w:r w:rsidR="008E0318">
        <w:t xml:space="preserve"> и наличие сбоев </w:t>
      </w:r>
      <w:r w:rsidR="008E0318" w:rsidRPr="00FB1216">
        <w:rPr>
          <w:rFonts w:eastAsia="Times New Roman"/>
        </w:rPr>
        <w:t>в дальнейшей работе с делом с зависанием всей системы</w:t>
      </w:r>
      <w:r w:rsidR="008E0318" w:rsidRPr="008E0318">
        <w:rPr>
          <w:rFonts w:eastAsia="Times New Roman"/>
        </w:rPr>
        <w:t xml:space="preserve"> </w:t>
      </w:r>
      <w:r w:rsidR="008E0318">
        <w:rPr>
          <w:rFonts w:eastAsia="Times New Roman"/>
        </w:rPr>
        <w:t>(д</w:t>
      </w:r>
      <w:r w:rsidR="008E0318" w:rsidRPr="00FB1216">
        <w:rPr>
          <w:rFonts w:eastAsia="Times New Roman"/>
        </w:rPr>
        <w:t>ля возобновления работы приходится неоднократно входить в рассматриваемое дело</w:t>
      </w:r>
      <w:r w:rsidR="008E0318">
        <w:rPr>
          <w:rFonts w:eastAsia="Times New Roman"/>
        </w:rPr>
        <w:t xml:space="preserve">). </w:t>
      </w:r>
      <w:r w:rsidR="009D07A4">
        <w:rPr>
          <w:rFonts w:eastAsia="Times New Roman"/>
        </w:rPr>
        <w:t>При проверке</w:t>
      </w:r>
      <w:r w:rsidRPr="00FB1216">
        <w:rPr>
          <w:rFonts w:eastAsia="Times New Roman"/>
        </w:rPr>
        <w:t xml:space="preserve"> работы системы в </w:t>
      </w:r>
      <w:r w:rsidRPr="00FB1216">
        <w:t xml:space="preserve">ГКУ </w:t>
      </w:r>
      <w:r w:rsidRPr="00FB1216">
        <w:rPr>
          <w:color w:val="000000"/>
        </w:rPr>
        <w:t>ЦСЗН Ворошиловского района 16.10.2</w:t>
      </w:r>
      <w:r>
        <w:rPr>
          <w:color w:val="000000"/>
        </w:rPr>
        <w:t xml:space="preserve">019 время открытия одного заявления </w:t>
      </w:r>
      <w:r w:rsidRPr="00FB1216">
        <w:rPr>
          <w:color w:val="000000"/>
        </w:rPr>
        <w:t>составило 20 мин</w:t>
      </w:r>
      <w:r w:rsidR="008E0318">
        <w:rPr>
          <w:color w:val="000000"/>
        </w:rPr>
        <w:t>ут.</w:t>
      </w:r>
    </w:p>
    <w:p w:rsidR="00636113" w:rsidRDefault="00940C3A" w:rsidP="00940C3A">
      <w:pPr>
        <w:pStyle w:val="ConsPlusNormal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8F29EC">
        <w:rPr>
          <w:rFonts w:ascii="Times New Roman" w:hAnsi="Times New Roman" w:cs="Times New Roman"/>
          <w:sz w:val="24"/>
          <w:szCs w:val="24"/>
        </w:rPr>
        <w:t xml:space="preserve">В тоже время следует отметить, что </w:t>
      </w:r>
      <w:proofErr w:type="spellStart"/>
      <w:r w:rsidRPr="008F29EC">
        <w:rPr>
          <w:rFonts w:ascii="Times New Roman" w:hAnsi="Times New Roman" w:cs="Times New Roman"/>
          <w:sz w:val="24"/>
          <w:szCs w:val="24"/>
        </w:rPr>
        <w:t>Облкомсоцзащитой</w:t>
      </w:r>
      <w:proofErr w:type="spellEnd"/>
      <w:r w:rsidRPr="008F29EC">
        <w:rPr>
          <w:rFonts w:ascii="Times New Roman" w:hAnsi="Times New Roman" w:cs="Times New Roman"/>
          <w:sz w:val="24"/>
          <w:szCs w:val="24"/>
        </w:rPr>
        <w:t xml:space="preserve"> не направлялись обращения в </w:t>
      </w:r>
      <w:proofErr w:type="spellStart"/>
      <w:r w:rsidRPr="008F29EC">
        <w:rPr>
          <w:rFonts w:ascii="Times New Roman" w:hAnsi="Times New Roman" w:cs="Times New Roman"/>
          <w:sz w:val="24"/>
          <w:szCs w:val="24"/>
        </w:rPr>
        <w:t>Облкоминформтехнологии</w:t>
      </w:r>
      <w:proofErr w:type="spellEnd"/>
      <w:r w:rsidRPr="008F29EC">
        <w:rPr>
          <w:rFonts w:ascii="Times New Roman" w:hAnsi="Times New Roman" w:cs="Times New Roman"/>
          <w:sz w:val="24"/>
          <w:szCs w:val="24"/>
        </w:rPr>
        <w:t xml:space="preserve"> и ГБУ «Центр информационных технологий Волгоградской области»</w:t>
      </w:r>
      <w:r w:rsidR="008F29EC" w:rsidRPr="008F29EC">
        <w:rPr>
          <w:rFonts w:ascii="Times New Roman" w:hAnsi="Times New Roman" w:cs="Times New Roman"/>
          <w:sz w:val="24"/>
          <w:szCs w:val="24"/>
        </w:rPr>
        <w:t>, которые согласно постановлению Правительства Волгоградской области от 27.05.2013 № 272-п «О государственной информационной системе «Контроль исполнения административных регламентов предоставления государственных и муниципальных услуг Волгоградской области»</w:t>
      </w:r>
      <w:r w:rsidR="008F29EC">
        <w:rPr>
          <w:rFonts w:ascii="Times New Roman" w:hAnsi="Times New Roman" w:cs="Times New Roman"/>
          <w:sz w:val="24"/>
          <w:szCs w:val="24"/>
        </w:rPr>
        <w:t xml:space="preserve"> и соглашени</w:t>
      </w:r>
      <w:r w:rsidR="00C33B9A">
        <w:rPr>
          <w:rFonts w:ascii="Times New Roman" w:hAnsi="Times New Roman" w:cs="Times New Roman"/>
          <w:sz w:val="24"/>
          <w:szCs w:val="24"/>
        </w:rPr>
        <w:t>ям</w:t>
      </w:r>
      <w:r w:rsidR="008F29EC">
        <w:rPr>
          <w:rFonts w:ascii="Times New Roman" w:hAnsi="Times New Roman" w:cs="Times New Roman"/>
          <w:sz w:val="24"/>
          <w:szCs w:val="24"/>
        </w:rPr>
        <w:t xml:space="preserve"> об информационном взаимодействии в рамках использования ГИС КИАР </w:t>
      </w:r>
      <w:r w:rsidR="00636113">
        <w:rPr>
          <w:rFonts w:ascii="Times New Roman" w:hAnsi="Times New Roman" w:cs="Times New Roman"/>
          <w:sz w:val="24"/>
          <w:szCs w:val="24"/>
        </w:rPr>
        <w:t>осуществляют технологическое сопровождение (техническую поддержку);</w:t>
      </w:r>
    </w:p>
    <w:p w:rsidR="00023DEB" w:rsidRPr="00FB1216" w:rsidRDefault="00023DEB" w:rsidP="0035657C">
      <w:pPr>
        <w:autoSpaceDE w:val="0"/>
        <w:autoSpaceDN w:val="0"/>
        <w:adjustRightInd w:val="0"/>
        <w:ind w:firstLine="680"/>
        <w:jc w:val="both"/>
        <w:rPr>
          <w:rFonts w:eastAsia="Times New Roman"/>
        </w:rPr>
      </w:pPr>
      <w:r w:rsidRPr="00FB1216">
        <w:rPr>
          <w:rFonts w:eastAsia="Times New Roman"/>
        </w:rPr>
        <w:t>-</w:t>
      </w:r>
      <w:r>
        <w:rPr>
          <w:rFonts w:eastAsia="Times New Roman"/>
        </w:rPr>
        <w:t xml:space="preserve"> </w:t>
      </w:r>
      <w:r w:rsidRPr="00FB1216">
        <w:rPr>
          <w:rFonts w:eastAsia="Times New Roman"/>
        </w:rPr>
        <w:t>заказы на отработку поступивших документов поступают в систему и не сортируются по датам создания. Информация накапливается в общем списке неотработанных дел, что создает дополнительные проблемы сотруднику ЦСЗН при поиске вновь поступивших н</w:t>
      </w:r>
      <w:r>
        <w:rPr>
          <w:rFonts w:eastAsia="Times New Roman"/>
        </w:rPr>
        <w:t>а рассмотрение документов (дел);</w:t>
      </w:r>
      <w:r w:rsidRPr="00FB1216">
        <w:rPr>
          <w:rFonts w:eastAsia="Times New Roman"/>
        </w:rPr>
        <w:t xml:space="preserve"> </w:t>
      </w:r>
    </w:p>
    <w:p w:rsidR="007E5FC6" w:rsidRDefault="00023DEB" w:rsidP="0002436C">
      <w:pPr>
        <w:ind w:firstLine="680"/>
        <w:jc w:val="both"/>
        <w:rPr>
          <w:color w:val="000000"/>
          <w:spacing w:val="4"/>
        </w:rPr>
      </w:pPr>
      <w:r w:rsidRPr="006C70F1">
        <w:rPr>
          <w:rFonts w:eastAsia="Times New Roman"/>
        </w:rPr>
        <w:t xml:space="preserve">- имеют место случаи отсутствия прикрепленных сканированных документов в направленных материалах дел, что не позволяет сотруднику ЦСЗН оперативно приступить к оказанию услуги (до приема документов на бумажном носителе). В ходе проверки выявлено отсутствие 37 документов в 13 делах. </w:t>
      </w:r>
      <w:r w:rsidR="00F11657">
        <w:rPr>
          <w:rFonts w:eastAsia="Times New Roman"/>
        </w:rPr>
        <w:t xml:space="preserve">Необходимо отметить, что </w:t>
      </w:r>
      <w:r w:rsidR="0002436C">
        <w:rPr>
          <w:rFonts w:eastAsia="Times New Roman"/>
        </w:rPr>
        <w:t xml:space="preserve">при наличии в соглашении </w:t>
      </w:r>
      <w:r w:rsidR="0002436C">
        <w:rPr>
          <w:rFonts w:eastAsia="Times New Roman"/>
        </w:rPr>
        <w:lastRenderedPageBreak/>
        <w:t xml:space="preserve">о взаимодействии </w:t>
      </w:r>
      <w:r w:rsidR="0002436C" w:rsidRPr="007E5FC6">
        <w:rPr>
          <w:bCs/>
          <w:color w:val="000000"/>
        </w:rPr>
        <w:t xml:space="preserve">между </w:t>
      </w:r>
      <w:r w:rsidR="0002436C" w:rsidRPr="007E5FC6">
        <w:t xml:space="preserve">ГКУ «МФЦ» </w:t>
      </w:r>
      <w:r w:rsidR="0002436C" w:rsidRPr="007E5FC6">
        <w:rPr>
          <w:bCs/>
          <w:color w:val="000000"/>
          <w:spacing w:val="-1"/>
        </w:rPr>
        <w:t xml:space="preserve">и </w:t>
      </w:r>
      <w:proofErr w:type="spellStart"/>
      <w:r w:rsidR="0002436C" w:rsidRPr="007E5FC6">
        <w:rPr>
          <w:bCs/>
          <w:color w:val="000000"/>
          <w:spacing w:val="-1"/>
        </w:rPr>
        <w:t>Облкомсоцзащит</w:t>
      </w:r>
      <w:r w:rsidR="0002436C">
        <w:rPr>
          <w:bCs/>
          <w:color w:val="000000"/>
          <w:spacing w:val="-1"/>
        </w:rPr>
        <w:t>ой</w:t>
      </w:r>
      <w:proofErr w:type="spellEnd"/>
      <w:r w:rsidR="0002436C" w:rsidRPr="007E5FC6">
        <w:rPr>
          <w:bCs/>
          <w:color w:val="000000"/>
          <w:spacing w:val="-2"/>
        </w:rPr>
        <w:t xml:space="preserve"> от </w:t>
      </w:r>
      <w:r w:rsidR="0002436C" w:rsidRPr="007E5FC6">
        <w:rPr>
          <w:color w:val="000000"/>
          <w:spacing w:val="4"/>
        </w:rPr>
        <w:t xml:space="preserve">22.05.2018 </w:t>
      </w:r>
      <w:r w:rsidR="0002436C">
        <w:rPr>
          <w:rFonts w:eastAsia="Times New Roman"/>
        </w:rPr>
        <w:t xml:space="preserve">условия об </w:t>
      </w:r>
      <w:r w:rsidR="0002436C" w:rsidRPr="00FB1216">
        <w:rPr>
          <w:color w:val="000000"/>
          <w:spacing w:val="4"/>
        </w:rPr>
        <w:t>и</w:t>
      </w:r>
      <w:r w:rsidR="0002436C" w:rsidRPr="00FB1216">
        <w:rPr>
          <w:color w:val="000000"/>
          <w:spacing w:val="5"/>
        </w:rPr>
        <w:t>нформационн</w:t>
      </w:r>
      <w:r w:rsidR="0002436C">
        <w:rPr>
          <w:color w:val="000000"/>
          <w:spacing w:val="5"/>
        </w:rPr>
        <w:t>ом</w:t>
      </w:r>
      <w:r w:rsidR="0002436C" w:rsidRPr="00FB1216">
        <w:rPr>
          <w:color w:val="000000"/>
          <w:spacing w:val="5"/>
        </w:rPr>
        <w:t xml:space="preserve"> обмен</w:t>
      </w:r>
      <w:r w:rsidR="0002436C">
        <w:rPr>
          <w:color w:val="000000"/>
          <w:spacing w:val="5"/>
        </w:rPr>
        <w:t>е</w:t>
      </w:r>
      <w:r w:rsidR="0002436C" w:rsidRPr="00FB1216">
        <w:rPr>
          <w:color w:val="000000"/>
          <w:spacing w:val="5"/>
        </w:rPr>
        <w:t xml:space="preserve"> с использованием </w:t>
      </w:r>
      <w:r w:rsidR="0002436C" w:rsidRPr="00FB1216">
        <w:t>ГИС КИАР</w:t>
      </w:r>
      <w:r w:rsidR="0002436C">
        <w:t xml:space="preserve">, </w:t>
      </w:r>
      <w:r w:rsidR="007E5FC6" w:rsidRPr="009F0D90">
        <w:rPr>
          <w:rFonts w:eastAsia="Times New Roman"/>
        </w:rPr>
        <w:t>порядок</w:t>
      </w:r>
      <w:r w:rsidR="007E5FC6" w:rsidRPr="009F0D90">
        <w:t xml:space="preserve"> п</w:t>
      </w:r>
      <w:r w:rsidR="007E5FC6" w:rsidRPr="007E5FC6">
        <w:t xml:space="preserve">ередачи документов в электронном виде (в т.ч. с </w:t>
      </w:r>
      <w:r w:rsidR="007E5FC6" w:rsidRPr="007E5FC6">
        <w:rPr>
          <w:color w:val="000000"/>
          <w:spacing w:val="4"/>
        </w:rPr>
        <w:t>пакетом документов в сканированном виде)</w:t>
      </w:r>
      <w:r w:rsidR="007E5FC6" w:rsidRPr="007E5FC6">
        <w:t xml:space="preserve"> </w:t>
      </w:r>
      <w:r w:rsidR="0002436C">
        <w:t xml:space="preserve">при осуществлении административных процедур </w:t>
      </w:r>
      <w:r w:rsidR="00696DA3">
        <w:t>(приложение № 5 к указанному соглашению о взаимодействии)</w:t>
      </w:r>
      <w:r w:rsidR="007E5FC6" w:rsidRPr="007E5FC6">
        <w:rPr>
          <w:color w:val="000000"/>
          <w:spacing w:val="4"/>
        </w:rPr>
        <w:t xml:space="preserve"> не предусмотрен.</w:t>
      </w:r>
    </w:p>
    <w:p w:rsidR="000F039C" w:rsidRPr="00A12FF6" w:rsidRDefault="002F2026" w:rsidP="000F039C">
      <w:pPr>
        <w:ind w:firstLine="709"/>
        <w:jc w:val="both"/>
        <w:rPr>
          <w:u w:val="single"/>
        </w:rPr>
      </w:pPr>
      <w:r>
        <w:rPr>
          <w:u w:val="single"/>
        </w:rPr>
        <w:t xml:space="preserve">Результаты проверки </w:t>
      </w:r>
      <w:proofErr w:type="spellStart"/>
      <w:r>
        <w:rPr>
          <w:u w:val="single"/>
        </w:rPr>
        <w:t>Облкомимущества</w:t>
      </w:r>
      <w:proofErr w:type="spellEnd"/>
      <w:r w:rsidR="000F039C" w:rsidRPr="00A12FF6">
        <w:rPr>
          <w:u w:val="single"/>
        </w:rPr>
        <w:t xml:space="preserve"> </w:t>
      </w:r>
    </w:p>
    <w:p w:rsidR="006E1472" w:rsidRDefault="003B3463" w:rsidP="006E1472">
      <w:pPr>
        <w:ind w:firstLine="680"/>
        <w:jc w:val="both"/>
      </w:pPr>
      <w:r>
        <w:t xml:space="preserve">За 2018 год через МФЦ </w:t>
      </w:r>
      <w:r w:rsidRPr="00FB1216">
        <w:t>оказано 1 062 услуг</w:t>
      </w:r>
      <w:r w:rsidR="001A1442">
        <w:t>и</w:t>
      </w:r>
      <w:r w:rsidRPr="00FB1216">
        <w:t xml:space="preserve"> по 7-ми видам</w:t>
      </w:r>
      <w:r>
        <w:t>, или 23,9</w:t>
      </w:r>
      <w:r w:rsidRPr="00FB1216">
        <w:t xml:space="preserve">% от всех оказанных </w:t>
      </w:r>
      <w:proofErr w:type="spellStart"/>
      <w:r w:rsidR="00696DA3">
        <w:t>Облкомимуществом</w:t>
      </w:r>
      <w:proofErr w:type="spellEnd"/>
      <w:r w:rsidR="00696DA3">
        <w:t xml:space="preserve"> </w:t>
      </w:r>
      <w:r w:rsidRPr="00FB1216">
        <w:t xml:space="preserve">услуг </w:t>
      </w:r>
      <w:r>
        <w:t>(</w:t>
      </w:r>
      <w:r w:rsidR="001A1442">
        <w:t>4 441 услуга</w:t>
      </w:r>
      <w:r w:rsidRPr="00FB1216">
        <w:t xml:space="preserve"> по 14-ти видам</w:t>
      </w:r>
      <w:r>
        <w:t>)</w:t>
      </w:r>
      <w:r w:rsidR="006E1472">
        <w:t>.</w:t>
      </w:r>
      <w:r w:rsidR="006E1472" w:rsidRPr="006E1472">
        <w:t xml:space="preserve"> </w:t>
      </w:r>
      <w:r w:rsidR="006E1472">
        <w:t xml:space="preserve">За </w:t>
      </w:r>
      <w:r w:rsidR="006E1472">
        <w:rPr>
          <w:lang w:val="en-US"/>
        </w:rPr>
        <w:t>I</w:t>
      </w:r>
      <w:r w:rsidR="006E1472">
        <w:t xml:space="preserve"> полугодие 2019 года </w:t>
      </w:r>
      <w:r w:rsidR="006E1472" w:rsidRPr="00FB1216">
        <w:t>через МФЦ</w:t>
      </w:r>
      <w:r w:rsidR="006E1472">
        <w:t xml:space="preserve"> оказано 986 услуг по 8-ми видам, или 35,8 % от всех оказанных услуг (</w:t>
      </w:r>
      <w:r w:rsidR="006E1472" w:rsidRPr="00FB1216">
        <w:t>2 758 услуг по 13-ти видам</w:t>
      </w:r>
      <w:r w:rsidR="006E1472">
        <w:t>).</w:t>
      </w:r>
    </w:p>
    <w:p w:rsidR="00544C4B" w:rsidRDefault="007C3072" w:rsidP="00F73076">
      <w:pPr>
        <w:ind w:firstLine="680"/>
        <w:jc w:val="both"/>
      </w:pPr>
      <w:r>
        <w:t>С</w:t>
      </w:r>
      <w:r w:rsidRPr="00FB1216">
        <w:t xml:space="preserve">оглашением о взаимодействии между </w:t>
      </w:r>
      <w:r w:rsidRPr="00C92F54">
        <w:t>ГКУ «МФЦ»</w:t>
      </w:r>
      <w:r w:rsidRPr="00C92F54">
        <w:rPr>
          <w:color w:val="000000"/>
        </w:rPr>
        <w:t xml:space="preserve"> </w:t>
      </w:r>
      <w:r w:rsidRPr="00FB1216">
        <w:t xml:space="preserve">и </w:t>
      </w:r>
      <w:proofErr w:type="spellStart"/>
      <w:r w:rsidRPr="00FB1216">
        <w:t>Облкомимуществом</w:t>
      </w:r>
      <w:proofErr w:type="spellEnd"/>
      <w:r w:rsidRPr="00FB1216">
        <w:t xml:space="preserve"> от 06.04.2016</w:t>
      </w:r>
      <w:r>
        <w:t xml:space="preserve"> </w:t>
      </w:r>
      <w:r w:rsidR="00F73076">
        <w:t xml:space="preserve">предусмотрено предоставление через МФЦ 13-ти видов услуг (всего в </w:t>
      </w:r>
      <w:r w:rsidR="00696DA3">
        <w:t>пере</w:t>
      </w:r>
      <w:r w:rsidR="00F73076">
        <w:t xml:space="preserve">чень оказываемых </w:t>
      </w:r>
      <w:proofErr w:type="spellStart"/>
      <w:r w:rsidR="00F73076">
        <w:t>Облкомимуществом</w:t>
      </w:r>
      <w:proofErr w:type="spellEnd"/>
      <w:r w:rsidR="00F73076">
        <w:t xml:space="preserve"> услуг включено 16 видов). П</w:t>
      </w:r>
      <w:r w:rsidR="00544C4B">
        <w:t xml:space="preserve">о трем видам услуг не предусмотрено </w:t>
      </w:r>
      <w:r w:rsidR="00696DA3">
        <w:t xml:space="preserve">их </w:t>
      </w:r>
      <w:r w:rsidR="00544C4B">
        <w:t xml:space="preserve">представление через </w:t>
      </w:r>
      <w:r w:rsidR="00696DA3">
        <w:t>МФЦ</w:t>
      </w:r>
      <w:r w:rsidR="00544C4B">
        <w:t xml:space="preserve"> в связи с нецелесообразностью (по услуге </w:t>
      </w:r>
      <w:r w:rsidR="00F73076" w:rsidRPr="00C92F54">
        <w:t>«</w:t>
      </w:r>
      <w:r w:rsidR="00544C4B" w:rsidRPr="00544C4B">
        <w:t>предоставлени</w:t>
      </w:r>
      <w:r w:rsidR="00F73076">
        <w:t>е</w:t>
      </w:r>
      <w:r w:rsidR="00544C4B" w:rsidRPr="00544C4B">
        <w:t xml:space="preserve"> в аренду государственного имущества, входящего в состав казны Волгоградской области</w:t>
      </w:r>
      <w:r w:rsidR="00F73076" w:rsidRPr="00C92F54">
        <w:t>»</w:t>
      </w:r>
      <w:r w:rsidR="00544C4B" w:rsidRPr="00544C4B">
        <w:t xml:space="preserve"> ввиду отсутствия указанного имущества; по услуге </w:t>
      </w:r>
      <w:r w:rsidR="00F73076" w:rsidRPr="00C92F54">
        <w:t>«</w:t>
      </w:r>
      <w:r w:rsidR="00544C4B" w:rsidRPr="00544C4B">
        <w:t>выдача выписок из Реестра объектов собс</w:t>
      </w:r>
      <w:r w:rsidR="00F73076">
        <w:t>твенности Волгоградской области</w:t>
      </w:r>
      <w:r w:rsidR="00F73076" w:rsidRPr="00C92F54">
        <w:t>»</w:t>
      </w:r>
      <w:r w:rsidR="00F73076">
        <w:t xml:space="preserve"> </w:t>
      </w:r>
      <w:r w:rsidR="00544C4B" w:rsidRPr="00544C4B">
        <w:t xml:space="preserve">ввиду имеющейся на сайте </w:t>
      </w:r>
      <w:proofErr w:type="spellStart"/>
      <w:r w:rsidR="00544C4B" w:rsidRPr="00544C4B">
        <w:t>Облкомимущества</w:t>
      </w:r>
      <w:proofErr w:type="spellEnd"/>
      <w:r w:rsidR="00544C4B" w:rsidRPr="00544C4B">
        <w:t xml:space="preserve"> общедоступной информации об объектах собственности Волгоградской области; по услуге </w:t>
      </w:r>
      <w:r w:rsidR="00F73076" w:rsidRPr="00C92F54">
        <w:t>«</w:t>
      </w:r>
      <w:r w:rsidR="00544C4B" w:rsidRPr="00544C4B">
        <w:t>перевод земель из одной категории в другую по причине большого объема прилагаемых к ходатайству документов, в частности «проекта рекультивации земель»).</w:t>
      </w:r>
    </w:p>
    <w:p w:rsidR="009F0D90" w:rsidRPr="009E2231" w:rsidRDefault="007F1D58" w:rsidP="009F0D90">
      <w:pPr>
        <w:pStyle w:val="afa"/>
        <w:ind w:firstLine="680"/>
        <w:jc w:val="both"/>
        <w:rPr>
          <w:sz w:val="24"/>
          <w:szCs w:val="24"/>
        </w:rPr>
      </w:pPr>
      <w:r w:rsidRPr="007F1D58">
        <w:rPr>
          <w:sz w:val="24"/>
          <w:szCs w:val="24"/>
        </w:rPr>
        <w:t>Проверкой 16-ти сформированных в ГИС КИАР дел в рамках оказания услуги по постановке на учет граждан в целях последующего предоставления земельных уча</w:t>
      </w:r>
      <w:r>
        <w:rPr>
          <w:sz w:val="24"/>
          <w:szCs w:val="24"/>
        </w:rPr>
        <w:t>стков в собственность бесплатно</w:t>
      </w:r>
      <w:r w:rsidRPr="007F1D58">
        <w:rPr>
          <w:sz w:val="24"/>
          <w:szCs w:val="24"/>
        </w:rPr>
        <w:t xml:space="preserve"> установлено, что в 13-ти из них отсутствуют </w:t>
      </w:r>
      <w:proofErr w:type="spellStart"/>
      <w:r w:rsidRPr="007F1D58">
        <w:rPr>
          <w:sz w:val="24"/>
          <w:szCs w:val="24"/>
        </w:rPr>
        <w:t>скан-образы</w:t>
      </w:r>
      <w:proofErr w:type="spellEnd"/>
      <w:r w:rsidRPr="007F1D58">
        <w:rPr>
          <w:sz w:val="24"/>
          <w:szCs w:val="24"/>
        </w:rPr>
        <w:t xml:space="preserve"> документов, представленных заявителем</w:t>
      </w:r>
      <w:r>
        <w:rPr>
          <w:sz w:val="24"/>
          <w:szCs w:val="24"/>
        </w:rPr>
        <w:t xml:space="preserve">. В результате работниками МФЦ не в полной мере соблюдаются </w:t>
      </w:r>
      <w:r w:rsidR="009F0D90" w:rsidRPr="007F1D58">
        <w:rPr>
          <w:sz w:val="24"/>
          <w:szCs w:val="24"/>
        </w:rPr>
        <w:t>услови</w:t>
      </w:r>
      <w:r>
        <w:rPr>
          <w:sz w:val="24"/>
          <w:szCs w:val="24"/>
        </w:rPr>
        <w:t>я</w:t>
      </w:r>
      <w:r w:rsidR="009F0D90" w:rsidRPr="007F1D58">
        <w:rPr>
          <w:sz w:val="24"/>
          <w:szCs w:val="24"/>
        </w:rPr>
        <w:t xml:space="preserve"> соглашения о взаимодействии</w:t>
      </w:r>
      <w:r>
        <w:rPr>
          <w:sz w:val="24"/>
          <w:szCs w:val="24"/>
        </w:rPr>
        <w:t xml:space="preserve"> между </w:t>
      </w:r>
      <w:r w:rsidRPr="007F1D58">
        <w:rPr>
          <w:sz w:val="24"/>
          <w:szCs w:val="24"/>
        </w:rPr>
        <w:t>ГКУ «МФЦ»</w:t>
      </w:r>
      <w:r w:rsidRPr="007F1D58">
        <w:rPr>
          <w:color w:val="000000"/>
          <w:sz w:val="24"/>
          <w:szCs w:val="24"/>
        </w:rPr>
        <w:t xml:space="preserve"> и</w:t>
      </w:r>
      <w:r>
        <w:rPr>
          <w:color w:val="000000"/>
        </w:rPr>
        <w:t xml:space="preserve"> </w:t>
      </w:r>
      <w:proofErr w:type="spellStart"/>
      <w:r>
        <w:rPr>
          <w:sz w:val="24"/>
          <w:szCs w:val="24"/>
        </w:rPr>
        <w:t>Облкомимуществом</w:t>
      </w:r>
      <w:proofErr w:type="spellEnd"/>
      <w:r>
        <w:rPr>
          <w:sz w:val="24"/>
          <w:szCs w:val="24"/>
        </w:rPr>
        <w:t xml:space="preserve"> </w:t>
      </w:r>
      <w:r w:rsidR="009F0D90" w:rsidRPr="007F1D58">
        <w:rPr>
          <w:sz w:val="24"/>
          <w:szCs w:val="24"/>
        </w:rPr>
        <w:t xml:space="preserve">в части прикрепления </w:t>
      </w:r>
      <w:proofErr w:type="spellStart"/>
      <w:r w:rsidR="009F0D90" w:rsidRPr="007F1D58">
        <w:rPr>
          <w:sz w:val="24"/>
          <w:szCs w:val="24"/>
        </w:rPr>
        <w:t>скан-образов</w:t>
      </w:r>
      <w:proofErr w:type="spellEnd"/>
      <w:r w:rsidR="009F0D90" w:rsidRPr="007F1D58">
        <w:rPr>
          <w:sz w:val="24"/>
          <w:szCs w:val="24"/>
        </w:rPr>
        <w:t xml:space="preserve"> документов,</w:t>
      </w:r>
      <w:r w:rsidR="009F0D90" w:rsidRPr="009E2231">
        <w:rPr>
          <w:sz w:val="24"/>
          <w:szCs w:val="24"/>
        </w:rPr>
        <w:t xml:space="preserve"> представляемых заявителем в соответствии с административным регламентом. </w:t>
      </w:r>
    </w:p>
    <w:p w:rsidR="007C3072" w:rsidRDefault="008E336F" w:rsidP="007C3072">
      <w:pPr>
        <w:pStyle w:val="ConsPlusNormal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и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Облкомсоцзащите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C3072">
        <w:rPr>
          <w:rFonts w:ascii="Times New Roman" w:hAnsi="Times New Roman" w:cs="Times New Roman"/>
          <w:sz w:val="24"/>
          <w:szCs w:val="24"/>
        </w:rPr>
        <w:t xml:space="preserve">отмечается </w:t>
      </w:r>
      <w:r w:rsidR="007C3072" w:rsidRPr="00FB1216">
        <w:rPr>
          <w:rFonts w:ascii="Times New Roman" w:hAnsi="Times New Roman" w:cs="Times New Roman"/>
          <w:sz w:val="24"/>
          <w:szCs w:val="24"/>
        </w:rPr>
        <w:t>медленн</w:t>
      </w:r>
      <w:r w:rsidR="007C3072">
        <w:rPr>
          <w:rFonts w:ascii="Times New Roman" w:hAnsi="Times New Roman" w:cs="Times New Roman"/>
          <w:sz w:val="24"/>
          <w:szCs w:val="24"/>
        </w:rPr>
        <w:t>ая</w:t>
      </w:r>
      <w:r w:rsidR="007C3072" w:rsidRPr="00FB1216">
        <w:rPr>
          <w:rFonts w:ascii="Times New Roman" w:hAnsi="Times New Roman" w:cs="Times New Roman"/>
          <w:sz w:val="24"/>
          <w:szCs w:val="24"/>
        </w:rPr>
        <w:t xml:space="preserve"> загрузк</w:t>
      </w:r>
      <w:r w:rsidR="007C3072">
        <w:rPr>
          <w:rFonts w:ascii="Times New Roman" w:hAnsi="Times New Roman" w:cs="Times New Roman"/>
          <w:sz w:val="24"/>
          <w:szCs w:val="24"/>
        </w:rPr>
        <w:t>а</w:t>
      </w:r>
      <w:r w:rsidR="007C3072" w:rsidRPr="00FB1216">
        <w:rPr>
          <w:rFonts w:ascii="Times New Roman" w:hAnsi="Times New Roman" w:cs="Times New Roman"/>
          <w:sz w:val="24"/>
          <w:szCs w:val="24"/>
        </w:rPr>
        <w:t xml:space="preserve"> и сбо</w:t>
      </w:r>
      <w:r w:rsidR="007C3072">
        <w:rPr>
          <w:rFonts w:ascii="Times New Roman" w:hAnsi="Times New Roman" w:cs="Times New Roman"/>
          <w:sz w:val="24"/>
          <w:szCs w:val="24"/>
        </w:rPr>
        <w:t>и</w:t>
      </w:r>
      <w:r w:rsidR="007C3072" w:rsidRPr="00FB1216">
        <w:rPr>
          <w:rFonts w:ascii="Times New Roman" w:hAnsi="Times New Roman" w:cs="Times New Roman"/>
          <w:sz w:val="24"/>
          <w:szCs w:val="24"/>
        </w:rPr>
        <w:t xml:space="preserve"> в работе ГИС КИАР</w:t>
      </w:r>
      <w:r w:rsidR="007C3072">
        <w:rPr>
          <w:rFonts w:ascii="Times New Roman" w:hAnsi="Times New Roman" w:cs="Times New Roman"/>
          <w:sz w:val="24"/>
          <w:szCs w:val="24"/>
        </w:rPr>
        <w:t>. Однако</w:t>
      </w:r>
      <w:r w:rsidR="007C3072" w:rsidRPr="00FB12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3072" w:rsidRPr="00103159">
        <w:rPr>
          <w:rFonts w:ascii="Times New Roman" w:hAnsi="Times New Roman" w:cs="Times New Roman"/>
          <w:sz w:val="24"/>
          <w:szCs w:val="24"/>
        </w:rPr>
        <w:t>Облкомимуще</w:t>
      </w:r>
      <w:r>
        <w:rPr>
          <w:rFonts w:ascii="Times New Roman" w:hAnsi="Times New Roman" w:cs="Times New Roman"/>
          <w:sz w:val="24"/>
          <w:szCs w:val="24"/>
        </w:rPr>
        <w:t>ством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Облкоминформтехнологии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3072" w:rsidRPr="00103159">
        <w:rPr>
          <w:rFonts w:ascii="Times New Roman" w:hAnsi="Times New Roman" w:cs="Times New Roman"/>
          <w:sz w:val="24"/>
          <w:szCs w:val="24"/>
        </w:rPr>
        <w:t>и в ГБУ «Центр информационных технологий Волго</w:t>
      </w:r>
      <w:r>
        <w:rPr>
          <w:rFonts w:ascii="Times New Roman" w:hAnsi="Times New Roman" w:cs="Times New Roman"/>
          <w:sz w:val="24"/>
          <w:szCs w:val="24"/>
        </w:rPr>
        <w:t>градской области»</w:t>
      </w:r>
      <w:r w:rsidR="007C3072" w:rsidRPr="00103159">
        <w:rPr>
          <w:rFonts w:ascii="Times New Roman" w:hAnsi="Times New Roman" w:cs="Times New Roman"/>
          <w:sz w:val="24"/>
          <w:szCs w:val="24"/>
        </w:rPr>
        <w:t xml:space="preserve"> обращени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7C3072" w:rsidRPr="00103159">
        <w:rPr>
          <w:rFonts w:ascii="Times New Roman" w:hAnsi="Times New Roman" w:cs="Times New Roman"/>
          <w:sz w:val="24"/>
          <w:szCs w:val="24"/>
        </w:rPr>
        <w:t xml:space="preserve"> </w:t>
      </w:r>
      <w:r w:rsidR="006F1AA5">
        <w:rPr>
          <w:rFonts w:ascii="Times New Roman" w:hAnsi="Times New Roman" w:cs="Times New Roman"/>
          <w:sz w:val="24"/>
          <w:szCs w:val="24"/>
        </w:rPr>
        <w:t xml:space="preserve">о работе </w:t>
      </w:r>
      <w:r w:rsidR="007C3072" w:rsidRPr="00103159">
        <w:rPr>
          <w:rFonts w:ascii="Times New Roman" w:hAnsi="Times New Roman" w:cs="Times New Roman"/>
          <w:sz w:val="24"/>
          <w:szCs w:val="24"/>
        </w:rPr>
        <w:t>ГИС КИАР в 2018-2019 годах не направлял</w:t>
      </w:r>
      <w:r>
        <w:rPr>
          <w:rFonts w:ascii="Times New Roman" w:hAnsi="Times New Roman" w:cs="Times New Roman"/>
          <w:sz w:val="24"/>
          <w:szCs w:val="24"/>
        </w:rPr>
        <w:t>ись</w:t>
      </w:r>
      <w:r w:rsidR="007C3072" w:rsidRPr="0010315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77ACF" w:rsidRDefault="00377ACF" w:rsidP="007C3072">
      <w:pPr>
        <w:ind w:firstLine="680"/>
        <w:jc w:val="both"/>
      </w:pPr>
    </w:p>
    <w:p w:rsidR="00B262EA" w:rsidRPr="00F07CB4" w:rsidRDefault="00B262EA" w:rsidP="00B262EA">
      <w:pPr>
        <w:jc w:val="center"/>
        <w:rPr>
          <w:b/>
        </w:rPr>
      </w:pPr>
      <w:r w:rsidRPr="00927CBF">
        <w:rPr>
          <w:b/>
        </w:rPr>
        <w:t>Доходы</w:t>
      </w:r>
      <w:r>
        <w:rPr>
          <w:b/>
        </w:rPr>
        <w:t xml:space="preserve"> областного бюджета, связанные с деятельностью </w:t>
      </w:r>
      <w:r w:rsidRPr="00F07CB4">
        <w:rPr>
          <w:rFonts w:eastAsia="Times New Roman"/>
          <w:b/>
        </w:rPr>
        <w:t xml:space="preserve">ГКУ </w:t>
      </w:r>
      <w:r w:rsidRPr="00F07CB4">
        <w:rPr>
          <w:b/>
        </w:rPr>
        <w:t xml:space="preserve">«МФЦ» </w:t>
      </w:r>
    </w:p>
    <w:p w:rsidR="00B262EA" w:rsidRPr="006E1F61" w:rsidRDefault="00B262EA" w:rsidP="00B262EA">
      <w:pPr>
        <w:ind w:firstLine="709"/>
        <w:jc w:val="both"/>
      </w:pPr>
      <w:r w:rsidRPr="006E1F61">
        <w:t>В соответствии с</w:t>
      </w:r>
      <w:r>
        <w:t>о</w:t>
      </w:r>
      <w:r w:rsidRPr="006E1F61">
        <w:t xml:space="preserve"> ст. 50 и ст. 56 Б</w:t>
      </w:r>
      <w:r>
        <w:t>юджетного кодекса</w:t>
      </w:r>
      <w:r w:rsidRPr="006E1F61">
        <w:t xml:space="preserve"> РФ </w:t>
      </w:r>
      <w:r w:rsidR="007F1D58">
        <w:t xml:space="preserve">(далее – БК РФ) </w:t>
      </w:r>
      <w:r w:rsidRPr="006E1F61">
        <w:t>государственная пошлина</w:t>
      </w:r>
      <w:r>
        <w:t xml:space="preserve"> (далее – госпошлина)</w:t>
      </w:r>
      <w:r w:rsidRPr="006E1F61">
        <w:t>,</w:t>
      </w:r>
      <w:r>
        <w:t xml:space="preserve"> уплачиваемая за предоставление</w:t>
      </w:r>
      <w:r w:rsidRPr="006E1F61">
        <w:t xml:space="preserve"> </w:t>
      </w:r>
      <w:r>
        <w:t>ФОИВ</w:t>
      </w:r>
      <w:r w:rsidRPr="006E1F61">
        <w:t xml:space="preserve"> услуг за совершение юридически значимых действий в случае подачи заявления и (или) документов</w:t>
      </w:r>
      <w:r w:rsidR="007F1D58">
        <w:t>, необходимых для их совершения</w:t>
      </w:r>
      <w:r w:rsidRPr="006E1F61">
        <w:t xml:space="preserve"> в </w:t>
      </w:r>
      <w:r>
        <w:t>МФЦ,</w:t>
      </w:r>
      <w:r w:rsidRPr="006E1F61">
        <w:t xml:space="preserve"> </w:t>
      </w:r>
      <w:r>
        <w:t>распределяется по 50% в федеральный и региональный бюджеты.</w:t>
      </w:r>
    </w:p>
    <w:p w:rsidR="00B262EA" w:rsidRPr="00367A2B" w:rsidRDefault="00B262EA" w:rsidP="00B262EA">
      <w:pPr>
        <w:autoSpaceDE w:val="0"/>
        <w:autoSpaceDN w:val="0"/>
        <w:adjustRightInd w:val="0"/>
        <w:ind w:firstLine="720"/>
        <w:jc w:val="both"/>
      </w:pPr>
      <w:r>
        <w:t>По 15-ти федеральным услугам</w:t>
      </w:r>
      <w:r w:rsidRPr="00C76662">
        <w:t xml:space="preserve">, оказываемым через МФЦ, </w:t>
      </w:r>
      <w:bookmarkStart w:id="2" w:name="OLE_LINK3"/>
      <w:bookmarkStart w:id="3" w:name="OLE_LINK4"/>
      <w:r w:rsidRPr="00C76662">
        <w:t>доходы от уплаты госпошлины</w:t>
      </w:r>
      <w:bookmarkEnd w:id="2"/>
      <w:bookmarkEnd w:id="3"/>
      <w:r w:rsidRPr="00C76662">
        <w:t xml:space="preserve"> поступали в обла</w:t>
      </w:r>
      <w:r>
        <w:t xml:space="preserve">стной бюджет. </w:t>
      </w:r>
    </w:p>
    <w:p w:rsidR="00B262EA" w:rsidRDefault="00B262EA" w:rsidP="00B262EA">
      <w:pPr>
        <w:ind w:firstLine="709"/>
        <w:jc w:val="both"/>
      </w:pPr>
      <w:r w:rsidRPr="00367A2B">
        <w:t xml:space="preserve">В целом </w:t>
      </w:r>
      <w:r>
        <w:t xml:space="preserve">доходы за 2018 год увеличились по сравнению с 2017 годом на 51,3 млн. руб. (+26,4%) и составили 245,9 млн. рублей. </w:t>
      </w:r>
      <w:r>
        <w:rPr>
          <w:color w:val="000000"/>
        </w:rPr>
        <w:t xml:space="preserve">За 7 месяцев 2019 года </w:t>
      </w:r>
      <w:r w:rsidRPr="00C76662">
        <w:t>доходы от уплаты г</w:t>
      </w:r>
      <w:r>
        <w:t xml:space="preserve">оспошлины </w:t>
      </w:r>
      <w:r w:rsidRPr="00C76662">
        <w:t>в областной бюджет</w:t>
      </w:r>
      <w:r>
        <w:t xml:space="preserve"> поступили в размере 135,4 млн. руб</w:t>
      </w:r>
      <w:r w:rsidR="001A1442">
        <w:t>лей.</w:t>
      </w:r>
      <w:r w:rsidR="005E5556">
        <w:t xml:space="preserve"> </w:t>
      </w:r>
    </w:p>
    <w:p w:rsidR="00B262EA" w:rsidRPr="00367A2B" w:rsidRDefault="00B262EA" w:rsidP="00B262EA">
      <w:pPr>
        <w:autoSpaceDE w:val="0"/>
        <w:autoSpaceDN w:val="0"/>
        <w:adjustRightInd w:val="0"/>
        <w:ind w:firstLine="720"/>
        <w:jc w:val="both"/>
      </w:pPr>
      <w:r w:rsidRPr="003D29B9">
        <w:t>Информация о доли  поступления госпошлины по услугам, оказываемы</w:t>
      </w:r>
      <w:r>
        <w:t>м</w:t>
      </w:r>
      <w:r w:rsidRPr="003D29B9">
        <w:t xml:space="preserve"> через МФЦ в разрезе администраторов услуг (</w:t>
      </w:r>
      <w:r>
        <w:t>ФОИВ</w:t>
      </w:r>
      <w:r w:rsidRPr="003D29B9">
        <w:t>), приведена в диаграмме.</w:t>
      </w:r>
    </w:p>
    <w:p w:rsidR="00B262EA" w:rsidRPr="007E1366" w:rsidRDefault="00B262EA" w:rsidP="00B262EA">
      <w:pPr>
        <w:autoSpaceDE w:val="0"/>
        <w:autoSpaceDN w:val="0"/>
        <w:adjustRightInd w:val="0"/>
        <w:jc w:val="right"/>
        <w:rPr>
          <w:highlight w:val="yellow"/>
        </w:rPr>
      </w:pPr>
      <w:r w:rsidRPr="00646B4C">
        <w:rPr>
          <w:noProof/>
          <w:bdr w:val="single" w:sz="4" w:space="0" w:color="auto"/>
        </w:rPr>
        <w:lastRenderedPageBreak/>
        <w:drawing>
          <wp:inline distT="0" distB="0" distL="0" distR="0">
            <wp:extent cx="6117733" cy="1906073"/>
            <wp:effectExtent l="1905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B262EA" w:rsidRDefault="00B262EA" w:rsidP="00B262EA">
      <w:pPr>
        <w:autoSpaceDE w:val="0"/>
        <w:autoSpaceDN w:val="0"/>
        <w:adjustRightInd w:val="0"/>
        <w:ind w:firstLine="720"/>
        <w:jc w:val="both"/>
      </w:pPr>
      <w:r w:rsidRPr="00835018">
        <w:t>Наибольший объем поступления госпошлины в областной бюджет по услугам, оказываемых через МФЦ</w:t>
      </w:r>
      <w:r>
        <w:t>,</w:t>
      </w:r>
      <w:r w:rsidRPr="00835018">
        <w:t xml:space="preserve"> сложился по администратору доходов Управлени</w:t>
      </w:r>
      <w:r>
        <w:t>е</w:t>
      </w:r>
      <w:r w:rsidRPr="00835018">
        <w:t xml:space="preserve"> Федеральной службы государственной регистрации, кадастра и картографии по Волгоградской области </w:t>
      </w:r>
      <w:r w:rsidRPr="00835018">
        <w:rPr>
          <w:color w:val="000000"/>
        </w:rPr>
        <w:t>за государственную регистрацию прав, ограничений (обременений) прав на недвижимое имущество и сделок с ним</w:t>
      </w:r>
      <w:r>
        <w:rPr>
          <w:color w:val="000000"/>
        </w:rPr>
        <w:t>, наименьший по услугам администратора доходов УФНС России по Волгоградской области.</w:t>
      </w:r>
    </w:p>
    <w:p w:rsidR="00B262EA" w:rsidRDefault="00B262EA" w:rsidP="00B262EA">
      <w:pPr>
        <w:autoSpaceDE w:val="0"/>
        <w:autoSpaceDN w:val="0"/>
        <w:adjustRightInd w:val="0"/>
        <w:ind w:firstLine="680"/>
        <w:jc w:val="both"/>
      </w:pPr>
    </w:p>
    <w:p w:rsidR="00B262EA" w:rsidRDefault="00B262EA" w:rsidP="00B262EA">
      <w:pPr>
        <w:autoSpaceDE w:val="0"/>
        <w:autoSpaceDN w:val="0"/>
        <w:adjustRightInd w:val="0"/>
        <w:ind w:firstLine="680"/>
        <w:jc w:val="both"/>
      </w:pPr>
      <w:r w:rsidRPr="004A6DCE">
        <w:t xml:space="preserve">В соответствии </w:t>
      </w:r>
      <w:r>
        <w:t xml:space="preserve">с приказом </w:t>
      </w:r>
      <w:proofErr w:type="spellStart"/>
      <w:r>
        <w:t>Облкомэкономразвития</w:t>
      </w:r>
      <w:proofErr w:type="spellEnd"/>
      <w:r>
        <w:t xml:space="preserve"> от 07.04.2017 №68 на </w:t>
      </w:r>
      <w:r w:rsidRPr="00F07CB4">
        <w:rPr>
          <w:rFonts w:eastAsia="Times New Roman"/>
        </w:rPr>
        <w:t xml:space="preserve">ГКУ </w:t>
      </w:r>
      <w:r w:rsidRPr="00F07CB4">
        <w:t>«МФЦ»</w:t>
      </w:r>
      <w:r w:rsidRPr="00F07CB4">
        <w:rPr>
          <w:b/>
        </w:rPr>
        <w:t xml:space="preserve"> </w:t>
      </w:r>
      <w:r>
        <w:t>возложены полномочия администратора определенных видов доходов. Исполнение их за проверенный период приведено в таблице.</w:t>
      </w:r>
    </w:p>
    <w:p w:rsidR="00B262EA" w:rsidRPr="00736C4F" w:rsidRDefault="00B262EA" w:rsidP="00B262EA">
      <w:pPr>
        <w:autoSpaceDE w:val="0"/>
        <w:autoSpaceDN w:val="0"/>
        <w:adjustRightInd w:val="0"/>
        <w:ind w:firstLine="680"/>
        <w:jc w:val="right"/>
        <w:rPr>
          <w:sz w:val="22"/>
          <w:szCs w:val="22"/>
        </w:rPr>
      </w:pPr>
      <w:r w:rsidRPr="00736C4F">
        <w:rPr>
          <w:sz w:val="22"/>
          <w:szCs w:val="22"/>
        </w:rPr>
        <w:t>тыс. руб.</w:t>
      </w:r>
    </w:p>
    <w:tbl>
      <w:tblPr>
        <w:tblW w:w="9889" w:type="dxa"/>
        <w:tblLayout w:type="fixed"/>
        <w:tblLook w:val="04A0"/>
      </w:tblPr>
      <w:tblGrid>
        <w:gridCol w:w="3085"/>
        <w:gridCol w:w="851"/>
        <w:gridCol w:w="850"/>
        <w:gridCol w:w="851"/>
        <w:gridCol w:w="850"/>
        <w:gridCol w:w="851"/>
        <w:gridCol w:w="850"/>
        <w:gridCol w:w="851"/>
        <w:gridCol w:w="850"/>
      </w:tblGrid>
      <w:tr w:rsidR="00B262EA" w:rsidRPr="0062407D" w:rsidTr="00C01D87">
        <w:trPr>
          <w:trHeight w:val="273"/>
        </w:trPr>
        <w:tc>
          <w:tcPr>
            <w:tcW w:w="308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  <w:hideMark/>
          </w:tcPr>
          <w:p w:rsidR="00B262EA" w:rsidRPr="000237B1" w:rsidRDefault="00B262EA" w:rsidP="00C01D87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0237B1">
              <w:rPr>
                <w:rFonts w:eastAsia="Times New Roman"/>
                <w:b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  <w:hideMark/>
          </w:tcPr>
          <w:p w:rsidR="00B262EA" w:rsidRPr="000237B1" w:rsidRDefault="00B262EA" w:rsidP="00C01D87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0237B1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:rsidR="00B262EA" w:rsidRPr="000237B1" w:rsidRDefault="00B262EA" w:rsidP="00C01D87">
            <w:pPr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0237B1">
              <w:rPr>
                <w:rFonts w:eastAsia="Times New Roman"/>
                <w:b/>
                <w:color w:val="000000"/>
                <w:sz w:val="16"/>
                <w:szCs w:val="16"/>
              </w:rPr>
              <w:t>(+)рост,  (-)</w:t>
            </w:r>
            <w:proofErr w:type="spellStart"/>
            <w:r w:rsidRPr="000237B1">
              <w:rPr>
                <w:rFonts w:eastAsia="Times New Roman"/>
                <w:b/>
                <w:color w:val="000000"/>
                <w:sz w:val="16"/>
                <w:szCs w:val="16"/>
              </w:rPr>
              <w:t>сниж</w:t>
            </w:r>
            <w:proofErr w:type="spellEnd"/>
            <w:r w:rsidRPr="000237B1">
              <w:rPr>
                <w:rFonts w:eastAsia="Times New Roman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EAF1DD"/>
            <w:noWrap/>
            <w:vAlign w:val="center"/>
            <w:hideMark/>
          </w:tcPr>
          <w:p w:rsidR="00B262EA" w:rsidRPr="000237B1" w:rsidRDefault="00B262EA" w:rsidP="00C01D87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0237B1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EAF1DD"/>
            <w:vAlign w:val="center"/>
            <w:hideMark/>
          </w:tcPr>
          <w:p w:rsidR="00B262EA" w:rsidRPr="000237B1" w:rsidRDefault="00B3753E" w:rsidP="00B3753E">
            <w:pPr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>
              <w:rPr>
                <w:rFonts w:eastAsia="Times New Roman"/>
                <w:b/>
                <w:color w:val="000000"/>
                <w:sz w:val="16"/>
                <w:szCs w:val="16"/>
              </w:rPr>
              <w:t xml:space="preserve">(+)рост,  </w:t>
            </w:r>
            <w:r w:rsidR="00B262EA" w:rsidRPr="000237B1">
              <w:rPr>
                <w:rFonts w:eastAsia="Times New Roman"/>
                <w:b/>
                <w:color w:val="000000"/>
                <w:sz w:val="16"/>
                <w:szCs w:val="16"/>
              </w:rPr>
              <w:t>(-)</w:t>
            </w:r>
            <w:proofErr w:type="spellStart"/>
            <w:r w:rsidR="00B262EA" w:rsidRPr="000237B1">
              <w:rPr>
                <w:rFonts w:eastAsia="Times New Roman"/>
                <w:b/>
                <w:color w:val="000000"/>
                <w:sz w:val="16"/>
                <w:szCs w:val="16"/>
              </w:rPr>
              <w:t>сниж</w:t>
            </w:r>
            <w:proofErr w:type="spellEnd"/>
            <w:r w:rsidR="00B262EA" w:rsidRPr="000237B1">
              <w:rPr>
                <w:rFonts w:eastAsia="Times New Roman"/>
                <w:b/>
                <w:color w:val="000000"/>
                <w:sz w:val="16"/>
                <w:szCs w:val="16"/>
              </w:rPr>
              <w:t>.</w:t>
            </w:r>
          </w:p>
        </w:tc>
      </w:tr>
      <w:tr w:rsidR="00B262EA" w:rsidRPr="0062407D" w:rsidTr="00C01D87">
        <w:trPr>
          <w:trHeight w:val="306"/>
        </w:trPr>
        <w:tc>
          <w:tcPr>
            <w:tcW w:w="3085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B262EA" w:rsidRPr="000237B1" w:rsidRDefault="00B262EA" w:rsidP="00C01D8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B262EA" w:rsidRPr="000237B1" w:rsidRDefault="00B262EA" w:rsidP="00C01D8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237B1">
              <w:rPr>
                <w:rFonts w:eastAsia="Times New Roman"/>
                <w:b/>
                <w:bCs/>
                <w:sz w:val="16"/>
                <w:szCs w:val="16"/>
              </w:rPr>
              <w:t>2017 г.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B262EA" w:rsidRPr="000237B1" w:rsidRDefault="00B262EA" w:rsidP="00C01D87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0237B1">
              <w:rPr>
                <w:rFonts w:eastAsia="Times New Roman"/>
                <w:b/>
                <w:sz w:val="16"/>
                <w:szCs w:val="16"/>
              </w:rPr>
              <w:t>2018 г.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doub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B262EA" w:rsidRPr="000237B1" w:rsidRDefault="00B262EA" w:rsidP="00C01D87">
            <w:pPr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0237B1">
              <w:rPr>
                <w:rFonts w:eastAsia="Times New Roman"/>
                <w:b/>
                <w:color w:val="000000"/>
                <w:sz w:val="16"/>
                <w:szCs w:val="16"/>
              </w:rPr>
              <w:t>сумма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doub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B262EA" w:rsidRPr="000237B1" w:rsidRDefault="00B262EA" w:rsidP="00C01D87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0237B1">
              <w:rPr>
                <w:rFonts w:eastAsia="Times New Roman"/>
                <w:b/>
                <w:sz w:val="16"/>
                <w:szCs w:val="16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doub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B262EA" w:rsidRPr="000237B1" w:rsidRDefault="00B262EA" w:rsidP="00C01D87">
            <w:pPr>
              <w:ind w:left="-61" w:right="-108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0237B1">
              <w:rPr>
                <w:rFonts w:eastAsia="Times New Roman"/>
                <w:b/>
                <w:sz w:val="16"/>
                <w:szCs w:val="16"/>
              </w:rPr>
              <w:t xml:space="preserve">1 </w:t>
            </w:r>
            <w:proofErr w:type="spellStart"/>
            <w:r w:rsidRPr="000237B1">
              <w:rPr>
                <w:rFonts w:eastAsia="Times New Roman"/>
                <w:b/>
                <w:sz w:val="16"/>
                <w:szCs w:val="16"/>
              </w:rPr>
              <w:t>полуг-е</w:t>
            </w:r>
            <w:proofErr w:type="spellEnd"/>
            <w:r w:rsidRPr="000237B1">
              <w:rPr>
                <w:rFonts w:eastAsia="Times New Roman"/>
                <w:b/>
                <w:sz w:val="16"/>
                <w:szCs w:val="16"/>
              </w:rPr>
              <w:t xml:space="preserve"> 2018 года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doub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B262EA" w:rsidRPr="000237B1" w:rsidRDefault="00B262EA" w:rsidP="00C01D87">
            <w:pPr>
              <w:ind w:left="-143" w:right="-108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0237B1">
              <w:rPr>
                <w:rFonts w:eastAsia="Times New Roman"/>
                <w:b/>
                <w:sz w:val="16"/>
                <w:szCs w:val="16"/>
              </w:rPr>
              <w:t xml:space="preserve">1 </w:t>
            </w:r>
            <w:proofErr w:type="spellStart"/>
            <w:r w:rsidRPr="000237B1">
              <w:rPr>
                <w:rFonts w:eastAsia="Times New Roman"/>
                <w:b/>
                <w:sz w:val="16"/>
                <w:szCs w:val="16"/>
              </w:rPr>
              <w:t>полуг-е</w:t>
            </w:r>
            <w:proofErr w:type="spellEnd"/>
            <w:r w:rsidRPr="000237B1">
              <w:rPr>
                <w:rFonts w:eastAsia="Times New Roman"/>
                <w:b/>
                <w:sz w:val="16"/>
                <w:szCs w:val="16"/>
              </w:rPr>
              <w:t xml:space="preserve"> 2019 года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B262EA" w:rsidRPr="000237B1" w:rsidRDefault="00B262EA" w:rsidP="00C01D87">
            <w:pPr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0237B1">
              <w:rPr>
                <w:rFonts w:eastAsia="Times New Roman"/>
                <w:b/>
                <w:color w:val="000000"/>
                <w:sz w:val="16"/>
                <w:szCs w:val="16"/>
              </w:rPr>
              <w:t>сумма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EAF1DD"/>
            <w:vAlign w:val="center"/>
            <w:hideMark/>
          </w:tcPr>
          <w:p w:rsidR="00B262EA" w:rsidRPr="000237B1" w:rsidRDefault="00B262EA" w:rsidP="00C01D87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0237B1">
              <w:rPr>
                <w:rFonts w:eastAsia="Times New Roman"/>
                <w:b/>
                <w:sz w:val="16"/>
                <w:szCs w:val="16"/>
              </w:rPr>
              <w:t>%</w:t>
            </w:r>
          </w:p>
        </w:tc>
      </w:tr>
      <w:tr w:rsidR="00B262EA" w:rsidRPr="00F930A5" w:rsidTr="00C01D87">
        <w:trPr>
          <w:trHeight w:val="250"/>
        </w:trPr>
        <w:tc>
          <w:tcPr>
            <w:tcW w:w="3085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2EA" w:rsidRPr="00AA3F59" w:rsidRDefault="00B262EA" w:rsidP="00C01D87">
            <w:pPr>
              <w:rPr>
                <w:rFonts w:eastAsia="Times New Roman"/>
                <w:b/>
                <w:sz w:val="18"/>
                <w:szCs w:val="18"/>
              </w:rPr>
            </w:pPr>
            <w:r w:rsidRPr="00AA3F59">
              <w:rPr>
                <w:rFonts w:eastAsia="Times New Roman"/>
                <w:b/>
                <w:sz w:val="18"/>
                <w:szCs w:val="18"/>
              </w:rPr>
              <w:t>Доходы бюджета - 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2EA" w:rsidRPr="00AA3F59" w:rsidRDefault="00B262EA" w:rsidP="00C01D87">
            <w:pPr>
              <w:jc w:val="right"/>
              <w:rPr>
                <w:rFonts w:eastAsia="Times New Roman"/>
                <w:b/>
                <w:sz w:val="18"/>
                <w:szCs w:val="18"/>
              </w:rPr>
            </w:pPr>
            <w:r w:rsidRPr="00AA3F59">
              <w:rPr>
                <w:rFonts w:eastAsia="Times New Roman"/>
                <w:b/>
                <w:sz w:val="18"/>
                <w:szCs w:val="18"/>
              </w:rPr>
              <w:t>6 078,9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2EA" w:rsidRPr="00AA3F59" w:rsidRDefault="00B262EA" w:rsidP="00C01D87">
            <w:pPr>
              <w:jc w:val="right"/>
              <w:rPr>
                <w:rFonts w:eastAsia="Times New Roman"/>
                <w:b/>
                <w:sz w:val="18"/>
                <w:szCs w:val="18"/>
              </w:rPr>
            </w:pPr>
            <w:r w:rsidRPr="00AA3F59">
              <w:rPr>
                <w:rFonts w:eastAsia="Times New Roman"/>
                <w:b/>
                <w:sz w:val="18"/>
                <w:szCs w:val="18"/>
              </w:rPr>
              <w:t>15 076,6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2EA" w:rsidRPr="00AA3F59" w:rsidRDefault="00B262EA" w:rsidP="00C01D87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AA3F59">
              <w:rPr>
                <w:rFonts w:eastAsia="Times New Roman"/>
                <w:b/>
                <w:sz w:val="18"/>
                <w:szCs w:val="18"/>
              </w:rPr>
              <w:t>8 997,7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2EA" w:rsidRPr="00AA3F59" w:rsidRDefault="00B262EA" w:rsidP="00C01D87">
            <w:pPr>
              <w:ind w:left="-109" w:right="-155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AA3F59">
              <w:rPr>
                <w:rFonts w:eastAsia="Times New Roman"/>
                <w:b/>
                <w:sz w:val="18"/>
                <w:szCs w:val="18"/>
              </w:rPr>
              <w:t>в 2,5 раза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2EA" w:rsidRPr="00AA3F59" w:rsidRDefault="00B262EA" w:rsidP="00C01D87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AA3F59">
              <w:rPr>
                <w:rFonts w:eastAsia="Times New Roman"/>
                <w:b/>
                <w:sz w:val="18"/>
                <w:szCs w:val="18"/>
              </w:rPr>
              <w:t>6 093,5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2EA" w:rsidRPr="00AA3F59" w:rsidRDefault="00B262EA" w:rsidP="00C01D87">
            <w:pPr>
              <w:jc w:val="right"/>
              <w:rPr>
                <w:rFonts w:eastAsia="Times New Roman"/>
                <w:b/>
                <w:sz w:val="18"/>
                <w:szCs w:val="18"/>
              </w:rPr>
            </w:pPr>
            <w:r w:rsidRPr="00AA3F59">
              <w:rPr>
                <w:rFonts w:eastAsia="Times New Roman"/>
                <w:b/>
                <w:sz w:val="18"/>
                <w:szCs w:val="18"/>
              </w:rPr>
              <w:t>13 177,2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2EA" w:rsidRPr="00AA3F59" w:rsidRDefault="00B262EA" w:rsidP="00C01D87">
            <w:pPr>
              <w:jc w:val="right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AA3F59">
              <w:rPr>
                <w:rFonts w:eastAsia="Times New Roman"/>
                <w:b/>
                <w:color w:val="000000"/>
                <w:sz w:val="18"/>
                <w:szCs w:val="18"/>
              </w:rPr>
              <w:t>7 083,7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B262EA" w:rsidRPr="00AA3F59" w:rsidRDefault="00B262EA" w:rsidP="00C01D87">
            <w:pPr>
              <w:ind w:left="-109" w:right="-132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AA3F59">
              <w:rPr>
                <w:rFonts w:eastAsia="Times New Roman"/>
                <w:b/>
                <w:sz w:val="18"/>
                <w:szCs w:val="18"/>
              </w:rPr>
              <w:t>в 2,2 раза</w:t>
            </w:r>
          </w:p>
        </w:tc>
      </w:tr>
      <w:tr w:rsidR="00B262EA" w:rsidRPr="0062407D" w:rsidTr="00C01D87">
        <w:trPr>
          <w:trHeight w:val="69"/>
        </w:trPr>
        <w:tc>
          <w:tcPr>
            <w:tcW w:w="3085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2EA" w:rsidRPr="00AA3F59" w:rsidRDefault="00B262EA" w:rsidP="00C01D87">
            <w:pPr>
              <w:rPr>
                <w:rFonts w:eastAsia="Times New Roman"/>
                <w:sz w:val="18"/>
                <w:szCs w:val="18"/>
              </w:rPr>
            </w:pPr>
            <w:r w:rsidRPr="00AA3F59">
              <w:rPr>
                <w:rFonts w:eastAsia="Times New Roman"/>
                <w:sz w:val="18"/>
                <w:szCs w:val="18"/>
              </w:rPr>
              <w:t xml:space="preserve">  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2EA" w:rsidRPr="00AA3F59" w:rsidRDefault="00B262EA" w:rsidP="00C01D87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AA3F59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2EA" w:rsidRPr="00AA3F59" w:rsidRDefault="00B262EA" w:rsidP="00C01D87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AA3F59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2EA" w:rsidRPr="00AA3F59" w:rsidRDefault="00B262EA" w:rsidP="00C01D87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A3F59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2EA" w:rsidRPr="00AA3F59" w:rsidRDefault="00B262EA" w:rsidP="00C01D87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AA3F59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2EA" w:rsidRPr="00AA3F59" w:rsidRDefault="00B262EA" w:rsidP="00C01D87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A3F59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2EA" w:rsidRPr="00AA3F59" w:rsidRDefault="00B262EA" w:rsidP="00C01D87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AA3F59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2EA" w:rsidRPr="00AA3F59" w:rsidRDefault="00B262EA" w:rsidP="00C01D87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AA3F59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B262EA" w:rsidRPr="00AA3F59" w:rsidRDefault="00B262EA" w:rsidP="00C01D87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AA3F59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B262EA" w:rsidRPr="00314FAA" w:rsidTr="00C01D87">
        <w:trPr>
          <w:trHeight w:val="385"/>
        </w:trPr>
        <w:tc>
          <w:tcPr>
            <w:tcW w:w="3085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2EA" w:rsidRPr="000237B1" w:rsidRDefault="00B262EA" w:rsidP="00C01D87">
            <w:pPr>
              <w:rPr>
                <w:rFonts w:eastAsia="Times New Roman"/>
                <w:b/>
                <w:sz w:val="16"/>
                <w:szCs w:val="16"/>
              </w:rPr>
            </w:pPr>
            <w:r w:rsidRPr="000237B1">
              <w:rPr>
                <w:rFonts w:eastAsia="Times New Roman"/>
                <w:b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2EA" w:rsidRPr="000237B1" w:rsidRDefault="00B262EA" w:rsidP="00C01D87">
            <w:pPr>
              <w:jc w:val="right"/>
              <w:rPr>
                <w:rFonts w:eastAsia="Times New Roman"/>
                <w:b/>
                <w:sz w:val="16"/>
                <w:szCs w:val="16"/>
              </w:rPr>
            </w:pPr>
            <w:r w:rsidRPr="000237B1">
              <w:rPr>
                <w:rFonts w:eastAsia="Times New Roman"/>
                <w:b/>
                <w:sz w:val="16"/>
                <w:szCs w:val="16"/>
              </w:rPr>
              <w:t>389,2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2EA" w:rsidRPr="000237B1" w:rsidRDefault="00B262EA" w:rsidP="00C01D87">
            <w:pPr>
              <w:jc w:val="right"/>
              <w:rPr>
                <w:rFonts w:eastAsia="Times New Roman"/>
                <w:b/>
                <w:sz w:val="16"/>
                <w:szCs w:val="16"/>
              </w:rPr>
            </w:pPr>
            <w:r w:rsidRPr="000237B1">
              <w:rPr>
                <w:rFonts w:eastAsia="Times New Roman"/>
                <w:b/>
                <w:sz w:val="16"/>
                <w:szCs w:val="16"/>
              </w:rPr>
              <w:t>698,0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2EA" w:rsidRPr="000237B1" w:rsidRDefault="00B262EA" w:rsidP="00C01D87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0237B1">
              <w:rPr>
                <w:rFonts w:eastAsia="Times New Roman"/>
                <w:b/>
                <w:sz w:val="16"/>
                <w:szCs w:val="16"/>
              </w:rPr>
              <w:t>308,8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2EA" w:rsidRPr="000237B1" w:rsidRDefault="00B262EA" w:rsidP="00C01D87">
            <w:pPr>
              <w:jc w:val="right"/>
              <w:rPr>
                <w:rFonts w:eastAsia="Times New Roman"/>
                <w:b/>
                <w:sz w:val="16"/>
                <w:szCs w:val="16"/>
              </w:rPr>
            </w:pPr>
            <w:r w:rsidRPr="000237B1">
              <w:rPr>
                <w:rFonts w:eastAsia="Times New Roman"/>
                <w:b/>
                <w:sz w:val="16"/>
                <w:szCs w:val="16"/>
              </w:rPr>
              <w:t>79,3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2EA" w:rsidRPr="000237B1" w:rsidRDefault="00B262EA" w:rsidP="00C01D87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0237B1">
              <w:rPr>
                <w:rFonts w:eastAsia="Times New Roman"/>
                <w:b/>
                <w:sz w:val="16"/>
                <w:szCs w:val="16"/>
              </w:rPr>
              <w:t>314,7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2EA" w:rsidRPr="000237B1" w:rsidRDefault="00B262EA" w:rsidP="00C01D87">
            <w:pPr>
              <w:jc w:val="right"/>
              <w:rPr>
                <w:rFonts w:eastAsia="Times New Roman"/>
                <w:b/>
                <w:sz w:val="16"/>
                <w:szCs w:val="16"/>
              </w:rPr>
            </w:pPr>
            <w:r w:rsidRPr="000237B1">
              <w:rPr>
                <w:rFonts w:eastAsia="Times New Roman"/>
                <w:b/>
                <w:sz w:val="16"/>
                <w:szCs w:val="16"/>
              </w:rPr>
              <w:t>235,8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2EA" w:rsidRPr="000237B1" w:rsidRDefault="00B262EA" w:rsidP="00C01D87">
            <w:pPr>
              <w:jc w:val="right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0237B1">
              <w:rPr>
                <w:rFonts w:eastAsia="Times New Roman"/>
                <w:b/>
                <w:color w:val="000000"/>
                <w:sz w:val="16"/>
                <w:szCs w:val="16"/>
              </w:rPr>
              <w:t>-78,9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B262EA" w:rsidRPr="000237B1" w:rsidRDefault="00B262EA" w:rsidP="00C01D87">
            <w:pPr>
              <w:jc w:val="right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0237B1">
              <w:rPr>
                <w:rFonts w:eastAsia="Times New Roman"/>
                <w:b/>
                <w:color w:val="000000"/>
                <w:sz w:val="16"/>
                <w:szCs w:val="16"/>
              </w:rPr>
              <w:t>-25,1</w:t>
            </w:r>
          </w:p>
        </w:tc>
      </w:tr>
      <w:tr w:rsidR="00B262EA" w:rsidRPr="0062407D" w:rsidTr="00C01D87">
        <w:trPr>
          <w:trHeight w:val="491"/>
        </w:trPr>
        <w:tc>
          <w:tcPr>
            <w:tcW w:w="3085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2EA" w:rsidRPr="000237B1" w:rsidRDefault="00B262EA" w:rsidP="00C01D87">
            <w:pPr>
              <w:rPr>
                <w:rFonts w:eastAsia="Times New Roman"/>
                <w:sz w:val="16"/>
                <w:szCs w:val="16"/>
              </w:rPr>
            </w:pPr>
            <w:r w:rsidRPr="000237B1">
              <w:rPr>
                <w:rFonts w:eastAsia="Times New Roman"/>
                <w:sz w:val="16"/>
                <w:szCs w:val="16"/>
              </w:rPr>
              <w:t>Доходы от сдачи в аренду имущества, находящегося в оперативном управлении органов государственной власти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2EA" w:rsidRPr="000237B1" w:rsidRDefault="00B262EA" w:rsidP="00C01D87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0237B1">
              <w:rPr>
                <w:rFonts w:eastAsia="Times New Roman"/>
                <w:sz w:val="16"/>
                <w:szCs w:val="16"/>
              </w:rPr>
              <w:t>389,2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2EA" w:rsidRPr="000237B1" w:rsidRDefault="00B262EA" w:rsidP="00C01D87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0237B1">
              <w:rPr>
                <w:rFonts w:eastAsia="Times New Roman"/>
                <w:sz w:val="16"/>
                <w:szCs w:val="16"/>
              </w:rPr>
              <w:t>698,0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2EA" w:rsidRPr="000237B1" w:rsidRDefault="00B262EA" w:rsidP="00C01D87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0237B1">
              <w:rPr>
                <w:rFonts w:eastAsia="Times New Roman"/>
                <w:sz w:val="16"/>
                <w:szCs w:val="16"/>
              </w:rPr>
              <w:t>308,8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2EA" w:rsidRPr="000237B1" w:rsidRDefault="00B262EA" w:rsidP="00C01D87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0237B1">
              <w:rPr>
                <w:rFonts w:eastAsia="Times New Roman"/>
                <w:sz w:val="16"/>
                <w:szCs w:val="16"/>
              </w:rPr>
              <w:t>79,3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2EA" w:rsidRPr="000237B1" w:rsidRDefault="00B262EA" w:rsidP="00C01D87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0237B1">
              <w:rPr>
                <w:rFonts w:eastAsia="Times New Roman"/>
                <w:sz w:val="16"/>
                <w:szCs w:val="16"/>
              </w:rPr>
              <w:t>314,7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2EA" w:rsidRPr="000237B1" w:rsidRDefault="00B262EA" w:rsidP="00C01D87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0237B1">
              <w:rPr>
                <w:rFonts w:eastAsia="Times New Roman"/>
                <w:sz w:val="16"/>
                <w:szCs w:val="16"/>
              </w:rPr>
              <w:t>235,8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2EA" w:rsidRPr="000237B1" w:rsidRDefault="00B262EA" w:rsidP="00C01D87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0237B1">
              <w:rPr>
                <w:rFonts w:eastAsia="Times New Roman"/>
                <w:color w:val="000000"/>
                <w:sz w:val="16"/>
                <w:szCs w:val="16"/>
              </w:rPr>
              <w:t>-78,9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B262EA" w:rsidRPr="000237B1" w:rsidRDefault="00B262EA" w:rsidP="00C01D87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0237B1">
              <w:rPr>
                <w:rFonts w:eastAsia="Times New Roman"/>
                <w:color w:val="000000"/>
                <w:sz w:val="16"/>
                <w:szCs w:val="16"/>
              </w:rPr>
              <w:t>-25,1</w:t>
            </w:r>
          </w:p>
        </w:tc>
      </w:tr>
      <w:tr w:rsidR="00B262EA" w:rsidRPr="0062407D" w:rsidTr="00C01D87">
        <w:trPr>
          <w:trHeight w:val="357"/>
        </w:trPr>
        <w:tc>
          <w:tcPr>
            <w:tcW w:w="3085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2EA" w:rsidRPr="000237B1" w:rsidRDefault="00B262EA" w:rsidP="00C01D87">
            <w:pPr>
              <w:rPr>
                <w:rFonts w:eastAsia="Times New Roman"/>
                <w:b/>
                <w:sz w:val="16"/>
                <w:szCs w:val="16"/>
              </w:rPr>
            </w:pPr>
            <w:r w:rsidRPr="000237B1">
              <w:rPr>
                <w:rFonts w:eastAsia="Times New Roman"/>
                <w:b/>
                <w:sz w:val="16"/>
                <w:szCs w:val="16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2EA" w:rsidRPr="000237B1" w:rsidRDefault="00B262EA" w:rsidP="00C01D87">
            <w:pPr>
              <w:jc w:val="right"/>
              <w:rPr>
                <w:rFonts w:eastAsia="Times New Roman"/>
                <w:b/>
                <w:sz w:val="16"/>
                <w:szCs w:val="16"/>
              </w:rPr>
            </w:pPr>
            <w:r w:rsidRPr="000237B1">
              <w:rPr>
                <w:rFonts w:eastAsia="Times New Roman"/>
                <w:b/>
                <w:sz w:val="16"/>
                <w:szCs w:val="16"/>
              </w:rPr>
              <w:t>5 679,3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2EA" w:rsidRPr="000237B1" w:rsidRDefault="00B262EA" w:rsidP="00C01D87">
            <w:pPr>
              <w:jc w:val="right"/>
              <w:rPr>
                <w:rFonts w:eastAsia="Times New Roman"/>
                <w:b/>
                <w:sz w:val="16"/>
                <w:szCs w:val="16"/>
              </w:rPr>
            </w:pPr>
            <w:r w:rsidRPr="000237B1">
              <w:rPr>
                <w:rFonts w:eastAsia="Times New Roman"/>
                <w:b/>
                <w:sz w:val="16"/>
                <w:szCs w:val="16"/>
              </w:rPr>
              <w:t>14 375,1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2EA" w:rsidRPr="000237B1" w:rsidRDefault="00B262EA" w:rsidP="00C01D87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0237B1">
              <w:rPr>
                <w:rFonts w:eastAsia="Times New Roman"/>
                <w:b/>
                <w:sz w:val="16"/>
                <w:szCs w:val="16"/>
              </w:rPr>
              <w:t>8 695,8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2EA" w:rsidRPr="000237B1" w:rsidRDefault="00B262EA" w:rsidP="00C01D87">
            <w:pPr>
              <w:ind w:left="-109" w:right="-79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0237B1">
              <w:rPr>
                <w:rFonts w:eastAsia="Times New Roman"/>
                <w:b/>
                <w:sz w:val="16"/>
                <w:szCs w:val="16"/>
              </w:rPr>
              <w:t>в 2,5 раза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2EA" w:rsidRPr="000237B1" w:rsidRDefault="00B262EA" w:rsidP="00C01D87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0237B1">
              <w:rPr>
                <w:rFonts w:eastAsia="Times New Roman"/>
                <w:b/>
                <w:sz w:val="16"/>
                <w:szCs w:val="16"/>
              </w:rPr>
              <w:t>5 778,0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2EA" w:rsidRPr="000237B1" w:rsidRDefault="00B262EA" w:rsidP="00C01D87">
            <w:pPr>
              <w:jc w:val="right"/>
              <w:rPr>
                <w:rFonts w:eastAsia="Times New Roman"/>
                <w:b/>
                <w:sz w:val="16"/>
                <w:szCs w:val="16"/>
              </w:rPr>
            </w:pPr>
            <w:r w:rsidRPr="000237B1">
              <w:rPr>
                <w:rFonts w:eastAsia="Times New Roman"/>
                <w:b/>
                <w:sz w:val="16"/>
                <w:szCs w:val="16"/>
              </w:rPr>
              <w:t>12 939,2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2EA" w:rsidRPr="000237B1" w:rsidRDefault="00B262EA" w:rsidP="00C01D87">
            <w:pPr>
              <w:jc w:val="right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0237B1">
              <w:rPr>
                <w:rFonts w:eastAsia="Times New Roman"/>
                <w:b/>
                <w:color w:val="000000"/>
                <w:sz w:val="16"/>
                <w:szCs w:val="16"/>
              </w:rPr>
              <w:t>7 161,2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B262EA" w:rsidRPr="000237B1" w:rsidRDefault="00B262EA" w:rsidP="00C01D87">
            <w:pPr>
              <w:ind w:left="-109" w:right="-132"/>
              <w:rPr>
                <w:rFonts w:eastAsia="Times New Roman"/>
                <w:b/>
                <w:sz w:val="16"/>
                <w:szCs w:val="16"/>
              </w:rPr>
            </w:pPr>
            <w:r w:rsidRPr="000237B1">
              <w:rPr>
                <w:rFonts w:eastAsia="Times New Roman"/>
                <w:b/>
                <w:sz w:val="16"/>
                <w:szCs w:val="16"/>
              </w:rPr>
              <w:t>в 2,2 раза</w:t>
            </w:r>
          </w:p>
        </w:tc>
      </w:tr>
      <w:tr w:rsidR="00B262EA" w:rsidRPr="0062407D" w:rsidTr="00C01D87">
        <w:trPr>
          <w:trHeight w:val="164"/>
        </w:trPr>
        <w:tc>
          <w:tcPr>
            <w:tcW w:w="3085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2EA" w:rsidRPr="000237B1" w:rsidRDefault="00B262EA" w:rsidP="00C01D87">
            <w:pPr>
              <w:rPr>
                <w:rFonts w:eastAsia="Times New Roman"/>
                <w:sz w:val="16"/>
                <w:szCs w:val="16"/>
              </w:rPr>
            </w:pPr>
            <w:r w:rsidRPr="000237B1">
              <w:rPr>
                <w:rFonts w:eastAsia="Times New Roman"/>
                <w:sz w:val="16"/>
                <w:szCs w:val="16"/>
              </w:rPr>
              <w:t>Доходы от оказания платных услуг (работ)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2EA" w:rsidRPr="000237B1" w:rsidRDefault="00B262EA" w:rsidP="00C01D87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0237B1">
              <w:rPr>
                <w:rFonts w:eastAsia="Times New Roman"/>
                <w:sz w:val="16"/>
                <w:szCs w:val="16"/>
              </w:rPr>
              <w:t>5 532,4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2EA" w:rsidRPr="000237B1" w:rsidRDefault="00B262EA" w:rsidP="00C01D87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0237B1">
              <w:rPr>
                <w:rFonts w:eastAsia="Times New Roman"/>
                <w:sz w:val="16"/>
                <w:szCs w:val="16"/>
              </w:rPr>
              <w:t>13 957,5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2EA" w:rsidRPr="000237B1" w:rsidRDefault="00B262EA" w:rsidP="00C01D87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0237B1">
              <w:rPr>
                <w:rFonts w:eastAsia="Times New Roman"/>
                <w:sz w:val="16"/>
                <w:szCs w:val="16"/>
              </w:rPr>
              <w:t>8 425,1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2EA" w:rsidRPr="000237B1" w:rsidRDefault="00B262EA" w:rsidP="00C01D87">
            <w:pPr>
              <w:ind w:left="-109" w:right="-47"/>
              <w:jc w:val="center"/>
              <w:rPr>
                <w:rFonts w:eastAsia="Times New Roman"/>
                <w:sz w:val="16"/>
                <w:szCs w:val="16"/>
              </w:rPr>
            </w:pPr>
            <w:r w:rsidRPr="000237B1">
              <w:rPr>
                <w:rFonts w:eastAsia="Times New Roman"/>
                <w:sz w:val="16"/>
                <w:szCs w:val="16"/>
              </w:rPr>
              <w:t>в 2,5 раза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2EA" w:rsidRPr="000237B1" w:rsidRDefault="00B262EA" w:rsidP="00C01D87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0237B1">
              <w:rPr>
                <w:rFonts w:eastAsia="Times New Roman"/>
                <w:sz w:val="16"/>
                <w:szCs w:val="16"/>
              </w:rPr>
              <w:t>5 665,3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2EA" w:rsidRPr="000237B1" w:rsidRDefault="00B262EA" w:rsidP="00C01D87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0237B1">
              <w:rPr>
                <w:rFonts w:eastAsia="Times New Roman"/>
                <w:sz w:val="16"/>
                <w:szCs w:val="16"/>
              </w:rPr>
              <w:t>12 653,1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2EA" w:rsidRPr="000237B1" w:rsidRDefault="00B262EA" w:rsidP="00C01D87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0237B1">
              <w:rPr>
                <w:rFonts w:eastAsia="Times New Roman"/>
                <w:color w:val="000000"/>
                <w:sz w:val="16"/>
                <w:szCs w:val="16"/>
              </w:rPr>
              <w:t>6 987,8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B262EA" w:rsidRPr="000237B1" w:rsidRDefault="00B262EA" w:rsidP="00C01D87">
            <w:pPr>
              <w:ind w:left="-109" w:right="-29"/>
              <w:jc w:val="right"/>
              <w:rPr>
                <w:rFonts w:eastAsia="Times New Roman"/>
                <w:sz w:val="16"/>
                <w:szCs w:val="16"/>
              </w:rPr>
            </w:pPr>
            <w:r w:rsidRPr="000237B1">
              <w:rPr>
                <w:rFonts w:eastAsia="Times New Roman"/>
                <w:sz w:val="16"/>
                <w:szCs w:val="16"/>
              </w:rPr>
              <w:t>в 2,2 раза</w:t>
            </w:r>
          </w:p>
        </w:tc>
      </w:tr>
      <w:tr w:rsidR="00B262EA" w:rsidRPr="0062407D" w:rsidTr="00C01D87">
        <w:trPr>
          <w:trHeight w:val="56"/>
        </w:trPr>
        <w:tc>
          <w:tcPr>
            <w:tcW w:w="3085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2EA" w:rsidRPr="000237B1" w:rsidRDefault="00B262EA" w:rsidP="00C01D87">
            <w:pPr>
              <w:rPr>
                <w:rFonts w:eastAsia="Times New Roman"/>
                <w:sz w:val="16"/>
                <w:szCs w:val="16"/>
              </w:rPr>
            </w:pPr>
            <w:r w:rsidRPr="000237B1">
              <w:rPr>
                <w:rFonts w:eastAsia="Times New Roman"/>
                <w:sz w:val="16"/>
                <w:szCs w:val="16"/>
              </w:rPr>
              <w:t>Доходы от компенсации затрат государства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2EA" w:rsidRPr="000237B1" w:rsidRDefault="00B262EA" w:rsidP="00C01D87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0237B1">
              <w:rPr>
                <w:rFonts w:eastAsia="Times New Roman"/>
                <w:sz w:val="16"/>
                <w:szCs w:val="16"/>
              </w:rPr>
              <w:t>146,9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2EA" w:rsidRPr="000237B1" w:rsidRDefault="00B262EA" w:rsidP="00C01D87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0237B1">
              <w:rPr>
                <w:rFonts w:eastAsia="Times New Roman"/>
                <w:sz w:val="16"/>
                <w:szCs w:val="16"/>
              </w:rPr>
              <w:t>417,6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2EA" w:rsidRPr="000237B1" w:rsidRDefault="00B262EA" w:rsidP="00C01D87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0237B1">
              <w:rPr>
                <w:rFonts w:eastAsia="Times New Roman"/>
                <w:sz w:val="16"/>
                <w:szCs w:val="16"/>
              </w:rPr>
              <w:t>270,7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2EA" w:rsidRPr="000237B1" w:rsidRDefault="00B262EA" w:rsidP="00C01D87">
            <w:pPr>
              <w:ind w:left="-109" w:right="-47"/>
              <w:jc w:val="center"/>
              <w:rPr>
                <w:rFonts w:eastAsia="Times New Roman"/>
                <w:sz w:val="16"/>
                <w:szCs w:val="16"/>
              </w:rPr>
            </w:pPr>
            <w:r w:rsidRPr="000237B1">
              <w:rPr>
                <w:rFonts w:eastAsia="Times New Roman"/>
                <w:sz w:val="16"/>
                <w:szCs w:val="16"/>
              </w:rPr>
              <w:t>в 2,7 раза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2EA" w:rsidRPr="000237B1" w:rsidRDefault="00B262EA" w:rsidP="00C01D87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0237B1">
              <w:rPr>
                <w:rFonts w:eastAsia="Times New Roman"/>
                <w:sz w:val="16"/>
                <w:szCs w:val="16"/>
              </w:rPr>
              <w:t>112,7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2EA" w:rsidRPr="000237B1" w:rsidRDefault="00B262EA" w:rsidP="00C01D87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0237B1">
              <w:rPr>
                <w:rFonts w:eastAsia="Times New Roman"/>
                <w:sz w:val="16"/>
                <w:szCs w:val="16"/>
              </w:rPr>
              <w:t>286,1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2EA" w:rsidRPr="000237B1" w:rsidRDefault="00B262EA" w:rsidP="00C01D87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0237B1">
              <w:rPr>
                <w:rFonts w:eastAsia="Times New Roman"/>
                <w:color w:val="000000"/>
                <w:sz w:val="16"/>
                <w:szCs w:val="16"/>
              </w:rPr>
              <w:t>173,4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B262EA" w:rsidRPr="000237B1" w:rsidRDefault="00B262EA" w:rsidP="00C01D87">
            <w:pPr>
              <w:ind w:left="-109" w:right="-29"/>
              <w:jc w:val="right"/>
              <w:rPr>
                <w:rFonts w:eastAsia="Times New Roman"/>
                <w:sz w:val="16"/>
                <w:szCs w:val="16"/>
              </w:rPr>
            </w:pPr>
            <w:r w:rsidRPr="000237B1">
              <w:rPr>
                <w:rFonts w:eastAsia="Times New Roman"/>
                <w:sz w:val="16"/>
                <w:szCs w:val="16"/>
              </w:rPr>
              <w:t>в 2,5 раза</w:t>
            </w:r>
          </w:p>
        </w:tc>
      </w:tr>
      <w:tr w:rsidR="00B262EA" w:rsidRPr="0062407D" w:rsidTr="00C01D87">
        <w:trPr>
          <w:trHeight w:val="375"/>
        </w:trPr>
        <w:tc>
          <w:tcPr>
            <w:tcW w:w="3085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2EA" w:rsidRPr="000237B1" w:rsidRDefault="00B262EA" w:rsidP="00C01D87">
            <w:pPr>
              <w:rPr>
                <w:rFonts w:eastAsia="Times New Roman"/>
                <w:sz w:val="16"/>
                <w:szCs w:val="16"/>
              </w:rPr>
            </w:pPr>
            <w:r w:rsidRPr="000237B1">
              <w:rPr>
                <w:rFonts w:eastAsia="Times New Roman"/>
                <w:sz w:val="16"/>
                <w:szCs w:val="16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2EA" w:rsidRPr="000237B1" w:rsidRDefault="00B262EA" w:rsidP="00C01D87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0237B1">
              <w:rPr>
                <w:rFonts w:eastAsia="Times New Roman"/>
                <w:sz w:val="16"/>
                <w:szCs w:val="16"/>
              </w:rPr>
              <w:t>146,9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2EA" w:rsidRPr="000237B1" w:rsidRDefault="00B262EA" w:rsidP="00C01D87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0237B1">
              <w:rPr>
                <w:rFonts w:eastAsia="Times New Roman"/>
                <w:sz w:val="16"/>
                <w:szCs w:val="16"/>
              </w:rPr>
              <w:t>395,3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2EA" w:rsidRPr="000237B1" w:rsidRDefault="00B262EA" w:rsidP="00C01D87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0237B1">
              <w:rPr>
                <w:rFonts w:eastAsia="Times New Roman"/>
                <w:sz w:val="16"/>
                <w:szCs w:val="16"/>
              </w:rPr>
              <w:t>248,3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2EA" w:rsidRPr="000237B1" w:rsidRDefault="00B262EA" w:rsidP="00C01D87">
            <w:pPr>
              <w:ind w:left="-109" w:right="-47"/>
              <w:jc w:val="center"/>
              <w:rPr>
                <w:rFonts w:eastAsia="Times New Roman"/>
                <w:sz w:val="16"/>
                <w:szCs w:val="16"/>
              </w:rPr>
            </w:pPr>
            <w:r w:rsidRPr="000237B1">
              <w:rPr>
                <w:rFonts w:eastAsia="Times New Roman"/>
                <w:sz w:val="16"/>
                <w:szCs w:val="16"/>
              </w:rPr>
              <w:t>в 2,7 раза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2EA" w:rsidRPr="000237B1" w:rsidRDefault="00B262EA" w:rsidP="00C01D87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0237B1">
              <w:rPr>
                <w:rFonts w:eastAsia="Times New Roman"/>
                <w:sz w:val="16"/>
                <w:szCs w:val="16"/>
              </w:rPr>
              <w:t>90,4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2EA" w:rsidRPr="000237B1" w:rsidRDefault="00B262EA" w:rsidP="00C01D87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0237B1">
              <w:rPr>
                <w:rFonts w:eastAsia="Times New Roman"/>
                <w:sz w:val="16"/>
                <w:szCs w:val="16"/>
              </w:rPr>
              <w:t>228,6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2EA" w:rsidRPr="000237B1" w:rsidRDefault="00B262EA" w:rsidP="00C01D87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0237B1">
              <w:rPr>
                <w:rFonts w:eastAsia="Times New Roman"/>
                <w:color w:val="000000"/>
                <w:sz w:val="16"/>
                <w:szCs w:val="16"/>
              </w:rPr>
              <w:t>138,2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B262EA" w:rsidRPr="000237B1" w:rsidRDefault="00B262EA" w:rsidP="00C01D87">
            <w:pPr>
              <w:ind w:left="-109" w:right="-29"/>
              <w:jc w:val="right"/>
              <w:rPr>
                <w:rFonts w:eastAsia="Times New Roman"/>
                <w:sz w:val="16"/>
                <w:szCs w:val="16"/>
              </w:rPr>
            </w:pPr>
            <w:r w:rsidRPr="000237B1">
              <w:rPr>
                <w:rFonts w:eastAsia="Times New Roman"/>
                <w:sz w:val="16"/>
                <w:szCs w:val="16"/>
              </w:rPr>
              <w:t>в 2,5 раза</w:t>
            </w:r>
          </w:p>
        </w:tc>
      </w:tr>
      <w:tr w:rsidR="00B262EA" w:rsidRPr="0062407D" w:rsidTr="00C01D87">
        <w:trPr>
          <w:trHeight w:val="313"/>
        </w:trPr>
        <w:tc>
          <w:tcPr>
            <w:tcW w:w="3085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2EA" w:rsidRPr="000237B1" w:rsidRDefault="00B262EA" w:rsidP="00C01D87">
            <w:pPr>
              <w:rPr>
                <w:rFonts w:eastAsia="Times New Roman"/>
                <w:sz w:val="16"/>
                <w:szCs w:val="16"/>
              </w:rPr>
            </w:pPr>
            <w:r w:rsidRPr="000237B1">
              <w:rPr>
                <w:rFonts w:eastAsia="Times New Roman"/>
                <w:sz w:val="16"/>
                <w:szCs w:val="16"/>
              </w:rPr>
              <w:t>Прочие доходы от компенсации затрат государства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2EA" w:rsidRPr="000237B1" w:rsidRDefault="00B262EA" w:rsidP="00C01D87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0237B1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2EA" w:rsidRPr="000237B1" w:rsidRDefault="00B262EA" w:rsidP="00C01D87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0237B1">
              <w:rPr>
                <w:rFonts w:eastAsia="Times New Roman"/>
                <w:sz w:val="16"/>
                <w:szCs w:val="16"/>
              </w:rPr>
              <w:t>22,3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2EA" w:rsidRPr="000237B1" w:rsidRDefault="00B262EA" w:rsidP="00C01D87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0237B1">
              <w:rPr>
                <w:rFonts w:eastAsia="Times New Roman"/>
                <w:sz w:val="16"/>
                <w:szCs w:val="16"/>
              </w:rPr>
              <w:t>22,3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2EA" w:rsidRPr="000237B1" w:rsidRDefault="00B262EA" w:rsidP="00C01D87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0237B1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2EA" w:rsidRPr="000237B1" w:rsidRDefault="00B262EA" w:rsidP="00C01D87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0237B1">
              <w:rPr>
                <w:rFonts w:eastAsia="Times New Roman"/>
                <w:sz w:val="16"/>
                <w:szCs w:val="16"/>
              </w:rPr>
              <w:t>22,3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2EA" w:rsidRPr="000237B1" w:rsidRDefault="00B262EA" w:rsidP="00C01D87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0237B1">
              <w:rPr>
                <w:rFonts w:eastAsia="Times New Roman"/>
                <w:sz w:val="16"/>
                <w:szCs w:val="16"/>
              </w:rPr>
              <w:t>57,5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2EA" w:rsidRPr="000237B1" w:rsidRDefault="00B262EA" w:rsidP="00C01D87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0237B1">
              <w:rPr>
                <w:rFonts w:eastAsia="Times New Roman"/>
                <w:color w:val="000000"/>
                <w:sz w:val="16"/>
                <w:szCs w:val="16"/>
              </w:rPr>
              <w:t>35,2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B262EA" w:rsidRPr="000237B1" w:rsidRDefault="00B262EA" w:rsidP="00C01D87">
            <w:pPr>
              <w:ind w:left="-109" w:right="-29"/>
              <w:jc w:val="right"/>
              <w:rPr>
                <w:rFonts w:eastAsia="Times New Roman"/>
                <w:sz w:val="16"/>
                <w:szCs w:val="16"/>
              </w:rPr>
            </w:pPr>
            <w:r w:rsidRPr="000237B1">
              <w:rPr>
                <w:rFonts w:eastAsia="Times New Roman"/>
                <w:sz w:val="16"/>
                <w:szCs w:val="16"/>
              </w:rPr>
              <w:t>в 2,6 раза</w:t>
            </w:r>
          </w:p>
        </w:tc>
      </w:tr>
      <w:tr w:rsidR="00B262EA" w:rsidRPr="00314FAA" w:rsidTr="00C01D87">
        <w:trPr>
          <w:trHeight w:val="126"/>
        </w:trPr>
        <w:tc>
          <w:tcPr>
            <w:tcW w:w="3085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2EA" w:rsidRPr="000237B1" w:rsidRDefault="00B262EA" w:rsidP="00C01D87">
            <w:pPr>
              <w:rPr>
                <w:rFonts w:eastAsia="Times New Roman"/>
                <w:b/>
                <w:sz w:val="16"/>
                <w:szCs w:val="16"/>
              </w:rPr>
            </w:pPr>
            <w:r w:rsidRPr="000237B1">
              <w:rPr>
                <w:rFonts w:eastAsia="Times New Roman"/>
                <w:b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2EA" w:rsidRPr="000237B1" w:rsidRDefault="00B262EA" w:rsidP="00C01D87">
            <w:pPr>
              <w:jc w:val="right"/>
              <w:rPr>
                <w:rFonts w:eastAsia="Times New Roman"/>
                <w:b/>
                <w:sz w:val="16"/>
                <w:szCs w:val="16"/>
              </w:rPr>
            </w:pPr>
            <w:r w:rsidRPr="000237B1">
              <w:rPr>
                <w:rFonts w:eastAsia="Times New Roman"/>
                <w:b/>
                <w:sz w:val="16"/>
                <w:szCs w:val="16"/>
              </w:rPr>
              <w:t>10,4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2EA" w:rsidRPr="000237B1" w:rsidRDefault="00B262EA" w:rsidP="00C01D87">
            <w:pPr>
              <w:jc w:val="right"/>
              <w:rPr>
                <w:rFonts w:eastAsia="Times New Roman"/>
                <w:b/>
                <w:sz w:val="16"/>
                <w:szCs w:val="16"/>
              </w:rPr>
            </w:pPr>
            <w:r w:rsidRPr="000237B1">
              <w:rPr>
                <w:rFonts w:eastAsia="Times New Roman"/>
                <w:b/>
                <w:sz w:val="16"/>
                <w:szCs w:val="16"/>
              </w:rPr>
              <w:t>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2EA" w:rsidRPr="000237B1" w:rsidRDefault="00B262EA" w:rsidP="00C01D87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0237B1">
              <w:rPr>
                <w:rFonts w:eastAsia="Times New Roman"/>
                <w:b/>
                <w:sz w:val="16"/>
                <w:szCs w:val="16"/>
              </w:rPr>
              <w:t>-7,7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2EA" w:rsidRPr="000237B1" w:rsidRDefault="00B262EA" w:rsidP="00C01D87">
            <w:pPr>
              <w:jc w:val="right"/>
              <w:rPr>
                <w:rFonts w:eastAsia="Times New Roman"/>
                <w:b/>
                <w:sz w:val="16"/>
                <w:szCs w:val="16"/>
              </w:rPr>
            </w:pPr>
            <w:r w:rsidRPr="000237B1">
              <w:rPr>
                <w:rFonts w:eastAsia="Times New Roman"/>
                <w:b/>
                <w:sz w:val="16"/>
                <w:szCs w:val="16"/>
              </w:rPr>
              <w:t>-74,3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2EA" w:rsidRPr="000237B1" w:rsidRDefault="00B262EA" w:rsidP="00C01D87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0237B1">
              <w:rPr>
                <w:rFonts w:eastAsia="Times New Roman"/>
                <w:b/>
                <w:sz w:val="16"/>
                <w:szCs w:val="16"/>
              </w:rPr>
              <w:t>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2EA" w:rsidRPr="000237B1" w:rsidRDefault="00B262EA" w:rsidP="00C01D87">
            <w:pPr>
              <w:jc w:val="right"/>
              <w:rPr>
                <w:rFonts w:eastAsia="Times New Roman"/>
                <w:b/>
                <w:sz w:val="16"/>
                <w:szCs w:val="16"/>
              </w:rPr>
            </w:pPr>
            <w:r w:rsidRPr="000237B1">
              <w:rPr>
                <w:rFonts w:eastAsia="Times New Roman"/>
                <w:b/>
                <w:sz w:val="16"/>
                <w:szCs w:val="16"/>
              </w:rPr>
              <w:t>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2EA" w:rsidRPr="000237B1" w:rsidRDefault="00B262EA" w:rsidP="00C01D87">
            <w:pPr>
              <w:jc w:val="right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0237B1">
              <w:rPr>
                <w:rFonts w:eastAsia="Times New Roman"/>
                <w:b/>
                <w:color w:val="000000"/>
                <w:sz w:val="16"/>
                <w:szCs w:val="16"/>
              </w:rPr>
              <w:t>1,6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B262EA" w:rsidRPr="000237B1" w:rsidRDefault="00B262EA" w:rsidP="00C01D87">
            <w:pPr>
              <w:ind w:left="-109" w:right="-29"/>
              <w:jc w:val="right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0237B1">
              <w:rPr>
                <w:rFonts w:eastAsia="Times New Roman"/>
                <w:b/>
                <w:color w:val="000000"/>
                <w:sz w:val="16"/>
                <w:szCs w:val="16"/>
              </w:rPr>
              <w:t>в 9 раз</w:t>
            </w:r>
          </w:p>
        </w:tc>
      </w:tr>
      <w:tr w:rsidR="00B262EA" w:rsidRPr="00314FAA" w:rsidTr="00C01D87">
        <w:trPr>
          <w:trHeight w:val="170"/>
        </w:trPr>
        <w:tc>
          <w:tcPr>
            <w:tcW w:w="3085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2EA" w:rsidRPr="000237B1" w:rsidRDefault="00B262EA" w:rsidP="00C01D87">
            <w:pPr>
              <w:rPr>
                <w:rFonts w:eastAsia="Times New Roman"/>
                <w:b/>
                <w:sz w:val="16"/>
                <w:szCs w:val="16"/>
              </w:rPr>
            </w:pPr>
            <w:r w:rsidRPr="000237B1">
              <w:rPr>
                <w:rFonts w:eastAsia="Times New Roman"/>
                <w:b/>
                <w:sz w:val="16"/>
                <w:szCs w:val="16"/>
              </w:rPr>
              <w:t>Прочие неналоговые доходы (невыясненные поступления)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2EA" w:rsidRPr="000237B1" w:rsidRDefault="00B262EA" w:rsidP="00C01D87">
            <w:pPr>
              <w:jc w:val="right"/>
              <w:rPr>
                <w:rFonts w:eastAsia="Times New Roman"/>
                <w:b/>
                <w:sz w:val="16"/>
                <w:szCs w:val="16"/>
              </w:rPr>
            </w:pPr>
            <w:r w:rsidRPr="000237B1">
              <w:rPr>
                <w:rFonts w:eastAsia="Times New Roman"/>
                <w:b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2EA" w:rsidRPr="000237B1" w:rsidRDefault="00B262EA" w:rsidP="00C01D87">
            <w:pPr>
              <w:jc w:val="right"/>
              <w:rPr>
                <w:rFonts w:eastAsia="Times New Roman"/>
                <w:b/>
                <w:sz w:val="16"/>
                <w:szCs w:val="16"/>
              </w:rPr>
            </w:pPr>
            <w:r w:rsidRPr="000237B1">
              <w:rPr>
                <w:rFonts w:eastAsia="Times New Roman"/>
                <w:b/>
                <w:sz w:val="16"/>
                <w:szCs w:val="16"/>
              </w:rPr>
              <w:t>0,8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2EA" w:rsidRPr="000237B1" w:rsidRDefault="00B262EA" w:rsidP="00C01D87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0237B1">
              <w:rPr>
                <w:rFonts w:eastAsia="Times New Roman"/>
                <w:b/>
                <w:sz w:val="16"/>
                <w:szCs w:val="16"/>
              </w:rPr>
              <w:t>0,8</w:t>
            </w:r>
          </w:p>
        </w:tc>
        <w:tc>
          <w:tcPr>
            <w:tcW w:w="85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2EA" w:rsidRPr="000237B1" w:rsidRDefault="00B262EA" w:rsidP="00C01D87">
            <w:pPr>
              <w:jc w:val="right"/>
              <w:rPr>
                <w:rFonts w:eastAsia="Times New Roman"/>
                <w:b/>
                <w:sz w:val="16"/>
                <w:szCs w:val="16"/>
              </w:rPr>
            </w:pPr>
            <w:r w:rsidRPr="000237B1">
              <w:rPr>
                <w:rFonts w:eastAsia="Times New Roman"/>
                <w:b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2EA" w:rsidRPr="000237B1" w:rsidRDefault="00B262EA" w:rsidP="00C01D87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0237B1">
              <w:rPr>
                <w:rFonts w:eastAsia="Times New Roman"/>
                <w:b/>
                <w:sz w:val="16"/>
                <w:szCs w:val="16"/>
              </w:rPr>
              <w:t>0,6</w:t>
            </w:r>
          </w:p>
        </w:tc>
        <w:tc>
          <w:tcPr>
            <w:tcW w:w="85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2EA" w:rsidRPr="000237B1" w:rsidRDefault="00B262EA" w:rsidP="00C01D87">
            <w:pPr>
              <w:jc w:val="right"/>
              <w:rPr>
                <w:rFonts w:eastAsia="Times New Roman"/>
                <w:b/>
                <w:sz w:val="16"/>
                <w:szCs w:val="16"/>
              </w:rPr>
            </w:pPr>
            <w:r w:rsidRPr="000237B1">
              <w:rPr>
                <w:rFonts w:eastAsia="Times New Roman"/>
                <w:b/>
                <w:sz w:val="16"/>
                <w:szCs w:val="16"/>
              </w:rPr>
              <w:t>0,4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2EA" w:rsidRPr="000237B1" w:rsidRDefault="00B262EA" w:rsidP="00C01D87">
            <w:pPr>
              <w:jc w:val="right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0237B1">
              <w:rPr>
                <w:rFonts w:eastAsia="Times New Roman"/>
                <w:b/>
                <w:color w:val="000000"/>
                <w:sz w:val="16"/>
                <w:szCs w:val="16"/>
              </w:rPr>
              <w:t>-0,2</w:t>
            </w:r>
          </w:p>
        </w:tc>
        <w:tc>
          <w:tcPr>
            <w:tcW w:w="85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B262EA" w:rsidRPr="000237B1" w:rsidRDefault="00B262EA" w:rsidP="00C01D87">
            <w:pPr>
              <w:jc w:val="right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0237B1">
              <w:rPr>
                <w:rFonts w:eastAsia="Times New Roman"/>
                <w:b/>
                <w:color w:val="000000"/>
                <w:sz w:val="16"/>
                <w:szCs w:val="16"/>
              </w:rPr>
              <w:t>-33,3</w:t>
            </w:r>
          </w:p>
        </w:tc>
      </w:tr>
    </w:tbl>
    <w:p w:rsidR="00B262EA" w:rsidRDefault="00B262EA" w:rsidP="00B262EA">
      <w:pPr>
        <w:autoSpaceDE w:val="0"/>
        <w:autoSpaceDN w:val="0"/>
        <w:adjustRightInd w:val="0"/>
        <w:jc w:val="both"/>
      </w:pPr>
    </w:p>
    <w:p w:rsidR="00B262EA" w:rsidRDefault="007F1D58" w:rsidP="00B262EA">
      <w:pPr>
        <w:autoSpaceDE w:val="0"/>
        <w:autoSpaceDN w:val="0"/>
        <w:adjustRightInd w:val="0"/>
        <w:ind w:firstLine="680"/>
        <w:jc w:val="both"/>
      </w:pPr>
      <w:r>
        <w:t>В</w:t>
      </w:r>
      <w:r w:rsidR="00B262EA" w:rsidRPr="00F930A5">
        <w:t xml:space="preserve"> 2018</w:t>
      </w:r>
      <w:r w:rsidR="00B262EA">
        <w:t xml:space="preserve"> году доходы выросли в 2,5 раза относительно 2017 года, что в основном связано с реорганизацией ГКУ </w:t>
      </w:r>
      <w:r w:rsidR="00B262EA" w:rsidRPr="00F07CB4">
        <w:t>«МФЦ»</w:t>
      </w:r>
      <w:r w:rsidR="00B262EA" w:rsidRPr="00F07CB4">
        <w:rPr>
          <w:b/>
        </w:rPr>
        <w:t xml:space="preserve"> </w:t>
      </w:r>
      <w:r w:rsidR="00B262EA">
        <w:t>путем присоединения к нему ГБУ Волгоградской области «МФЦ».</w:t>
      </w:r>
    </w:p>
    <w:p w:rsidR="00B262EA" w:rsidRDefault="00B262EA" w:rsidP="00B262EA">
      <w:pPr>
        <w:autoSpaceDE w:val="0"/>
        <w:autoSpaceDN w:val="0"/>
        <w:adjustRightInd w:val="0"/>
        <w:ind w:firstLine="680"/>
        <w:jc w:val="both"/>
        <w:rPr>
          <w:rFonts w:eastAsia="Times New Roman"/>
        </w:rPr>
      </w:pPr>
      <w:r>
        <w:t>За 1 полугодие 2019 года относительно аналогичного периода прошлого года также наблюдается</w:t>
      </w:r>
      <w:r w:rsidRPr="00D339F9">
        <w:t xml:space="preserve"> </w:t>
      </w:r>
      <w:r>
        <w:t xml:space="preserve">рост </w:t>
      </w:r>
      <w:proofErr w:type="spellStart"/>
      <w:r>
        <w:t>администрируемых</w:t>
      </w:r>
      <w:proofErr w:type="spellEnd"/>
      <w:r>
        <w:t xml:space="preserve"> </w:t>
      </w:r>
      <w:r w:rsidRPr="00F07CB4">
        <w:rPr>
          <w:rFonts w:eastAsia="Times New Roman"/>
        </w:rPr>
        <w:t xml:space="preserve">ГКУ </w:t>
      </w:r>
      <w:r w:rsidRPr="00F07CB4">
        <w:t>«МФЦ»</w:t>
      </w:r>
      <w:r w:rsidRPr="00F07CB4">
        <w:rPr>
          <w:b/>
        </w:rPr>
        <w:t xml:space="preserve"> </w:t>
      </w:r>
      <w:r>
        <w:t>доходов</w:t>
      </w:r>
      <w:r w:rsidRPr="00D339F9">
        <w:t xml:space="preserve"> </w:t>
      </w:r>
      <w:r>
        <w:t xml:space="preserve">(в 2,2 раза), в основном за счет </w:t>
      </w:r>
      <w:r>
        <w:rPr>
          <w:rFonts w:eastAsia="Times New Roman"/>
        </w:rPr>
        <w:t>увеличения количества заявителей на оказание платных услуг, связанных с составлением договоров купли-продажи, дарения недвижимости, заполнением деклараций по форме 3-НДФЛ, выездами к заявителю, что свидетельствует о</w:t>
      </w:r>
      <w:r w:rsidR="007F1D58">
        <w:rPr>
          <w:rFonts w:eastAsia="Times New Roman"/>
        </w:rPr>
        <w:t>б</w:t>
      </w:r>
      <w:r>
        <w:rPr>
          <w:rFonts w:eastAsia="Times New Roman"/>
        </w:rPr>
        <w:t xml:space="preserve"> их </w:t>
      </w:r>
      <w:proofErr w:type="spellStart"/>
      <w:r>
        <w:rPr>
          <w:rFonts w:eastAsia="Times New Roman"/>
        </w:rPr>
        <w:t>востребованности</w:t>
      </w:r>
      <w:proofErr w:type="spellEnd"/>
      <w:r>
        <w:rPr>
          <w:rFonts w:eastAsia="Times New Roman"/>
        </w:rPr>
        <w:t>.</w:t>
      </w:r>
    </w:p>
    <w:p w:rsidR="00B262EA" w:rsidRDefault="007F1D58" w:rsidP="00B262EA">
      <w:pPr>
        <w:autoSpaceDE w:val="0"/>
        <w:autoSpaceDN w:val="0"/>
        <w:adjustRightInd w:val="0"/>
        <w:ind w:firstLine="680"/>
        <w:jc w:val="both"/>
        <w:rPr>
          <w:rFonts w:eastAsia="Times New Roman"/>
        </w:rPr>
      </w:pPr>
      <w:r>
        <w:rPr>
          <w:rFonts w:eastAsia="Times New Roman"/>
        </w:rPr>
        <w:t>П</w:t>
      </w:r>
      <w:r w:rsidR="00B262EA">
        <w:rPr>
          <w:rFonts w:eastAsia="Times New Roman"/>
        </w:rPr>
        <w:t xml:space="preserve">о данным бухгалтерского учета имелась дебиторская задолженность по </w:t>
      </w:r>
      <w:proofErr w:type="spellStart"/>
      <w:r w:rsidR="00B262EA">
        <w:rPr>
          <w:rFonts w:eastAsia="Times New Roman"/>
        </w:rPr>
        <w:t>администрируемым</w:t>
      </w:r>
      <w:proofErr w:type="spellEnd"/>
      <w:r w:rsidR="00B262EA">
        <w:rPr>
          <w:rFonts w:eastAsia="Times New Roman"/>
        </w:rPr>
        <w:t xml:space="preserve"> доходам</w:t>
      </w:r>
      <w:r w:rsidR="00B262EA" w:rsidRPr="00371FF5">
        <w:rPr>
          <w:rFonts w:eastAsia="Times New Roman"/>
        </w:rPr>
        <w:t>, информация о которой</w:t>
      </w:r>
      <w:r w:rsidR="00B262EA">
        <w:rPr>
          <w:rFonts w:eastAsia="Times New Roman"/>
        </w:rPr>
        <w:t xml:space="preserve"> приведена  в таблице.</w:t>
      </w:r>
    </w:p>
    <w:p w:rsidR="00B3753E" w:rsidRDefault="00B3753E" w:rsidP="00B262EA">
      <w:pPr>
        <w:autoSpaceDE w:val="0"/>
        <w:autoSpaceDN w:val="0"/>
        <w:adjustRightInd w:val="0"/>
        <w:ind w:firstLine="680"/>
        <w:jc w:val="both"/>
        <w:rPr>
          <w:rFonts w:eastAsia="Times New Roman"/>
        </w:rPr>
      </w:pPr>
    </w:p>
    <w:p w:rsidR="00F23EEB" w:rsidRDefault="00F23EEB" w:rsidP="00B262EA">
      <w:pPr>
        <w:autoSpaceDE w:val="0"/>
        <w:autoSpaceDN w:val="0"/>
        <w:adjustRightInd w:val="0"/>
        <w:ind w:firstLine="680"/>
        <w:jc w:val="both"/>
        <w:rPr>
          <w:rFonts w:eastAsia="Times New Roman"/>
        </w:rPr>
      </w:pPr>
    </w:p>
    <w:p w:rsidR="00B262EA" w:rsidRPr="00A442CD" w:rsidRDefault="00B262EA" w:rsidP="00B262EA">
      <w:pPr>
        <w:autoSpaceDE w:val="0"/>
        <w:autoSpaceDN w:val="0"/>
        <w:adjustRightInd w:val="0"/>
        <w:ind w:firstLine="680"/>
        <w:jc w:val="right"/>
        <w:rPr>
          <w:rFonts w:eastAsia="Times New Roman"/>
          <w:sz w:val="22"/>
          <w:szCs w:val="22"/>
        </w:rPr>
      </w:pPr>
      <w:r w:rsidRPr="00A442CD">
        <w:rPr>
          <w:rFonts w:eastAsia="Times New Roman"/>
          <w:sz w:val="22"/>
          <w:szCs w:val="22"/>
        </w:rPr>
        <w:lastRenderedPageBreak/>
        <w:t>тыс. руб.</w:t>
      </w:r>
    </w:p>
    <w:tbl>
      <w:tblPr>
        <w:tblW w:w="9647" w:type="dxa"/>
        <w:tblInd w:w="101" w:type="dxa"/>
        <w:tblLook w:val="04A0"/>
      </w:tblPr>
      <w:tblGrid>
        <w:gridCol w:w="3693"/>
        <w:gridCol w:w="850"/>
        <w:gridCol w:w="851"/>
        <w:gridCol w:w="850"/>
        <w:gridCol w:w="851"/>
        <w:gridCol w:w="850"/>
        <w:gridCol w:w="806"/>
        <w:gridCol w:w="896"/>
      </w:tblGrid>
      <w:tr w:rsidR="00B262EA" w:rsidRPr="00993B5B" w:rsidTr="00C01D87">
        <w:trPr>
          <w:trHeight w:val="103"/>
        </w:trPr>
        <w:tc>
          <w:tcPr>
            <w:tcW w:w="3693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  <w:hideMark/>
          </w:tcPr>
          <w:p w:rsidR="00B262EA" w:rsidRPr="00993B5B" w:rsidRDefault="00B262EA" w:rsidP="00C01D87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993B5B">
              <w:rPr>
                <w:rFonts w:eastAsia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5954" w:type="dxa"/>
            <w:gridSpan w:val="7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EAF1DD"/>
            <w:noWrap/>
            <w:vAlign w:val="bottom"/>
            <w:hideMark/>
          </w:tcPr>
          <w:p w:rsidR="00B262EA" w:rsidRPr="00993B5B" w:rsidRDefault="00B262EA" w:rsidP="00C01D87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423FF9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Дебиторская задолженность</w:t>
            </w:r>
            <w:r w:rsidRPr="00993B5B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B262EA" w:rsidRPr="00993B5B" w:rsidTr="00C01D87">
        <w:trPr>
          <w:trHeight w:val="338"/>
        </w:trPr>
        <w:tc>
          <w:tcPr>
            <w:tcW w:w="3693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B262EA" w:rsidRPr="00993B5B" w:rsidRDefault="00B262EA" w:rsidP="00C01D8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  <w:hideMark/>
          </w:tcPr>
          <w:p w:rsidR="00B262EA" w:rsidRPr="00993B5B" w:rsidRDefault="00B262EA" w:rsidP="00C01D87">
            <w:pPr>
              <w:ind w:left="-74" w:right="-56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993B5B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01.01.201</w:t>
            </w:r>
            <w:r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  <w:hideMark/>
          </w:tcPr>
          <w:p w:rsidR="00B262EA" w:rsidRPr="00993B5B" w:rsidRDefault="00B262EA" w:rsidP="00C01D87">
            <w:pPr>
              <w:ind w:left="-30" w:right="-101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993B5B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01.01.2018</w:t>
            </w:r>
          </w:p>
        </w:tc>
        <w:tc>
          <w:tcPr>
            <w:tcW w:w="85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B262EA" w:rsidRPr="00993B5B" w:rsidRDefault="00B262EA" w:rsidP="00C01D87">
            <w:pPr>
              <w:ind w:right="-3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93B5B">
              <w:rPr>
                <w:rFonts w:eastAsia="Times New Roman"/>
                <w:color w:val="000000"/>
                <w:sz w:val="16"/>
                <w:szCs w:val="16"/>
              </w:rPr>
              <w:t>(+)рост, (-)</w:t>
            </w:r>
            <w:proofErr w:type="spellStart"/>
            <w:r w:rsidRPr="00993B5B">
              <w:rPr>
                <w:rFonts w:eastAsia="Times New Roman"/>
                <w:color w:val="000000"/>
                <w:sz w:val="16"/>
                <w:szCs w:val="16"/>
              </w:rPr>
              <w:t>сниж</w:t>
            </w:r>
            <w:proofErr w:type="spellEnd"/>
            <w:r w:rsidRPr="00993B5B">
              <w:rPr>
                <w:rFonts w:eastAsia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  <w:hideMark/>
          </w:tcPr>
          <w:p w:rsidR="00B262EA" w:rsidRPr="00993B5B" w:rsidRDefault="00B262EA" w:rsidP="00C01D87">
            <w:pPr>
              <w:ind w:left="-37" w:right="-94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993B5B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01.01.2019</w:t>
            </w:r>
          </w:p>
        </w:tc>
        <w:tc>
          <w:tcPr>
            <w:tcW w:w="85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B262EA" w:rsidRPr="00993B5B" w:rsidRDefault="00B262EA" w:rsidP="00C01D87">
            <w:pPr>
              <w:ind w:right="-31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93B5B">
              <w:rPr>
                <w:rFonts w:eastAsia="Times New Roman"/>
                <w:color w:val="000000"/>
                <w:sz w:val="16"/>
                <w:szCs w:val="16"/>
              </w:rPr>
              <w:t>(+)рост, (-)</w:t>
            </w:r>
            <w:proofErr w:type="spellStart"/>
            <w:r w:rsidRPr="00993B5B">
              <w:rPr>
                <w:rFonts w:eastAsia="Times New Roman"/>
                <w:color w:val="000000"/>
                <w:sz w:val="16"/>
                <w:szCs w:val="16"/>
              </w:rPr>
              <w:t>сниж</w:t>
            </w:r>
            <w:proofErr w:type="spellEnd"/>
            <w:r w:rsidRPr="00993B5B">
              <w:rPr>
                <w:rFonts w:eastAsia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806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  <w:hideMark/>
          </w:tcPr>
          <w:p w:rsidR="00B262EA" w:rsidRPr="00993B5B" w:rsidRDefault="00B262EA" w:rsidP="00C01D87">
            <w:pPr>
              <w:ind w:left="-43" w:right="-87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993B5B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01.07.2019</w:t>
            </w:r>
          </w:p>
        </w:tc>
        <w:tc>
          <w:tcPr>
            <w:tcW w:w="89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EAF1DD"/>
            <w:vAlign w:val="center"/>
            <w:hideMark/>
          </w:tcPr>
          <w:p w:rsidR="00B262EA" w:rsidRPr="00993B5B" w:rsidRDefault="00B262EA" w:rsidP="00C01D87">
            <w:pPr>
              <w:ind w:right="-2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93B5B">
              <w:rPr>
                <w:rFonts w:eastAsia="Times New Roman"/>
                <w:color w:val="000000"/>
                <w:sz w:val="16"/>
                <w:szCs w:val="16"/>
              </w:rPr>
              <w:t>(+)рост, (-)</w:t>
            </w:r>
            <w:proofErr w:type="spellStart"/>
            <w:r w:rsidRPr="00993B5B">
              <w:rPr>
                <w:rFonts w:eastAsia="Times New Roman"/>
                <w:color w:val="000000"/>
                <w:sz w:val="16"/>
                <w:szCs w:val="16"/>
              </w:rPr>
              <w:t>сниж</w:t>
            </w:r>
            <w:proofErr w:type="spellEnd"/>
            <w:r w:rsidRPr="00993B5B">
              <w:rPr>
                <w:rFonts w:eastAsia="Times New Roman"/>
                <w:color w:val="000000"/>
                <w:sz w:val="16"/>
                <w:szCs w:val="16"/>
              </w:rPr>
              <w:t>.</w:t>
            </w:r>
          </w:p>
        </w:tc>
      </w:tr>
      <w:tr w:rsidR="00B262EA" w:rsidRPr="00993B5B" w:rsidTr="00C01D87">
        <w:trPr>
          <w:trHeight w:val="68"/>
        </w:trPr>
        <w:tc>
          <w:tcPr>
            <w:tcW w:w="369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2EA" w:rsidRPr="00993B5B" w:rsidRDefault="00B262EA" w:rsidP="00C01D87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993B5B">
              <w:rPr>
                <w:rFonts w:eastAsia="Times New Roman"/>
                <w:b/>
                <w:bCs/>
                <w:sz w:val="16"/>
                <w:szCs w:val="16"/>
              </w:rPr>
              <w:t xml:space="preserve">Всего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2EA" w:rsidRPr="00A71302" w:rsidRDefault="00B262EA" w:rsidP="00C01D87">
            <w:pPr>
              <w:jc w:val="right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A71302">
              <w:rPr>
                <w:rFonts w:eastAsia="Times New Roman"/>
                <w:b/>
                <w:color w:val="000000"/>
                <w:sz w:val="16"/>
                <w:szCs w:val="16"/>
              </w:rPr>
              <w:t>544,6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2EA" w:rsidRPr="00A71302" w:rsidRDefault="00B262EA" w:rsidP="00C01D87">
            <w:pPr>
              <w:jc w:val="right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A71302">
              <w:rPr>
                <w:rFonts w:eastAsia="Times New Roman"/>
                <w:b/>
                <w:color w:val="000000"/>
                <w:sz w:val="16"/>
                <w:szCs w:val="16"/>
              </w:rPr>
              <w:t>1772,3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2EA" w:rsidRPr="00A71302" w:rsidRDefault="00B262EA" w:rsidP="00C01D87">
            <w:pPr>
              <w:jc w:val="right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A71302">
              <w:rPr>
                <w:rFonts w:eastAsia="Times New Roman"/>
                <w:b/>
                <w:color w:val="000000"/>
                <w:sz w:val="16"/>
                <w:szCs w:val="16"/>
              </w:rPr>
              <w:t>1227,7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2EA" w:rsidRPr="00A71302" w:rsidRDefault="00B262EA" w:rsidP="00C01D87">
            <w:pPr>
              <w:jc w:val="right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A71302">
              <w:rPr>
                <w:rFonts w:eastAsia="Times New Roman"/>
                <w:b/>
                <w:color w:val="000000"/>
                <w:sz w:val="16"/>
                <w:szCs w:val="16"/>
              </w:rPr>
              <w:t>1674,1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2EA" w:rsidRPr="00A71302" w:rsidRDefault="00420472" w:rsidP="00A71302">
            <w:pPr>
              <w:jc w:val="right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A71302">
              <w:rPr>
                <w:rFonts w:eastAsia="Times New Roman"/>
                <w:b/>
                <w:color w:val="000000"/>
                <w:sz w:val="16"/>
                <w:szCs w:val="16"/>
              </w:rPr>
              <w:t>-98,2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2EA" w:rsidRPr="00A71302" w:rsidRDefault="00B262EA" w:rsidP="00C01D87">
            <w:pPr>
              <w:jc w:val="right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A71302">
              <w:rPr>
                <w:rFonts w:eastAsia="Times New Roman"/>
                <w:b/>
                <w:color w:val="000000"/>
                <w:sz w:val="16"/>
                <w:szCs w:val="16"/>
              </w:rPr>
              <w:t>3813,9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B262EA" w:rsidRPr="00A71302" w:rsidRDefault="00B262EA" w:rsidP="00C01D87">
            <w:pPr>
              <w:jc w:val="right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A71302">
              <w:rPr>
                <w:rFonts w:eastAsia="Times New Roman"/>
                <w:b/>
                <w:color w:val="000000"/>
                <w:sz w:val="16"/>
                <w:szCs w:val="16"/>
              </w:rPr>
              <w:t>2139,8</w:t>
            </w:r>
          </w:p>
        </w:tc>
      </w:tr>
      <w:tr w:rsidR="00B262EA" w:rsidRPr="00993B5B" w:rsidTr="00C01D87">
        <w:trPr>
          <w:trHeight w:val="441"/>
        </w:trPr>
        <w:tc>
          <w:tcPr>
            <w:tcW w:w="369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2EA" w:rsidRPr="00AE5777" w:rsidRDefault="00B262EA" w:rsidP="00C01D87">
            <w:pPr>
              <w:rPr>
                <w:rFonts w:eastAsia="Times New Roman"/>
                <w:sz w:val="16"/>
                <w:szCs w:val="16"/>
              </w:rPr>
            </w:pPr>
            <w:r w:rsidRPr="00AE5777">
              <w:rPr>
                <w:rFonts w:eastAsia="Times New Roman"/>
                <w:sz w:val="16"/>
                <w:szCs w:val="16"/>
              </w:rPr>
              <w:t>Доходы от сдачи в аренду имущества, находящегося в оперативном управлении органов государственной власти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2EA" w:rsidRPr="00993B5B" w:rsidRDefault="00B262EA" w:rsidP="00C01D87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993B5B">
              <w:rPr>
                <w:rFonts w:eastAsia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2EA" w:rsidRPr="00993B5B" w:rsidRDefault="00B262EA" w:rsidP="00C01D87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993B5B">
              <w:rPr>
                <w:rFonts w:eastAsia="Times New Roman"/>
                <w:sz w:val="16"/>
                <w:szCs w:val="16"/>
              </w:rPr>
              <w:t>47,4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2EA" w:rsidRPr="00993B5B" w:rsidRDefault="00B262EA" w:rsidP="00C01D87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993B5B">
              <w:rPr>
                <w:rFonts w:eastAsia="Times New Roman"/>
                <w:color w:val="000000"/>
                <w:sz w:val="16"/>
                <w:szCs w:val="16"/>
              </w:rPr>
              <w:t>47,4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2EA" w:rsidRPr="00993B5B" w:rsidRDefault="00B262EA" w:rsidP="00C01D87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993B5B">
              <w:rPr>
                <w:rFonts w:eastAsia="Times New Roman"/>
                <w:sz w:val="16"/>
                <w:szCs w:val="16"/>
              </w:rPr>
              <w:t>14,8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2EA" w:rsidRPr="00993B5B" w:rsidRDefault="00B262EA" w:rsidP="00C01D87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993B5B">
              <w:rPr>
                <w:rFonts w:eastAsia="Times New Roman"/>
                <w:color w:val="000000"/>
                <w:sz w:val="16"/>
                <w:szCs w:val="16"/>
              </w:rPr>
              <w:t>-32,6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2EA" w:rsidRPr="00993B5B" w:rsidRDefault="00B262EA" w:rsidP="00C01D87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993B5B">
              <w:rPr>
                <w:rFonts w:eastAsia="Times New Roman"/>
                <w:sz w:val="16"/>
                <w:szCs w:val="16"/>
              </w:rPr>
              <w:t>48,9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B262EA" w:rsidRPr="00993B5B" w:rsidRDefault="00B262EA" w:rsidP="00C01D87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993B5B">
              <w:rPr>
                <w:rFonts w:eastAsia="Times New Roman"/>
                <w:color w:val="000000"/>
                <w:sz w:val="16"/>
                <w:szCs w:val="16"/>
              </w:rPr>
              <w:t>34,1</w:t>
            </w:r>
          </w:p>
        </w:tc>
      </w:tr>
      <w:tr w:rsidR="00B262EA" w:rsidRPr="00993B5B" w:rsidTr="00C01D87">
        <w:trPr>
          <w:trHeight w:val="385"/>
        </w:trPr>
        <w:tc>
          <w:tcPr>
            <w:tcW w:w="369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2EA" w:rsidRPr="00993B5B" w:rsidRDefault="00B262EA" w:rsidP="00C01D87">
            <w:pPr>
              <w:rPr>
                <w:rFonts w:eastAsia="Times New Roman"/>
                <w:sz w:val="16"/>
                <w:szCs w:val="16"/>
              </w:rPr>
            </w:pPr>
            <w:r w:rsidRPr="00993B5B">
              <w:rPr>
                <w:rFonts w:eastAsia="Times New Roman"/>
                <w:sz w:val="16"/>
                <w:szCs w:val="16"/>
              </w:rPr>
              <w:t xml:space="preserve">Прочие доходы от оказания платных услуг (работ) получателями средств бюджетов субъектов </w:t>
            </w:r>
            <w:r>
              <w:rPr>
                <w:rFonts w:eastAsia="Times New Roman"/>
                <w:sz w:val="16"/>
                <w:szCs w:val="16"/>
              </w:rPr>
              <w:t>РФ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2EA" w:rsidRPr="00993B5B" w:rsidRDefault="00B262EA" w:rsidP="00C01D87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993B5B">
              <w:rPr>
                <w:rFonts w:eastAsia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2EA" w:rsidRPr="00993B5B" w:rsidRDefault="00B262EA" w:rsidP="00C01D87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993B5B">
              <w:rPr>
                <w:rFonts w:eastAsia="Times New Roman"/>
                <w:sz w:val="16"/>
                <w:szCs w:val="16"/>
              </w:rPr>
              <w:t>882,4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2EA" w:rsidRPr="00993B5B" w:rsidRDefault="00B262EA" w:rsidP="00C01D87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993B5B">
              <w:rPr>
                <w:rFonts w:eastAsia="Times New Roman"/>
                <w:color w:val="000000"/>
                <w:sz w:val="16"/>
                <w:szCs w:val="16"/>
              </w:rPr>
              <w:t>882,4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2EA" w:rsidRPr="00993B5B" w:rsidRDefault="00B262EA" w:rsidP="00C01D87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993B5B">
              <w:rPr>
                <w:rFonts w:eastAsia="Times New Roman"/>
                <w:sz w:val="16"/>
                <w:szCs w:val="16"/>
              </w:rPr>
              <w:t>633,3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2EA" w:rsidRPr="00993B5B" w:rsidRDefault="00B262EA" w:rsidP="00C01D87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993B5B">
              <w:rPr>
                <w:rFonts w:eastAsia="Times New Roman"/>
                <w:color w:val="000000"/>
                <w:sz w:val="16"/>
                <w:szCs w:val="16"/>
              </w:rPr>
              <w:t>-249,1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2EA" w:rsidRPr="00993B5B" w:rsidRDefault="00B262EA" w:rsidP="00C01D87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993B5B">
              <w:rPr>
                <w:rFonts w:eastAsia="Times New Roman"/>
                <w:sz w:val="16"/>
                <w:szCs w:val="16"/>
              </w:rPr>
              <w:t>2 694,0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B262EA" w:rsidRPr="00993B5B" w:rsidRDefault="00B262EA" w:rsidP="00C01D87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993B5B">
              <w:rPr>
                <w:rFonts w:eastAsia="Times New Roman"/>
                <w:color w:val="000000"/>
                <w:sz w:val="16"/>
                <w:szCs w:val="16"/>
              </w:rPr>
              <w:t>2060,7</w:t>
            </w:r>
          </w:p>
        </w:tc>
      </w:tr>
      <w:tr w:rsidR="00B262EA" w:rsidRPr="00993B5B" w:rsidTr="00C01D87">
        <w:trPr>
          <w:trHeight w:val="550"/>
        </w:trPr>
        <w:tc>
          <w:tcPr>
            <w:tcW w:w="369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2EA" w:rsidRPr="00993B5B" w:rsidRDefault="00B262EA" w:rsidP="00C01D87">
            <w:pPr>
              <w:rPr>
                <w:rFonts w:eastAsia="Times New Roman"/>
                <w:sz w:val="16"/>
                <w:szCs w:val="16"/>
              </w:rPr>
            </w:pPr>
            <w:r w:rsidRPr="00993B5B">
              <w:rPr>
                <w:rFonts w:eastAsia="Times New Roman"/>
                <w:sz w:val="16"/>
                <w:szCs w:val="16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2EA" w:rsidRPr="00993B5B" w:rsidRDefault="00B262EA" w:rsidP="00C01D87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993B5B">
              <w:rPr>
                <w:rFonts w:eastAsia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2EA" w:rsidRPr="00993B5B" w:rsidRDefault="00B262EA" w:rsidP="00C01D87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993B5B">
              <w:rPr>
                <w:rFonts w:eastAsia="Times New Roman"/>
                <w:sz w:val="16"/>
                <w:szCs w:val="16"/>
              </w:rPr>
              <w:t>62,1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2EA" w:rsidRPr="00993B5B" w:rsidRDefault="00B262EA" w:rsidP="00C01D87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993B5B">
              <w:rPr>
                <w:rFonts w:eastAsia="Times New Roman"/>
                <w:color w:val="000000"/>
                <w:sz w:val="16"/>
                <w:szCs w:val="16"/>
              </w:rPr>
              <w:t>62,1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2EA" w:rsidRPr="00993B5B" w:rsidRDefault="00B262EA" w:rsidP="00C01D87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993B5B">
              <w:rPr>
                <w:rFonts w:eastAsia="Times New Roman"/>
                <w:sz w:val="16"/>
                <w:szCs w:val="16"/>
              </w:rPr>
              <w:t>62,4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2EA" w:rsidRPr="00993B5B" w:rsidRDefault="00B262EA" w:rsidP="00C01D87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993B5B">
              <w:rPr>
                <w:rFonts w:eastAsia="Times New Roman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2EA" w:rsidRPr="00993B5B" w:rsidRDefault="00B262EA" w:rsidP="00C01D87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993B5B">
              <w:rPr>
                <w:rFonts w:eastAsia="Times New Roman"/>
                <w:sz w:val="16"/>
                <w:szCs w:val="16"/>
              </w:rPr>
              <w:t>101,0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B262EA" w:rsidRPr="00993B5B" w:rsidRDefault="00B262EA" w:rsidP="00C01D87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993B5B">
              <w:rPr>
                <w:rFonts w:eastAsia="Times New Roman"/>
                <w:color w:val="000000"/>
                <w:sz w:val="16"/>
                <w:szCs w:val="16"/>
              </w:rPr>
              <w:t>38,6</w:t>
            </w:r>
          </w:p>
        </w:tc>
      </w:tr>
      <w:tr w:rsidR="00B262EA" w:rsidRPr="00993B5B" w:rsidTr="00C01D87">
        <w:trPr>
          <w:trHeight w:val="167"/>
        </w:trPr>
        <w:tc>
          <w:tcPr>
            <w:tcW w:w="3693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2EA" w:rsidRPr="00993B5B" w:rsidRDefault="00B262EA" w:rsidP="00C01D87">
            <w:pPr>
              <w:rPr>
                <w:rFonts w:eastAsia="Times New Roman"/>
                <w:sz w:val="16"/>
                <w:szCs w:val="16"/>
              </w:rPr>
            </w:pPr>
            <w:r w:rsidRPr="00993B5B">
              <w:rPr>
                <w:rFonts w:eastAsia="Times New Roman"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85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2EA" w:rsidRPr="00993B5B" w:rsidRDefault="00B262EA" w:rsidP="00C01D87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993B5B">
              <w:rPr>
                <w:rFonts w:eastAsia="Times New Roman"/>
                <w:sz w:val="16"/>
                <w:szCs w:val="16"/>
              </w:rPr>
              <w:t>544,6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2EA" w:rsidRPr="00993B5B" w:rsidRDefault="00B262EA" w:rsidP="00C01D87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993B5B">
              <w:rPr>
                <w:rFonts w:eastAsia="Times New Roman"/>
                <w:sz w:val="16"/>
                <w:szCs w:val="16"/>
              </w:rPr>
              <w:t>780,4</w:t>
            </w:r>
          </w:p>
        </w:tc>
        <w:tc>
          <w:tcPr>
            <w:tcW w:w="85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2EA" w:rsidRPr="00993B5B" w:rsidRDefault="00B262EA" w:rsidP="00C01D87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993B5B">
              <w:rPr>
                <w:rFonts w:eastAsia="Times New Roman"/>
                <w:color w:val="000000"/>
                <w:sz w:val="16"/>
                <w:szCs w:val="16"/>
              </w:rPr>
              <w:t>235,8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2EA" w:rsidRPr="00993B5B" w:rsidRDefault="00B262EA" w:rsidP="00C01D87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993B5B">
              <w:rPr>
                <w:rFonts w:eastAsia="Times New Roman"/>
                <w:sz w:val="16"/>
                <w:szCs w:val="16"/>
              </w:rPr>
              <w:t>963,6</w:t>
            </w:r>
          </w:p>
        </w:tc>
        <w:tc>
          <w:tcPr>
            <w:tcW w:w="85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2EA" w:rsidRPr="00993B5B" w:rsidRDefault="00420472" w:rsidP="00A71302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183,2</w:t>
            </w:r>
          </w:p>
        </w:tc>
        <w:tc>
          <w:tcPr>
            <w:tcW w:w="806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2EA" w:rsidRPr="00993B5B" w:rsidRDefault="00B262EA" w:rsidP="00C01D87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993B5B">
              <w:rPr>
                <w:rFonts w:eastAsia="Times New Roman"/>
                <w:sz w:val="16"/>
                <w:szCs w:val="16"/>
              </w:rPr>
              <w:t>970,0</w:t>
            </w:r>
          </w:p>
        </w:tc>
        <w:tc>
          <w:tcPr>
            <w:tcW w:w="89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B262EA" w:rsidRPr="00993B5B" w:rsidRDefault="00B262EA" w:rsidP="00C01D87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993B5B">
              <w:rPr>
                <w:rFonts w:eastAsia="Times New Roman"/>
                <w:color w:val="000000"/>
                <w:sz w:val="16"/>
                <w:szCs w:val="16"/>
              </w:rPr>
              <w:t>6,4</w:t>
            </w:r>
          </w:p>
        </w:tc>
      </w:tr>
    </w:tbl>
    <w:p w:rsidR="00B262EA" w:rsidRDefault="00B262EA" w:rsidP="00B262EA">
      <w:pPr>
        <w:autoSpaceDE w:val="0"/>
        <w:autoSpaceDN w:val="0"/>
        <w:adjustRightInd w:val="0"/>
        <w:ind w:firstLine="680"/>
        <w:jc w:val="both"/>
      </w:pPr>
      <w:r w:rsidRPr="00874EEF">
        <w:t>Существенный рост задолженности на 01.01.2018 обусловлен присоединением ГБУ Волгоградской области «МФЦ»</w:t>
      </w:r>
      <w:r>
        <w:t>.</w:t>
      </w:r>
    </w:p>
    <w:p w:rsidR="00B262EA" w:rsidRDefault="00B262EA" w:rsidP="00B262EA">
      <w:pPr>
        <w:autoSpaceDE w:val="0"/>
        <w:autoSpaceDN w:val="0"/>
        <w:adjustRightInd w:val="0"/>
        <w:ind w:firstLine="680"/>
        <w:jc w:val="both"/>
      </w:pPr>
      <w:r>
        <w:t>Н</w:t>
      </w:r>
      <w:r w:rsidRPr="003D6840">
        <w:t xml:space="preserve">а 01.07.2019 также наблюдается рост задолженности </w:t>
      </w:r>
      <w:r>
        <w:t>(</w:t>
      </w:r>
      <w:r w:rsidRPr="003D6840">
        <w:t>на 2</w:t>
      </w:r>
      <w:r>
        <w:t xml:space="preserve">,1 млн. </w:t>
      </w:r>
      <w:r w:rsidRPr="003D6840">
        <w:t>руб.</w:t>
      </w:r>
      <w:r>
        <w:t>, или в 2,3 раза)</w:t>
      </w:r>
      <w:r w:rsidRPr="003D6840">
        <w:t xml:space="preserve"> относительно 01.01.2019</w:t>
      </w:r>
      <w:r>
        <w:t>, который произошел как по причине наступления сроков уплаты в следующем месяце (</w:t>
      </w:r>
      <w:r w:rsidRPr="00C67A4A">
        <w:t>в июле 2019 года АО «ИВЦ ЖКХ и ТЭК» оплачено 1,8 млн. руб.), так</w:t>
      </w:r>
      <w:r>
        <w:t xml:space="preserve"> и из-за несвоевременной уплаты</w:t>
      </w:r>
      <w:r w:rsidR="007F1D58">
        <w:t>,</w:t>
      </w:r>
      <w:r>
        <w:t xml:space="preserve"> либо неоплаты отдельными контрагентами платежей</w:t>
      </w:r>
      <w:r w:rsidRPr="003D6840">
        <w:t>.</w:t>
      </w:r>
    </w:p>
    <w:p w:rsidR="00B262EA" w:rsidRDefault="007F1D58" w:rsidP="00B262EA">
      <w:pPr>
        <w:autoSpaceDE w:val="0"/>
        <w:autoSpaceDN w:val="0"/>
        <w:adjustRightInd w:val="0"/>
        <w:ind w:firstLine="680"/>
        <w:jc w:val="both"/>
      </w:pPr>
      <w:r>
        <w:rPr>
          <w:color w:val="000000"/>
        </w:rPr>
        <w:t xml:space="preserve">Проверка показала, что </w:t>
      </w:r>
      <w:r w:rsidR="00B262EA" w:rsidRPr="00F07CB4">
        <w:rPr>
          <w:rFonts w:eastAsia="Times New Roman"/>
        </w:rPr>
        <w:t xml:space="preserve">ГКУ </w:t>
      </w:r>
      <w:r w:rsidR="00B262EA" w:rsidRPr="00F07CB4">
        <w:t>«МФЦ»</w:t>
      </w:r>
      <w:r w:rsidR="00B262EA" w:rsidRPr="00874EEF">
        <w:rPr>
          <w:color w:val="000000"/>
        </w:rPr>
        <w:t xml:space="preserve"> не в полной мере </w:t>
      </w:r>
      <w:r w:rsidR="00B262EA">
        <w:rPr>
          <w:color w:val="000000"/>
        </w:rPr>
        <w:t>исполнялись полномочия администратора доходов бюджета</w:t>
      </w:r>
      <w:r w:rsidR="00B262EA" w:rsidRPr="00874EEF">
        <w:rPr>
          <w:color w:val="000000"/>
        </w:rPr>
        <w:t xml:space="preserve">, предусмотренные п.2 ст.160.1 БК РФ по </w:t>
      </w:r>
      <w:r w:rsidR="00B262EA" w:rsidRPr="00874EEF">
        <w:t xml:space="preserve">контролю за полнотой и своевременностью осуществления платежей в бюджет, взысканию задолженности по </w:t>
      </w:r>
      <w:proofErr w:type="spellStart"/>
      <w:r w:rsidR="00B262EA" w:rsidRPr="00874EEF">
        <w:t>администрируемым</w:t>
      </w:r>
      <w:proofErr w:type="spellEnd"/>
      <w:r w:rsidR="00B262EA" w:rsidRPr="00874EEF">
        <w:t xml:space="preserve"> доходам в сумме </w:t>
      </w:r>
      <w:r w:rsidR="00B262EA">
        <w:t>827,1</w:t>
      </w:r>
      <w:r w:rsidR="00B262EA" w:rsidRPr="0092722E">
        <w:t> тыс. руб.</w:t>
      </w:r>
      <w:r w:rsidR="00B262EA" w:rsidRPr="00874EEF">
        <w:t xml:space="preserve"> и пени</w:t>
      </w:r>
      <w:r w:rsidR="00B262EA">
        <w:t>, а именно:</w:t>
      </w:r>
    </w:p>
    <w:p w:rsidR="00B262EA" w:rsidRDefault="00B262EA" w:rsidP="00B262EA">
      <w:pPr>
        <w:autoSpaceDE w:val="0"/>
        <w:autoSpaceDN w:val="0"/>
        <w:adjustRightInd w:val="0"/>
        <w:ind w:firstLine="680"/>
        <w:jc w:val="both"/>
      </w:pPr>
      <w:r>
        <w:t>-</w:t>
      </w:r>
      <w:r w:rsidRPr="00DB464C">
        <w:rPr>
          <w:i/>
        </w:rPr>
        <w:t xml:space="preserve"> </w:t>
      </w:r>
      <w:r w:rsidRPr="007F6944">
        <w:rPr>
          <w:i/>
        </w:rPr>
        <w:t>по доходам от оказания платных услуг</w:t>
      </w:r>
      <w:r>
        <w:rPr>
          <w:i/>
        </w:rPr>
        <w:t>:</w:t>
      </w:r>
      <w:r>
        <w:t xml:space="preserve"> по </w:t>
      </w:r>
      <w:r w:rsidRPr="00874EEF">
        <w:t xml:space="preserve">ООО «УК Уютный город» </w:t>
      </w:r>
      <w:r>
        <w:t xml:space="preserve"> (задолженность в размере </w:t>
      </w:r>
      <w:r w:rsidRPr="007F6944">
        <w:t>89,7 тыс. руб.</w:t>
      </w:r>
      <w:r>
        <w:t xml:space="preserve"> числится с</w:t>
      </w:r>
      <w:r w:rsidRPr="00874EEF">
        <w:rPr>
          <w:rFonts w:eastAsia="Times New Roman"/>
        </w:rPr>
        <w:t xml:space="preserve"> 01.06.2017</w:t>
      </w:r>
      <w:r>
        <w:t xml:space="preserve"> после передачи от </w:t>
      </w:r>
      <w:r w:rsidRPr="00874EEF">
        <w:rPr>
          <w:rFonts w:eastAsia="Times New Roman"/>
        </w:rPr>
        <w:t xml:space="preserve">ГБУ </w:t>
      </w:r>
      <w:r>
        <w:rPr>
          <w:rFonts w:eastAsia="Times New Roman"/>
        </w:rPr>
        <w:t>Волгоградской области «</w:t>
      </w:r>
      <w:r w:rsidRPr="00874EEF">
        <w:rPr>
          <w:rFonts w:eastAsia="Times New Roman"/>
        </w:rPr>
        <w:t>МФЦ</w:t>
      </w:r>
      <w:r>
        <w:rPr>
          <w:rFonts w:eastAsia="Times New Roman"/>
        </w:rPr>
        <w:t xml:space="preserve">») и </w:t>
      </w:r>
      <w:r w:rsidRPr="00874EEF">
        <w:rPr>
          <w:rFonts w:eastAsia="Times New Roman"/>
        </w:rPr>
        <w:t xml:space="preserve"> </w:t>
      </w:r>
      <w:r w:rsidRPr="00874EEF">
        <w:t xml:space="preserve">ООО «Городская Эксплуатационная Компания – Юг» </w:t>
      </w:r>
      <w:r>
        <w:t xml:space="preserve">(задолженность в размере 30,9 тыс. руб. </w:t>
      </w:r>
      <w:r w:rsidRPr="00874EEF">
        <w:t>образовалась 01.08.2018</w:t>
      </w:r>
      <w:r>
        <w:t>)</w:t>
      </w:r>
      <w:r w:rsidR="007F1D58">
        <w:t>,</w:t>
      </w:r>
      <w:r w:rsidRPr="00394231">
        <w:t xml:space="preserve"> </w:t>
      </w:r>
      <w:r w:rsidRPr="00874EEF">
        <w:t>меры по взысканию задолженности в судебном порядке МФЦ не принимались</w:t>
      </w:r>
      <w:r>
        <w:t xml:space="preserve">, по </w:t>
      </w:r>
      <w:r w:rsidRPr="00874EEF">
        <w:t>ООО «Аргон»</w:t>
      </w:r>
      <w:r>
        <w:t xml:space="preserve"> (задолженность в размере </w:t>
      </w:r>
      <w:r w:rsidRPr="00F600E3">
        <w:t>59,9 тыс. руб.</w:t>
      </w:r>
      <w:r>
        <w:t xml:space="preserve"> образовалась в марте-июне 2019 года)</w:t>
      </w:r>
      <w:r w:rsidRPr="00F600E3">
        <w:t>,</w:t>
      </w:r>
      <w:r w:rsidRPr="002D0E30">
        <w:t xml:space="preserve"> </w:t>
      </w:r>
      <w:r w:rsidRPr="00874EEF">
        <w:t xml:space="preserve">ООО </w:t>
      </w:r>
      <w:r>
        <w:t>«</w:t>
      </w:r>
      <w:r w:rsidRPr="00874EEF">
        <w:t>УК Зенит</w:t>
      </w:r>
      <w:r>
        <w:t>» (задолженность в размере</w:t>
      </w:r>
      <w:r w:rsidRPr="00874EEF">
        <w:t xml:space="preserve"> </w:t>
      </w:r>
      <w:r w:rsidRPr="00F600E3">
        <w:t>19,0 тыс. руб.</w:t>
      </w:r>
      <w:r w:rsidRPr="00874EEF">
        <w:t xml:space="preserve"> образовалась 01.12.2018</w:t>
      </w:r>
      <w:r>
        <w:t xml:space="preserve">), </w:t>
      </w:r>
      <w:r w:rsidRPr="00874EEF">
        <w:t>АО «ИВЦ ЖКХ и ТЭК»</w:t>
      </w:r>
      <w:r>
        <w:t xml:space="preserve"> (остаток задолженности в размере 208,5 тыс. руб. сложился в связи с неполной оплатой акта об оказании услуг от 15.05.2019)</w:t>
      </w:r>
      <w:r w:rsidR="00F23EEB">
        <w:t>,</w:t>
      </w:r>
      <w:r>
        <w:t xml:space="preserve"> меры по взысканию задолженности не принимались. Задолженность </w:t>
      </w:r>
      <w:r w:rsidRPr="00874EEF">
        <w:t>АО «ИВЦ ЖКХ и ТЭК»</w:t>
      </w:r>
      <w:r>
        <w:t xml:space="preserve"> в сумме </w:t>
      </w:r>
      <w:r w:rsidRPr="00874EEF">
        <w:t>208,5 тыс. руб</w:t>
      </w:r>
      <w:r>
        <w:t>. была оплачена только в ходе проверки;</w:t>
      </w:r>
    </w:p>
    <w:p w:rsidR="00B262EA" w:rsidRDefault="00B262EA" w:rsidP="00B262EA">
      <w:pPr>
        <w:autoSpaceDE w:val="0"/>
        <w:autoSpaceDN w:val="0"/>
        <w:adjustRightInd w:val="0"/>
        <w:ind w:firstLine="680"/>
        <w:jc w:val="both"/>
        <w:rPr>
          <w:color w:val="000000"/>
        </w:rPr>
      </w:pPr>
      <w:r>
        <w:t>-</w:t>
      </w:r>
      <w:r w:rsidRPr="002D0E30">
        <w:rPr>
          <w:i/>
        </w:rPr>
        <w:t xml:space="preserve"> </w:t>
      </w:r>
      <w:r>
        <w:rPr>
          <w:i/>
        </w:rPr>
        <w:t>п</w:t>
      </w:r>
      <w:r w:rsidRPr="00F600E3">
        <w:rPr>
          <w:i/>
        </w:rPr>
        <w:t>о штрафам, санкциям, возмещению ущерба</w:t>
      </w:r>
      <w:r>
        <w:rPr>
          <w:i/>
        </w:rPr>
        <w:t xml:space="preserve">: </w:t>
      </w:r>
      <w:r w:rsidRPr="002F168F">
        <w:t>по</w:t>
      </w:r>
      <w:r>
        <w:rPr>
          <w:i/>
        </w:rPr>
        <w:t xml:space="preserve"> </w:t>
      </w:r>
      <w:r w:rsidRPr="00874EEF">
        <w:t xml:space="preserve">ООО </w:t>
      </w:r>
      <w:r>
        <w:t>«</w:t>
      </w:r>
      <w:proofErr w:type="spellStart"/>
      <w:r w:rsidRPr="00874EEF">
        <w:t>Эстри</w:t>
      </w:r>
      <w:proofErr w:type="spellEnd"/>
      <w:r>
        <w:t>»</w:t>
      </w:r>
      <w:r w:rsidRPr="00874EEF">
        <w:t xml:space="preserve"> </w:t>
      </w:r>
      <w:r>
        <w:t xml:space="preserve">(задолженность в размере </w:t>
      </w:r>
      <w:r w:rsidRPr="00F600E3">
        <w:t>383,5 тыс. руб.</w:t>
      </w:r>
      <w:r>
        <w:t xml:space="preserve"> </w:t>
      </w:r>
      <w:r w:rsidRPr="00874EEF">
        <w:t>образовалась 29.10.2015</w:t>
      </w:r>
      <w:r>
        <w:t>)</w:t>
      </w:r>
      <w:r w:rsidRPr="002F168F">
        <w:t xml:space="preserve"> </w:t>
      </w:r>
      <w:r w:rsidRPr="00874EEF">
        <w:t xml:space="preserve">меры по взысканию задолженности в судебном порядке </w:t>
      </w:r>
      <w:r>
        <w:t>н</w:t>
      </w:r>
      <w:r w:rsidRPr="00874EEF">
        <w:t>е принимались</w:t>
      </w:r>
      <w:r>
        <w:t>, по</w:t>
      </w:r>
      <w:r w:rsidRPr="00874EEF">
        <w:t xml:space="preserve"> ООО </w:t>
      </w:r>
      <w:r>
        <w:t>«</w:t>
      </w:r>
      <w:r w:rsidRPr="00874EEF">
        <w:t>РЕКПАРТНЕР</w:t>
      </w:r>
      <w:r>
        <w:t>»</w:t>
      </w:r>
      <w:r w:rsidRPr="00874EEF">
        <w:t xml:space="preserve"> </w:t>
      </w:r>
      <w:r>
        <w:t xml:space="preserve">(задолженность в размере </w:t>
      </w:r>
      <w:r w:rsidRPr="00F600E3">
        <w:t>20,5 тыс. руб.</w:t>
      </w:r>
      <w:r>
        <w:t xml:space="preserve"> </w:t>
      </w:r>
      <w:r w:rsidRPr="00874EEF">
        <w:t>образовалась  20.12.2017</w:t>
      </w:r>
      <w:r>
        <w:t>) меры не принимались</w:t>
      </w:r>
      <w:r w:rsidRPr="00874EEF">
        <w:t>,</w:t>
      </w:r>
      <w:r>
        <w:t xml:space="preserve">  по </w:t>
      </w:r>
      <w:r w:rsidRPr="00874EEF">
        <w:rPr>
          <w:rFonts w:eastAsia="Times New Roman"/>
        </w:rPr>
        <w:t xml:space="preserve">17 ТСЖ </w:t>
      </w:r>
      <w:r>
        <w:rPr>
          <w:rFonts w:eastAsia="Times New Roman"/>
        </w:rPr>
        <w:t>«</w:t>
      </w:r>
      <w:r w:rsidRPr="00874EEF">
        <w:rPr>
          <w:rFonts w:eastAsia="Times New Roman"/>
        </w:rPr>
        <w:t>ТВАРДОВСКОГО</w:t>
      </w:r>
      <w:r>
        <w:rPr>
          <w:rFonts w:eastAsia="Times New Roman"/>
        </w:rPr>
        <w:t>»</w:t>
      </w:r>
      <w:r w:rsidRPr="00874EEF">
        <w:rPr>
          <w:rFonts w:eastAsia="Times New Roman"/>
        </w:rPr>
        <w:t xml:space="preserve"> </w:t>
      </w:r>
      <w:r>
        <w:rPr>
          <w:rFonts w:eastAsia="Times New Roman"/>
        </w:rPr>
        <w:t xml:space="preserve">(задолженность в размере </w:t>
      </w:r>
      <w:r w:rsidRPr="006235DE">
        <w:rPr>
          <w:rFonts w:eastAsia="Times New Roman"/>
        </w:rPr>
        <w:t xml:space="preserve">15,1 тыс. руб. </w:t>
      </w:r>
      <w:r w:rsidRPr="006235DE">
        <w:t>числится с</w:t>
      </w:r>
      <w:r w:rsidRPr="006235DE">
        <w:rPr>
          <w:rFonts w:eastAsia="Times New Roman"/>
        </w:rPr>
        <w:t xml:space="preserve"> 01.06.2017</w:t>
      </w:r>
      <w:r w:rsidRPr="006235DE">
        <w:t xml:space="preserve"> после передачи от </w:t>
      </w:r>
      <w:r w:rsidRPr="006235DE">
        <w:rPr>
          <w:rFonts w:eastAsia="Times New Roman"/>
        </w:rPr>
        <w:t>ГБУ Волгоградской области «МФЦ») согласно постановлению ССП от 14.11.2017 исполнительное производство окончено в связи с признанием должника банкротом.</w:t>
      </w:r>
      <w:r w:rsidRPr="006235DE">
        <w:rPr>
          <w:color w:val="000000"/>
        </w:rPr>
        <w:t xml:space="preserve"> Однако заявление конкурсному управляющему о включении МФЦ в реестр кредиторов по взысканию указанной задолженности</w:t>
      </w:r>
      <w:r w:rsidRPr="006235DE">
        <w:rPr>
          <w:rFonts w:eastAsia="Times New Roman"/>
        </w:rPr>
        <w:t xml:space="preserve"> ГКУ </w:t>
      </w:r>
      <w:r w:rsidRPr="006235DE">
        <w:t>«МФЦ»</w:t>
      </w:r>
      <w:r w:rsidRPr="006235DE">
        <w:rPr>
          <w:color w:val="000000"/>
        </w:rPr>
        <w:t xml:space="preserve"> не направлялось</w:t>
      </w:r>
      <w:r>
        <w:rPr>
          <w:color w:val="000000"/>
        </w:rPr>
        <w:t>.</w:t>
      </w:r>
    </w:p>
    <w:p w:rsidR="00B262EA" w:rsidRDefault="00B262EA" w:rsidP="00B262EA">
      <w:pPr>
        <w:autoSpaceDE w:val="0"/>
        <w:autoSpaceDN w:val="0"/>
        <w:adjustRightInd w:val="0"/>
        <w:ind w:firstLine="680"/>
        <w:jc w:val="both"/>
      </w:pPr>
      <w:r>
        <w:rPr>
          <w:color w:val="000000"/>
        </w:rPr>
        <w:t>Также вышеприведенным должникам п</w:t>
      </w:r>
      <w:r>
        <w:rPr>
          <w:rFonts w:eastAsia="Times New Roman"/>
        </w:rPr>
        <w:t xml:space="preserve">редусмотренная договорами неустойка </w:t>
      </w:r>
      <w:r w:rsidRPr="00874EEF">
        <w:t>в размере 0,01% от неоплаченной в срок суммы</w:t>
      </w:r>
      <w:r w:rsidR="00F23EEB">
        <w:t>,</w:t>
      </w:r>
      <w:r w:rsidRPr="00874EEF">
        <w:t xml:space="preserve"> либо пени</w:t>
      </w:r>
      <w:r>
        <w:t xml:space="preserve"> </w:t>
      </w:r>
      <w:r w:rsidRPr="00874EEF">
        <w:t>не были предъявлены</w:t>
      </w:r>
      <w:r>
        <w:t>.</w:t>
      </w:r>
      <w:r w:rsidRPr="00BE72D3">
        <w:t xml:space="preserve"> </w:t>
      </w:r>
    </w:p>
    <w:p w:rsidR="00DA0200" w:rsidRDefault="00B262EA" w:rsidP="00503D11">
      <w:pPr>
        <w:pStyle w:val="ConsPlusNormal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4A46A0">
        <w:rPr>
          <w:rFonts w:ascii="Times New Roman" w:hAnsi="Times New Roman" w:cs="Times New Roman"/>
          <w:sz w:val="24"/>
          <w:szCs w:val="24"/>
        </w:rPr>
        <w:t xml:space="preserve">Кроме того, </w:t>
      </w:r>
      <w:r>
        <w:rPr>
          <w:rFonts w:ascii="Times New Roman" w:hAnsi="Times New Roman" w:cs="Times New Roman"/>
          <w:sz w:val="24"/>
          <w:szCs w:val="24"/>
        </w:rPr>
        <w:t>установлен случай списания задолженности</w:t>
      </w:r>
      <w:r w:rsidRPr="00844D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74EEF">
        <w:rPr>
          <w:rFonts w:ascii="Times New Roman" w:hAnsi="Times New Roman" w:cs="Times New Roman"/>
          <w:color w:val="000000"/>
          <w:sz w:val="24"/>
          <w:szCs w:val="24"/>
        </w:rPr>
        <w:t>ООО «Независимый Центр Правовой Защиты «Аргумент»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размере</w:t>
      </w:r>
      <w:r w:rsidRPr="00874EEF">
        <w:rPr>
          <w:rFonts w:ascii="Times New Roman" w:hAnsi="Times New Roman" w:cs="Times New Roman"/>
          <w:color w:val="000000"/>
          <w:sz w:val="24"/>
          <w:szCs w:val="24"/>
        </w:rPr>
        <w:t xml:space="preserve"> 180,2 тыс. руб.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 основании </w:t>
      </w:r>
      <w:r w:rsidRPr="00874EEF">
        <w:rPr>
          <w:rFonts w:ascii="Times New Roman" w:hAnsi="Times New Roman" w:cs="Times New Roman"/>
          <w:color w:val="000000"/>
          <w:sz w:val="24"/>
          <w:szCs w:val="24"/>
        </w:rPr>
        <w:t>постановления об окончании и возвращении исполнительного листа взыскателю от 28.03.2019</w:t>
      </w:r>
      <w:r w:rsidRPr="00844D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(до исключения его из </w:t>
      </w:r>
      <w:r w:rsidRPr="00874EEF">
        <w:rPr>
          <w:rFonts w:ascii="Times New Roman" w:hAnsi="Times New Roman" w:cs="Times New Roman"/>
          <w:color w:val="000000"/>
          <w:sz w:val="24"/>
          <w:szCs w:val="24"/>
        </w:rPr>
        <w:t>ЕГРЮЛ 01.10.2019 в связи с прекращением деятельности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874EE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При этом порядок</w:t>
      </w:r>
      <w:r w:rsidRPr="00874EEF">
        <w:rPr>
          <w:rFonts w:ascii="Times New Roman" w:hAnsi="Times New Roman" w:cs="Times New Roman"/>
          <w:sz w:val="24"/>
          <w:szCs w:val="24"/>
        </w:rPr>
        <w:t xml:space="preserve"> принятия решений о признании безнадежной к взысканию задолженности по платежам в бюджет</w:t>
      </w:r>
      <w:r>
        <w:rPr>
          <w:rFonts w:ascii="Times New Roman" w:hAnsi="Times New Roman" w:cs="Times New Roman"/>
          <w:sz w:val="24"/>
          <w:szCs w:val="24"/>
        </w:rPr>
        <w:t>, предусмотренный</w:t>
      </w:r>
      <w:r w:rsidRPr="00874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74EEF">
        <w:rPr>
          <w:rFonts w:ascii="Times New Roman" w:hAnsi="Times New Roman" w:cs="Times New Roman"/>
          <w:sz w:val="24"/>
          <w:szCs w:val="24"/>
        </w:rPr>
        <w:t xml:space="preserve">п.4 ст. </w:t>
      </w:r>
      <w:hyperlink r:id="rId16" w:history="1">
        <w:r w:rsidRPr="00874EEF">
          <w:rPr>
            <w:rFonts w:ascii="Times New Roman" w:hAnsi="Times New Roman" w:cs="Times New Roman"/>
            <w:color w:val="000000"/>
            <w:sz w:val="24"/>
            <w:szCs w:val="24"/>
          </w:rPr>
          <w:t>47.2</w:t>
        </w:r>
      </w:hyperlink>
      <w:r w:rsidRPr="00874EEF">
        <w:rPr>
          <w:rFonts w:ascii="Times New Roman" w:hAnsi="Times New Roman" w:cs="Times New Roman"/>
          <w:color w:val="000000"/>
          <w:sz w:val="24"/>
          <w:szCs w:val="24"/>
        </w:rPr>
        <w:t xml:space="preserve"> Б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 РФ, и подлежащий разработке </w:t>
      </w:r>
      <w:r w:rsidRPr="00874EEF">
        <w:rPr>
          <w:rFonts w:ascii="Times New Roman" w:hAnsi="Times New Roman" w:cs="Times New Roman"/>
          <w:sz w:val="24"/>
          <w:szCs w:val="24"/>
        </w:rPr>
        <w:t xml:space="preserve">главным администратором доходов в соответствии с </w:t>
      </w:r>
      <w:hyperlink r:id="rId17" w:history="1">
        <w:r w:rsidRPr="00874EEF">
          <w:rPr>
            <w:rFonts w:ascii="Times New Roman" w:hAnsi="Times New Roman" w:cs="Times New Roman"/>
            <w:sz w:val="24"/>
            <w:szCs w:val="24"/>
          </w:rPr>
          <w:t>общими требованиями</w:t>
        </w:r>
      </w:hyperlink>
      <w:r w:rsidRPr="00874EEF">
        <w:rPr>
          <w:rFonts w:ascii="Times New Roman" w:hAnsi="Times New Roman" w:cs="Times New Roman"/>
          <w:sz w:val="24"/>
          <w:szCs w:val="24"/>
        </w:rPr>
        <w:t xml:space="preserve">, установленными </w:t>
      </w:r>
      <w:hyperlink r:id="rId18" w:history="1">
        <w:r w:rsidRPr="00B61D34">
          <w:rPr>
            <w:rFonts w:ascii="Times New Roman" w:hAnsi="Times New Roman" w:cs="Times New Roman"/>
            <w:color w:val="000000"/>
            <w:sz w:val="24"/>
            <w:szCs w:val="24"/>
          </w:rPr>
          <w:t>постановлени</w:t>
        </w:r>
      </w:hyperlink>
      <w:r w:rsidRPr="00B61D34">
        <w:rPr>
          <w:rFonts w:ascii="Times New Roman" w:hAnsi="Times New Roman" w:cs="Times New Roman"/>
          <w:sz w:val="24"/>
          <w:szCs w:val="24"/>
        </w:rPr>
        <w:t>ем</w:t>
      </w:r>
      <w:r w:rsidRPr="00874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74EEF">
        <w:rPr>
          <w:rFonts w:ascii="Times New Roman" w:hAnsi="Times New Roman" w:cs="Times New Roman"/>
          <w:sz w:val="24"/>
          <w:szCs w:val="24"/>
        </w:rPr>
        <w:t>Правительства Р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874EEF">
        <w:rPr>
          <w:rFonts w:ascii="Times New Roman" w:hAnsi="Times New Roman" w:cs="Times New Roman"/>
          <w:sz w:val="24"/>
          <w:szCs w:val="24"/>
        </w:rPr>
        <w:t xml:space="preserve"> от 06.05.2016 №393 «Об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44D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EEF">
        <w:rPr>
          <w:rFonts w:ascii="Times New Roman" w:hAnsi="Times New Roman" w:cs="Times New Roman"/>
          <w:sz w:val="24"/>
          <w:szCs w:val="24"/>
        </w:rPr>
        <w:t>Облкомэконом</w:t>
      </w:r>
      <w:r>
        <w:rPr>
          <w:rFonts w:ascii="Times New Roman" w:hAnsi="Times New Roman" w:cs="Times New Roman"/>
          <w:sz w:val="24"/>
          <w:szCs w:val="24"/>
        </w:rPr>
        <w:t>развития</w:t>
      </w:r>
      <w:proofErr w:type="spellEnd"/>
      <w:r w:rsidRPr="00874EEF">
        <w:rPr>
          <w:rFonts w:ascii="Times New Roman" w:hAnsi="Times New Roman" w:cs="Times New Roman"/>
          <w:sz w:val="24"/>
          <w:szCs w:val="24"/>
        </w:rPr>
        <w:t xml:space="preserve"> не принят.</w:t>
      </w:r>
    </w:p>
    <w:p w:rsidR="00503D11" w:rsidRDefault="00503D11" w:rsidP="00503D11">
      <w:pPr>
        <w:pStyle w:val="ConsPlusNormal"/>
        <w:ind w:firstLine="680"/>
        <w:jc w:val="both"/>
        <w:rPr>
          <w:b/>
        </w:rPr>
      </w:pPr>
    </w:p>
    <w:p w:rsidR="00F23EEB" w:rsidRDefault="00F23EEB" w:rsidP="00377ACF">
      <w:pPr>
        <w:widowControl w:val="0"/>
        <w:tabs>
          <w:tab w:val="left" w:pos="567"/>
          <w:tab w:val="left" w:pos="2552"/>
        </w:tabs>
        <w:ind w:firstLine="680"/>
        <w:jc w:val="center"/>
        <w:rPr>
          <w:b/>
        </w:rPr>
      </w:pPr>
    </w:p>
    <w:p w:rsidR="00377ACF" w:rsidRPr="00D54ED4" w:rsidRDefault="00377ACF" w:rsidP="00377ACF">
      <w:pPr>
        <w:widowControl w:val="0"/>
        <w:tabs>
          <w:tab w:val="left" w:pos="567"/>
          <w:tab w:val="left" w:pos="2552"/>
        </w:tabs>
        <w:ind w:firstLine="680"/>
        <w:jc w:val="center"/>
        <w:rPr>
          <w:b/>
        </w:rPr>
      </w:pPr>
      <w:r w:rsidRPr="00275FAB">
        <w:rPr>
          <w:b/>
        </w:rPr>
        <w:lastRenderedPageBreak/>
        <w:t>Расходы на</w:t>
      </w:r>
      <w:r>
        <w:rPr>
          <w:b/>
        </w:rPr>
        <w:t xml:space="preserve"> развитие</w:t>
      </w:r>
      <w:r w:rsidRPr="00275FAB">
        <w:rPr>
          <w:b/>
        </w:rPr>
        <w:t xml:space="preserve"> сети МФЦ</w:t>
      </w:r>
    </w:p>
    <w:p w:rsidR="00377ACF" w:rsidRDefault="00377ACF" w:rsidP="00377ACF">
      <w:pPr>
        <w:autoSpaceDE w:val="0"/>
        <w:autoSpaceDN w:val="0"/>
        <w:adjustRightInd w:val="0"/>
        <w:ind w:firstLine="680"/>
        <w:jc w:val="both"/>
      </w:pPr>
      <w:r>
        <w:t>И</w:t>
      </w:r>
      <w:r w:rsidRPr="00592DFC">
        <w:t>нформация о плановых и фактических объем</w:t>
      </w:r>
      <w:r w:rsidR="00DA0200">
        <w:t xml:space="preserve">ах финансирования Подпрограммы </w:t>
      </w:r>
      <w:r w:rsidRPr="00592DFC">
        <w:t>(за счет средств областного бюджета) представлена в таблице.</w:t>
      </w:r>
    </w:p>
    <w:p w:rsidR="00377ACF" w:rsidRPr="006E7A84" w:rsidRDefault="00377ACF" w:rsidP="00377ACF">
      <w:pPr>
        <w:autoSpaceDE w:val="0"/>
        <w:autoSpaceDN w:val="0"/>
        <w:adjustRightInd w:val="0"/>
        <w:ind w:firstLine="680"/>
        <w:jc w:val="right"/>
        <w:rPr>
          <w:sz w:val="22"/>
          <w:szCs w:val="22"/>
        </w:rPr>
      </w:pPr>
      <w:r w:rsidRPr="006E7A84">
        <w:rPr>
          <w:sz w:val="22"/>
          <w:szCs w:val="22"/>
        </w:rPr>
        <w:t>тыс. руб.</w:t>
      </w:r>
    </w:p>
    <w:tbl>
      <w:tblPr>
        <w:tblW w:w="10207" w:type="dxa"/>
        <w:tblInd w:w="-176" w:type="dxa"/>
        <w:tblLayout w:type="fixed"/>
        <w:tblLook w:val="04A0"/>
      </w:tblPr>
      <w:tblGrid>
        <w:gridCol w:w="1985"/>
        <w:gridCol w:w="709"/>
        <w:gridCol w:w="1276"/>
        <w:gridCol w:w="1276"/>
        <w:gridCol w:w="1275"/>
        <w:gridCol w:w="1134"/>
        <w:gridCol w:w="1276"/>
        <w:gridCol w:w="1276"/>
      </w:tblGrid>
      <w:tr w:rsidR="00377ACF" w:rsidRPr="0032615D" w:rsidTr="00C01D87">
        <w:trPr>
          <w:trHeight w:val="921"/>
        </w:trPr>
        <w:tc>
          <w:tcPr>
            <w:tcW w:w="198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377ACF" w:rsidRPr="006F712D" w:rsidRDefault="00377ACF" w:rsidP="00C01D87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6F712D">
              <w:rPr>
                <w:rFonts w:eastAsia="Times New Roman"/>
                <w:b/>
                <w:color w:val="000000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709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377ACF" w:rsidRPr="006F712D" w:rsidRDefault="00377ACF" w:rsidP="00C01D87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6F712D">
              <w:rPr>
                <w:rFonts w:eastAsia="Times New Roman"/>
                <w:b/>
                <w:color w:val="000000"/>
                <w:sz w:val="18"/>
                <w:szCs w:val="18"/>
              </w:rPr>
              <w:t>Годы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377ACF" w:rsidRPr="006F712D" w:rsidRDefault="00377ACF" w:rsidP="00C01D87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6F712D">
              <w:rPr>
                <w:rFonts w:eastAsia="Times New Roman"/>
                <w:b/>
                <w:color w:val="000000"/>
                <w:sz w:val="18"/>
                <w:szCs w:val="18"/>
              </w:rPr>
              <w:t xml:space="preserve">Предусмотрено </w:t>
            </w:r>
            <w:proofErr w:type="spellStart"/>
            <w:r w:rsidRPr="006F712D">
              <w:rPr>
                <w:rFonts w:eastAsia="Times New Roman"/>
                <w:b/>
                <w:color w:val="000000"/>
                <w:sz w:val="18"/>
                <w:szCs w:val="18"/>
              </w:rPr>
              <w:t>Подпрограм</w:t>
            </w:r>
            <w:proofErr w:type="spellEnd"/>
            <w:r w:rsidRPr="006F712D">
              <w:rPr>
                <w:rFonts w:eastAsia="Times New Roman"/>
                <w:b/>
                <w:color w:val="000000"/>
                <w:sz w:val="18"/>
                <w:szCs w:val="18"/>
              </w:rPr>
              <w:t xml:space="preserve"> мой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377ACF" w:rsidRPr="006F712D" w:rsidRDefault="00377ACF" w:rsidP="00C01D87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6F712D">
              <w:rPr>
                <w:rFonts w:eastAsia="Times New Roman"/>
                <w:b/>
                <w:color w:val="000000"/>
                <w:sz w:val="18"/>
                <w:szCs w:val="18"/>
              </w:rPr>
              <w:t>Утвержден. бюджетные назначения</w:t>
            </w:r>
          </w:p>
        </w:tc>
        <w:tc>
          <w:tcPr>
            <w:tcW w:w="1275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377ACF" w:rsidRPr="006F712D" w:rsidRDefault="00377ACF" w:rsidP="00C01D87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6F712D">
              <w:rPr>
                <w:rFonts w:eastAsia="Times New Roman"/>
                <w:b/>
                <w:color w:val="000000"/>
                <w:sz w:val="18"/>
                <w:szCs w:val="18"/>
              </w:rPr>
              <w:t xml:space="preserve">Лимиты бюджетных </w:t>
            </w:r>
            <w:proofErr w:type="spellStart"/>
            <w:r w:rsidRPr="006F712D">
              <w:rPr>
                <w:rFonts w:eastAsia="Times New Roman"/>
                <w:b/>
                <w:color w:val="000000"/>
                <w:sz w:val="18"/>
                <w:szCs w:val="18"/>
              </w:rPr>
              <w:t>обяз</w:t>
            </w:r>
            <w:r>
              <w:rPr>
                <w:rFonts w:eastAsia="Times New Roman"/>
                <w:b/>
                <w:color w:val="000000"/>
                <w:sz w:val="18"/>
                <w:szCs w:val="18"/>
              </w:rPr>
              <w:t>ат-в</w:t>
            </w:r>
            <w:proofErr w:type="spellEnd"/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377ACF" w:rsidRPr="006F712D" w:rsidRDefault="00377ACF" w:rsidP="00C01D87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6F712D">
              <w:rPr>
                <w:rFonts w:eastAsia="Times New Roman"/>
                <w:b/>
                <w:color w:val="000000"/>
                <w:sz w:val="18"/>
                <w:szCs w:val="18"/>
              </w:rPr>
              <w:t xml:space="preserve">Исполнено расходов 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377ACF" w:rsidRPr="006F712D" w:rsidRDefault="00377ACF" w:rsidP="00C01D87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6F712D">
              <w:rPr>
                <w:rFonts w:eastAsia="Times New Roman"/>
                <w:b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6F712D">
              <w:rPr>
                <w:rFonts w:eastAsia="Times New Roman"/>
                <w:b/>
                <w:color w:val="000000"/>
                <w:sz w:val="18"/>
                <w:szCs w:val="18"/>
              </w:rPr>
              <w:t>исп-я</w:t>
            </w:r>
            <w:proofErr w:type="spellEnd"/>
            <w:r w:rsidRPr="006F712D">
              <w:rPr>
                <w:rFonts w:eastAsia="Times New Roman"/>
                <w:b/>
                <w:color w:val="000000"/>
                <w:sz w:val="18"/>
                <w:szCs w:val="18"/>
              </w:rPr>
              <w:t xml:space="preserve"> от утв. бюджет. назначений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EAF1DD"/>
            <w:vAlign w:val="center"/>
            <w:hideMark/>
          </w:tcPr>
          <w:p w:rsidR="00377ACF" w:rsidRPr="006F712D" w:rsidRDefault="00377ACF" w:rsidP="00C01D87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6F712D">
              <w:rPr>
                <w:rFonts w:eastAsia="Times New Roman"/>
                <w:b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6F712D">
              <w:rPr>
                <w:rFonts w:eastAsia="Times New Roman"/>
                <w:b/>
                <w:color w:val="000000"/>
                <w:sz w:val="18"/>
                <w:szCs w:val="18"/>
              </w:rPr>
              <w:t>исп-я</w:t>
            </w:r>
            <w:proofErr w:type="spellEnd"/>
            <w:r w:rsidRPr="006F712D">
              <w:rPr>
                <w:rFonts w:eastAsia="Times New Roman"/>
                <w:b/>
                <w:color w:val="000000"/>
                <w:sz w:val="18"/>
                <w:szCs w:val="18"/>
              </w:rPr>
              <w:t xml:space="preserve"> от </w:t>
            </w:r>
            <w:proofErr w:type="spellStart"/>
            <w:r w:rsidRPr="006F712D">
              <w:rPr>
                <w:rFonts w:eastAsia="Times New Roman"/>
                <w:b/>
                <w:color w:val="000000"/>
                <w:sz w:val="18"/>
                <w:szCs w:val="18"/>
              </w:rPr>
              <w:t>предусмотр</w:t>
            </w:r>
            <w:proofErr w:type="spellEnd"/>
            <w:r w:rsidRPr="006F712D">
              <w:rPr>
                <w:rFonts w:eastAsia="Times New Roman"/>
                <w:b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6F712D">
              <w:rPr>
                <w:rFonts w:eastAsia="Times New Roman"/>
                <w:b/>
                <w:color w:val="000000"/>
                <w:sz w:val="18"/>
                <w:szCs w:val="18"/>
              </w:rPr>
              <w:t>Подпрограм</w:t>
            </w:r>
            <w:proofErr w:type="spellEnd"/>
            <w:r w:rsidRPr="006F712D">
              <w:rPr>
                <w:rFonts w:eastAsia="Times New Roman"/>
                <w:b/>
                <w:color w:val="000000"/>
                <w:sz w:val="18"/>
                <w:szCs w:val="18"/>
              </w:rPr>
              <w:t xml:space="preserve"> мой</w:t>
            </w:r>
          </w:p>
        </w:tc>
      </w:tr>
      <w:tr w:rsidR="00377ACF" w:rsidRPr="0032615D" w:rsidTr="00C01D87">
        <w:trPr>
          <w:trHeight w:val="300"/>
        </w:trPr>
        <w:tc>
          <w:tcPr>
            <w:tcW w:w="198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CF" w:rsidRPr="0032615D" w:rsidRDefault="00377ACF" w:rsidP="00CF629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2615D">
              <w:rPr>
                <w:rFonts w:eastAsia="Times New Roman"/>
                <w:color w:val="000000"/>
                <w:sz w:val="18"/>
                <w:szCs w:val="18"/>
              </w:rPr>
              <w:t xml:space="preserve">Развитие региональной инфраструктуры </w:t>
            </w:r>
            <w:proofErr w:type="spellStart"/>
            <w:r w:rsidRPr="0032615D">
              <w:rPr>
                <w:rFonts w:eastAsia="Times New Roman"/>
                <w:color w:val="000000"/>
                <w:sz w:val="18"/>
                <w:szCs w:val="18"/>
              </w:rPr>
              <w:t>предост</w:t>
            </w:r>
            <w:r w:rsidR="00CF629D">
              <w:rPr>
                <w:rFonts w:eastAsia="Times New Roman"/>
                <w:color w:val="000000"/>
                <w:sz w:val="18"/>
                <w:szCs w:val="18"/>
              </w:rPr>
              <w:t>-</w:t>
            </w:r>
            <w:r w:rsidRPr="0032615D">
              <w:rPr>
                <w:rFonts w:eastAsia="Times New Roman"/>
                <w:color w:val="000000"/>
                <w:sz w:val="18"/>
                <w:szCs w:val="18"/>
              </w:rPr>
              <w:t>я</w:t>
            </w:r>
            <w:proofErr w:type="spellEnd"/>
            <w:r w:rsidRPr="0032615D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15D">
              <w:rPr>
                <w:rFonts w:eastAsia="Times New Roman"/>
                <w:color w:val="000000"/>
                <w:sz w:val="18"/>
                <w:szCs w:val="18"/>
              </w:rPr>
              <w:t>госуд</w:t>
            </w:r>
            <w:proofErr w:type="spellEnd"/>
            <w:r w:rsidR="00CF629D">
              <w:rPr>
                <w:rFonts w:eastAsia="Times New Roman"/>
                <w:color w:val="000000"/>
                <w:sz w:val="18"/>
                <w:szCs w:val="18"/>
              </w:rPr>
              <w:t>.</w:t>
            </w:r>
            <w:r w:rsidRPr="0032615D">
              <w:rPr>
                <w:rFonts w:eastAsia="Times New Roman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32615D">
              <w:rPr>
                <w:rFonts w:eastAsia="Times New Roman"/>
                <w:color w:val="000000"/>
                <w:sz w:val="18"/>
                <w:szCs w:val="18"/>
              </w:rPr>
              <w:t>муницип</w:t>
            </w:r>
            <w:proofErr w:type="spellEnd"/>
            <w:r w:rsidR="00CF629D">
              <w:rPr>
                <w:rFonts w:eastAsia="Times New Roman"/>
                <w:color w:val="000000"/>
                <w:sz w:val="18"/>
                <w:szCs w:val="18"/>
              </w:rPr>
              <w:t>.</w:t>
            </w:r>
            <w:r w:rsidRPr="0032615D">
              <w:rPr>
                <w:rFonts w:eastAsia="Times New Roman"/>
                <w:color w:val="000000"/>
                <w:sz w:val="18"/>
                <w:szCs w:val="18"/>
              </w:rPr>
              <w:t xml:space="preserve">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ACF" w:rsidRPr="0032615D" w:rsidRDefault="00377ACF" w:rsidP="00C01D8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2615D">
              <w:rPr>
                <w:rFonts w:eastAsia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ACF" w:rsidRPr="0032615D" w:rsidRDefault="00377ACF" w:rsidP="00C01D87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32615D">
              <w:rPr>
                <w:rFonts w:eastAsia="Times New Roman"/>
                <w:sz w:val="18"/>
                <w:szCs w:val="18"/>
              </w:rPr>
              <w:t>268 674,0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7ACF" w:rsidRPr="0032615D" w:rsidRDefault="00377ACF" w:rsidP="00C01D87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32615D">
              <w:rPr>
                <w:rFonts w:eastAsia="Times New Roman"/>
                <w:sz w:val="18"/>
                <w:szCs w:val="18"/>
              </w:rPr>
              <w:t>345 636,5</w:t>
            </w:r>
            <w:r>
              <w:rPr>
                <w:rFonts w:eastAsia="Times New Roman"/>
                <w:sz w:val="18"/>
                <w:szCs w:val="18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ACF" w:rsidRPr="000B69B6" w:rsidRDefault="00377ACF" w:rsidP="00C01D87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0B69B6">
              <w:rPr>
                <w:rFonts w:eastAsia="Times New Roman"/>
                <w:sz w:val="18"/>
                <w:szCs w:val="18"/>
              </w:rPr>
              <w:t>345 561,5</w:t>
            </w:r>
            <w:r>
              <w:rPr>
                <w:rFonts w:eastAsia="Times New Roman"/>
                <w:sz w:val="18"/>
                <w:szCs w:val="18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ACF" w:rsidRPr="0032615D" w:rsidRDefault="00377ACF" w:rsidP="00C01D87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32615D">
              <w:rPr>
                <w:rFonts w:eastAsia="Times New Roman"/>
                <w:sz w:val="18"/>
                <w:szCs w:val="18"/>
              </w:rPr>
              <w:t>330 354,2</w:t>
            </w:r>
            <w:r>
              <w:rPr>
                <w:rFonts w:eastAsia="Times New Roman"/>
                <w:sz w:val="18"/>
                <w:szCs w:val="18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ACF" w:rsidRPr="0032615D" w:rsidRDefault="00377ACF" w:rsidP="00C01D87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32615D">
              <w:rPr>
                <w:rFonts w:eastAsia="Times New Roman"/>
                <w:sz w:val="18"/>
                <w:szCs w:val="18"/>
              </w:rPr>
              <w:t>95,6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377ACF" w:rsidRPr="0032615D" w:rsidRDefault="00377ACF" w:rsidP="00C01D87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32615D">
              <w:rPr>
                <w:rFonts w:eastAsia="Times New Roman"/>
                <w:sz w:val="18"/>
                <w:szCs w:val="18"/>
              </w:rPr>
              <w:t>123,0</w:t>
            </w:r>
          </w:p>
        </w:tc>
      </w:tr>
      <w:tr w:rsidR="00377ACF" w:rsidRPr="0032615D" w:rsidTr="00C01D87">
        <w:trPr>
          <w:trHeight w:val="300"/>
        </w:trPr>
        <w:tc>
          <w:tcPr>
            <w:tcW w:w="198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377ACF" w:rsidRPr="0032615D" w:rsidRDefault="00377ACF" w:rsidP="00C01D87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ACF" w:rsidRPr="0032615D" w:rsidRDefault="00377ACF" w:rsidP="00C01D8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2615D">
              <w:rPr>
                <w:rFonts w:eastAsia="Times New Roman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ACF" w:rsidRPr="0032615D" w:rsidRDefault="00377ACF" w:rsidP="00C01D87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32615D">
              <w:rPr>
                <w:rFonts w:eastAsia="Times New Roman"/>
                <w:sz w:val="18"/>
                <w:szCs w:val="18"/>
              </w:rPr>
              <w:t>819 137,3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ACF" w:rsidRPr="0032615D" w:rsidRDefault="00377ACF" w:rsidP="00C01D87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32615D">
              <w:rPr>
                <w:rFonts w:eastAsia="Times New Roman"/>
                <w:sz w:val="18"/>
                <w:szCs w:val="18"/>
              </w:rPr>
              <w:t>690 604,8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ACF" w:rsidRPr="000B69B6" w:rsidRDefault="00377ACF" w:rsidP="00C01D87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0B69B6">
              <w:rPr>
                <w:rFonts w:eastAsia="Times New Roman"/>
                <w:sz w:val="18"/>
                <w:szCs w:val="18"/>
              </w:rPr>
              <w:t>690 170,8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ACF" w:rsidRPr="0032615D" w:rsidRDefault="00377ACF" w:rsidP="00C01D87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32615D">
              <w:rPr>
                <w:rFonts w:eastAsia="Times New Roman"/>
                <w:sz w:val="18"/>
                <w:szCs w:val="18"/>
              </w:rPr>
              <w:t>657 947,9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ACF" w:rsidRPr="0032615D" w:rsidRDefault="00377ACF" w:rsidP="00C01D87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32615D">
              <w:rPr>
                <w:rFonts w:eastAsia="Times New Roman"/>
                <w:sz w:val="18"/>
                <w:szCs w:val="18"/>
              </w:rPr>
              <w:t>95,3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377ACF" w:rsidRPr="0032615D" w:rsidRDefault="00377ACF" w:rsidP="00C01D87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32615D">
              <w:rPr>
                <w:rFonts w:eastAsia="Times New Roman"/>
                <w:sz w:val="18"/>
                <w:szCs w:val="18"/>
              </w:rPr>
              <w:t>80,3</w:t>
            </w:r>
          </w:p>
        </w:tc>
      </w:tr>
      <w:tr w:rsidR="00377ACF" w:rsidRPr="0032615D" w:rsidTr="00CF629D">
        <w:trPr>
          <w:trHeight w:val="292"/>
        </w:trPr>
        <w:tc>
          <w:tcPr>
            <w:tcW w:w="198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377ACF" w:rsidRPr="0032615D" w:rsidRDefault="00377ACF" w:rsidP="00C01D87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ACF" w:rsidRPr="0032615D" w:rsidRDefault="00377ACF" w:rsidP="00C01D8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2615D">
              <w:rPr>
                <w:rFonts w:eastAsia="Times New Roman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ACF" w:rsidRPr="0032615D" w:rsidRDefault="00377ACF" w:rsidP="00C01D87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32615D">
              <w:rPr>
                <w:rFonts w:eastAsia="Times New Roman"/>
                <w:sz w:val="18"/>
                <w:szCs w:val="18"/>
              </w:rPr>
              <w:t>855 071,7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ACF" w:rsidRPr="0032615D" w:rsidRDefault="00377ACF" w:rsidP="00C01D87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32615D">
              <w:rPr>
                <w:rFonts w:eastAsia="Times New Roman"/>
                <w:sz w:val="18"/>
                <w:szCs w:val="18"/>
              </w:rPr>
              <w:t>828 987,9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ACF" w:rsidRPr="000B69B6" w:rsidRDefault="00377ACF" w:rsidP="00C01D87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0B69B6">
              <w:rPr>
                <w:rFonts w:eastAsia="Times New Roman"/>
                <w:sz w:val="18"/>
                <w:szCs w:val="18"/>
              </w:rPr>
              <w:t>790 515,2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ACF" w:rsidRPr="0032615D" w:rsidRDefault="00377ACF" w:rsidP="00C01D87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32615D">
              <w:rPr>
                <w:rFonts w:eastAsia="Times New Roman"/>
                <w:sz w:val="18"/>
                <w:szCs w:val="18"/>
              </w:rPr>
              <w:t>265 551,6</w:t>
            </w:r>
            <w:r>
              <w:rPr>
                <w:rFonts w:eastAsia="Times New Roman"/>
                <w:sz w:val="18"/>
                <w:szCs w:val="18"/>
              </w:rPr>
              <w:t>**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ACF" w:rsidRPr="0032615D" w:rsidRDefault="00377ACF" w:rsidP="00C01D87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32615D">
              <w:rPr>
                <w:rFonts w:eastAsia="Times New Roman"/>
                <w:sz w:val="18"/>
                <w:szCs w:val="18"/>
              </w:rPr>
              <w:t>32,0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377ACF" w:rsidRPr="0032615D" w:rsidRDefault="00377ACF" w:rsidP="00C01D87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32615D">
              <w:rPr>
                <w:rFonts w:eastAsia="Times New Roman"/>
                <w:sz w:val="18"/>
                <w:szCs w:val="18"/>
              </w:rPr>
              <w:t>31,1</w:t>
            </w:r>
          </w:p>
        </w:tc>
      </w:tr>
    </w:tbl>
    <w:p w:rsidR="00377ACF" w:rsidRPr="00767831" w:rsidRDefault="00377ACF" w:rsidP="00377ACF">
      <w:pPr>
        <w:pStyle w:val="af8"/>
        <w:ind w:left="0"/>
        <w:jc w:val="both"/>
        <w:rPr>
          <w:sz w:val="18"/>
          <w:szCs w:val="18"/>
        </w:rPr>
      </w:pPr>
      <w:r>
        <w:t>*</w:t>
      </w:r>
      <w:r w:rsidRPr="00767831">
        <w:rPr>
          <w:sz w:val="18"/>
          <w:szCs w:val="18"/>
        </w:rPr>
        <w:t>в состав бюджетных назначений и исполненных расходов включены объемы по ГБУ Волгоградской области «МФЦ» (48 731,7 тыс. руб.);</w:t>
      </w:r>
    </w:p>
    <w:p w:rsidR="00377ACF" w:rsidRPr="00767831" w:rsidRDefault="00377ACF" w:rsidP="00377ACF">
      <w:pPr>
        <w:pStyle w:val="af8"/>
        <w:ind w:left="0"/>
        <w:jc w:val="both"/>
        <w:rPr>
          <w:sz w:val="18"/>
          <w:szCs w:val="18"/>
        </w:rPr>
      </w:pPr>
      <w:r w:rsidRPr="00767831">
        <w:rPr>
          <w:sz w:val="18"/>
          <w:szCs w:val="18"/>
        </w:rPr>
        <w:t xml:space="preserve">**исполнение за </w:t>
      </w:r>
      <w:r w:rsidRPr="00767831">
        <w:rPr>
          <w:sz w:val="18"/>
          <w:szCs w:val="18"/>
          <w:lang w:val="en-US"/>
        </w:rPr>
        <w:t>I</w:t>
      </w:r>
      <w:r w:rsidRPr="00767831">
        <w:rPr>
          <w:sz w:val="18"/>
          <w:szCs w:val="18"/>
        </w:rPr>
        <w:t xml:space="preserve"> полугодие 2019 года</w:t>
      </w:r>
    </w:p>
    <w:p w:rsidR="00377ACF" w:rsidRDefault="00377ACF" w:rsidP="00377ACF">
      <w:pPr>
        <w:ind w:firstLine="680"/>
        <w:jc w:val="both"/>
      </w:pPr>
      <w:r w:rsidRPr="00E632B5">
        <w:t>Как видно из таблицы</w:t>
      </w:r>
      <w:r>
        <w:t>,</w:t>
      </w:r>
      <w:r w:rsidRPr="00E632B5">
        <w:t xml:space="preserve"> в 2017 году были увеличены бюджетные </w:t>
      </w:r>
      <w:r>
        <w:t>назначения</w:t>
      </w:r>
      <w:r w:rsidRPr="00E632B5">
        <w:t xml:space="preserve"> по отношению к объему финансирования, предусмотренному Подпрограммой, на 76</w:t>
      </w:r>
      <w:r>
        <w:t>,</w:t>
      </w:r>
      <w:r w:rsidRPr="00E632B5">
        <w:t>96</w:t>
      </w:r>
      <w:r>
        <w:t xml:space="preserve"> млн.</w:t>
      </w:r>
      <w:r w:rsidRPr="00E632B5">
        <w:t xml:space="preserve"> руб. </w:t>
      </w:r>
      <w:r>
        <w:t>(</w:t>
      </w:r>
      <w:r w:rsidRPr="00E632B5">
        <w:t xml:space="preserve">на основании уведомлений комитета финансов Волгоградской области после </w:t>
      </w:r>
      <w:r>
        <w:t>внесения последних поправок в</w:t>
      </w:r>
      <w:r w:rsidRPr="00E632B5">
        <w:t xml:space="preserve"> Закон об областном бюджете</w:t>
      </w:r>
      <w:r>
        <w:t xml:space="preserve"> на 2017 год) </w:t>
      </w:r>
      <w:r w:rsidRPr="00E632B5">
        <w:t xml:space="preserve">на обеспечение деятельности </w:t>
      </w:r>
      <w:r w:rsidRPr="00431D1E">
        <w:t>ГКУ «МФЦ»</w:t>
      </w:r>
      <w:r>
        <w:rPr>
          <w:rFonts w:eastAsiaTheme="minorHAnsi"/>
          <w:lang w:eastAsia="en-US"/>
        </w:rPr>
        <w:t xml:space="preserve"> </w:t>
      </w:r>
      <w:r w:rsidRPr="00E632B5">
        <w:t xml:space="preserve">для завершения процесса централизации сети МФЦ. </w:t>
      </w:r>
    </w:p>
    <w:p w:rsidR="00377ACF" w:rsidRDefault="00377ACF" w:rsidP="00377ACF">
      <w:pPr>
        <w:ind w:firstLine="680"/>
        <w:jc w:val="both"/>
      </w:pPr>
      <w:r w:rsidRPr="000F51ED">
        <w:rPr>
          <w:color w:val="000000"/>
        </w:rPr>
        <w:t>В 2018 году были сокращены бюджетные назначения по отношению к предусмотренным Подпрограммой объемам финансирования на 128</w:t>
      </w:r>
      <w:r>
        <w:rPr>
          <w:color w:val="000000"/>
        </w:rPr>
        <w:t>,5 млн.</w:t>
      </w:r>
      <w:r w:rsidRPr="000F51ED">
        <w:rPr>
          <w:color w:val="000000"/>
        </w:rPr>
        <w:t xml:space="preserve"> руб. (-15,7%), что связано с </w:t>
      </w:r>
      <w:r w:rsidRPr="000F51ED">
        <w:t xml:space="preserve">отсутствием потребности на оплату труда в </w:t>
      </w:r>
      <w:r w:rsidRPr="00431D1E">
        <w:t>ГКУ «МФЦ»</w:t>
      </w:r>
      <w:r>
        <w:rPr>
          <w:rFonts w:eastAsiaTheme="minorHAnsi"/>
          <w:lang w:eastAsia="en-US"/>
        </w:rPr>
        <w:t xml:space="preserve"> </w:t>
      </w:r>
      <w:r w:rsidRPr="000F51ED">
        <w:t>в связи с сокращением в 2018 году штатной численности и наличием значительного количества вакантных должностей</w:t>
      </w:r>
      <w:r>
        <w:t>.</w:t>
      </w:r>
      <w:r w:rsidRPr="00EE3246">
        <w:t xml:space="preserve"> </w:t>
      </w:r>
      <w:r>
        <w:t>Ф</w:t>
      </w:r>
      <w:r w:rsidRPr="00EE3246">
        <w:t xml:space="preserve">актические расходы </w:t>
      </w:r>
      <w:r>
        <w:t>в 2018 году по от</w:t>
      </w:r>
      <w:r w:rsidRPr="00EE3246">
        <w:t>ношению к 201</w:t>
      </w:r>
      <w:r>
        <w:t>7</w:t>
      </w:r>
      <w:r w:rsidRPr="00EE3246">
        <w:t xml:space="preserve"> году выросли на 327,6 млн. руб., или в 2 раза,</w:t>
      </w:r>
      <w:r w:rsidRPr="00EE3246">
        <w:rPr>
          <w:rFonts w:eastAsia="Times New Roman"/>
        </w:rPr>
        <w:t xml:space="preserve"> что</w:t>
      </w:r>
      <w:r>
        <w:rPr>
          <w:rFonts w:eastAsia="Times New Roman"/>
        </w:rPr>
        <w:t xml:space="preserve"> связано</w:t>
      </w:r>
      <w:r w:rsidRPr="006415AB">
        <w:rPr>
          <w:rFonts w:eastAsia="Times New Roman"/>
        </w:rPr>
        <w:t xml:space="preserve"> с централизацией сети МФЦ</w:t>
      </w:r>
      <w:r>
        <w:rPr>
          <w:rFonts w:eastAsia="Times New Roman"/>
        </w:rPr>
        <w:t xml:space="preserve"> региона.</w:t>
      </w:r>
    </w:p>
    <w:p w:rsidR="00377ACF" w:rsidRDefault="00DA0200" w:rsidP="00377ACF">
      <w:pPr>
        <w:ind w:firstLine="680"/>
        <w:jc w:val="both"/>
      </w:pPr>
      <w:r>
        <w:rPr>
          <w:bCs/>
        </w:rPr>
        <w:t xml:space="preserve">В рамках </w:t>
      </w:r>
      <w:r w:rsidR="00377ACF" w:rsidRPr="00A3632E">
        <w:rPr>
          <w:bCs/>
        </w:rPr>
        <w:t>подпрограммы «Р</w:t>
      </w:r>
      <w:r w:rsidR="00377ACF" w:rsidRPr="00A3632E">
        <w:t>азвитие и поддержка малого и среднего предпринимательства в Волгоградской области» Госпрограммы</w:t>
      </w:r>
      <w:r w:rsidR="00F23EEB">
        <w:t xml:space="preserve"> </w:t>
      </w:r>
      <w:r>
        <w:t xml:space="preserve">осуществлялось финансирование </w:t>
      </w:r>
      <w:r w:rsidR="00377ACF" w:rsidRPr="00A3632E">
        <w:t>мероприяти</w:t>
      </w:r>
      <w:r>
        <w:t>я</w:t>
      </w:r>
      <w:r w:rsidR="00377ACF" w:rsidRPr="00A3632E">
        <w:t xml:space="preserve"> «С</w:t>
      </w:r>
      <w:r w:rsidR="00377ACF" w:rsidRPr="009F54C5">
        <w:t>оздание многофункциональных центров для бизнеса, в которых организуется предоставление услуг и мер поддержки для субъектов малого и среднего предпринимательства</w:t>
      </w:r>
      <w:r w:rsidR="00377ACF" w:rsidRPr="00A3632E">
        <w:t>»: подпрограммой предусмотрено финансирование в размере 5</w:t>
      </w:r>
      <w:r w:rsidR="00377ACF">
        <w:t>,0 млн. руб.</w:t>
      </w:r>
      <w:r>
        <w:t xml:space="preserve"> (з</w:t>
      </w:r>
      <w:r w:rsidR="00377ACF" w:rsidRPr="00A3632E">
        <w:t xml:space="preserve">а счет средств федерального </w:t>
      </w:r>
      <w:r>
        <w:t xml:space="preserve">и областного </w:t>
      </w:r>
      <w:r w:rsidR="00377ACF" w:rsidRPr="00A3632E">
        <w:t>бюджет</w:t>
      </w:r>
      <w:r>
        <w:t xml:space="preserve">ов соответственно </w:t>
      </w:r>
      <w:r w:rsidR="00377ACF" w:rsidRPr="00A3632E">
        <w:t>4</w:t>
      </w:r>
      <w:r w:rsidR="00377ACF">
        <w:t>,0 млн.</w:t>
      </w:r>
      <w:r w:rsidR="00377ACF" w:rsidRPr="00A3632E">
        <w:t xml:space="preserve"> руб.</w:t>
      </w:r>
      <w:r>
        <w:t xml:space="preserve"> и </w:t>
      </w:r>
      <w:r w:rsidR="00377ACF" w:rsidRPr="00A3632E">
        <w:t>1</w:t>
      </w:r>
      <w:r w:rsidR="00377ACF">
        <w:t>,0 млн.</w:t>
      </w:r>
      <w:r w:rsidR="00377ACF" w:rsidRPr="00A3632E">
        <w:t xml:space="preserve"> руб.), фактически израсходовано 4</w:t>
      </w:r>
      <w:r w:rsidR="00377ACF">
        <w:t>,97 млн.</w:t>
      </w:r>
      <w:r w:rsidR="00377ACF" w:rsidRPr="00A3632E">
        <w:t xml:space="preserve"> руб.</w:t>
      </w:r>
      <w:r w:rsidR="00377ACF">
        <w:t xml:space="preserve"> в 2017 году и</w:t>
      </w:r>
      <w:r w:rsidR="00377ACF" w:rsidRPr="00A3632E">
        <w:t xml:space="preserve"> неиспользованный в 2017 году остаток средств в размере </w:t>
      </w:r>
      <w:r w:rsidR="00377ACF">
        <w:t>0,03 млн.</w:t>
      </w:r>
      <w:r w:rsidR="00377ACF" w:rsidRPr="00A3632E">
        <w:t xml:space="preserve"> руб.</w:t>
      </w:r>
      <w:r w:rsidR="00377ACF">
        <w:t xml:space="preserve"> -</w:t>
      </w:r>
      <w:r w:rsidR="00377ACF" w:rsidRPr="00A3632E">
        <w:t xml:space="preserve"> в 2018 году.</w:t>
      </w:r>
      <w:r w:rsidR="00377ACF">
        <w:t xml:space="preserve"> </w:t>
      </w:r>
    </w:p>
    <w:p w:rsidR="00377ACF" w:rsidRDefault="00377ACF" w:rsidP="00377ACF">
      <w:pPr>
        <w:autoSpaceDE w:val="0"/>
        <w:autoSpaceDN w:val="0"/>
        <w:adjustRightInd w:val="0"/>
        <w:ind w:firstLine="680"/>
        <w:jc w:val="both"/>
        <w:rPr>
          <w:rFonts w:eastAsiaTheme="minorHAnsi"/>
          <w:lang w:eastAsia="en-US"/>
        </w:rPr>
      </w:pPr>
      <w:r>
        <w:t xml:space="preserve">Всего на развитие региональной инфраструктуры предоставления услуг (в т.ч. на централизацию </w:t>
      </w:r>
      <w:r>
        <w:rPr>
          <w:rFonts w:eastAsiaTheme="minorHAnsi"/>
          <w:lang w:eastAsia="en-US"/>
        </w:rPr>
        <w:t>системы организации МФЦ, обеспечение</w:t>
      </w:r>
      <w:r w:rsidRPr="00EB772C">
        <w:rPr>
          <w:rFonts w:eastAsiaTheme="minorHAnsi"/>
          <w:lang w:eastAsia="en-US"/>
        </w:rPr>
        <w:t xml:space="preserve"> </w:t>
      </w:r>
      <w:r w:rsidRPr="00431D1E">
        <w:t>«</w:t>
      </w:r>
      <w:r>
        <w:rPr>
          <w:rFonts w:eastAsiaTheme="minorHAnsi"/>
          <w:lang w:eastAsia="en-US"/>
        </w:rPr>
        <w:t>окон для бизнеса</w:t>
      </w:r>
      <w:r w:rsidRPr="00431D1E">
        <w:t>»</w:t>
      </w:r>
      <w:r>
        <w:rPr>
          <w:rFonts w:eastAsiaTheme="minorHAnsi"/>
          <w:lang w:eastAsia="en-US"/>
        </w:rPr>
        <w:t xml:space="preserve"> в целях оказания поддержки </w:t>
      </w:r>
      <w:proofErr w:type="spellStart"/>
      <w:r>
        <w:rPr>
          <w:rFonts w:eastAsiaTheme="minorHAnsi"/>
          <w:lang w:eastAsia="en-US"/>
        </w:rPr>
        <w:t>бизнес-сообществу</w:t>
      </w:r>
      <w:proofErr w:type="spellEnd"/>
      <w:r>
        <w:rPr>
          <w:rFonts w:eastAsiaTheme="minorHAnsi"/>
          <w:lang w:eastAsia="en-US"/>
        </w:rPr>
        <w:t xml:space="preserve">) за 2017, 2018 годы и </w:t>
      </w:r>
      <w:r>
        <w:rPr>
          <w:rFonts w:eastAsiaTheme="minorHAnsi"/>
          <w:lang w:val="en-US" w:eastAsia="en-US"/>
        </w:rPr>
        <w:t>I</w:t>
      </w:r>
      <w:r>
        <w:rPr>
          <w:rFonts w:eastAsiaTheme="minorHAnsi"/>
          <w:lang w:eastAsia="en-US"/>
        </w:rPr>
        <w:t xml:space="preserve"> полугодие 2019 года было направлено 1 258,8 млн. рублей.</w:t>
      </w:r>
    </w:p>
    <w:p w:rsidR="00CF629D" w:rsidRDefault="00CF629D" w:rsidP="00377ACF">
      <w:pPr>
        <w:autoSpaceDE w:val="0"/>
        <w:autoSpaceDN w:val="0"/>
        <w:adjustRightInd w:val="0"/>
        <w:ind w:firstLine="709"/>
        <w:jc w:val="center"/>
        <w:rPr>
          <w:b/>
          <w:bCs/>
        </w:rPr>
      </w:pPr>
    </w:p>
    <w:p w:rsidR="00377ACF" w:rsidRPr="000149E9" w:rsidRDefault="00377ACF" w:rsidP="00377ACF">
      <w:pPr>
        <w:autoSpaceDE w:val="0"/>
        <w:autoSpaceDN w:val="0"/>
        <w:adjustRightInd w:val="0"/>
        <w:ind w:firstLine="709"/>
        <w:jc w:val="center"/>
        <w:rPr>
          <w:b/>
          <w:bCs/>
        </w:rPr>
      </w:pPr>
      <w:r w:rsidRPr="00F43855">
        <w:rPr>
          <w:b/>
          <w:bCs/>
        </w:rPr>
        <w:t>Расходы на обеспечение деятельности</w:t>
      </w:r>
      <w:r>
        <w:rPr>
          <w:b/>
          <w:bCs/>
        </w:rPr>
        <w:t xml:space="preserve"> </w:t>
      </w:r>
      <w:r w:rsidRPr="000149E9">
        <w:rPr>
          <w:b/>
        </w:rPr>
        <w:t>ГКУ «МФЦ»</w:t>
      </w:r>
    </w:p>
    <w:p w:rsidR="00F23EEB" w:rsidRDefault="00377ACF" w:rsidP="00377ACF">
      <w:pPr>
        <w:autoSpaceDE w:val="0"/>
        <w:autoSpaceDN w:val="0"/>
        <w:adjustRightInd w:val="0"/>
        <w:ind w:firstLine="680"/>
        <w:jc w:val="both"/>
        <w:rPr>
          <w:rFonts w:eastAsia="Times New Roman"/>
        </w:rPr>
      </w:pPr>
      <w:r>
        <w:rPr>
          <w:rFonts w:eastAsia="Times New Roman"/>
        </w:rPr>
        <w:t xml:space="preserve">Расходы </w:t>
      </w:r>
      <w:r w:rsidRPr="006415AB">
        <w:rPr>
          <w:rFonts w:eastAsia="Times New Roman"/>
        </w:rPr>
        <w:t xml:space="preserve">ГКУ </w:t>
      </w:r>
      <w:r w:rsidRPr="000149E9">
        <w:t xml:space="preserve">«МФЦ» </w:t>
      </w:r>
      <w:r w:rsidRPr="006415AB">
        <w:rPr>
          <w:rFonts w:eastAsia="Times New Roman"/>
        </w:rPr>
        <w:t xml:space="preserve">в 2018 году </w:t>
      </w:r>
      <w:r>
        <w:rPr>
          <w:rFonts w:eastAsia="Times New Roman"/>
        </w:rPr>
        <w:t xml:space="preserve">составили </w:t>
      </w:r>
      <w:r w:rsidRPr="006415AB">
        <w:rPr>
          <w:rFonts w:eastAsia="Times New Roman"/>
        </w:rPr>
        <w:t>65</w:t>
      </w:r>
      <w:r>
        <w:rPr>
          <w:rFonts w:eastAsia="Times New Roman"/>
        </w:rPr>
        <w:t>8,0 млн.</w:t>
      </w:r>
      <w:r w:rsidRPr="006415AB">
        <w:rPr>
          <w:rFonts w:eastAsia="Times New Roman"/>
        </w:rPr>
        <w:t xml:space="preserve"> руб., что на 371</w:t>
      </w:r>
      <w:r>
        <w:rPr>
          <w:rFonts w:eastAsia="Times New Roman"/>
        </w:rPr>
        <w:t xml:space="preserve">,4 млн. руб. (в 2,3 раза) выше расходов 2017 года. За </w:t>
      </w:r>
      <w:r>
        <w:rPr>
          <w:rFonts w:eastAsia="Times New Roman"/>
          <w:lang w:val="en-US"/>
        </w:rPr>
        <w:t>I</w:t>
      </w:r>
      <w:r w:rsidRPr="003808DD">
        <w:rPr>
          <w:rFonts w:eastAsia="Times New Roman"/>
        </w:rPr>
        <w:t xml:space="preserve"> </w:t>
      </w:r>
      <w:r>
        <w:rPr>
          <w:rFonts w:eastAsia="Times New Roman"/>
        </w:rPr>
        <w:t xml:space="preserve"> полугодие 2019 года расходы произведены в размере 265,6 млн. руб., что составляет 40,4% от расходов 2018 года</w:t>
      </w:r>
      <w:r w:rsidR="00F23EEB">
        <w:rPr>
          <w:rFonts w:eastAsia="Times New Roman"/>
        </w:rPr>
        <w:t>.</w:t>
      </w:r>
    </w:p>
    <w:p w:rsidR="00377ACF" w:rsidRPr="009D3BCC" w:rsidRDefault="00377ACF" w:rsidP="00377ACF">
      <w:pPr>
        <w:autoSpaceDE w:val="0"/>
        <w:autoSpaceDN w:val="0"/>
        <w:adjustRightInd w:val="0"/>
        <w:ind w:firstLine="680"/>
        <w:jc w:val="both"/>
        <w:rPr>
          <w:rFonts w:eastAsia="Times New Roman"/>
          <w:bCs/>
        </w:rPr>
      </w:pPr>
      <w:r>
        <w:rPr>
          <w:rFonts w:eastAsia="Times New Roman"/>
          <w:bCs/>
        </w:rPr>
        <w:t xml:space="preserve">Основную долю расходов </w:t>
      </w:r>
      <w:r w:rsidRPr="006415AB">
        <w:rPr>
          <w:rFonts w:eastAsia="Times New Roman"/>
        </w:rPr>
        <w:t xml:space="preserve">ГКУ </w:t>
      </w:r>
      <w:r w:rsidRPr="000149E9">
        <w:t xml:space="preserve">«МФЦ» </w:t>
      </w:r>
      <w:r>
        <w:rPr>
          <w:rFonts w:eastAsia="Times New Roman"/>
          <w:bCs/>
        </w:rPr>
        <w:t xml:space="preserve">составляют расходы на оплату труда с начислениями (в 2017 году доля указанных расходов в общей сумме исполненных расходов составила 93,3%, в 2018 году - 84,2%, за 6 месяцев 2019 года - 90,4%), что представлено в таблице. </w:t>
      </w:r>
    </w:p>
    <w:p w:rsidR="00377ACF" w:rsidRPr="009D3BCC" w:rsidRDefault="00377ACF" w:rsidP="00377ACF">
      <w:pPr>
        <w:autoSpaceDE w:val="0"/>
        <w:autoSpaceDN w:val="0"/>
        <w:adjustRightInd w:val="0"/>
        <w:ind w:firstLine="720"/>
        <w:jc w:val="right"/>
        <w:rPr>
          <w:rFonts w:eastAsia="Times New Roman"/>
          <w:bCs/>
          <w:sz w:val="20"/>
          <w:szCs w:val="20"/>
        </w:rPr>
      </w:pPr>
      <w:r w:rsidRPr="009D3BCC">
        <w:rPr>
          <w:rFonts w:eastAsia="Times New Roman"/>
          <w:bCs/>
          <w:sz w:val="20"/>
          <w:szCs w:val="20"/>
        </w:rPr>
        <w:t>тыс. руб.</w:t>
      </w:r>
    </w:p>
    <w:tbl>
      <w:tblPr>
        <w:tblStyle w:val="af5"/>
        <w:tblW w:w="10206" w:type="dxa"/>
        <w:tblInd w:w="-459" w:type="dxa"/>
        <w:tblLook w:val="04A0"/>
      </w:tblPr>
      <w:tblGrid>
        <w:gridCol w:w="3016"/>
        <w:gridCol w:w="1379"/>
        <w:gridCol w:w="1134"/>
        <w:gridCol w:w="1275"/>
        <w:gridCol w:w="993"/>
        <w:gridCol w:w="1275"/>
        <w:gridCol w:w="1134"/>
      </w:tblGrid>
      <w:tr w:rsidR="00F23EEB" w:rsidRPr="00DF0C1C" w:rsidTr="00C01D87">
        <w:tc>
          <w:tcPr>
            <w:tcW w:w="301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EAF1DD" w:themeFill="accent3" w:themeFillTint="33"/>
            <w:vAlign w:val="center"/>
          </w:tcPr>
          <w:p w:rsidR="00377ACF" w:rsidRPr="00DF0C1C" w:rsidRDefault="00377ACF" w:rsidP="00C01D8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DF0C1C">
              <w:rPr>
                <w:b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513" w:type="dxa"/>
            <w:gridSpan w:val="2"/>
            <w:tcBorders>
              <w:top w:val="double" w:sz="4" w:space="0" w:color="auto"/>
            </w:tcBorders>
            <w:shd w:val="clear" w:color="auto" w:fill="EAF1DD" w:themeFill="accent3" w:themeFillTint="33"/>
            <w:vAlign w:val="center"/>
          </w:tcPr>
          <w:p w:rsidR="00377ACF" w:rsidRPr="007C6307" w:rsidRDefault="00377ACF" w:rsidP="00C01D87">
            <w:pPr>
              <w:autoSpaceDE w:val="0"/>
              <w:autoSpaceDN w:val="0"/>
              <w:adjustRightInd w:val="0"/>
              <w:ind w:left="-169" w:firstLine="169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7C6307">
              <w:rPr>
                <w:rFonts w:eastAsia="Times New Roman"/>
                <w:b/>
                <w:bCs/>
                <w:sz w:val="18"/>
                <w:szCs w:val="18"/>
              </w:rPr>
              <w:t>201</w:t>
            </w:r>
            <w:r>
              <w:rPr>
                <w:rFonts w:eastAsia="Times New Roman"/>
                <w:b/>
                <w:bCs/>
                <w:sz w:val="18"/>
                <w:szCs w:val="18"/>
              </w:rPr>
              <w:t>7 год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</w:tcBorders>
            <w:shd w:val="clear" w:color="auto" w:fill="EAF1DD" w:themeFill="accent3" w:themeFillTint="33"/>
            <w:vAlign w:val="center"/>
          </w:tcPr>
          <w:p w:rsidR="00377ACF" w:rsidRPr="007C6307" w:rsidRDefault="00377ACF" w:rsidP="00C01D87">
            <w:pPr>
              <w:ind w:left="-169" w:firstLine="169"/>
              <w:jc w:val="center"/>
              <w:rPr>
                <w:b/>
                <w:sz w:val="18"/>
                <w:szCs w:val="18"/>
              </w:rPr>
            </w:pPr>
            <w:r w:rsidRPr="007C6307">
              <w:rPr>
                <w:b/>
                <w:sz w:val="18"/>
                <w:szCs w:val="18"/>
              </w:rPr>
              <w:t>201</w:t>
            </w:r>
            <w:r>
              <w:rPr>
                <w:b/>
                <w:sz w:val="18"/>
                <w:szCs w:val="18"/>
              </w:rPr>
              <w:t>8 год</w:t>
            </w:r>
          </w:p>
        </w:tc>
        <w:tc>
          <w:tcPr>
            <w:tcW w:w="2409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377ACF" w:rsidRPr="007C6307" w:rsidRDefault="00377ACF" w:rsidP="00C01D87">
            <w:pPr>
              <w:ind w:left="-169" w:firstLine="16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6 мес. </w:t>
            </w:r>
            <w:r w:rsidRPr="007C6307">
              <w:rPr>
                <w:b/>
                <w:sz w:val="18"/>
                <w:szCs w:val="18"/>
              </w:rPr>
              <w:t>201</w:t>
            </w:r>
            <w:r>
              <w:rPr>
                <w:b/>
                <w:sz w:val="18"/>
                <w:szCs w:val="18"/>
              </w:rPr>
              <w:t>9 года</w:t>
            </w:r>
          </w:p>
        </w:tc>
      </w:tr>
      <w:tr w:rsidR="00F23EEB" w:rsidRPr="00DF0C1C" w:rsidTr="00C01D87">
        <w:tc>
          <w:tcPr>
            <w:tcW w:w="301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377ACF" w:rsidRPr="00DF0C1C" w:rsidRDefault="00377ACF" w:rsidP="00C01D8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1379" w:type="dxa"/>
            <w:tcBorders>
              <w:bottom w:val="double" w:sz="4" w:space="0" w:color="auto"/>
            </w:tcBorders>
            <w:shd w:val="clear" w:color="auto" w:fill="EAF1DD" w:themeFill="accent3" w:themeFillTint="33"/>
            <w:vAlign w:val="center"/>
          </w:tcPr>
          <w:p w:rsidR="00377ACF" w:rsidRPr="00DF0C1C" w:rsidRDefault="00377ACF" w:rsidP="00C01D87">
            <w:pPr>
              <w:jc w:val="center"/>
              <w:rPr>
                <w:b/>
                <w:sz w:val="18"/>
                <w:szCs w:val="18"/>
              </w:rPr>
            </w:pPr>
            <w:r w:rsidRPr="00DF0C1C">
              <w:rPr>
                <w:b/>
                <w:sz w:val="18"/>
                <w:szCs w:val="18"/>
              </w:rPr>
              <w:t xml:space="preserve">Утв. </w:t>
            </w:r>
            <w:r>
              <w:rPr>
                <w:b/>
                <w:sz w:val="18"/>
                <w:szCs w:val="18"/>
              </w:rPr>
              <w:t>с</w:t>
            </w:r>
            <w:r w:rsidRPr="00151B20">
              <w:rPr>
                <w:b/>
                <w:sz w:val="18"/>
                <w:szCs w:val="18"/>
              </w:rPr>
              <w:t>метой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EAF1DD" w:themeFill="accent3" w:themeFillTint="33"/>
            <w:vAlign w:val="center"/>
          </w:tcPr>
          <w:p w:rsidR="00377ACF" w:rsidRPr="00DF0C1C" w:rsidRDefault="00377ACF" w:rsidP="00C01D87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DF0C1C">
              <w:rPr>
                <w:b/>
                <w:sz w:val="18"/>
                <w:szCs w:val="18"/>
              </w:rPr>
              <w:t>Исполн</w:t>
            </w:r>
            <w:proofErr w:type="spellEnd"/>
            <w:r w:rsidRPr="00DF0C1C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EAF1DD" w:themeFill="accent3" w:themeFillTint="33"/>
            <w:vAlign w:val="center"/>
          </w:tcPr>
          <w:p w:rsidR="00377ACF" w:rsidRPr="00DF0C1C" w:rsidRDefault="00377ACF" w:rsidP="00C01D87">
            <w:pPr>
              <w:jc w:val="center"/>
              <w:rPr>
                <w:b/>
                <w:sz w:val="18"/>
                <w:szCs w:val="18"/>
              </w:rPr>
            </w:pPr>
            <w:r w:rsidRPr="00DF0C1C">
              <w:rPr>
                <w:b/>
                <w:sz w:val="18"/>
                <w:szCs w:val="18"/>
              </w:rPr>
              <w:t xml:space="preserve">Утв. </w:t>
            </w:r>
            <w:r>
              <w:rPr>
                <w:b/>
                <w:sz w:val="18"/>
                <w:szCs w:val="18"/>
              </w:rPr>
              <w:t>сметой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shd w:val="clear" w:color="auto" w:fill="EAF1DD" w:themeFill="accent3" w:themeFillTint="33"/>
            <w:vAlign w:val="center"/>
          </w:tcPr>
          <w:p w:rsidR="00377ACF" w:rsidRPr="00DF0C1C" w:rsidRDefault="00377ACF" w:rsidP="00C01D87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DF0C1C">
              <w:rPr>
                <w:b/>
                <w:sz w:val="18"/>
                <w:szCs w:val="18"/>
              </w:rPr>
              <w:t>Исполн</w:t>
            </w:r>
            <w:proofErr w:type="spellEnd"/>
            <w:r w:rsidRPr="00DF0C1C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EAF1DD" w:themeFill="accent3" w:themeFillTint="33"/>
            <w:vAlign w:val="center"/>
          </w:tcPr>
          <w:p w:rsidR="00377ACF" w:rsidRPr="00DF0C1C" w:rsidRDefault="00377ACF" w:rsidP="00C01D87">
            <w:pPr>
              <w:jc w:val="center"/>
              <w:rPr>
                <w:b/>
                <w:sz w:val="18"/>
                <w:szCs w:val="18"/>
              </w:rPr>
            </w:pPr>
            <w:r w:rsidRPr="00DF0C1C">
              <w:rPr>
                <w:b/>
                <w:sz w:val="18"/>
                <w:szCs w:val="18"/>
              </w:rPr>
              <w:t xml:space="preserve">Утв. </w:t>
            </w:r>
            <w:r>
              <w:rPr>
                <w:b/>
                <w:sz w:val="18"/>
                <w:szCs w:val="18"/>
              </w:rPr>
              <w:t>сметой</w:t>
            </w:r>
          </w:p>
        </w:tc>
        <w:tc>
          <w:tcPr>
            <w:tcW w:w="1134" w:type="dxa"/>
            <w:tcBorders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377ACF" w:rsidRPr="00DF0C1C" w:rsidRDefault="00377ACF" w:rsidP="00C01D87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DF0C1C">
              <w:rPr>
                <w:b/>
                <w:sz w:val="18"/>
                <w:szCs w:val="18"/>
              </w:rPr>
              <w:t>Исполн</w:t>
            </w:r>
            <w:proofErr w:type="spellEnd"/>
            <w:r w:rsidRPr="00DF0C1C">
              <w:rPr>
                <w:b/>
                <w:sz w:val="18"/>
                <w:szCs w:val="18"/>
              </w:rPr>
              <w:t>.</w:t>
            </w:r>
          </w:p>
        </w:tc>
      </w:tr>
      <w:tr w:rsidR="00F23EEB" w:rsidRPr="00732C3D" w:rsidTr="00C01D87">
        <w:tc>
          <w:tcPr>
            <w:tcW w:w="3016" w:type="dxa"/>
            <w:tcBorders>
              <w:left w:val="double" w:sz="4" w:space="0" w:color="auto"/>
            </w:tcBorders>
          </w:tcPr>
          <w:p w:rsidR="00377ACF" w:rsidRPr="00FE1D9B" w:rsidRDefault="00377ACF" w:rsidP="00C01D8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  <w:sz w:val="18"/>
                <w:szCs w:val="18"/>
              </w:rPr>
            </w:pPr>
            <w:r w:rsidRPr="00FE1D9B">
              <w:rPr>
                <w:rFonts w:eastAsia="Times New Roman"/>
                <w:bCs/>
                <w:sz w:val="18"/>
                <w:szCs w:val="18"/>
              </w:rPr>
              <w:t>Фонд оплаты труда учреждения</w:t>
            </w:r>
            <w:r w:rsidR="00F23EEB">
              <w:rPr>
                <w:rFonts w:eastAsia="Times New Roman"/>
                <w:bCs/>
                <w:sz w:val="18"/>
                <w:szCs w:val="18"/>
              </w:rPr>
              <w:t xml:space="preserve"> (с премиальными выплатами)</w:t>
            </w:r>
          </w:p>
        </w:tc>
        <w:tc>
          <w:tcPr>
            <w:tcW w:w="1379" w:type="dxa"/>
            <w:vAlign w:val="center"/>
          </w:tcPr>
          <w:p w:rsidR="00377ACF" w:rsidRPr="00FE1D9B" w:rsidRDefault="00377ACF" w:rsidP="00F23EEB">
            <w:pPr>
              <w:jc w:val="center"/>
              <w:rPr>
                <w:sz w:val="18"/>
                <w:szCs w:val="18"/>
              </w:rPr>
            </w:pPr>
            <w:r w:rsidRPr="00FE1D9B">
              <w:rPr>
                <w:sz w:val="18"/>
                <w:szCs w:val="18"/>
              </w:rPr>
              <w:t>216 </w:t>
            </w:r>
            <w:r w:rsidR="00F23EEB">
              <w:rPr>
                <w:sz w:val="18"/>
                <w:szCs w:val="18"/>
              </w:rPr>
              <w:t>5</w:t>
            </w:r>
            <w:r w:rsidRPr="00FE1D9B">
              <w:rPr>
                <w:sz w:val="18"/>
                <w:szCs w:val="18"/>
              </w:rPr>
              <w:t>51,9</w:t>
            </w:r>
          </w:p>
        </w:tc>
        <w:tc>
          <w:tcPr>
            <w:tcW w:w="1134" w:type="dxa"/>
            <w:vAlign w:val="center"/>
          </w:tcPr>
          <w:p w:rsidR="00377ACF" w:rsidRPr="00FE1D9B" w:rsidRDefault="00377ACF" w:rsidP="00F23EEB">
            <w:pPr>
              <w:jc w:val="center"/>
              <w:rPr>
                <w:sz w:val="18"/>
                <w:szCs w:val="18"/>
              </w:rPr>
            </w:pPr>
            <w:r w:rsidRPr="00FE1D9B">
              <w:rPr>
                <w:sz w:val="18"/>
                <w:szCs w:val="18"/>
              </w:rPr>
              <w:t>2</w:t>
            </w:r>
            <w:r w:rsidR="00F23EEB">
              <w:rPr>
                <w:sz w:val="18"/>
                <w:szCs w:val="18"/>
              </w:rPr>
              <w:t>10</w:t>
            </w:r>
            <w:r w:rsidRPr="00FE1D9B">
              <w:rPr>
                <w:sz w:val="18"/>
                <w:szCs w:val="18"/>
              </w:rPr>
              <w:t> </w:t>
            </w:r>
            <w:r w:rsidR="00F23EEB">
              <w:rPr>
                <w:sz w:val="18"/>
                <w:szCs w:val="18"/>
              </w:rPr>
              <w:t>3</w:t>
            </w:r>
            <w:r w:rsidRPr="00FE1D9B">
              <w:rPr>
                <w:sz w:val="18"/>
                <w:szCs w:val="18"/>
              </w:rPr>
              <w:t>31,7</w:t>
            </w:r>
          </w:p>
        </w:tc>
        <w:tc>
          <w:tcPr>
            <w:tcW w:w="1275" w:type="dxa"/>
            <w:vAlign w:val="center"/>
          </w:tcPr>
          <w:p w:rsidR="00377ACF" w:rsidRPr="00FE1D9B" w:rsidRDefault="00F23EEB" w:rsidP="00F23E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466 410,6</w:t>
            </w:r>
          </w:p>
        </w:tc>
        <w:tc>
          <w:tcPr>
            <w:tcW w:w="993" w:type="dxa"/>
            <w:vAlign w:val="center"/>
          </w:tcPr>
          <w:p w:rsidR="00377ACF" w:rsidRPr="00FE1D9B" w:rsidRDefault="00377ACF" w:rsidP="00F23EEB">
            <w:pPr>
              <w:jc w:val="center"/>
              <w:rPr>
                <w:sz w:val="18"/>
                <w:szCs w:val="18"/>
              </w:rPr>
            </w:pPr>
            <w:r w:rsidRPr="00FE1D9B">
              <w:rPr>
                <w:sz w:val="18"/>
                <w:szCs w:val="18"/>
              </w:rPr>
              <w:t>4</w:t>
            </w:r>
            <w:r w:rsidR="00F23EEB">
              <w:rPr>
                <w:sz w:val="18"/>
                <w:szCs w:val="18"/>
              </w:rPr>
              <w:t>43 344,9</w:t>
            </w:r>
          </w:p>
        </w:tc>
        <w:tc>
          <w:tcPr>
            <w:tcW w:w="1275" w:type="dxa"/>
            <w:vAlign w:val="center"/>
          </w:tcPr>
          <w:p w:rsidR="00377ACF" w:rsidRPr="00FE1D9B" w:rsidRDefault="00377ACF" w:rsidP="00F23EEB">
            <w:pPr>
              <w:jc w:val="center"/>
              <w:rPr>
                <w:sz w:val="18"/>
                <w:szCs w:val="18"/>
              </w:rPr>
            </w:pPr>
            <w:r w:rsidRPr="00FE1D9B">
              <w:rPr>
                <w:sz w:val="18"/>
                <w:szCs w:val="18"/>
              </w:rPr>
              <w:t>5</w:t>
            </w:r>
            <w:r w:rsidR="00F23EEB">
              <w:rPr>
                <w:sz w:val="18"/>
                <w:szCs w:val="18"/>
              </w:rPr>
              <w:t>46 384</w:t>
            </w:r>
            <w:r w:rsidRPr="00FE1D9B"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:rsidR="00377ACF" w:rsidRPr="00FE1D9B" w:rsidRDefault="00377ACF" w:rsidP="00F23EEB">
            <w:pPr>
              <w:jc w:val="center"/>
              <w:rPr>
                <w:sz w:val="18"/>
                <w:szCs w:val="18"/>
              </w:rPr>
            </w:pPr>
            <w:r w:rsidRPr="00FE1D9B">
              <w:rPr>
                <w:sz w:val="18"/>
                <w:szCs w:val="18"/>
              </w:rPr>
              <w:t>1</w:t>
            </w:r>
            <w:r w:rsidR="00F23EEB">
              <w:rPr>
                <w:sz w:val="18"/>
                <w:szCs w:val="18"/>
              </w:rPr>
              <w:t>84 040,1</w:t>
            </w:r>
          </w:p>
        </w:tc>
      </w:tr>
      <w:tr w:rsidR="00F23EEB" w:rsidRPr="00732C3D" w:rsidTr="00C01D87">
        <w:tc>
          <w:tcPr>
            <w:tcW w:w="3016" w:type="dxa"/>
            <w:tcBorders>
              <w:left w:val="double" w:sz="4" w:space="0" w:color="auto"/>
            </w:tcBorders>
          </w:tcPr>
          <w:p w:rsidR="00377ACF" w:rsidRPr="00FE1D9B" w:rsidRDefault="00377ACF" w:rsidP="00C01D8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  <w:sz w:val="18"/>
                <w:szCs w:val="18"/>
              </w:rPr>
            </w:pPr>
            <w:r w:rsidRPr="00FE1D9B">
              <w:rPr>
                <w:rFonts w:eastAsia="Times New Roman"/>
                <w:bCs/>
                <w:sz w:val="18"/>
                <w:szCs w:val="18"/>
              </w:rPr>
              <w:t xml:space="preserve">Взносы по обязательному социальному страхованию на выплаты по оплате труда работников </w:t>
            </w:r>
          </w:p>
        </w:tc>
        <w:tc>
          <w:tcPr>
            <w:tcW w:w="1379" w:type="dxa"/>
            <w:vAlign w:val="center"/>
          </w:tcPr>
          <w:p w:rsidR="00377ACF" w:rsidRPr="00FE1D9B" w:rsidRDefault="00377ACF" w:rsidP="00C01D87">
            <w:pPr>
              <w:jc w:val="center"/>
              <w:rPr>
                <w:sz w:val="18"/>
                <w:szCs w:val="18"/>
              </w:rPr>
            </w:pPr>
            <w:r w:rsidRPr="00FE1D9B">
              <w:rPr>
                <w:sz w:val="18"/>
                <w:szCs w:val="18"/>
              </w:rPr>
              <w:t>65 737,7</w:t>
            </w:r>
          </w:p>
        </w:tc>
        <w:tc>
          <w:tcPr>
            <w:tcW w:w="1134" w:type="dxa"/>
            <w:vAlign w:val="center"/>
          </w:tcPr>
          <w:p w:rsidR="00377ACF" w:rsidRPr="00FE1D9B" w:rsidRDefault="00377ACF" w:rsidP="00C01D87">
            <w:pPr>
              <w:jc w:val="center"/>
              <w:rPr>
                <w:sz w:val="18"/>
                <w:szCs w:val="18"/>
              </w:rPr>
            </w:pPr>
            <w:r w:rsidRPr="00FE1D9B">
              <w:rPr>
                <w:sz w:val="18"/>
                <w:szCs w:val="18"/>
              </w:rPr>
              <w:t>56 750,6</w:t>
            </w:r>
          </w:p>
        </w:tc>
        <w:tc>
          <w:tcPr>
            <w:tcW w:w="1275" w:type="dxa"/>
            <w:vAlign w:val="center"/>
          </w:tcPr>
          <w:p w:rsidR="00377ACF" w:rsidRPr="00FE1D9B" w:rsidRDefault="00377ACF" w:rsidP="00F23EEB">
            <w:pPr>
              <w:jc w:val="center"/>
              <w:rPr>
                <w:sz w:val="18"/>
                <w:szCs w:val="18"/>
              </w:rPr>
            </w:pPr>
            <w:r w:rsidRPr="00FE1D9B">
              <w:rPr>
                <w:sz w:val="18"/>
                <w:szCs w:val="18"/>
              </w:rPr>
              <w:t>1</w:t>
            </w:r>
            <w:r w:rsidR="00F23EEB">
              <w:rPr>
                <w:sz w:val="18"/>
                <w:szCs w:val="18"/>
              </w:rPr>
              <w:t>39 543,8</w:t>
            </w:r>
          </w:p>
        </w:tc>
        <w:tc>
          <w:tcPr>
            <w:tcW w:w="993" w:type="dxa"/>
            <w:vAlign w:val="center"/>
          </w:tcPr>
          <w:p w:rsidR="00377ACF" w:rsidRPr="00FE1D9B" w:rsidRDefault="00377ACF" w:rsidP="00F23EEB">
            <w:pPr>
              <w:jc w:val="center"/>
              <w:rPr>
                <w:sz w:val="18"/>
                <w:szCs w:val="18"/>
              </w:rPr>
            </w:pPr>
            <w:r w:rsidRPr="00FE1D9B">
              <w:rPr>
                <w:sz w:val="18"/>
                <w:szCs w:val="18"/>
              </w:rPr>
              <w:t>1</w:t>
            </w:r>
            <w:r w:rsidR="00F23EEB">
              <w:rPr>
                <w:sz w:val="18"/>
                <w:szCs w:val="18"/>
              </w:rPr>
              <w:t>37 506,8</w:t>
            </w:r>
          </w:p>
        </w:tc>
        <w:tc>
          <w:tcPr>
            <w:tcW w:w="1275" w:type="dxa"/>
            <w:vAlign w:val="center"/>
          </w:tcPr>
          <w:p w:rsidR="00377ACF" w:rsidRPr="00FE1D9B" w:rsidRDefault="00377ACF" w:rsidP="00F23EEB">
            <w:pPr>
              <w:jc w:val="center"/>
              <w:rPr>
                <w:sz w:val="18"/>
                <w:szCs w:val="18"/>
              </w:rPr>
            </w:pPr>
            <w:r w:rsidRPr="00FE1D9B">
              <w:rPr>
                <w:sz w:val="18"/>
                <w:szCs w:val="18"/>
              </w:rPr>
              <w:t>1</w:t>
            </w:r>
            <w:r w:rsidR="00F23EEB">
              <w:rPr>
                <w:sz w:val="18"/>
                <w:szCs w:val="18"/>
              </w:rPr>
              <w:t>53 934,1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:rsidR="00377ACF" w:rsidRPr="00FE1D9B" w:rsidRDefault="00377ACF" w:rsidP="00F23EEB">
            <w:pPr>
              <w:jc w:val="center"/>
              <w:rPr>
                <w:sz w:val="18"/>
                <w:szCs w:val="18"/>
              </w:rPr>
            </w:pPr>
            <w:r w:rsidRPr="00FE1D9B">
              <w:rPr>
                <w:sz w:val="18"/>
                <w:szCs w:val="18"/>
              </w:rPr>
              <w:t>5</w:t>
            </w:r>
            <w:r w:rsidR="00F23EEB">
              <w:rPr>
                <w:sz w:val="18"/>
                <w:szCs w:val="18"/>
              </w:rPr>
              <w:t>6 173,6</w:t>
            </w:r>
          </w:p>
        </w:tc>
      </w:tr>
      <w:tr w:rsidR="00F23EEB" w:rsidRPr="00DF0C1C" w:rsidTr="00C01D87">
        <w:tc>
          <w:tcPr>
            <w:tcW w:w="3016" w:type="dxa"/>
            <w:tcBorders>
              <w:left w:val="double" w:sz="4" w:space="0" w:color="auto"/>
              <w:bottom w:val="double" w:sz="4" w:space="0" w:color="auto"/>
            </w:tcBorders>
          </w:tcPr>
          <w:p w:rsidR="00377ACF" w:rsidRPr="00FE1D9B" w:rsidRDefault="00377ACF" w:rsidP="00C01D8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 xml:space="preserve">          </w:t>
            </w:r>
            <w:r w:rsidRPr="00FE1D9B">
              <w:rPr>
                <w:rFonts w:eastAsia="Times New Roman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1379" w:type="dxa"/>
            <w:tcBorders>
              <w:bottom w:val="double" w:sz="4" w:space="0" w:color="auto"/>
            </w:tcBorders>
            <w:vAlign w:val="center"/>
          </w:tcPr>
          <w:p w:rsidR="00377ACF" w:rsidRPr="00FE1D9B" w:rsidRDefault="00377ACF" w:rsidP="00C01D87">
            <w:pPr>
              <w:jc w:val="center"/>
              <w:rPr>
                <w:b/>
                <w:sz w:val="18"/>
                <w:szCs w:val="18"/>
              </w:rPr>
            </w:pPr>
            <w:r w:rsidRPr="00FE1D9B">
              <w:rPr>
                <w:b/>
                <w:sz w:val="18"/>
                <w:szCs w:val="18"/>
              </w:rPr>
              <w:t>282 289,6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377ACF" w:rsidRPr="00FE1D9B" w:rsidRDefault="00377ACF" w:rsidP="00C01D87">
            <w:pPr>
              <w:jc w:val="center"/>
              <w:rPr>
                <w:b/>
                <w:sz w:val="18"/>
                <w:szCs w:val="18"/>
              </w:rPr>
            </w:pPr>
            <w:r w:rsidRPr="00FE1D9B">
              <w:rPr>
                <w:b/>
                <w:sz w:val="18"/>
                <w:szCs w:val="18"/>
              </w:rPr>
              <w:t>267 082,3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vAlign w:val="center"/>
          </w:tcPr>
          <w:p w:rsidR="00377ACF" w:rsidRPr="00FE1D9B" w:rsidRDefault="00377ACF" w:rsidP="00C01D87">
            <w:pPr>
              <w:jc w:val="center"/>
              <w:rPr>
                <w:b/>
                <w:sz w:val="18"/>
                <w:szCs w:val="18"/>
              </w:rPr>
            </w:pPr>
            <w:r w:rsidRPr="00FE1D9B">
              <w:rPr>
                <w:b/>
                <w:sz w:val="18"/>
                <w:szCs w:val="18"/>
              </w:rPr>
              <w:t>605 954,4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vAlign w:val="center"/>
          </w:tcPr>
          <w:p w:rsidR="00377ACF" w:rsidRPr="00FE1D9B" w:rsidRDefault="00377ACF" w:rsidP="00C01D87">
            <w:pPr>
              <w:jc w:val="center"/>
              <w:rPr>
                <w:b/>
                <w:sz w:val="18"/>
                <w:szCs w:val="18"/>
              </w:rPr>
            </w:pPr>
            <w:r w:rsidRPr="00FE1D9B">
              <w:rPr>
                <w:b/>
                <w:sz w:val="18"/>
                <w:szCs w:val="18"/>
              </w:rPr>
              <w:t>580 851,7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vAlign w:val="center"/>
          </w:tcPr>
          <w:p w:rsidR="00377ACF" w:rsidRPr="00FE1D9B" w:rsidRDefault="00377ACF" w:rsidP="00C01D87">
            <w:pPr>
              <w:jc w:val="center"/>
              <w:rPr>
                <w:b/>
                <w:sz w:val="18"/>
                <w:szCs w:val="18"/>
              </w:rPr>
            </w:pPr>
            <w:r w:rsidRPr="00FE1D9B">
              <w:rPr>
                <w:b/>
                <w:sz w:val="18"/>
                <w:szCs w:val="18"/>
              </w:rPr>
              <w:t>700 318,1</w:t>
            </w:r>
          </w:p>
        </w:tc>
        <w:tc>
          <w:tcPr>
            <w:tcW w:w="113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77ACF" w:rsidRPr="00FE1D9B" w:rsidRDefault="00377ACF" w:rsidP="00C01D87">
            <w:pPr>
              <w:jc w:val="center"/>
              <w:rPr>
                <w:b/>
                <w:sz w:val="18"/>
                <w:szCs w:val="18"/>
              </w:rPr>
            </w:pPr>
            <w:r w:rsidRPr="00FE1D9B">
              <w:rPr>
                <w:b/>
                <w:sz w:val="18"/>
                <w:szCs w:val="18"/>
              </w:rPr>
              <w:t>240 213,7</w:t>
            </w:r>
          </w:p>
        </w:tc>
      </w:tr>
    </w:tbl>
    <w:p w:rsidR="00377ACF" w:rsidRDefault="001E78A8" w:rsidP="00377ACF">
      <w:pPr>
        <w:autoSpaceDE w:val="0"/>
        <w:autoSpaceDN w:val="0"/>
        <w:adjustRightInd w:val="0"/>
        <w:ind w:firstLine="680"/>
        <w:jc w:val="both"/>
      </w:pPr>
      <w:r>
        <w:lastRenderedPageBreak/>
        <w:t>В</w:t>
      </w:r>
      <w:r w:rsidR="00377ACF">
        <w:t xml:space="preserve"> 2018 году расходы на оплату труда с начислениями увеличились по сравнению с 2017 годом в 2,2 раза, что связано с увеличением </w:t>
      </w:r>
      <w:r w:rsidR="00377ACF" w:rsidRPr="00D62D70">
        <w:t xml:space="preserve">численности сотрудников </w:t>
      </w:r>
      <w:r w:rsidR="00377ACF" w:rsidRPr="006415AB">
        <w:rPr>
          <w:rFonts w:eastAsia="Times New Roman"/>
        </w:rPr>
        <w:t xml:space="preserve">ГКУ </w:t>
      </w:r>
      <w:r w:rsidR="00377ACF" w:rsidRPr="000149E9">
        <w:t>«МФЦ»</w:t>
      </w:r>
      <w:r w:rsidR="00377ACF">
        <w:t xml:space="preserve"> с 346 ед. на начало 2017 года до 1 217 ед. на начало 2018 года.</w:t>
      </w:r>
    </w:p>
    <w:p w:rsidR="00377ACF" w:rsidRDefault="00377ACF" w:rsidP="00377ACF">
      <w:pPr>
        <w:autoSpaceDE w:val="0"/>
        <w:autoSpaceDN w:val="0"/>
        <w:adjustRightInd w:val="0"/>
        <w:ind w:firstLine="680"/>
        <w:jc w:val="both"/>
      </w:pPr>
      <w:r>
        <w:t xml:space="preserve">Информация о штатной численности </w:t>
      </w:r>
      <w:r w:rsidRPr="006415AB">
        <w:rPr>
          <w:rFonts w:eastAsia="Times New Roman"/>
        </w:rPr>
        <w:t xml:space="preserve">ГКУ </w:t>
      </w:r>
      <w:r w:rsidRPr="000149E9">
        <w:t>«МФЦ»</w:t>
      </w:r>
      <w:r>
        <w:t xml:space="preserve"> представлена в таблице.</w:t>
      </w:r>
    </w:p>
    <w:tbl>
      <w:tblPr>
        <w:tblW w:w="9662" w:type="dxa"/>
        <w:tblInd w:w="85" w:type="dxa"/>
        <w:tblLayout w:type="fixed"/>
        <w:tblLook w:val="04A0"/>
      </w:tblPr>
      <w:tblGrid>
        <w:gridCol w:w="2289"/>
        <w:gridCol w:w="566"/>
        <w:gridCol w:w="708"/>
        <w:gridCol w:w="709"/>
        <w:gridCol w:w="854"/>
        <w:gridCol w:w="709"/>
        <w:gridCol w:w="851"/>
        <w:gridCol w:w="708"/>
        <w:gridCol w:w="851"/>
        <w:gridCol w:w="709"/>
        <w:gridCol w:w="708"/>
      </w:tblGrid>
      <w:tr w:rsidR="00377ACF" w:rsidRPr="004454DB" w:rsidTr="006D3873">
        <w:trPr>
          <w:trHeight w:val="233"/>
        </w:trPr>
        <w:tc>
          <w:tcPr>
            <w:tcW w:w="2289" w:type="dxa"/>
            <w:tcBorders>
              <w:top w:val="double" w:sz="6" w:space="0" w:color="000000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377ACF" w:rsidRPr="00503B15" w:rsidRDefault="006D3873" w:rsidP="00C01D87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503B15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274" w:type="dxa"/>
            <w:gridSpan w:val="2"/>
            <w:tcBorders>
              <w:top w:val="double" w:sz="6" w:space="0" w:color="000000"/>
              <w:left w:val="nil"/>
              <w:bottom w:val="double" w:sz="6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377ACF" w:rsidRPr="005F5016" w:rsidRDefault="00377ACF" w:rsidP="00C01D87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5F5016">
              <w:rPr>
                <w:rFonts w:eastAsia="Times New Roman"/>
                <w:b/>
                <w:color w:val="000000"/>
                <w:sz w:val="18"/>
                <w:szCs w:val="18"/>
              </w:rPr>
              <w:t>01.01.2017</w:t>
            </w:r>
          </w:p>
        </w:tc>
        <w:tc>
          <w:tcPr>
            <w:tcW w:w="1563" w:type="dxa"/>
            <w:gridSpan w:val="2"/>
            <w:tcBorders>
              <w:top w:val="double" w:sz="6" w:space="0" w:color="000000"/>
              <w:left w:val="nil"/>
              <w:bottom w:val="double" w:sz="6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377ACF" w:rsidRPr="005F5016" w:rsidRDefault="00377ACF" w:rsidP="00C01D87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5F5016">
              <w:rPr>
                <w:rFonts w:eastAsia="Times New Roman"/>
                <w:b/>
                <w:color w:val="000000"/>
                <w:sz w:val="18"/>
                <w:szCs w:val="18"/>
              </w:rPr>
              <w:t>01.01.2018</w:t>
            </w:r>
          </w:p>
        </w:tc>
        <w:tc>
          <w:tcPr>
            <w:tcW w:w="1560" w:type="dxa"/>
            <w:gridSpan w:val="2"/>
            <w:tcBorders>
              <w:top w:val="double" w:sz="6" w:space="0" w:color="000000"/>
              <w:left w:val="nil"/>
              <w:bottom w:val="double" w:sz="6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377ACF" w:rsidRPr="005F5016" w:rsidRDefault="00377ACF" w:rsidP="00C01D87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5F5016">
              <w:rPr>
                <w:rFonts w:eastAsia="Times New Roman"/>
                <w:b/>
                <w:color w:val="000000"/>
                <w:sz w:val="18"/>
                <w:szCs w:val="18"/>
              </w:rPr>
              <w:t>01.01.2019</w:t>
            </w:r>
          </w:p>
        </w:tc>
        <w:tc>
          <w:tcPr>
            <w:tcW w:w="1559" w:type="dxa"/>
            <w:gridSpan w:val="2"/>
            <w:tcBorders>
              <w:top w:val="double" w:sz="6" w:space="0" w:color="000000"/>
              <w:left w:val="nil"/>
              <w:bottom w:val="double" w:sz="6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377ACF" w:rsidRPr="005F5016" w:rsidRDefault="00377ACF" w:rsidP="00C01D87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5F5016">
              <w:rPr>
                <w:rFonts w:eastAsia="Times New Roman"/>
                <w:b/>
                <w:color w:val="000000"/>
                <w:sz w:val="18"/>
                <w:szCs w:val="18"/>
              </w:rPr>
              <w:t>01.09.2019</w:t>
            </w:r>
          </w:p>
        </w:tc>
        <w:tc>
          <w:tcPr>
            <w:tcW w:w="1417" w:type="dxa"/>
            <w:gridSpan w:val="2"/>
            <w:tcBorders>
              <w:top w:val="double" w:sz="6" w:space="0" w:color="000000"/>
              <w:left w:val="nil"/>
              <w:bottom w:val="double" w:sz="6" w:space="0" w:color="auto"/>
              <w:right w:val="double" w:sz="6" w:space="0" w:color="000000"/>
            </w:tcBorders>
            <w:shd w:val="clear" w:color="000000" w:fill="EAF1DD"/>
            <w:vAlign w:val="center"/>
            <w:hideMark/>
          </w:tcPr>
          <w:p w:rsidR="00377ACF" w:rsidRPr="005F5016" w:rsidRDefault="00377ACF" w:rsidP="00C01D87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5F5016">
              <w:rPr>
                <w:rFonts w:eastAsia="Times New Roman"/>
                <w:b/>
                <w:color w:val="000000"/>
                <w:sz w:val="18"/>
                <w:szCs w:val="18"/>
              </w:rPr>
              <w:t>01.10.2019</w:t>
            </w:r>
          </w:p>
        </w:tc>
      </w:tr>
      <w:tr w:rsidR="00377ACF" w:rsidRPr="004454DB" w:rsidTr="006D3873">
        <w:trPr>
          <w:trHeight w:val="662"/>
        </w:trPr>
        <w:tc>
          <w:tcPr>
            <w:tcW w:w="228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CF" w:rsidRPr="00FE1D9B" w:rsidRDefault="00377ACF" w:rsidP="00C01D87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FE1D9B">
              <w:rPr>
                <w:rFonts w:eastAsia="Times New Roman"/>
                <w:color w:val="000000"/>
                <w:sz w:val="18"/>
                <w:szCs w:val="18"/>
              </w:rPr>
              <w:t>Численность административного персонала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7ACF" w:rsidRPr="00503B15" w:rsidRDefault="00377ACF" w:rsidP="00C01D8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CF" w:rsidRPr="00503B15" w:rsidRDefault="00377ACF" w:rsidP="00C01D8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503B15">
              <w:rPr>
                <w:rFonts w:eastAsia="Times New Roman"/>
                <w:color w:val="000000"/>
                <w:sz w:val="18"/>
                <w:szCs w:val="18"/>
              </w:rPr>
              <w:t>92,5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CF" w:rsidRPr="00503B15" w:rsidRDefault="00377ACF" w:rsidP="00C01D8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503B15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ACF" w:rsidRPr="00503B15" w:rsidRDefault="00377ACF" w:rsidP="00C01D8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503B15">
              <w:rPr>
                <w:rFonts w:eastAsia="Times New Roman"/>
                <w:color w:val="000000"/>
                <w:sz w:val="18"/>
                <w:szCs w:val="18"/>
              </w:rPr>
              <w:t>114,25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CF" w:rsidRPr="00503B15" w:rsidRDefault="00377ACF" w:rsidP="00C01D8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503B15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CF" w:rsidRPr="00503B15" w:rsidRDefault="00377ACF" w:rsidP="00C01D8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503B15">
              <w:rPr>
                <w:rFonts w:eastAsia="Times New Roman"/>
                <w:color w:val="000000"/>
                <w:sz w:val="18"/>
                <w:szCs w:val="18"/>
              </w:rPr>
              <w:t>118,25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CF" w:rsidRPr="00503B15" w:rsidRDefault="00377ACF" w:rsidP="00C01D8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503B15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CF" w:rsidRPr="00503B15" w:rsidRDefault="00377ACF" w:rsidP="00C01D8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503B15">
              <w:rPr>
                <w:rFonts w:eastAsia="Times New Roman"/>
                <w:color w:val="000000"/>
                <w:sz w:val="18"/>
                <w:szCs w:val="18"/>
              </w:rPr>
              <w:t>117,25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CF" w:rsidRPr="00503B15" w:rsidRDefault="00377ACF" w:rsidP="00C01D8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503B15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77ACF" w:rsidRPr="00503B15" w:rsidRDefault="00377ACF" w:rsidP="00C01D8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503B15">
              <w:rPr>
                <w:rFonts w:eastAsia="Times New Roman"/>
                <w:color w:val="000000"/>
                <w:sz w:val="18"/>
                <w:szCs w:val="18"/>
              </w:rPr>
              <w:t>115</w:t>
            </w:r>
          </w:p>
        </w:tc>
      </w:tr>
      <w:tr w:rsidR="00377ACF" w:rsidRPr="004454DB" w:rsidTr="006D3873">
        <w:trPr>
          <w:trHeight w:val="409"/>
        </w:trPr>
        <w:tc>
          <w:tcPr>
            <w:tcW w:w="228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CF" w:rsidRPr="00503B15" w:rsidRDefault="00377ACF" w:rsidP="00C01D87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503B15">
              <w:rPr>
                <w:rFonts w:eastAsia="Times New Roman"/>
                <w:color w:val="000000"/>
                <w:sz w:val="18"/>
                <w:szCs w:val="18"/>
              </w:rPr>
              <w:t>Количество офисов, филиалов/чел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ACF" w:rsidRPr="00503B15" w:rsidRDefault="00377ACF" w:rsidP="00C01D8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503B15">
              <w:rPr>
                <w:rFonts w:eastAsia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CF" w:rsidRPr="00503B15" w:rsidRDefault="00377ACF" w:rsidP="00C01D8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503B15">
              <w:rPr>
                <w:rFonts w:eastAsia="Times New Roman"/>
                <w:color w:val="000000"/>
                <w:sz w:val="18"/>
                <w:szCs w:val="18"/>
              </w:rPr>
              <w:t>282,5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CF" w:rsidRPr="00503B15" w:rsidRDefault="00377ACF" w:rsidP="00C01D8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503B15">
              <w:rPr>
                <w:rFonts w:eastAsia="Times New Roman"/>
                <w:color w:val="000000"/>
                <w:sz w:val="18"/>
                <w:szCs w:val="18"/>
              </w:rPr>
              <w:t>49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ACF" w:rsidRPr="00503B15" w:rsidRDefault="00377ACF" w:rsidP="00C01D8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503B15">
              <w:rPr>
                <w:rFonts w:eastAsia="Times New Roman"/>
                <w:color w:val="000000"/>
                <w:sz w:val="18"/>
                <w:szCs w:val="18"/>
              </w:rPr>
              <w:t>1573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ACF" w:rsidRPr="00503B15" w:rsidRDefault="00377ACF" w:rsidP="00C01D8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503B15">
              <w:rPr>
                <w:rFonts w:eastAsia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ACF" w:rsidRPr="00503B15" w:rsidRDefault="00377ACF" w:rsidP="00C01D8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503B15">
              <w:rPr>
                <w:rFonts w:eastAsia="Times New Roman"/>
                <w:color w:val="000000"/>
                <w:sz w:val="18"/>
                <w:szCs w:val="18"/>
              </w:rPr>
              <w:t>1413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ACF" w:rsidRPr="00503B15" w:rsidRDefault="00377ACF" w:rsidP="00C01D8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503B15">
              <w:rPr>
                <w:rFonts w:eastAsia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ACF" w:rsidRPr="00503B15" w:rsidRDefault="00377ACF" w:rsidP="00C01D8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503B15">
              <w:rPr>
                <w:rFonts w:eastAsia="Times New Roman"/>
                <w:color w:val="000000"/>
                <w:sz w:val="18"/>
                <w:szCs w:val="18"/>
              </w:rPr>
              <w:t>1411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ACF" w:rsidRPr="00503B15" w:rsidRDefault="00377ACF" w:rsidP="00C01D8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503B15">
              <w:rPr>
                <w:rFonts w:eastAsia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77ACF" w:rsidRPr="00503B15" w:rsidRDefault="00377ACF" w:rsidP="00C01D8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503B15">
              <w:rPr>
                <w:rFonts w:eastAsia="Times New Roman"/>
                <w:color w:val="000000"/>
                <w:sz w:val="18"/>
                <w:szCs w:val="18"/>
              </w:rPr>
              <w:t>1411</w:t>
            </w:r>
          </w:p>
        </w:tc>
      </w:tr>
      <w:tr w:rsidR="00377ACF" w:rsidRPr="004454DB" w:rsidTr="006D3873">
        <w:trPr>
          <w:trHeight w:val="300"/>
        </w:trPr>
        <w:tc>
          <w:tcPr>
            <w:tcW w:w="228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CF" w:rsidRPr="00503B15" w:rsidRDefault="00377ACF" w:rsidP="00C01D87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503B15">
              <w:rPr>
                <w:rFonts w:eastAsia="Times New Roman"/>
                <w:color w:val="000000"/>
                <w:sz w:val="18"/>
                <w:szCs w:val="18"/>
              </w:rPr>
              <w:t>Штатная численность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CF" w:rsidRPr="00503B15" w:rsidRDefault="00377ACF" w:rsidP="00C01D8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503B15">
              <w:rPr>
                <w:rFonts w:eastAsia="Times New Roman"/>
                <w:color w:val="000000"/>
                <w:sz w:val="18"/>
                <w:szCs w:val="18"/>
              </w:rPr>
              <w:t>375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7ACF" w:rsidRPr="00503B15" w:rsidRDefault="00377ACF" w:rsidP="00C01D8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503B15">
              <w:rPr>
                <w:rFonts w:eastAsia="Times New Roman"/>
                <w:color w:val="000000"/>
                <w:sz w:val="18"/>
                <w:szCs w:val="18"/>
              </w:rPr>
              <w:t>1687,25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ACF" w:rsidRPr="00503B15" w:rsidRDefault="00377ACF" w:rsidP="00C01D8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503B15">
              <w:rPr>
                <w:rFonts w:eastAsia="Times New Roman"/>
                <w:color w:val="000000"/>
                <w:sz w:val="18"/>
                <w:szCs w:val="18"/>
              </w:rPr>
              <w:t>1531,25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7ACF" w:rsidRPr="00503B15" w:rsidRDefault="00377ACF" w:rsidP="00C01D8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503B15">
              <w:rPr>
                <w:rFonts w:eastAsia="Times New Roman"/>
                <w:color w:val="000000"/>
                <w:sz w:val="18"/>
                <w:szCs w:val="18"/>
              </w:rPr>
              <w:t>1528,25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377ACF" w:rsidRPr="00503B15" w:rsidRDefault="00377ACF" w:rsidP="00C01D8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503B15">
              <w:rPr>
                <w:rFonts w:eastAsia="Times New Roman"/>
                <w:color w:val="000000"/>
                <w:sz w:val="18"/>
                <w:szCs w:val="18"/>
              </w:rPr>
              <w:t>1526</w:t>
            </w:r>
          </w:p>
        </w:tc>
      </w:tr>
      <w:tr w:rsidR="00377ACF" w:rsidRPr="004454DB" w:rsidTr="006D3873">
        <w:trPr>
          <w:trHeight w:val="250"/>
        </w:trPr>
        <w:tc>
          <w:tcPr>
            <w:tcW w:w="228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CF" w:rsidRPr="00503B15" w:rsidRDefault="00377ACF" w:rsidP="00C01D87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503B15">
              <w:rPr>
                <w:rFonts w:eastAsia="Times New Roman"/>
                <w:color w:val="000000"/>
                <w:sz w:val="18"/>
                <w:szCs w:val="18"/>
              </w:rPr>
              <w:t>Фактическая численность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ACF" w:rsidRPr="00503B15" w:rsidRDefault="00377ACF" w:rsidP="00C01D8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503B15">
              <w:rPr>
                <w:rFonts w:eastAsia="Times New Roman"/>
                <w:color w:val="000000"/>
                <w:sz w:val="18"/>
                <w:szCs w:val="18"/>
              </w:rPr>
              <w:t>346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ACF" w:rsidRPr="00503B15" w:rsidRDefault="00377ACF" w:rsidP="00C01D8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503B15">
              <w:rPr>
                <w:rFonts w:eastAsia="Times New Roman"/>
                <w:color w:val="000000"/>
                <w:sz w:val="18"/>
                <w:szCs w:val="18"/>
              </w:rPr>
              <w:t>1217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7ACF" w:rsidRPr="00503B15" w:rsidRDefault="00377ACF" w:rsidP="00C01D8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503B15">
              <w:rPr>
                <w:rFonts w:eastAsia="Times New Roman"/>
                <w:color w:val="000000"/>
                <w:sz w:val="18"/>
                <w:szCs w:val="18"/>
              </w:rPr>
              <w:t>1309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7ACF" w:rsidRPr="00503B15" w:rsidRDefault="00377ACF" w:rsidP="00C01D8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503B15">
              <w:rPr>
                <w:rFonts w:eastAsia="Times New Roman"/>
                <w:color w:val="000000"/>
                <w:sz w:val="18"/>
                <w:szCs w:val="18"/>
              </w:rPr>
              <w:t>1339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377ACF" w:rsidRPr="00503B15" w:rsidRDefault="00377ACF" w:rsidP="00C01D8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503B15">
              <w:rPr>
                <w:rFonts w:eastAsia="Times New Roman"/>
                <w:color w:val="000000"/>
                <w:sz w:val="18"/>
                <w:szCs w:val="18"/>
              </w:rPr>
              <w:t>1330</w:t>
            </w:r>
          </w:p>
        </w:tc>
      </w:tr>
      <w:tr w:rsidR="00377ACF" w:rsidRPr="004454DB" w:rsidTr="006D3873">
        <w:trPr>
          <w:trHeight w:val="268"/>
        </w:trPr>
        <w:tc>
          <w:tcPr>
            <w:tcW w:w="2289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CF" w:rsidRPr="00503B15" w:rsidRDefault="00377ACF" w:rsidP="00C01D87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503B15">
              <w:rPr>
                <w:rFonts w:eastAsia="Times New Roman"/>
                <w:color w:val="000000"/>
                <w:sz w:val="18"/>
                <w:szCs w:val="18"/>
              </w:rPr>
              <w:t>Вакансии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ACF" w:rsidRPr="00503B15" w:rsidRDefault="00377ACF" w:rsidP="00C01D8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503B15">
              <w:rPr>
                <w:rFonts w:eastAsia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ACF" w:rsidRPr="00503B15" w:rsidRDefault="00377ACF" w:rsidP="00C01D8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503B15">
              <w:rPr>
                <w:rFonts w:eastAsia="Times New Roman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7ACF" w:rsidRPr="00503B15" w:rsidRDefault="00377ACF" w:rsidP="00C01D8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503B15">
              <w:rPr>
                <w:rFonts w:eastAsia="Times New Roman"/>
                <w:color w:val="000000"/>
                <w:sz w:val="18"/>
                <w:szCs w:val="18"/>
              </w:rPr>
              <w:t>222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7ACF" w:rsidRPr="00503B15" w:rsidRDefault="00377ACF" w:rsidP="00C01D8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503B15">
              <w:rPr>
                <w:rFonts w:eastAsia="Times New Roman"/>
                <w:color w:val="000000"/>
                <w:sz w:val="18"/>
                <w:szCs w:val="18"/>
              </w:rPr>
              <w:t>189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377ACF" w:rsidRPr="00503B15" w:rsidRDefault="00377ACF" w:rsidP="00C01D8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503B15">
              <w:rPr>
                <w:rFonts w:eastAsia="Times New Roman"/>
                <w:color w:val="000000"/>
                <w:sz w:val="18"/>
                <w:szCs w:val="18"/>
              </w:rPr>
              <w:t>196</w:t>
            </w:r>
          </w:p>
        </w:tc>
      </w:tr>
    </w:tbl>
    <w:p w:rsidR="00377ACF" w:rsidRPr="00212DC0" w:rsidRDefault="00377ACF" w:rsidP="00377ACF">
      <w:pPr>
        <w:ind w:firstLine="680"/>
        <w:jc w:val="both"/>
      </w:pPr>
      <w:r w:rsidRPr="00212DC0">
        <w:t xml:space="preserve">Штатная численность на 01.01.2017 утверждена в количестве 375 ед. (с учетом 14 филиалов, расположенных на территории 9-ти муниципальных районов и г. Волжский). На 01.01.2018 в связи с завершением централизации МФЦ штатная численность выросла до 1 687,25 ед., или в 4,5 раза. На 01.10.2019 штатная численность работников снижена до 1 526 ед. за счет сокращения должности заместителя директора в филиалах и количества специалистов. </w:t>
      </w:r>
    </w:p>
    <w:p w:rsidR="00377ACF" w:rsidRDefault="00377ACF" w:rsidP="00377ACF">
      <w:pPr>
        <w:ind w:firstLine="680"/>
        <w:jc w:val="both"/>
      </w:pPr>
      <w:r w:rsidRPr="00AC4912">
        <w:t>Как видно из приведенных данных</w:t>
      </w:r>
      <w:r>
        <w:t>,</w:t>
      </w:r>
      <w:r w:rsidRPr="00AC4912">
        <w:t xml:space="preserve"> в течение проверяемого периода </w:t>
      </w:r>
      <w:r>
        <w:t>имелось</w:t>
      </w:r>
      <w:r w:rsidRPr="00AC4912">
        <w:t xml:space="preserve"> существенно</w:t>
      </w:r>
      <w:r>
        <w:t>е количество</w:t>
      </w:r>
      <w:r w:rsidRPr="00AC4912">
        <w:t xml:space="preserve"> вакансий: </w:t>
      </w:r>
      <w:r w:rsidR="008C7E64">
        <w:t xml:space="preserve">от 29 чел </w:t>
      </w:r>
      <w:r w:rsidRPr="00AC4912">
        <w:t xml:space="preserve">на 01.01.2017 </w:t>
      </w:r>
      <w:r>
        <w:t>(</w:t>
      </w:r>
      <w:r w:rsidRPr="00AC4912">
        <w:t>7,7 % от штатной численности</w:t>
      </w:r>
      <w:r>
        <w:t>)</w:t>
      </w:r>
      <w:r w:rsidR="008C7E64">
        <w:t xml:space="preserve"> до 470 чел. </w:t>
      </w:r>
      <w:r w:rsidRPr="00AC4912">
        <w:t>на 01.01.2018 (27</w:t>
      </w:r>
      <w:r>
        <w:t>,</w:t>
      </w:r>
      <w:r w:rsidR="008C7E64">
        <w:t xml:space="preserve">8 %). </w:t>
      </w:r>
      <w:r>
        <w:t xml:space="preserve">В качестве факторов, влияющих на образование вакансий, можно выделить следующие: увольнение специалистов (среди причин – неудобный график работы, не выдерживают постоянного контакта с заявителями), тщательный отбор претендентов на должности специалистов (установление критериев, в том числе к стажу, уровню образования, опыту работы, уровню компетентности работы в МФЦ, предварительное анкетирование, личное собеседование, в том числе с целью выявления коммуникативных данных и т.п.). </w:t>
      </w:r>
    </w:p>
    <w:p w:rsidR="00377ACF" w:rsidRDefault="00377ACF" w:rsidP="00377ACF">
      <w:pPr>
        <w:ind w:firstLine="680"/>
        <w:jc w:val="both"/>
      </w:pPr>
    </w:p>
    <w:p w:rsidR="00377ACF" w:rsidRPr="009A3B7F" w:rsidRDefault="00377ACF" w:rsidP="00377ACF">
      <w:pPr>
        <w:ind w:firstLine="708"/>
        <w:jc w:val="both"/>
      </w:pPr>
      <w:r w:rsidRPr="009A3B7F">
        <w:t xml:space="preserve">Проверкой целевого назначения и эффективности осуществленных </w:t>
      </w:r>
      <w:r w:rsidRPr="009A3B7F">
        <w:rPr>
          <w:rFonts w:eastAsia="Times New Roman"/>
        </w:rPr>
        <w:t xml:space="preserve">ГКУ </w:t>
      </w:r>
      <w:r w:rsidRPr="009A3B7F">
        <w:t xml:space="preserve">«МФЦ» расходов, а также правильности </w:t>
      </w:r>
      <w:r w:rsidRPr="009A3B7F">
        <w:rPr>
          <w:rFonts w:eastAsia="Times New Roman"/>
        </w:rPr>
        <w:t xml:space="preserve">ведения бюджетного учета и составления бюджетной отчетности </w:t>
      </w:r>
      <w:r w:rsidRPr="009A3B7F">
        <w:t xml:space="preserve">установлены </w:t>
      </w:r>
      <w:r w:rsidR="006E3268">
        <w:t xml:space="preserve">отдельные </w:t>
      </w:r>
      <w:r w:rsidRPr="009A3B7F">
        <w:t>нарушения и недостатки</w:t>
      </w:r>
      <w:r w:rsidR="006E3268">
        <w:t>, в т.ч.</w:t>
      </w:r>
      <w:r w:rsidRPr="009A3B7F">
        <w:t>:</w:t>
      </w:r>
    </w:p>
    <w:p w:rsidR="00377ACF" w:rsidRPr="009A3B7F" w:rsidRDefault="00377ACF" w:rsidP="00377ACF">
      <w:pPr>
        <w:pStyle w:val="ConsPlusNormal"/>
        <w:numPr>
          <w:ilvl w:val="0"/>
          <w:numId w:val="21"/>
        </w:numPr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A3B7F">
        <w:rPr>
          <w:rFonts w:ascii="Times New Roman" w:hAnsi="Times New Roman" w:cs="Times New Roman"/>
          <w:sz w:val="24"/>
          <w:szCs w:val="24"/>
        </w:rPr>
        <w:t>Облкомэкономразвития</w:t>
      </w:r>
      <w:proofErr w:type="spellEnd"/>
      <w:r w:rsidRPr="009A3B7F">
        <w:rPr>
          <w:rFonts w:ascii="Times New Roman" w:hAnsi="Times New Roman" w:cs="Times New Roman"/>
          <w:sz w:val="24"/>
          <w:szCs w:val="24"/>
        </w:rPr>
        <w:t>, как главным р</w:t>
      </w:r>
      <w:r>
        <w:rPr>
          <w:rFonts w:ascii="Times New Roman" w:hAnsi="Times New Roman" w:cs="Times New Roman"/>
          <w:sz w:val="24"/>
          <w:szCs w:val="24"/>
        </w:rPr>
        <w:t>аспорядителем бюджетных средств</w:t>
      </w:r>
      <w:r w:rsidR="005168C9">
        <w:rPr>
          <w:rFonts w:ascii="Times New Roman" w:hAnsi="Times New Roman" w:cs="Times New Roman"/>
          <w:sz w:val="24"/>
          <w:szCs w:val="24"/>
        </w:rPr>
        <w:t>,</w:t>
      </w:r>
      <w:r w:rsidRPr="009A3B7F">
        <w:rPr>
          <w:rFonts w:ascii="Times New Roman" w:hAnsi="Times New Roman" w:cs="Times New Roman"/>
          <w:sz w:val="24"/>
          <w:szCs w:val="24"/>
        </w:rPr>
        <w:t xml:space="preserve"> с 2019 года не утвержден порядок составления, утверждения и ведения бюджетных смет подведомственных казенных учреждений, чем не соблюдены положения приказа Минфина РФ от 14.02.2018 № 26н «Об общих требованиях к порядку составления, утверждения и ведения бюджетных смет казенных учреждений»</w:t>
      </w:r>
      <w:r w:rsidR="003F1E7C">
        <w:rPr>
          <w:rFonts w:ascii="Times New Roman" w:hAnsi="Times New Roman" w:cs="Times New Roman"/>
          <w:sz w:val="24"/>
          <w:szCs w:val="24"/>
        </w:rPr>
        <w:t>;</w:t>
      </w:r>
    </w:p>
    <w:p w:rsidR="00377ACF" w:rsidRPr="009A3B7F" w:rsidRDefault="00377ACF" w:rsidP="00377ACF">
      <w:pPr>
        <w:pStyle w:val="ConsPlusNormal"/>
        <w:numPr>
          <w:ilvl w:val="0"/>
          <w:numId w:val="21"/>
        </w:numPr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A3B7F">
        <w:rPr>
          <w:rFonts w:ascii="Times New Roman" w:hAnsi="Times New Roman" w:cs="Times New Roman"/>
          <w:sz w:val="24"/>
          <w:szCs w:val="24"/>
        </w:rPr>
        <w:t xml:space="preserve">ГКУ «МФЦ» с 18.04.2019 по 06.05.2019 заключены 4 государственных контракта на общую сумму 342,1 </w:t>
      </w:r>
      <w:r>
        <w:rPr>
          <w:rFonts w:ascii="Times New Roman" w:hAnsi="Times New Roman" w:cs="Times New Roman"/>
          <w:sz w:val="24"/>
          <w:szCs w:val="24"/>
        </w:rPr>
        <w:t>тыс.</w:t>
      </w:r>
      <w:r w:rsidRPr="009A3B7F">
        <w:rPr>
          <w:rFonts w:ascii="Times New Roman" w:hAnsi="Times New Roman" w:cs="Times New Roman"/>
          <w:sz w:val="24"/>
          <w:szCs w:val="24"/>
        </w:rPr>
        <w:t xml:space="preserve"> руб. на выполнение работ по ремонту фасада нежилого помещения (по адресу: г.Волгоград, ул. 64-Армии, 71д) с единственным подрядчиком ООО Строительная компания «Статус» без проведения конкурсных процедур. Из состава </w:t>
      </w:r>
      <w:r w:rsidR="008C7E64">
        <w:rPr>
          <w:rFonts w:ascii="Times New Roman" w:hAnsi="Times New Roman" w:cs="Times New Roman"/>
          <w:sz w:val="24"/>
          <w:szCs w:val="24"/>
        </w:rPr>
        <w:t xml:space="preserve">выполняемых </w:t>
      </w:r>
      <w:r w:rsidRPr="009A3B7F">
        <w:rPr>
          <w:rFonts w:ascii="Times New Roman" w:hAnsi="Times New Roman" w:cs="Times New Roman"/>
          <w:sz w:val="24"/>
          <w:szCs w:val="24"/>
        </w:rPr>
        <w:t xml:space="preserve">работ следует, что они представляют собой единый технологический процесс проведения отделочных работ (удаление старого покрытия, грунтовка, оштукатуривание, </w:t>
      </w:r>
      <w:proofErr w:type="spellStart"/>
      <w:r w:rsidRPr="009A3B7F">
        <w:rPr>
          <w:rFonts w:ascii="Times New Roman" w:hAnsi="Times New Roman" w:cs="Times New Roman"/>
          <w:sz w:val="24"/>
          <w:szCs w:val="24"/>
        </w:rPr>
        <w:t>огрунтовка</w:t>
      </w:r>
      <w:proofErr w:type="spellEnd"/>
      <w:r w:rsidRPr="009A3B7F">
        <w:rPr>
          <w:rFonts w:ascii="Times New Roman" w:hAnsi="Times New Roman" w:cs="Times New Roman"/>
          <w:sz w:val="24"/>
          <w:szCs w:val="24"/>
        </w:rPr>
        <w:t xml:space="preserve"> под окраску, </w:t>
      </w:r>
      <w:proofErr w:type="spellStart"/>
      <w:r w:rsidRPr="009A3B7F">
        <w:rPr>
          <w:rFonts w:ascii="Times New Roman" w:hAnsi="Times New Roman" w:cs="Times New Roman"/>
          <w:sz w:val="24"/>
          <w:szCs w:val="24"/>
        </w:rPr>
        <w:t>шпатлевание</w:t>
      </w:r>
      <w:proofErr w:type="spellEnd"/>
      <w:r w:rsidRPr="009A3B7F">
        <w:rPr>
          <w:rFonts w:ascii="Times New Roman" w:hAnsi="Times New Roman" w:cs="Times New Roman"/>
          <w:sz w:val="24"/>
          <w:szCs w:val="24"/>
        </w:rPr>
        <w:t>, окраска поверхностей), функционально дополняют друг друга</w:t>
      </w:r>
      <w:r w:rsidR="008C7E64">
        <w:rPr>
          <w:rFonts w:ascii="Times New Roman" w:hAnsi="Times New Roman" w:cs="Times New Roman"/>
          <w:sz w:val="24"/>
          <w:szCs w:val="24"/>
        </w:rPr>
        <w:t xml:space="preserve"> и</w:t>
      </w:r>
      <w:r w:rsidRPr="009A3B7F">
        <w:rPr>
          <w:rFonts w:ascii="Times New Roman" w:hAnsi="Times New Roman" w:cs="Times New Roman"/>
          <w:sz w:val="24"/>
          <w:szCs w:val="24"/>
        </w:rPr>
        <w:t xml:space="preserve"> являются взаимосвязанными.</w:t>
      </w:r>
    </w:p>
    <w:p w:rsidR="00B46603" w:rsidRPr="00B46603" w:rsidRDefault="00377ACF" w:rsidP="00377AC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9A3B7F">
        <w:t xml:space="preserve">В результате </w:t>
      </w:r>
      <w:r w:rsidRPr="009A3B7F">
        <w:rPr>
          <w:rFonts w:eastAsia="Times New Roman"/>
        </w:rPr>
        <w:t xml:space="preserve">ГКУ </w:t>
      </w:r>
      <w:r w:rsidRPr="009A3B7F">
        <w:t>«МФЦ» заключены государственные контракты путем разделения выполнения работ на несколько договоров стоимостью менее 100,0 тыс. руб., чем был нарушен принцип конкуренции при осуществлении закупок, определенный в ст.8 Федерального закона</w:t>
      </w:r>
      <w:r w:rsidRPr="009A3B7F">
        <w:rPr>
          <w:bCs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 (далее – Закон № 44-ФЗ) </w:t>
      </w:r>
      <w:r w:rsidRPr="009A3B7F">
        <w:t xml:space="preserve">в ред. от 27.12.2018 и от 01.05.2019. Кроме того, нарушена ч.5 ст.24 Закона №44-ФЗ, которой установлено, что заказчик не вправе совершать действия, влекущие за собой необоснованное сокращение числа участников закупки. Приведенный факт заключения </w:t>
      </w:r>
      <w:proofErr w:type="spellStart"/>
      <w:r w:rsidRPr="009A3B7F">
        <w:t>госконтрактов</w:t>
      </w:r>
      <w:proofErr w:type="spellEnd"/>
      <w:r w:rsidRPr="009A3B7F">
        <w:t xml:space="preserve"> содержит признаки нарушения п. 4 ст.16 и п. 2 ст.17  </w:t>
      </w:r>
      <w:r w:rsidRPr="009A3B7F">
        <w:rPr>
          <w:iCs/>
        </w:rPr>
        <w:lastRenderedPageBreak/>
        <w:t>Федерального закона от 26.07.2006 № 135-ФЗ «О защите конкуренции»</w:t>
      </w:r>
      <w:r>
        <w:rPr>
          <w:iCs/>
        </w:rPr>
        <w:t xml:space="preserve"> (ограничение доступа на товарный рынок или устранение </w:t>
      </w:r>
      <w:r w:rsidRPr="00377ACF">
        <w:rPr>
          <w:rFonts w:eastAsiaTheme="minorHAnsi"/>
          <w:lang w:eastAsia="en-US"/>
        </w:rPr>
        <w:t>с него хозяйствующих субъектов</w:t>
      </w:r>
      <w:r w:rsidRPr="00B46603">
        <w:rPr>
          <w:rFonts w:eastAsiaTheme="minorHAnsi"/>
          <w:lang w:eastAsia="en-US"/>
        </w:rPr>
        <w:t xml:space="preserve">, </w:t>
      </w:r>
      <w:r w:rsidRPr="00377ACF">
        <w:rPr>
          <w:rFonts w:eastAsiaTheme="minorHAnsi"/>
          <w:lang w:eastAsia="en-US"/>
        </w:rPr>
        <w:t>ограничение доступа к участию в торгах</w:t>
      </w:r>
      <w:r w:rsidR="00B46603" w:rsidRPr="00B46603">
        <w:rPr>
          <w:rFonts w:eastAsiaTheme="minorHAnsi"/>
          <w:lang w:eastAsia="en-US"/>
        </w:rPr>
        <w:t>).</w:t>
      </w:r>
    </w:p>
    <w:p w:rsidR="00377ACF" w:rsidRDefault="00377ACF" w:rsidP="00377ACF">
      <w:pPr>
        <w:ind w:firstLine="680"/>
        <w:jc w:val="both"/>
        <w:rPr>
          <w:bCs/>
        </w:rPr>
      </w:pPr>
      <w:r w:rsidRPr="009A3B7F">
        <w:rPr>
          <w:bCs/>
        </w:rPr>
        <w:t xml:space="preserve">По пояснению должностных лиц </w:t>
      </w:r>
      <w:r w:rsidRPr="009A3B7F">
        <w:rPr>
          <w:rFonts w:eastAsia="Times New Roman"/>
        </w:rPr>
        <w:t xml:space="preserve">ГКУ </w:t>
      </w:r>
      <w:r w:rsidRPr="009A3B7F">
        <w:t>«МФЦ»</w:t>
      </w:r>
      <w:r w:rsidR="005168C9">
        <w:t>,</w:t>
      </w:r>
      <w:r w:rsidRPr="009A3B7F">
        <w:t xml:space="preserve"> </w:t>
      </w:r>
      <w:r w:rsidRPr="009A3B7F">
        <w:rPr>
          <w:bCs/>
        </w:rPr>
        <w:t>причиной заключения указанных контрактов без применения конкурентных способов закупок в соответствии с Законом № 44-ФЗ явилась необходимость срочного проведения ремонтных работ фасада здания МФЦ Кировского района г. Волгограда</w:t>
      </w:r>
      <w:r w:rsidR="00F824B8">
        <w:rPr>
          <w:bCs/>
        </w:rPr>
        <w:t>;</w:t>
      </w:r>
    </w:p>
    <w:p w:rsidR="00377ACF" w:rsidRPr="00FB7836" w:rsidRDefault="00377ACF" w:rsidP="00377ACF">
      <w:pPr>
        <w:pStyle w:val="af8"/>
        <w:numPr>
          <w:ilvl w:val="0"/>
          <w:numId w:val="22"/>
        </w:numPr>
        <w:ind w:left="0" w:firstLine="680"/>
        <w:jc w:val="both"/>
        <w:rPr>
          <w:bCs/>
        </w:rPr>
      </w:pPr>
      <w:r>
        <w:rPr>
          <w:bCs/>
        </w:rPr>
        <w:t xml:space="preserve">осуществление </w:t>
      </w:r>
      <w:r w:rsidRPr="006235DE">
        <w:rPr>
          <w:rFonts w:eastAsia="Times New Roman"/>
        </w:rPr>
        <w:t xml:space="preserve">ГКУ </w:t>
      </w:r>
      <w:r w:rsidRPr="006235DE">
        <w:t>«МФЦ»</w:t>
      </w:r>
      <w:r w:rsidRPr="006235DE">
        <w:rPr>
          <w:color w:val="000000"/>
        </w:rPr>
        <w:t xml:space="preserve"> </w:t>
      </w:r>
      <w:r>
        <w:rPr>
          <w:color w:val="000000"/>
        </w:rPr>
        <w:t>расходов</w:t>
      </w:r>
      <w:r w:rsidRPr="00F83B7A">
        <w:rPr>
          <w:rFonts w:eastAsia="Times New Roman"/>
        </w:rPr>
        <w:t xml:space="preserve"> </w:t>
      </w:r>
      <w:r w:rsidRPr="001C53C1">
        <w:rPr>
          <w:rFonts w:eastAsia="Times New Roman"/>
        </w:rPr>
        <w:t>на содержание неиспользуемых</w:t>
      </w:r>
      <w:r w:rsidRPr="00F83B7A">
        <w:rPr>
          <w:rFonts w:eastAsia="Times New Roman"/>
        </w:rPr>
        <w:t xml:space="preserve"> </w:t>
      </w:r>
      <w:r>
        <w:rPr>
          <w:rFonts w:eastAsia="Times New Roman"/>
        </w:rPr>
        <w:t xml:space="preserve">в деятельности помещений на </w:t>
      </w:r>
      <w:r w:rsidRPr="001C53C1">
        <w:rPr>
          <w:rFonts w:eastAsia="Times New Roman"/>
        </w:rPr>
        <w:t>общ</w:t>
      </w:r>
      <w:r>
        <w:rPr>
          <w:rFonts w:eastAsia="Times New Roman"/>
        </w:rPr>
        <w:t>ую сумму</w:t>
      </w:r>
      <w:r w:rsidRPr="001C53C1">
        <w:rPr>
          <w:rFonts w:eastAsia="Times New Roman"/>
        </w:rPr>
        <w:t xml:space="preserve"> 570,9 тыс. руб. </w:t>
      </w:r>
      <w:r>
        <w:rPr>
          <w:rFonts w:eastAsia="Times New Roman"/>
        </w:rPr>
        <w:t>(</w:t>
      </w:r>
      <w:r w:rsidRPr="001C53C1">
        <w:rPr>
          <w:rFonts w:eastAsia="Times New Roman"/>
        </w:rPr>
        <w:t>за период 201</w:t>
      </w:r>
      <w:r>
        <w:rPr>
          <w:rFonts w:eastAsia="Times New Roman"/>
        </w:rPr>
        <w:t>7</w:t>
      </w:r>
      <w:r w:rsidRPr="001C53C1">
        <w:rPr>
          <w:rFonts w:eastAsia="Times New Roman"/>
        </w:rPr>
        <w:t xml:space="preserve"> - 1 полугодие </w:t>
      </w:r>
      <w:r>
        <w:rPr>
          <w:rFonts w:eastAsia="Times New Roman"/>
        </w:rPr>
        <w:t xml:space="preserve">2019 года), не отвечающих принципу </w:t>
      </w:r>
      <w:r w:rsidRPr="001C53C1">
        <w:rPr>
          <w:rFonts w:eastAsia="Times New Roman"/>
        </w:rPr>
        <w:t xml:space="preserve">эффективности расходования бюджетных средств </w:t>
      </w:r>
      <w:r>
        <w:rPr>
          <w:rFonts w:eastAsia="Times New Roman"/>
        </w:rPr>
        <w:t xml:space="preserve">(ст. </w:t>
      </w:r>
      <w:r w:rsidRPr="001C53C1">
        <w:rPr>
          <w:rFonts w:eastAsia="Times New Roman"/>
        </w:rPr>
        <w:t>34 БК РФ</w:t>
      </w:r>
      <w:r>
        <w:rPr>
          <w:rFonts w:eastAsia="Times New Roman"/>
        </w:rPr>
        <w:t>)</w:t>
      </w:r>
      <w:r w:rsidR="00B46603">
        <w:rPr>
          <w:rFonts w:eastAsia="Times New Roman"/>
        </w:rPr>
        <w:t>, что обусловлено, в том числе отсутствием финансирования на проведение ремонтных работ</w:t>
      </w:r>
      <w:r>
        <w:rPr>
          <w:rFonts w:eastAsia="Times New Roman"/>
        </w:rPr>
        <w:t>.</w:t>
      </w:r>
    </w:p>
    <w:p w:rsidR="006E3268" w:rsidRDefault="00FB7836" w:rsidP="00377ACF">
      <w:pPr>
        <w:ind w:firstLine="680"/>
        <w:jc w:val="both"/>
        <w:rPr>
          <w:color w:val="000000"/>
          <w:highlight w:val="yellow"/>
        </w:rPr>
      </w:pPr>
      <w:r>
        <w:rPr>
          <w:rFonts w:eastAsia="Times New Roman"/>
        </w:rPr>
        <w:t xml:space="preserve">Из общего количества имущества, </w:t>
      </w:r>
      <w:r w:rsidRPr="001C53C1">
        <w:rPr>
          <w:rFonts w:eastAsia="Times New Roman"/>
        </w:rPr>
        <w:t xml:space="preserve">находящегося </w:t>
      </w:r>
      <w:r>
        <w:rPr>
          <w:rFonts w:eastAsia="Times New Roman"/>
        </w:rPr>
        <w:t xml:space="preserve">у </w:t>
      </w:r>
      <w:r w:rsidRPr="006235DE">
        <w:rPr>
          <w:rFonts w:eastAsia="Times New Roman"/>
        </w:rPr>
        <w:t xml:space="preserve">ГКУ </w:t>
      </w:r>
      <w:r w:rsidRPr="006235DE">
        <w:t>«МФЦ»</w:t>
      </w:r>
      <w:r w:rsidRPr="006235DE">
        <w:rPr>
          <w:color w:val="000000"/>
        </w:rPr>
        <w:t xml:space="preserve"> </w:t>
      </w:r>
      <w:r w:rsidRPr="001C53C1">
        <w:rPr>
          <w:rFonts w:eastAsia="Times New Roman"/>
        </w:rPr>
        <w:t>в безвозмездном пользовании</w:t>
      </w:r>
      <w:r w:rsidRPr="00FB7836">
        <w:rPr>
          <w:rFonts w:eastAsia="Times New Roman"/>
        </w:rPr>
        <w:t xml:space="preserve"> </w:t>
      </w:r>
      <w:r>
        <w:rPr>
          <w:rFonts w:eastAsia="Times New Roman"/>
        </w:rPr>
        <w:t xml:space="preserve">(по состоянию на 01.07.2019 </w:t>
      </w:r>
      <w:r w:rsidRPr="001C53C1">
        <w:rPr>
          <w:rFonts w:eastAsia="Times New Roman"/>
        </w:rPr>
        <w:t>общей площадью 5 656,3 кв.м</w:t>
      </w:r>
      <w:r>
        <w:rPr>
          <w:rFonts w:eastAsia="Times New Roman"/>
        </w:rPr>
        <w:t>)</w:t>
      </w:r>
      <w:r w:rsidR="005168C9">
        <w:rPr>
          <w:rFonts w:eastAsia="Times New Roman"/>
        </w:rPr>
        <w:t>,</w:t>
      </w:r>
      <w:r w:rsidR="00377ACF">
        <w:rPr>
          <w:rFonts w:eastAsia="Times New Roman"/>
        </w:rPr>
        <w:t xml:space="preserve"> не использовались</w:t>
      </w:r>
      <w:r>
        <w:rPr>
          <w:rFonts w:eastAsia="Times New Roman"/>
        </w:rPr>
        <w:t xml:space="preserve"> с момента заключения договоров безвозмездного пользования </w:t>
      </w:r>
      <w:r w:rsidR="00377ACF">
        <w:rPr>
          <w:rFonts w:eastAsia="Times New Roman"/>
        </w:rPr>
        <w:t>следующие</w:t>
      </w:r>
      <w:r>
        <w:rPr>
          <w:rFonts w:eastAsia="Times New Roman"/>
        </w:rPr>
        <w:t>:</w:t>
      </w:r>
      <w:r w:rsidR="00377ACF">
        <w:rPr>
          <w:rFonts w:eastAsia="Times New Roman"/>
        </w:rPr>
        <w:t xml:space="preserve"> </w:t>
      </w:r>
      <w:r w:rsidR="00377ACF" w:rsidRPr="00B738D8">
        <w:rPr>
          <w:rFonts w:eastAsia="Times New Roman"/>
        </w:rPr>
        <w:t>помещение</w:t>
      </w:r>
      <w:r w:rsidR="00377ACF" w:rsidRPr="00890F15">
        <w:rPr>
          <w:rFonts w:eastAsia="Times New Roman"/>
        </w:rPr>
        <w:t xml:space="preserve"> </w:t>
      </w:r>
      <w:r w:rsidR="00377ACF">
        <w:rPr>
          <w:rFonts w:eastAsia="Times New Roman"/>
        </w:rPr>
        <w:t xml:space="preserve">общей </w:t>
      </w:r>
      <w:r w:rsidR="00377ACF" w:rsidRPr="00B738D8">
        <w:rPr>
          <w:rFonts w:eastAsia="Times New Roman"/>
        </w:rPr>
        <w:t xml:space="preserve">площадью 602,7 кв.м, расположенное по ул. Н.Отрады, 26а </w:t>
      </w:r>
      <w:r w:rsidR="00377ACF">
        <w:rPr>
          <w:rFonts w:eastAsia="Times New Roman"/>
        </w:rPr>
        <w:t>(договор</w:t>
      </w:r>
      <w:r w:rsidR="00377ACF" w:rsidRPr="00B738D8">
        <w:rPr>
          <w:rFonts w:eastAsia="Times New Roman"/>
        </w:rPr>
        <w:t xml:space="preserve"> безвозмездного пользования от 01.11.2017 с Департаментом муниципального имущест</w:t>
      </w:r>
      <w:r w:rsidR="00377ACF">
        <w:rPr>
          <w:rFonts w:eastAsia="Times New Roman"/>
        </w:rPr>
        <w:t>ва администрации г. Волгограда)</w:t>
      </w:r>
      <w:r w:rsidR="006E3268">
        <w:rPr>
          <w:rFonts w:eastAsia="Times New Roman"/>
        </w:rPr>
        <w:t xml:space="preserve"> и </w:t>
      </w:r>
      <w:r w:rsidR="00377ACF" w:rsidRPr="00B738D8">
        <w:rPr>
          <w:rFonts w:eastAsia="Times New Roman"/>
        </w:rPr>
        <w:t xml:space="preserve">помещение общей площадью 278 кв.м, расположенное в г. Волжский по ул. Мира, 75, находившееся до 29.07.2019 в безвозмездном пользовании (договор с Управлением муниципальным имуществом администрации городского округа – город Волжский от 02.06.2016), с 30.07.2019 </w:t>
      </w:r>
      <w:r w:rsidR="00377ACF">
        <w:rPr>
          <w:rFonts w:eastAsia="Times New Roman"/>
        </w:rPr>
        <w:t>-</w:t>
      </w:r>
      <w:r w:rsidR="00377ACF" w:rsidRPr="00B738D8">
        <w:rPr>
          <w:rFonts w:eastAsia="Times New Roman"/>
        </w:rPr>
        <w:t xml:space="preserve"> в оперативном управлении. </w:t>
      </w:r>
      <w:r w:rsidR="00377ACF" w:rsidRPr="006E3268">
        <w:rPr>
          <w:rFonts w:eastAsia="Times New Roman"/>
        </w:rPr>
        <w:t xml:space="preserve">По пояснению должностных лиц ГКУ </w:t>
      </w:r>
      <w:r w:rsidR="00377ACF" w:rsidRPr="006E3268">
        <w:t>«МФЦ»</w:t>
      </w:r>
      <w:r w:rsidR="00377ACF" w:rsidRPr="006E3268">
        <w:rPr>
          <w:color w:val="000000"/>
        </w:rPr>
        <w:t xml:space="preserve"> ремонтные работы </w:t>
      </w:r>
      <w:r w:rsidR="006E3268" w:rsidRPr="006E3268">
        <w:rPr>
          <w:color w:val="000000"/>
        </w:rPr>
        <w:t xml:space="preserve">в последнем помещении </w:t>
      </w:r>
      <w:r w:rsidR="00377ACF" w:rsidRPr="006E3268">
        <w:rPr>
          <w:color w:val="000000"/>
        </w:rPr>
        <w:t>практически закончены</w:t>
      </w:r>
      <w:r w:rsidR="00F824B8">
        <w:rPr>
          <w:color w:val="000000"/>
        </w:rPr>
        <w:t>;</w:t>
      </w:r>
    </w:p>
    <w:p w:rsidR="00377ACF" w:rsidRPr="005E76D6" w:rsidRDefault="00377ACF" w:rsidP="00377ACF">
      <w:pPr>
        <w:pStyle w:val="af8"/>
        <w:numPr>
          <w:ilvl w:val="0"/>
          <w:numId w:val="22"/>
        </w:numPr>
        <w:ind w:left="0" w:firstLine="680"/>
        <w:jc w:val="both"/>
        <w:rPr>
          <w:rFonts w:eastAsia="Times New Roman"/>
        </w:rPr>
      </w:pPr>
      <w:r w:rsidRPr="005E76D6">
        <w:rPr>
          <w:rFonts w:eastAsia="Times New Roman"/>
        </w:rPr>
        <w:t xml:space="preserve">в бухгалтерском учете по состоянию на 01.07.2019 в общей сумме прав пользования нежилыми помещениями ГКУ </w:t>
      </w:r>
      <w:r w:rsidRPr="00D21C10">
        <w:t>«МФЦ»</w:t>
      </w:r>
      <w:r w:rsidRPr="00EA7FC2">
        <w:rPr>
          <w:rFonts w:eastAsia="Times New Roman"/>
        </w:rPr>
        <w:t xml:space="preserve"> </w:t>
      </w:r>
      <w:r w:rsidRPr="005E76D6">
        <w:rPr>
          <w:rFonts w:eastAsia="Times New Roman"/>
        </w:rPr>
        <w:t xml:space="preserve">права пользования нежилыми помещениями по 7-ми договорам безвозмездного пользования не отражены по справедливой (рыночной) стоимости арендных платежей (отражены права в условной оценке по 1 руб.), как того требует п. 41.1 Инструкции по применению Плана счетов в бюджетного учета, утвержденной приказом Минфина России </w:t>
      </w:r>
      <w:r w:rsidRPr="005E76D6">
        <w:rPr>
          <w:rFonts w:eastAsiaTheme="minorHAnsi"/>
          <w:lang w:eastAsia="en-US"/>
        </w:rPr>
        <w:t>от 06.12.2010 № 162н</w:t>
      </w:r>
      <w:r w:rsidRPr="005E76D6">
        <w:rPr>
          <w:rFonts w:eastAsia="Times New Roman"/>
        </w:rPr>
        <w:t>, а также п. 26 Федерального стандарта бухгалтерского учета организаций государственного сектора «Аренда», утвержденного приказом Министерства финансов РФ от 31.12.2016 №258н</w:t>
      </w:r>
      <w:r w:rsidRPr="00345F73">
        <w:rPr>
          <w:rFonts w:eastAsia="Times New Roman"/>
        </w:rPr>
        <w:t xml:space="preserve">. В письме </w:t>
      </w:r>
      <w:r w:rsidRPr="00345F73">
        <w:t>Минфина России от 14.01.2019 № 02-07-10/1982 «Об определении</w:t>
      </w:r>
      <w:r w:rsidRPr="001C53C1">
        <w:t xml:space="preserve"> в целях бухучета справедливой стоимости объектов учета аренды, возникающих в рамках договора безвозмездного пользования</w:t>
      </w:r>
      <w:r>
        <w:t>…</w:t>
      </w:r>
      <w:r w:rsidRPr="001C53C1">
        <w:t>» отражено, что</w:t>
      </w:r>
      <w:r>
        <w:t xml:space="preserve"> п</w:t>
      </w:r>
      <w:r w:rsidRPr="001C53C1">
        <w:t>осле получения данных о ценах на аналогичное либо схожее имущество учреждение должно пересмотреть балансовую (справедливую) стоимость объекта, отраженн</w:t>
      </w:r>
      <w:r w:rsidR="003F1E7C">
        <w:t>ую</w:t>
      </w:r>
      <w:r w:rsidRPr="001C53C1">
        <w:t xml:space="preserve"> в условной оценке.</w:t>
      </w:r>
    </w:p>
    <w:p w:rsidR="00377ACF" w:rsidRPr="00D240C3" w:rsidRDefault="00377ACF" w:rsidP="00377ACF">
      <w:pPr>
        <w:pStyle w:val="3"/>
        <w:spacing w:after="0"/>
        <w:ind w:left="0" w:firstLine="680"/>
        <w:jc w:val="both"/>
        <w:rPr>
          <w:rFonts w:eastAsia="Times New Roman"/>
          <w:sz w:val="24"/>
          <w:szCs w:val="24"/>
        </w:rPr>
      </w:pPr>
    </w:p>
    <w:p w:rsidR="007C3072" w:rsidRPr="00793293" w:rsidRDefault="00793293" w:rsidP="00793293">
      <w:pPr>
        <w:ind w:firstLine="680"/>
        <w:jc w:val="center"/>
        <w:rPr>
          <w:b/>
        </w:rPr>
      </w:pPr>
      <w:r w:rsidRPr="00793293">
        <w:rPr>
          <w:b/>
        </w:rPr>
        <w:t xml:space="preserve">Сравнение </w:t>
      </w:r>
      <w:r w:rsidR="00C4166A">
        <w:rPr>
          <w:b/>
        </w:rPr>
        <w:t xml:space="preserve">отдельных показателей </w:t>
      </w:r>
      <w:r w:rsidR="0043328A">
        <w:rPr>
          <w:b/>
        </w:rPr>
        <w:t xml:space="preserve">ГКУ </w:t>
      </w:r>
      <w:r w:rsidR="0043328A" w:rsidRPr="00F824B8">
        <w:rPr>
          <w:b/>
        </w:rPr>
        <w:t>«МФЦ»</w:t>
      </w:r>
      <w:r w:rsidR="0043328A" w:rsidRPr="00C92F54">
        <w:rPr>
          <w:color w:val="000000"/>
        </w:rPr>
        <w:t xml:space="preserve"> </w:t>
      </w:r>
      <w:r w:rsidRPr="00793293">
        <w:rPr>
          <w:b/>
        </w:rPr>
        <w:t xml:space="preserve">с </w:t>
      </w:r>
      <w:r w:rsidR="004164EB">
        <w:rPr>
          <w:b/>
        </w:rPr>
        <w:t>п</w:t>
      </w:r>
      <w:r w:rsidR="00C4166A">
        <w:rPr>
          <w:b/>
        </w:rPr>
        <w:t xml:space="preserve">оказателями учреждений МФЦ </w:t>
      </w:r>
      <w:r w:rsidRPr="00793293">
        <w:rPr>
          <w:b/>
        </w:rPr>
        <w:t>други</w:t>
      </w:r>
      <w:r w:rsidR="00C4166A">
        <w:rPr>
          <w:b/>
        </w:rPr>
        <w:t>х</w:t>
      </w:r>
      <w:r w:rsidRPr="00793293">
        <w:rPr>
          <w:b/>
        </w:rPr>
        <w:t xml:space="preserve"> регион</w:t>
      </w:r>
      <w:r w:rsidR="00C4166A">
        <w:rPr>
          <w:b/>
        </w:rPr>
        <w:t>ов</w:t>
      </w:r>
    </w:p>
    <w:p w:rsidR="004B1ACD" w:rsidRDefault="004B1ACD" w:rsidP="0025533C">
      <w:pPr>
        <w:ind w:firstLine="680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В </w:t>
      </w:r>
      <w:r w:rsidR="00E12713">
        <w:rPr>
          <w:rFonts w:eastAsia="Times New Roman"/>
          <w:color w:val="000000"/>
        </w:rPr>
        <w:t xml:space="preserve">ходе настоящего контрольного мероприятия произведено сравнение отдельных показателей </w:t>
      </w:r>
      <w:r w:rsidR="00E12713" w:rsidRPr="00C92F54">
        <w:t>ГКУ «МФЦ»</w:t>
      </w:r>
      <w:r w:rsidR="00E12713" w:rsidRPr="00C92F54">
        <w:rPr>
          <w:color w:val="000000"/>
        </w:rPr>
        <w:t xml:space="preserve"> </w:t>
      </w:r>
      <w:r w:rsidR="00E12713">
        <w:rPr>
          <w:color w:val="000000"/>
        </w:rPr>
        <w:t xml:space="preserve">с показателями </w:t>
      </w:r>
      <w:r w:rsidR="0025533C">
        <w:rPr>
          <w:color w:val="000000"/>
        </w:rPr>
        <w:t>МФЦ других регионов, созданных в форме государственных учреждений</w:t>
      </w:r>
      <w:r w:rsidR="00E64662">
        <w:rPr>
          <w:color w:val="000000"/>
        </w:rPr>
        <w:t xml:space="preserve"> (на основании данных официального </w:t>
      </w:r>
      <w:r w:rsidR="00E64662" w:rsidRPr="00E64662">
        <w:t xml:space="preserve">сайта </w:t>
      </w:r>
      <w:hyperlink r:id="rId19" w:history="1">
        <w:r w:rsidR="00E64662" w:rsidRPr="00E64662">
          <w:rPr>
            <w:rStyle w:val="a7"/>
            <w:color w:val="auto"/>
          </w:rPr>
          <w:t>https://bus.gov.ru/</w:t>
        </w:r>
      </w:hyperlink>
      <w:r w:rsidR="00E64662">
        <w:rPr>
          <w:color w:val="000000"/>
        </w:rPr>
        <w:t xml:space="preserve"> для размещения информации о государственных (муниципальных) учреждениях)</w:t>
      </w:r>
      <w:r w:rsidR="00E34B96">
        <w:rPr>
          <w:color w:val="000000"/>
        </w:rPr>
        <w:t>, что представлено в таблице.</w:t>
      </w:r>
    </w:p>
    <w:tbl>
      <w:tblPr>
        <w:tblW w:w="9671" w:type="dxa"/>
        <w:tblInd w:w="85" w:type="dxa"/>
        <w:tblLook w:val="04A0"/>
      </w:tblPr>
      <w:tblGrid>
        <w:gridCol w:w="1598"/>
        <w:gridCol w:w="1016"/>
        <w:gridCol w:w="830"/>
        <w:gridCol w:w="937"/>
        <w:gridCol w:w="938"/>
        <w:gridCol w:w="840"/>
        <w:gridCol w:w="919"/>
        <w:gridCol w:w="757"/>
        <w:gridCol w:w="818"/>
        <w:gridCol w:w="1018"/>
      </w:tblGrid>
      <w:tr w:rsidR="004B1ACD" w:rsidRPr="004B1ACD" w:rsidTr="0025533C">
        <w:trPr>
          <w:trHeight w:val="300"/>
        </w:trPr>
        <w:tc>
          <w:tcPr>
            <w:tcW w:w="1598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4B1ACD" w:rsidRPr="004B1ACD" w:rsidRDefault="004B1ACD" w:rsidP="004B1ACD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4B1ACD">
              <w:rPr>
                <w:rFonts w:eastAsia="Times New Roman"/>
                <w:color w:val="000000"/>
                <w:sz w:val="16"/>
                <w:szCs w:val="16"/>
              </w:rPr>
              <w:t>Наименование региона</w:t>
            </w:r>
          </w:p>
        </w:tc>
        <w:tc>
          <w:tcPr>
            <w:tcW w:w="1016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4B1ACD" w:rsidRPr="004B1ACD" w:rsidRDefault="004B1ACD" w:rsidP="004B1ACD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4B1ACD">
              <w:rPr>
                <w:rFonts w:eastAsia="Times New Roman"/>
                <w:color w:val="000000"/>
                <w:sz w:val="16"/>
                <w:szCs w:val="16"/>
              </w:rPr>
              <w:t xml:space="preserve">Тип </w:t>
            </w:r>
            <w:proofErr w:type="spellStart"/>
            <w:r w:rsidRPr="004B1ACD">
              <w:rPr>
                <w:rFonts w:eastAsia="Times New Roman"/>
                <w:color w:val="000000"/>
                <w:sz w:val="16"/>
                <w:szCs w:val="16"/>
              </w:rPr>
              <w:t>учреж-дения</w:t>
            </w:r>
            <w:proofErr w:type="spellEnd"/>
          </w:p>
        </w:tc>
        <w:tc>
          <w:tcPr>
            <w:tcW w:w="83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4B1ACD" w:rsidRPr="004B1ACD" w:rsidRDefault="004B1ACD" w:rsidP="004B1ACD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4B1ACD">
              <w:rPr>
                <w:rFonts w:eastAsia="Times New Roman"/>
                <w:color w:val="000000"/>
                <w:sz w:val="16"/>
                <w:szCs w:val="16"/>
              </w:rPr>
              <w:t>Кол-во жителей, тыс. чел. на 01.01.18</w:t>
            </w:r>
          </w:p>
        </w:tc>
        <w:tc>
          <w:tcPr>
            <w:tcW w:w="937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4B1ACD" w:rsidRPr="004B1ACD" w:rsidRDefault="004B1ACD" w:rsidP="004B1ACD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4B1ACD">
              <w:rPr>
                <w:rFonts w:eastAsia="Times New Roman"/>
                <w:color w:val="000000"/>
                <w:sz w:val="16"/>
                <w:szCs w:val="16"/>
              </w:rPr>
              <w:t xml:space="preserve">Штатная </w:t>
            </w:r>
            <w:proofErr w:type="spellStart"/>
            <w:r w:rsidRPr="004B1ACD">
              <w:rPr>
                <w:rFonts w:eastAsia="Times New Roman"/>
                <w:color w:val="000000"/>
                <w:sz w:val="16"/>
                <w:szCs w:val="16"/>
              </w:rPr>
              <w:t>числен-ность</w:t>
            </w:r>
            <w:proofErr w:type="spellEnd"/>
            <w:r w:rsidRPr="004B1ACD">
              <w:rPr>
                <w:rFonts w:eastAsia="Times New Roman"/>
                <w:color w:val="000000"/>
                <w:sz w:val="16"/>
                <w:szCs w:val="16"/>
              </w:rPr>
              <w:t xml:space="preserve"> МФЦ,  чел.</w:t>
            </w:r>
          </w:p>
        </w:tc>
        <w:tc>
          <w:tcPr>
            <w:tcW w:w="938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4B1ACD" w:rsidRPr="004B1ACD" w:rsidRDefault="004B1ACD" w:rsidP="00721F7D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4B1ACD">
              <w:rPr>
                <w:rFonts w:eastAsia="Times New Roman"/>
                <w:color w:val="000000"/>
                <w:sz w:val="16"/>
                <w:szCs w:val="16"/>
              </w:rPr>
              <w:t xml:space="preserve">Кол-во </w:t>
            </w:r>
            <w:proofErr w:type="spellStart"/>
            <w:r w:rsidRPr="004B1ACD">
              <w:rPr>
                <w:rFonts w:eastAsia="Times New Roman"/>
                <w:color w:val="000000"/>
                <w:sz w:val="16"/>
                <w:szCs w:val="16"/>
              </w:rPr>
              <w:t>раб-ков</w:t>
            </w:r>
            <w:proofErr w:type="spellEnd"/>
            <w:r w:rsidRPr="004B1ACD">
              <w:rPr>
                <w:rFonts w:eastAsia="Times New Roman"/>
                <w:color w:val="000000"/>
                <w:sz w:val="16"/>
                <w:szCs w:val="16"/>
              </w:rPr>
              <w:t xml:space="preserve"> МФЦ на 10 тыс. чел населения (гр. </w:t>
            </w:r>
            <w:r w:rsidR="00721F7D">
              <w:rPr>
                <w:rFonts w:eastAsia="Times New Roman"/>
                <w:color w:val="000000"/>
                <w:sz w:val="16"/>
                <w:szCs w:val="16"/>
              </w:rPr>
              <w:t>4</w:t>
            </w:r>
            <w:r w:rsidRPr="004B1ACD">
              <w:rPr>
                <w:rFonts w:eastAsia="Times New Roman"/>
                <w:color w:val="000000"/>
                <w:sz w:val="16"/>
                <w:szCs w:val="16"/>
              </w:rPr>
              <w:t xml:space="preserve"> /гр.</w:t>
            </w:r>
            <w:r w:rsidR="00721F7D">
              <w:rPr>
                <w:rFonts w:eastAsia="Times New Roman"/>
                <w:color w:val="000000"/>
                <w:sz w:val="16"/>
                <w:szCs w:val="16"/>
              </w:rPr>
              <w:t>3</w:t>
            </w:r>
            <w:r w:rsidRPr="004B1ACD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1ACD">
              <w:rPr>
                <w:rFonts w:eastAsia="Times New Roman"/>
                <w:color w:val="000000"/>
                <w:sz w:val="16"/>
                <w:szCs w:val="16"/>
              </w:rPr>
              <w:t>х</w:t>
            </w:r>
            <w:proofErr w:type="spellEnd"/>
            <w:r w:rsidRPr="004B1ACD">
              <w:rPr>
                <w:rFonts w:eastAsia="Times New Roman"/>
                <w:color w:val="000000"/>
                <w:sz w:val="16"/>
                <w:szCs w:val="16"/>
              </w:rPr>
              <w:t xml:space="preserve"> 10)</w:t>
            </w:r>
          </w:p>
        </w:tc>
        <w:tc>
          <w:tcPr>
            <w:tcW w:w="1759" w:type="dxa"/>
            <w:gridSpan w:val="2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4B1ACD" w:rsidRPr="004B1ACD" w:rsidRDefault="004B1ACD" w:rsidP="00C5799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4B1ACD">
              <w:rPr>
                <w:rFonts w:eastAsia="Times New Roman"/>
                <w:color w:val="000000"/>
                <w:sz w:val="16"/>
                <w:szCs w:val="16"/>
              </w:rPr>
              <w:t>Кол-во оказанных услуг</w:t>
            </w:r>
          </w:p>
        </w:tc>
        <w:tc>
          <w:tcPr>
            <w:tcW w:w="2593" w:type="dxa"/>
            <w:gridSpan w:val="3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000000" w:fill="EAF1DD"/>
            <w:vAlign w:val="center"/>
            <w:hideMark/>
          </w:tcPr>
          <w:p w:rsidR="004B1ACD" w:rsidRPr="004B1ACD" w:rsidRDefault="004B1ACD" w:rsidP="004B1ACD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4B1ACD">
              <w:rPr>
                <w:rFonts w:eastAsia="Times New Roman"/>
                <w:color w:val="000000"/>
                <w:sz w:val="16"/>
                <w:szCs w:val="16"/>
              </w:rPr>
              <w:t xml:space="preserve">Расходы на содержание МФЦ на 2018 год </w:t>
            </w:r>
          </w:p>
        </w:tc>
      </w:tr>
      <w:tr w:rsidR="004B1ACD" w:rsidRPr="004B1ACD" w:rsidTr="00BA38FA">
        <w:trPr>
          <w:trHeight w:val="184"/>
        </w:trPr>
        <w:tc>
          <w:tcPr>
            <w:tcW w:w="1598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ACD" w:rsidRPr="004B1ACD" w:rsidRDefault="004B1ACD" w:rsidP="004B1ACD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ACD" w:rsidRPr="004B1ACD" w:rsidRDefault="004B1ACD" w:rsidP="004B1ACD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ACD" w:rsidRPr="004B1ACD" w:rsidRDefault="004B1ACD" w:rsidP="004B1ACD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7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ACD" w:rsidRPr="004B1ACD" w:rsidRDefault="004B1ACD" w:rsidP="004B1ACD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8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ACD" w:rsidRPr="004B1ACD" w:rsidRDefault="004B1ACD" w:rsidP="004B1ACD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59" w:type="dxa"/>
            <w:gridSpan w:val="2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ACD" w:rsidRPr="004B1ACD" w:rsidRDefault="004B1ACD" w:rsidP="004B1ACD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593" w:type="dxa"/>
            <w:gridSpan w:val="3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  <w:hideMark/>
          </w:tcPr>
          <w:p w:rsidR="004B1ACD" w:rsidRPr="004B1ACD" w:rsidRDefault="004B1ACD" w:rsidP="004B1ACD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4B1ACD" w:rsidRPr="004B1ACD" w:rsidTr="005F5016">
        <w:trPr>
          <w:trHeight w:val="1141"/>
        </w:trPr>
        <w:tc>
          <w:tcPr>
            <w:tcW w:w="1598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ACD" w:rsidRPr="004B1ACD" w:rsidRDefault="004B1ACD" w:rsidP="004B1ACD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ACD" w:rsidRPr="004B1ACD" w:rsidRDefault="004B1ACD" w:rsidP="004B1ACD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ACD" w:rsidRPr="004B1ACD" w:rsidRDefault="004B1ACD" w:rsidP="004B1ACD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7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ACD" w:rsidRPr="004B1ACD" w:rsidRDefault="004B1ACD" w:rsidP="004B1ACD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8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ACD" w:rsidRPr="004B1ACD" w:rsidRDefault="004B1ACD" w:rsidP="004B1ACD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4B1ACD" w:rsidRPr="004B1ACD" w:rsidRDefault="004B1ACD" w:rsidP="004B1ACD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4B1ACD">
              <w:rPr>
                <w:rFonts w:eastAsia="Times New Roman"/>
                <w:color w:val="000000"/>
                <w:sz w:val="16"/>
                <w:szCs w:val="16"/>
              </w:rPr>
              <w:t>всего (тыс. услуг)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4B1ACD" w:rsidRPr="004B1ACD" w:rsidRDefault="004B1ACD" w:rsidP="00721F7D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4B1ACD">
              <w:rPr>
                <w:rFonts w:eastAsia="Times New Roman"/>
                <w:color w:val="000000"/>
                <w:sz w:val="16"/>
                <w:szCs w:val="16"/>
              </w:rPr>
              <w:t xml:space="preserve">на  тыс. чел. населения  (гр. </w:t>
            </w:r>
            <w:r w:rsidR="00721F7D">
              <w:rPr>
                <w:rFonts w:eastAsia="Times New Roman"/>
                <w:color w:val="000000"/>
                <w:sz w:val="16"/>
                <w:szCs w:val="16"/>
              </w:rPr>
              <w:t>6</w:t>
            </w:r>
            <w:r w:rsidRPr="004B1ACD">
              <w:rPr>
                <w:rFonts w:eastAsia="Times New Roman"/>
                <w:color w:val="000000"/>
                <w:sz w:val="16"/>
                <w:szCs w:val="16"/>
              </w:rPr>
              <w:t>/ гр.</w:t>
            </w:r>
            <w:r w:rsidR="00721F7D">
              <w:rPr>
                <w:rFonts w:eastAsia="Times New Roman"/>
                <w:color w:val="000000"/>
                <w:sz w:val="16"/>
                <w:szCs w:val="16"/>
              </w:rPr>
              <w:t>3</w:t>
            </w:r>
            <w:r w:rsidRPr="004B1ACD">
              <w:rPr>
                <w:rFonts w:eastAsia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4B1ACD" w:rsidRPr="004B1ACD" w:rsidRDefault="004B1ACD" w:rsidP="004B1ACD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4B1ACD">
              <w:rPr>
                <w:rFonts w:eastAsia="Times New Roman"/>
                <w:color w:val="000000"/>
                <w:sz w:val="16"/>
                <w:szCs w:val="16"/>
              </w:rPr>
              <w:t>Всего, млн. руб.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4B1ACD" w:rsidRPr="004B1ACD" w:rsidRDefault="004B1ACD" w:rsidP="004B1ACD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4B1ACD">
              <w:rPr>
                <w:rFonts w:eastAsia="Times New Roman"/>
                <w:color w:val="000000"/>
                <w:sz w:val="16"/>
                <w:szCs w:val="16"/>
              </w:rPr>
              <w:t xml:space="preserve">Средняя </w:t>
            </w:r>
            <w:proofErr w:type="spellStart"/>
            <w:r w:rsidRPr="004B1ACD">
              <w:rPr>
                <w:rFonts w:eastAsia="Times New Roman"/>
                <w:color w:val="000000"/>
                <w:sz w:val="16"/>
                <w:szCs w:val="16"/>
              </w:rPr>
              <w:t>з</w:t>
            </w:r>
            <w:proofErr w:type="spellEnd"/>
            <w:r w:rsidRPr="004B1ACD">
              <w:rPr>
                <w:rFonts w:eastAsia="Times New Roman"/>
                <w:color w:val="000000"/>
                <w:sz w:val="16"/>
                <w:szCs w:val="16"/>
              </w:rPr>
              <w:t>/</w:t>
            </w:r>
            <w:proofErr w:type="spellStart"/>
            <w:r w:rsidRPr="004B1ACD">
              <w:rPr>
                <w:rFonts w:eastAsia="Times New Roman"/>
                <w:color w:val="000000"/>
                <w:sz w:val="16"/>
                <w:szCs w:val="16"/>
              </w:rPr>
              <w:t>пл</w:t>
            </w:r>
            <w:proofErr w:type="spellEnd"/>
            <w:r w:rsidRPr="004B1ACD">
              <w:rPr>
                <w:rFonts w:eastAsia="Times New Roman"/>
                <w:color w:val="000000"/>
                <w:sz w:val="16"/>
                <w:szCs w:val="16"/>
              </w:rPr>
              <w:t xml:space="preserve"> (2018 год)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AF1DD"/>
            <w:vAlign w:val="center"/>
            <w:hideMark/>
          </w:tcPr>
          <w:p w:rsidR="004B1ACD" w:rsidRPr="004B1ACD" w:rsidRDefault="004B1ACD" w:rsidP="00721F7D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4B1ACD">
              <w:rPr>
                <w:rFonts w:eastAsia="Times New Roman"/>
                <w:color w:val="000000"/>
                <w:sz w:val="16"/>
                <w:szCs w:val="16"/>
              </w:rPr>
              <w:t>расходы (тыс. руб.) на 1 сотрудника МФЦ  (гр.</w:t>
            </w:r>
            <w:r w:rsidR="00721F7D">
              <w:rPr>
                <w:rFonts w:eastAsia="Times New Roman"/>
                <w:color w:val="000000"/>
                <w:sz w:val="16"/>
                <w:szCs w:val="16"/>
              </w:rPr>
              <w:t>8</w:t>
            </w:r>
            <w:r w:rsidRPr="004B1ACD">
              <w:rPr>
                <w:rFonts w:eastAsia="Times New Roman"/>
                <w:color w:val="000000"/>
                <w:sz w:val="16"/>
                <w:szCs w:val="16"/>
              </w:rPr>
              <w:t>/гр.</w:t>
            </w:r>
            <w:r w:rsidR="00721F7D">
              <w:rPr>
                <w:rFonts w:eastAsia="Times New Roman"/>
                <w:color w:val="000000"/>
                <w:sz w:val="16"/>
                <w:szCs w:val="16"/>
              </w:rPr>
              <w:t>4</w:t>
            </w:r>
            <w:r w:rsidRPr="004B1ACD">
              <w:rPr>
                <w:rFonts w:eastAsia="Times New Roman"/>
                <w:color w:val="000000"/>
                <w:sz w:val="16"/>
                <w:szCs w:val="16"/>
              </w:rPr>
              <w:t>)</w:t>
            </w:r>
          </w:p>
        </w:tc>
      </w:tr>
      <w:tr w:rsidR="004B1ACD" w:rsidRPr="004B1ACD" w:rsidTr="005F5016">
        <w:trPr>
          <w:trHeight w:val="210"/>
        </w:trPr>
        <w:tc>
          <w:tcPr>
            <w:tcW w:w="1598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B1ACD" w:rsidRPr="005F5016" w:rsidRDefault="004B1ACD" w:rsidP="004B1ACD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5F5016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B1ACD" w:rsidRPr="005F5016" w:rsidRDefault="004B1ACD" w:rsidP="004B1ACD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5F5016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B1ACD" w:rsidRPr="005F5016" w:rsidRDefault="00721F7D" w:rsidP="00721F7D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B1ACD" w:rsidRPr="005F5016" w:rsidRDefault="00721F7D" w:rsidP="00721F7D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3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4B1ACD" w:rsidRPr="004B1ACD" w:rsidRDefault="00721F7D" w:rsidP="00721F7D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4B1ACD" w:rsidRPr="004B1ACD" w:rsidRDefault="00721F7D" w:rsidP="00721F7D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1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4B1ACD" w:rsidRPr="004B1ACD" w:rsidRDefault="00721F7D" w:rsidP="00721F7D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75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4B1ACD" w:rsidRPr="004B1ACD" w:rsidRDefault="00721F7D" w:rsidP="00721F7D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1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4B1ACD" w:rsidRPr="004B1ACD" w:rsidRDefault="00721F7D" w:rsidP="00721F7D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01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AF1DD"/>
            <w:vAlign w:val="center"/>
            <w:hideMark/>
          </w:tcPr>
          <w:p w:rsidR="004B1ACD" w:rsidRPr="004B1ACD" w:rsidRDefault="004B1ACD" w:rsidP="00721F7D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4B1ACD">
              <w:rPr>
                <w:rFonts w:eastAsia="Times New Roman"/>
                <w:color w:val="000000"/>
                <w:sz w:val="16"/>
                <w:szCs w:val="16"/>
              </w:rPr>
              <w:t>1</w:t>
            </w:r>
            <w:r w:rsidR="00721F7D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</w:tr>
      <w:tr w:rsidR="004B1ACD" w:rsidRPr="004B1ACD" w:rsidTr="0025533C">
        <w:trPr>
          <w:trHeight w:val="315"/>
        </w:trPr>
        <w:tc>
          <w:tcPr>
            <w:tcW w:w="159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ACD" w:rsidRPr="004B1ACD" w:rsidRDefault="004B1ACD" w:rsidP="004B1ACD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4B1ACD">
              <w:rPr>
                <w:rFonts w:eastAsia="Times New Roman"/>
                <w:color w:val="000000"/>
                <w:sz w:val="16"/>
                <w:szCs w:val="16"/>
              </w:rPr>
              <w:t>Саратовская область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ACD" w:rsidRPr="004B1ACD" w:rsidRDefault="004B1ACD" w:rsidP="004B1ACD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4B1ACD">
              <w:rPr>
                <w:rFonts w:eastAsia="Times New Roman"/>
                <w:color w:val="000000"/>
                <w:sz w:val="16"/>
                <w:szCs w:val="16"/>
              </w:rPr>
              <w:t>автономное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1ACD" w:rsidRPr="004B1ACD" w:rsidRDefault="004B1ACD" w:rsidP="004B1ACD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4B1ACD">
              <w:rPr>
                <w:rFonts w:eastAsia="Times New Roman"/>
                <w:color w:val="000000"/>
                <w:sz w:val="16"/>
                <w:szCs w:val="16"/>
              </w:rPr>
              <w:t>2463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1ACD" w:rsidRPr="004B1ACD" w:rsidRDefault="004B1ACD" w:rsidP="004B1ACD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4B1ACD">
              <w:rPr>
                <w:rFonts w:eastAsia="Times New Roman"/>
                <w:color w:val="000000"/>
                <w:sz w:val="16"/>
                <w:szCs w:val="16"/>
              </w:rPr>
              <w:t>1219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1ACD" w:rsidRPr="004B1ACD" w:rsidRDefault="004B1ACD" w:rsidP="004B1ACD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4B1ACD">
              <w:rPr>
                <w:rFonts w:eastAsia="Times New Roman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ACD" w:rsidRPr="004B1ACD" w:rsidRDefault="004B1ACD" w:rsidP="004B1ACD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4B1ACD">
              <w:rPr>
                <w:rFonts w:eastAsia="Times New Roman"/>
                <w:color w:val="000000"/>
                <w:sz w:val="16"/>
                <w:szCs w:val="16"/>
              </w:rPr>
              <w:t>913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ACD" w:rsidRPr="004B1ACD" w:rsidRDefault="004B1ACD" w:rsidP="004B1ACD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4B1ACD">
              <w:rPr>
                <w:rFonts w:eastAsia="Times New Roman"/>
                <w:color w:val="000000"/>
                <w:sz w:val="16"/>
                <w:szCs w:val="16"/>
              </w:rPr>
              <w:t>370,7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1ACD" w:rsidRPr="004B1ACD" w:rsidRDefault="004B1ACD" w:rsidP="004B1ACD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4B1ACD">
              <w:rPr>
                <w:rFonts w:eastAsia="Times New Roman"/>
                <w:color w:val="000000"/>
                <w:sz w:val="16"/>
                <w:szCs w:val="16"/>
              </w:rPr>
              <w:t>427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1ACD" w:rsidRPr="004B1ACD" w:rsidRDefault="004B1ACD" w:rsidP="004B1ACD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4B1ACD">
              <w:rPr>
                <w:rFonts w:eastAsia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:rsidR="004B1ACD" w:rsidRPr="004B1ACD" w:rsidRDefault="004B1ACD" w:rsidP="004B1ACD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4B1ACD">
              <w:rPr>
                <w:rFonts w:eastAsia="Times New Roman"/>
                <w:color w:val="000000"/>
                <w:sz w:val="16"/>
                <w:szCs w:val="16"/>
              </w:rPr>
              <w:t>350,3</w:t>
            </w:r>
          </w:p>
        </w:tc>
      </w:tr>
      <w:tr w:rsidR="004B1ACD" w:rsidRPr="004B1ACD" w:rsidTr="0025533C">
        <w:trPr>
          <w:trHeight w:val="300"/>
        </w:trPr>
        <w:tc>
          <w:tcPr>
            <w:tcW w:w="159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ACD" w:rsidRPr="004B1ACD" w:rsidRDefault="004B1ACD" w:rsidP="004B1ACD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4B1ACD">
              <w:rPr>
                <w:rFonts w:eastAsia="Times New Roman"/>
                <w:color w:val="000000"/>
                <w:sz w:val="16"/>
                <w:szCs w:val="16"/>
              </w:rPr>
              <w:t>Калужская область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ACD" w:rsidRPr="004B1ACD" w:rsidRDefault="004B1ACD" w:rsidP="004B1ACD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4B1ACD">
              <w:rPr>
                <w:rFonts w:eastAsia="Times New Roman"/>
                <w:color w:val="000000"/>
                <w:sz w:val="16"/>
                <w:szCs w:val="16"/>
              </w:rPr>
              <w:t>бюджетное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ACD" w:rsidRPr="004B1ACD" w:rsidRDefault="004B1ACD" w:rsidP="004B1ACD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4B1ACD">
              <w:rPr>
                <w:rFonts w:eastAsia="Times New Roman"/>
                <w:color w:val="000000"/>
                <w:sz w:val="16"/>
                <w:szCs w:val="16"/>
              </w:rPr>
              <w:t>1012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ACD" w:rsidRPr="004B1ACD" w:rsidRDefault="004B1ACD" w:rsidP="004B1ACD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4B1ACD">
              <w:rPr>
                <w:rFonts w:eastAsia="Times New Roman"/>
                <w:color w:val="000000"/>
                <w:sz w:val="16"/>
                <w:szCs w:val="16"/>
              </w:rPr>
              <w:t>553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1ACD" w:rsidRPr="004B1ACD" w:rsidRDefault="004B1ACD" w:rsidP="004B1ACD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4B1ACD">
              <w:rPr>
                <w:rFonts w:eastAsia="Times New Roman"/>
                <w:color w:val="000000"/>
                <w:sz w:val="16"/>
                <w:szCs w:val="16"/>
              </w:rPr>
              <w:t>5,4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ACD" w:rsidRPr="004B1ACD" w:rsidRDefault="004B1ACD" w:rsidP="004B1ACD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4B1ACD">
              <w:rPr>
                <w:rFonts w:eastAsia="Times New Roman"/>
                <w:color w:val="000000"/>
                <w:sz w:val="16"/>
                <w:szCs w:val="16"/>
              </w:rPr>
              <w:t>747,8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ACD" w:rsidRPr="004B1ACD" w:rsidRDefault="004B1ACD" w:rsidP="004B1ACD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4B1ACD">
              <w:rPr>
                <w:rFonts w:eastAsia="Times New Roman"/>
                <w:color w:val="000000"/>
                <w:sz w:val="16"/>
                <w:szCs w:val="16"/>
              </w:rPr>
              <w:t>738,9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1ACD" w:rsidRPr="004B1ACD" w:rsidRDefault="004B1ACD" w:rsidP="004B1ACD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4B1ACD">
              <w:rPr>
                <w:rFonts w:eastAsia="Times New Roman"/>
                <w:color w:val="000000"/>
                <w:sz w:val="16"/>
                <w:szCs w:val="16"/>
              </w:rPr>
              <w:t>274,4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1ACD" w:rsidRPr="004B1ACD" w:rsidRDefault="004B1ACD" w:rsidP="004B1ACD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4B1ACD">
              <w:rPr>
                <w:rFonts w:eastAsia="Times New Roman"/>
                <w:color w:val="000000"/>
                <w:sz w:val="16"/>
                <w:szCs w:val="16"/>
              </w:rPr>
              <w:t>32,5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:rsidR="004B1ACD" w:rsidRPr="004B1ACD" w:rsidRDefault="004B1ACD" w:rsidP="004B1ACD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4B1ACD">
              <w:rPr>
                <w:rFonts w:eastAsia="Times New Roman"/>
                <w:color w:val="000000"/>
                <w:sz w:val="16"/>
                <w:szCs w:val="16"/>
              </w:rPr>
              <w:t>496,2</w:t>
            </w:r>
          </w:p>
        </w:tc>
      </w:tr>
      <w:tr w:rsidR="004B1ACD" w:rsidRPr="004B1ACD" w:rsidTr="0025533C">
        <w:trPr>
          <w:trHeight w:val="300"/>
        </w:trPr>
        <w:tc>
          <w:tcPr>
            <w:tcW w:w="159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ACD" w:rsidRPr="004B1ACD" w:rsidRDefault="004B1ACD" w:rsidP="004B1ACD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4B1ACD">
              <w:rPr>
                <w:rFonts w:eastAsia="Times New Roman"/>
                <w:color w:val="000000"/>
                <w:sz w:val="16"/>
                <w:szCs w:val="16"/>
              </w:rPr>
              <w:t>Астраханская область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ACD" w:rsidRPr="004B1ACD" w:rsidRDefault="004B1ACD" w:rsidP="004B1ACD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4B1ACD">
              <w:rPr>
                <w:rFonts w:eastAsia="Times New Roman"/>
                <w:color w:val="000000"/>
                <w:sz w:val="16"/>
                <w:szCs w:val="16"/>
              </w:rPr>
              <w:t>автономное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ACD" w:rsidRPr="004B1ACD" w:rsidRDefault="004B1ACD" w:rsidP="004B1ACD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4B1ACD">
              <w:rPr>
                <w:rFonts w:eastAsia="Times New Roman"/>
                <w:color w:val="000000"/>
                <w:sz w:val="16"/>
                <w:szCs w:val="16"/>
              </w:rPr>
              <w:t>1017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ACD" w:rsidRPr="004B1ACD" w:rsidRDefault="004B1ACD" w:rsidP="004B1ACD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4B1ACD">
              <w:rPr>
                <w:rFonts w:eastAsia="Times New Roman"/>
                <w:color w:val="000000"/>
                <w:sz w:val="16"/>
                <w:szCs w:val="16"/>
              </w:rPr>
              <w:t>554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1ACD" w:rsidRPr="004B1ACD" w:rsidRDefault="004B1ACD" w:rsidP="004B1ACD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4B1ACD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ACD" w:rsidRPr="004B1ACD" w:rsidRDefault="004B1ACD" w:rsidP="004B1ACD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4B1ACD">
              <w:rPr>
                <w:rFonts w:eastAsia="Times New Roman"/>
                <w:color w:val="000000"/>
                <w:sz w:val="16"/>
                <w:szCs w:val="16"/>
              </w:rPr>
              <w:t>476,2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ACD" w:rsidRPr="004B1ACD" w:rsidRDefault="004B1ACD" w:rsidP="004B1ACD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4B1ACD">
              <w:rPr>
                <w:rFonts w:eastAsia="Times New Roman"/>
                <w:color w:val="000000"/>
                <w:sz w:val="16"/>
                <w:szCs w:val="16"/>
              </w:rPr>
              <w:t>468,2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1ACD" w:rsidRPr="004B1ACD" w:rsidRDefault="004B1ACD" w:rsidP="004B1ACD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4B1ACD">
              <w:rPr>
                <w:rFonts w:eastAsia="Times New Roman"/>
                <w:color w:val="000000"/>
                <w:sz w:val="16"/>
                <w:szCs w:val="16"/>
              </w:rPr>
              <w:t>173,2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1ACD" w:rsidRPr="004B1ACD" w:rsidRDefault="004B1ACD" w:rsidP="004B1ACD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4B1ACD">
              <w:rPr>
                <w:rFonts w:eastAsia="Times New Roman"/>
                <w:color w:val="000000"/>
                <w:sz w:val="16"/>
                <w:szCs w:val="16"/>
              </w:rPr>
              <w:t>18,4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:rsidR="004B1ACD" w:rsidRPr="004B1ACD" w:rsidRDefault="004B1ACD" w:rsidP="004B1ACD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4B1ACD">
              <w:rPr>
                <w:rFonts w:eastAsia="Times New Roman"/>
                <w:color w:val="000000"/>
                <w:sz w:val="16"/>
                <w:szCs w:val="16"/>
              </w:rPr>
              <w:t>312,6</w:t>
            </w:r>
          </w:p>
        </w:tc>
      </w:tr>
      <w:tr w:rsidR="004B1ACD" w:rsidRPr="004B1ACD" w:rsidTr="0025533C">
        <w:trPr>
          <w:trHeight w:val="300"/>
        </w:trPr>
        <w:tc>
          <w:tcPr>
            <w:tcW w:w="159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ACD" w:rsidRPr="00E64662" w:rsidRDefault="004B1ACD" w:rsidP="004B1ACD">
            <w:pPr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E64662">
              <w:rPr>
                <w:rFonts w:eastAsia="Times New Roman"/>
                <w:b/>
                <w:color w:val="000000"/>
                <w:sz w:val="16"/>
                <w:szCs w:val="16"/>
              </w:rPr>
              <w:lastRenderedPageBreak/>
              <w:t>Волгоградская область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ACD" w:rsidRPr="00E64662" w:rsidRDefault="004B1ACD" w:rsidP="004B1ACD">
            <w:pPr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E64662">
              <w:rPr>
                <w:rFonts w:eastAsia="Times New Roman"/>
                <w:b/>
                <w:color w:val="000000"/>
                <w:sz w:val="16"/>
                <w:szCs w:val="16"/>
              </w:rPr>
              <w:t>казенное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ACD" w:rsidRPr="00E64662" w:rsidRDefault="004B1ACD" w:rsidP="004B1ACD">
            <w:pPr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E64662">
              <w:rPr>
                <w:rFonts w:eastAsia="Times New Roman"/>
                <w:b/>
                <w:color w:val="000000"/>
                <w:sz w:val="16"/>
                <w:szCs w:val="16"/>
              </w:rPr>
              <w:t>2521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ACD" w:rsidRPr="00E64662" w:rsidRDefault="004B1ACD" w:rsidP="004B1ACD">
            <w:pPr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E64662">
              <w:rPr>
                <w:rFonts w:eastAsia="Times New Roman"/>
                <w:b/>
                <w:color w:val="000000"/>
                <w:sz w:val="16"/>
                <w:szCs w:val="16"/>
              </w:rPr>
              <w:t>1531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1ACD" w:rsidRPr="00E64662" w:rsidRDefault="004B1ACD" w:rsidP="004B1ACD">
            <w:pPr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E64662">
              <w:rPr>
                <w:rFonts w:eastAsia="Times New Roman"/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ACD" w:rsidRPr="00E64662" w:rsidRDefault="004B1ACD" w:rsidP="004B1ACD">
            <w:pPr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E64662">
              <w:rPr>
                <w:rFonts w:eastAsia="Times New Roman"/>
                <w:b/>
                <w:color w:val="000000"/>
                <w:sz w:val="16"/>
                <w:szCs w:val="16"/>
              </w:rPr>
              <w:t>2065,4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ACD" w:rsidRPr="00E64662" w:rsidRDefault="004B1ACD" w:rsidP="004B1ACD">
            <w:pPr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E64662">
              <w:rPr>
                <w:rFonts w:eastAsia="Times New Roman"/>
                <w:b/>
                <w:color w:val="000000"/>
                <w:sz w:val="16"/>
                <w:szCs w:val="16"/>
              </w:rPr>
              <w:t>819,3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1ACD" w:rsidRPr="00E64662" w:rsidRDefault="004B1ACD" w:rsidP="004B1ACD">
            <w:pPr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E64662">
              <w:rPr>
                <w:rFonts w:eastAsia="Times New Roman"/>
                <w:b/>
                <w:color w:val="000000"/>
                <w:sz w:val="16"/>
                <w:szCs w:val="16"/>
              </w:rPr>
              <w:t>690,2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1ACD" w:rsidRPr="00E64662" w:rsidRDefault="004B1ACD" w:rsidP="004B1ACD">
            <w:pPr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E64662">
              <w:rPr>
                <w:rFonts w:eastAsia="Times New Roman"/>
                <w:b/>
                <w:color w:val="000000"/>
                <w:sz w:val="16"/>
                <w:szCs w:val="16"/>
              </w:rPr>
              <w:t>28,6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:rsidR="004B1ACD" w:rsidRPr="00E64662" w:rsidRDefault="004B1ACD" w:rsidP="004B1ACD">
            <w:pPr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E64662">
              <w:rPr>
                <w:rFonts w:eastAsia="Times New Roman"/>
                <w:b/>
                <w:color w:val="000000"/>
                <w:sz w:val="16"/>
                <w:szCs w:val="16"/>
              </w:rPr>
              <w:t>450,8</w:t>
            </w:r>
          </w:p>
        </w:tc>
      </w:tr>
      <w:tr w:rsidR="004B1ACD" w:rsidRPr="004B1ACD" w:rsidTr="0025533C">
        <w:trPr>
          <w:trHeight w:val="300"/>
        </w:trPr>
        <w:tc>
          <w:tcPr>
            <w:tcW w:w="159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ACD" w:rsidRPr="004B1ACD" w:rsidRDefault="004B1ACD" w:rsidP="004B1ACD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4B1ACD">
              <w:rPr>
                <w:rFonts w:eastAsia="Times New Roman"/>
                <w:color w:val="000000"/>
                <w:sz w:val="16"/>
                <w:szCs w:val="16"/>
              </w:rPr>
              <w:t>Воронежская область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ACD" w:rsidRPr="004B1ACD" w:rsidRDefault="004B1ACD" w:rsidP="004B1ACD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4B1ACD">
              <w:rPr>
                <w:rFonts w:eastAsia="Times New Roman"/>
                <w:color w:val="000000"/>
                <w:sz w:val="16"/>
                <w:szCs w:val="16"/>
              </w:rPr>
              <w:t>автономное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ACD" w:rsidRPr="004B1ACD" w:rsidRDefault="004B1ACD" w:rsidP="004B1ACD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4B1ACD">
              <w:rPr>
                <w:rFonts w:eastAsia="Times New Roman"/>
                <w:color w:val="000000"/>
                <w:sz w:val="16"/>
                <w:szCs w:val="16"/>
              </w:rPr>
              <w:t>2334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ACD" w:rsidRPr="004B1ACD" w:rsidRDefault="004B1ACD" w:rsidP="004B1ACD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4B1ACD">
              <w:rPr>
                <w:rFonts w:eastAsia="Times New Roman"/>
                <w:color w:val="000000"/>
                <w:sz w:val="16"/>
                <w:szCs w:val="16"/>
              </w:rPr>
              <w:t>1057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1ACD" w:rsidRPr="004B1ACD" w:rsidRDefault="004B1ACD" w:rsidP="004B1ACD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4B1ACD">
              <w:rPr>
                <w:rFonts w:eastAsia="Times New Roman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ACD" w:rsidRPr="004B1ACD" w:rsidRDefault="004B1ACD" w:rsidP="004B1ACD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4B1ACD">
              <w:rPr>
                <w:rFonts w:eastAsia="Times New Roman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ACD" w:rsidRPr="004B1ACD" w:rsidRDefault="004B1ACD" w:rsidP="004B1ACD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4B1ACD">
              <w:rPr>
                <w:rFonts w:eastAsia="Times New Roman"/>
                <w:color w:val="000000"/>
                <w:sz w:val="16"/>
                <w:szCs w:val="16"/>
              </w:rPr>
              <w:t>514,1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1ACD" w:rsidRPr="004B1ACD" w:rsidRDefault="004B1ACD" w:rsidP="004B1ACD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4B1ACD">
              <w:rPr>
                <w:rFonts w:eastAsia="Times New Roman"/>
                <w:color w:val="000000"/>
                <w:sz w:val="16"/>
                <w:szCs w:val="16"/>
              </w:rPr>
              <w:t>491,6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1ACD" w:rsidRPr="004B1ACD" w:rsidRDefault="004B1ACD" w:rsidP="004B1ACD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4B1ACD">
              <w:rPr>
                <w:rFonts w:eastAsia="Times New Roman"/>
                <w:color w:val="000000"/>
                <w:sz w:val="16"/>
                <w:szCs w:val="16"/>
              </w:rPr>
              <w:t>27,6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:rsidR="004B1ACD" w:rsidRPr="004B1ACD" w:rsidRDefault="004B1ACD" w:rsidP="004B1ACD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4B1ACD">
              <w:rPr>
                <w:rFonts w:eastAsia="Times New Roman"/>
                <w:color w:val="000000"/>
                <w:sz w:val="16"/>
                <w:szCs w:val="16"/>
              </w:rPr>
              <w:t>465,1</w:t>
            </w:r>
          </w:p>
        </w:tc>
      </w:tr>
      <w:tr w:rsidR="004B1ACD" w:rsidRPr="004B1ACD" w:rsidTr="0025533C">
        <w:trPr>
          <w:trHeight w:val="300"/>
        </w:trPr>
        <w:tc>
          <w:tcPr>
            <w:tcW w:w="159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ACD" w:rsidRPr="004B1ACD" w:rsidRDefault="004B1ACD" w:rsidP="004B1ACD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4B1ACD">
              <w:rPr>
                <w:rFonts w:eastAsia="Times New Roman"/>
                <w:color w:val="000000"/>
                <w:sz w:val="16"/>
                <w:szCs w:val="16"/>
              </w:rPr>
              <w:t>Алтайский край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ACD" w:rsidRPr="004B1ACD" w:rsidRDefault="004B1ACD" w:rsidP="004B1ACD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4B1ACD">
              <w:rPr>
                <w:rFonts w:eastAsia="Times New Roman"/>
                <w:color w:val="000000"/>
                <w:sz w:val="16"/>
                <w:szCs w:val="16"/>
              </w:rPr>
              <w:t>автономное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1ACD" w:rsidRPr="004B1ACD" w:rsidRDefault="004B1ACD" w:rsidP="004B1ACD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4B1ACD">
              <w:rPr>
                <w:rFonts w:eastAsia="Times New Roman"/>
                <w:color w:val="000000"/>
                <w:sz w:val="16"/>
                <w:szCs w:val="16"/>
              </w:rPr>
              <w:t>2350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ACD" w:rsidRPr="004B1ACD" w:rsidRDefault="004B1ACD" w:rsidP="004B1ACD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4B1ACD">
              <w:rPr>
                <w:rFonts w:eastAsia="Times New Roman"/>
                <w:color w:val="000000"/>
                <w:sz w:val="16"/>
                <w:szCs w:val="16"/>
              </w:rPr>
              <w:t>854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1ACD" w:rsidRPr="004B1ACD" w:rsidRDefault="004B1ACD" w:rsidP="004B1ACD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4B1ACD">
              <w:rPr>
                <w:rFonts w:eastAsia="Times New Roman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ACD" w:rsidRPr="004B1ACD" w:rsidRDefault="004B1ACD" w:rsidP="004B1ACD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4B1ACD">
              <w:rPr>
                <w:rFonts w:eastAsia="Times New Roman"/>
                <w:color w:val="000000"/>
                <w:sz w:val="16"/>
                <w:szCs w:val="16"/>
              </w:rPr>
              <w:t>1600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ACD" w:rsidRPr="004B1ACD" w:rsidRDefault="004B1ACD" w:rsidP="004B1ACD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4B1ACD">
              <w:rPr>
                <w:rFonts w:eastAsia="Times New Roman"/>
                <w:color w:val="000000"/>
                <w:sz w:val="16"/>
                <w:szCs w:val="16"/>
              </w:rPr>
              <w:t>680,9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1ACD" w:rsidRPr="004B1ACD" w:rsidRDefault="004B1ACD" w:rsidP="004B1ACD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4B1ACD">
              <w:rPr>
                <w:rFonts w:eastAsia="Times New Roman"/>
                <w:color w:val="000000"/>
                <w:sz w:val="16"/>
                <w:szCs w:val="16"/>
              </w:rPr>
              <w:t>276,8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1ACD" w:rsidRPr="004B1ACD" w:rsidRDefault="004B1ACD" w:rsidP="004B1ACD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4B1ACD">
              <w:rPr>
                <w:rFonts w:eastAsia="Times New Roman"/>
                <w:color w:val="000000"/>
                <w:sz w:val="16"/>
                <w:szCs w:val="16"/>
              </w:rPr>
              <w:t>17,3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:rsidR="004B1ACD" w:rsidRPr="004B1ACD" w:rsidRDefault="004B1ACD" w:rsidP="004B1ACD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4B1ACD">
              <w:rPr>
                <w:rFonts w:eastAsia="Times New Roman"/>
                <w:color w:val="000000"/>
                <w:sz w:val="16"/>
                <w:szCs w:val="16"/>
              </w:rPr>
              <w:t>324,1</w:t>
            </w:r>
          </w:p>
        </w:tc>
      </w:tr>
      <w:tr w:rsidR="004B1ACD" w:rsidRPr="004B1ACD" w:rsidTr="0025533C">
        <w:trPr>
          <w:trHeight w:val="300"/>
        </w:trPr>
        <w:tc>
          <w:tcPr>
            <w:tcW w:w="159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ACD" w:rsidRPr="004B1ACD" w:rsidRDefault="004B1ACD" w:rsidP="004B1ACD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4B1ACD">
              <w:rPr>
                <w:rFonts w:eastAsia="Times New Roman"/>
                <w:color w:val="000000"/>
                <w:sz w:val="16"/>
                <w:szCs w:val="16"/>
              </w:rPr>
              <w:t>Ульяновская область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ACD" w:rsidRPr="004B1ACD" w:rsidRDefault="004B1ACD" w:rsidP="004B1ACD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4B1ACD">
              <w:rPr>
                <w:rFonts w:eastAsia="Times New Roman"/>
                <w:color w:val="000000"/>
                <w:sz w:val="16"/>
                <w:szCs w:val="16"/>
              </w:rPr>
              <w:t>казенное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ACD" w:rsidRPr="004B1ACD" w:rsidRDefault="004B1ACD" w:rsidP="004B1ACD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4B1ACD">
              <w:rPr>
                <w:rFonts w:eastAsia="Times New Roman"/>
                <w:color w:val="000000"/>
                <w:sz w:val="16"/>
                <w:szCs w:val="16"/>
              </w:rPr>
              <w:t>1245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ACD" w:rsidRPr="004B1ACD" w:rsidRDefault="004B1ACD" w:rsidP="004B1ACD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4B1ACD">
              <w:rPr>
                <w:rFonts w:eastAsia="Times New Roman"/>
                <w:color w:val="000000"/>
                <w:sz w:val="16"/>
                <w:szCs w:val="16"/>
              </w:rPr>
              <w:t>770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ACD" w:rsidRPr="004B1ACD" w:rsidRDefault="004B1ACD" w:rsidP="004B1ACD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4B1ACD">
              <w:rPr>
                <w:rFonts w:eastAsia="Times New Roman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ACD" w:rsidRPr="004B1ACD" w:rsidRDefault="004B1ACD" w:rsidP="004B1ACD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4B1ACD">
              <w:rPr>
                <w:rFonts w:eastAsia="Times New Roman"/>
                <w:color w:val="000000"/>
                <w:sz w:val="16"/>
                <w:szCs w:val="16"/>
              </w:rPr>
              <w:t>нет данных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ACD" w:rsidRPr="004B1ACD" w:rsidRDefault="004B1ACD" w:rsidP="004B1ACD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4B1ACD">
              <w:rPr>
                <w:rFonts w:eastAsia="Times New Roman"/>
                <w:color w:val="000000"/>
                <w:sz w:val="16"/>
                <w:szCs w:val="16"/>
              </w:rPr>
              <w:t>нет данных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ACD" w:rsidRPr="004B1ACD" w:rsidRDefault="004B1ACD" w:rsidP="004B1ACD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4B1ACD">
              <w:rPr>
                <w:rFonts w:eastAsia="Times New Roman"/>
                <w:color w:val="000000"/>
                <w:sz w:val="16"/>
                <w:szCs w:val="16"/>
              </w:rPr>
              <w:t>423,7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ACD" w:rsidRPr="004B1ACD" w:rsidRDefault="004B1ACD" w:rsidP="004B1ACD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4B1ACD">
              <w:rPr>
                <w:rFonts w:eastAsia="Times New Roman"/>
                <w:color w:val="000000"/>
                <w:sz w:val="16"/>
                <w:szCs w:val="16"/>
              </w:rPr>
              <w:t>39,5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:rsidR="004B1ACD" w:rsidRPr="004B1ACD" w:rsidRDefault="004B1ACD" w:rsidP="004B1ACD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4B1ACD">
              <w:rPr>
                <w:rFonts w:eastAsia="Times New Roman"/>
                <w:color w:val="000000"/>
                <w:sz w:val="16"/>
                <w:szCs w:val="16"/>
              </w:rPr>
              <w:t>550,3</w:t>
            </w:r>
          </w:p>
        </w:tc>
      </w:tr>
      <w:tr w:rsidR="004B1ACD" w:rsidRPr="004B1ACD" w:rsidTr="0025533C">
        <w:trPr>
          <w:trHeight w:val="315"/>
        </w:trPr>
        <w:tc>
          <w:tcPr>
            <w:tcW w:w="1598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1ACD" w:rsidRPr="004B1ACD" w:rsidRDefault="004B1ACD" w:rsidP="004B1ACD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4B1ACD">
              <w:rPr>
                <w:rFonts w:eastAsia="Times New Roman"/>
                <w:color w:val="000000"/>
                <w:sz w:val="16"/>
                <w:szCs w:val="16"/>
              </w:rPr>
              <w:t>Хабаровский край</w:t>
            </w:r>
          </w:p>
        </w:tc>
        <w:tc>
          <w:tcPr>
            <w:tcW w:w="101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1ACD" w:rsidRPr="004B1ACD" w:rsidRDefault="004B1ACD" w:rsidP="004B1ACD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4B1ACD">
              <w:rPr>
                <w:rFonts w:eastAsia="Times New Roman"/>
                <w:color w:val="000000"/>
                <w:sz w:val="16"/>
                <w:szCs w:val="16"/>
              </w:rPr>
              <w:t>казенное</w:t>
            </w:r>
          </w:p>
        </w:tc>
        <w:tc>
          <w:tcPr>
            <w:tcW w:w="8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1ACD" w:rsidRPr="004B1ACD" w:rsidRDefault="004B1ACD" w:rsidP="004B1ACD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4B1ACD">
              <w:rPr>
                <w:rFonts w:eastAsia="Times New Roman"/>
                <w:color w:val="000000"/>
                <w:sz w:val="16"/>
                <w:szCs w:val="16"/>
              </w:rPr>
              <w:t>1328</w:t>
            </w:r>
          </w:p>
        </w:tc>
        <w:tc>
          <w:tcPr>
            <w:tcW w:w="93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1ACD" w:rsidRPr="004B1ACD" w:rsidRDefault="004B1ACD" w:rsidP="004B1ACD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4B1ACD">
              <w:rPr>
                <w:rFonts w:eastAsia="Times New Roman"/>
                <w:color w:val="000000"/>
                <w:sz w:val="16"/>
                <w:szCs w:val="16"/>
              </w:rPr>
              <w:t>733</w:t>
            </w:r>
          </w:p>
        </w:tc>
        <w:tc>
          <w:tcPr>
            <w:tcW w:w="93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1ACD" w:rsidRPr="004B1ACD" w:rsidRDefault="004B1ACD" w:rsidP="004B1ACD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4B1ACD">
              <w:rPr>
                <w:rFonts w:eastAsia="Times New Roman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1ACD" w:rsidRPr="004B1ACD" w:rsidRDefault="004B1ACD" w:rsidP="004B1ACD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4B1ACD">
              <w:rPr>
                <w:rFonts w:eastAsia="Times New Roman"/>
                <w:color w:val="000000"/>
                <w:sz w:val="16"/>
                <w:szCs w:val="16"/>
              </w:rPr>
              <w:t>нет данных</w:t>
            </w:r>
          </w:p>
        </w:tc>
        <w:tc>
          <w:tcPr>
            <w:tcW w:w="91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1ACD" w:rsidRPr="004B1ACD" w:rsidRDefault="004B1ACD" w:rsidP="004B1ACD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4B1ACD">
              <w:rPr>
                <w:rFonts w:eastAsia="Times New Roman"/>
                <w:color w:val="000000"/>
                <w:sz w:val="16"/>
                <w:szCs w:val="16"/>
              </w:rPr>
              <w:t>нет данных</w:t>
            </w:r>
          </w:p>
        </w:tc>
        <w:tc>
          <w:tcPr>
            <w:tcW w:w="75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1ACD" w:rsidRPr="004B1ACD" w:rsidRDefault="004B1ACD" w:rsidP="004B1ACD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4B1ACD">
              <w:rPr>
                <w:rFonts w:eastAsia="Times New Roman"/>
                <w:color w:val="000000"/>
                <w:sz w:val="16"/>
                <w:szCs w:val="16"/>
              </w:rPr>
              <w:t>521,6</w:t>
            </w:r>
          </w:p>
        </w:tc>
        <w:tc>
          <w:tcPr>
            <w:tcW w:w="81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ACD" w:rsidRPr="004B1ACD" w:rsidRDefault="004B1ACD" w:rsidP="004B1ACD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4B1ACD">
              <w:rPr>
                <w:rFonts w:eastAsia="Times New Roman"/>
                <w:color w:val="000000"/>
                <w:sz w:val="16"/>
                <w:szCs w:val="16"/>
              </w:rPr>
              <w:t>32,6</w:t>
            </w:r>
          </w:p>
        </w:tc>
        <w:tc>
          <w:tcPr>
            <w:tcW w:w="101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:rsidR="004B1ACD" w:rsidRPr="004B1ACD" w:rsidRDefault="004B1ACD" w:rsidP="004B1ACD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4B1ACD">
              <w:rPr>
                <w:rFonts w:eastAsia="Times New Roman"/>
                <w:color w:val="000000"/>
                <w:sz w:val="16"/>
                <w:szCs w:val="16"/>
              </w:rPr>
              <w:t>711,6</w:t>
            </w:r>
          </w:p>
        </w:tc>
      </w:tr>
    </w:tbl>
    <w:p w:rsidR="004B1ACD" w:rsidRDefault="00C5799B" w:rsidP="00C5799B">
      <w:pPr>
        <w:ind w:firstLine="680"/>
        <w:jc w:val="both"/>
      </w:pPr>
      <w:r>
        <w:rPr>
          <w:rFonts w:eastAsia="Times New Roman"/>
          <w:color w:val="000000"/>
        </w:rPr>
        <w:t>Как видно из приведенной таблицы</w:t>
      </w:r>
      <w:r w:rsidR="009F0D90">
        <w:rPr>
          <w:rFonts w:eastAsia="Times New Roman"/>
          <w:color w:val="000000"/>
        </w:rPr>
        <w:t>,</w:t>
      </w:r>
      <w:r>
        <w:rPr>
          <w:rFonts w:eastAsia="Times New Roman"/>
          <w:color w:val="000000"/>
        </w:rPr>
        <w:t xml:space="preserve"> п</w:t>
      </w:r>
      <w:r w:rsidR="004B1ACD" w:rsidRPr="00D8131C">
        <w:t>оказатель штатной численности МФЦ на 1</w:t>
      </w:r>
      <w:r w:rsidR="004B1ACD">
        <w:t>0</w:t>
      </w:r>
      <w:r w:rsidR="004B1ACD" w:rsidRPr="00D8131C">
        <w:t xml:space="preserve"> тыс. населения колеблется в пределах от </w:t>
      </w:r>
      <w:r w:rsidR="009F0D90">
        <w:t>1</w:t>
      </w:r>
      <w:r w:rsidR="004B1ACD" w:rsidRPr="00D8131C">
        <w:t xml:space="preserve"> работника в </w:t>
      </w:r>
      <w:r w:rsidR="004B1ACD">
        <w:t>Астраханской области</w:t>
      </w:r>
      <w:r w:rsidR="004B1ACD" w:rsidRPr="00D8131C">
        <w:t xml:space="preserve"> до </w:t>
      </w:r>
      <w:r w:rsidR="004B1ACD">
        <w:t>5,4</w:t>
      </w:r>
      <w:r w:rsidR="004B1ACD" w:rsidRPr="00D8131C">
        <w:t xml:space="preserve"> работника в </w:t>
      </w:r>
      <w:r w:rsidR="004B1ACD">
        <w:t xml:space="preserve">Калужской </w:t>
      </w:r>
      <w:r w:rsidR="004B1ACD" w:rsidRPr="00D8131C">
        <w:t xml:space="preserve">области. </w:t>
      </w:r>
      <w:r w:rsidR="004B1ACD">
        <w:t>В нашем регионе этот показатель составляет 6 работников. При этом в Волгоградской области оказывается наибольшее количество услуг на 1 тыс. населения (819,3 ед.). В других регионах количество оказанных услуг на 1 тыс. населения варьируется от 370,7 ед. в Саратовской области до 738,9 ед. в Калужской области.</w:t>
      </w:r>
    </w:p>
    <w:p w:rsidR="004B1ACD" w:rsidRDefault="004B1ACD" w:rsidP="004B1ACD">
      <w:pPr>
        <w:autoSpaceDE w:val="0"/>
        <w:autoSpaceDN w:val="0"/>
        <w:adjustRightInd w:val="0"/>
        <w:ind w:firstLine="709"/>
        <w:jc w:val="both"/>
      </w:pPr>
      <w:r>
        <w:t xml:space="preserve">Расходы на содержание МФЦ (в пересчете на одного сотрудника МФЦ) в Волгоградской области составили 450,8 тыс. руб. в год. С учетом того, что в отдельных регионах МФЦ функционируют в виде автономных и бюджетных учреждений, доходы от платных услуг которых </w:t>
      </w:r>
      <w:r w:rsidR="00C5799B">
        <w:t xml:space="preserve">возможно </w:t>
      </w:r>
      <w:r>
        <w:t xml:space="preserve">направляются на содержание МФЦ, то целесообразно произвести сравнение с регионами, где МФЦ созданы в форме казенных учреждений. </w:t>
      </w:r>
      <w:r w:rsidRPr="00AA7D9F">
        <w:t>В Ульяновской области и Хабаровском крае такие расходы составили соответственно 550,3 тыс. руб. и 711,6 тыс. руб., что превышает расходы нашего региона.</w:t>
      </w:r>
      <w:r>
        <w:t xml:space="preserve"> </w:t>
      </w:r>
    </w:p>
    <w:p w:rsidR="004B1ACD" w:rsidRDefault="004B1ACD" w:rsidP="004B1ACD">
      <w:pPr>
        <w:autoSpaceDE w:val="0"/>
        <w:autoSpaceDN w:val="0"/>
        <w:adjustRightInd w:val="0"/>
        <w:ind w:firstLine="709"/>
        <w:jc w:val="both"/>
      </w:pPr>
      <w:r>
        <w:t xml:space="preserve">Показатели средней заработной платы сотрудника МФЦ варьируются от 17,3 тыс. руб. в Алтайском крае до 39,5 тыс. руб. в Хабаровском крае. В Волгоградской области средняя заработная плата за 2018 год </w:t>
      </w:r>
      <w:r w:rsidRPr="00C5799B">
        <w:t>составила 28,6 тыс. руб., и находится</w:t>
      </w:r>
      <w:r>
        <w:t xml:space="preserve"> практически на среднем уровне среди рассматриваемых регионов. </w:t>
      </w:r>
    </w:p>
    <w:p w:rsidR="00C5799B" w:rsidRDefault="00C5799B" w:rsidP="00C5799B">
      <w:pPr>
        <w:ind w:firstLine="680"/>
        <w:jc w:val="both"/>
        <w:rPr>
          <w:rFonts w:eastAsia="Times New Roman"/>
          <w:color w:val="000000"/>
        </w:rPr>
      </w:pPr>
      <w:r w:rsidRPr="00D20DFB">
        <w:t xml:space="preserve">Согласно оценке выполнения высшими исполнительными органами государственной власти субъектов РФ мероприятий по организации предоставления государственных и муниципальных услуг по принципу «одного окна» (рейтинг субъектов РФ по организации деятельности сети МФЦ) </w:t>
      </w:r>
      <w:r>
        <w:t xml:space="preserve">за проверяемый период </w:t>
      </w:r>
      <w:r w:rsidRPr="00D20DFB">
        <w:t xml:space="preserve">Волгоградская область включена в группу с высокой </w:t>
      </w:r>
      <w:r w:rsidRPr="00D20DFB">
        <w:rPr>
          <w:rFonts w:eastAsia="Times New Roman"/>
          <w:color w:val="000000"/>
        </w:rPr>
        <w:t>эффективностью организации деятельности (более 85 баллов).</w:t>
      </w:r>
    </w:p>
    <w:p w:rsidR="004B1ACD" w:rsidRDefault="004B1ACD" w:rsidP="004B1ACD">
      <w:pPr>
        <w:autoSpaceDE w:val="0"/>
        <w:autoSpaceDN w:val="0"/>
        <w:adjustRightInd w:val="0"/>
        <w:ind w:firstLine="709"/>
        <w:jc w:val="both"/>
      </w:pPr>
    </w:p>
    <w:p w:rsidR="002B43B7" w:rsidRDefault="002B43B7" w:rsidP="002B43B7">
      <w:pPr>
        <w:pStyle w:val="ConsPlusNormal"/>
        <w:ind w:firstLine="68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ВЫВОДЫ</w:t>
      </w:r>
    </w:p>
    <w:p w:rsidR="00424F91" w:rsidRPr="003B2E16" w:rsidRDefault="00424F91" w:rsidP="00424F91">
      <w:pPr>
        <w:pStyle w:val="af8"/>
        <w:numPr>
          <w:ilvl w:val="0"/>
          <w:numId w:val="26"/>
        </w:numPr>
        <w:autoSpaceDE w:val="0"/>
        <w:autoSpaceDN w:val="0"/>
        <w:adjustRightInd w:val="0"/>
        <w:ind w:left="0" w:firstLine="680"/>
        <w:jc w:val="both"/>
        <w:rPr>
          <w:rFonts w:eastAsia="Times New Roman"/>
          <w:bCs/>
        </w:rPr>
      </w:pPr>
      <w:r w:rsidRPr="003B2E16">
        <w:t xml:space="preserve">В 2017 году завершен переход к централизованной сети МФЦ. ГКУ «МФЦ» </w:t>
      </w:r>
      <w:r w:rsidRPr="003B2E16">
        <w:rPr>
          <w:rFonts w:eastAsia="Times New Roman"/>
        </w:rPr>
        <w:t xml:space="preserve">реорганизовано с 01.06.2017 в форме присоединения к нему </w:t>
      </w:r>
      <w:r w:rsidRPr="003B2E16">
        <w:t>ГБУ ВО «МФЦ». По состоянию на 01.09.2019 на базе ГКУ «МФЦ» предоставление услуг осуществляется в 48-ми филиалах и 260-ти ТОСП, включающих 856 окон обслуживания.</w:t>
      </w:r>
      <w:r w:rsidRPr="003B2E16">
        <w:rPr>
          <w:rFonts w:eastAsia="Times New Roman"/>
          <w:bCs/>
        </w:rPr>
        <w:t xml:space="preserve"> </w:t>
      </w:r>
    </w:p>
    <w:p w:rsidR="00424F91" w:rsidRPr="003B2E16" w:rsidRDefault="00424F91" w:rsidP="00424F91">
      <w:pPr>
        <w:autoSpaceDE w:val="0"/>
        <w:autoSpaceDN w:val="0"/>
        <w:adjustRightInd w:val="0"/>
        <w:ind w:firstLine="680"/>
        <w:jc w:val="both"/>
      </w:pPr>
      <w:r>
        <w:rPr>
          <w:rFonts w:eastAsia="Times New Roman"/>
          <w:bCs/>
        </w:rPr>
        <w:t>С учетом реорганизации ш</w:t>
      </w:r>
      <w:r w:rsidRPr="003B2E16">
        <w:rPr>
          <w:rFonts w:eastAsia="Times New Roman"/>
          <w:bCs/>
        </w:rPr>
        <w:t xml:space="preserve">татная численность </w:t>
      </w:r>
      <w:r w:rsidRPr="003B2E16">
        <w:rPr>
          <w:rFonts w:eastAsia="Times New Roman"/>
        </w:rPr>
        <w:t xml:space="preserve">ГКУ </w:t>
      </w:r>
      <w:r w:rsidRPr="003B2E16">
        <w:t>«МФЦ» выросла с 375 ед. на 01.01.2017 до 1526 ед. на 01.10.2019, фактическая численность с 346 ед. до 1330 единиц.</w:t>
      </w:r>
    </w:p>
    <w:p w:rsidR="00424F91" w:rsidRDefault="00424F91" w:rsidP="00424F91">
      <w:pPr>
        <w:pStyle w:val="ConsPlusNormal"/>
        <w:numPr>
          <w:ilvl w:val="0"/>
          <w:numId w:val="26"/>
        </w:numPr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522C6E">
        <w:rPr>
          <w:rFonts w:ascii="Times New Roman" w:hAnsi="Times New Roman" w:cs="Times New Roman"/>
          <w:sz w:val="24"/>
          <w:szCs w:val="24"/>
        </w:rPr>
        <w:t xml:space="preserve">ероприятия по </w:t>
      </w:r>
      <w:r w:rsidRPr="00522C6E">
        <w:rPr>
          <w:rFonts w:ascii="Times New Roman" w:eastAsiaTheme="minorHAnsi" w:hAnsi="Times New Roman" w:cs="Times New Roman"/>
          <w:sz w:val="24"/>
          <w:szCs w:val="24"/>
          <w:lang w:eastAsia="en-US"/>
        </w:rPr>
        <w:t>развитию региональной инфраструктуры предоставления государственных и муниципальных услуг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(в т.ч. обеспечение </w:t>
      </w:r>
      <w:r w:rsidRPr="009D118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выполнения </w:t>
      </w:r>
      <w:r w:rsidRPr="00431D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функций </w:t>
      </w:r>
      <w:r w:rsidRPr="00431D1E">
        <w:rPr>
          <w:rFonts w:ascii="Times New Roman" w:hAnsi="Times New Roman" w:cs="Times New Roman"/>
          <w:sz w:val="24"/>
          <w:szCs w:val="24"/>
        </w:rPr>
        <w:t>ГКУ «МФЦ»</w:t>
      </w:r>
      <w:r w:rsidRPr="00431D1E">
        <w:rPr>
          <w:rFonts w:ascii="Times New Roman" w:eastAsiaTheme="minorHAnsi" w:hAnsi="Times New Roman" w:cs="Times New Roman"/>
          <w:sz w:val="24"/>
          <w:szCs w:val="24"/>
          <w:lang w:eastAsia="en-US"/>
        </w:rPr>
        <w:t>, завершение</w:t>
      </w:r>
      <w:r w:rsidRPr="00431D1E">
        <w:rPr>
          <w:rFonts w:ascii="Times New Roman" w:hAnsi="Times New Roman" w:cs="Times New Roman"/>
          <w:sz w:val="24"/>
          <w:szCs w:val="24"/>
        </w:rPr>
        <w:t xml:space="preserve"> централизации системы организации МФЦ) </w:t>
      </w:r>
      <w:r>
        <w:rPr>
          <w:rFonts w:ascii="Times New Roman" w:hAnsi="Times New Roman" w:cs="Times New Roman"/>
          <w:sz w:val="24"/>
          <w:szCs w:val="24"/>
        </w:rPr>
        <w:t xml:space="preserve">в проверяемый период проводились в рамках </w:t>
      </w:r>
      <w:r w:rsidRPr="00522C6E">
        <w:rPr>
          <w:rFonts w:ascii="Times New Roman" w:hAnsi="Times New Roman" w:cs="Times New Roman"/>
          <w:sz w:val="24"/>
          <w:szCs w:val="24"/>
        </w:rPr>
        <w:t xml:space="preserve">подпрограмм «Совершенствование государственного и муниципального управления»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B265C4">
        <w:rPr>
          <w:rFonts w:ascii="Times New Roman" w:hAnsi="Times New Roman" w:cs="Times New Roman"/>
          <w:bCs/>
          <w:sz w:val="24"/>
          <w:szCs w:val="24"/>
        </w:rPr>
        <w:t>«Р</w:t>
      </w:r>
      <w:r w:rsidRPr="00B265C4">
        <w:rPr>
          <w:rFonts w:ascii="Times New Roman" w:hAnsi="Times New Roman" w:cs="Times New Roman"/>
          <w:sz w:val="24"/>
          <w:szCs w:val="24"/>
        </w:rPr>
        <w:t>азвитие и поддержка малого и среднего предпринимательства в Волгоградской области»</w:t>
      </w:r>
      <w:r>
        <w:rPr>
          <w:rFonts w:ascii="Times New Roman" w:hAnsi="Times New Roman" w:cs="Times New Roman"/>
          <w:sz w:val="24"/>
          <w:szCs w:val="24"/>
        </w:rPr>
        <w:t xml:space="preserve"> (в 2017 году) Госпрограммы.</w:t>
      </w:r>
    </w:p>
    <w:p w:rsidR="00424F91" w:rsidRDefault="00424F91" w:rsidP="00424F91">
      <w:pPr>
        <w:pStyle w:val="ConsPlusNormal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Целью подпрограммы </w:t>
      </w:r>
      <w:r w:rsidRPr="00522C6E">
        <w:rPr>
          <w:rFonts w:ascii="Times New Roman" w:hAnsi="Times New Roman" w:cs="Times New Roman"/>
          <w:sz w:val="24"/>
          <w:szCs w:val="24"/>
        </w:rPr>
        <w:t>«Совершенствование государственного и муниципального управления»</w:t>
      </w:r>
      <w:r>
        <w:rPr>
          <w:rFonts w:ascii="Times New Roman" w:hAnsi="Times New Roman" w:cs="Times New Roman"/>
          <w:sz w:val="24"/>
          <w:szCs w:val="24"/>
        </w:rPr>
        <w:t xml:space="preserve"> является развитие системы государственного управления, повышение качества и доступности государственных и муниципальных услуг.</w:t>
      </w:r>
    </w:p>
    <w:p w:rsidR="000E2E35" w:rsidRPr="005E28E2" w:rsidRDefault="000E2E35" w:rsidP="000E2E35">
      <w:pPr>
        <w:pStyle w:val="af8"/>
        <w:numPr>
          <w:ilvl w:val="0"/>
          <w:numId w:val="26"/>
        </w:numPr>
        <w:ind w:left="0" w:firstLine="680"/>
        <w:jc w:val="both"/>
        <w:rPr>
          <w:rFonts w:eastAsia="Times New Roman"/>
          <w:color w:val="000000"/>
        </w:rPr>
      </w:pPr>
      <w:r w:rsidRPr="00D20DFB">
        <w:t xml:space="preserve">Согласно </w:t>
      </w:r>
      <w:r>
        <w:t xml:space="preserve">данным </w:t>
      </w:r>
      <w:r w:rsidRPr="00D20DFB">
        <w:t>рейтинг</w:t>
      </w:r>
      <w:r>
        <w:t>ов</w:t>
      </w:r>
      <w:r w:rsidRPr="00D20DFB">
        <w:t xml:space="preserve"> субъектов РФ по ор</w:t>
      </w:r>
      <w:r>
        <w:t>ганизации деятельности сети МФЦ</w:t>
      </w:r>
      <w:r w:rsidRPr="00D20DFB">
        <w:t xml:space="preserve"> </w:t>
      </w:r>
      <w:r>
        <w:t xml:space="preserve">за проверяемый период </w:t>
      </w:r>
      <w:r w:rsidRPr="00D20DFB">
        <w:t xml:space="preserve">Волгоградская область включена в группу с высокой </w:t>
      </w:r>
      <w:r w:rsidRPr="005E28E2">
        <w:rPr>
          <w:rFonts w:eastAsia="Times New Roman"/>
          <w:color w:val="000000"/>
        </w:rPr>
        <w:t>эффектив</w:t>
      </w:r>
      <w:r>
        <w:rPr>
          <w:rFonts w:eastAsia="Times New Roman"/>
          <w:color w:val="000000"/>
        </w:rPr>
        <w:t>ностью организации деятельности.</w:t>
      </w:r>
    </w:p>
    <w:p w:rsidR="00424F91" w:rsidRDefault="00424F91" w:rsidP="00424F91">
      <w:pPr>
        <w:pStyle w:val="afa"/>
        <w:numPr>
          <w:ilvl w:val="0"/>
          <w:numId w:val="26"/>
        </w:numPr>
        <w:ind w:left="0" w:firstLine="680"/>
        <w:jc w:val="both"/>
        <w:rPr>
          <w:sz w:val="24"/>
          <w:szCs w:val="24"/>
        </w:rPr>
      </w:pPr>
      <w:r w:rsidRPr="00D0386B">
        <w:rPr>
          <w:sz w:val="24"/>
          <w:szCs w:val="24"/>
        </w:rPr>
        <w:t>За 2018 год количе</w:t>
      </w:r>
      <w:r>
        <w:rPr>
          <w:sz w:val="24"/>
          <w:szCs w:val="24"/>
        </w:rPr>
        <w:t>ство оказанных услуг (федеральные, региональные, муниципальные, прочие услуги) составило 2 065,4</w:t>
      </w:r>
      <w:r w:rsidRPr="00D0386B">
        <w:rPr>
          <w:sz w:val="24"/>
          <w:szCs w:val="24"/>
        </w:rPr>
        <w:t xml:space="preserve"> тыс. ед</w:t>
      </w:r>
      <w:r>
        <w:rPr>
          <w:sz w:val="24"/>
          <w:szCs w:val="24"/>
        </w:rPr>
        <w:t xml:space="preserve">. и увеличилось по сравнению </w:t>
      </w:r>
      <w:r w:rsidRPr="00D0386B">
        <w:rPr>
          <w:sz w:val="24"/>
          <w:szCs w:val="24"/>
        </w:rPr>
        <w:t>с 2017 годом</w:t>
      </w:r>
      <w:r>
        <w:rPr>
          <w:sz w:val="24"/>
          <w:szCs w:val="24"/>
        </w:rPr>
        <w:t xml:space="preserve"> на 167,5 тыс.ед. (+8,8%). Н</w:t>
      </w:r>
      <w:r w:rsidRPr="00D0386B">
        <w:rPr>
          <w:sz w:val="24"/>
          <w:szCs w:val="24"/>
        </w:rPr>
        <w:t>аибольш</w:t>
      </w:r>
      <w:r>
        <w:rPr>
          <w:sz w:val="24"/>
          <w:szCs w:val="24"/>
        </w:rPr>
        <w:t>ую долю занимают федеральные услуги (в 2017 году - 58,2%, в 2018 году - 61,1%). Доля региональных услуг составляет 3,8 процента.</w:t>
      </w:r>
    </w:p>
    <w:p w:rsidR="00424F91" w:rsidRPr="00A45994" w:rsidRDefault="00424F91" w:rsidP="00424F91">
      <w:pPr>
        <w:ind w:firstLine="680"/>
        <w:jc w:val="both"/>
      </w:pPr>
      <w:r>
        <w:lastRenderedPageBreak/>
        <w:t>Анализ</w:t>
      </w:r>
      <w:r w:rsidRPr="00043997">
        <w:t xml:space="preserve"> перечня региональных услуг, предусмотренных Постановлением № 385-п, показал, что по состоянию на 01.10.2019 не заключены соглашения о взаимодействии</w:t>
      </w:r>
      <w:r>
        <w:t xml:space="preserve"> с ОИВ</w:t>
      </w:r>
      <w:r w:rsidRPr="00043997">
        <w:t xml:space="preserve"> и соответственно не оказываются 8 видов услуг, внесенных в Постановление № 385-п изменениями от 12.11.2018 и 24.12.2018 (2 услуги комитета государственной охраны объектов </w:t>
      </w:r>
      <w:r w:rsidRPr="00A45994">
        <w:t xml:space="preserve">культурного </w:t>
      </w:r>
      <w:r w:rsidR="000F77D9">
        <w:t>наследия</w:t>
      </w:r>
      <w:r w:rsidRPr="00A45994">
        <w:t xml:space="preserve"> Волгоградской области, 3 услуги комитета по обеспечению безопасности жизнедеятельности населения Волгоградской области, 3 услуги государственных учреждений). Исходя из норм П</w:t>
      </w:r>
      <w:r w:rsidRPr="00A45994">
        <w:rPr>
          <w:rFonts w:eastAsiaTheme="minorHAnsi"/>
          <w:lang w:eastAsia="en-US"/>
        </w:rPr>
        <w:t xml:space="preserve">остановления № 385-п, </w:t>
      </w:r>
      <w:r w:rsidRPr="00A45994">
        <w:t>инициатива о заключении соглашений о взаимодействии исходит от соответствующего ОИВ, в связи с чем затягивание им процесса заключения соглашений на предоставление услуг негативно влияет на расширение перечня услуг, предоставляемых через МФЦ, и обеспечение их доступности.</w:t>
      </w:r>
    </w:p>
    <w:p w:rsidR="00424F91" w:rsidRPr="00A45994" w:rsidRDefault="00424F91" w:rsidP="00424F91">
      <w:pPr>
        <w:pStyle w:val="af8"/>
        <w:numPr>
          <w:ilvl w:val="0"/>
          <w:numId w:val="26"/>
        </w:numPr>
        <w:ind w:left="0" w:firstLine="680"/>
        <w:jc w:val="both"/>
      </w:pPr>
      <w:r w:rsidRPr="00A45994">
        <w:t>ГКУ «МФЦ» используется автоматизированная информационная система, к которой Правилами № 1376 предусмотрены определенные требования.</w:t>
      </w:r>
    </w:p>
    <w:p w:rsidR="00E5789F" w:rsidRDefault="00424F91" w:rsidP="00424F91">
      <w:pPr>
        <w:autoSpaceDE w:val="0"/>
        <w:autoSpaceDN w:val="0"/>
        <w:adjustRightInd w:val="0"/>
        <w:ind w:firstLine="680"/>
        <w:jc w:val="both"/>
      </w:pPr>
      <w:r w:rsidRPr="00A45994">
        <w:rPr>
          <w:bCs/>
        </w:rPr>
        <w:t xml:space="preserve">На момент проведения проверки не выполнено требование </w:t>
      </w:r>
      <w:r w:rsidRPr="00A45994">
        <w:t>по интеграции с Единым порталом государственных и муниципальных услуг (функций) в части передачи в систему МФЦ заявления в электронной форме, поданного с использованием Единого портала государственных и муниц</w:t>
      </w:r>
      <w:r w:rsidR="00E5789F">
        <w:t>ипальных услуг (функций)</w:t>
      </w:r>
      <w:r w:rsidRPr="00A45994">
        <w:t>, а также обеспечения возможности для заявителя записаться на прием в МФЦ при подаче такого заявления.</w:t>
      </w:r>
      <w:r>
        <w:t xml:space="preserve"> </w:t>
      </w:r>
      <w:proofErr w:type="spellStart"/>
      <w:r w:rsidR="00E5789F">
        <w:t>Облкоминформтехнологии</w:t>
      </w:r>
      <w:proofErr w:type="spellEnd"/>
      <w:r w:rsidR="00E5789F">
        <w:t xml:space="preserve"> сообщено, что в настоящее время услуга по записи на прием учтена в проекте технического задания по развитию ГИС КИАР (в части интеграции с ЕПГУ), а подача заявлений  прорабатывается подрядчиком по текущему контракту.</w:t>
      </w:r>
    </w:p>
    <w:p w:rsidR="00424F91" w:rsidRPr="00311882" w:rsidRDefault="00424F91" w:rsidP="00424F91">
      <w:pPr>
        <w:autoSpaceDE w:val="0"/>
        <w:autoSpaceDN w:val="0"/>
        <w:adjustRightInd w:val="0"/>
        <w:ind w:firstLine="680"/>
        <w:jc w:val="both"/>
      </w:pPr>
      <w:r>
        <w:t>Также в связи с недостаточностью денежных средств не выполнены два требования Правил</w:t>
      </w:r>
      <w:r w:rsidRPr="00311882">
        <w:t xml:space="preserve"> №1376</w:t>
      </w:r>
      <w:r>
        <w:t>,</w:t>
      </w:r>
      <w:r w:rsidRPr="00311882">
        <w:t xml:space="preserve"> связан</w:t>
      </w:r>
      <w:r>
        <w:t>ные</w:t>
      </w:r>
      <w:r w:rsidRPr="00311882">
        <w:t xml:space="preserve"> с подготовкой информационной системы</w:t>
      </w:r>
      <w:r w:rsidRPr="00311882">
        <w:rPr>
          <w:lang w:eastAsia="en-US"/>
        </w:rPr>
        <w:t xml:space="preserve"> </w:t>
      </w:r>
      <w:r w:rsidRPr="00A45994">
        <w:t>для составления и регистрации актов гражданского состояния,</w:t>
      </w:r>
      <w:r w:rsidRPr="00311882">
        <w:t xml:space="preserve"> совершения иных юридически значимых действий, для осуществления которых необходим доступ к федеральной информационной системе (в части обмена информацией).</w:t>
      </w:r>
    </w:p>
    <w:p w:rsidR="00424F91" w:rsidRPr="00907113" w:rsidRDefault="00424F91" w:rsidP="00424F91">
      <w:pPr>
        <w:pStyle w:val="ConsPlusNormal"/>
        <w:numPr>
          <w:ilvl w:val="0"/>
          <w:numId w:val="26"/>
        </w:numPr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07113">
        <w:rPr>
          <w:rFonts w:ascii="Times New Roman" w:hAnsi="Times New Roman" w:cs="Times New Roman"/>
          <w:sz w:val="24"/>
          <w:szCs w:val="24"/>
        </w:rPr>
        <w:t xml:space="preserve">В целях обеспечения единообразного предоставления услуг на территории региона ОИВ осуществляется формирование </w:t>
      </w:r>
      <w:proofErr w:type="spellStart"/>
      <w:r w:rsidRPr="00907113">
        <w:rPr>
          <w:rFonts w:ascii="Times New Roman" w:hAnsi="Times New Roman" w:cs="Times New Roman"/>
          <w:sz w:val="24"/>
          <w:szCs w:val="24"/>
        </w:rPr>
        <w:t>техносхем</w:t>
      </w:r>
      <w:proofErr w:type="spellEnd"/>
      <w:r w:rsidRPr="00907113">
        <w:rPr>
          <w:rFonts w:ascii="Times New Roman" w:hAnsi="Times New Roman" w:cs="Times New Roman"/>
          <w:sz w:val="24"/>
          <w:szCs w:val="24"/>
        </w:rPr>
        <w:t>, с конца 2018 года внедряется подсистема «</w:t>
      </w:r>
      <w:proofErr w:type="spellStart"/>
      <w:r w:rsidRPr="00907113">
        <w:rPr>
          <w:rFonts w:ascii="Times New Roman" w:hAnsi="Times New Roman" w:cs="Times New Roman"/>
          <w:sz w:val="24"/>
          <w:szCs w:val="24"/>
        </w:rPr>
        <w:t>Техносхема</w:t>
      </w:r>
      <w:proofErr w:type="spellEnd"/>
      <w:r w:rsidRPr="00907113">
        <w:rPr>
          <w:rFonts w:ascii="Times New Roman" w:hAnsi="Times New Roman" w:cs="Times New Roman"/>
          <w:sz w:val="24"/>
          <w:szCs w:val="24"/>
        </w:rPr>
        <w:t xml:space="preserve">» в ГИС КИАР. Из 95 видов оказанных за 7 мес. 2019 года региональных услуг с использованием </w:t>
      </w:r>
      <w:proofErr w:type="spellStart"/>
      <w:r w:rsidRPr="00907113">
        <w:rPr>
          <w:rFonts w:ascii="Times New Roman" w:hAnsi="Times New Roman" w:cs="Times New Roman"/>
          <w:sz w:val="24"/>
          <w:szCs w:val="24"/>
        </w:rPr>
        <w:t>техносхем</w:t>
      </w:r>
      <w:proofErr w:type="spellEnd"/>
      <w:r w:rsidRPr="00907113">
        <w:rPr>
          <w:rFonts w:ascii="Times New Roman" w:hAnsi="Times New Roman" w:cs="Times New Roman"/>
          <w:sz w:val="24"/>
          <w:szCs w:val="24"/>
        </w:rPr>
        <w:t xml:space="preserve"> предоставлял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907113">
        <w:rPr>
          <w:rFonts w:ascii="Times New Roman" w:hAnsi="Times New Roman" w:cs="Times New Roman"/>
          <w:sz w:val="24"/>
          <w:szCs w:val="24"/>
        </w:rPr>
        <w:t>сь 20 услуг по 9-ти ОИВ</w:t>
      </w:r>
      <w:r>
        <w:rPr>
          <w:rFonts w:ascii="Times New Roman" w:hAnsi="Times New Roman" w:cs="Times New Roman"/>
          <w:sz w:val="24"/>
          <w:szCs w:val="24"/>
        </w:rPr>
        <w:t>, упразднены 4 услуги</w:t>
      </w:r>
      <w:r w:rsidRPr="00907113">
        <w:rPr>
          <w:rFonts w:ascii="Times New Roman" w:hAnsi="Times New Roman" w:cs="Times New Roman"/>
          <w:sz w:val="24"/>
          <w:szCs w:val="24"/>
        </w:rPr>
        <w:t xml:space="preserve">. В стадии настройки и разработки находится 71 </w:t>
      </w:r>
      <w:proofErr w:type="spellStart"/>
      <w:r w:rsidRPr="00907113">
        <w:rPr>
          <w:rFonts w:ascii="Times New Roman" w:hAnsi="Times New Roman" w:cs="Times New Roman"/>
          <w:sz w:val="24"/>
          <w:szCs w:val="24"/>
        </w:rPr>
        <w:t>техносхема</w:t>
      </w:r>
      <w:proofErr w:type="spellEnd"/>
      <w:r w:rsidRPr="00907113">
        <w:rPr>
          <w:rFonts w:ascii="Times New Roman" w:hAnsi="Times New Roman" w:cs="Times New Roman"/>
          <w:sz w:val="24"/>
          <w:szCs w:val="24"/>
        </w:rPr>
        <w:t xml:space="preserve"> по региональным услугам. </w:t>
      </w:r>
    </w:p>
    <w:p w:rsidR="00424F91" w:rsidRPr="00FC6619" w:rsidRDefault="00424F91" w:rsidP="00424F91">
      <w:pPr>
        <w:pStyle w:val="ConsPlusNormal"/>
        <w:numPr>
          <w:ilvl w:val="0"/>
          <w:numId w:val="26"/>
        </w:numPr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ц</w:t>
      </w:r>
      <w:r w:rsidRPr="00FC6619">
        <w:rPr>
          <w:rFonts w:ascii="Times New Roman" w:hAnsi="Times New Roman" w:cs="Times New Roman"/>
          <w:sz w:val="24"/>
          <w:szCs w:val="24"/>
        </w:rPr>
        <w:t xml:space="preserve">елевые показатели Подпрограммы и Госпрограммы в части совершенствования системы государственного управления в проверяемом периоде перевыполнены. </w:t>
      </w:r>
    </w:p>
    <w:p w:rsidR="00424F91" w:rsidRPr="008A05C6" w:rsidRDefault="00424F91" w:rsidP="00424F91">
      <w:pPr>
        <w:ind w:firstLine="680"/>
        <w:jc w:val="both"/>
        <w:rPr>
          <w:rFonts w:eastAsia="Times New Roman"/>
        </w:rPr>
      </w:pPr>
      <w:r w:rsidRPr="00E9422E">
        <w:t>Показатель</w:t>
      </w:r>
      <w:r w:rsidRPr="00E9422E">
        <w:rPr>
          <w:i/>
        </w:rPr>
        <w:t xml:space="preserve"> </w:t>
      </w:r>
      <w:r w:rsidRPr="00E9422E">
        <w:t xml:space="preserve">уровня удовлетворенности граждан качеством предоставления услуг (план </w:t>
      </w:r>
      <w:r>
        <w:t>-</w:t>
      </w:r>
      <w:r w:rsidRPr="00E9422E">
        <w:t xml:space="preserve"> 90%)</w:t>
      </w:r>
      <w:r w:rsidRPr="00E9422E">
        <w:rPr>
          <w:i/>
        </w:rPr>
        <w:t xml:space="preserve"> </w:t>
      </w:r>
      <w:r w:rsidRPr="00E9422E">
        <w:t xml:space="preserve">в 2017 году составил 97,53%, в 2018 году - 98,9%, в 1 полугодии 2019 года - 99,1 процента. </w:t>
      </w:r>
      <w:r w:rsidRPr="00E9422E">
        <w:rPr>
          <w:rFonts w:eastAsia="Times New Roman"/>
        </w:rPr>
        <w:t>Показатель</w:t>
      </w:r>
      <w:r w:rsidRPr="00E9422E">
        <w:rPr>
          <w:rFonts w:eastAsia="Times New Roman"/>
          <w:i/>
        </w:rPr>
        <w:t xml:space="preserve"> </w:t>
      </w:r>
      <w:r w:rsidRPr="00E9422E">
        <w:rPr>
          <w:rFonts w:eastAsia="Times New Roman"/>
        </w:rPr>
        <w:t>среднего времени ожидания в очереди (план – 15 мин.)</w:t>
      </w:r>
      <w:r w:rsidRPr="00E9422E">
        <w:rPr>
          <w:rFonts w:eastAsia="Times New Roman"/>
          <w:i/>
        </w:rPr>
        <w:t xml:space="preserve"> </w:t>
      </w:r>
      <w:r w:rsidRPr="00E9422E">
        <w:t>в 2017 году составил 11,31 мин., в 2018 году - 10,52 мин., в 1 полугодии 2019 года - 10,15 минут.</w:t>
      </w:r>
      <w:r>
        <w:t xml:space="preserve"> </w:t>
      </w:r>
      <w:r w:rsidRPr="00FC6619">
        <w:rPr>
          <w:rFonts w:eastAsiaTheme="minorHAnsi"/>
          <w:lang w:eastAsia="en-US"/>
        </w:rPr>
        <w:t xml:space="preserve">Расчет </w:t>
      </w:r>
      <w:r>
        <w:rPr>
          <w:rFonts w:eastAsiaTheme="minorHAnsi"/>
          <w:lang w:eastAsia="en-US"/>
        </w:rPr>
        <w:t xml:space="preserve">этих </w:t>
      </w:r>
      <w:r w:rsidRPr="00FC6619">
        <w:rPr>
          <w:rFonts w:eastAsiaTheme="minorHAnsi"/>
          <w:lang w:eastAsia="en-US"/>
        </w:rPr>
        <w:t xml:space="preserve">показателей </w:t>
      </w:r>
      <w:r>
        <w:rPr>
          <w:rFonts w:eastAsiaTheme="minorHAnsi"/>
          <w:lang w:eastAsia="en-US"/>
        </w:rPr>
        <w:t xml:space="preserve">проводился в соответствии с Программой </w:t>
      </w:r>
      <w:r w:rsidR="00F3526A">
        <w:rPr>
          <w:rFonts w:eastAsiaTheme="minorHAnsi"/>
          <w:lang w:eastAsia="en-US"/>
        </w:rPr>
        <w:t>мониторинга, который осуществлялся путем анкетирования</w:t>
      </w:r>
      <w:r>
        <w:rPr>
          <w:rFonts w:eastAsiaTheme="minorHAnsi"/>
          <w:lang w:eastAsia="en-US"/>
        </w:rPr>
        <w:t xml:space="preserve"> заявителей, обратившихся за предоставлением услуг.</w:t>
      </w:r>
    </w:p>
    <w:p w:rsidR="00F3526A" w:rsidRDefault="00424F91" w:rsidP="00424F91">
      <w:pPr>
        <w:pStyle w:val="afa"/>
        <w:ind w:firstLine="680"/>
        <w:jc w:val="both"/>
        <w:rPr>
          <w:rFonts w:eastAsiaTheme="minorHAnsi"/>
          <w:sz w:val="24"/>
          <w:szCs w:val="24"/>
          <w:lang w:eastAsia="en-US"/>
        </w:rPr>
      </w:pPr>
      <w:r w:rsidRPr="008A05C6">
        <w:rPr>
          <w:rFonts w:eastAsiaTheme="minorHAnsi"/>
          <w:sz w:val="24"/>
          <w:szCs w:val="24"/>
          <w:lang w:eastAsia="en-US"/>
        </w:rPr>
        <w:t>Выборочн</w:t>
      </w:r>
      <w:r w:rsidR="00F3526A">
        <w:rPr>
          <w:rFonts w:eastAsiaTheme="minorHAnsi"/>
          <w:sz w:val="24"/>
          <w:szCs w:val="24"/>
          <w:lang w:eastAsia="en-US"/>
        </w:rPr>
        <w:t>ая проверка анкет показала, что подтвердить достоверность фактических значений указанных показателей не представляется возможным (в части</w:t>
      </w:r>
      <w:r>
        <w:rPr>
          <w:rFonts w:eastAsiaTheme="minorHAnsi"/>
          <w:sz w:val="24"/>
          <w:szCs w:val="24"/>
          <w:lang w:eastAsia="en-US"/>
        </w:rPr>
        <w:t xml:space="preserve"> анкет отсутствует полная информация, некоторые лица, опрошенные по телефону, не подтвердили информацию о прохождении анкетирования</w:t>
      </w:r>
      <w:r w:rsidR="00F3526A">
        <w:rPr>
          <w:rFonts w:eastAsiaTheme="minorHAnsi"/>
          <w:sz w:val="24"/>
          <w:szCs w:val="24"/>
          <w:lang w:eastAsia="en-US"/>
        </w:rPr>
        <w:t>).</w:t>
      </w:r>
    </w:p>
    <w:p w:rsidR="000F5486" w:rsidRDefault="009F3CC6" w:rsidP="009F3CC6">
      <w:pPr>
        <w:pStyle w:val="afa"/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Pr="009F3CC6">
        <w:rPr>
          <w:sz w:val="24"/>
          <w:szCs w:val="24"/>
        </w:rPr>
        <w:t xml:space="preserve">аряду с оценкой качества предоставления услуг в ОИВ и МФЦ, предусмотренной </w:t>
      </w:r>
      <w:r w:rsidRPr="009F3CC6">
        <w:rPr>
          <w:rFonts w:eastAsiaTheme="minorHAnsi"/>
          <w:sz w:val="24"/>
          <w:szCs w:val="24"/>
          <w:lang w:eastAsia="en-US"/>
        </w:rPr>
        <w:t>Программой мониторинга, действует оценка качества организации предоставления услуг</w:t>
      </w:r>
      <w:r>
        <w:rPr>
          <w:rFonts w:eastAsiaTheme="minorHAnsi"/>
          <w:sz w:val="24"/>
          <w:szCs w:val="24"/>
          <w:lang w:eastAsia="en-US"/>
        </w:rPr>
        <w:t xml:space="preserve"> для определения эффективности д</w:t>
      </w:r>
      <w:r w:rsidR="00E642D5">
        <w:rPr>
          <w:rFonts w:eastAsiaTheme="minorHAnsi"/>
          <w:sz w:val="24"/>
          <w:szCs w:val="24"/>
          <w:lang w:eastAsia="en-US"/>
        </w:rPr>
        <w:t>еятельности руководителей МФЦ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9F3CC6">
        <w:rPr>
          <w:rFonts w:eastAsiaTheme="minorHAnsi"/>
          <w:sz w:val="24"/>
          <w:szCs w:val="24"/>
          <w:lang w:eastAsia="en-US"/>
        </w:rPr>
        <w:t xml:space="preserve">по Постановлению № 1284 (согласно </w:t>
      </w:r>
      <w:proofErr w:type="spellStart"/>
      <w:r w:rsidRPr="009F3CC6">
        <w:rPr>
          <w:rFonts w:eastAsiaTheme="minorHAnsi"/>
          <w:sz w:val="24"/>
          <w:szCs w:val="24"/>
          <w:lang w:eastAsia="en-US"/>
        </w:rPr>
        <w:t>Методрекомендациям</w:t>
      </w:r>
      <w:proofErr w:type="spellEnd"/>
      <w:r w:rsidRPr="009F3CC6">
        <w:rPr>
          <w:rFonts w:eastAsiaTheme="minorHAnsi"/>
          <w:sz w:val="24"/>
          <w:szCs w:val="24"/>
          <w:lang w:eastAsia="en-US"/>
        </w:rPr>
        <w:t xml:space="preserve"> № 155 будет применяться не только в отношении федеральных услуг, но и региональных и муниципальных), в которой используются методы и средства опроса заявителей, отличные от применяемых в Мониторинге</w:t>
      </w:r>
      <w:r>
        <w:rPr>
          <w:rFonts w:eastAsiaTheme="minorHAnsi"/>
          <w:sz w:val="24"/>
          <w:szCs w:val="24"/>
          <w:lang w:eastAsia="en-US"/>
        </w:rPr>
        <w:t xml:space="preserve"> (опрос </w:t>
      </w:r>
      <w:r w:rsidRPr="009F3CC6">
        <w:rPr>
          <w:rFonts w:eastAsiaTheme="minorHAnsi"/>
          <w:sz w:val="24"/>
          <w:szCs w:val="24"/>
          <w:lang w:eastAsia="en-US"/>
        </w:rPr>
        <w:t>посредством использования устройств подвижной радиотелефонной связи, терминальных и иных устройств,</w:t>
      </w:r>
      <w:r w:rsidRPr="009F3CC6">
        <w:rPr>
          <w:rFonts w:eastAsiaTheme="minorHAnsi"/>
          <w:iCs/>
          <w:sz w:val="24"/>
          <w:szCs w:val="24"/>
          <w:lang w:eastAsia="en-US"/>
        </w:rPr>
        <w:t xml:space="preserve"> информационно-телекоммуникационной сети </w:t>
      </w:r>
      <w:r w:rsidRPr="009F3CC6">
        <w:rPr>
          <w:sz w:val="24"/>
          <w:szCs w:val="24"/>
        </w:rPr>
        <w:t>«</w:t>
      </w:r>
      <w:r w:rsidRPr="009F3CC6">
        <w:rPr>
          <w:rFonts w:eastAsiaTheme="minorHAnsi"/>
          <w:iCs/>
          <w:sz w:val="24"/>
          <w:szCs w:val="24"/>
          <w:lang w:eastAsia="en-US"/>
        </w:rPr>
        <w:t>Интернет</w:t>
      </w:r>
      <w:r w:rsidRPr="008D2F75">
        <w:rPr>
          <w:sz w:val="24"/>
          <w:szCs w:val="24"/>
        </w:rPr>
        <w:t>»).</w:t>
      </w:r>
    </w:p>
    <w:p w:rsidR="00424F91" w:rsidRPr="00033D3C" w:rsidRDefault="00424F91" w:rsidP="00424F91">
      <w:pPr>
        <w:ind w:firstLine="680"/>
        <w:jc w:val="both"/>
      </w:pPr>
      <w:r w:rsidRPr="00033D3C">
        <w:t>Показатель доли МФЦ, в которых обеспечивается предоставление специализированных услуг для предпринимателей, при плановых значениях 20 % (в 2017-</w:t>
      </w:r>
      <w:r w:rsidRPr="00033D3C">
        <w:lastRenderedPageBreak/>
        <w:t xml:space="preserve">2018 годах) и 21% (в 2019-2024 годы) выполнен на 100 процентов. При достижении в 2017 году значения показателя в 100% </w:t>
      </w:r>
      <w:proofErr w:type="spellStart"/>
      <w:r w:rsidRPr="00033D3C">
        <w:t>Облкомэкономразвития</w:t>
      </w:r>
      <w:proofErr w:type="spellEnd"/>
      <w:r w:rsidRPr="00033D3C">
        <w:t xml:space="preserve"> не откорректировано плановое значение показателя на последующие годы.</w:t>
      </w:r>
    </w:p>
    <w:p w:rsidR="008341A5" w:rsidRDefault="00424F91" w:rsidP="008341A5">
      <w:pPr>
        <w:autoSpaceDE w:val="0"/>
        <w:autoSpaceDN w:val="0"/>
        <w:adjustRightInd w:val="0"/>
        <w:ind w:firstLine="680"/>
        <w:jc w:val="both"/>
        <w:rPr>
          <w:rFonts w:eastAsiaTheme="minorHAnsi"/>
          <w:lang w:eastAsia="en-US"/>
        </w:rPr>
      </w:pPr>
      <w:r w:rsidRPr="003465BC">
        <w:rPr>
          <w:rFonts w:eastAsiaTheme="minorHAnsi"/>
          <w:lang w:eastAsia="en-US"/>
        </w:rPr>
        <w:t>Одним из ожидаемых результатов ре</w:t>
      </w:r>
      <w:r>
        <w:rPr>
          <w:rFonts w:eastAsiaTheme="minorHAnsi"/>
          <w:lang w:eastAsia="en-US"/>
        </w:rPr>
        <w:t>ализации Подпрограммы являе</w:t>
      </w:r>
      <w:r w:rsidRPr="003465BC">
        <w:rPr>
          <w:rFonts w:eastAsiaTheme="minorHAnsi"/>
          <w:lang w:eastAsia="en-US"/>
        </w:rPr>
        <w:t xml:space="preserve">тся обеспечение </w:t>
      </w:r>
      <w:r w:rsidR="0039143F">
        <w:rPr>
          <w:rFonts w:eastAsiaTheme="minorHAnsi"/>
          <w:lang w:eastAsia="en-US"/>
        </w:rPr>
        <w:t>в</w:t>
      </w:r>
      <w:r w:rsidRPr="003465BC">
        <w:rPr>
          <w:rFonts w:eastAsiaTheme="minorHAnsi"/>
          <w:lang w:eastAsia="en-US"/>
        </w:rPr>
        <w:t xml:space="preserve"> 2024 году доли государственных услуг, оказываемых ОИВ, предоставленных в МФЦ, в общем количестве государственных услуг, предоставленных ОИВ, </w:t>
      </w:r>
      <w:r>
        <w:rPr>
          <w:rFonts w:eastAsiaTheme="minorHAnsi"/>
          <w:lang w:eastAsia="en-US"/>
        </w:rPr>
        <w:t>в размере</w:t>
      </w:r>
      <w:r w:rsidRPr="003465BC">
        <w:rPr>
          <w:rFonts w:eastAsiaTheme="minorHAnsi"/>
          <w:lang w:eastAsia="en-US"/>
        </w:rPr>
        <w:t xml:space="preserve"> не менее 50 процентов. Промежуточная оценка исполнения этого показателя показала, что за 2018 год и </w:t>
      </w:r>
      <w:r w:rsidRPr="003465BC">
        <w:rPr>
          <w:rFonts w:eastAsiaTheme="minorHAnsi"/>
          <w:lang w:val="en-US" w:eastAsia="en-US"/>
        </w:rPr>
        <w:t>I</w:t>
      </w:r>
      <w:r w:rsidRPr="003465BC">
        <w:rPr>
          <w:rFonts w:eastAsiaTheme="minorHAnsi"/>
          <w:lang w:eastAsia="en-US"/>
        </w:rPr>
        <w:t xml:space="preserve"> полугодие 2019 года он составил соответственно 8 и 12,5%, т.е. остается пока незначительным. На исполнение этого показателя помимо </w:t>
      </w:r>
      <w:r w:rsidRPr="003465BC">
        <w:t>объективных причин (</w:t>
      </w:r>
      <w:r w:rsidR="0080412B">
        <w:t>отсутствие в нормативных правовых актах, регламентирующих предоставление услуг, возможности их оказания посредством МФЦ, нецелесообразность предоставления отдельных видов услуг через МФЦ по сведениям проверенных ОИВ)</w:t>
      </w:r>
      <w:r>
        <w:t xml:space="preserve"> влияет инертность </w:t>
      </w:r>
      <w:r w:rsidR="00A64FC8">
        <w:t xml:space="preserve">отдельных </w:t>
      </w:r>
      <w:r>
        <w:t>ОИВ в части дополнения перечня региональных услуг, предоставление которых организуется в МФЦ (</w:t>
      </w:r>
      <w:r w:rsidRPr="003465BC">
        <w:t>Постановление № 385-п</w:t>
      </w:r>
      <w:r w:rsidRPr="008341A5">
        <w:t>).</w:t>
      </w:r>
      <w:r w:rsidR="008341A5" w:rsidRPr="008341A5">
        <w:t xml:space="preserve"> В настоящее время из </w:t>
      </w:r>
      <w:r w:rsidR="00053758">
        <w:t>порядка 250</w:t>
      </w:r>
      <w:r w:rsidR="008341A5" w:rsidRPr="0047160C">
        <w:t xml:space="preserve"> видов</w:t>
      </w:r>
      <w:r w:rsidR="008341A5" w:rsidRPr="005C71D5">
        <w:t xml:space="preserve"> услуг</w:t>
      </w:r>
      <w:r w:rsidR="0047160C">
        <w:t>,</w:t>
      </w:r>
      <w:r w:rsidR="008341A5">
        <w:t xml:space="preserve"> включенных в перечни государственных </w:t>
      </w:r>
      <w:r w:rsidR="000E2E35">
        <w:t>у</w:t>
      </w:r>
      <w:r w:rsidR="008341A5">
        <w:t>слуг, предоставляемых ОИВ</w:t>
      </w:r>
      <w:r w:rsidR="008341A5" w:rsidRPr="005C71D5">
        <w:t>, на базе МФЦ организовано предоставление 147 видов услуг.</w:t>
      </w:r>
    </w:p>
    <w:p w:rsidR="00F3397E" w:rsidRPr="00B4668F" w:rsidRDefault="00F3397E" w:rsidP="00F3397E">
      <w:pPr>
        <w:autoSpaceDE w:val="0"/>
        <w:autoSpaceDN w:val="0"/>
        <w:adjustRightInd w:val="0"/>
        <w:ind w:firstLine="68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Другой ожидаемый результат реализации Подпрограммы в виде обеспечения </w:t>
      </w:r>
      <w:r w:rsidR="0039143F">
        <w:rPr>
          <w:rFonts w:eastAsiaTheme="minorHAnsi"/>
          <w:lang w:eastAsia="en-US"/>
        </w:rPr>
        <w:t>в</w:t>
      </w:r>
      <w:r>
        <w:rPr>
          <w:rFonts w:eastAsiaTheme="minorHAnsi"/>
          <w:lang w:eastAsia="en-US"/>
        </w:rPr>
        <w:t xml:space="preserve"> 2024 году доли государственных услуг, предполагающих поступление госпошлины в областной бюджет, предоставленны</w:t>
      </w:r>
      <w:r w:rsidR="001422F4">
        <w:rPr>
          <w:rFonts w:eastAsiaTheme="minorHAnsi"/>
          <w:lang w:eastAsia="en-US"/>
        </w:rPr>
        <w:t>х</w:t>
      </w:r>
      <w:r>
        <w:rPr>
          <w:rFonts w:eastAsiaTheme="minorHAnsi"/>
          <w:lang w:eastAsia="en-US"/>
        </w:rPr>
        <w:t xml:space="preserve"> в МФЦ, в общем количестве государственных услуг, предоставленных ОИВ, в размере не менее 70%, по промежуточной оценке исполнения за 2018 год и </w:t>
      </w:r>
      <w:r w:rsidRPr="003465BC">
        <w:rPr>
          <w:rFonts w:eastAsiaTheme="minorHAnsi"/>
          <w:lang w:val="en-US" w:eastAsia="en-US"/>
        </w:rPr>
        <w:t>I</w:t>
      </w:r>
      <w:r w:rsidRPr="003465BC">
        <w:rPr>
          <w:rFonts w:eastAsiaTheme="minorHAnsi"/>
          <w:lang w:eastAsia="en-US"/>
        </w:rPr>
        <w:t xml:space="preserve"> полугодие 2019 года</w:t>
      </w:r>
      <w:r>
        <w:rPr>
          <w:rFonts w:eastAsiaTheme="minorHAnsi"/>
          <w:lang w:eastAsia="en-US"/>
        </w:rPr>
        <w:t xml:space="preserve">, уже достигнут (соответственно составил 73 и 78%). В связи с этим требуется корректировка планового значения показателя на последующие годы. </w:t>
      </w:r>
    </w:p>
    <w:p w:rsidR="00424F91" w:rsidRPr="00890256" w:rsidRDefault="00424F91" w:rsidP="00424F91">
      <w:pPr>
        <w:pStyle w:val="af8"/>
        <w:numPr>
          <w:ilvl w:val="0"/>
          <w:numId w:val="26"/>
        </w:numPr>
        <w:autoSpaceDE w:val="0"/>
        <w:autoSpaceDN w:val="0"/>
        <w:adjustRightInd w:val="0"/>
        <w:ind w:left="0" w:firstLine="680"/>
        <w:jc w:val="both"/>
        <w:rPr>
          <w:rFonts w:eastAsiaTheme="minorHAnsi"/>
          <w:lang w:eastAsia="en-US"/>
        </w:rPr>
      </w:pPr>
      <w:r w:rsidRPr="00890256">
        <w:t xml:space="preserve">Установлена неэффективность использования 42 окон обслуживания МФЦ в отдельных населенных пунктах Волгоградской области в связи с их неполной </w:t>
      </w:r>
      <w:proofErr w:type="spellStart"/>
      <w:r w:rsidRPr="00890256">
        <w:t>востребованностью</w:t>
      </w:r>
      <w:proofErr w:type="spellEnd"/>
      <w:r w:rsidRPr="00890256">
        <w:t>, что влечет  увеличение расходов областного бюджета на 12,1 млн. рублей.</w:t>
      </w:r>
    </w:p>
    <w:p w:rsidR="00424F91" w:rsidRPr="00680078" w:rsidRDefault="00424F91" w:rsidP="00424F91">
      <w:pPr>
        <w:pStyle w:val="af8"/>
        <w:numPr>
          <w:ilvl w:val="0"/>
          <w:numId w:val="26"/>
        </w:numPr>
        <w:autoSpaceDE w:val="0"/>
        <w:autoSpaceDN w:val="0"/>
        <w:adjustRightInd w:val="0"/>
        <w:ind w:left="0" w:firstLine="680"/>
        <w:jc w:val="both"/>
      </w:pPr>
      <w:r w:rsidRPr="00680078">
        <w:rPr>
          <w:rFonts w:eastAsia="Times New Roman"/>
        </w:rPr>
        <w:t xml:space="preserve">ГКУ </w:t>
      </w:r>
      <w:r w:rsidRPr="00680078">
        <w:t>«МФЦ»</w:t>
      </w:r>
      <w:r w:rsidRPr="00680078">
        <w:rPr>
          <w:color w:val="000000"/>
        </w:rPr>
        <w:t xml:space="preserve"> не в полной мере исполнялись полномочия администратора доходов бюджета, предусмотренные п.2 ст.160.1 БК РФ по </w:t>
      </w:r>
      <w:r w:rsidRPr="00680078">
        <w:t xml:space="preserve">контролю за полнотой и своевременностью осуществления платежей в бюджет, взысканию задолженности по </w:t>
      </w:r>
      <w:proofErr w:type="spellStart"/>
      <w:r w:rsidRPr="00680078">
        <w:t>администрируемым</w:t>
      </w:r>
      <w:proofErr w:type="spellEnd"/>
      <w:r w:rsidRPr="00680078">
        <w:t xml:space="preserve"> доходам (доходам от оказания платных услуг и штрафам, санкциям, возмещению ущерба) на сумму 0,8 млн. руб. по 8-ми контрагентам.</w:t>
      </w:r>
    </w:p>
    <w:p w:rsidR="00424F91" w:rsidRPr="00680078" w:rsidRDefault="00424F91" w:rsidP="00424F91">
      <w:pPr>
        <w:pStyle w:val="af8"/>
        <w:numPr>
          <w:ilvl w:val="0"/>
          <w:numId w:val="26"/>
        </w:numPr>
        <w:autoSpaceDE w:val="0"/>
        <w:autoSpaceDN w:val="0"/>
        <w:adjustRightInd w:val="0"/>
        <w:ind w:left="0" w:firstLine="680"/>
        <w:jc w:val="both"/>
        <w:rPr>
          <w:rFonts w:eastAsiaTheme="minorHAnsi"/>
          <w:lang w:eastAsia="en-US"/>
        </w:rPr>
      </w:pPr>
      <w:r>
        <w:t xml:space="preserve">Всего на развитие региональной инфраструктуры предоставления услуг (в т.ч. на централизацию </w:t>
      </w:r>
      <w:r w:rsidRPr="00680078">
        <w:rPr>
          <w:rFonts w:eastAsiaTheme="minorHAnsi"/>
          <w:lang w:eastAsia="en-US"/>
        </w:rPr>
        <w:t xml:space="preserve">системы организации МФЦ, обеспечение </w:t>
      </w:r>
      <w:r w:rsidRPr="00431D1E">
        <w:t>«</w:t>
      </w:r>
      <w:r w:rsidRPr="00680078">
        <w:rPr>
          <w:rFonts w:eastAsiaTheme="minorHAnsi"/>
          <w:lang w:eastAsia="en-US"/>
        </w:rPr>
        <w:t>окон для бизнеса</w:t>
      </w:r>
      <w:r w:rsidRPr="00431D1E">
        <w:t>»</w:t>
      </w:r>
      <w:r w:rsidRPr="00680078">
        <w:rPr>
          <w:rFonts w:eastAsiaTheme="minorHAnsi"/>
          <w:lang w:eastAsia="en-US"/>
        </w:rPr>
        <w:t>) за 2017</w:t>
      </w:r>
      <w:r>
        <w:rPr>
          <w:rFonts w:eastAsiaTheme="minorHAnsi"/>
          <w:lang w:eastAsia="en-US"/>
        </w:rPr>
        <w:t xml:space="preserve"> год -</w:t>
      </w:r>
      <w:r w:rsidRPr="00680078">
        <w:rPr>
          <w:rFonts w:eastAsiaTheme="minorHAnsi"/>
          <w:lang w:val="en-US" w:eastAsia="en-US"/>
        </w:rPr>
        <w:t>I</w:t>
      </w:r>
      <w:r w:rsidRPr="00680078">
        <w:rPr>
          <w:rFonts w:eastAsiaTheme="minorHAnsi"/>
          <w:lang w:eastAsia="en-US"/>
        </w:rPr>
        <w:t xml:space="preserve"> полугодие 2019 года было направлено 1 258,8 млн. рублей.</w:t>
      </w:r>
    </w:p>
    <w:p w:rsidR="00424F91" w:rsidRDefault="00424F91" w:rsidP="00424F91">
      <w:pPr>
        <w:autoSpaceDE w:val="0"/>
        <w:autoSpaceDN w:val="0"/>
        <w:adjustRightInd w:val="0"/>
        <w:ind w:firstLine="680"/>
        <w:jc w:val="both"/>
        <w:rPr>
          <w:rFonts w:eastAsia="Times New Roman"/>
          <w:bCs/>
        </w:rPr>
      </w:pPr>
      <w:r>
        <w:rPr>
          <w:rFonts w:eastAsia="Times New Roman"/>
        </w:rPr>
        <w:t xml:space="preserve">Расходы </w:t>
      </w:r>
      <w:r w:rsidRPr="006415AB">
        <w:rPr>
          <w:rFonts w:eastAsia="Times New Roman"/>
        </w:rPr>
        <w:t xml:space="preserve">ГКУ </w:t>
      </w:r>
      <w:r w:rsidRPr="000149E9">
        <w:t xml:space="preserve">«МФЦ» </w:t>
      </w:r>
      <w:r w:rsidRPr="006415AB">
        <w:rPr>
          <w:rFonts w:eastAsia="Times New Roman"/>
        </w:rPr>
        <w:t xml:space="preserve">в 2018 году </w:t>
      </w:r>
      <w:r>
        <w:rPr>
          <w:rFonts w:eastAsia="Times New Roman"/>
        </w:rPr>
        <w:t xml:space="preserve">составили </w:t>
      </w:r>
      <w:r w:rsidRPr="006415AB">
        <w:rPr>
          <w:rFonts w:eastAsia="Times New Roman"/>
        </w:rPr>
        <w:t>65</w:t>
      </w:r>
      <w:r>
        <w:rPr>
          <w:rFonts w:eastAsia="Times New Roman"/>
        </w:rPr>
        <w:t>8,0 млн.</w:t>
      </w:r>
      <w:r w:rsidRPr="006415AB">
        <w:rPr>
          <w:rFonts w:eastAsia="Times New Roman"/>
        </w:rPr>
        <w:t xml:space="preserve"> руб., </w:t>
      </w:r>
      <w:r>
        <w:rPr>
          <w:rFonts w:eastAsia="Times New Roman"/>
        </w:rPr>
        <w:t>или</w:t>
      </w:r>
      <w:r w:rsidRPr="006415AB">
        <w:rPr>
          <w:rFonts w:eastAsia="Times New Roman"/>
        </w:rPr>
        <w:t xml:space="preserve"> на 371</w:t>
      </w:r>
      <w:r>
        <w:rPr>
          <w:rFonts w:eastAsia="Times New Roman"/>
        </w:rPr>
        <w:t xml:space="preserve">,4 млн. руб. (в 2,3 раза) выше расходов 2017 года, что связано </w:t>
      </w:r>
      <w:r w:rsidRPr="006415AB">
        <w:rPr>
          <w:rFonts w:eastAsia="Times New Roman"/>
        </w:rPr>
        <w:t>с централизацией сети МФЦ</w:t>
      </w:r>
      <w:r>
        <w:rPr>
          <w:rFonts w:eastAsia="Times New Roman"/>
        </w:rPr>
        <w:t xml:space="preserve">. За </w:t>
      </w:r>
      <w:r>
        <w:rPr>
          <w:rFonts w:eastAsia="Times New Roman"/>
          <w:lang w:val="en-US"/>
        </w:rPr>
        <w:t>I</w:t>
      </w:r>
      <w:r w:rsidRPr="003808DD">
        <w:rPr>
          <w:rFonts w:eastAsia="Times New Roman"/>
        </w:rPr>
        <w:t xml:space="preserve"> </w:t>
      </w:r>
      <w:r>
        <w:rPr>
          <w:rFonts w:eastAsia="Times New Roman"/>
        </w:rPr>
        <w:t>полугодие 2019 года расходы произведены в размере 265,6 млн. руб., что составляет 40,4% от расходов 2018 года.</w:t>
      </w:r>
    </w:p>
    <w:p w:rsidR="00424F91" w:rsidRPr="00680078" w:rsidRDefault="00424F91" w:rsidP="00424F91">
      <w:pPr>
        <w:autoSpaceDE w:val="0"/>
        <w:autoSpaceDN w:val="0"/>
        <w:adjustRightInd w:val="0"/>
        <w:ind w:firstLine="680"/>
        <w:jc w:val="both"/>
        <w:rPr>
          <w:rFonts w:eastAsia="Times New Roman"/>
          <w:bCs/>
        </w:rPr>
      </w:pPr>
      <w:r w:rsidRPr="00680078">
        <w:rPr>
          <w:rFonts w:eastAsia="Times New Roman"/>
          <w:bCs/>
        </w:rPr>
        <w:t xml:space="preserve">Основную долю расходов </w:t>
      </w:r>
      <w:r w:rsidRPr="00680078">
        <w:rPr>
          <w:rFonts w:eastAsia="Times New Roman"/>
        </w:rPr>
        <w:t xml:space="preserve">ГКУ </w:t>
      </w:r>
      <w:r w:rsidRPr="000149E9">
        <w:t xml:space="preserve">«МФЦ» </w:t>
      </w:r>
      <w:r w:rsidRPr="00680078">
        <w:rPr>
          <w:rFonts w:eastAsia="Times New Roman"/>
          <w:bCs/>
        </w:rPr>
        <w:t>составляют расходы на оплату труда с начислениями (в 2017 году доля указанных расходов в общей сумме исполненных расходов составила 93,3%, в 2018 году - 84,2%, за 6 месяцев 2019 года - 90,4%).</w:t>
      </w:r>
    </w:p>
    <w:p w:rsidR="00424F91" w:rsidRPr="00E8712B" w:rsidRDefault="00424F91" w:rsidP="00424F91">
      <w:pPr>
        <w:pStyle w:val="af8"/>
        <w:numPr>
          <w:ilvl w:val="0"/>
          <w:numId w:val="26"/>
        </w:numPr>
        <w:autoSpaceDE w:val="0"/>
        <w:autoSpaceDN w:val="0"/>
        <w:adjustRightInd w:val="0"/>
        <w:ind w:left="0" w:firstLine="680"/>
        <w:jc w:val="both"/>
        <w:rPr>
          <w:bCs/>
        </w:rPr>
      </w:pPr>
      <w:r w:rsidRPr="00003EB8">
        <w:rPr>
          <w:rFonts w:eastAsiaTheme="minorHAnsi"/>
          <w:lang w:eastAsia="en-US"/>
        </w:rPr>
        <w:t xml:space="preserve">Проверкой эффективности осуществления расходов и правильности ведения бюджетного учета и составления отчетности </w:t>
      </w:r>
      <w:r w:rsidRPr="00003EB8">
        <w:rPr>
          <w:rFonts w:eastAsia="Times New Roman"/>
        </w:rPr>
        <w:t xml:space="preserve">ГКУ </w:t>
      </w:r>
      <w:r w:rsidRPr="008E22AB">
        <w:t>«МФЦ» установлены отдельные нарушения и недостатки, в т.ч. «</w:t>
      </w:r>
      <w:r w:rsidRPr="00003EB8">
        <w:rPr>
          <w:rFonts w:eastAsia="Times New Roman"/>
        </w:rPr>
        <w:t>дробление</w:t>
      </w:r>
      <w:r w:rsidRPr="008E22AB">
        <w:t>»</w:t>
      </w:r>
      <w:r w:rsidRPr="00003EB8">
        <w:rPr>
          <w:rFonts w:eastAsia="Times New Roman"/>
        </w:rPr>
        <w:t xml:space="preserve"> закупок на </w:t>
      </w:r>
      <w:r w:rsidRPr="00E8712B">
        <w:t xml:space="preserve">выполнение работ по ремонту фасада нежилого помещения общей стоимостью 342,1 тыс. руб. (заключено 4 </w:t>
      </w:r>
      <w:proofErr w:type="spellStart"/>
      <w:r w:rsidRPr="00E8712B">
        <w:t>госконтракта</w:t>
      </w:r>
      <w:proofErr w:type="spellEnd"/>
      <w:r w:rsidRPr="00E8712B">
        <w:t xml:space="preserve"> стоимостью менее 100 тыс. руб.), чем был нарушен принцип конкуренции при осуществлении закупок, определенный в ст.8 Закона </w:t>
      </w:r>
      <w:r w:rsidRPr="00E8712B">
        <w:rPr>
          <w:bCs/>
        </w:rPr>
        <w:t>№ 44-ФЗ.</w:t>
      </w:r>
    </w:p>
    <w:p w:rsidR="00424F91" w:rsidRPr="00E8712B" w:rsidRDefault="00424F91" w:rsidP="00424F91">
      <w:pPr>
        <w:pStyle w:val="ConsPlusNormal"/>
        <w:numPr>
          <w:ilvl w:val="0"/>
          <w:numId w:val="26"/>
        </w:numPr>
        <w:ind w:left="0" w:firstLine="68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E8712B">
        <w:rPr>
          <w:rFonts w:ascii="Times New Roman" w:hAnsi="Times New Roman" w:cs="Times New Roman"/>
          <w:sz w:val="24"/>
          <w:szCs w:val="24"/>
        </w:rPr>
        <w:t>Облкомэкономразвития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являющимся учредителем </w:t>
      </w:r>
      <w:r w:rsidRPr="00E8712B">
        <w:rPr>
          <w:rFonts w:ascii="Times New Roman" w:hAnsi="Times New Roman" w:cs="Times New Roman"/>
          <w:sz w:val="24"/>
          <w:szCs w:val="24"/>
        </w:rPr>
        <w:t>ГКУ «МФЦ»</w:t>
      </w:r>
      <w:r w:rsidRPr="003C59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главным администратором доходов бюджета</w:t>
      </w:r>
      <w:r w:rsidRPr="00E8712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712B">
        <w:rPr>
          <w:rFonts w:ascii="Times New Roman" w:hAnsi="Times New Roman" w:cs="Times New Roman"/>
          <w:sz w:val="24"/>
          <w:szCs w:val="24"/>
        </w:rPr>
        <w:t>не был утвержден порядок составления, утверждения и ведения бюджетных смет подведомственных казенных учреждений</w:t>
      </w:r>
      <w:r w:rsidR="00C56426" w:rsidRPr="00C56426">
        <w:rPr>
          <w:rFonts w:ascii="Times New Roman" w:hAnsi="Times New Roman" w:cs="Times New Roman"/>
          <w:sz w:val="24"/>
          <w:szCs w:val="24"/>
        </w:rPr>
        <w:t xml:space="preserve"> </w:t>
      </w:r>
      <w:r w:rsidR="00C56426" w:rsidRPr="00E8712B">
        <w:rPr>
          <w:rFonts w:ascii="Times New Roman" w:hAnsi="Times New Roman" w:cs="Times New Roman"/>
          <w:sz w:val="24"/>
          <w:szCs w:val="24"/>
        </w:rPr>
        <w:t>с 2019 года</w:t>
      </w:r>
      <w:r w:rsidRPr="00E8712B">
        <w:rPr>
          <w:rFonts w:ascii="Times New Roman" w:hAnsi="Times New Roman" w:cs="Times New Roman"/>
          <w:sz w:val="24"/>
          <w:szCs w:val="24"/>
        </w:rPr>
        <w:t>, чем не соблюдены положения приказа Минфина РФ от 14.02.2018 № 26н «Об общих требованиях к порядку составления, утверждения и ведения бюджетных смет казенных учреждений», а также не был разработан порядок принятия решений о признании безнадежной к взысканию задолженности по платежам в бюджет, предусмотренный</w:t>
      </w:r>
      <w:r w:rsidRPr="00E871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8712B">
        <w:rPr>
          <w:rFonts w:ascii="Times New Roman" w:hAnsi="Times New Roman" w:cs="Times New Roman"/>
          <w:sz w:val="24"/>
          <w:szCs w:val="24"/>
        </w:rPr>
        <w:t xml:space="preserve">п.4 ст. </w:t>
      </w:r>
      <w:hyperlink r:id="rId20" w:history="1">
        <w:r w:rsidRPr="00E8712B">
          <w:rPr>
            <w:rFonts w:ascii="Times New Roman" w:hAnsi="Times New Roman" w:cs="Times New Roman"/>
            <w:color w:val="000000"/>
            <w:sz w:val="24"/>
            <w:szCs w:val="24"/>
          </w:rPr>
          <w:t>47.2</w:t>
        </w:r>
      </w:hyperlink>
      <w:r w:rsidRPr="00E8712B">
        <w:rPr>
          <w:rFonts w:ascii="Times New Roman" w:hAnsi="Times New Roman" w:cs="Times New Roman"/>
          <w:color w:val="000000"/>
          <w:sz w:val="24"/>
          <w:szCs w:val="24"/>
        </w:rPr>
        <w:t xml:space="preserve"> БК РФ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24F91" w:rsidRDefault="00424F91" w:rsidP="00424F91">
      <w:pPr>
        <w:pStyle w:val="af8"/>
        <w:numPr>
          <w:ilvl w:val="0"/>
          <w:numId w:val="26"/>
        </w:numPr>
        <w:autoSpaceDE w:val="0"/>
        <w:autoSpaceDN w:val="0"/>
        <w:adjustRightInd w:val="0"/>
        <w:ind w:left="0" w:firstLine="680"/>
        <w:jc w:val="both"/>
      </w:pPr>
      <w:r w:rsidRPr="007900EF">
        <w:rPr>
          <w:rFonts w:eastAsiaTheme="minorHAnsi"/>
          <w:lang w:eastAsia="en-US"/>
        </w:rPr>
        <w:lastRenderedPageBreak/>
        <w:t xml:space="preserve">Проведенными проверками </w:t>
      </w:r>
      <w:proofErr w:type="spellStart"/>
      <w:r w:rsidRPr="007900EF">
        <w:t>Облкомсоцзащиты</w:t>
      </w:r>
      <w:proofErr w:type="spellEnd"/>
      <w:r w:rsidRPr="007900EF">
        <w:t xml:space="preserve"> и </w:t>
      </w:r>
      <w:proofErr w:type="spellStart"/>
      <w:r w:rsidRPr="007900EF">
        <w:t>Облкомимущества</w:t>
      </w:r>
      <w:proofErr w:type="spellEnd"/>
      <w:r w:rsidRPr="007900EF">
        <w:t xml:space="preserve"> по вопросу </w:t>
      </w:r>
      <w:r w:rsidRPr="007900EF">
        <w:rPr>
          <w:rFonts w:eastAsiaTheme="minorHAnsi"/>
          <w:lang w:eastAsia="en-US"/>
        </w:rPr>
        <w:t xml:space="preserve"> взаимодействия с </w:t>
      </w:r>
      <w:r w:rsidRPr="007900EF">
        <w:t>МФЦ при предоставлении услуг</w:t>
      </w:r>
      <w:r w:rsidRPr="007900EF">
        <w:rPr>
          <w:color w:val="000000"/>
        </w:rPr>
        <w:t xml:space="preserve"> установлены отдельные проблемы в работе </w:t>
      </w:r>
      <w:r w:rsidRPr="007900EF">
        <w:t xml:space="preserve">ГИС КИАР, включая низкую скорость и сбои </w:t>
      </w:r>
      <w:r>
        <w:t>в работе</w:t>
      </w:r>
      <w:r w:rsidRPr="007900EF">
        <w:t xml:space="preserve">. При этом </w:t>
      </w:r>
      <w:r w:rsidR="00C56426">
        <w:t>для их решения</w:t>
      </w:r>
      <w:r w:rsidR="00C56426" w:rsidRPr="007900EF">
        <w:t xml:space="preserve"> </w:t>
      </w:r>
      <w:r w:rsidRPr="007900EF">
        <w:t>указанн</w:t>
      </w:r>
      <w:r>
        <w:t>ыми</w:t>
      </w:r>
      <w:r w:rsidRPr="007900EF">
        <w:t xml:space="preserve"> ОИВ </w:t>
      </w:r>
      <w:r>
        <w:t xml:space="preserve">в проверяемый период не направлялись обращения </w:t>
      </w:r>
      <w:r w:rsidRPr="007900EF">
        <w:t xml:space="preserve">в </w:t>
      </w:r>
      <w:proofErr w:type="spellStart"/>
      <w:r w:rsidRPr="007900EF">
        <w:t>Облкоминформтехнологии</w:t>
      </w:r>
      <w:proofErr w:type="spellEnd"/>
      <w:r w:rsidRPr="007900EF">
        <w:t xml:space="preserve"> и ГБУ «Центр информационных технологий Волгоградской области»</w:t>
      </w:r>
      <w:r>
        <w:t>, которые согласно соглашениям об информационном взаимодействии в рамках использования ГИС КИАР осуществляют технологическое сопровождение (техническую поддержку).</w:t>
      </w:r>
    </w:p>
    <w:p w:rsidR="007A0BB3" w:rsidRPr="007A0BB3" w:rsidRDefault="00424F91" w:rsidP="007A0BB3">
      <w:pPr>
        <w:pStyle w:val="afa"/>
        <w:ind w:firstLine="680"/>
        <w:jc w:val="both"/>
        <w:rPr>
          <w:color w:val="000000"/>
          <w:spacing w:val="4"/>
          <w:sz w:val="24"/>
          <w:szCs w:val="24"/>
        </w:rPr>
      </w:pPr>
      <w:r w:rsidRPr="00344C2D">
        <w:rPr>
          <w:sz w:val="24"/>
          <w:szCs w:val="24"/>
        </w:rPr>
        <w:t>Также установлены случаи отсутствия прикрепленных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скан-образов</w:t>
      </w:r>
      <w:proofErr w:type="spellEnd"/>
      <w:r w:rsidRPr="00344C2D">
        <w:rPr>
          <w:sz w:val="24"/>
          <w:szCs w:val="24"/>
        </w:rPr>
        <w:t xml:space="preserve"> документов в направленных </w:t>
      </w:r>
      <w:r w:rsidRPr="00E8712B">
        <w:rPr>
          <w:sz w:val="24"/>
          <w:szCs w:val="24"/>
        </w:rPr>
        <w:t>ГКУ «МФЦ»</w:t>
      </w:r>
      <w:r w:rsidRPr="003C592F">
        <w:rPr>
          <w:sz w:val="24"/>
          <w:szCs w:val="24"/>
        </w:rPr>
        <w:t xml:space="preserve"> </w:t>
      </w:r>
      <w:r w:rsidRPr="00344C2D">
        <w:rPr>
          <w:sz w:val="24"/>
          <w:szCs w:val="24"/>
        </w:rPr>
        <w:t xml:space="preserve">в </w:t>
      </w:r>
      <w:r>
        <w:rPr>
          <w:sz w:val="24"/>
          <w:szCs w:val="24"/>
        </w:rPr>
        <w:t>О</w:t>
      </w:r>
      <w:r w:rsidRPr="00344C2D">
        <w:rPr>
          <w:sz w:val="24"/>
          <w:szCs w:val="24"/>
        </w:rPr>
        <w:t xml:space="preserve">ИВ материалах дел, что не позволяет сотрудникам указанных ОИВ оперативно приступить к оказанию услуги (до приема документов на бумажном носителе). </w:t>
      </w:r>
      <w:r w:rsidR="007A0BB3" w:rsidRPr="007A0BB3">
        <w:rPr>
          <w:sz w:val="24"/>
          <w:szCs w:val="24"/>
        </w:rPr>
        <w:t xml:space="preserve">При этом в отношении </w:t>
      </w:r>
      <w:proofErr w:type="spellStart"/>
      <w:r w:rsidR="007A0BB3" w:rsidRPr="007A0BB3">
        <w:rPr>
          <w:sz w:val="24"/>
          <w:szCs w:val="24"/>
        </w:rPr>
        <w:t>Облкомсоцзащиты</w:t>
      </w:r>
      <w:proofErr w:type="spellEnd"/>
      <w:r w:rsidR="007A0BB3" w:rsidRPr="007A0BB3">
        <w:rPr>
          <w:sz w:val="24"/>
          <w:szCs w:val="24"/>
        </w:rPr>
        <w:t xml:space="preserve"> следует отметить, что при наличии в соглашении о взаимодействии с</w:t>
      </w:r>
      <w:r w:rsidR="007A0BB3" w:rsidRPr="007A0BB3">
        <w:rPr>
          <w:bCs/>
          <w:color w:val="000000"/>
          <w:sz w:val="24"/>
          <w:szCs w:val="24"/>
        </w:rPr>
        <w:t xml:space="preserve"> </w:t>
      </w:r>
      <w:r w:rsidR="007A0BB3" w:rsidRPr="007A0BB3">
        <w:rPr>
          <w:sz w:val="24"/>
          <w:szCs w:val="24"/>
        </w:rPr>
        <w:t xml:space="preserve">ГКУ «МФЦ» условия об </w:t>
      </w:r>
      <w:r w:rsidR="007A0BB3" w:rsidRPr="007A0BB3">
        <w:rPr>
          <w:color w:val="000000"/>
          <w:spacing w:val="4"/>
          <w:sz w:val="24"/>
          <w:szCs w:val="24"/>
        </w:rPr>
        <w:t>и</w:t>
      </w:r>
      <w:r w:rsidR="007A0BB3" w:rsidRPr="007A0BB3">
        <w:rPr>
          <w:color w:val="000000"/>
          <w:spacing w:val="5"/>
          <w:sz w:val="24"/>
          <w:szCs w:val="24"/>
        </w:rPr>
        <w:t xml:space="preserve">нформационном обмене с использованием </w:t>
      </w:r>
      <w:r w:rsidR="007A0BB3" w:rsidRPr="007A0BB3">
        <w:rPr>
          <w:sz w:val="24"/>
          <w:szCs w:val="24"/>
        </w:rPr>
        <w:t xml:space="preserve">ГИС КИАР, порядок передачи документов в электронном виде (в т.ч. с </w:t>
      </w:r>
      <w:r w:rsidR="007A0BB3" w:rsidRPr="007A0BB3">
        <w:rPr>
          <w:color w:val="000000"/>
          <w:spacing w:val="4"/>
          <w:sz w:val="24"/>
          <w:szCs w:val="24"/>
        </w:rPr>
        <w:t>пакетом документов в сканированном виде)</w:t>
      </w:r>
      <w:r w:rsidR="007A0BB3" w:rsidRPr="007A0BB3">
        <w:rPr>
          <w:sz w:val="24"/>
          <w:szCs w:val="24"/>
        </w:rPr>
        <w:t xml:space="preserve"> при осуществлении административных процедур (приложение № 5 к указанному соглашению о взаимодействии)</w:t>
      </w:r>
      <w:r w:rsidR="007A0BB3" w:rsidRPr="007A0BB3">
        <w:rPr>
          <w:color w:val="000000"/>
          <w:spacing w:val="4"/>
          <w:sz w:val="24"/>
          <w:szCs w:val="24"/>
        </w:rPr>
        <w:t xml:space="preserve"> не предусмотрен.</w:t>
      </w:r>
    </w:p>
    <w:p w:rsidR="00424F91" w:rsidRDefault="00424F91" w:rsidP="00424F91">
      <w:pPr>
        <w:pStyle w:val="afa"/>
        <w:ind w:firstLine="680"/>
        <w:jc w:val="both"/>
      </w:pPr>
    </w:p>
    <w:p w:rsidR="00662102" w:rsidRDefault="00662102" w:rsidP="00662102">
      <w:pPr>
        <w:ind w:firstLine="709"/>
        <w:jc w:val="both"/>
        <w:rPr>
          <w:b/>
        </w:rPr>
      </w:pPr>
      <w:r>
        <w:rPr>
          <w:b/>
        </w:rPr>
        <w:t>На основании вышеизложенного контрольно-счетная палата Волгоградской области</w:t>
      </w:r>
      <w:r>
        <w:t xml:space="preserve"> </w:t>
      </w:r>
      <w:r>
        <w:rPr>
          <w:b/>
        </w:rPr>
        <w:t>предлагает:</w:t>
      </w:r>
    </w:p>
    <w:p w:rsidR="00662102" w:rsidRDefault="00662102" w:rsidP="00662102">
      <w:pPr>
        <w:ind w:firstLine="680"/>
        <w:jc w:val="both"/>
        <w:rPr>
          <w:rFonts w:eastAsiaTheme="minorHAnsi"/>
          <w:b/>
          <w:bCs/>
          <w:u w:val="single"/>
          <w:lang w:eastAsia="en-US"/>
        </w:rPr>
      </w:pPr>
      <w:r>
        <w:rPr>
          <w:rFonts w:eastAsiaTheme="minorHAnsi"/>
          <w:b/>
          <w:bCs/>
          <w:u w:val="single"/>
          <w:lang w:eastAsia="en-US"/>
        </w:rPr>
        <w:t>Комитету экономической политики и развития Волгоградской области</w:t>
      </w:r>
    </w:p>
    <w:p w:rsidR="00662102" w:rsidRPr="00617F69" w:rsidRDefault="00662102" w:rsidP="00662102">
      <w:pPr>
        <w:pStyle w:val="af8"/>
        <w:numPr>
          <w:ilvl w:val="0"/>
          <w:numId w:val="27"/>
        </w:numPr>
        <w:autoSpaceDE w:val="0"/>
        <w:autoSpaceDN w:val="0"/>
        <w:adjustRightInd w:val="0"/>
        <w:ind w:left="0" w:firstLine="680"/>
        <w:jc w:val="both"/>
        <w:rPr>
          <w:rFonts w:eastAsiaTheme="minorHAnsi"/>
          <w:bCs/>
          <w:lang w:eastAsia="en-US"/>
        </w:rPr>
      </w:pPr>
      <w:r w:rsidRPr="00450D99">
        <w:t xml:space="preserve">В целях расширения перечня </w:t>
      </w:r>
      <w:r w:rsidRPr="00617F69">
        <w:rPr>
          <w:rFonts w:eastAsiaTheme="minorHAnsi"/>
          <w:bCs/>
          <w:lang w:eastAsia="en-US"/>
        </w:rPr>
        <w:t xml:space="preserve">государственных услуг, предоставление которых организуется в многофункциональных центрах предоставления государственных и муниципальных услуг, инициировать рассмотрение на комиссии по проведению административной реформы в Волгоградской области вопроса </w:t>
      </w:r>
      <w:r w:rsidRPr="00574694">
        <w:rPr>
          <w:rFonts w:eastAsiaTheme="minorHAnsi"/>
          <w:bCs/>
          <w:lang w:eastAsia="en-US"/>
        </w:rPr>
        <w:t xml:space="preserve">активизации </w:t>
      </w:r>
      <w:r w:rsidR="00B952BF" w:rsidRPr="00574694">
        <w:rPr>
          <w:rFonts w:eastAsiaTheme="minorHAnsi"/>
          <w:bCs/>
          <w:lang w:eastAsia="en-US"/>
        </w:rPr>
        <w:t>отдельными</w:t>
      </w:r>
      <w:r w:rsidR="00B952BF">
        <w:rPr>
          <w:rFonts w:eastAsiaTheme="minorHAnsi"/>
          <w:bCs/>
          <w:lang w:eastAsia="en-US"/>
        </w:rPr>
        <w:t xml:space="preserve"> </w:t>
      </w:r>
      <w:r w:rsidRPr="00617F69">
        <w:rPr>
          <w:rFonts w:eastAsiaTheme="minorHAnsi"/>
          <w:bCs/>
          <w:lang w:eastAsia="en-US"/>
        </w:rPr>
        <w:t xml:space="preserve">органами исполнительной власти Волгоградской области работы </w:t>
      </w:r>
      <w:r w:rsidRPr="002B533E">
        <w:t xml:space="preserve">по увеличению перечня государственных услуг, предоставление которых организуется в МФЦ, утвержденного постановлением </w:t>
      </w:r>
      <w:r w:rsidRPr="00617F69">
        <w:rPr>
          <w:rFonts w:eastAsiaTheme="minorHAnsi"/>
          <w:bCs/>
          <w:lang w:eastAsia="en-US"/>
        </w:rPr>
        <w:t>Правительства Волгоградской области от 25.09.2012 № 385-п.</w:t>
      </w:r>
    </w:p>
    <w:p w:rsidR="00662102" w:rsidRPr="00E77552" w:rsidRDefault="00662102" w:rsidP="00662102">
      <w:pPr>
        <w:pStyle w:val="af8"/>
        <w:numPr>
          <w:ilvl w:val="0"/>
          <w:numId w:val="27"/>
        </w:numPr>
        <w:ind w:left="0" w:firstLine="680"/>
        <w:jc w:val="both"/>
        <w:rPr>
          <w:rFonts w:eastAsiaTheme="minorHAnsi"/>
          <w:bCs/>
          <w:lang w:eastAsia="en-US"/>
        </w:rPr>
      </w:pPr>
      <w:r w:rsidRPr="006140D7">
        <w:rPr>
          <w:rFonts w:eastAsiaTheme="minorHAnsi"/>
          <w:bCs/>
          <w:lang w:eastAsia="en-US"/>
        </w:rPr>
        <w:t>В целях обеспечения реалистичности оценки качества предоставления государственных и муниципальных услуг на территории Волгоградской области рассмотреть вопро</w:t>
      </w:r>
      <w:r>
        <w:rPr>
          <w:rFonts w:eastAsiaTheme="minorHAnsi"/>
          <w:bCs/>
          <w:lang w:eastAsia="en-US"/>
        </w:rPr>
        <w:t>с о</w:t>
      </w:r>
      <w:r w:rsidRPr="006140D7">
        <w:rPr>
          <w:rFonts w:eastAsiaTheme="minorHAnsi"/>
          <w:bCs/>
          <w:lang w:eastAsia="en-US"/>
        </w:rPr>
        <w:t xml:space="preserve">б изменении Программы проведения мониторинга с учетом </w:t>
      </w:r>
      <w:r>
        <w:rPr>
          <w:rFonts w:eastAsiaTheme="minorHAnsi"/>
          <w:bCs/>
          <w:lang w:eastAsia="en-US"/>
        </w:rPr>
        <w:t xml:space="preserve">положений </w:t>
      </w:r>
      <w:r w:rsidRPr="006140D7">
        <w:rPr>
          <w:rFonts w:eastAsiaTheme="minorHAnsi"/>
          <w:lang w:eastAsia="en-US"/>
        </w:rPr>
        <w:t>постановлени</w:t>
      </w:r>
      <w:r>
        <w:rPr>
          <w:rFonts w:eastAsiaTheme="minorHAnsi"/>
          <w:lang w:eastAsia="en-US"/>
        </w:rPr>
        <w:t>я</w:t>
      </w:r>
      <w:r w:rsidRPr="006140D7">
        <w:rPr>
          <w:rFonts w:eastAsiaTheme="minorHAnsi"/>
          <w:lang w:eastAsia="en-US"/>
        </w:rPr>
        <w:t xml:space="preserve"> Правительства РФ от 12.12.2012 № 1284 «</w:t>
      </w:r>
      <w:r w:rsidRPr="00E77552">
        <w:rPr>
          <w:rFonts w:eastAsiaTheme="minorHAnsi"/>
          <w:lang w:eastAsia="en-US"/>
        </w:rPr>
        <w:t>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</w:t>
      </w:r>
      <w:r>
        <w:rPr>
          <w:rFonts w:eastAsiaTheme="minorHAnsi"/>
          <w:lang w:eastAsia="en-US"/>
        </w:rPr>
        <w:t xml:space="preserve"> своих должностных обязанностей</w:t>
      </w:r>
      <w:r w:rsidRPr="00E71B09">
        <w:t>»</w:t>
      </w:r>
      <w:r>
        <w:t>.</w:t>
      </w:r>
    </w:p>
    <w:p w:rsidR="00662102" w:rsidRPr="009360D8" w:rsidRDefault="00662102" w:rsidP="00662102">
      <w:pPr>
        <w:pStyle w:val="af8"/>
        <w:numPr>
          <w:ilvl w:val="0"/>
          <w:numId w:val="27"/>
        </w:numPr>
        <w:ind w:left="0" w:firstLine="680"/>
        <w:jc w:val="both"/>
        <w:rPr>
          <w:rFonts w:eastAsiaTheme="minorHAnsi"/>
          <w:i/>
          <w:lang w:eastAsia="en-US"/>
        </w:rPr>
      </w:pPr>
      <w:r w:rsidRPr="00E71B09">
        <w:rPr>
          <w:rFonts w:eastAsiaTheme="minorHAnsi"/>
          <w:bCs/>
          <w:lang w:eastAsia="en-US"/>
        </w:rPr>
        <w:t>С учетом достижения плановых значений (в т.ч. полного исполнения) показателей</w:t>
      </w:r>
      <w:r w:rsidRPr="009360D8">
        <w:rPr>
          <w:rFonts w:eastAsiaTheme="minorHAnsi"/>
          <w:bCs/>
          <w:lang w:eastAsia="en-US"/>
        </w:rPr>
        <w:t xml:space="preserve"> Подпрограммы в проверяемом периоде рассмотреть вопрос о корректировке плановых значений </w:t>
      </w:r>
      <w:r>
        <w:rPr>
          <w:rFonts w:eastAsiaTheme="minorHAnsi"/>
          <w:bCs/>
          <w:lang w:eastAsia="en-US"/>
        </w:rPr>
        <w:t xml:space="preserve">целевого </w:t>
      </w:r>
      <w:r w:rsidRPr="009360D8">
        <w:rPr>
          <w:rFonts w:eastAsiaTheme="minorHAnsi"/>
          <w:bCs/>
          <w:lang w:eastAsia="en-US"/>
        </w:rPr>
        <w:t xml:space="preserve">показателя </w:t>
      </w:r>
      <w:r w:rsidRPr="009360D8">
        <w:rPr>
          <w:i/>
        </w:rPr>
        <w:t xml:space="preserve">доли МФЦ, территориально обособленных структурных подразделений и привлекаемых организаций, предоставляющих услуги, в которых обеспечивается предоставление специализированных услуг для предпринимателей </w:t>
      </w:r>
      <w:r w:rsidRPr="009360D8">
        <w:rPr>
          <w:rFonts w:eastAsiaTheme="minorHAnsi"/>
          <w:bCs/>
          <w:lang w:eastAsia="en-US"/>
        </w:rPr>
        <w:t>на 2020-2024 годы</w:t>
      </w:r>
      <w:r>
        <w:rPr>
          <w:rFonts w:eastAsiaTheme="minorHAnsi"/>
          <w:bCs/>
          <w:lang w:eastAsia="en-US"/>
        </w:rPr>
        <w:t xml:space="preserve"> </w:t>
      </w:r>
      <w:r>
        <w:t xml:space="preserve">и ожидаемого результата в виде </w:t>
      </w:r>
      <w:r w:rsidRPr="009360D8">
        <w:rPr>
          <w:i/>
        </w:rPr>
        <w:t>д</w:t>
      </w:r>
      <w:r w:rsidRPr="009360D8">
        <w:rPr>
          <w:rFonts w:eastAsiaTheme="minorHAnsi"/>
          <w:i/>
          <w:lang w:eastAsia="en-US"/>
        </w:rPr>
        <w:t>оли государственных услуг, предполагающих поступление государственной пошлины (платы) в областной бюджет, предоставленных в МФЦ и иных организациях, привлекаемых к реализации функций МФЦ, в общем количестве государственных услуг, предоставленных органами исполнительной власти Волгоградской области</w:t>
      </w:r>
      <w:r>
        <w:rPr>
          <w:rFonts w:eastAsiaTheme="minorHAnsi"/>
          <w:i/>
          <w:lang w:eastAsia="en-US"/>
        </w:rPr>
        <w:t xml:space="preserve"> </w:t>
      </w:r>
      <w:r w:rsidR="0039143F" w:rsidRPr="0039143F">
        <w:rPr>
          <w:rFonts w:eastAsiaTheme="minorHAnsi"/>
          <w:lang w:eastAsia="en-US"/>
        </w:rPr>
        <w:t>в</w:t>
      </w:r>
      <w:r>
        <w:t xml:space="preserve"> 2024 году.</w:t>
      </w:r>
    </w:p>
    <w:p w:rsidR="00662102" w:rsidRPr="009B382B" w:rsidRDefault="00662102" w:rsidP="00662102">
      <w:pPr>
        <w:pStyle w:val="ConsPlusNormal"/>
        <w:numPr>
          <w:ilvl w:val="0"/>
          <w:numId w:val="27"/>
        </w:numPr>
        <w:ind w:left="0" w:firstLine="68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Разработать и утвердить</w:t>
      </w:r>
      <w:r w:rsidRPr="00E8712B">
        <w:rPr>
          <w:rFonts w:ascii="Times New Roman" w:hAnsi="Times New Roman" w:cs="Times New Roman"/>
          <w:sz w:val="24"/>
          <w:szCs w:val="24"/>
        </w:rPr>
        <w:t xml:space="preserve"> порядок составления, утверждения и ведения бюджетных смет подведомственных казенных учреждений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62102" w:rsidRPr="009B382B" w:rsidRDefault="00662102" w:rsidP="00662102">
      <w:pPr>
        <w:pStyle w:val="ConsPlusNormal"/>
        <w:numPr>
          <w:ilvl w:val="0"/>
          <w:numId w:val="27"/>
        </w:numPr>
        <w:ind w:left="0" w:firstLine="68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Разработать и утвердить </w:t>
      </w:r>
      <w:r w:rsidRPr="00E8712B">
        <w:rPr>
          <w:rFonts w:ascii="Times New Roman" w:hAnsi="Times New Roman" w:cs="Times New Roman"/>
          <w:sz w:val="24"/>
          <w:szCs w:val="24"/>
        </w:rPr>
        <w:t>порядок принятия решений о признании безнадежной к взысканию задолженности по платежам в бюджет, предусмотренный</w:t>
      </w:r>
      <w:r w:rsidRPr="00E871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8712B">
        <w:rPr>
          <w:rFonts w:ascii="Times New Roman" w:hAnsi="Times New Roman" w:cs="Times New Roman"/>
          <w:sz w:val="24"/>
          <w:szCs w:val="24"/>
        </w:rPr>
        <w:t xml:space="preserve">п.4 ст. </w:t>
      </w:r>
      <w:hyperlink r:id="rId21" w:history="1">
        <w:r w:rsidRPr="00E8712B">
          <w:rPr>
            <w:rFonts w:ascii="Times New Roman" w:hAnsi="Times New Roman" w:cs="Times New Roman"/>
            <w:color w:val="000000"/>
            <w:sz w:val="24"/>
            <w:szCs w:val="24"/>
          </w:rPr>
          <w:t>47.2</w:t>
        </w:r>
      </w:hyperlink>
      <w:r w:rsidRPr="00E8712B">
        <w:rPr>
          <w:rFonts w:ascii="Times New Roman" w:hAnsi="Times New Roman" w:cs="Times New Roman"/>
          <w:color w:val="000000"/>
          <w:sz w:val="24"/>
          <w:szCs w:val="24"/>
        </w:rPr>
        <w:t xml:space="preserve"> БК</w:t>
      </w:r>
      <w:r w:rsidR="00D4631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46315">
        <w:rPr>
          <w:rFonts w:ascii="Times New Roman" w:hAnsi="Times New Roman" w:cs="Times New Roman"/>
          <w:color w:val="000000"/>
          <w:sz w:val="24"/>
          <w:szCs w:val="24"/>
        </w:rPr>
        <w:t>РФ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62102" w:rsidRPr="00512DA9" w:rsidRDefault="00662102" w:rsidP="00662102">
      <w:pPr>
        <w:pStyle w:val="afa"/>
        <w:numPr>
          <w:ilvl w:val="0"/>
          <w:numId w:val="27"/>
        </w:numPr>
        <w:ind w:left="0" w:firstLine="680"/>
        <w:jc w:val="both"/>
        <w:rPr>
          <w:sz w:val="24"/>
          <w:szCs w:val="24"/>
        </w:rPr>
      </w:pPr>
      <w:r w:rsidRPr="009360D8">
        <w:rPr>
          <w:sz w:val="24"/>
          <w:szCs w:val="24"/>
        </w:rPr>
        <w:lastRenderedPageBreak/>
        <w:t xml:space="preserve">В целях оптимизации расходов на содержание </w:t>
      </w:r>
      <w:r w:rsidRPr="00512DA9">
        <w:rPr>
          <w:rFonts w:eastAsiaTheme="minorHAnsi"/>
          <w:bCs/>
          <w:sz w:val="24"/>
          <w:szCs w:val="24"/>
          <w:lang w:eastAsia="en-US"/>
        </w:rPr>
        <w:t>ГКУ</w:t>
      </w:r>
      <w:r w:rsidRPr="00512DA9">
        <w:rPr>
          <w:rFonts w:eastAsiaTheme="minorHAnsi"/>
          <w:bCs/>
          <w:lang w:eastAsia="en-US"/>
        </w:rPr>
        <w:t xml:space="preserve"> </w:t>
      </w:r>
      <w:r w:rsidRPr="009360D8">
        <w:rPr>
          <w:sz w:val="24"/>
          <w:szCs w:val="24"/>
        </w:rPr>
        <w:t xml:space="preserve">«МФЦ» </w:t>
      </w:r>
      <w:r>
        <w:rPr>
          <w:sz w:val="24"/>
          <w:szCs w:val="24"/>
        </w:rPr>
        <w:t>повторно обратиться в Минэкономразвития России с вопросом о необходимости</w:t>
      </w:r>
      <w:r w:rsidRPr="009360D8">
        <w:rPr>
          <w:sz w:val="24"/>
          <w:szCs w:val="24"/>
        </w:rPr>
        <w:t xml:space="preserve"> сокращении окон обслуживания </w:t>
      </w:r>
      <w:r>
        <w:rPr>
          <w:sz w:val="24"/>
          <w:szCs w:val="24"/>
        </w:rPr>
        <w:t>и обоснованием причины сокращения (</w:t>
      </w:r>
      <w:proofErr w:type="spellStart"/>
      <w:r>
        <w:rPr>
          <w:sz w:val="24"/>
          <w:szCs w:val="24"/>
        </w:rPr>
        <w:t>невостребованность</w:t>
      </w:r>
      <w:proofErr w:type="spellEnd"/>
      <w:r>
        <w:rPr>
          <w:sz w:val="24"/>
          <w:szCs w:val="24"/>
        </w:rPr>
        <w:t xml:space="preserve"> услуг) с </w:t>
      </w:r>
      <w:r w:rsidRPr="00512DA9">
        <w:rPr>
          <w:sz w:val="24"/>
          <w:szCs w:val="24"/>
        </w:rPr>
        <w:t>указанием объема предполагаемых к сокращению расходов, а также аргументировать</w:t>
      </w:r>
      <w:r>
        <w:rPr>
          <w:sz w:val="24"/>
          <w:szCs w:val="24"/>
        </w:rPr>
        <w:t xml:space="preserve"> тем</w:t>
      </w:r>
      <w:r w:rsidRPr="00512DA9">
        <w:rPr>
          <w:sz w:val="24"/>
          <w:szCs w:val="24"/>
        </w:rPr>
        <w:t>, что процесс сокращени</w:t>
      </w:r>
      <w:r>
        <w:rPr>
          <w:sz w:val="24"/>
          <w:szCs w:val="24"/>
        </w:rPr>
        <w:t>я</w:t>
      </w:r>
      <w:r w:rsidRPr="00512DA9">
        <w:rPr>
          <w:sz w:val="24"/>
          <w:szCs w:val="24"/>
        </w:rPr>
        <w:t xml:space="preserve"> не повлияет на ухудшение показател</w:t>
      </w:r>
      <w:r>
        <w:rPr>
          <w:sz w:val="24"/>
          <w:szCs w:val="24"/>
        </w:rPr>
        <w:t>я</w:t>
      </w:r>
      <w:r w:rsidRPr="004D207A">
        <w:rPr>
          <w:i/>
          <w:sz w:val="24"/>
          <w:szCs w:val="24"/>
        </w:rPr>
        <w:t xml:space="preserve"> </w:t>
      </w:r>
      <w:r w:rsidRPr="00D126FA">
        <w:rPr>
          <w:sz w:val="24"/>
          <w:szCs w:val="24"/>
        </w:rPr>
        <w:t>доли граждан, имеющих доступ к получению государственных и муниципальных услуг по принципу «одного окна» по месту пребывания, предусмотренного</w:t>
      </w:r>
      <w:r>
        <w:rPr>
          <w:i/>
          <w:sz w:val="24"/>
          <w:szCs w:val="24"/>
        </w:rPr>
        <w:t xml:space="preserve"> </w:t>
      </w:r>
      <w:r w:rsidRPr="00512DA9">
        <w:rPr>
          <w:sz w:val="24"/>
          <w:szCs w:val="24"/>
        </w:rPr>
        <w:t xml:space="preserve"> Указом № 601.</w:t>
      </w:r>
    </w:p>
    <w:p w:rsidR="00662102" w:rsidRPr="00E2343A" w:rsidRDefault="00662102" w:rsidP="00662102">
      <w:pPr>
        <w:jc w:val="both"/>
        <w:rPr>
          <w:u w:val="single"/>
        </w:rPr>
      </w:pPr>
    </w:p>
    <w:p w:rsidR="00662102" w:rsidRDefault="00662102" w:rsidP="00662102">
      <w:pPr>
        <w:ind w:firstLine="680"/>
        <w:jc w:val="both"/>
      </w:pPr>
      <w:r w:rsidRPr="00E2343A">
        <w:rPr>
          <w:rFonts w:eastAsiaTheme="minorHAnsi"/>
          <w:b/>
          <w:bCs/>
          <w:u w:val="single"/>
          <w:lang w:eastAsia="en-US"/>
        </w:rPr>
        <w:t xml:space="preserve">ГКУ </w:t>
      </w:r>
      <w:r w:rsidRPr="00E2343A">
        <w:rPr>
          <w:b/>
          <w:u w:val="single"/>
        </w:rPr>
        <w:t>«МФЦ»</w:t>
      </w:r>
      <w:r w:rsidRPr="00063D51">
        <w:t>:</w:t>
      </w:r>
    </w:p>
    <w:p w:rsidR="00662102" w:rsidRPr="00115452" w:rsidRDefault="00662102" w:rsidP="00662102">
      <w:pPr>
        <w:pStyle w:val="af8"/>
        <w:numPr>
          <w:ilvl w:val="0"/>
          <w:numId w:val="30"/>
        </w:numPr>
        <w:autoSpaceDE w:val="0"/>
        <w:autoSpaceDN w:val="0"/>
        <w:adjustRightInd w:val="0"/>
        <w:ind w:left="0" w:firstLine="680"/>
        <w:jc w:val="both"/>
      </w:pPr>
      <w:r>
        <w:t xml:space="preserve">Обеспечить исполнение полномочий </w:t>
      </w:r>
      <w:r w:rsidRPr="004517D9">
        <w:rPr>
          <w:color w:val="000000"/>
        </w:rPr>
        <w:t xml:space="preserve">администратора доходов бюджета, предусмотренные п.2 ст.160.1 БК РФ, по </w:t>
      </w:r>
      <w:r w:rsidRPr="00680078">
        <w:t xml:space="preserve">контролю за полнотой и своевременностью осуществления платежей в бюджет, взысканию задолженности по </w:t>
      </w:r>
      <w:proofErr w:type="spellStart"/>
      <w:r w:rsidRPr="00680078">
        <w:t>администрируемым</w:t>
      </w:r>
      <w:proofErr w:type="spellEnd"/>
      <w:r w:rsidRPr="00680078">
        <w:t xml:space="preserve"> </w:t>
      </w:r>
      <w:r w:rsidRPr="00115452">
        <w:t xml:space="preserve">доходам (доходам от оказания платных услуг и штрафам, санкциям, возмещению ущерба). Начислить и предъявить </w:t>
      </w:r>
      <w:r w:rsidRPr="00115452">
        <w:rPr>
          <w:color w:val="000000"/>
        </w:rPr>
        <w:t>должникам п</w:t>
      </w:r>
      <w:r w:rsidRPr="00115452">
        <w:rPr>
          <w:rFonts w:eastAsia="Times New Roman"/>
        </w:rPr>
        <w:t>редусмотренную договорами неустойку</w:t>
      </w:r>
      <w:r w:rsidRPr="00115452">
        <w:t xml:space="preserve">, либо пени. </w:t>
      </w:r>
    </w:p>
    <w:p w:rsidR="00115452" w:rsidRPr="00115452" w:rsidRDefault="00662102" w:rsidP="00662102">
      <w:pPr>
        <w:pStyle w:val="af8"/>
        <w:numPr>
          <w:ilvl w:val="0"/>
          <w:numId w:val="30"/>
        </w:numPr>
        <w:ind w:left="0" w:firstLine="680"/>
        <w:jc w:val="both"/>
      </w:pPr>
      <w:r w:rsidRPr="00115452">
        <w:t xml:space="preserve">Обеспечить исполнение условий соглашений о взаимодействии с органами исполнительной власти Волгоградской области в части направления электронных документов (прикрепления </w:t>
      </w:r>
      <w:proofErr w:type="spellStart"/>
      <w:r w:rsidRPr="00115452">
        <w:t>скан-образов</w:t>
      </w:r>
      <w:proofErr w:type="spellEnd"/>
      <w:r w:rsidRPr="00115452">
        <w:t xml:space="preserve"> всех документов, предоставляемых в соответствии с административным регламентом). </w:t>
      </w:r>
    </w:p>
    <w:p w:rsidR="00662102" w:rsidRPr="00115452" w:rsidRDefault="00662102" w:rsidP="00662102">
      <w:pPr>
        <w:pStyle w:val="af8"/>
        <w:numPr>
          <w:ilvl w:val="0"/>
          <w:numId w:val="30"/>
        </w:numPr>
        <w:ind w:left="0" w:firstLine="680"/>
        <w:jc w:val="both"/>
      </w:pPr>
      <w:r w:rsidRPr="00115452">
        <w:t>Обеспечить соблюдение принципа конкуренции при осуществлении закупок, определенного в ст.8 Федерального закона</w:t>
      </w:r>
      <w:r w:rsidRPr="00115452">
        <w:rPr>
          <w:bCs/>
        </w:rPr>
        <w:t xml:space="preserve"> от 05.04.2013 № 44-ФЗ «О контрактной систем системе в сфере закупок товаров, работ, услуг для обеспечения государственных и муниципальных нужд».</w:t>
      </w:r>
    </w:p>
    <w:p w:rsidR="00662102" w:rsidRDefault="00662102" w:rsidP="00662102">
      <w:pPr>
        <w:pStyle w:val="af8"/>
        <w:numPr>
          <w:ilvl w:val="0"/>
          <w:numId w:val="30"/>
        </w:numPr>
        <w:ind w:left="0" w:firstLine="680"/>
        <w:jc w:val="both"/>
      </w:pPr>
      <w:r>
        <w:t xml:space="preserve">Определить справедливую (рыночную) стоимость арендных платежей для отражения в бухгалтерском учете прав пользования </w:t>
      </w:r>
      <w:r w:rsidRPr="00931439">
        <w:rPr>
          <w:rFonts w:eastAsia="Times New Roman"/>
        </w:rPr>
        <w:t xml:space="preserve">нежилыми помещениями ГКУ </w:t>
      </w:r>
      <w:r w:rsidRPr="00D21C10">
        <w:t>«МФЦ»</w:t>
      </w:r>
      <w:r w:rsidRPr="00931439">
        <w:rPr>
          <w:rFonts w:eastAsia="Times New Roman"/>
        </w:rPr>
        <w:t xml:space="preserve"> права пользования нежилыми помещениями по 7-ми договорам безвозмездного пользования.</w:t>
      </w:r>
    </w:p>
    <w:p w:rsidR="00662102" w:rsidRPr="00795195" w:rsidRDefault="00662102" w:rsidP="00662102">
      <w:pPr>
        <w:pStyle w:val="af8"/>
        <w:numPr>
          <w:ilvl w:val="0"/>
          <w:numId w:val="30"/>
        </w:numPr>
        <w:ind w:left="0" w:firstLine="680"/>
        <w:jc w:val="both"/>
      </w:pPr>
      <w:r>
        <w:t>Со</w:t>
      </w:r>
      <w:r w:rsidRPr="00512DA9">
        <w:t xml:space="preserve">вместно с комитетом социальной защиты населения Волгоградской области </w:t>
      </w:r>
      <w:r w:rsidRPr="00795195">
        <w:t xml:space="preserve">внести изменения в </w:t>
      </w:r>
      <w:r>
        <w:t xml:space="preserve">приложение 5 </w:t>
      </w:r>
      <w:r w:rsidRPr="008B45BD">
        <w:rPr>
          <w:bCs/>
        </w:rPr>
        <w:t>«</w:t>
      </w:r>
      <w:r>
        <w:t xml:space="preserve">Порядок </w:t>
      </w:r>
      <w:r w:rsidRPr="008B45BD">
        <w:rPr>
          <w:color w:val="000000"/>
          <w:spacing w:val="-5"/>
        </w:rPr>
        <w:t>осуществления административных процедур</w:t>
      </w:r>
      <w:r w:rsidRPr="008B45BD">
        <w:rPr>
          <w:bCs/>
        </w:rPr>
        <w:t xml:space="preserve"> при предоставлении государственных услуг комитета социальной защиты населения Волгоградской области в подразделениях государственного казенного учреждения Волгоградской области «Многофункциональный центр предоставления государственных и муниципальных услуг»</w:t>
      </w:r>
      <w:r w:rsidRPr="008B45BD">
        <w:rPr>
          <w:b/>
          <w:bCs/>
        </w:rPr>
        <w:t xml:space="preserve"> </w:t>
      </w:r>
      <w:r>
        <w:t xml:space="preserve">к </w:t>
      </w:r>
      <w:r w:rsidRPr="00795195">
        <w:t>соглашени</w:t>
      </w:r>
      <w:r>
        <w:t>ю</w:t>
      </w:r>
      <w:r w:rsidRPr="00795195">
        <w:t xml:space="preserve"> </w:t>
      </w:r>
      <w:r>
        <w:t xml:space="preserve">о взаимодействии </w:t>
      </w:r>
      <w:r w:rsidRPr="008B45BD">
        <w:rPr>
          <w:bCs/>
          <w:spacing w:val="-2"/>
        </w:rPr>
        <w:t xml:space="preserve">от </w:t>
      </w:r>
      <w:r w:rsidRPr="0084218B">
        <w:rPr>
          <w:spacing w:val="4"/>
        </w:rPr>
        <w:t xml:space="preserve">22.05.2018 № 22-РОИВ, предусмотрев передачу ГКУ </w:t>
      </w:r>
      <w:r w:rsidRPr="0084218B">
        <w:t xml:space="preserve">«МФЦ» </w:t>
      </w:r>
      <w:r w:rsidRPr="0084218B">
        <w:rPr>
          <w:spacing w:val="4"/>
        </w:rPr>
        <w:t>документов в электронном</w:t>
      </w:r>
      <w:r w:rsidRPr="008B45BD">
        <w:rPr>
          <w:spacing w:val="4"/>
        </w:rPr>
        <w:t xml:space="preserve"> виде (</w:t>
      </w:r>
      <w:proofErr w:type="spellStart"/>
      <w:r w:rsidRPr="008B45BD">
        <w:rPr>
          <w:spacing w:val="4"/>
        </w:rPr>
        <w:t>скан-образов</w:t>
      </w:r>
      <w:proofErr w:type="spellEnd"/>
      <w:r w:rsidRPr="008B45BD">
        <w:rPr>
          <w:spacing w:val="4"/>
        </w:rPr>
        <w:t xml:space="preserve"> </w:t>
      </w:r>
      <w:r>
        <w:rPr>
          <w:spacing w:val="4"/>
        </w:rPr>
        <w:t>комплекта</w:t>
      </w:r>
      <w:r w:rsidRPr="008B45BD">
        <w:rPr>
          <w:spacing w:val="4"/>
        </w:rPr>
        <w:t xml:space="preserve"> документов).</w:t>
      </w:r>
    </w:p>
    <w:p w:rsidR="00662102" w:rsidRDefault="00662102" w:rsidP="00662102">
      <w:pPr>
        <w:jc w:val="both"/>
      </w:pPr>
    </w:p>
    <w:p w:rsidR="00662102" w:rsidRDefault="00662102" w:rsidP="00662102">
      <w:pPr>
        <w:jc w:val="both"/>
      </w:pPr>
      <w:r>
        <w:tab/>
      </w:r>
      <w:r w:rsidRPr="00E2343A">
        <w:rPr>
          <w:b/>
          <w:u w:val="single"/>
        </w:rPr>
        <w:t>Комитету социальной защиты населения Волгоградской области и комитету по управлению государственным имуществом Волгоградской области</w:t>
      </w:r>
      <w:r w:rsidRPr="002C5DBD">
        <w:rPr>
          <w:b/>
        </w:rPr>
        <w:t xml:space="preserve"> </w:t>
      </w:r>
      <w:r w:rsidRPr="00D351A9">
        <w:t>в</w:t>
      </w:r>
      <w:r>
        <w:t xml:space="preserve"> целях надлежащего функционирования </w:t>
      </w:r>
      <w:r w:rsidRPr="001C53C1">
        <w:t>государственной информационной системы «Контроль исполнения административных регламентов предоставления государственных и муниципальных услуг Волгоградской</w:t>
      </w:r>
      <w:r w:rsidRPr="00BF7094">
        <w:t xml:space="preserve"> области»</w:t>
      </w:r>
      <w:r w:rsidRPr="00AB2859">
        <w:t xml:space="preserve"> </w:t>
      </w:r>
      <w:r>
        <w:t xml:space="preserve">при сбоях в работе системы, низкой скорости загрузки </w:t>
      </w:r>
      <w:r w:rsidRPr="002C5DBD">
        <w:t xml:space="preserve">обеспечить обращение </w:t>
      </w:r>
      <w:r>
        <w:t xml:space="preserve">в комитет информационных технологий Волгоградской области и ГБУ </w:t>
      </w:r>
      <w:r w:rsidRPr="009360D8">
        <w:t>«</w:t>
      </w:r>
      <w:r>
        <w:t>Центр информационных технологий Волгоградской области</w:t>
      </w:r>
      <w:r w:rsidRPr="009360D8">
        <w:t>»</w:t>
      </w:r>
      <w:r>
        <w:t xml:space="preserve">, осуществляющим технологическое </w:t>
      </w:r>
      <w:r w:rsidRPr="00442D13">
        <w:t>сопровождение (техническую поддержку) ГИС</w:t>
      </w:r>
      <w:r w:rsidRPr="00AB2859">
        <w:t xml:space="preserve"> КИАР</w:t>
      </w:r>
      <w:r>
        <w:t xml:space="preserve">. </w:t>
      </w:r>
    </w:p>
    <w:p w:rsidR="00442D13" w:rsidRDefault="00442D13" w:rsidP="00662102">
      <w:pPr>
        <w:jc w:val="both"/>
      </w:pPr>
    </w:p>
    <w:p w:rsidR="00662102" w:rsidRDefault="00662102" w:rsidP="00662102">
      <w:pPr>
        <w:ind w:firstLine="680"/>
        <w:jc w:val="both"/>
      </w:pPr>
      <w:r w:rsidRPr="0047596F">
        <w:rPr>
          <w:rFonts w:eastAsiaTheme="minorHAnsi"/>
          <w:b/>
          <w:bCs/>
          <w:u w:val="single"/>
          <w:lang w:eastAsia="en-US"/>
        </w:rPr>
        <w:t xml:space="preserve">Комитету </w:t>
      </w:r>
      <w:r w:rsidRPr="0047596F">
        <w:rPr>
          <w:b/>
          <w:u w:val="single"/>
        </w:rPr>
        <w:t>государственной охраны объектов культурного</w:t>
      </w:r>
      <w:r w:rsidR="006B19D4">
        <w:rPr>
          <w:b/>
          <w:u w:val="single"/>
        </w:rPr>
        <w:t xml:space="preserve"> наследия</w:t>
      </w:r>
      <w:r w:rsidRPr="0047596F">
        <w:rPr>
          <w:b/>
          <w:u w:val="single"/>
        </w:rPr>
        <w:t xml:space="preserve"> и комитету здравоохранения Волгоградской области</w:t>
      </w:r>
      <w:r>
        <w:rPr>
          <w:b/>
        </w:rPr>
        <w:t xml:space="preserve"> </w:t>
      </w:r>
      <w:r w:rsidRPr="009C0B5D">
        <w:t>в целях увеличения количества государственных услуг, предоставляемых в МФЦ,</w:t>
      </w:r>
      <w:r>
        <w:rPr>
          <w:b/>
        </w:rPr>
        <w:t xml:space="preserve"> </w:t>
      </w:r>
      <w:r w:rsidRPr="0047596F">
        <w:t xml:space="preserve">ускорить </w:t>
      </w:r>
      <w:r w:rsidRPr="0047596F">
        <w:rPr>
          <w:rFonts w:eastAsiaTheme="minorHAnsi"/>
          <w:bCs/>
          <w:lang w:eastAsia="en-US"/>
        </w:rPr>
        <w:t>процесс заключения с ГКУ</w:t>
      </w:r>
      <w:r>
        <w:rPr>
          <w:rFonts w:eastAsiaTheme="minorHAnsi"/>
          <w:bCs/>
          <w:lang w:eastAsia="en-US"/>
        </w:rPr>
        <w:t xml:space="preserve"> </w:t>
      </w:r>
      <w:r w:rsidRPr="0047596F">
        <w:t xml:space="preserve">«МФЦ» </w:t>
      </w:r>
      <w:r w:rsidRPr="0047596F">
        <w:rPr>
          <w:rFonts w:eastAsiaTheme="minorHAnsi"/>
          <w:bCs/>
          <w:lang w:eastAsia="en-US"/>
        </w:rPr>
        <w:t xml:space="preserve">соглашений о взаимодействии по </w:t>
      </w:r>
      <w:r>
        <w:rPr>
          <w:rFonts w:eastAsiaTheme="minorHAnsi"/>
          <w:bCs/>
          <w:lang w:eastAsia="en-US"/>
        </w:rPr>
        <w:t xml:space="preserve">следующим </w:t>
      </w:r>
      <w:r w:rsidRPr="0047596F">
        <w:rPr>
          <w:rFonts w:eastAsiaTheme="minorHAnsi"/>
          <w:bCs/>
          <w:lang w:eastAsia="en-US"/>
        </w:rPr>
        <w:t>услугам</w:t>
      </w:r>
      <w:r>
        <w:rPr>
          <w:rFonts w:eastAsiaTheme="minorHAnsi"/>
          <w:bCs/>
          <w:lang w:eastAsia="en-US"/>
        </w:rPr>
        <w:t xml:space="preserve">: </w:t>
      </w:r>
      <w:r w:rsidRPr="005B633C">
        <w:t xml:space="preserve">«Выдача разрешения на строительство в соответствии с Градостроительным </w:t>
      </w:r>
      <w:hyperlink r:id="rId22" w:history="1">
        <w:r w:rsidRPr="005B633C">
          <w:t>кодексом</w:t>
        </w:r>
      </w:hyperlink>
      <w:r w:rsidRPr="005B633C">
        <w:t xml:space="preserve"> Российской Федерации»</w:t>
      </w:r>
      <w:r>
        <w:t>,</w:t>
      </w:r>
      <w:r w:rsidRPr="005B633C">
        <w:t xml:space="preserve"> «Выдача разрешения на ввод объекта в эксплуатацию в соответствии с Градостроительным </w:t>
      </w:r>
      <w:hyperlink r:id="rId23" w:history="1">
        <w:r w:rsidRPr="005B633C">
          <w:t>кодексом</w:t>
        </w:r>
      </w:hyperlink>
      <w:r w:rsidRPr="005B633C">
        <w:t xml:space="preserve"> Российской Федерации»</w:t>
      </w:r>
      <w:r>
        <w:t xml:space="preserve"> и </w:t>
      </w:r>
      <w:r w:rsidRPr="00270466">
        <w:t>«Прием заявок (запись) на прием к врачу»</w:t>
      </w:r>
      <w:r>
        <w:t>.</w:t>
      </w:r>
    </w:p>
    <w:p w:rsidR="00BA38FA" w:rsidRDefault="00BA38FA" w:rsidP="00B952BF">
      <w:pPr>
        <w:autoSpaceDE w:val="0"/>
        <w:autoSpaceDN w:val="0"/>
        <w:adjustRightInd w:val="0"/>
        <w:ind w:firstLine="567"/>
        <w:jc w:val="both"/>
        <w:rPr>
          <w:rFonts w:eastAsiaTheme="minorHAnsi"/>
          <w:b/>
          <w:lang w:eastAsia="en-US"/>
        </w:rPr>
      </w:pPr>
    </w:p>
    <w:p w:rsidR="00876579" w:rsidRDefault="00442D13" w:rsidP="00B952BF">
      <w:pPr>
        <w:autoSpaceDE w:val="0"/>
        <w:autoSpaceDN w:val="0"/>
        <w:adjustRightInd w:val="0"/>
        <w:ind w:firstLine="567"/>
        <w:jc w:val="both"/>
        <w:rPr>
          <w:b/>
        </w:rPr>
      </w:pPr>
      <w:r>
        <w:rPr>
          <w:rFonts w:eastAsiaTheme="minorHAnsi"/>
          <w:b/>
          <w:lang w:eastAsia="en-US"/>
        </w:rPr>
        <w:t>А</w:t>
      </w:r>
      <w:r w:rsidR="00876579" w:rsidRPr="0026772F">
        <w:rPr>
          <w:rFonts w:eastAsiaTheme="minorHAnsi"/>
          <w:b/>
          <w:lang w:eastAsia="en-US"/>
        </w:rPr>
        <w:t xml:space="preserve">удитор </w:t>
      </w:r>
      <w:r w:rsidR="00876579" w:rsidRPr="0026772F">
        <w:rPr>
          <w:rFonts w:eastAsiaTheme="minorHAnsi"/>
          <w:b/>
          <w:lang w:eastAsia="en-US"/>
        </w:rPr>
        <w:tab/>
      </w:r>
      <w:r w:rsidR="00876579" w:rsidRPr="0026772F">
        <w:rPr>
          <w:rFonts w:eastAsiaTheme="minorHAnsi"/>
          <w:b/>
          <w:lang w:eastAsia="en-US"/>
        </w:rPr>
        <w:tab/>
      </w:r>
      <w:r w:rsidR="00876579" w:rsidRPr="0026772F">
        <w:rPr>
          <w:rFonts w:eastAsiaTheme="minorHAnsi"/>
          <w:b/>
          <w:lang w:eastAsia="en-US"/>
        </w:rPr>
        <w:tab/>
      </w:r>
      <w:r w:rsidR="00876579" w:rsidRPr="0026772F">
        <w:rPr>
          <w:rFonts w:eastAsiaTheme="minorHAnsi"/>
          <w:b/>
          <w:lang w:eastAsia="en-US"/>
        </w:rPr>
        <w:tab/>
      </w:r>
      <w:r w:rsidR="00876579" w:rsidRPr="0026772F">
        <w:rPr>
          <w:rFonts w:eastAsiaTheme="minorHAnsi"/>
          <w:b/>
          <w:lang w:eastAsia="en-US"/>
        </w:rPr>
        <w:tab/>
      </w:r>
      <w:r w:rsidR="00876579" w:rsidRPr="0026772F">
        <w:rPr>
          <w:rFonts w:eastAsiaTheme="minorHAnsi"/>
          <w:b/>
          <w:lang w:eastAsia="en-US"/>
        </w:rPr>
        <w:tab/>
      </w:r>
      <w:r w:rsidR="00876579" w:rsidRPr="0026772F">
        <w:rPr>
          <w:rFonts w:eastAsiaTheme="minorHAnsi"/>
          <w:b/>
          <w:lang w:eastAsia="en-US"/>
        </w:rPr>
        <w:tab/>
      </w:r>
      <w:r w:rsidR="00876579" w:rsidRPr="0026772F">
        <w:rPr>
          <w:rFonts w:eastAsiaTheme="minorHAnsi"/>
          <w:b/>
          <w:lang w:eastAsia="en-US"/>
        </w:rPr>
        <w:tab/>
        <w:t xml:space="preserve">Н.Л. </w:t>
      </w:r>
      <w:proofErr w:type="spellStart"/>
      <w:r w:rsidR="00876579" w:rsidRPr="0026772F">
        <w:rPr>
          <w:rFonts w:eastAsiaTheme="minorHAnsi"/>
          <w:b/>
          <w:lang w:eastAsia="en-US"/>
        </w:rPr>
        <w:t>Ноздрюхина</w:t>
      </w:r>
      <w:proofErr w:type="spellEnd"/>
    </w:p>
    <w:sectPr w:rsidR="00876579" w:rsidSect="00721F7D">
      <w:headerReference w:type="even" r:id="rId24"/>
      <w:headerReference w:type="default" r:id="rId25"/>
      <w:pgSz w:w="11906" w:h="16838"/>
      <w:pgMar w:top="567" w:right="851" w:bottom="567" w:left="1418" w:header="624" w:footer="62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747A" w:rsidRDefault="0088747A" w:rsidP="004E685D">
      <w:r>
        <w:separator/>
      </w:r>
    </w:p>
  </w:endnote>
  <w:endnote w:type="continuationSeparator" w:id="0">
    <w:p w:rsidR="0088747A" w:rsidRDefault="0088747A" w:rsidP="004E6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747A" w:rsidRDefault="0088747A" w:rsidP="004E685D">
      <w:r>
        <w:separator/>
      </w:r>
    </w:p>
  </w:footnote>
  <w:footnote w:type="continuationSeparator" w:id="0">
    <w:p w:rsidR="0088747A" w:rsidRDefault="0088747A" w:rsidP="004E6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47A" w:rsidRDefault="007C4D4B" w:rsidP="00DE1280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88747A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88747A" w:rsidRDefault="0088747A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47A" w:rsidRPr="00721F7D" w:rsidRDefault="007C4D4B">
    <w:pPr>
      <w:pStyle w:val="ae"/>
      <w:jc w:val="center"/>
    </w:pPr>
    <w:fldSimple w:instr=" PAGE   \* MERGEFORMAT ">
      <w:r w:rsidR="00A074EE">
        <w:rPr>
          <w:noProof/>
        </w:rPr>
        <w:t>23</w:t>
      </w:r>
    </w:fldSimple>
  </w:p>
  <w:p w:rsidR="0088747A" w:rsidRDefault="0088747A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C0D43"/>
    <w:multiLevelType w:val="hybridMultilevel"/>
    <w:tmpl w:val="A7807BEC"/>
    <w:lvl w:ilvl="0" w:tplc="FF3A0F56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4113D6D"/>
    <w:multiLevelType w:val="hybridMultilevel"/>
    <w:tmpl w:val="C3A62D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F90077"/>
    <w:multiLevelType w:val="hybridMultilevel"/>
    <w:tmpl w:val="44DC2DF6"/>
    <w:lvl w:ilvl="0" w:tplc="20F6CB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5CE63A4"/>
    <w:multiLevelType w:val="hybridMultilevel"/>
    <w:tmpl w:val="F0F0D0DE"/>
    <w:lvl w:ilvl="0" w:tplc="155E2266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>
    <w:nsid w:val="069D77B6"/>
    <w:multiLevelType w:val="hybridMultilevel"/>
    <w:tmpl w:val="167CF090"/>
    <w:lvl w:ilvl="0" w:tplc="12A6E6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0AA21839"/>
    <w:multiLevelType w:val="hybridMultilevel"/>
    <w:tmpl w:val="DE666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6E163D"/>
    <w:multiLevelType w:val="hybridMultilevel"/>
    <w:tmpl w:val="E9DE671A"/>
    <w:lvl w:ilvl="0" w:tplc="E9AE6172">
      <w:start w:val="26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5F2342"/>
    <w:multiLevelType w:val="hybridMultilevel"/>
    <w:tmpl w:val="B00C63B8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2C8E7336"/>
    <w:multiLevelType w:val="hybridMultilevel"/>
    <w:tmpl w:val="603A1C88"/>
    <w:lvl w:ilvl="0" w:tplc="04190001">
      <w:start w:val="60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2938E1"/>
    <w:multiLevelType w:val="multilevel"/>
    <w:tmpl w:val="E212725A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80" w:hanging="1800"/>
      </w:pPr>
      <w:rPr>
        <w:rFonts w:hint="default"/>
      </w:rPr>
    </w:lvl>
  </w:abstractNum>
  <w:abstractNum w:abstractNumId="10">
    <w:nsid w:val="33C269D1"/>
    <w:multiLevelType w:val="hybridMultilevel"/>
    <w:tmpl w:val="5EEC1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57273C"/>
    <w:multiLevelType w:val="hybridMultilevel"/>
    <w:tmpl w:val="25FEC65E"/>
    <w:lvl w:ilvl="0" w:tplc="FEEE88BC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2">
    <w:nsid w:val="35484DE9"/>
    <w:multiLevelType w:val="hybridMultilevel"/>
    <w:tmpl w:val="57F0FF7E"/>
    <w:lvl w:ilvl="0" w:tplc="D9CE717E">
      <w:start w:val="265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6575ADB"/>
    <w:multiLevelType w:val="hybridMultilevel"/>
    <w:tmpl w:val="A29490B2"/>
    <w:lvl w:ilvl="0" w:tplc="65CCA9F4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D5A5AC5"/>
    <w:multiLevelType w:val="hybridMultilevel"/>
    <w:tmpl w:val="0DFCF012"/>
    <w:lvl w:ilvl="0" w:tplc="0419000D">
      <w:start w:val="1"/>
      <w:numFmt w:val="bullet"/>
      <w:lvlText w:val=""/>
      <w:lvlJc w:val="left"/>
      <w:pPr>
        <w:ind w:left="14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5">
    <w:nsid w:val="3EB0306F"/>
    <w:multiLevelType w:val="hybridMultilevel"/>
    <w:tmpl w:val="926E1F80"/>
    <w:lvl w:ilvl="0" w:tplc="360A7D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F72384F"/>
    <w:multiLevelType w:val="multilevel"/>
    <w:tmpl w:val="B8ECEA4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17">
    <w:nsid w:val="40FE0E56"/>
    <w:multiLevelType w:val="hybridMultilevel"/>
    <w:tmpl w:val="44D4CC60"/>
    <w:lvl w:ilvl="0" w:tplc="0419000D">
      <w:start w:val="1"/>
      <w:numFmt w:val="bullet"/>
      <w:lvlText w:val=""/>
      <w:lvlJc w:val="left"/>
      <w:pPr>
        <w:ind w:left="588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5E70210"/>
    <w:multiLevelType w:val="hybridMultilevel"/>
    <w:tmpl w:val="CF50B042"/>
    <w:lvl w:ilvl="0" w:tplc="6D64294C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C3D7D33"/>
    <w:multiLevelType w:val="hybridMultilevel"/>
    <w:tmpl w:val="CC9AD240"/>
    <w:lvl w:ilvl="0" w:tplc="BBC89182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>
    <w:nsid w:val="4F01104A"/>
    <w:multiLevelType w:val="hybridMultilevel"/>
    <w:tmpl w:val="8B38476A"/>
    <w:lvl w:ilvl="0" w:tplc="59C2C7E8">
      <w:start w:val="265"/>
      <w:numFmt w:val="bullet"/>
      <w:lvlText w:val=""/>
      <w:lvlJc w:val="left"/>
      <w:pPr>
        <w:ind w:left="104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21">
    <w:nsid w:val="4F3F770A"/>
    <w:multiLevelType w:val="multilevel"/>
    <w:tmpl w:val="27BA559E"/>
    <w:lvl w:ilvl="0">
      <w:start w:val="1"/>
      <w:numFmt w:val="decimal"/>
      <w:suff w:val="space"/>
      <w:lvlText w:val="%1."/>
      <w:lvlJc w:val="left"/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rPr>
        <w:rFonts w:hint="default"/>
      </w:rPr>
    </w:lvl>
    <w:lvl w:ilvl="2">
      <w:start w:val="1"/>
      <w:numFmt w:val="decimal"/>
      <w:suff w:val="space"/>
      <w:lvlText w:val="%1.%2.%3."/>
      <w:lvlJc w:val="left"/>
      <w:rPr>
        <w:rFonts w:hint="default"/>
      </w:rPr>
    </w:lvl>
    <w:lvl w:ilvl="3">
      <w:start w:val="1"/>
      <w:numFmt w:val="decimal"/>
      <w:suff w:val="space"/>
      <w:lvlText w:val="%1.%2.%3.%4."/>
      <w:lvlJc w:val="left"/>
      <w:rPr>
        <w:rFonts w:hint="default"/>
      </w:rPr>
    </w:lvl>
    <w:lvl w:ilvl="4">
      <w:start w:val="1"/>
      <w:numFmt w:val="decimal"/>
      <w:suff w:val="space"/>
      <w:lvlText w:val="%1.%2.%3.%4.%5."/>
      <w:lvlJc w:val="left"/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rPr>
        <w:rFonts w:hint="default"/>
      </w:rPr>
    </w:lvl>
  </w:abstractNum>
  <w:abstractNum w:abstractNumId="22">
    <w:nsid w:val="567F1671"/>
    <w:multiLevelType w:val="multilevel"/>
    <w:tmpl w:val="4EA8D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FD77D75"/>
    <w:multiLevelType w:val="hybridMultilevel"/>
    <w:tmpl w:val="174ADDAA"/>
    <w:lvl w:ilvl="0" w:tplc="E90C2C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62D26373"/>
    <w:multiLevelType w:val="hybridMultilevel"/>
    <w:tmpl w:val="8F206BDE"/>
    <w:lvl w:ilvl="0" w:tplc="3DF8BF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69E0222"/>
    <w:multiLevelType w:val="hybridMultilevel"/>
    <w:tmpl w:val="24A8BA6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3AE2B81"/>
    <w:multiLevelType w:val="hybridMultilevel"/>
    <w:tmpl w:val="6CCEB3F6"/>
    <w:lvl w:ilvl="0" w:tplc="0419000D">
      <w:start w:val="1"/>
      <w:numFmt w:val="bullet"/>
      <w:lvlText w:val=""/>
      <w:lvlJc w:val="left"/>
      <w:pPr>
        <w:ind w:left="14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7">
    <w:nsid w:val="74FD51B2"/>
    <w:multiLevelType w:val="multilevel"/>
    <w:tmpl w:val="AD1CAD8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28">
    <w:nsid w:val="7C120C54"/>
    <w:multiLevelType w:val="multilevel"/>
    <w:tmpl w:val="4D7046FE"/>
    <w:lvl w:ilvl="0">
      <w:start w:val="9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9">
    <w:nsid w:val="7ED32BD4"/>
    <w:multiLevelType w:val="hybridMultilevel"/>
    <w:tmpl w:val="4EA2165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9"/>
  </w:num>
  <w:num w:numId="4">
    <w:abstractNumId w:val="1"/>
  </w:num>
  <w:num w:numId="5">
    <w:abstractNumId w:val="18"/>
  </w:num>
  <w:num w:numId="6">
    <w:abstractNumId w:val="24"/>
  </w:num>
  <w:num w:numId="7">
    <w:abstractNumId w:val="4"/>
  </w:num>
  <w:num w:numId="8">
    <w:abstractNumId w:val="2"/>
  </w:num>
  <w:num w:numId="9">
    <w:abstractNumId w:val="8"/>
  </w:num>
  <w:num w:numId="10">
    <w:abstractNumId w:val="5"/>
  </w:num>
  <w:num w:numId="11">
    <w:abstractNumId w:val="17"/>
  </w:num>
  <w:num w:numId="12">
    <w:abstractNumId w:val="22"/>
  </w:num>
  <w:num w:numId="13">
    <w:abstractNumId w:val="29"/>
  </w:num>
  <w:num w:numId="14">
    <w:abstractNumId w:val="21"/>
  </w:num>
  <w:num w:numId="15">
    <w:abstractNumId w:val="7"/>
  </w:num>
  <w:num w:numId="16">
    <w:abstractNumId w:val="10"/>
  </w:num>
  <w:num w:numId="17">
    <w:abstractNumId w:val="14"/>
  </w:num>
  <w:num w:numId="18">
    <w:abstractNumId w:val="20"/>
  </w:num>
  <w:num w:numId="19">
    <w:abstractNumId w:val="6"/>
  </w:num>
  <w:num w:numId="20">
    <w:abstractNumId w:val="12"/>
  </w:num>
  <w:num w:numId="21">
    <w:abstractNumId w:val="26"/>
  </w:num>
  <w:num w:numId="22">
    <w:abstractNumId w:val="25"/>
  </w:num>
  <w:num w:numId="23">
    <w:abstractNumId w:val="16"/>
  </w:num>
  <w:num w:numId="24">
    <w:abstractNumId w:val="28"/>
  </w:num>
  <w:num w:numId="25">
    <w:abstractNumId w:val="11"/>
  </w:num>
  <w:num w:numId="26">
    <w:abstractNumId w:val="23"/>
  </w:num>
  <w:num w:numId="27">
    <w:abstractNumId w:val="13"/>
  </w:num>
  <w:num w:numId="28">
    <w:abstractNumId w:val="9"/>
  </w:num>
  <w:num w:numId="29">
    <w:abstractNumId w:val="27"/>
  </w:num>
  <w:num w:numId="3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1765"/>
    <w:rsid w:val="00000988"/>
    <w:rsid w:val="00001F5C"/>
    <w:rsid w:val="00003F73"/>
    <w:rsid w:val="00004A30"/>
    <w:rsid w:val="0000500A"/>
    <w:rsid w:val="0000552A"/>
    <w:rsid w:val="00006791"/>
    <w:rsid w:val="00011477"/>
    <w:rsid w:val="00013989"/>
    <w:rsid w:val="000149E9"/>
    <w:rsid w:val="00015261"/>
    <w:rsid w:val="0001536E"/>
    <w:rsid w:val="0001580D"/>
    <w:rsid w:val="0001600A"/>
    <w:rsid w:val="00017DBB"/>
    <w:rsid w:val="000237B1"/>
    <w:rsid w:val="00023DEB"/>
    <w:rsid w:val="0002436C"/>
    <w:rsid w:val="00025F1E"/>
    <w:rsid w:val="000266EB"/>
    <w:rsid w:val="00030725"/>
    <w:rsid w:val="00030AD1"/>
    <w:rsid w:val="00031242"/>
    <w:rsid w:val="00032492"/>
    <w:rsid w:val="00032C53"/>
    <w:rsid w:val="00035CAD"/>
    <w:rsid w:val="00035D3C"/>
    <w:rsid w:val="00040DF5"/>
    <w:rsid w:val="00041BA2"/>
    <w:rsid w:val="0004266E"/>
    <w:rsid w:val="00043CD0"/>
    <w:rsid w:val="000441DA"/>
    <w:rsid w:val="00050A28"/>
    <w:rsid w:val="00051B3F"/>
    <w:rsid w:val="00052672"/>
    <w:rsid w:val="000533EE"/>
    <w:rsid w:val="00053758"/>
    <w:rsid w:val="00053DE8"/>
    <w:rsid w:val="00053F7C"/>
    <w:rsid w:val="00054168"/>
    <w:rsid w:val="00054F18"/>
    <w:rsid w:val="00055989"/>
    <w:rsid w:val="00057592"/>
    <w:rsid w:val="00057895"/>
    <w:rsid w:val="00061595"/>
    <w:rsid w:val="00062388"/>
    <w:rsid w:val="00062A38"/>
    <w:rsid w:val="00063A34"/>
    <w:rsid w:val="00064374"/>
    <w:rsid w:val="00064711"/>
    <w:rsid w:val="000652F7"/>
    <w:rsid w:val="00065A36"/>
    <w:rsid w:val="00067BBA"/>
    <w:rsid w:val="00067F5A"/>
    <w:rsid w:val="00070AEF"/>
    <w:rsid w:val="000716EE"/>
    <w:rsid w:val="00072695"/>
    <w:rsid w:val="00072D61"/>
    <w:rsid w:val="00073032"/>
    <w:rsid w:val="00076293"/>
    <w:rsid w:val="00080889"/>
    <w:rsid w:val="00081BF7"/>
    <w:rsid w:val="0008255A"/>
    <w:rsid w:val="0008396C"/>
    <w:rsid w:val="00083DAA"/>
    <w:rsid w:val="00084558"/>
    <w:rsid w:val="00084BBF"/>
    <w:rsid w:val="00085092"/>
    <w:rsid w:val="00085E43"/>
    <w:rsid w:val="00086229"/>
    <w:rsid w:val="00086CEA"/>
    <w:rsid w:val="00087336"/>
    <w:rsid w:val="000911A2"/>
    <w:rsid w:val="00091A37"/>
    <w:rsid w:val="000929DC"/>
    <w:rsid w:val="00092CC6"/>
    <w:rsid w:val="00092FCE"/>
    <w:rsid w:val="00094836"/>
    <w:rsid w:val="00094AFE"/>
    <w:rsid w:val="00094F0F"/>
    <w:rsid w:val="0009506B"/>
    <w:rsid w:val="000951FE"/>
    <w:rsid w:val="00096576"/>
    <w:rsid w:val="00096980"/>
    <w:rsid w:val="000971B5"/>
    <w:rsid w:val="00097E6F"/>
    <w:rsid w:val="000A12CD"/>
    <w:rsid w:val="000A1829"/>
    <w:rsid w:val="000A21E0"/>
    <w:rsid w:val="000A40C7"/>
    <w:rsid w:val="000A494A"/>
    <w:rsid w:val="000A5F68"/>
    <w:rsid w:val="000A7637"/>
    <w:rsid w:val="000A7F1E"/>
    <w:rsid w:val="000B13A3"/>
    <w:rsid w:val="000B3070"/>
    <w:rsid w:val="000B37B0"/>
    <w:rsid w:val="000B40F3"/>
    <w:rsid w:val="000B4DC5"/>
    <w:rsid w:val="000B69B6"/>
    <w:rsid w:val="000C076B"/>
    <w:rsid w:val="000C19E5"/>
    <w:rsid w:val="000C29B3"/>
    <w:rsid w:val="000C304A"/>
    <w:rsid w:val="000C4FD0"/>
    <w:rsid w:val="000C61D7"/>
    <w:rsid w:val="000C6D05"/>
    <w:rsid w:val="000C7AF0"/>
    <w:rsid w:val="000D07ED"/>
    <w:rsid w:val="000D3293"/>
    <w:rsid w:val="000D652B"/>
    <w:rsid w:val="000D7101"/>
    <w:rsid w:val="000D7E54"/>
    <w:rsid w:val="000E0DFF"/>
    <w:rsid w:val="000E0F0E"/>
    <w:rsid w:val="000E1B02"/>
    <w:rsid w:val="000E1DCA"/>
    <w:rsid w:val="000E259F"/>
    <w:rsid w:val="000E2E35"/>
    <w:rsid w:val="000E2FDC"/>
    <w:rsid w:val="000E398C"/>
    <w:rsid w:val="000E3EE1"/>
    <w:rsid w:val="000E59C9"/>
    <w:rsid w:val="000F039C"/>
    <w:rsid w:val="000F082E"/>
    <w:rsid w:val="000F10C8"/>
    <w:rsid w:val="000F2518"/>
    <w:rsid w:val="000F3060"/>
    <w:rsid w:val="000F3841"/>
    <w:rsid w:val="000F3D4A"/>
    <w:rsid w:val="000F4245"/>
    <w:rsid w:val="000F5486"/>
    <w:rsid w:val="000F5DFD"/>
    <w:rsid w:val="000F6FCB"/>
    <w:rsid w:val="000F77D9"/>
    <w:rsid w:val="001048D0"/>
    <w:rsid w:val="001055DE"/>
    <w:rsid w:val="001056CB"/>
    <w:rsid w:val="00105BAE"/>
    <w:rsid w:val="00106558"/>
    <w:rsid w:val="00107034"/>
    <w:rsid w:val="00107217"/>
    <w:rsid w:val="00111E89"/>
    <w:rsid w:val="00112862"/>
    <w:rsid w:val="001145DA"/>
    <w:rsid w:val="00115452"/>
    <w:rsid w:val="00117597"/>
    <w:rsid w:val="00117E8A"/>
    <w:rsid w:val="00120CAE"/>
    <w:rsid w:val="00120F53"/>
    <w:rsid w:val="001215E1"/>
    <w:rsid w:val="00123901"/>
    <w:rsid w:val="00124176"/>
    <w:rsid w:val="00136181"/>
    <w:rsid w:val="00136787"/>
    <w:rsid w:val="0013698A"/>
    <w:rsid w:val="00140DC9"/>
    <w:rsid w:val="00141E0E"/>
    <w:rsid w:val="00141F4F"/>
    <w:rsid w:val="001422F4"/>
    <w:rsid w:val="00143AB1"/>
    <w:rsid w:val="001447BB"/>
    <w:rsid w:val="00145702"/>
    <w:rsid w:val="00146896"/>
    <w:rsid w:val="00146E97"/>
    <w:rsid w:val="00146F7F"/>
    <w:rsid w:val="00147791"/>
    <w:rsid w:val="00152015"/>
    <w:rsid w:val="00152629"/>
    <w:rsid w:val="00152ACB"/>
    <w:rsid w:val="001532E9"/>
    <w:rsid w:val="00153945"/>
    <w:rsid w:val="00154CDC"/>
    <w:rsid w:val="001558A6"/>
    <w:rsid w:val="00156352"/>
    <w:rsid w:val="00156F99"/>
    <w:rsid w:val="001640F2"/>
    <w:rsid w:val="00165C22"/>
    <w:rsid w:val="00166218"/>
    <w:rsid w:val="001667DD"/>
    <w:rsid w:val="00167279"/>
    <w:rsid w:val="0017051E"/>
    <w:rsid w:val="0017109C"/>
    <w:rsid w:val="0017183F"/>
    <w:rsid w:val="00172EE2"/>
    <w:rsid w:val="001732F5"/>
    <w:rsid w:val="00173F0D"/>
    <w:rsid w:val="0017434E"/>
    <w:rsid w:val="00174B2C"/>
    <w:rsid w:val="001766D7"/>
    <w:rsid w:val="00176A80"/>
    <w:rsid w:val="0017789D"/>
    <w:rsid w:val="001800F5"/>
    <w:rsid w:val="00181A51"/>
    <w:rsid w:val="00181CFA"/>
    <w:rsid w:val="00182EA3"/>
    <w:rsid w:val="00186777"/>
    <w:rsid w:val="00187185"/>
    <w:rsid w:val="001900A9"/>
    <w:rsid w:val="00190CCB"/>
    <w:rsid w:val="00190F72"/>
    <w:rsid w:val="0019135C"/>
    <w:rsid w:val="00191F01"/>
    <w:rsid w:val="001929B6"/>
    <w:rsid w:val="00197E29"/>
    <w:rsid w:val="001A0129"/>
    <w:rsid w:val="001A0238"/>
    <w:rsid w:val="001A132E"/>
    <w:rsid w:val="001A1442"/>
    <w:rsid w:val="001A14F1"/>
    <w:rsid w:val="001A15EE"/>
    <w:rsid w:val="001A2044"/>
    <w:rsid w:val="001A22F7"/>
    <w:rsid w:val="001A451D"/>
    <w:rsid w:val="001A4A27"/>
    <w:rsid w:val="001A6100"/>
    <w:rsid w:val="001B1E37"/>
    <w:rsid w:val="001B234F"/>
    <w:rsid w:val="001B5144"/>
    <w:rsid w:val="001B6E69"/>
    <w:rsid w:val="001B7110"/>
    <w:rsid w:val="001B7315"/>
    <w:rsid w:val="001B7650"/>
    <w:rsid w:val="001B7ECF"/>
    <w:rsid w:val="001C0128"/>
    <w:rsid w:val="001C0761"/>
    <w:rsid w:val="001C20FE"/>
    <w:rsid w:val="001C53C1"/>
    <w:rsid w:val="001C5D7C"/>
    <w:rsid w:val="001C5DE7"/>
    <w:rsid w:val="001C5F6E"/>
    <w:rsid w:val="001C6E15"/>
    <w:rsid w:val="001D1C5A"/>
    <w:rsid w:val="001D26C5"/>
    <w:rsid w:val="001D3057"/>
    <w:rsid w:val="001D33F2"/>
    <w:rsid w:val="001D463E"/>
    <w:rsid w:val="001E13E7"/>
    <w:rsid w:val="001E3085"/>
    <w:rsid w:val="001E38F6"/>
    <w:rsid w:val="001E3C3B"/>
    <w:rsid w:val="001E4128"/>
    <w:rsid w:val="001E4475"/>
    <w:rsid w:val="001E5998"/>
    <w:rsid w:val="001E6709"/>
    <w:rsid w:val="001E6899"/>
    <w:rsid w:val="001E6A07"/>
    <w:rsid w:val="001E7629"/>
    <w:rsid w:val="001E78A8"/>
    <w:rsid w:val="001E7C98"/>
    <w:rsid w:val="001F0672"/>
    <w:rsid w:val="001F2443"/>
    <w:rsid w:val="001F317A"/>
    <w:rsid w:val="001F40D6"/>
    <w:rsid w:val="001F5CA3"/>
    <w:rsid w:val="001F76A8"/>
    <w:rsid w:val="001F78E3"/>
    <w:rsid w:val="001F7C8F"/>
    <w:rsid w:val="002009F9"/>
    <w:rsid w:val="00201614"/>
    <w:rsid w:val="002044A5"/>
    <w:rsid w:val="00204947"/>
    <w:rsid w:val="00205354"/>
    <w:rsid w:val="00205CB8"/>
    <w:rsid w:val="00205F5E"/>
    <w:rsid w:val="00206087"/>
    <w:rsid w:val="002070AE"/>
    <w:rsid w:val="002075B7"/>
    <w:rsid w:val="00207CB7"/>
    <w:rsid w:val="00207DED"/>
    <w:rsid w:val="00207E5D"/>
    <w:rsid w:val="00212DC0"/>
    <w:rsid w:val="00213102"/>
    <w:rsid w:val="00213296"/>
    <w:rsid w:val="00213452"/>
    <w:rsid w:val="00214BBF"/>
    <w:rsid w:val="00214BE4"/>
    <w:rsid w:val="0021537C"/>
    <w:rsid w:val="00216D22"/>
    <w:rsid w:val="00220A04"/>
    <w:rsid w:val="0022149D"/>
    <w:rsid w:val="002219B0"/>
    <w:rsid w:val="00222491"/>
    <w:rsid w:val="002224F2"/>
    <w:rsid w:val="00222A87"/>
    <w:rsid w:val="00223B80"/>
    <w:rsid w:val="002250AE"/>
    <w:rsid w:val="0022547D"/>
    <w:rsid w:val="00227FA1"/>
    <w:rsid w:val="00227FD4"/>
    <w:rsid w:val="002349BF"/>
    <w:rsid w:val="00234A10"/>
    <w:rsid w:val="00236977"/>
    <w:rsid w:val="002373B3"/>
    <w:rsid w:val="0023780F"/>
    <w:rsid w:val="00240B10"/>
    <w:rsid w:val="00242C71"/>
    <w:rsid w:val="0024319F"/>
    <w:rsid w:val="002478BA"/>
    <w:rsid w:val="00250126"/>
    <w:rsid w:val="0025059E"/>
    <w:rsid w:val="002528C2"/>
    <w:rsid w:val="0025533C"/>
    <w:rsid w:val="00255DA2"/>
    <w:rsid w:val="00256A2E"/>
    <w:rsid w:val="00257330"/>
    <w:rsid w:val="00257451"/>
    <w:rsid w:val="00262164"/>
    <w:rsid w:val="002626B6"/>
    <w:rsid w:val="00267641"/>
    <w:rsid w:val="00267D2A"/>
    <w:rsid w:val="00270466"/>
    <w:rsid w:val="0027160B"/>
    <w:rsid w:val="002719DF"/>
    <w:rsid w:val="00274832"/>
    <w:rsid w:val="00274B9E"/>
    <w:rsid w:val="00274E05"/>
    <w:rsid w:val="00275FAB"/>
    <w:rsid w:val="002774F8"/>
    <w:rsid w:val="00277ED3"/>
    <w:rsid w:val="0028615D"/>
    <w:rsid w:val="00287887"/>
    <w:rsid w:val="002905BA"/>
    <w:rsid w:val="00290694"/>
    <w:rsid w:val="00290F54"/>
    <w:rsid w:val="002910FA"/>
    <w:rsid w:val="00291134"/>
    <w:rsid w:val="00292930"/>
    <w:rsid w:val="00294DD2"/>
    <w:rsid w:val="002959E6"/>
    <w:rsid w:val="002967E3"/>
    <w:rsid w:val="0029685C"/>
    <w:rsid w:val="00297395"/>
    <w:rsid w:val="00297440"/>
    <w:rsid w:val="00297688"/>
    <w:rsid w:val="002A3960"/>
    <w:rsid w:val="002A4214"/>
    <w:rsid w:val="002A5CC2"/>
    <w:rsid w:val="002A62A5"/>
    <w:rsid w:val="002A704E"/>
    <w:rsid w:val="002B002C"/>
    <w:rsid w:val="002B0F20"/>
    <w:rsid w:val="002B2682"/>
    <w:rsid w:val="002B2EB5"/>
    <w:rsid w:val="002B32C7"/>
    <w:rsid w:val="002B386D"/>
    <w:rsid w:val="002B43B7"/>
    <w:rsid w:val="002B533E"/>
    <w:rsid w:val="002C17E8"/>
    <w:rsid w:val="002C200E"/>
    <w:rsid w:val="002C46C8"/>
    <w:rsid w:val="002C5DBD"/>
    <w:rsid w:val="002C75C1"/>
    <w:rsid w:val="002D19EE"/>
    <w:rsid w:val="002D1CE5"/>
    <w:rsid w:val="002D2ACB"/>
    <w:rsid w:val="002D3401"/>
    <w:rsid w:val="002D341E"/>
    <w:rsid w:val="002D4A2C"/>
    <w:rsid w:val="002D567D"/>
    <w:rsid w:val="002D61B1"/>
    <w:rsid w:val="002D6256"/>
    <w:rsid w:val="002E03D0"/>
    <w:rsid w:val="002E2030"/>
    <w:rsid w:val="002E3A24"/>
    <w:rsid w:val="002E3AA6"/>
    <w:rsid w:val="002E4EF1"/>
    <w:rsid w:val="002E618C"/>
    <w:rsid w:val="002F03FD"/>
    <w:rsid w:val="002F090E"/>
    <w:rsid w:val="002F1679"/>
    <w:rsid w:val="002F168F"/>
    <w:rsid w:val="002F2026"/>
    <w:rsid w:val="002F26FB"/>
    <w:rsid w:val="002F2A8A"/>
    <w:rsid w:val="002F364D"/>
    <w:rsid w:val="002F3FAF"/>
    <w:rsid w:val="002F4264"/>
    <w:rsid w:val="002F4ED9"/>
    <w:rsid w:val="002F5237"/>
    <w:rsid w:val="002F5D16"/>
    <w:rsid w:val="002F751E"/>
    <w:rsid w:val="00302A29"/>
    <w:rsid w:val="0030381A"/>
    <w:rsid w:val="0030387E"/>
    <w:rsid w:val="00303B32"/>
    <w:rsid w:val="003060FA"/>
    <w:rsid w:val="00307B69"/>
    <w:rsid w:val="00307CE9"/>
    <w:rsid w:val="00307F9A"/>
    <w:rsid w:val="00310F78"/>
    <w:rsid w:val="003111F4"/>
    <w:rsid w:val="00311882"/>
    <w:rsid w:val="0031202C"/>
    <w:rsid w:val="00312250"/>
    <w:rsid w:val="0031306E"/>
    <w:rsid w:val="003153EC"/>
    <w:rsid w:val="0031638A"/>
    <w:rsid w:val="00316A79"/>
    <w:rsid w:val="00317994"/>
    <w:rsid w:val="00320BF4"/>
    <w:rsid w:val="00321659"/>
    <w:rsid w:val="00323620"/>
    <w:rsid w:val="00323FC3"/>
    <w:rsid w:val="00325799"/>
    <w:rsid w:val="0032670F"/>
    <w:rsid w:val="00330458"/>
    <w:rsid w:val="00330519"/>
    <w:rsid w:val="003308DA"/>
    <w:rsid w:val="0033200C"/>
    <w:rsid w:val="00332D46"/>
    <w:rsid w:val="00333A71"/>
    <w:rsid w:val="00334A76"/>
    <w:rsid w:val="00337118"/>
    <w:rsid w:val="0034061F"/>
    <w:rsid w:val="00340700"/>
    <w:rsid w:val="00340AAE"/>
    <w:rsid w:val="00342F72"/>
    <w:rsid w:val="00345885"/>
    <w:rsid w:val="00345F73"/>
    <w:rsid w:val="003462C6"/>
    <w:rsid w:val="0034631C"/>
    <w:rsid w:val="00347540"/>
    <w:rsid w:val="0034799A"/>
    <w:rsid w:val="003503A6"/>
    <w:rsid w:val="00351C21"/>
    <w:rsid w:val="003532CB"/>
    <w:rsid w:val="00355B57"/>
    <w:rsid w:val="00356267"/>
    <w:rsid w:val="0035657C"/>
    <w:rsid w:val="00356C3A"/>
    <w:rsid w:val="00357B0D"/>
    <w:rsid w:val="0036082C"/>
    <w:rsid w:val="00360BE8"/>
    <w:rsid w:val="00362CA9"/>
    <w:rsid w:val="003631E9"/>
    <w:rsid w:val="00363B01"/>
    <w:rsid w:val="00363BE9"/>
    <w:rsid w:val="00363E7E"/>
    <w:rsid w:val="003679C0"/>
    <w:rsid w:val="0037111D"/>
    <w:rsid w:val="003718C8"/>
    <w:rsid w:val="00371FE3"/>
    <w:rsid w:val="00374D9C"/>
    <w:rsid w:val="00375FE4"/>
    <w:rsid w:val="0037661C"/>
    <w:rsid w:val="003770D4"/>
    <w:rsid w:val="00377ACF"/>
    <w:rsid w:val="003804EA"/>
    <w:rsid w:val="00380529"/>
    <w:rsid w:val="003806A7"/>
    <w:rsid w:val="003808DD"/>
    <w:rsid w:val="00381753"/>
    <w:rsid w:val="003821E3"/>
    <w:rsid w:val="00383184"/>
    <w:rsid w:val="00383735"/>
    <w:rsid w:val="003837D2"/>
    <w:rsid w:val="00383C1B"/>
    <w:rsid w:val="00385BA2"/>
    <w:rsid w:val="00387686"/>
    <w:rsid w:val="0038789D"/>
    <w:rsid w:val="003903DB"/>
    <w:rsid w:val="0039143F"/>
    <w:rsid w:val="00391FE2"/>
    <w:rsid w:val="00392760"/>
    <w:rsid w:val="00392907"/>
    <w:rsid w:val="00394231"/>
    <w:rsid w:val="00394291"/>
    <w:rsid w:val="00394952"/>
    <w:rsid w:val="00395C94"/>
    <w:rsid w:val="0039621A"/>
    <w:rsid w:val="00396276"/>
    <w:rsid w:val="003965C2"/>
    <w:rsid w:val="00396CB1"/>
    <w:rsid w:val="00397E9D"/>
    <w:rsid w:val="003A002E"/>
    <w:rsid w:val="003A1981"/>
    <w:rsid w:val="003A2407"/>
    <w:rsid w:val="003A4168"/>
    <w:rsid w:val="003A4191"/>
    <w:rsid w:val="003A6A71"/>
    <w:rsid w:val="003A7CE2"/>
    <w:rsid w:val="003B1714"/>
    <w:rsid w:val="003B2D6C"/>
    <w:rsid w:val="003B324F"/>
    <w:rsid w:val="003B3463"/>
    <w:rsid w:val="003B5195"/>
    <w:rsid w:val="003B5206"/>
    <w:rsid w:val="003B5F34"/>
    <w:rsid w:val="003B70BD"/>
    <w:rsid w:val="003B751E"/>
    <w:rsid w:val="003B7738"/>
    <w:rsid w:val="003C1D9B"/>
    <w:rsid w:val="003C47DB"/>
    <w:rsid w:val="003C5147"/>
    <w:rsid w:val="003C5219"/>
    <w:rsid w:val="003C72D7"/>
    <w:rsid w:val="003D0396"/>
    <w:rsid w:val="003D13A2"/>
    <w:rsid w:val="003D1A6F"/>
    <w:rsid w:val="003D212F"/>
    <w:rsid w:val="003D29B9"/>
    <w:rsid w:val="003D57CB"/>
    <w:rsid w:val="003D660C"/>
    <w:rsid w:val="003D6840"/>
    <w:rsid w:val="003D77B1"/>
    <w:rsid w:val="003E0210"/>
    <w:rsid w:val="003E3756"/>
    <w:rsid w:val="003E3A04"/>
    <w:rsid w:val="003E4C35"/>
    <w:rsid w:val="003E4EA2"/>
    <w:rsid w:val="003E6302"/>
    <w:rsid w:val="003E66FF"/>
    <w:rsid w:val="003F1E7C"/>
    <w:rsid w:val="003F2E47"/>
    <w:rsid w:val="003F35F3"/>
    <w:rsid w:val="003F65DB"/>
    <w:rsid w:val="003F69BB"/>
    <w:rsid w:val="00400022"/>
    <w:rsid w:val="00401B31"/>
    <w:rsid w:val="00402385"/>
    <w:rsid w:val="00403F0E"/>
    <w:rsid w:val="004042FE"/>
    <w:rsid w:val="00407003"/>
    <w:rsid w:val="00411302"/>
    <w:rsid w:val="00411398"/>
    <w:rsid w:val="004117AD"/>
    <w:rsid w:val="00411A8B"/>
    <w:rsid w:val="00413C82"/>
    <w:rsid w:val="00413F26"/>
    <w:rsid w:val="00414DCE"/>
    <w:rsid w:val="004164EB"/>
    <w:rsid w:val="00416937"/>
    <w:rsid w:val="00416E04"/>
    <w:rsid w:val="00417A4E"/>
    <w:rsid w:val="00420472"/>
    <w:rsid w:val="0042048C"/>
    <w:rsid w:val="00420D66"/>
    <w:rsid w:val="004214A1"/>
    <w:rsid w:val="00421EF7"/>
    <w:rsid w:val="00423FF9"/>
    <w:rsid w:val="004248AF"/>
    <w:rsid w:val="00424F91"/>
    <w:rsid w:val="00426BEA"/>
    <w:rsid w:val="004273BA"/>
    <w:rsid w:val="00431D1E"/>
    <w:rsid w:val="00432AB4"/>
    <w:rsid w:val="0043328A"/>
    <w:rsid w:val="00433E06"/>
    <w:rsid w:val="00434BC1"/>
    <w:rsid w:val="0043525E"/>
    <w:rsid w:val="00435E90"/>
    <w:rsid w:val="00436A53"/>
    <w:rsid w:val="004375C1"/>
    <w:rsid w:val="00441352"/>
    <w:rsid w:val="004418FE"/>
    <w:rsid w:val="00441962"/>
    <w:rsid w:val="0044293B"/>
    <w:rsid w:val="00442D13"/>
    <w:rsid w:val="004454DB"/>
    <w:rsid w:val="00445723"/>
    <w:rsid w:val="004465F7"/>
    <w:rsid w:val="00447814"/>
    <w:rsid w:val="00450D99"/>
    <w:rsid w:val="00451176"/>
    <w:rsid w:val="00451DEB"/>
    <w:rsid w:val="00452E26"/>
    <w:rsid w:val="00454E9A"/>
    <w:rsid w:val="00456709"/>
    <w:rsid w:val="00456744"/>
    <w:rsid w:val="00460510"/>
    <w:rsid w:val="004608B5"/>
    <w:rsid w:val="00460AC0"/>
    <w:rsid w:val="004618BE"/>
    <w:rsid w:val="0046246F"/>
    <w:rsid w:val="0046347C"/>
    <w:rsid w:val="00464014"/>
    <w:rsid w:val="004643D7"/>
    <w:rsid w:val="00464782"/>
    <w:rsid w:val="004657C6"/>
    <w:rsid w:val="00465A82"/>
    <w:rsid w:val="00466541"/>
    <w:rsid w:val="00466682"/>
    <w:rsid w:val="00467269"/>
    <w:rsid w:val="0047160C"/>
    <w:rsid w:val="00472B93"/>
    <w:rsid w:val="00472C89"/>
    <w:rsid w:val="004744D3"/>
    <w:rsid w:val="00474881"/>
    <w:rsid w:val="00474901"/>
    <w:rsid w:val="00474BB5"/>
    <w:rsid w:val="004751AF"/>
    <w:rsid w:val="0047596F"/>
    <w:rsid w:val="00476FDA"/>
    <w:rsid w:val="00477C4B"/>
    <w:rsid w:val="00482190"/>
    <w:rsid w:val="004823BB"/>
    <w:rsid w:val="00482B4C"/>
    <w:rsid w:val="00482DEB"/>
    <w:rsid w:val="0048300C"/>
    <w:rsid w:val="00483125"/>
    <w:rsid w:val="00483C7A"/>
    <w:rsid w:val="00484E15"/>
    <w:rsid w:val="0048546C"/>
    <w:rsid w:val="004870F6"/>
    <w:rsid w:val="004878BE"/>
    <w:rsid w:val="00487A89"/>
    <w:rsid w:val="004910F6"/>
    <w:rsid w:val="0049156C"/>
    <w:rsid w:val="0049194C"/>
    <w:rsid w:val="00494F8C"/>
    <w:rsid w:val="0049765B"/>
    <w:rsid w:val="0049786D"/>
    <w:rsid w:val="004A0179"/>
    <w:rsid w:val="004A031F"/>
    <w:rsid w:val="004A0D44"/>
    <w:rsid w:val="004A0F5C"/>
    <w:rsid w:val="004A1D89"/>
    <w:rsid w:val="004A22DD"/>
    <w:rsid w:val="004A26EF"/>
    <w:rsid w:val="004A2C76"/>
    <w:rsid w:val="004A4164"/>
    <w:rsid w:val="004A41B9"/>
    <w:rsid w:val="004A41DD"/>
    <w:rsid w:val="004A4689"/>
    <w:rsid w:val="004B06F5"/>
    <w:rsid w:val="004B1ACD"/>
    <w:rsid w:val="004B4517"/>
    <w:rsid w:val="004B5DA5"/>
    <w:rsid w:val="004B7B13"/>
    <w:rsid w:val="004C03AB"/>
    <w:rsid w:val="004C1619"/>
    <w:rsid w:val="004C2101"/>
    <w:rsid w:val="004C3968"/>
    <w:rsid w:val="004C4362"/>
    <w:rsid w:val="004C73A9"/>
    <w:rsid w:val="004C749C"/>
    <w:rsid w:val="004D09F1"/>
    <w:rsid w:val="004D15C0"/>
    <w:rsid w:val="004D4BF8"/>
    <w:rsid w:val="004D60E0"/>
    <w:rsid w:val="004E0B70"/>
    <w:rsid w:val="004E0CDC"/>
    <w:rsid w:val="004E16B4"/>
    <w:rsid w:val="004E2239"/>
    <w:rsid w:val="004E3C76"/>
    <w:rsid w:val="004E41F7"/>
    <w:rsid w:val="004E6805"/>
    <w:rsid w:val="004E685D"/>
    <w:rsid w:val="004E68F7"/>
    <w:rsid w:val="004F12B2"/>
    <w:rsid w:val="004F1858"/>
    <w:rsid w:val="004F2D1C"/>
    <w:rsid w:val="004F2FF3"/>
    <w:rsid w:val="004F40F1"/>
    <w:rsid w:val="004F550B"/>
    <w:rsid w:val="004F561D"/>
    <w:rsid w:val="004F56F9"/>
    <w:rsid w:val="004F6801"/>
    <w:rsid w:val="004F6D58"/>
    <w:rsid w:val="004F75AB"/>
    <w:rsid w:val="00500669"/>
    <w:rsid w:val="00500A28"/>
    <w:rsid w:val="00500B26"/>
    <w:rsid w:val="00500C57"/>
    <w:rsid w:val="0050229C"/>
    <w:rsid w:val="00502F17"/>
    <w:rsid w:val="0050340E"/>
    <w:rsid w:val="005039A4"/>
    <w:rsid w:val="00503B15"/>
    <w:rsid w:val="00503D11"/>
    <w:rsid w:val="00504156"/>
    <w:rsid w:val="00505AFD"/>
    <w:rsid w:val="00506888"/>
    <w:rsid w:val="005069FC"/>
    <w:rsid w:val="00506D53"/>
    <w:rsid w:val="005118C1"/>
    <w:rsid w:val="005128E9"/>
    <w:rsid w:val="00512E4F"/>
    <w:rsid w:val="0051398F"/>
    <w:rsid w:val="00514C3D"/>
    <w:rsid w:val="005168C9"/>
    <w:rsid w:val="005209E4"/>
    <w:rsid w:val="00521657"/>
    <w:rsid w:val="005237EF"/>
    <w:rsid w:val="0052626A"/>
    <w:rsid w:val="005272EC"/>
    <w:rsid w:val="005277C9"/>
    <w:rsid w:val="005306D3"/>
    <w:rsid w:val="005308DD"/>
    <w:rsid w:val="005324C8"/>
    <w:rsid w:val="00533806"/>
    <w:rsid w:val="0053416F"/>
    <w:rsid w:val="00534CF3"/>
    <w:rsid w:val="0053570E"/>
    <w:rsid w:val="00535A74"/>
    <w:rsid w:val="00540AEB"/>
    <w:rsid w:val="00541D21"/>
    <w:rsid w:val="00542CD1"/>
    <w:rsid w:val="0054424B"/>
    <w:rsid w:val="00544C4B"/>
    <w:rsid w:val="005458EB"/>
    <w:rsid w:val="00545C63"/>
    <w:rsid w:val="00546D89"/>
    <w:rsid w:val="00547D5C"/>
    <w:rsid w:val="0055009D"/>
    <w:rsid w:val="0055024E"/>
    <w:rsid w:val="0055218A"/>
    <w:rsid w:val="005525A3"/>
    <w:rsid w:val="00553540"/>
    <w:rsid w:val="00553640"/>
    <w:rsid w:val="00553FBB"/>
    <w:rsid w:val="005542E9"/>
    <w:rsid w:val="00555563"/>
    <w:rsid w:val="00555D44"/>
    <w:rsid w:val="00555F51"/>
    <w:rsid w:val="00555FE5"/>
    <w:rsid w:val="00556345"/>
    <w:rsid w:val="00556358"/>
    <w:rsid w:val="00556F2C"/>
    <w:rsid w:val="00557EE5"/>
    <w:rsid w:val="00560102"/>
    <w:rsid w:val="00560F53"/>
    <w:rsid w:val="00563D48"/>
    <w:rsid w:val="005644CE"/>
    <w:rsid w:val="00565944"/>
    <w:rsid w:val="00567C9F"/>
    <w:rsid w:val="005700EF"/>
    <w:rsid w:val="005701D3"/>
    <w:rsid w:val="005712F6"/>
    <w:rsid w:val="00571ACD"/>
    <w:rsid w:val="0057207E"/>
    <w:rsid w:val="00574694"/>
    <w:rsid w:val="00574EB9"/>
    <w:rsid w:val="00577186"/>
    <w:rsid w:val="005772C8"/>
    <w:rsid w:val="0058117C"/>
    <w:rsid w:val="005817FC"/>
    <w:rsid w:val="00581D37"/>
    <w:rsid w:val="00582720"/>
    <w:rsid w:val="00583F81"/>
    <w:rsid w:val="005857EE"/>
    <w:rsid w:val="005861DC"/>
    <w:rsid w:val="0059072F"/>
    <w:rsid w:val="00591DBD"/>
    <w:rsid w:val="00592ACA"/>
    <w:rsid w:val="00592E61"/>
    <w:rsid w:val="00594434"/>
    <w:rsid w:val="0059553A"/>
    <w:rsid w:val="005961DE"/>
    <w:rsid w:val="00596CA8"/>
    <w:rsid w:val="005970E4"/>
    <w:rsid w:val="005A0DBF"/>
    <w:rsid w:val="005A23CC"/>
    <w:rsid w:val="005A570A"/>
    <w:rsid w:val="005A7DD7"/>
    <w:rsid w:val="005A7FC0"/>
    <w:rsid w:val="005B074B"/>
    <w:rsid w:val="005B1C6F"/>
    <w:rsid w:val="005B238A"/>
    <w:rsid w:val="005B2F6E"/>
    <w:rsid w:val="005B521D"/>
    <w:rsid w:val="005B55AC"/>
    <w:rsid w:val="005B6155"/>
    <w:rsid w:val="005B633C"/>
    <w:rsid w:val="005B6C35"/>
    <w:rsid w:val="005B79C2"/>
    <w:rsid w:val="005B7BFE"/>
    <w:rsid w:val="005C05C8"/>
    <w:rsid w:val="005C0F1E"/>
    <w:rsid w:val="005C4FBC"/>
    <w:rsid w:val="005C55CC"/>
    <w:rsid w:val="005C5A53"/>
    <w:rsid w:val="005C609F"/>
    <w:rsid w:val="005C637B"/>
    <w:rsid w:val="005C71D5"/>
    <w:rsid w:val="005C72C5"/>
    <w:rsid w:val="005D147E"/>
    <w:rsid w:val="005D194B"/>
    <w:rsid w:val="005D335F"/>
    <w:rsid w:val="005D3B5C"/>
    <w:rsid w:val="005D5AAA"/>
    <w:rsid w:val="005D7DEC"/>
    <w:rsid w:val="005E059D"/>
    <w:rsid w:val="005E28E2"/>
    <w:rsid w:val="005E2E3B"/>
    <w:rsid w:val="005E3EF5"/>
    <w:rsid w:val="005E49D5"/>
    <w:rsid w:val="005E4D3B"/>
    <w:rsid w:val="005E5432"/>
    <w:rsid w:val="005E5556"/>
    <w:rsid w:val="005E6349"/>
    <w:rsid w:val="005E6D16"/>
    <w:rsid w:val="005E76D6"/>
    <w:rsid w:val="005F3D83"/>
    <w:rsid w:val="005F4140"/>
    <w:rsid w:val="005F4F27"/>
    <w:rsid w:val="005F5016"/>
    <w:rsid w:val="005F52E5"/>
    <w:rsid w:val="005F5F38"/>
    <w:rsid w:val="005F60CF"/>
    <w:rsid w:val="005F6AA5"/>
    <w:rsid w:val="005F6D9F"/>
    <w:rsid w:val="005F736C"/>
    <w:rsid w:val="005F7A8B"/>
    <w:rsid w:val="006006CE"/>
    <w:rsid w:val="00600E6B"/>
    <w:rsid w:val="00600EEF"/>
    <w:rsid w:val="00601C1B"/>
    <w:rsid w:val="00603425"/>
    <w:rsid w:val="00603D9D"/>
    <w:rsid w:val="006040B9"/>
    <w:rsid w:val="00604646"/>
    <w:rsid w:val="006051F7"/>
    <w:rsid w:val="0060543D"/>
    <w:rsid w:val="00606444"/>
    <w:rsid w:val="00606A7C"/>
    <w:rsid w:val="00607303"/>
    <w:rsid w:val="00607519"/>
    <w:rsid w:val="006077B6"/>
    <w:rsid w:val="0061215A"/>
    <w:rsid w:val="006122F0"/>
    <w:rsid w:val="00613A11"/>
    <w:rsid w:val="006140D7"/>
    <w:rsid w:val="00614A5B"/>
    <w:rsid w:val="00616C04"/>
    <w:rsid w:val="006170C9"/>
    <w:rsid w:val="00617653"/>
    <w:rsid w:val="00617A2E"/>
    <w:rsid w:val="00620110"/>
    <w:rsid w:val="006235DE"/>
    <w:rsid w:val="006250D9"/>
    <w:rsid w:val="00625332"/>
    <w:rsid w:val="00625FEB"/>
    <w:rsid w:val="00627059"/>
    <w:rsid w:val="006270A1"/>
    <w:rsid w:val="00631F4C"/>
    <w:rsid w:val="00633C6D"/>
    <w:rsid w:val="00634985"/>
    <w:rsid w:val="006360E4"/>
    <w:rsid w:val="00636113"/>
    <w:rsid w:val="0063672C"/>
    <w:rsid w:val="006375E3"/>
    <w:rsid w:val="006415AB"/>
    <w:rsid w:val="006417A3"/>
    <w:rsid w:val="00642640"/>
    <w:rsid w:val="00645C22"/>
    <w:rsid w:val="006552C7"/>
    <w:rsid w:val="006552DF"/>
    <w:rsid w:val="00656DC3"/>
    <w:rsid w:val="0065795E"/>
    <w:rsid w:val="00660AD4"/>
    <w:rsid w:val="00661C95"/>
    <w:rsid w:val="00662102"/>
    <w:rsid w:val="00663499"/>
    <w:rsid w:val="006634ED"/>
    <w:rsid w:val="006641BE"/>
    <w:rsid w:val="0066539F"/>
    <w:rsid w:val="00665ADE"/>
    <w:rsid w:val="006673B0"/>
    <w:rsid w:val="006718C7"/>
    <w:rsid w:val="00671989"/>
    <w:rsid w:val="00673183"/>
    <w:rsid w:val="0068117A"/>
    <w:rsid w:val="00684C66"/>
    <w:rsid w:val="00686ECB"/>
    <w:rsid w:val="00687D01"/>
    <w:rsid w:val="00691F2F"/>
    <w:rsid w:val="00692FA5"/>
    <w:rsid w:val="006932EF"/>
    <w:rsid w:val="006942F0"/>
    <w:rsid w:val="00694FBB"/>
    <w:rsid w:val="0069552D"/>
    <w:rsid w:val="00696DA3"/>
    <w:rsid w:val="006A05E9"/>
    <w:rsid w:val="006A0EC3"/>
    <w:rsid w:val="006A1931"/>
    <w:rsid w:val="006A2370"/>
    <w:rsid w:val="006A26F8"/>
    <w:rsid w:val="006A4D6D"/>
    <w:rsid w:val="006A4F07"/>
    <w:rsid w:val="006A5E1A"/>
    <w:rsid w:val="006A6C26"/>
    <w:rsid w:val="006B0041"/>
    <w:rsid w:val="006B19D4"/>
    <w:rsid w:val="006B2860"/>
    <w:rsid w:val="006B28B5"/>
    <w:rsid w:val="006B28E1"/>
    <w:rsid w:val="006B4F81"/>
    <w:rsid w:val="006B5357"/>
    <w:rsid w:val="006B60EF"/>
    <w:rsid w:val="006B62C0"/>
    <w:rsid w:val="006B68EA"/>
    <w:rsid w:val="006B6D0D"/>
    <w:rsid w:val="006B6F2F"/>
    <w:rsid w:val="006B709E"/>
    <w:rsid w:val="006C0632"/>
    <w:rsid w:val="006C0FE1"/>
    <w:rsid w:val="006C1061"/>
    <w:rsid w:val="006C3159"/>
    <w:rsid w:val="006C3218"/>
    <w:rsid w:val="006C383A"/>
    <w:rsid w:val="006C5EAD"/>
    <w:rsid w:val="006C70F1"/>
    <w:rsid w:val="006D0121"/>
    <w:rsid w:val="006D0C9B"/>
    <w:rsid w:val="006D22DD"/>
    <w:rsid w:val="006D25A0"/>
    <w:rsid w:val="006D3873"/>
    <w:rsid w:val="006D41F9"/>
    <w:rsid w:val="006D54A7"/>
    <w:rsid w:val="006D5A75"/>
    <w:rsid w:val="006D5FE7"/>
    <w:rsid w:val="006D61E6"/>
    <w:rsid w:val="006D732F"/>
    <w:rsid w:val="006D794D"/>
    <w:rsid w:val="006E0093"/>
    <w:rsid w:val="006E1472"/>
    <w:rsid w:val="006E25A8"/>
    <w:rsid w:val="006E3268"/>
    <w:rsid w:val="006E3F6F"/>
    <w:rsid w:val="006E5CFC"/>
    <w:rsid w:val="006E6CC0"/>
    <w:rsid w:val="006E7253"/>
    <w:rsid w:val="006E7A84"/>
    <w:rsid w:val="006F0B72"/>
    <w:rsid w:val="006F11DD"/>
    <w:rsid w:val="006F19BF"/>
    <w:rsid w:val="006F1AA5"/>
    <w:rsid w:val="006F1F31"/>
    <w:rsid w:val="006F206A"/>
    <w:rsid w:val="006F5670"/>
    <w:rsid w:val="006F712D"/>
    <w:rsid w:val="006F7A90"/>
    <w:rsid w:val="00700106"/>
    <w:rsid w:val="00702BDE"/>
    <w:rsid w:val="00704AFE"/>
    <w:rsid w:val="00705709"/>
    <w:rsid w:val="007073A2"/>
    <w:rsid w:val="00710CA0"/>
    <w:rsid w:val="00711AFA"/>
    <w:rsid w:val="00712362"/>
    <w:rsid w:val="00712B08"/>
    <w:rsid w:val="00712EF9"/>
    <w:rsid w:val="007133BA"/>
    <w:rsid w:val="00713780"/>
    <w:rsid w:val="007137C6"/>
    <w:rsid w:val="00716686"/>
    <w:rsid w:val="0071669E"/>
    <w:rsid w:val="00717E7C"/>
    <w:rsid w:val="00720FB0"/>
    <w:rsid w:val="007213F9"/>
    <w:rsid w:val="00721F7D"/>
    <w:rsid w:val="00722D05"/>
    <w:rsid w:val="007233D4"/>
    <w:rsid w:val="00723898"/>
    <w:rsid w:val="00723C6E"/>
    <w:rsid w:val="00724970"/>
    <w:rsid w:val="007258AF"/>
    <w:rsid w:val="0072721F"/>
    <w:rsid w:val="00727CB4"/>
    <w:rsid w:val="007304D0"/>
    <w:rsid w:val="00730950"/>
    <w:rsid w:val="007336CB"/>
    <w:rsid w:val="0073493A"/>
    <w:rsid w:val="00735127"/>
    <w:rsid w:val="007358A3"/>
    <w:rsid w:val="00735C53"/>
    <w:rsid w:val="00735CF3"/>
    <w:rsid w:val="00736C4F"/>
    <w:rsid w:val="007410AD"/>
    <w:rsid w:val="00744518"/>
    <w:rsid w:val="00744BBB"/>
    <w:rsid w:val="007451C0"/>
    <w:rsid w:val="007452A3"/>
    <w:rsid w:val="007539C0"/>
    <w:rsid w:val="00753D6A"/>
    <w:rsid w:val="0075490E"/>
    <w:rsid w:val="00757C1E"/>
    <w:rsid w:val="007619A9"/>
    <w:rsid w:val="00762DC8"/>
    <w:rsid w:val="00763FE7"/>
    <w:rsid w:val="007641FC"/>
    <w:rsid w:val="007667EF"/>
    <w:rsid w:val="00767532"/>
    <w:rsid w:val="0076761A"/>
    <w:rsid w:val="00767831"/>
    <w:rsid w:val="00767901"/>
    <w:rsid w:val="00767EC3"/>
    <w:rsid w:val="00771019"/>
    <w:rsid w:val="00771555"/>
    <w:rsid w:val="00772D03"/>
    <w:rsid w:val="007737DC"/>
    <w:rsid w:val="00774222"/>
    <w:rsid w:val="00774C82"/>
    <w:rsid w:val="00776B1E"/>
    <w:rsid w:val="00777009"/>
    <w:rsid w:val="0077701A"/>
    <w:rsid w:val="0077713D"/>
    <w:rsid w:val="0078031E"/>
    <w:rsid w:val="00781587"/>
    <w:rsid w:val="00782ABD"/>
    <w:rsid w:val="00782CF7"/>
    <w:rsid w:val="00785E6F"/>
    <w:rsid w:val="00786CCD"/>
    <w:rsid w:val="00787C1A"/>
    <w:rsid w:val="007906A3"/>
    <w:rsid w:val="007919E8"/>
    <w:rsid w:val="00793293"/>
    <w:rsid w:val="00793531"/>
    <w:rsid w:val="00794FC3"/>
    <w:rsid w:val="00795195"/>
    <w:rsid w:val="007A0BB3"/>
    <w:rsid w:val="007A40A9"/>
    <w:rsid w:val="007A41A6"/>
    <w:rsid w:val="007A4EC8"/>
    <w:rsid w:val="007A4F77"/>
    <w:rsid w:val="007A67A1"/>
    <w:rsid w:val="007A755F"/>
    <w:rsid w:val="007A7825"/>
    <w:rsid w:val="007A7A26"/>
    <w:rsid w:val="007B00B8"/>
    <w:rsid w:val="007B0D1D"/>
    <w:rsid w:val="007B178A"/>
    <w:rsid w:val="007B1DE9"/>
    <w:rsid w:val="007B3A98"/>
    <w:rsid w:val="007B4CA0"/>
    <w:rsid w:val="007B713E"/>
    <w:rsid w:val="007C0CF6"/>
    <w:rsid w:val="007C3072"/>
    <w:rsid w:val="007C4312"/>
    <w:rsid w:val="007C4D4B"/>
    <w:rsid w:val="007C4F78"/>
    <w:rsid w:val="007C5F08"/>
    <w:rsid w:val="007C61B0"/>
    <w:rsid w:val="007C620F"/>
    <w:rsid w:val="007C78C3"/>
    <w:rsid w:val="007C7FE1"/>
    <w:rsid w:val="007D1B0D"/>
    <w:rsid w:val="007D2B34"/>
    <w:rsid w:val="007D2EC3"/>
    <w:rsid w:val="007D3C93"/>
    <w:rsid w:val="007D438D"/>
    <w:rsid w:val="007D43D2"/>
    <w:rsid w:val="007D5541"/>
    <w:rsid w:val="007D621D"/>
    <w:rsid w:val="007D66BB"/>
    <w:rsid w:val="007E0A74"/>
    <w:rsid w:val="007E1765"/>
    <w:rsid w:val="007E1EBC"/>
    <w:rsid w:val="007E3F56"/>
    <w:rsid w:val="007E4676"/>
    <w:rsid w:val="007E57FC"/>
    <w:rsid w:val="007E5C11"/>
    <w:rsid w:val="007E5FC6"/>
    <w:rsid w:val="007E5FDB"/>
    <w:rsid w:val="007E61BC"/>
    <w:rsid w:val="007E64D6"/>
    <w:rsid w:val="007E68A1"/>
    <w:rsid w:val="007F1D58"/>
    <w:rsid w:val="007F3496"/>
    <w:rsid w:val="007F6944"/>
    <w:rsid w:val="0080412B"/>
    <w:rsid w:val="008047E3"/>
    <w:rsid w:val="008053D5"/>
    <w:rsid w:val="008057D7"/>
    <w:rsid w:val="008062A4"/>
    <w:rsid w:val="0080636D"/>
    <w:rsid w:val="0080698E"/>
    <w:rsid w:val="008101AB"/>
    <w:rsid w:val="008102F2"/>
    <w:rsid w:val="008112D5"/>
    <w:rsid w:val="00812321"/>
    <w:rsid w:val="00814136"/>
    <w:rsid w:val="008167E8"/>
    <w:rsid w:val="008168F7"/>
    <w:rsid w:val="00820CAB"/>
    <w:rsid w:val="00820DF0"/>
    <w:rsid w:val="00820F6A"/>
    <w:rsid w:val="008223DA"/>
    <w:rsid w:val="008238CE"/>
    <w:rsid w:val="0082498B"/>
    <w:rsid w:val="00826696"/>
    <w:rsid w:val="00826A77"/>
    <w:rsid w:val="00826C0B"/>
    <w:rsid w:val="008326E8"/>
    <w:rsid w:val="008341A5"/>
    <w:rsid w:val="008344BE"/>
    <w:rsid w:val="00835E91"/>
    <w:rsid w:val="0083603E"/>
    <w:rsid w:val="00836171"/>
    <w:rsid w:val="00836344"/>
    <w:rsid w:val="00836AE3"/>
    <w:rsid w:val="00842256"/>
    <w:rsid w:val="00844184"/>
    <w:rsid w:val="0084474F"/>
    <w:rsid w:val="00844DD9"/>
    <w:rsid w:val="00847775"/>
    <w:rsid w:val="00850C00"/>
    <w:rsid w:val="00850E3F"/>
    <w:rsid w:val="0085149C"/>
    <w:rsid w:val="0085230D"/>
    <w:rsid w:val="00852F00"/>
    <w:rsid w:val="00853A9D"/>
    <w:rsid w:val="0085466A"/>
    <w:rsid w:val="00855B6E"/>
    <w:rsid w:val="00855CC2"/>
    <w:rsid w:val="00855F4B"/>
    <w:rsid w:val="00857227"/>
    <w:rsid w:val="00857D76"/>
    <w:rsid w:val="008650DA"/>
    <w:rsid w:val="0086633A"/>
    <w:rsid w:val="0086770B"/>
    <w:rsid w:val="00867E5E"/>
    <w:rsid w:val="00870D94"/>
    <w:rsid w:val="008726FD"/>
    <w:rsid w:val="0087462B"/>
    <w:rsid w:val="00874EEF"/>
    <w:rsid w:val="008757B5"/>
    <w:rsid w:val="00876579"/>
    <w:rsid w:val="0087690C"/>
    <w:rsid w:val="0087746C"/>
    <w:rsid w:val="00877DC7"/>
    <w:rsid w:val="00881EA4"/>
    <w:rsid w:val="00881F3A"/>
    <w:rsid w:val="00882068"/>
    <w:rsid w:val="008821CE"/>
    <w:rsid w:val="00882AC6"/>
    <w:rsid w:val="00882F0B"/>
    <w:rsid w:val="008860A9"/>
    <w:rsid w:val="0088747A"/>
    <w:rsid w:val="00890208"/>
    <w:rsid w:val="00890F15"/>
    <w:rsid w:val="0089200F"/>
    <w:rsid w:val="008931A3"/>
    <w:rsid w:val="0089356C"/>
    <w:rsid w:val="008952A4"/>
    <w:rsid w:val="00895BB8"/>
    <w:rsid w:val="00897E94"/>
    <w:rsid w:val="008A00FF"/>
    <w:rsid w:val="008A05C6"/>
    <w:rsid w:val="008A3117"/>
    <w:rsid w:val="008A468B"/>
    <w:rsid w:val="008A745B"/>
    <w:rsid w:val="008A7742"/>
    <w:rsid w:val="008A7CB2"/>
    <w:rsid w:val="008B0776"/>
    <w:rsid w:val="008B31B6"/>
    <w:rsid w:val="008B3D3A"/>
    <w:rsid w:val="008B5071"/>
    <w:rsid w:val="008B56D8"/>
    <w:rsid w:val="008B64C9"/>
    <w:rsid w:val="008B74C6"/>
    <w:rsid w:val="008B7E85"/>
    <w:rsid w:val="008C14A3"/>
    <w:rsid w:val="008C25C2"/>
    <w:rsid w:val="008C25E2"/>
    <w:rsid w:val="008C302A"/>
    <w:rsid w:val="008C33BD"/>
    <w:rsid w:val="008C5A5B"/>
    <w:rsid w:val="008C7E64"/>
    <w:rsid w:val="008D00A5"/>
    <w:rsid w:val="008D0626"/>
    <w:rsid w:val="008D196C"/>
    <w:rsid w:val="008D1EB4"/>
    <w:rsid w:val="008D2F75"/>
    <w:rsid w:val="008D4B7F"/>
    <w:rsid w:val="008D52D3"/>
    <w:rsid w:val="008D6624"/>
    <w:rsid w:val="008D6A0A"/>
    <w:rsid w:val="008D6D1E"/>
    <w:rsid w:val="008E0318"/>
    <w:rsid w:val="008E05AF"/>
    <w:rsid w:val="008E2C8E"/>
    <w:rsid w:val="008E2D42"/>
    <w:rsid w:val="008E336F"/>
    <w:rsid w:val="008E401E"/>
    <w:rsid w:val="008E4E61"/>
    <w:rsid w:val="008E4F95"/>
    <w:rsid w:val="008E51D1"/>
    <w:rsid w:val="008E5293"/>
    <w:rsid w:val="008E6FED"/>
    <w:rsid w:val="008F02FD"/>
    <w:rsid w:val="008F1757"/>
    <w:rsid w:val="008F29EC"/>
    <w:rsid w:val="008F2AB7"/>
    <w:rsid w:val="008F2CE8"/>
    <w:rsid w:val="008F4EC2"/>
    <w:rsid w:val="008F55F5"/>
    <w:rsid w:val="008F57B7"/>
    <w:rsid w:val="00900853"/>
    <w:rsid w:val="00901ACA"/>
    <w:rsid w:val="00901C65"/>
    <w:rsid w:val="00905000"/>
    <w:rsid w:val="00905EA6"/>
    <w:rsid w:val="009061E5"/>
    <w:rsid w:val="0090671C"/>
    <w:rsid w:val="00907158"/>
    <w:rsid w:val="00907354"/>
    <w:rsid w:val="009101E8"/>
    <w:rsid w:val="0091175A"/>
    <w:rsid w:val="00911A6D"/>
    <w:rsid w:val="00911DBF"/>
    <w:rsid w:val="00912DF3"/>
    <w:rsid w:val="009168DC"/>
    <w:rsid w:val="009215C4"/>
    <w:rsid w:val="00921EA3"/>
    <w:rsid w:val="00923243"/>
    <w:rsid w:val="009254A1"/>
    <w:rsid w:val="00926329"/>
    <w:rsid w:val="00926A83"/>
    <w:rsid w:val="0092722E"/>
    <w:rsid w:val="00927CBF"/>
    <w:rsid w:val="00930D6C"/>
    <w:rsid w:val="00931439"/>
    <w:rsid w:val="0093173B"/>
    <w:rsid w:val="00931840"/>
    <w:rsid w:val="00931B4E"/>
    <w:rsid w:val="009324C3"/>
    <w:rsid w:val="0093346B"/>
    <w:rsid w:val="00933CE5"/>
    <w:rsid w:val="00934641"/>
    <w:rsid w:val="00935310"/>
    <w:rsid w:val="00935CEA"/>
    <w:rsid w:val="009360D8"/>
    <w:rsid w:val="00940A16"/>
    <w:rsid w:val="00940C3A"/>
    <w:rsid w:val="00941EE7"/>
    <w:rsid w:val="00942147"/>
    <w:rsid w:val="0094218C"/>
    <w:rsid w:val="00943ED1"/>
    <w:rsid w:val="009443E5"/>
    <w:rsid w:val="00945DAA"/>
    <w:rsid w:val="009461F9"/>
    <w:rsid w:val="0094739D"/>
    <w:rsid w:val="0095034C"/>
    <w:rsid w:val="0095085C"/>
    <w:rsid w:val="00950AE9"/>
    <w:rsid w:val="00950CB5"/>
    <w:rsid w:val="0095179E"/>
    <w:rsid w:val="00951DA1"/>
    <w:rsid w:val="00951E20"/>
    <w:rsid w:val="00952AB0"/>
    <w:rsid w:val="00953E62"/>
    <w:rsid w:val="00954012"/>
    <w:rsid w:val="009540D0"/>
    <w:rsid w:val="0095781E"/>
    <w:rsid w:val="00961167"/>
    <w:rsid w:val="0096159C"/>
    <w:rsid w:val="009617FA"/>
    <w:rsid w:val="009623EA"/>
    <w:rsid w:val="009624C3"/>
    <w:rsid w:val="009627C4"/>
    <w:rsid w:val="009649C4"/>
    <w:rsid w:val="0096508C"/>
    <w:rsid w:val="00965258"/>
    <w:rsid w:val="00965A14"/>
    <w:rsid w:val="00965DEC"/>
    <w:rsid w:val="00971A6A"/>
    <w:rsid w:val="00972A51"/>
    <w:rsid w:val="009731F3"/>
    <w:rsid w:val="00974975"/>
    <w:rsid w:val="0097549F"/>
    <w:rsid w:val="00977598"/>
    <w:rsid w:val="00977FFD"/>
    <w:rsid w:val="009804F0"/>
    <w:rsid w:val="009804FD"/>
    <w:rsid w:val="009821A1"/>
    <w:rsid w:val="009843B6"/>
    <w:rsid w:val="0098497C"/>
    <w:rsid w:val="0098538A"/>
    <w:rsid w:val="009932A3"/>
    <w:rsid w:val="00993F29"/>
    <w:rsid w:val="00996505"/>
    <w:rsid w:val="00996978"/>
    <w:rsid w:val="00997CE4"/>
    <w:rsid w:val="009A2273"/>
    <w:rsid w:val="009A26E3"/>
    <w:rsid w:val="009A2748"/>
    <w:rsid w:val="009A3162"/>
    <w:rsid w:val="009A359B"/>
    <w:rsid w:val="009A3B7F"/>
    <w:rsid w:val="009A44CD"/>
    <w:rsid w:val="009A59AD"/>
    <w:rsid w:val="009A6617"/>
    <w:rsid w:val="009B1D3E"/>
    <w:rsid w:val="009B1D65"/>
    <w:rsid w:val="009B382B"/>
    <w:rsid w:val="009B4F5C"/>
    <w:rsid w:val="009B53A5"/>
    <w:rsid w:val="009B6EF4"/>
    <w:rsid w:val="009C0D72"/>
    <w:rsid w:val="009C156D"/>
    <w:rsid w:val="009C248A"/>
    <w:rsid w:val="009C25FA"/>
    <w:rsid w:val="009C3009"/>
    <w:rsid w:val="009C37F6"/>
    <w:rsid w:val="009C52E2"/>
    <w:rsid w:val="009C5DE6"/>
    <w:rsid w:val="009C6CB5"/>
    <w:rsid w:val="009C7420"/>
    <w:rsid w:val="009D065A"/>
    <w:rsid w:val="009D07A4"/>
    <w:rsid w:val="009D17F1"/>
    <w:rsid w:val="009D1977"/>
    <w:rsid w:val="009D22F6"/>
    <w:rsid w:val="009D26E0"/>
    <w:rsid w:val="009D50B5"/>
    <w:rsid w:val="009D541E"/>
    <w:rsid w:val="009D6B35"/>
    <w:rsid w:val="009E0421"/>
    <w:rsid w:val="009E1A09"/>
    <w:rsid w:val="009E375D"/>
    <w:rsid w:val="009E593C"/>
    <w:rsid w:val="009E5EDE"/>
    <w:rsid w:val="009F073C"/>
    <w:rsid w:val="009F0D90"/>
    <w:rsid w:val="009F1C04"/>
    <w:rsid w:val="009F2AA6"/>
    <w:rsid w:val="009F3CC6"/>
    <w:rsid w:val="009F3F04"/>
    <w:rsid w:val="009F4208"/>
    <w:rsid w:val="009F46AF"/>
    <w:rsid w:val="009F6942"/>
    <w:rsid w:val="009F6C21"/>
    <w:rsid w:val="009F6F3C"/>
    <w:rsid w:val="009F74C0"/>
    <w:rsid w:val="009F76A0"/>
    <w:rsid w:val="00A00A03"/>
    <w:rsid w:val="00A01E93"/>
    <w:rsid w:val="00A0290C"/>
    <w:rsid w:val="00A04CF6"/>
    <w:rsid w:val="00A0621E"/>
    <w:rsid w:val="00A06BA1"/>
    <w:rsid w:val="00A074EE"/>
    <w:rsid w:val="00A110BC"/>
    <w:rsid w:val="00A116D0"/>
    <w:rsid w:val="00A11711"/>
    <w:rsid w:val="00A117A6"/>
    <w:rsid w:val="00A11F52"/>
    <w:rsid w:val="00A1240E"/>
    <w:rsid w:val="00A12FF6"/>
    <w:rsid w:val="00A13B19"/>
    <w:rsid w:val="00A1618B"/>
    <w:rsid w:val="00A17091"/>
    <w:rsid w:val="00A17A9C"/>
    <w:rsid w:val="00A211DE"/>
    <w:rsid w:val="00A2266F"/>
    <w:rsid w:val="00A2288D"/>
    <w:rsid w:val="00A242B4"/>
    <w:rsid w:val="00A24E3B"/>
    <w:rsid w:val="00A2678B"/>
    <w:rsid w:val="00A26B7F"/>
    <w:rsid w:val="00A276D1"/>
    <w:rsid w:val="00A27D44"/>
    <w:rsid w:val="00A27E72"/>
    <w:rsid w:val="00A306D1"/>
    <w:rsid w:val="00A325BF"/>
    <w:rsid w:val="00A32C4A"/>
    <w:rsid w:val="00A34C6B"/>
    <w:rsid w:val="00A415C6"/>
    <w:rsid w:val="00A4170D"/>
    <w:rsid w:val="00A41B00"/>
    <w:rsid w:val="00A4339E"/>
    <w:rsid w:val="00A442CD"/>
    <w:rsid w:val="00A45078"/>
    <w:rsid w:val="00A45C68"/>
    <w:rsid w:val="00A50018"/>
    <w:rsid w:val="00A53BE4"/>
    <w:rsid w:val="00A54B7F"/>
    <w:rsid w:val="00A55CA8"/>
    <w:rsid w:val="00A600D3"/>
    <w:rsid w:val="00A60A7C"/>
    <w:rsid w:val="00A60E31"/>
    <w:rsid w:val="00A62452"/>
    <w:rsid w:val="00A64FC8"/>
    <w:rsid w:val="00A65FBC"/>
    <w:rsid w:val="00A66555"/>
    <w:rsid w:val="00A66980"/>
    <w:rsid w:val="00A71302"/>
    <w:rsid w:val="00A723EB"/>
    <w:rsid w:val="00A73D92"/>
    <w:rsid w:val="00A74B4D"/>
    <w:rsid w:val="00A762CA"/>
    <w:rsid w:val="00A7680A"/>
    <w:rsid w:val="00A76D02"/>
    <w:rsid w:val="00A810B8"/>
    <w:rsid w:val="00A81899"/>
    <w:rsid w:val="00A82792"/>
    <w:rsid w:val="00A83A46"/>
    <w:rsid w:val="00A84189"/>
    <w:rsid w:val="00A856B4"/>
    <w:rsid w:val="00A8629E"/>
    <w:rsid w:val="00A86369"/>
    <w:rsid w:val="00A87626"/>
    <w:rsid w:val="00A8791B"/>
    <w:rsid w:val="00A87D35"/>
    <w:rsid w:val="00A9002E"/>
    <w:rsid w:val="00A91EF1"/>
    <w:rsid w:val="00A93D71"/>
    <w:rsid w:val="00A946AB"/>
    <w:rsid w:val="00A94B51"/>
    <w:rsid w:val="00A97511"/>
    <w:rsid w:val="00A97795"/>
    <w:rsid w:val="00A97972"/>
    <w:rsid w:val="00AA0155"/>
    <w:rsid w:val="00AA08D3"/>
    <w:rsid w:val="00AA0FFF"/>
    <w:rsid w:val="00AA19D1"/>
    <w:rsid w:val="00AA2682"/>
    <w:rsid w:val="00AA3F59"/>
    <w:rsid w:val="00AA426B"/>
    <w:rsid w:val="00AA46DA"/>
    <w:rsid w:val="00AA6C3B"/>
    <w:rsid w:val="00AB074C"/>
    <w:rsid w:val="00AB17A4"/>
    <w:rsid w:val="00AB313A"/>
    <w:rsid w:val="00AB4AA8"/>
    <w:rsid w:val="00AB51FE"/>
    <w:rsid w:val="00AB546E"/>
    <w:rsid w:val="00AB6955"/>
    <w:rsid w:val="00AC00EB"/>
    <w:rsid w:val="00AC1AF0"/>
    <w:rsid w:val="00AC2B31"/>
    <w:rsid w:val="00AC3663"/>
    <w:rsid w:val="00AC3A02"/>
    <w:rsid w:val="00AC4912"/>
    <w:rsid w:val="00AC529F"/>
    <w:rsid w:val="00AC52DA"/>
    <w:rsid w:val="00AC5651"/>
    <w:rsid w:val="00AC5921"/>
    <w:rsid w:val="00AC5A58"/>
    <w:rsid w:val="00AC5D6E"/>
    <w:rsid w:val="00AD1F2B"/>
    <w:rsid w:val="00AD31A7"/>
    <w:rsid w:val="00AD3415"/>
    <w:rsid w:val="00AD416B"/>
    <w:rsid w:val="00AD5AD7"/>
    <w:rsid w:val="00AD5D4C"/>
    <w:rsid w:val="00AD7AD6"/>
    <w:rsid w:val="00AE00B0"/>
    <w:rsid w:val="00AE1AE2"/>
    <w:rsid w:val="00AE20B6"/>
    <w:rsid w:val="00AE340C"/>
    <w:rsid w:val="00AE3565"/>
    <w:rsid w:val="00AE3849"/>
    <w:rsid w:val="00AE4E36"/>
    <w:rsid w:val="00AE5991"/>
    <w:rsid w:val="00AE5C8D"/>
    <w:rsid w:val="00AE7729"/>
    <w:rsid w:val="00AF32D9"/>
    <w:rsid w:val="00AF46EE"/>
    <w:rsid w:val="00AF6460"/>
    <w:rsid w:val="00AF6D49"/>
    <w:rsid w:val="00B01F5B"/>
    <w:rsid w:val="00B02A51"/>
    <w:rsid w:val="00B03A3B"/>
    <w:rsid w:val="00B03F38"/>
    <w:rsid w:val="00B042CD"/>
    <w:rsid w:val="00B05A32"/>
    <w:rsid w:val="00B06E68"/>
    <w:rsid w:val="00B15D1C"/>
    <w:rsid w:val="00B20170"/>
    <w:rsid w:val="00B211C4"/>
    <w:rsid w:val="00B21332"/>
    <w:rsid w:val="00B21559"/>
    <w:rsid w:val="00B21983"/>
    <w:rsid w:val="00B21E3E"/>
    <w:rsid w:val="00B22C1D"/>
    <w:rsid w:val="00B22C74"/>
    <w:rsid w:val="00B22D7A"/>
    <w:rsid w:val="00B22F22"/>
    <w:rsid w:val="00B23270"/>
    <w:rsid w:val="00B24943"/>
    <w:rsid w:val="00B262EA"/>
    <w:rsid w:val="00B2652B"/>
    <w:rsid w:val="00B26AC7"/>
    <w:rsid w:val="00B26F6B"/>
    <w:rsid w:val="00B27AC3"/>
    <w:rsid w:val="00B303DE"/>
    <w:rsid w:val="00B31594"/>
    <w:rsid w:val="00B31A1A"/>
    <w:rsid w:val="00B32E34"/>
    <w:rsid w:val="00B3402E"/>
    <w:rsid w:val="00B350FC"/>
    <w:rsid w:val="00B35EE0"/>
    <w:rsid w:val="00B3614F"/>
    <w:rsid w:val="00B36EAC"/>
    <w:rsid w:val="00B3753E"/>
    <w:rsid w:val="00B37C87"/>
    <w:rsid w:val="00B415CA"/>
    <w:rsid w:val="00B43399"/>
    <w:rsid w:val="00B44970"/>
    <w:rsid w:val="00B46603"/>
    <w:rsid w:val="00B4668F"/>
    <w:rsid w:val="00B4739C"/>
    <w:rsid w:val="00B47BBD"/>
    <w:rsid w:val="00B50C0D"/>
    <w:rsid w:val="00B514F6"/>
    <w:rsid w:val="00B52DF9"/>
    <w:rsid w:val="00B54734"/>
    <w:rsid w:val="00B57CC9"/>
    <w:rsid w:val="00B57FD1"/>
    <w:rsid w:val="00B60719"/>
    <w:rsid w:val="00B610E9"/>
    <w:rsid w:val="00B61581"/>
    <w:rsid w:val="00B61D34"/>
    <w:rsid w:val="00B61FCD"/>
    <w:rsid w:val="00B62A1E"/>
    <w:rsid w:val="00B63DDD"/>
    <w:rsid w:val="00B63E5E"/>
    <w:rsid w:val="00B6403A"/>
    <w:rsid w:val="00B6501C"/>
    <w:rsid w:val="00B6667C"/>
    <w:rsid w:val="00B70DAF"/>
    <w:rsid w:val="00B714C8"/>
    <w:rsid w:val="00B738D8"/>
    <w:rsid w:val="00B76889"/>
    <w:rsid w:val="00B807BB"/>
    <w:rsid w:val="00B8096E"/>
    <w:rsid w:val="00B80BA7"/>
    <w:rsid w:val="00B818AD"/>
    <w:rsid w:val="00B81F6A"/>
    <w:rsid w:val="00B83F3F"/>
    <w:rsid w:val="00B859E9"/>
    <w:rsid w:val="00B869D7"/>
    <w:rsid w:val="00B871D5"/>
    <w:rsid w:val="00B91E39"/>
    <w:rsid w:val="00B9241C"/>
    <w:rsid w:val="00B93619"/>
    <w:rsid w:val="00B93748"/>
    <w:rsid w:val="00B9463D"/>
    <w:rsid w:val="00B952BF"/>
    <w:rsid w:val="00B97005"/>
    <w:rsid w:val="00B97C6F"/>
    <w:rsid w:val="00BA311C"/>
    <w:rsid w:val="00BA3661"/>
    <w:rsid w:val="00BA38FA"/>
    <w:rsid w:val="00BA5921"/>
    <w:rsid w:val="00BA63B8"/>
    <w:rsid w:val="00BA6D2B"/>
    <w:rsid w:val="00BA75A9"/>
    <w:rsid w:val="00BB1C55"/>
    <w:rsid w:val="00BB1DA3"/>
    <w:rsid w:val="00BB37AD"/>
    <w:rsid w:val="00BB3D5D"/>
    <w:rsid w:val="00BB432C"/>
    <w:rsid w:val="00BB5896"/>
    <w:rsid w:val="00BB6005"/>
    <w:rsid w:val="00BB6B8F"/>
    <w:rsid w:val="00BC194F"/>
    <w:rsid w:val="00BC199B"/>
    <w:rsid w:val="00BC1DB7"/>
    <w:rsid w:val="00BC25EF"/>
    <w:rsid w:val="00BC2998"/>
    <w:rsid w:val="00BC2E80"/>
    <w:rsid w:val="00BC394C"/>
    <w:rsid w:val="00BC39BB"/>
    <w:rsid w:val="00BC39D8"/>
    <w:rsid w:val="00BC429E"/>
    <w:rsid w:val="00BC49AC"/>
    <w:rsid w:val="00BC4B71"/>
    <w:rsid w:val="00BC7B83"/>
    <w:rsid w:val="00BD08D5"/>
    <w:rsid w:val="00BD0DEE"/>
    <w:rsid w:val="00BD2969"/>
    <w:rsid w:val="00BD6358"/>
    <w:rsid w:val="00BD7FBC"/>
    <w:rsid w:val="00BE068F"/>
    <w:rsid w:val="00BE12D7"/>
    <w:rsid w:val="00BE12DC"/>
    <w:rsid w:val="00BE42D0"/>
    <w:rsid w:val="00BE5C17"/>
    <w:rsid w:val="00BE6D88"/>
    <w:rsid w:val="00BE6ECF"/>
    <w:rsid w:val="00BE7130"/>
    <w:rsid w:val="00BE784E"/>
    <w:rsid w:val="00BE7D2B"/>
    <w:rsid w:val="00BF13A2"/>
    <w:rsid w:val="00BF310D"/>
    <w:rsid w:val="00BF31AD"/>
    <w:rsid w:val="00BF500B"/>
    <w:rsid w:val="00BF7094"/>
    <w:rsid w:val="00BF7B1E"/>
    <w:rsid w:val="00C01D87"/>
    <w:rsid w:val="00C035B8"/>
    <w:rsid w:val="00C061D2"/>
    <w:rsid w:val="00C06CBA"/>
    <w:rsid w:val="00C06E75"/>
    <w:rsid w:val="00C1011F"/>
    <w:rsid w:val="00C1025C"/>
    <w:rsid w:val="00C137A1"/>
    <w:rsid w:val="00C145F0"/>
    <w:rsid w:val="00C1558B"/>
    <w:rsid w:val="00C16225"/>
    <w:rsid w:val="00C17796"/>
    <w:rsid w:val="00C17BAB"/>
    <w:rsid w:val="00C21962"/>
    <w:rsid w:val="00C23323"/>
    <w:rsid w:val="00C233C1"/>
    <w:rsid w:val="00C25242"/>
    <w:rsid w:val="00C257F3"/>
    <w:rsid w:val="00C25BAF"/>
    <w:rsid w:val="00C26023"/>
    <w:rsid w:val="00C264F9"/>
    <w:rsid w:val="00C2744F"/>
    <w:rsid w:val="00C30C06"/>
    <w:rsid w:val="00C33818"/>
    <w:rsid w:val="00C33B9A"/>
    <w:rsid w:val="00C340F1"/>
    <w:rsid w:val="00C34687"/>
    <w:rsid w:val="00C36608"/>
    <w:rsid w:val="00C366BB"/>
    <w:rsid w:val="00C40E55"/>
    <w:rsid w:val="00C4166A"/>
    <w:rsid w:val="00C419D6"/>
    <w:rsid w:val="00C4216E"/>
    <w:rsid w:val="00C4392B"/>
    <w:rsid w:val="00C45F20"/>
    <w:rsid w:val="00C46DDF"/>
    <w:rsid w:val="00C470B6"/>
    <w:rsid w:val="00C5125D"/>
    <w:rsid w:val="00C51CCD"/>
    <w:rsid w:val="00C52F7C"/>
    <w:rsid w:val="00C5415A"/>
    <w:rsid w:val="00C54B1C"/>
    <w:rsid w:val="00C55411"/>
    <w:rsid w:val="00C555D6"/>
    <w:rsid w:val="00C55BFF"/>
    <w:rsid w:val="00C56426"/>
    <w:rsid w:val="00C5799B"/>
    <w:rsid w:val="00C60851"/>
    <w:rsid w:val="00C62350"/>
    <w:rsid w:val="00C62862"/>
    <w:rsid w:val="00C64579"/>
    <w:rsid w:val="00C655E1"/>
    <w:rsid w:val="00C658AB"/>
    <w:rsid w:val="00C65E79"/>
    <w:rsid w:val="00C665F8"/>
    <w:rsid w:val="00C66ED3"/>
    <w:rsid w:val="00C67A4A"/>
    <w:rsid w:val="00C711F7"/>
    <w:rsid w:val="00C71C0F"/>
    <w:rsid w:val="00C76F7A"/>
    <w:rsid w:val="00C8160A"/>
    <w:rsid w:val="00C8176B"/>
    <w:rsid w:val="00C81D3D"/>
    <w:rsid w:val="00C82C75"/>
    <w:rsid w:val="00C8577B"/>
    <w:rsid w:val="00C8773B"/>
    <w:rsid w:val="00C900B3"/>
    <w:rsid w:val="00C90E74"/>
    <w:rsid w:val="00C912DC"/>
    <w:rsid w:val="00C91730"/>
    <w:rsid w:val="00C924FA"/>
    <w:rsid w:val="00C929EA"/>
    <w:rsid w:val="00C92F54"/>
    <w:rsid w:val="00C937EA"/>
    <w:rsid w:val="00C9636E"/>
    <w:rsid w:val="00C9692A"/>
    <w:rsid w:val="00C97336"/>
    <w:rsid w:val="00C97C04"/>
    <w:rsid w:val="00C97DA9"/>
    <w:rsid w:val="00CA03EB"/>
    <w:rsid w:val="00CA0646"/>
    <w:rsid w:val="00CA0E62"/>
    <w:rsid w:val="00CA2158"/>
    <w:rsid w:val="00CA2D29"/>
    <w:rsid w:val="00CA3856"/>
    <w:rsid w:val="00CA4300"/>
    <w:rsid w:val="00CA4F1F"/>
    <w:rsid w:val="00CA646B"/>
    <w:rsid w:val="00CA7538"/>
    <w:rsid w:val="00CA7926"/>
    <w:rsid w:val="00CB152F"/>
    <w:rsid w:val="00CB16A0"/>
    <w:rsid w:val="00CB374A"/>
    <w:rsid w:val="00CB40FF"/>
    <w:rsid w:val="00CB62DB"/>
    <w:rsid w:val="00CB63F9"/>
    <w:rsid w:val="00CC00D2"/>
    <w:rsid w:val="00CC123A"/>
    <w:rsid w:val="00CC168A"/>
    <w:rsid w:val="00CC17B6"/>
    <w:rsid w:val="00CC1B7F"/>
    <w:rsid w:val="00CC2362"/>
    <w:rsid w:val="00CC3C08"/>
    <w:rsid w:val="00CC4E00"/>
    <w:rsid w:val="00CC4E6C"/>
    <w:rsid w:val="00CC5CEE"/>
    <w:rsid w:val="00CC68E5"/>
    <w:rsid w:val="00CC78D0"/>
    <w:rsid w:val="00CD1504"/>
    <w:rsid w:val="00CD211B"/>
    <w:rsid w:val="00CD2556"/>
    <w:rsid w:val="00CD297E"/>
    <w:rsid w:val="00CD328E"/>
    <w:rsid w:val="00CD3F63"/>
    <w:rsid w:val="00CD4A24"/>
    <w:rsid w:val="00CD5E6C"/>
    <w:rsid w:val="00CD6246"/>
    <w:rsid w:val="00CD6577"/>
    <w:rsid w:val="00CD6CE1"/>
    <w:rsid w:val="00CD6E0F"/>
    <w:rsid w:val="00CE10E4"/>
    <w:rsid w:val="00CE112F"/>
    <w:rsid w:val="00CE1B71"/>
    <w:rsid w:val="00CE31CE"/>
    <w:rsid w:val="00CE349F"/>
    <w:rsid w:val="00CE52A2"/>
    <w:rsid w:val="00CE7A42"/>
    <w:rsid w:val="00CF00C5"/>
    <w:rsid w:val="00CF0488"/>
    <w:rsid w:val="00CF09AA"/>
    <w:rsid w:val="00CF09EB"/>
    <w:rsid w:val="00CF0B5C"/>
    <w:rsid w:val="00CF1044"/>
    <w:rsid w:val="00CF17A2"/>
    <w:rsid w:val="00CF376D"/>
    <w:rsid w:val="00CF38B3"/>
    <w:rsid w:val="00CF4CA6"/>
    <w:rsid w:val="00CF629D"/>
    <w:rsid w:val="00D0004E"/>
    <w:rsid w:val="00D01025"/>
    <w:rsid w:val="00D01791"/>
    <w:rsid w:val="00D03834"/>
    <w:rsid w:val="00D0386B"/>
    <w:rsid w:val="00D046AF"/>
    <w:rsid w:val="00D05A25"/>
    <w:rsid w:val="00D06E72"/>
    <w:rsid w:val="00D11427"/>
    <w:rsid w:val="00D1150C"/>
    <w:rsid w:val="00D116EE"/>
    <w:rsid w:val="00D11B71"/>
    <w:rsid w:val="00D13715"/>
    <w:rsid w:val="00D1462F"/>
    <w:rsid w:val="00D15738"/>
    <w:rsid w:val="00D15BD5"/>
    <w:rsid w:val="00D17C32"/>
    <w:rsid w:val="00D20DFB"/>
    <w:rsid w:val="00D21C10"/>
    <w:rsid w:val="00D22AB1"/>
    <w:rsid w:val="00D22CB5"/>
    <w:rsid w:val="00D238FC"/>
    <w:rsid w:val="00D240C3"/>
    <w:rsid w:val="00D24682"/>
    <w:rsid w:val="00D24862"/>
    <w:rsid w:val="00D25D4C"/>
    <w:rsid w:val="00D2616B"/>
    <w:rsid w:val="00D27761"/>
    <w:rsid w:val="00D30743"/>
    <w:rsid w:val="00D30DD3"/>
    <w:rsid w:val="00D31ADB"/>
    <w:rsid w:val="00D31C41"/>
    <w:rsid w:val="00D32607"/>
    <w:rsid w:val="00D32B75"/>
    <w:rsid w:val="00D3357F"/>
    <w:rsid w:val="00D435DA"/>
    <w:rsid w:val="00D46315"/>
    <w:rsid w:val="00D465E0"/>
    <w:rsid w:val="00D47B80"/>
    <w:rsid w:val="00D47B83"/>
    <w:rsid w:val="00D50FEF"/>
    <w:rsid w:val="00D51FC6"/>
    <w:rsid w:val="00D52B64"/>
    <w:rsid w:val="00D54ED4"/>
    <w:rsid w:val="00D614B9"/>
    <w:rsid w:val="00D62690"/>
    <w:rsid w:val="00D627E9"/>
    <w:rsid w:val="00D637B9"/>
    <w:rsid w:val="00D641E1"/>
    <w:rsid w:val="00D65D0F"/>
    <w:rsid w:val="00D66815"/>
    <w:rsid w:val="00D66B7C"/>
    <w:rsid w:val="00D677BE"/>
    <w:rsid w:val="00D70703"/>
    <w:rsid w:val="00D70D66"/>
    <w:rsid w:val="00D72D60"/>
    <w:rsid w:val="00D7302A"/>
    <w:rsid w:val="00D734D3"/>
    <w:rsid w:val="00D737E0"/>
    <w:rsid w:val="00D74A90"/>
    <w:rsid w:val="00D775F4"/>
    <w:rsid w:val="00D77E13"/>
    <w:rsid w:val="00D80366"/>
    <w:rsid w:val="00D82331"/>
    <w:rsid w:val="00D82BCA"/>
    <w:rsid w:val="00D84685"/>
    <w:rsid w:val="00D84708"/>
    <w:rsid w:val="00D85F20"/>
    <w:rsid w:val="00D86A8B"/>
    <w:rsid w:val="00D86BC9"/>
    <w:rsid w:val="00D87736"/>
    <w:rsid w:val="00D9194F"/>
    <w:rsid w:val="00D91AA0"/>
    <w:rsid w:val="00D93064"/>
    <w:rsid w:val="00D94A21"/>
    <w:rsid w:val="00D94C67"/>
    <w:rsid w:val="00D96999"/>
    <w:rsid w:val="00D96A54"/>
    <w:rsid w:val="00DA0200"/>
    <w:rsid w:val="00DA0D01"/>
    <w:rsid w:val="00DA135C"/>
    <w:rsid w:val="00DA1FB9"/>
    <w:rsid w:val="00DA44CB"/>
    <w:rsid w:val="00DA4776"/>
    <w:rsid w:val="00DA5C50"/>
    <w:rsid w:val="00DB0445"/>
    <w:rsid w:val="00DB1FCF"/>
    <w:rsid w:val="00DB64DB"/>
    <w:rsid w:val="00DB679C"/>
    <w:rsid w:val="00DB6CAC"/>
    <w:rsid w:val="00DC0110"/>
    <w:rsid w:val="00DC125B"/>
    <w:rsid w:val="00DC176C"/>
    <w:rsid w:val="00DC217E"/>
    <w:rsid w:val="00DC54E8"/>
    <w:rsid w:val="00DC5C9B"/>
    <w:rsid w:val="00DC5E06"/>
    <w:rsid w:val="00DC5E4C"/>
    <w:rsid w:val="00DD0550"/>
    <w:rsid w:val="00DD0BAE"/>
    <w:rsid w:val="00DD3B9B"/>
    <w:rsid w:val="00DD49D1"/>
    <w:rsid w:val="00DD7EAB"/>
    <w:rsid w:val="00DE0BC5"/>
    <w:rsid w:val="00DE0E52"/>
    <w:rsid w:val="00DE1280"/>
    <w:rsid w:val="00DE16BB"/>
    <w:rsid w:val="00DE28D7"/>
    <w:rsid w:val="00DE5FC0"/>
    <w:rsid w:val="00DE60D8"/>
    <w:rsid w:val="00DF1001"/>
    <w:rsid w:val="00DF1219"/>
    <w:rsid w:val="00DF281A"/>
    <w:rsid w:val="00DF406B"/>
    <w:rsid w:val="00DF642E"/>
    <w:rsid w:val="00DF6646"/>
    <w:rsid w:val="00DF6A8C"/>
    <w:rsid w:val="00DF77A2"/>
    <w:rsid w:val="00E00CF5"/>
    <w:rsid w:val="00E00EFB"/>
    <w:rsid w:val="00E01E7C"/>
    <w:rsid w:val="00E02BFB"/>
    <w:rsid w:val="00E0557E"/>
    <w:rsid w:val="00E058D5"/>
    <w:rsid w:val="00E064C5"/>
    <w:rsid w:val="00E0656E"/>
    <w:rsid w:val="00E06859"/>
    <w:rsid w:val="00E06AD8"/>
    <w:rsid w:val="00E06D91"/>
    <w:rsid w:val="00E07093"/>
    <w:rsid w:val="00E077BD"/>
    <w:rsid w:val="00E07D49"/>
    <w:rsid w:val="00E1210B"/>
    <w:rsid w:val="00E12131"/>
    <w:rsid w:val="00E12713"/>
    <w:rsid w:val="00E12937"/>
    <w:rsid w:val="00E12B6E"/>
    <w:rsid w:val="00E13E63"/>
    <w:rsid w:val="00E14913"/>
    <w:rsid w:val="00E1505A"/>
    <w:rsid w:val="00E1684C"/>
    <w:rsid w:val="00E17A80"/>
    <w:rsid w:val="00E21324"/>
    <w:rsid w:val="00E2343A"/>
    <w:rsid w:val="00E236D1"/>
    <w:rsid w:val="00E23CC7"/>
    <w:rsid w:val="00E250E1"/>
    <w:rsid w:val="00E25D9F"/>
    <w:rsid w:val="00E25EC3"/>
    <w:rsid w:val="00E25FDA"/>
    <w:rsid w:val="00E2729C"/>
    <w:rsid w:val="00E307BA"/>
    <w:rsid w:val="00E334C8"/>
    <w:rsid w:val="00E33DA3"/>
    <w:rsid w:val="00E3414F"/>
    <w:rsid w:val="00E341CC"/>
    <w:rsid w:val="00E3432B"/>
    <w:rsid w:val="00E34879"/>
    <w:rsid w:val="00E34B5A"/>
    <w:rsid w:val="00E34B96"/>
    <w:rsid w:val="00E365CD"/>
    <w:rsid w:val="00E3675D"/>
    <w:rsid w:val="00E36BD4"/>
    <w:rsid w:val="00E37965"/>
    <w:rsid w:val="00E40374"/>
    <w:rsid w:val="00E4097E"/>
    <w:rsid w:val="00E4099D"/>
    <w:rsid w:val="00E41CAC"/>
    <w:rsid w:val="00E44D6D"/>
    <w:rsid w:val="00E45CC5"/>
    <w:rsid w:val="00E467EA"/>
    <w:rsid w:val="00E47589"/>
    <w:rsid w:val="00E47B25"/>
    <w:rsid w:val="00E47B27"/>
    <w:rsid w:val="00E500DA"/>
    <w:rsid w:val="00E50962"/>
    <w:rsid w:val="00E513BF"/>
    <w:rsid w:val="00E51F8D"/>
    <w:rsid w:val="00E53CF1"/>
    <w:rsid w:val="00E54099"/>
    <w:rsid w:val="00E54D48"/>
    <w:rsid w:val="00E54F22"/>
    <w:rsid w:val="00E55966"/>
    <w:rsid w:val="00E5620E"/>
    <w:rsid w:val="00E5789F"/>
    <w:rsid w:val="00E6128D"/>
    <w:rsid w:val="00E6330A"/>
    <w:rsid w:val="00E633D1"/>
    <w:rsid w:val="00E64045"/>
    <w:rsid w:val="00E642D5"/>
    <w:rsid w:val="00E64662"/>
    <w:rsid w:val="00E67253"/>
    <w:rsid w:val="00E70A23"/>
    <w:rsid w:val="00E71094"/>
    <w:rsid w:val="00E71E90"/>
    <w:rsid w:val="00E72496"/>
    <w:rsid w:val="00E73550"/>
    <w:rsid w:val="00E73FD6"/>
    <w:rsid w:val="00E759FC"/>
    <w:rsid w:val="00E763AA"/>
    <w:rsid w:val="00E76491"/>
    <w:rsid w:val="00E765AE"/>
    <w:rsid w:val="00E765C5"/>
    <w:rsid w:val="00E770B0"/>
    <w:rsid w:val="00E778B0"/>
    <w:rsid w:val="00E81484"/>
    <w:rsid w:val="00E87A66"/>
    <w:rsid w:val="00E90510"/>
    <w:rsid w:val="00E917B2"/>
    <w:rsid w:val="00E91E57"/>
    <w:rsid w:val="00E922A2"/>
    <w:rsid w:val="00E92C9B"/>
    <w:rsid w:val="00E93DD3"/>
    <w:rsid w:val="00E94502"/>
    <w:rsid w:val="00E94894"/>
    <w:rsid w:val="00E94D83"/>
    <w:rsid w:val="00E9562B"/>
    <w:rsid w:val="00E95C49"/>
    <w:rsid w:val="00E9725A"/>
    <w:rsid w:val="00EA08AA"/>
    <w:rsid w:val="00EA2C6D"/>
    <w:rsid w:val="00EA45A9"/>
    <w:rsid w:val="00EA56D8"/>
    <w:rsid w:val="00EA5A4D"/>
    <w:rsid w:val="00EA6FD7"/>
    <w:rsid w:val="00EA73AB"/>
    <w:rsid w:val="00EA79AF"/>
    <w:rsid w:val="00EA7D68"/>
    <w:rsid w:val="00EA7FC2"/>
    <w:rsid w:val="00EB1D12"/>
    <w:rsid w:val="00EB2A4C"/>
    <w:rsid w:val="00EB3331"/>
    <w:rsid w:val="00EB7694"/>
    <w:rsid w:val="00EB772C"/>
    <w:rsid w:val="00EB794D"/>
    <w:rsid w:val="00EC0596"/>
    <w:rsid w:val="00EC1343"/>
    <w:rsid w:val="00EC2B20"/>
    <w:rsid w:val="00EC3425"/>
    <w:rsid w:val="00EC3E73"/>
    <w:rsid w:val="00EC5026"/>
    <w:rsid w:val="00EC5DCE"/>
    <w:rsid w:val="00EC6AD5"/>
    <w:rsid w:val="00EC75E3"/>
    <w:rsid w:val="00EC79BD"/>
    <w:rsid w:val="00EC7B4E"/>
    <w:rsid w:val="00ED0166"/>
    <w:rsid w:val="00ED2C40"/>
    <w:rsid w:val="00ED2CF3"/>
    <w:rsid w:val="00ED2D99"/>
    <w:rsid w:val="00ED3CF5"/>
    <w:rsid w:val="00ED439C"/>
    <w:rsid w:val="00ED5291"/>
    <w:rsid w:val="00ED7138"/>
    <w:rsid w:val="00ED7BDC"/>
    <w:rsid w:val="00ED7E74"/>
    <w:rsid w:val="00EE3246"/>
    <w:rsid w:val="00EE4561"/>
    <w:rsid w:val="00EE4AE6"/>
    <w:rsid w:val="00EE4BAE"/>
    <w:rsid w:val="00EE52C3"/>
    <w:rsid w:val="00EE53D1"/>
    <w:rsid w:val="00EE5615"/>
    <w:rsid w:val="00EE635A"/>
    <w:rsid w:val="00EE63C1"/>
    <w:rsid w:val="00EE6704"/>
    <w:rsid w:val="00EE70A8"/>
    <w:rsid w:val="00EE7A59"/>
    <w:rsid w:val="00EF1352"/>
    <w:rsid w:val="00EF1F37"/>
    <w:rsid w:val="00EF2A8F"/>
    <w:rsid w:val="00EF4182"/>
    <w:rsid w:val="00EF61EF"/>
    <w:rsid w:val="00EF6B44"/>
    <w:rsid w:val="00EF6DEC"/>
    <w:rsid w:val="00EF73B4"/>
    <w:rsid w:val="00F0129C"/>
    <w:rsid w:val="00F01370"/>
    <w:rsid w:val="00F01A52"/>
    <w:rsid w:val="00F01BF3"/>
    <w:rsid w:val="00F05B4E"/>
    <w:rsid w:val="00F05C36"/>
    <w:rsid w:val="00F06B8E"/>
    <w:rsid w:val="00F07CB4"/>
    <w:rsid w:val="00F100A9"/>
    <w:rsid w:val="00F11657"/>
    <w:rsid w:val="00F118C0"/>
    <w:rsid w:val="00F11A5D"/>
    <w:rsid w:val="00F11DC8"/>
    <w:rsid w:val="00F1319D"/>
    <w:rsid w:val="00F13BF6"/>
    <w:rsid w:val="00F150C8"/>
    <w:rsid w:val="00F169B4"/>
    <w:rsid w:val="00F17E15"/>
    <w:rsid w:val="00F20B78"/>
    <w:rsid w:val="00F21480"/>
    <w:rsid w:val="00F218B2"/>
    <w:rsid w:val="00F22218"/>
    <w:rsid w:val="00F22CA4"/>
    <w:rsid w:val="00F23415"/>
    <w:rsid w:val="00F23EEB"/>
    <w:rsid w:val="00F24968"/>
    <w:rsid w:val="00F25DA8"/>
    <w:rsid w:val="00F260DE"/>
    <w:rsid w:val="00F260F6"/>
    <w:rsid w:val="00F2617C"/>
    <w:rsid w:val="00F26498"/>
    <w:rsid w:val="00F26547"/>
    <w:rsid w:val="00F2715A"/>
    <w:rsid w:val="00F27362"/>
    <w:rsid w:val="00F27CF5"/>
    <w:rsid w:val="00F3292A"/>
    <w:rsid w:val="00F32E17"/>
    <w:rsid w:val="00F3397E"/>
    <w:rsid w:val="00F34123"/>
    <w:rsid w:val="00F34524"/>
    <w:rsid w:val="00F34DA9"/>
    <w:rsid w:val="00F3526A"/>
    <w:rsid w:val="00F373B6"/>
    <w:rsid w:val="00F408BF"/>
    <w:rsid w:val="00F40CE3"/>
    <w:rsid w:val="00F41540"/>
    <w:rsid w:val="00F41716"/>
    <w:rsid w:val="00F42428"/>
    <w:rsid w:val="00F42CEC"/>
    <w:rsid w:val="00F439E0"/>
    <w:rsid w:val="00F43CAD"/>
    <w:rsid w:val="00F43CBC"/>
    <w:rsid w:val="00F456E6"/>
    <w:rsid w:val="00F46A4F"/>
    <w:rsid w:val="00F47534"/>
    <w:rsid w:val="00F51CDD"/>
    <w:rsid w:val="00F52806"/>
    <w:rsid w:val="00F55A8B"/>
    <w:rsid w:val="00F55B50"/>
    <w:rsid w:val="00F55C9C"/>
    <w:rsid w:val="00F600E3"/>
    <w:rsid w:val="00F62850"/>
    <w:rsid w:val="00F634F3"/>
    <w:rsid w:val="00F63638"/>
    <w:rsid w:val="00F657C0"/>
    <w:rsid w:val="00F700AC"/>
    <w:rsid w:val="00F71491"/>
    <w:rsid w:val="00F73076"/>
    <w:rsid w:val="00F742FD"/>
    <w:rsid w:val="00F7438F"/>
    <w:rsid w:val="00F76089"/>
    <w:rsid w:val="00F76F1B"/>
    <w:rsid w:val="00F771FD"/>
    <w:rsid w:val="00F77C8A"/>
    <w:rsid w:val="00F8004B"/>
    <w:rsid w:val="00F80646"/>
    <w:rsid w:val="00F80FC3"/>
    <w:rsid w:val="00F824B8"/>
    <w:rsid w:val="00F8273A"/>
    <w:rsid w:val="00F83B7A"/>
    <w:rsid w:val="00F846D6"/>
    <w:rsid w:val="00F851F9"/>
    <w:rsid w:val="00F86488"/>
    <w:rsid w:val="00F878D1"/>
    <w:rsid w:val="00F87B51"/>
    <w:rsid w:val="00F902DC"/>
    <w:rsid w:val="00F93B06"/>
    <w:rsid w:val="00F94456"/>
    <w:rsid w:val="00F946BD"/>
    <w:rsid w:val="00F966C2"/>
    <w:rsid w:val="00F96D02"/>
    <w:rsid w:val="00FA0642"/>
    <w:rsid w:val="00FA0C77"/>
    <w:rsid w:val="00FA5C6C"/>
    <w:rsid w:val="00FA7EAF"/>
    <w:rsid w:val="00FB1216"/>
    <w:rsid w:val="00FB1346"/>
    <w:rsid w:val="00FB3318"/>
    <w:rsid w:val="00FB345F"/>
    <w:rsid w:val="00FB50F9"/>
    <w:rsid w:val="00FB5341"/>
    <w:rsid w:val="00FB601C"/>
    <w:rsid w:val="00FB64BE"/>
    <w:rsid w:val="00FB6782"/>
    <w:rsid w:val="00FB7836"/>
    <w:rsid w:val="00FC037C"/>
    <w:rsid w:val="00FC1DDC"/>
    <w:rsid w:val="00FC256C"/>
    <w:rsid w:val="00FC2A4A"/>
    <w:rsid w:val="00FC2C98"/>
    <w:rsid w:val="00FC3839"/>
    <w:rsid w:val="00FC391C"/>
    <w:rsid w:val="00FC4E7A"/>
    <w:rsid w:val="00FC54FD"/>
    <w:rsid w:val="00FD06B6"/>
    <w:rsid w:val="00FD1025"/>
    <w:rsid w:val="00FD1BCF"/>
    <w:rsid w:val="00FD27D9"/>
    <w:rsid w:val="00FD2C48"/>
    <w:rsid w:val="00FD4CC7"/>
    <w:rsid w:val="00FD5C94"/>
    <w:rsid w:val="00FD6928"/>
    <w:rsid w:val="00FD755E"/>
    <w:rsid w:val="00FD7C23"/>
    <w:rsid w:val="00FE0FF6"/>
    <w:rsid w:val="00FE18EA"/>
    <w:rsid w:val="00FE1D9B"/>
    <w:rsid w:val="00FE265F"/>
    <w:rsid w:val="00FE2AC5"/>
    <w:rsid w:val="00FE2E3B"/>
    <w:rsid w:val="00FE4292"/>
    <w:rsid w:val="00FE4DE1"/>
    <w:rsid w:val="00FE5A49"/>
    <w:rsid w:val="00FE7480"/>
    <w:rsid w:val="00FF16DF"/>
    <w:rsid w:val="00FF1DEB"/>
    <w:rsid w:val="00FF2417"/>
    <w:rsid w:val="00FF2AAE"/>
    <w:rsid w:val="00FF3C28"/>
    <w:rsid w:val="00FF4AC3"/>
    <w:rsid w:val="00FF61BB"/>
    <w:rsid w:val="00FF67B5"/>
    <w:rsid w:val="00FF7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76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E1765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3B1714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1765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7E1765"/>
    <w:pPr>
      <w:spacing w:after="120" w:line="480" w:lineRule="auto"/>
    </w:pPr>
    <w:rPr>
      <w:rFonts w:eastAsia="Times New Roman"/>
    </w:rPr>
  </w:style>
  <w:style w:type="character" w:customStyle="1" w:styleId="22">
    <w:name w:val="Основной текст 2 Знак"/>
    <w:basedOn w:val="a0"/>
    <w:link w:val="21"/>
    <w:uiPriority w:val="99"/>
    <w:rsid w:val="007E17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rsid w:val="007E1765"/>
    <w:pPr>
      <w:spacing w:before="100" w:beforeAutospacing="1" w:after="100" w:afterAutospacing="1"/>
    </w:pPr>
    <w:rPr>
      <w:rFonts w:eastAsia="Times New Roman"/>
    </w:rPr>
  </w:style>
  <w:style w:type="character" w:styleId="a4">
    <w:name w:val="Strong"/>
    <w:uiPriority w:val="22"/>
    <w:qFormat/>
    <w:rsid w:val="007E1765"/>
    <w:rPr>
      <w:b/>
      <w:bCs/>
    </w:rPr>
  </w:style>
  <w:style w:type="paragraph" w:styleId="a5">
    <w:name w:val="Body Text Indent"/>
    <w:basedOn w:val="a"/>
    <w:link w:val="a6"/>
    <w:rsid w:val="007E176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7E1765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rsid w:val="007E1765"/>
    <w:rPr>
      <w:color w:val="0000FF"/>
      <w:u w:val="single"/>
    </w:rPr>
  </w:style>
  <w:style w:type="paragraph" w:customStyle="1" w:styleId="ConsPlusCell">
    <w:name w:val="ConsPlusCell"/>
    <w:uiPriority w:val="99"/>
    <w:rsid w:val="007E176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Гипертекстовая ссылка"/>
    <w:uiPriority w:val="99"/>
    <w:rsid w:val="007E1765"/>
    <w:rPr>
      <w:color w:val="106BBE"/>
    </w:rPr>
  </w:style>
  <w:style w:type="character" w:customStyle="1" w:styleId="a9">
    <w:name w:val="Цветовое выделение"/>
    <w:uiPriority w:val="99"/>
    <w:rsid w:val="007E1765"/>
    <w:rPr>
      <w:b/>
      <w:bCs/>
      <w:color w:val="26282F"/>
      <w:sz w:val="26"/>
      <w:szCs w:val="26"/>
    </w:rPr>
  </w:style>
  <w:style w:type="paragraph" w:customStyle="1" w:styleId="aa">
    <w:name w:val="Заголовок статьи"/>
    <w:basedOn w:val="a"/>
    <w:next w:val="a"/>
    <w:uiPriority w:val="99"/>
    <w:rsid w:val="007E1765"/>
    <w:pPr>
      <w:autoSpaceDE w:val="0"/>
      <w:autoSpaceDN w:val="0"/>
      <w:adjustRightInd w:val="0"/>
      <w:ind w:left="1612" w:hanging="892"/>
      <w:jc w:val="both"/>
    </w:pPr>
    <w:rPr>
      <w:rFonts w:ascii="Arial" w:eastAsia="Times New Roman" w:hAnsi="Arial"/>
    </w:rPr>
  </w:style>
  <w:style w:type="paragraph" w:customStyle="1" w:styleId="ab">
    <w:name w:val="Комментарий"/>
    <w:basedOn w:val="a"/>
    <w:next w:val="a"/>
    <w:uiPriority w:val="99"/>
    <w:rsid w:val="007E1765"/>
    <w:pPr>
      <w:autoSpaceDE w:val="0"/>
      <w:autoSpaceDN w:val="0"/>
      <w:adjustRightInd w:val="0"/>
      <w:spacing w:before="75"/>
      <w:jc w:val="both"/>
    </w:pPr>
    <w:rPr>
      <w:rFonts w:ascii="Arial" w:eastAsia="Times New Roman" w:hAnsi="Arial"/>
      <w:color w:val="353842"/>
      <w:shd w:val="clear" w:color="auto" w:fill="F0F0F0"/>
    </w:rPr>
  </w:style>
  <w:style w:type="paragraph" w:customStyle="1" w:styleId="ac">
    <w:name w:val="Информация об изменениях документа"/>
    <w:basedOn w:val="ab"/>
    <w:next w:val="a"/>
    <w:uiPriority w:val="99"/>
    <w:rsid w:val="007E1765"/>
    <w:pPr>
      <w:spacing w:before="0"/>
    </w:pPr>
    <w:rPr>
      <w:i/>
      <w:iCs/>
    </w:rPr>
  </w:style>
  <w:style w:type="paragraph" w:customStyle="1" w:styleId="ad">
    <w:name w:val="Прижатый влево"/>
    <w:basedOn w:val="a"/>
    <w:next w:val="a"/>
    <w:uiPriority w:val="99"/>
    <w:rsid w:val="007E1765"/>
    <w:pPr>
      <w:widowControl w:val="0"/>
      <w:autoSpaceDE w:val="0"/>
      <w:autoSpaceDN w:val="0"/>
      <w:adjustRightInd w:val="0"/>
    </w:pPr>
    <w:rPr>
      <w:rFonts w:ascii="Arial" w:eastAsia="Times New Roman" w:hAnsi="Arial"/>
    </w:rPr>
  </w:style>
  <w:style w:type="paragraph" w:customStyle="1" w:styleId="ConsPlusTitle">
    <w:name w:val="ConsPlusTitle"/>
    <w:rsid w:val="007E17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rsid w:val="007E1765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7E1765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0">
    <w:name w:val="page number"/>
    <w:basedOn w:val="a0"/>
    <w:rsid w:val="007E1765"/>
  </w:style>
  <w:style w:type="paragraph" w:styleId="af1">
    <w:name w:val="Title"/>
    <w:basedOn w:val="a"/>
    <w:link w:val="af2"/>
    <w:qFormat/>
    <w:rsid w:val="007E1765"/>
    <w:pPr>
      <w:jc w:val="center"/>
    </w:pPr>
    <w:rPr>
      <w:rFonts w:eastAsia="Times New Roman"/>
      <w:b/>
      <w:szCs w:val="20"/>
    </w:rPr>
  </w:style>
  <w:style w:type="character" w:customStyle="1" w:styleId="af2">
    <w:name w:val="Название Знак"/>
    <w:basedOn w:val="a0"/>
    <w:link w:val="af1"/>
    <w:rsid w:val="007E176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3">
    <w:name w:val="footer"/>
    <w:basedOn w:val="a"/>
    <w:link w:val="af4"/>
    <w:uiPriority w:val="99"/>
    <w:rsid w:val="007E1765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7E1765"/>
    <w:rPr>
      <w:rFonts w:ascii="Times New Roman" w:eastAsia="Calibri" w:hAnsi="Times New Roman" w:cs="Times New Roman"/>
      <w:sz w:val="24"/>
      <w:szCs w:val="24"/>
      <w:lang w:eastAsia="ru-RU"/>
    </w:rPr>
  </w:style>
  <w:style w:type="table" w:styleId="af5">
    <w:name w:val="Table Grid"/>
    <w:basedOn w:val="a1"/>
    <w:uiPriority w:val="59"/>
    <w:rsid w:val="007E17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ody Text"/>
    <w:aliases w:val="Òàáë òåêñò"/>
    <w:basedOn w:val="a"/>
    <w:link w:val="af7"/>
    <w:unhideWhenUsed/>
    <w:rsid w:val="007E1765"/>
    <w:pPr>
      <w:spacing w:after="120"/>
    </w:pPr>
    <w:rPr>
      <w:rFonts w:eastAsia="Times New Roman"/>
    </w:rPr>
  </w:style>
  <w:style w:type="character" w:customStyle="1" w:styleId="af7">
    <w:name w:val="Основной текст Знак"/>
    <w:aliases w:val="Òàáë òåêñò Знак1"/>
    <w:basedOn w:val="a0"/>
    <w:link w:val="af6"/>
    <w:rsid w:val="007E17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uiPriority w:val="99"/>
    <w:rsid w:val="007E1765"/>
    <w:pPr>
      <w:spacing w:before="100" w:beforeAutospacing="1" w:after="100" w:afterAutospacing="1"/>
    </w:pPr>
    <w:rPr>
      <w:rFonts w:eastAsia="Times New Roman"/>
    </w:rPr>
  </w:style>
  <w:style w:type="paragraph" w:styleId="af8">
    <w:name w:val="List Paragraph"/>
    <w:aliases w:val="_Абзац списка,A_маркированный_список,Bullet List,FooterText,numbered,ТЗ список,Абзац списка литеральный,Bullet 1,Use Case List Paragraph"/>
    <w:basedOn w:val="a"/>
    <w:link w:val="af9"/>
    <w:uiPriority w:val="34"/>
    <w:qFormat/>
    <w:rsid w:val="007E1765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7E17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5">
    <w:name w:val="Style5"/>
    <w:basedOn w:val="a"/>
    <w:uiPriority w:val="99"/>
    <w:rsid w:val="007E1765"/>
    <w:pPr>
      <w:widowControl w:val="0"/>
      <w:autoSpaceDE w:val="0"/>
      <w:autoSpaceDN w:val="0"/>
      <w:adjustRightInd w:val="0"/>
      <w:spacing w:line="307" w:lineRule="exact"/>
      <w:ind w:firstLine="662"/>
      <w:jc w:val="both"/>
    </w:pPr>
    <w:rPr>
      <w:rFonts w:eastAsia="Times New Roman"/>
    </w:rPr>
  </w:style>
  <w:style w:type="paragraph" w:customStyle="1" w:styleId="Style8">
    <w:name w:val="Style8"/>
    <w:basedOn w:val="a"/>
    <w:uiPriority w:val="99"/>
    <w:rsid w:val="007E1765"/>
    <w:pPr>
      <w:widowControl w:val="0"/>
      <w:autoSpaceDE w:val="0"/>
      <w:autoSpaceDN w:val="0"/>
      <w:adjustRightInd w:val="0"/>
      <w:spacing w:line="308" w:lineRule="exact"/>
      <w:ind w:firstLine="662"/>
      <w:jc w:val="both"/>
    </w:pPr>
    <w:rPr>
      <w:rFonts w:eastAsia="Times New Roman"/>
    </w:rPr>
  </w:style>
  <w:style w:type="character" w:customStyle="1" w:styleId="FontStyle15">
    <w:name w:val="Font Style15"/>
    <w:basedOn w:val="a0"/>
    <w:uiPriority w:val="99"/>
    <w:rsid w:val="007E1765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basedOn w:val="a0"/>
    <w:uiPriority w:val="99"/>
    <w:rsid w:val="007E1765"/>
    <w:rPr>
      <w:rFonts w:ascii="Times New Roman" w:hAnsi="Times New Roman" w:cs="Times New Roman"/>
      <w:sz w:val="26"/>
      <w:szCs w:val="26"/>
    </w:rPr>
  </w:style>
  <w:style w:type="character" w:customStyle="1" w:styleId="11">
    <w:name w:val="Основной текст Знак1"/>
    <w:aliases w:val="Òàáë òåêñò Знак"/>
    <w:basedOn w:val="a0"/>
    <w:rsid w:val="007E176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ceouttxt51">
    <w:name w:val="iceouttxt51"/>
    <w:basedOn w:val="a0"/>
    <w:rsid w:val="00174B2C"/>
    <w:rPr>
      <w:rFonts w:ascii="Arial" w:hAnsi="Arial" w:cs="Arial" w:hint="default"/>
      <w:color w:val="666666"/>
      <w:sz w:val="14"/>
      <w:szCs w:val="14"/>
    </w:rPr>
  </w:style>
  <w:style w:type="paragraph" w:styleId="3">
    <w:name w:val="Body Text Indent 3"/>
    <w:basedOn w:val="a"/>
    <w:link w:val="30"/>
    <w:uiPriority w:val="99"/>
    <w:unhideWhenUsed/>
    <w:rsid w:val="00CF048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CF0488"/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western">
    <w:name w:val="western"/>
    <w:basedOn w:val="a"/>
    <w:rsid w:val="006A4F07"/>
    <w:pPr>
      <w:spacing w:before="100" w:beforeAutospacing="1" w:after="100" w:afterAutospacing="1"/>
    </w:pPr>
    <w:rPr>
      <w:rFonts w:eastAsia="Times New Roman"/>
    </w:rPr>
  </w:style>
  <w:style w:type="paragraph" w:styleId="afa">
    <w:name w:val="No Spacing"/>
    <w:uiPriority w:val="1"/>
    <w:qFormat/>
    <w:rsid w:val="00FB601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expand">
    <w:name w:val="expand"/>
    <w:basedOn w:val="a"/>
    <w:rsid w:val="001A2044"/>
    <w:pPr>
      <w:spacing w:before="100" w:beforeAutospacing="1" w:after="100" w:afterAutospacing="1"/>
    </w:pPr>
    <w:rPr>
      <w:rFonts w:eastAsia="Times New Roman"/>
    </w:rPr>
  </w:style>
  <w:style w:type="paragraph" w:customStyle="1" w:styleId="collapse">
    <w:name w:val="collapse"/>
    <w:basedOn w:val="a"/>
    <w:rsid w:val="001A2044"/>
    <w:pPr>
      <w:spacing w:before="100" w:beforeAutospacing="1" w:after="100" w:afterAutospacing="1"/>
    </w:pPr>
    <w:rPr>
      <w:rFonts w:eastAsia="Times New Roman"/>
    </w:rPr>
  </w:style>
  <w:style w:type="character" w:styleId="afb">
    <w:name w:val="FollowedHyperlink"/>
    <w:basedOn w:val="a0"/>
    <w:uiPriority w:val="99"/>
    <w:semiHidden/>
    <w:unhideWhenUsed/>
    <w:rsid w:val="001A2044"/>
    <w:rPr>
      <w:color w:val="800080"/>
      <w:u w:val="single"/>
    </w:rPr>
  </w:style>
  <w:style w:type="character" w:customStyle="1" w:styleId="block">
    <w:name w:val="block"/>
    <w:basedOn w:val="a0"/>
    <w:rsid w:val="001A2044"/>
  </w:style>
  <w:style w:type="paragraph" w:styleId="afc">
    <w:name w:val="Balloon Text"/>
    <w:basedOn w:val="a"/>
    <w:link w:val="afd"/>
    <w:uiPriority w:val="99"/>
    <w:semiHidden/>
    <w:unhideWhenUsed/>
    <w:rsid w:val="004465F7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4465F7"/>
    <w:rPr>
      <w:rFonts w:ascii="Tahoma" w:eastAsia="Calibri" w:hAnsi="Tahoma" w:cs="Tahoma"/>
      <w:sz w:val="16"/>
      <w:szCs w:val="16"/>
      <w:lang w:eastAsia="ru-RU"/>
    </w:rPr>
  </w:style>
  <w:style w:type="paragraph" w:customStyle="1" w:styleId="ConsNormal">
    <w:name w:val="ConsNormal"/>
    <w:rsid w:val="00E540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table" w:customStyle="1" w:styleId="12">
    <w:name w:val="Сетка таблицы1"/>
    <w:basedOn w:val="a1"/>
    <w:next w:val="af5"/>
    <w:rsid w:val="002976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-textfull">
    <w:name w:val="extended-text__full"/>
    <w:basedOn w:val="a0"/>
    <w:rsid w:val="005701D3"/>
  </w:style>
  <w:style w:type="character" w:customStyle="1" w:styleId="20">
    <w:name w:val="Заголовок 2 Знак"/>
    <w:basedOn w:val="a0"/>
    <w:link w:val="2"/>
    <w:uiPriority w:val="9"/>
    <w:rsid w:val="003B171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fe">
    <w:name w:val="Emphasis"/>
    <w:basedOn w:val="a0"/>
    <w:uiPriority w:val="20"/>
    <w:qFormat/>
    <w:rsid w:val="003B1714"/>
    <w:rPr>
      <w:i/>
      <w:iCs/>
    </w:rPr>
  </w:style>
  <w:style w:type="character" w:customStyle="1" w:styleId="af9">
    <w:name w:val="Абзац списка Знак"/>
    <w:aliases w:val="_Абзац списка Знак,A_маркированный_список Знак,Bullet List Знак,FooterText Знак,numbered Знак,ТЗ список Знак,Абзац списка литеральный Знак,Bullet 1 Знак,Use Case List Paragraph Знак"/>
    <w:link w:val="af8"/>
    <w:uiPriority w:val="34"/>
    <w:locked/>
    <w:rsid w:val="00F22218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headertextbig1">
    <w:name w:val="header__text_big1"/>
    <w:basedOn w:val="a0"/>
    <w:rsid w:val="00E64662"/>
    <w:rPr>
      <w:b/>
      <w:bCs/>
      <w:caps/>
      <w:vanish w:val="0"/>
      <w:webHidden w:val="0"/>
      <w:sz w:val="18"/>
      <w:szCs w:val="18"/>
      <w:specVanish w:val="0"/>
    </w:rPr>
  </w:style>
  <w:style w:type="character" w:customStyle="1" w:styleId="headertextdesc1">
    <w:name w:val="header__text_desc1"/>
    <w:basedOn w:val="a0"/>
    <w:rsid w:val="00E64662"/>
    <w:rPr>
      <w:vanish w:val="0"/>
      <w:webHidden w:val="0"/>
      <w:sz w:val="16"/>
      <w:szCs w:val="16"/>
      <w:specVanish w:val="0"/>
    </w:rPr>
  </w:style>
  <w:style w:type="character" w:customStyle="1" w:styleId="ConsPlusNormal0">
    <w:name w:val="ConsPlusNormal Знак"/>
    <w:link w:val="ConsPlusNormal"/>
    <w:locked/>
    <w:rsid w:val="00197E29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6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7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8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3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8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9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52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1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3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98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97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644708">
          <w:marLeft w:val="-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9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13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53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99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02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5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87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37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95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383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750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72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yperlink" Target="consultantplus://offline/ref=5E335F63F43F3CD85C7FAD3F9807461650183C80C184A01BEC1061D0A30EFBD2500E0D3B752C0293T3JCT" TargetMode="External"/><Relationship Id="rId18" Type="http://schemas.openxmlformats.org/officeDocument/2006/relationships/hyperlink" Target="consultantplus://offline/ref=1776A26EC9AA9DB7E7C2A08BC317753F3BE5D55305A77FD286BF204BAC535CAC6E9054384010D548q9D3N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1776A26EC9AA9DB7E7C2A08BC317753F39ECD6550DA17FD286BF204BAC535CAC6E90543D4317qDD2N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C75BAFCBE0F35709E09D650AF9408620B6DE9FFB3B55396832292636B2D77B304AAC776C63D544525DAD1E3ABO151K" TargetMode="External"/><Relationship Id="rId17" Type="http://schemas.openxmlformats.org/officeDocument/2006/relationships/hyperlink" Target="consultantplus://offline/ref=CA2528A7A2B962FD645E0184232015C45C8ED82A87E1914F5E4AAF4A976C6C3A9C2D0C94E6996561PCZ1M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776A26EC9AA9DB7E7C2A08BC317753F39ECD6550DA17FD286BF204BAC535CAC6E90543D4317qDD2N" TargetMode="External"/><Relationship Id="rId20" Type="http://schemas.openxmlformats.org/officeDocument/2006/relationships/hyperlink" Target="consultantplus://offline/ref=1776A26EC9AA9DB7E7C2A08BC317753F39ECD6550DA17FD286BF204BAC535CAC6E90543D4317qDD2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29E593CEA9CFA995CA5A29945221BDEE680764329AEA2A98577418B66377852300217785AFDB41780B2E3DD436B41K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hart" Target="charts/chart2.xml"/><Relationship Id="rId23" Type="http://schemas.openxmlformats.org/officeDocument/2006/relationships/hyperlink" Target="consultantplus://offline/ref=FC75BAFCBE0F35709E09D650AF9408620B6DE9FFB3B55396832292636B2D77B304AAC776C63D544525DAD1E3ABO151K" TargetMode="External"/><Relationship Id="rId10" Type="http://schemas.openxmlformats.org/officeDocument/2006/relationships/hyperlink" Target="consultantplus://offline/ref=2E87F1007602614C977580097F332BB8071DBE80D46667EC49FCEB7B0A9FE3002DA5C0C9DAC3DF5E062661CF09CD38BB6588B30108872BA9Z4U8O" TargetMode="External"/><Relationship Id="rId19" Type="http://schemas.openxmlformats.org/officeDocument/2006/relationships/hyperlink" Target="https://bus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FAB72657B8C29EDB136E87EC4338CBA35F2BA442BFB273D939CE681B9sF2CQ" TargetMode="External"/><Relationship Id="rId14" Type="http://schemas.openxmlformats.org/officeDocument/2006/relationships/hyperlink" Target="https://vashkontrol.ru/" TargetMode="External"/><Relationship Id="rId22" Type="http://schemas.openxmlformats.org/officeDocument/2006/relationships/hyperlink" Target="consultantplus://offline/ref=229E593CEA9CFA995CA5A29945221BDEE680764329AEA2A98577418B66377852300217785AFDB41780B2E3DD436B41K" TargetMode="External"/><Relationship Id="rId27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G:\&#1052;&#1060;&#1062;%20&#1085;&#1072;&#1096;&#1072;%20&#1087;&#1088;&#1086;&#1074;&#1077;&#1088;&#1082;&#1072;\&#1086;&#1090;&#1095;&#1077;&#1090;\&#1076;&#1080;&#1072;&#1075;&#1088;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sideWall>
      <c:spPr>
        <a:ln>
          <a:solidFill>
            <a:schemeClr val="accent1">
              <a:lumMod val="20000"/>
              <a:lumOff val="80000"/>
            </a:schemeClr>
          </a:solidFill>
        </a:ln>
      </c:spPr>
    </c:sideWall>
    <c:backWall>
      <c:spPr>
        <a:ln>
          <a:solidFill>
            <a:schemeClr val="accent1">
              <a:lumMod val="20000"/>
              <a:lumOff val="80000"/>
            </a:schemeClr>
          </a:solidFill>
        </a:ln>
      </c:spPr>
    </c:backWall>
    <c:plotArea>
      <c:layout>
        <c:manualLayout>
          <c:layoutTarget val="inner"/>
          <c:xMode val="edge"/>
          <c:yMode val="edge"/>
          <c:x val="0.15675824860552323"/>
          <c:y val="6.6666666666666693E-2"/>
          <c:w val="0.62455428593425732"/>
          <c:h val="0.78824242424242419"/>
        </c:manualLayout>
      </c:layout>
      <c:bar3DChart>
        <c:barDir val="bar"/>
        <c:grouping val="stacked"/>
        <c:ser>
          <c:idx val="0"/>
          <c:order val="0"/>
          <c:tx>
            <c:strRef>
              <c:f>Лист1!$D$2</c:f>
              <c:strCache>
                <c:ptCount val="1"/>
                <c:pt idx="0">
                  <c:v>Количество офисов МФЦ,ед.</c:v>
                </c:pt>
              </c:strCache>
            </c:strRef>
          </c:tx>
          <c:spPr>
            <a:gradFill>
              <a:gsLst>
                <a:gs pos="0">
                  <a:srgbClr val="E6DCAC"/>
                </a:gs>
                <a:gs pos="12000">
                  <a:srgbClr val="E6D78A"/>
                </a:gs>
                <a:gs pos="30000">
                  <a:srgbClr val="C7AC4C"/>
                </a:gs>
                <a:gs pos="45000">
                  <a:srgbClr val="E6D78A"/>
                </a:gs>
                <a:gs pos="77000">
                  <a:srgbClr val="C7AC4C"/>
                </a:gs>
                <a:gs pos="100000">
                  <a:srgbClr val="E6DCAC"/>
                </a:gs>
              </a:gsLst>
              <a:lin ang="5400000" scaled="0"/>
            </a:gradFill>
          </c:spPr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Лист1!$C$3:$C$6</c:f>
              <c:strCache>
                <c:ptCount val="4"/>
                <c:pt idx="0">
                  <c:v>на 01.01.2017 </c:v>
                </c:pt>
                <c:pt idx="1">
                  <c:v>на 01.01. 2018</c:v>
                </c:pt>
                <c:pt idx="2">
                  <c:v>на 01.01. 2019 </c:v>
                </c:pt>
                <c:pt idx="3">
                  <c:v>на 01.10.2019</c:v>
                </c:pt>
              </c:strCache>
            </c:strRef>
          </c:cat>
          <c:val>
            <c:numRef>
              <c:f>Лист1!$D$3:$D$6</c:f>
              <c:numCache>
                <c:formatCode>General</c:formatCode>
                <c:ptCount val="4"/>
                <c:pt idx="0">
                  <c:v>14</c:v>
                </c:pt>
                <c:pt idx="1">
                  <c:v>49</c:v>
                </c:pt>
                <c:pt idx="2">
                  <c:v>48</c:v>
                </c:pt>
                <c:pt idx="3">
                  <c:v>48</c:v>
                </c:pt>
              </c:numCache>
            </c:numRef>
          </c:val>
        </c:ser>
        <c:ser>
          <c:idx val="1"/>
          <c:order val="1"/>
          <c:tx>
            <c:strRef>
              <c:f>Лист1!$E$2</c:f>
              <c:strCache>
                <c:ptCount val="1"/>
                <c:pt idx="0">
                  <c:v>Количество ТОСП,ед.</c:v>
                </c:pt>
              </c:strCache>
            </c:strRef>
          </c:tx>
          <c:spPr>
            <a:gradFill>
              <a:gsLst>
                <a:gs pos="0">
                  <a:srgbClr val="FFEFD1"/>
                </a:gs>
                <a:gs pos="64999">
                  <a:srgbClr val="F0EBD5"/>
                </a:gs>
                <a:gs pos="100000">
                  <a:srgbClr val="D1C39F"/>
                </a:gs>
              </a:gsLst>
              <a:lin ang="5400000" scaled="0"/>
            </a:gradFill>
          </c:spPr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Лист1!$C$3:$C$6</c:f>
              <c:strCache>
                <c:ptCount val="4"/>
                <c:pt idx="0">
                  <c:v>на 01.01.2017 </c:v>
                </c:pt>
                <c:pt idx="1">
                  <c:v>на 01.01. 2018</c:v>
                </c:pt>
                <c:pt idx="2">
                  <c:v>на 01.01. 2019 </c:v>
                </c:pt>
                <c:pt idx="3">
                  <c:v>на 01.10.2019</c:v>
                </c:pt>
              </c:strCache>
            </c:strRef>
          </c:cat>
          <c:val>
            <c:numRef>
              <c:f>Лист1!$E$3:$E$6</c:f>
              <c:numCache>
                <c:formatCode>General</c:formatCode>
                <c:ptCount val="4"/>
                <c:pt idx="0">
                  <c:v>97</c:v>
                </c:pt>
                <c:pt idx="1">
                  <c:v>249</c:v>
                </c:pt>
                <c:pt idx="2">
                  <c:v>281</c:v>
                </c:pt>
                <c:pt idx="3">
                  <c:v>260</c:v>
                </c:pt>
              </c:numCache>
            </c:numRef>
          </c:val>
        </c:ser>
        <c:shape val="box"/>
        <c:axId val="86171008"/>
        <c:axId val="86662144"/>
        <c:axId val="0"/>
      </c:bar3DChart>
      <c:catAx>
        <c:axId val="86171008"/>
        <c:scaling>
          <c:orientation val="minMax"/>
        </c:scaling>
        <c:axPos val="l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86662144"/>
        <c:crosses val="autoZero"/>
        <c:auto val="1"/>
        <c:lblAlgn val="ctr"/>
        <c:lblOffset val="100"/>
      </c:catAx>
      <c:valAx>
        <c:axId val="86662144"/>
        <c:scaling>
          <c:orientation val="minMax"/>
        </c:scaling>
        <c:axPos val="b"/>
        <c:majorGridlines/>
        <c:numFmt formatCode="General" sourceLinked="1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8617100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6278958772794558"/>
          <c:y val="0.17252487914614609"/>
          <c:w val="0.22478098434544591"/>
          <c:h val="0.43041985993042042"/>
        </c:manualLayout>
      </c:layout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5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>
                <a:latin typeface="Times New Roman" pitchFamily="18" charset="0"/>
                <a:cs typeface="Times New Roman" pitchFamily="18" charset="0"/>
              </a:defRPr>
            </a:pPr>
            <a:r>
              <a:rPr lang="ru-RU" sz="1000">
                <a:latin typeface="Times New Roman" pitchFamily="18" charset="0"/>
                <a:cs typeface="Times New Roman" pitchFamily="18" charset="0"/>
              </a:rPr>
              <a:t>Доходы областного бюджета по</a:t>
            </a:r>
            <a:r>
              <a:rPr lang="ru-RU" sz="1000" baseline="0">
                <a:latin typeface="Times New Roman" pitchFamily="18" charset="0"/>
                <a:cs typeface="Times New Roman" pitchFamily="18" charset="0"/>
              </a:rPr>
              <a:t> госпошлине за фед. услуги, предоставленные через МФЦ, по администраторам (%)</a:t>
            </a:r>
            <a:endParaRPr lang="ru-RU" sz="100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18160128310748774"/>
          <c:y val="0"/>
        </c:manualLayout>
      </c:layout>
    </c:title>
    <c:view3D>
      <c:rotX val="10"/>
      <c:depthPercent val="100"/>
      <c:rAngAx val="1"/>
    </c:view3D>
    <c:plotArea>
      <c:layout>
        <c:manualLayout>
          <c:layoutTarget val="inner"/>
          <c:xMode val="edge"/>
          <c:yMode val="edge"/>
          <c:x val="0.12108309481800315"/>
          <c:y val="0.18231324361225307"/>
          <c:w val="0.85556934313341992"/>
          <c:h val="0.59246374097911236"/>
        </c:manualLayout>
      </c:layout>
      <c:bar3DChart>
        <c:barDir val="bar"/>
        <c:grouping val="stacked"/>
        <c:ser>
          <c:idx val="2"/>
          <c:order val="0"/>
          <c:tx>
            <c:strRef>
              <c:f>Лист1!$B$1</c:f>
              <c:strCache>
                <c:ptCount val="1"/>
                <c:pt idx="0">
                  <c:v>МВД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hade val="51000"/>
                    <a:satMod val="130000"/>
                  </a:schemeClr>
                </a:gs>
                <a:gs pos="80000">
                  <a:schemeClr val="accent3">
                    <a:shade val="93000"/>
                    <a:satMod val="130000"/>
                  </a:schemeClr>
                </a:gs>
                <a:gs pos="100000">
                  <a:schemeClr val="accent3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Лист1!$A$2:$A$4</c:f>
              <c:strCache>
                <c:ptCount val="3"/>
                <c:pt idx="0">
                  <c:v>2017 год</c:v>
                </c:pt>
                <c:pt idx="1">
                  <c:v> 2018 год</c:v>
                </c:pt>
                <c:pt idx="2">
                  <c:v>7 месяцев 2019 года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10.8</c:v>
                </c:pt>
                <c:pt idx="1">
                  <c:v>14.7</c:v>
                </c:pt>
                <c:pt idx="2">
                  <c:v>20.6</c:v>
                </c:pt>
              </c:numCache>
            </c:numRef>
          </c:val>
        </c:ser>
        <c:ser>
          <c:idx val="3"/>
          <c:order val="1"/>
          <c:tx>
            <c:strRef>
              <c:f>Лист1!$C$1</c:f>
              <c:strCache>
                <c:ptCount val="1"/>
                <c:pt idx="0">
                  <c:v>ФНС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dLbls>
            <c:dLbl>
              <c:idx val="0"/>
              <c:layout>
                <c:manualLayout>
                  <c:x val="0"/>
                  <c:y val="-6.5415249479339313E-2"/>
                </c:manualLayout>
              </c:layout>
              <c:showVal val="1"/>
            </c:dLbl>
            <c:dLbl>
              <c:idx val="1"/>
              <c:layout>
                <c:manualLayout>
                  <c:x val="4.1346455461158671E-3"/>
                  <c:y val="-9.1156621806124438E-2"/>
                </c:manualLayout>
              </c:layout>
              <c:showVal val="1"/>
            </c:dLbl>
            <c:dLbl>
              <c:idx val="2"/>
              <c:layout>
                <c:manualLayout>
                  <c:x val="4.1507628987817024E-3"/>
                  <c:y val="-8.7220332639119047E-2"/>
                </c:manualLayout>
              </c:layout>
              <c:showVal val="1"/>
            </c:dLbl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Лист1!$A$2:$A$4</c:f>
              <c:strCache>
                <c:ptCount val="3"/>
                <c:pt idx="0">
                  <c:v>2017 год</c:v>
                </c:pt>
                <c:pt idx="1">
                  <c:v> 2018 год</c:v>
                </c:pt>
                <c:pt idx="2">
                  <c:v>7 месяцев 2019 года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0.4</c:v>
                </c:pt>
                <c:pt idx="1">
                  <c:v>0.4</c:v>
                </c:pt>
                <c:pt idx="2">
                  <c:v>0.60000000000000064</c:v>
                </c:pt>
              </c:numCache>
            </c:numRef>
          </c:val>
        </c:ser>
        <c:ser>
          <c:idx val="0"/>
          <c:order val="2"/>
          <c:tx>
            <c:strRef>
              <c:f>Лист1!$D$1</c:f>
              <c:strCache>
                <c:ptCount val="1"/>
                <c:pt idx="0">
                  <c:v>Росреестр</c:v>
                </c:pt>
              </c:strCache>
            </c:strRef>
          </c:tx>
          <c:spPr>
            <a:solidFill>
              <a:srgbClr val="9BBB59">
                <a:lumMod val="20000"/>
                <a:lumOff val="80000"/>
              </a:srgbClr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dLbls>
            <c:dLbl>
              <c:idx val="1"/>
              <c:layout>
                <c:manualLayout>
                  <c:x val="-4.1185301953652565E-3"/>
                  <c:y val="3.9633313828751409E-3"/>
                </c:manualLayout>
              </c:layout>
              <c:showVal val="1"/>
            </c:dLbl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Лист1!$A$2:$A$4</c:f>
              <c:strCache>
                <c:ptCount val="3"/>
                <c:pt idx="0">
                  <c:v>2017 год</c:v>
                </c:pt>
                <c:pt idx="1">
                  <c:v> 2018 год</c:v>
                </c:pt>
                <c:pt idx="2">
                  <c:v>7 месяцев 2019 года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88.8</c:v>
                </c:pt>
                <c:pt idx="1">
                  <c:v>84.9</c:v>
                </c:pt>
                <c:pt idx="2">
                  <c:v>78.8</c:v>
                </c:pt>
              </c:numCache>
            </c:numRef>
          </c:val>
        </c:ser>
        <c:shape val="box"/>
        <c:axId val="88759680"/>
        <c:axId val="88757760"/>
        <c:axId val="0"/>
      </c:bar3DChart>
      <c:valAx>
        <c:axId val="88757760"/>
        <c:scaling>
          <c:orientation val="minMax"/>
        </c:scaling>
        <c:delete val="1"/>
        <c:axPos val="b"/>
        <c:majorGridlines/>
        <c:numFmt formatCode="General" sourceLinked="1"/>
        <c:tickLblPos val="none"/>
        <c:crossAx val="88759680"/>
        <c:crosses val="autoZero"/>
        <c:crossBetween val="between"/>
        <c:majorUnit val="20"/>
      </c:valAx>
      <c:catAx>
        <c:axId val="88759680"/>
        <c:scaling>
          <c:orientation val="minMax"/>
        </c:scaling>
        <c:axPos val="l"/>
        <c:numFmt formatCode="General" sourceLinked="1"/>
        <c:tickLblPos val="nextTo"/>
        <c:txPr>
          <a:bodyPr/>
          <a:lstStyle/>
          <a:p>
            <a:pPr>
              <a:defRPr sz="9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88757760"/>
        <c:crosses val="autoZero"/>
        <c:auto val="1"/>
        <c:lblAlgn val="ctr"/>
        <c:lblOffset val="100"/>
      </c:catAx>
    </c:plotArea>
    <c:legend>
      <c:legendPos val="b"/>
      <c:layout>
        <c:manualLayout>
          <c:xMode val="edge"/>
          <c:yMode val="edge"/>
          <c:x val="2.0445333881581726E-4"/>
          <c:y val="0.88176727130875754"/>
          <c:w val="0.29079182665760472"/>
          <c:h val="9.2476301995251003E-2"/>
        </c:manualLayout>
      </c:layout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spPr>
    <a:ln>
      <a:noFill/>
    </a:ln>
  </c:spPr>
  <c:externalData r:id="rId2"/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0.87186</cdr:x>
      <cdr:y>0.30521</cdr:y>
    </cdr:from>
    <cdr:to>
      <cdr:x>0.9576</cdr:x>
      <cdr:y>0.40199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5332575" y="729691"/>
          <a:ext cx="524389" cy="23138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200" b="1">
            <a:solidFill>
              <a:srgbClr val="FF0000"/>
            </a:solidFill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0.87186</cdr:x>
      <cdr:y>0.30521</cdr:y>
    </cdr:from>
    <cdr:to>
      <cdr:x>0.9602</cdr:x>
      <cdr:y>0.40199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5332575" y="729691"/>
          <a:ext cx="540291" cy="23138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200" b="1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0.81069</cdr:x>
      <cdr:y>0.57241</cdr:y>
    </cdr:from>
    <cdr:to>
      <cdr:x>0.8991</cdr:x>
      <cdr:y>0.66919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4958435" y="1368512"/>
          <a:ext cx="540744" cy="23138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200" b="1">
            <a:solidFill>
              <a:srgbClr val="FF0000"/>
            </a:solidFill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8A910-5C1D-4273-82C7-9461AC5D2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2312</TotalTime>
  <Pages>23</Pages>
  <Words>12883</Words>
  <Characters>73435</Characters>
  <Application>Microsoft Office Word</Application>
  <DocSecurity>0</DocSecurity>
  <Lines>611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Зубрева</dc:creator>
  <cp:lastModifiedBy>G_Zabroda</cp:lastModifiedBy>
  <cp:revision>245</cp:revision>
  <cp:lastPrinted>2019-12-11T04:52:00Z</cp:lastPrinted>
  <dcterms:created xsi:type="dcterms:W3CDTF">2019-11-26T05:30:00Z</dcterms:created>
  <dcterms:modified xsi:type="dcterms:W3CDTF">2019-12-12T10:32:00Z</dcterms:modified>
</cp:coreProperties>
</file>