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1A0" w:rsidRDefault="005231A0" w:rsidP="009575A6">
      <w:pPr>
        <w:pStyle w:val="21"/>
        <w:spacing w:after="0" w:line="240" w:lineRule="auto"/>
        <w:rPr>
          <w:b/>
        </w:rPr>
      </w:pPr>
    </w:p>
    <w:tbl>
      <w:tblPr>
        <w:tblW w:w="9747" w:type="dxa"/>
        <w:tblLook w:val="04A0"/>
      </w:tblPr>
      <w:tblGrid>
        <w:gridCol w:w="3284"/>
        <w:gridCol w:w="2069"/>
        <w:gridCol w:w="4394"/>
      </w:tblGrid>
      <w:tr w:rsidR="005231A0" w:rsidRPr="006F277B" w:rsidTr="00ED5A3C">
        <w:tc>
          <w:tcPr>
            <w:tcW w:w="3284" w:type="dxa"/>
          </w:tcPr>
          <w:p w:rsidR="005231A0" w:rsidRPr="006F277B" w:rsidRDefault="005231A0" w:rsidP="00ED5A3C">
            <w:pPr>
              <w:tabs>
                <w:tab w:val="left" w:pos="2505"/>
              </w:tabs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</w:t>
            </w:r>
          </w:p>
        </w:tc>
        <w:tc>
          <w:tcPr>
            <w:tcW w:w="2069" w:type="dxa"/>
          </w:tcPr>
          <w:p w:rsidR="005231A0" w:rsidRPr="006F277B" w:rsidRDefault="005231A0" w:rsidP="00ED5A3C">
            <w:pPr>
              <w:tabs>
                <w:tab w:val="left" w:pos="2505"/>
              </w:tabs>
              <w:jc w:val="right"/>
              <w:rPr>
                <w:b/>
                <w:i/>
                <w:lang w:eastAsia="en-US"/>
              </w:rPr>
            </w:pPr>
          </w:p>
        </w:tc>
        <w:tc>
          <w:tcPr>
            <w:tcW w:w="4394" w:type="dxa"/>
          </w:tcPr>
          <w:p w:rsidR="005231A0" w:rsidRPr="007D2F0A" w:rsidRDefault="005231A0" w:rsidP="00ED5A3C">
            <w:pPr>
              <w:tabs>
                <w:tab w:val="left" w:pos="2505"/>
              </w:tabs>
              <w:rPr>
                <w:b/>
                <w:i/>
                <w:lang w:eastAsia="en-US"/>
              </w:rPr>
            </w:pPr>
            <w:r w:rsidRPr="007D2F0A">
              <w:rPr>
                <w:b/>
                <w:i/>
                <w:lang w:eastAsia="en-US"/>
              </w:rPr>
              <w:t>Утверждаю</w:t>
            </w:r>
          </w:p>
          <w:p w:rsidR="005231A0" w:rsidRPr="007D2F0A" w:rsidRDefault="005231A0" w:rsidP="00ED5A3C">
            <w:pPr>
              <w:tabs>
                <w:tab w:val="left" w:pos="2505"/>
              </w:tabs>
              <w:rPr>
                <w:b/>
                <w:i/>
                <w:lang w:eastAsia="en-US"/>
              </w:rPr>
            </w:pPr>
            <w:r w:rsidRPr="007D2F0A">
              <w:rPr>
                <w:b/>
                <w:i/>
                <w:lang w:eastAsia="en-US"/>
              </w:rPr>
              <w:t xml:space="preserve">председатель контрольно - счетной </w:t>
            </w:r>
          </w:p>
          <w:p w:rsidR="005231A0" w:rsidRPr="007D2F0A" w:rsidRDefault="005231A0" w:rsidP="00ED5A3C">
            <w:pPr>
              <w:tabs>
                <w:tab w:val="left" w:pos="2505"/>
              </w:tabs>
              <w:rPr>
                <w:b/>
                <w:i/>
                <w:lang w:eastAsia="en-US"/>
              </w:rPr>
            </w:pPr>
            <w:r w:rsidRPr="007D2F0A">
              <w:rPr>
                <w:b/>
                <w:i/>
                <w:lang w:eastAsia="en-US"/>
              </w:rPr>
              <w:t>палаты Волгоградской области</w:t>
            </w:r>
          </w:p>
          <w:p w:rsidR="005231A0" w:rsidRPr="007D2F0A" w:rsidRDefault="005231A0" w:rsidP="00ED5A3C">
            <w:pPr>
              <w:tabs>
                <w:tab w:val="left" w:pos="2505"/>
              </w:tabs>
              <w:rPr>
                <w:b/>
                <w:i/>
                <w:lang w:eastAsia="en-US"/>
              </w:rPr>
            </w:pPr>
            <w:r w:rsidRPr="007D2F0A">
              <w:rPr>
                <w:b/>
                <w:i/>
                <w:lang w:eastAsia="en-US"/>
              </w:rPr>
              <w:t>______________ И. А. Дьяченко</w:t>
            </w:r>
          </w:p>
          <w:p w:rsidR="005231A0" w:rsidRPr="007D2F0A" w:rsidRDefault="00EC337E" w:rsidP="00ED5A3C">
            <w:pPr>
              <w:tabs>
                <w:tab w:val="left" w:pos="2505"/>
              </w:tabs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« 23»  марта </w:t>
            </w:r>
            <w:r w:rsidR="005231A0">
              <w:rPr>
                <w:b/>
                <w:i/>
                <w:lang w:eastAsia="en-US"/>
              </w:rPr>
              <w:t xml:space="preserve"> 2018</w:t>
            </w:r>
            <w:r w:rsidR="005231A0" w:rsidRPr="007D2F0A">
              <w:rPr>
                <w:b/>
                <w:i/>
                <w:lang w:eastAsia="en-US"/>
              </w:rPr>
              <w:t xml:space="preserve"> года </w:t>
            </w:r>
          </w:p>
          <w:p w:rsidR="005231A0" w:rsidRPr="007D2F0A" w:rsidRDefault="005231A0" w:rsidP="00ED5A3C">
            <w:pPr>
              <w:tabs>
                <w:tab w:val="left" w:pos="2505"/>
              </w:tabs>
              <w:jc w:val="right"/>
              <w:rPr>
                <w:b/>
                <w:i/>
                <w:lang w:eastAsia="en-US"/>
              </w:rPr>
            </w:pPr>
          </w:p>
        </w:tc>
      </w:tr>
    </w:tbl>
    <w:p w:rsidR="00FC2E5B" w:rsidRPr="006F277B" w:rsidRDefault="00FC2E5B" w:rsidP="00FC2E5B">
      <w:pPr>
        <w:tabs>
          <w:tab w:val="left" w:pos="2505"/>
        </w:tabs>
        <w:rPr>
          <w:b/>
          <w:i/>
        </w:rPr>
      </w:pPr>
    </w:p>
    <w:p w:rsidR="005231A0" w:rsidRPr="006F277B" w:rsidRDefault="005231A0" w:rsidP="005231A0">
      <w:pPr>
        <w:tabs>
          <w:tab w:val="left" w:pos="2505"/>
        </w:tabs>
        <w:jc w:val="center"/>
        <w:rPr>
          <w:b/>
          <w:i/>
        </w:rPr>
      </w:pPr>
      <w:r w:rsidRPr="006F277B">
        <w:rPr>
          <w:b/>
          <w:i/>
        </w:rPr>
        <w:t>ЗАКЛЮЧЕНИЕ</w:t>
      </w:r>
    </w:p>
    <w:p w:rsidR="005231A0" w:rsidRPr="005231A0" w:rsidRDefault="005231A0" w:rsidP="005231A0">
      <w:pPr>
        <w:jc w:val="center"/>
        <w:rPr>
          <w:b/>
          <w:i/>
        </w:rPr>
      </w:pPr>
      <w:r w:rsidRPr="005231A0">
        <w:rPr>
          <w:b/>
          <w:i/>
        </w:rPr>
        <w:t>о результатах внешней  проверки бюджетной отчетности и отдельных вопросов исполнения областного бюджета главным администратором средств областного бюджета – комитетом промышленности и торговли Волгоградской области за 2017 год</w:t>
      </w:r>
    </w:p>
    <w:p w:rsidR="005231A0" w:rsidRPr="006F277B" w:rsidRDefault="005231A0" w:rsidP="005231A0">
      <w:pPr>
        <w:jc w:val="center"/>
        <w:rPr>
          <w:b/>
        </w:rPr>
      </w:pPr>
    </w:p>
    <w:p w:rsidR="005231A0" w:rsidRPr="006F277B" w:rsidRDefault="005231A0" w:rsidP="005231A0"/>
    <w:p w:rsidR="005231A0" w:rsidRPr="005231A0" w:rsidRDefault="005231A0" w:rsidP="005231A0">
      <w:pPr>
        <w:pStyle w:val="ae"/>
        <w:ind w:firstLine="708"/>
        <w:jc w:val="both"/>
        <w:rPr>
          <w:b w:val="0"/>
        </w:rPr>
      </w:pPr>
      <w:r w:rsidRPr="006F277B">
        <w:rPr>
          <w:b w:val="0"/>
        </w:rPr>
        <w:t>На основании статьи 264.4 Бюджетного Кодекса РФ (далее - БК РФ) и в соответствии с планом работы контрольно-счетной палаты Волгоградск</w:t>
      </w:r>
      <w:r>
        <w:rPr>
          <w:b w:val="0"/>
        </w:rPr>
        <w:t>ой области (далее - КСП) на 2018</w:t>
      </w:r>
      <w:r w:rsidRPr="006F277B">
        <w:rPr>
          <w:b w:val="0"/>
        </w:rPr>
        <w:t xml:space="preserve"> год, утвержденным постановлением коллегии КСП от</w:t>
      </w:r>
      <w:r>
        <w:rPr>
          <w:b w:val="0"/>
        </w:rPr>
        <w:t xml:space="preserve"> </w:t>
      </w:r>
      <w:r w:rsidRPr="005231A0">
        <w:rPr>
          <w:b w:val="0"/>
        </w:rPr>
        <w:t>19.12.2017 №20/2,</w:t>
      </w:r>
      <w:r w:rsidRPr="006F277B">
        <w:rPr>
          <w:b w:val="0"/>
        </w:rPr>
        <w:t xml:space="preserve"> проведена внешняя </w:t>
      </w:r>
      <w:r>
        <w:rPr>
          <w:b w:val="0"/>
        </w:rPr>
        <w:t xml:space="preserve">камеральная </w:t>
      </w:r>
      <w:r w:rsidRPr="006F277B">
        <w:rPr>
          <w:b w:val="0"/>
        </w:rPr>
        <w:t>проверка бюджетной отчетности и отдельных вопросов исполнения областного бюджета</w:t>
      </w:r>
      <w:r>
        <w:rPr>
          <w:b w:val="0"/>
        </w:rPr>
        <w:t xml:space="preserve"> за 2017</w:t>
      </w:r>
      <w:r w:rsidRPr="006F277B">
        <w:rPr>
          <w:b w:val="0"/>
        </w:rPr>
        <w:t xml:space="preserve"> год главным администратором средств областного бюджета – </w:t>
      </w:r>
      <w:r w:rsidRPr="005231A0">
        <w:rPr>
          <w:b w:val="0"/>
        </w:rPr>
        <w:t>комитетом промышленности и торговли Волгоградской области (далее - Комитет)</w:t>
      </w:r>
      <w:r>
        <w:rPr>
          <w:b w:val="0"/>
        </w:rPr>
        <w:t>.</w:t>
      </w:r>
    </w:p>
    <w:p w:rsidR="00920158" w:rsidRPr="00B73B3A" w:rsidRDefault="00920158" w:rsidP="00B73B3A"/>
    <w:p w:rsidR="00920158" w:rsidRDefault="00920158" w:rsidP="00920158">
      <w:pPr>
        <w:ind w:firstLine="567"/>
        <w:jc w:val="center"/>
        <w:rPr>
          <w:b/>
        </w:rPr>
      </w:pPr>
      <w:r>
        <w:rPr>
          <w:b/>
        </w:rPr>
        <w:t>Общие сведения</w:t>
      </w:r>
    </w:p>
    <w:p w:rsidR="00B870DA" w:rsidRDefault="000E3772" w:rsidP="00870E92">
      <w:pPr>
        <w:ind w:firstLine="709"/>
        <w:jc w:val="both"/>
        <w:rPr>
          <w:lang w:eastAsia="en-US"/>
        </w:rPr>
      </w:pPr>
      <w:r>
        <w:t>Согласно П</w:t>
      </w:r>
      <w:r w:rsidR="00BE745E">
        <w:t>оложению о Комитете</w:t>
      </w:r>
      <w:r>
        <w:t>, утвержденном постановлением А</w:t>
      </w:r>
      <w:r w:rsidR="00B870DA" w:rsidRPr="00B870DA">
        <w:t>дминистрации Волгогр</w:t>
      </w:r>
      <w:r w:rsidR="00BE745E">
        <w:t>адской области 24.11.2014 №31-п</w:t>
      </w:r>
      <w:r>
        <w:t>,</w:t>
      </w:r>
      <w:r w:rsidR="00B870DA" w:rsidRPr="00B870DA">
        <w:t xml:space="preserve"> Комитет является</w:t>
      </w:r>
      <w:r w:rsidR="00B870DA">
        <w:t xml:space="preserve"> органом </w:t>
      </w:r>
      <w:r w:rsidR="00B870DA">
        <w:rPr>
          <w:lang w:eastAsia="en-US"/>
        </w:rPr>
        <w:t>исполнительной власти Волгоградской области, уполномоченным в сфере промышленности и торговой деятельности, в области защиты прав потребителей, производства и оборота этилового спирта, алкогольной и спиртосодержащей продукции, лицензирования заготовки, хранения, переработки и реализации лома черных и цветных металлов на территории Волгоградской области.</w:t>
      </w:r>
    </w:p>
    <w:p w:rsidR="00B870DA" w:rsidRPr="00B870DA" w:rsidRDefault="00B870DA" w:rsidP="00B870DA">
      <w:pPr>
        <w:ind w:firstLine="709"/>
        <w:jc w:val="both"/>
      </w:pPr>
      <w:r w:rsidRPr="00B870DA">
        <w:t>В соответствии с соглашением от 29.05.2015 № 1 (далее – Соглашение по ведению учета) Комитетом полномочия по ведению бухгалтерского учета и формированию бюджетной отчетности переданы ГКУ Волгоградской области «Центр бюджетного учета и отчетности» (далее – Центр учета).</w:t>
      </w:r>
    </w:p>
    <w:p w:rsidR="00B870DA" w:rsidRPr="00E56BF2" w:rsidRDefault="00B870DA" w:rsidP="00B870DA">
      <w:pPr>
        <w:ind w:firstLine="709"/>
        <w:jc w:val="both"/>
      </w:pPr>
      <w:r w:rsidRPr="00B870DA">
        <w:t>По условиям соглашен</w:t>
      </w:r>
      <w:r w:rsidR="00BE745E">
        <w:t>ия основными обязанностями являю</w:t>
      </w:r>
      <w:r w:rsidRPr="00B870DA">
        <w:t>тся</w:t>
      </w:r>
      <w:r w:rsidR="00BE745E">
        <w:t xml:space="preserve">: </w:t>
      </w:r>
      <w:r w:rsidRPr="00B870DA">
        <w:t xml:space="preserve">у Комитета – своевременное предоставление Центру учета необходимых первичных учетных документов, у Центра учета – обеспечивать квалифицированное и  своевременное ведение бухгалтерского и налогового учета, формирование отчетности в соответствии с </w:t>
      </w:r>
      <w:r w:rsidRPr="00E56BF2">
        <w:t>требованиями действующего законодательства.</w:t>
      </w:r>
    </w:p>
    <w:p w:rsidR="00B870DA" w:rsidRPr="00E56BF2" w:rsidRDefault="00B870DA" w:rsidP="00B870DA">
      <w:pPr>
        <w:autoSpaceDE w:val="0"/>
        <w:autoSpaceDN w:val="0"/>
        <w:adjustRightInd w:val="0"/>
        <w:ind w:firstLine="709"/>
        <w:jc w:val="both"/>
      </w:pPr>
      <w:r w:rsidRPr="00E56BF2">
        <w:t xml:space="preserve">В соответствии с Законом Волгоградской области от </w:t>
      </w:r>
      <w:r w:rsidR="00E56BF2" w:rsidRPr="00E56BF2">
        <w:t>06.12.2016 № 12</w:t>
      </w:r>
      <w:r w:rsidRPr="00E56BF2">
        <w:t>6-ОД «Об областном бюджете на 201</w:t>
      </w:r>
      <w:r w:rsidR="00E56BF2" w:rsidRPr="00E56BF2">
        <w:t>7</w:t>
      </w:r>
      <w:r w:rsidRPr="00E56BF2">
        <w:t xml:space="preserve"> год и на плановый период 201</w:t>
      </w:r>
      <w:r w:rsidR="00E56BF2" w:rsidRPr="00E56BF2">
        <w:t>8</w:t>
      </w:r>
      <w:r w:rsidRPr="00E56BF2">
        <w:t xml:space="preserve"> и 201</w:t>
      </w:r>
      <w:r w:rsidR="00E56BF2" w:rsidRPr="00E56BF2">
        <w:t>9</w:t>
      </w:r>
      <w:r w:rsidRPr="00E56BF2">
        <w:t xml:space="preserve"> годов» (далее - Закон об областном бюджете) Комитет </w:t>
      </w:r>
      <w:r w:rsidR="00E56BF2" w:rsidRPr="00E56BF2">
        <w:t>в 2017</w:t>
      </w:r>
      <w:r w:rsidRPr="00E56BF2">
        <w:t xml:space="preserve"> году являлся главным администратором доходов областного бюджета и главным распорядителем средств областного бюджета.</w:t>
      </w:r>
    </w:p>
    <w:p w:rsidR="00B870DA" w:rsidRPr="00BF017B" w:rsidRDefault="00B870DA" w:rsidP="00B870DA">
      <w:pPr>
        <w:ind w:firstLine="709"/>
        <w:jc w:val="both"/>
      </w:pPr>
      <w:r w:rsidRPr="00E56BF2">
        <w:t>Предельная штатная численность государственны</w:t>
      </w:r>
      <w:r w:rsidR="00A06566">
        <w:t xml:space="preserve">х гражданских служащих </w:t>
      </w:r>
      <w:r w:rsidRPr="001E734F">
        <w:t xml:space="preserve"> Комитета утверждена Законом об о</w:t>
      </w:r>
      <w:r w:rsidR="00E56BF2" w:rsidRPr="001E734F">
        <w:t>бластном бюджете в количестве 46</w:t>
      </w:r>
      <w:r w:rsidRPr="001E734F">
        <w:t xml:space="preserve"> единиц. Кроме председателя Комитета (госдолжность</w:t>
      </w:r>
      <w:r w:rsidR="001E734F" w:rsidRPr="001E734F">
        <w:t>) и государственных служащих (46</w:t>
      </w:r>
      <w:r w:rsidRPr="001E734F">
        <w:t xml:space="preserve"> ед.) в штат Комитета включены должности, не отнесенные к должностям госуд</w:t>
      </w:r>
      <w:r w:rsidR="001E734F" w:rsidRPr="001E734F">
        <w:t>арственной гражданской службы (2</w:t>
      </w:r>
      <w:r w:rsidR="00BE745E">
        <w:t xml:space="preserve"> </w:t>
      </w:r>
      <w:r w:rsidRPr="001E734F">
        <w:t>ед</w:t>
      </w:r>
      <w:r w:rsidRPr="00BF017B">
        <w:t>.). Вака</w:t>
      </w:r>
      <w:r w:rsidR="001E734F" w:rsidRPr="00BF017B">
        <w:t>нтные ставки на 01.01.2018</w:t>
      </w:r>
      <w:r w:rsidRPr="00BF017B">
        <w:t xml:space="preserve"> отсутствуют.</w:t>
      </w:r>
    </w:p>
    <w:p w:rsidR="0094218D" w:rsidRPr="00FC2E5B" w:rsidRDefault="00B870DA" w:rsidP="00FC2E5B">
      <w:pPr>
        <w:autoSpaceDE w:val="0"/>
        <w:autoSpaceDN w:val="0"/>
        <w:adjustRightInd w:val="0"/>
        <w:ind w:firstLine="709"/>
        <w:jc w:val="both"/>
      </w:pPr>
      <w:r w:rsidRPr="00B870DA">
        <w:t xml:space="preserve">Комитет подведомственных учреждений </w:t>
      </w:r>
      <w:r w:rsidR="0089014D">
        <w:t>не имеет.</w:t>
      </w:r>
    </w:p>
    <w:p w:rsidR="00FC2E5B" w:rsidRDefault="00FC2E5B" w:rsidP="00FC2E5B">
      <w:pPr>
        <w:rPr>
          <w:b/>
        </w:rPr>
      </w:pPr>
    </w:p>
    <w:p w:rsidR="00236695" w:rsidRDefault="00236695" w:rsidP="0089014D">
      <w:pPr>
        <w:jc w:val="center"/>
        <w:rPr>
          <w:b/>
        </w:rPr>
      </w:pPr>
    </w:p>
    <w:p w:rsidR="009575A6" w:rsidRDefault="009575A6" w:rsidP="0089014D">
      <w:pPr>
        <w:jc w:val="center"/>
        <w:rPr>
          <w:b/>
        </w:rPr>
      </w:pPr>
    </w:p>
    <w:p w:rsidR="00236695" w:rsidRDefault="00236695" w:rsidP="000E3772">
      <w:pPr>
        <w:rPr>
          <w:b/>
        </w:rPr>
      </w:pPr>
    </w:p>
    <w:p w:rsidR="00920158" w:rsidRPr="0089014D" w:rsidRDefault="00920158" w:rsidP="0089014D">
      <w:pPr>
        <w:jc w:val="center"/>
        <w:rPr>
          <w:b/>
        </w:rPr>
      </w:pPr>
      <w:r w:rsidRPr="0089014D">
        <w:rPr>
          <w:b/>
        </w:rPr>
        <w:lastRenderedPageBreak/>
        <w:t>Бюджетная отчётность Комитета</w:t>
      </w:r>
    </w:p>
    <w:p w:rsidR="001E734F" w:rsidRDefault="001E734F" w:rsidP="001E734F">
      <w:pPr>
        <w:ind w:firstLine="708"/>
        <w:jc w:val="both"/>
      </w:pPr>
      <w:r w:rsidRPr="00235055">
        <w:t xml:space="preserve">Сводная бюджетная </w:t>
      </w:r>
      <w:r w:rsidRPr="00235055">
        <w:rPr>
          <w:bCs/>
        </w:rPr>
        <w:t xml:space="preserve">отчетность </w:t>
      </w:r>
      <w:r>
        <w:rPr>
          <w:bCs/>
        </w:rPr>
        <w:t>Комитета за 2017</w:t>
      </w:r>
      <w:r w:rsidRPr="00235055">
        <w:rPr>
          <w:bCs/>
        </w:rPr>
        <w:t xml:space="preserve"> год представлена к </w:t>
      </w:r>
      <w:r w:rsidRPr="00235055">
        <w:t>проверке в составе, определенном ст. 264.1 БК РФ и предусмотренном Инструкцией №191н</w:t>
      </w:r>
      <w:r w:rsidRPr="00F97324">
        <w:t xml:space="preserve">. </w:t>
      </w:r>
    </w:p>
    <w:p w:rsidR="00310B30" w:rsidRPr="00310B30" w:rsidRDefault="00310B30" w:rsidP="00310B30">
      <w:pPr>
        <w:ind w:firstLine="708"/>
        <w:jc w:val="both"/>
      </w:pPr>
      <w:r w:rsidRPr="00310B30">
        <w:t>В соответствии с письмом комитета финансов Волгоградской области (далее Комитет финансов) от 13.12.2017 №06-05-01-61/12181 «О составлении и представлении годовой бюджетной отчетности и сводной бухгалтерской отчетности бюджетных и автономных учреждений главными распорядителями бюджетных средств за 2017 год» годовая отчетность предоставляется в Комитет финансов в срок согласно утвержденному графику, отдел бухгалтерского учета и консолидированной отчетности Комитет финансов не позднее 10 рабочих дней с даты представления отчетности осуществляет ее камеральную проверку и принятие.</w:t>
      </w:r>
    </w:p>
    <w:p w:rsidR="00310B30" w:rsidRPr="00310B30" w:rsidRDefault="00310B30" w:rsidP="00310B30">
      <w:pPr>
        <w:ind w:firstLine="708"/>
        <w:jc w:val="both"/>
      </w:pPr>
      <w:r w:rsidRPr="00310B30">
        <w:t>В соответствии с графиком сдачи годовых отчетов за 2017 год Комитетом бюджетная отчетность представлена в Комитет финанс</w:t>
      </w:r>
      <w:r w:rsidR="00E33D20">
        <w:t>ов 08.02.2018</w:t>
      </w:r>
      <w:r>
        <w:t>, согласно с</w:t>
      </w:r>
      <w:r w:rsidR="00F87346">
        <w:t xml:space="preserve">правке о проверке и рассмотрении отчета об исполнении бюджета годовой отчет принят </w:t>
      </w:r>
      <w:r w:rsidR="00502456">
        <w:t>Комитетом финансов</w:t>
      </w:r>
      <w:r w:rsidR="00F87346">
        <w:t xml:space="preserve"> 19.02.2018.</w:t>
      </w:r>
      <w:r w:rsidRPr="00310B30">
        <w:t xml:space="preserve"> </w:t>
      </w:r>
    </w:p>
    <w:p w:rsidR="00F87346" w:rsidRDefault="00310B30" w:rsidP="00F87346">
      <w:pPr>
        <w:ind w:firstLine="708"/>
        <w:jc w:val="both"/>
      </w:pPr>
      <w:r w:rsidRPr="00310B30">
        <w:t>Бюд</w:t>
      </w:r>
      <w:r w:rsidR="00E33D20">
        <w:t xml:space="preserve">жетная отчетность </w:t>
      </w:r>
      <w:r w:rsidRPr="00310B30">
        <w:t xml:space="preserve">представлена в составе, определенном Инструкцией №191н, подписана соответствующими должностными лицами Комитета и ЦБУ. </w:t>
      </w:r>
    </w:p>
    <w:p w:rsidR="001E734F" w:rsidRPr="007A5593" w:rsidRDefault="00E33D20" w:rsidP="00F87346">
      <w:pPr>
        <w:ind w:firstLine="708"/>
        <w:jc w:val="both"/>
      </w:pPr>
      <w:r>
        <w:t>При</w:t>
      </w:r>
      <w:r w:rsidR="00F87346">
        <w:t xml:space="preserve"> проверке </w:t>
      </w:r>
      <w:r>
        <w:t xml:space="preserve">отчетности </w:t>
      </w:r>
      <w:r w:rsidR="007A5593">
        <w:t>установлены факты несоблюдения требований Инструкции №191н, свидетельствующие о недостаточной информативности (полноты/раскрываемости) показателей годовой бюджетной отчетности:</w:t>
      </w:r>
    </w:p>
    <w:p w:rsidR="008A7F9D" w:rsidRPr="00857C91" w:rsidRDefault="005926B8" w:rsidP="008A7F9D">
      <w:pPr>
        <w:autoSpaceDE w:val="0"/>
        <w:autoSpaceDN w:val="0"/>
        <w:adjustRightInd w:val="0"/>
        <w:ind w:firstLine="540"/>
        <w:jc w:val="both"/>
      </w:pPr>
      <w:r w:rsidRPr="00821A31">
        <w:t>- в нарушение п.152 Инструкции №191н в пояснительной записке</w:t>
      </w:r>
      <w:r w:rsidR="00C31BEF">
        <w:t xml:space="preserve"> </w:t>
      </w:r>
      <w:r w:rsidR="00C31BEF" w:rsidRPr="00984B4B">
        <w:t>(форма 0503160)</w:t>
      </w:r>
      <w:r w:rsidR="000E3772">
        <w:t xml:space="preserve"> не указаны</w:t>
      </w:r>
      <w:r w:rsidRPr="00821A31">
        <w:t xml:space="preserve"> в составе форм, не имеющих</w:t>
      </w:r>
      <w:r w:rsidR="008A7F9D">
        <w:t xml:space="preserve"> числовых значений</w:t>
      </w:r>
      <w:r w:rsidR="008A0F36">
        <w:t>,</w:t>
      </w:r>
      <w:r w:rsidR="008A7F9D">
        <w:t xml:space="preserve"> формы</w:t>
      </w:r>
      <w:r>
        <w:t xml:space="preserve"> 0503167</w:t>
      </w:r>
      <w:r w:rsidRPr="00821A31">
        <w:t xml:space="preserve"> «</w:t>
      </w:r>
      <w:r w:rsidRPr="00821A31">
        <w:rPr>
          <w:rFonts w:eastAsiaTheme="minorHAnsi"/>
          <w:lang w:eastAsia="en-US"/>
        </w:rPr>
        <w:t>Све</w:t>
      </w:r>
      <w:r>
        <w:rPr>
          <w:rFonts w:eastAsiaTheme="minorHAnsi"/>
          <w:lang w:eastAsia="en-US"/>
        </w:rPr>
        <w:t>дения о целевых иностранных кредитах</w:t>
      </w:r>
      <w:r w:rsidR="008A7F9D">
        <w:t>» и 0503171</w:t>
      </w:r>
      <w:r w:rsidR="008A7F9D" w:rsidRPr="00821A31">
        <w:t xml:space="preserve"> «</w:t>
      </w:r>
      <w:r w:rsidR="008A7F9D">
        <w:t>С</w:t>
      </w:r>
      <w:r w:rsidR="008A7F9D" w:rsidRPr="008A7F9D">
        <w:t>ведения о финансовых вложениях получателя  бюджетных средств, администратора источников фи</w:t>
      </w:r>
      <w:r w:rsidR="008A7F9D">
        <w:t>нансирования дефицита бюджета</w:t>
      </w:r>
      <w:r w:rsidR="008A7F9D" w:rsidRPr="00821A31">
        <w:t>»</w:t>
      </w:r>
      <w:r w:rsidR="00A23855">
        <w:t>.</w:t>
      </w:r>
      <w:r w:rsidR="00984B4B">
        <w:t xml:space="preserve"> </w:t>
      </w:r>
      <w:r w:rsidR="00A23855">
        <w:t>В</w:t>
      </w:r>
      <w:r w:rsidR="00984B4B" w:rsidRPr="00984B4B">
        <w:t xml:space="preserve"> разделе </w:t>
      </w:r>
      <w:r w:rsidR="00984B4B" w:rsidRPr="00857C91">
        <w:t>2 «Результаты деятельности субъекта бюджетной отчетности» пояснительной записки  отсутствует информация о мерах по повышению квалификации и переподготовке специалисто</w:t>
      </w:r>
      <w:r w:rsidR="00A46D30" w:rsidRPr="00857C91">
        <w:t>в,</w:t>
      </w:r>
      <w:r w:rsidR="00984B4B" w:rsidRPr="00857C91">
        <w:t xml:space="preserve"> о мерах по повышению эффективности расходования бюджетных средств</w:t>
      </w:r>
      <w:r w:rsidR="008A7F9D" w:rsidRPr="00857C91">
        <w:t>;</w:t>
      </w:r>
    </w:p>
    <w:p w:rsidR="008A7F9D" w:rsidRPr="00A46D30" w:rsidRDefault="008A7F9D" w:rsidP="00984B4B">
      <w:pPr>
        <w:pStyle w:val="ConsPlusNormal"/>
        <w:ind w:firstLine="540"/>
        <w:jc w:val="both"/>
      </w:pPr>
      <w:r w:rsidRPr="00A46D30">
        <w:t>- в нарушение п.156 Инструкции №191н в составе форм не представлена Таблица №4 «Сведения об особенностях ведения бюджетного учета»</w:t>
      </w:r>
      <w:r w:rsidR="0071144A" w:rsidRPr="00A46D30">
        <w:t>, в результате отсутствует</w:t>
      </w:r>
      <w:r w:rsidR="00984B4B" w:rsidRPr="00A46D30">
        <w:t xml:space="preserve"> информация, которая  характеризует особенности отражения в бюджетном учете операций с актив</w:t>
      </w:r>
      <w:r w:rsidR="000E3772">
        <w:t>ами и обязательствами</w:t>
      </w:r>
      <w:r w:rsidR="00984B4B" w:rsidRPr="00A46D30">
        <w:t xml:space="preserve"> учреждения</w:t>
      </w:r>
      <w:r w:rsidRPr="00A46D30">
        <w:t>;</w:t>
      </w:r>
    </w:p>
    <w:p w:rsidR="002E2A83" w:rsidRDefault="002E2A83" w:rsidP="00D626BD">
      <w:pPr>
        <w:pStyle w:val="ConsPlusNormal"/>
        <w:ind w:firstLine="540"/>
        <w:jc w:val="both"/>
      </w:pPr>
      <w:r w:rsidRPr="00D523E0">
        <w:t xml:space="preserve">- </w:t>
      </w:r>
      <w:r w:rsidR="00F71F22" w:rsidRPr="00D523E0">
        <w:t>в нарушение п.</w:t>
      </w:r>
      <w:r w:rsidRPr="00D523E0">
        <w:t>170.2 формы 0503175 в разделе 3 «Сведения о бюджетных обязательствах, принятых сверх утвержденных бюджетный назначений</w:t>
      </w:r>
      <w:r w:rsidR="00F71F22" w:rsidRPr="00D523E0">
        <w:t>» не указаны даты</w:t>
      </w:r>
      <w:r w:rsidRPr="00D523E0">
        <w:t xml:space="preserve"> (месяц, год) возникновения обязательства и исполнения по правовому основанию.</w:t>
      </w:r>
    </w:p>
    <w:p w:rsidR="00A23855" w:rsidRDefault="00A23855" w:rsidP="00A23855">
      <w:pPr>
        <w:pStyle w:val="af8"/>
        <w:autoSpaceDE w:val="0"/>
        <w:autoSpaceDN w:val="0"/>
        <w:adjustRightInd w:val="0"/>
        <w:ind w:left="0" w:firstLine="851"/>
        <w:jc w:val="both"/>
        <w:rPr>
          <w:rFonts w:eastAsiaTheme="minorHAnsi"/>
        </w:rPr>
      </w:pPr>
      <w:r>
        <w:rPr>
          <w:rFonts w:eastAsiaTheme="minorHAnsi"/>
        </w:rPr>
        <w:t xml:space="preserve">В </w:t>
      </w:r>
      <w:r w:rsidRPr="00CC71A5">
        <w:rPr>
          <w:rFonts w:eastAsiaTheme="minorHAnsi"/>
        </w:rPr>
        <w:t>201</w:t>
      </w:r>
      <w:r>
        <w:rPr>
          <w:rFonts w:eastAsiaTheme="minorHAnsi"/>
        </w:rPr>
        <w:t>7</w:t>
      </w:r>
      <w:r w:rsidRPr="00CC71A5">
        <w:rPr>
          <w:rFonts w:eastAsiaTheme="minorHAnsi"/>
        </w:rPr>
        <w:t xml:space="preserve"> году Комитету</w:t>
      </w:r>
      <w:r>
        <w:rPr>
          <w:rFonts w:eastAsiaTheme="minorHAnsi"/>
        </w:rPr>
        <w:t xml:space="preserve"> </w:t>
      </w:r>
      <w:r w:rsidR="00E33D20">
        <w:rPr>
          <w:rFonts w:eastAsiaTheme="minorHAnsi"/>
        </w:rPr>
        <w:t>продлена лицензия</w:t>
      </w:r>
      <w:r w:rsidRPr="00857C91">
        <w:rPr>
          <w:rFonts w:eastAsiaTheme="minorHAnsi"/>
        </w:rPr>
        <w:t xml:space="preserve"> на неисключительные права по использованию  программного продукта СБиС ЭО</w:t>
      </w:r>
      <w:r>
        <w:rPr>
          <w:rFonts w:eastAsiaTheme="minorHAnsi"/>
        </w:rPr>
        <w:t xml:space="preserve">  на сумму 5,7 тыс. рублей.</w:t>
      </w:r>
      <w:r w:rsidRPr="00857C91">
        <w:rPr>
          <w:rFonts w:eastAsiaTheme="minorHAnsi"/>
        </w:rPr>
        <w:t xml:space="preserve"> При существующих периодических платежах з</w:t>
      </w:r>
      <w:r>
        <w:rPr>
          <w:rFonts w:eastAsiaTheme="minorHAnsi"/>
        </w:rPr>
        <w:t>а право пользования программным пр</w:t>
      </w:r>
      <w:r w:rsidR="000E3772">
        <w:rPr>
          <w:rFonts w:eastAsiaTheme="minorHAnsi"/>
        </w:rPr>
        <w:t>одуктом</w:t>
      </w:r>
      <w:r w:rsidRPr="00857C91">
        <w:rPr>
          <w:rFonts w:eastAsiaTheme="minorHAnsi"/>
        </w:rPr>
        <w:t xml:space="preserve"> на забалансо</w:t>
      </w:r>
      <w:r>
        <w:rPr>
          <w:rFonts w:eastAsiaTheme="minorHAnsi"/>
        </w:rPr>
        <w:t>вом счёте 01 Комитетом</w:t>
      </w:r>
      <w:r w:rsidR="000E3772">
        <w:rPr>
          <w:rFonts w:eastAsiaTheme="minorHAnsi"/>
        </w:rPr>
        <w:t xml:space="preserve"> он</w:t>
      </w:r>
      <w:r>
        <w:rPr>
          <w:rFonts w:eastAsiaTheme="minorHAnsi"/>
        </w:rPr>
        <w:t xml:space="preserve"> не учтен</w:t>
      </w:r>
      <w:r w:rsidRPr="00857C91">
        <w:rPr>
          <w:rFonts w:eastAsiaTheme="minorHAnsi"/>
        </w:rPr>
        <w:t>,  что является нар</w:t>
      </w:r>
      <w:r>
        <w:rPr>
          <w:rFonts w:eastAsiaTheme="minorHAnsi"/>
        </w:rPr>
        <w:t xml:space="preserve">ушением п. 66 Инструкции № 157н, согласно которому </w:t>
      </w:r>
      <w:r w:rsidRPr="00CC71A5">
        <w:rPr>
          <w:rFonts w:eastAsiaTheme="minorHAnsi"/>
        </w:rPr>
        <w:t>нематериальные активы, полученные в пользование, учитываются пользователем (лицензиатом) на забалансовом счете  01</w:t>
      </w:r>
      <w:r>
        <w:rPr>
          <w:rFonts w:eastAsiaTheme="minorHAnsi"/>
        </w:rPr>
        <w:t xml:space="preserve"> «</w:t>
      </w:r>
      <w:r w:rsidRPr="00CC71A5">
        <w:rPr>
          <w:rFonts w:eastAsiaTheme="minorHAnsi"/>
        </w:rPr>
        <w:t>Имущество, полученное в пользование</w:t>
      </w:r>
      <w:r>
        <w:rPr>
          <w:rFonts w:eastAsiaTheme="minorHAnsi"/>
        </w:rPr>
        <w:t xml:space="preserve">» </w:t>
      </w:r>
      <w:r w:rsidRPr="00CC71A5">
        <w:rPr>
          <w:rFonts w:eastAsiaTheme="minorHAnsi"/>
        </w:rPr>
        <w:t xml:space="preserve">в оценке, определяемой исходя </w:t>
      </w:r>
      <w:r w:rsidRPr="00CC71A5">
        <w:rPr>
          <w:rFonts w:eastAsiaTheme="minorHAnsi"/>
          <w:u w:val="single"/>
        </w:rPr>
        <w:t>из размера вознаграждения, установленного в договоре.</w:t>
      </w:r>
      <w:r w:rsidRPr="00CC71A5">
        <w:rPr>
          <w:rFonts w:eastAsiaTheme="minorHAnsi"/>
        </w:rPr>
        <w:t xml:space="preserve">  </w:t>
      </w:r>
    </w:p>
    <w:p w:rsidR="00A23855" w:rsidRDefault="00A23855" w:rsidP="00A23855">
      <w:pPr>
        <w:pStyle w:val="af8"/>
        <w:autoSpaceDE w:val="0"/>
        <w:autoSpaceDN w:val="0"/>
        <w:adjustRightInd w:val="0"/>
        <w:ind w:left="0" w:firstLine="851"/>
        <w:jc w:val="both"/>
        <w:rPr>
          <w:rFonts w:eastAsiaTheme="minorHAnsi"/>
        </w:rPr>
      </w:pPr>
      <w:r w:rsidRPr="00857C91">
        <w:rPr>
          <w:rFonts w:eastAsiaTheme="minorHAnsi"/>
        </w:rPr>
        <w:t>Данное нарушение бухгалтерского учёта  привело к искажени</w:t>
      </w:r>
      <w:r w:rsidR="000E3772">
        <w:rPr>
          <w:rFonts w:eastAsiaTheme="minorHAnsi"/>
        </w:rPr>
        <w:t>ю двух форм  «Справки</w:t>
      </w:r>
      <w:r w:rsidRPr="00857C91">
        <w:rPr>
          <w:rFonts w:eastAsiaTheme="minorHAnsi"/>
        </w:rPr>
        <w:t xml:space="preserve"> о наличии имущества и обязательств на забалансовых счетах»,  являющейся приложени</w:t>
      </w:r>
      <w:r w:rsidR="000E3772">
        <w:rPr>
          <w:rFonts w:eastAsiaTheme="minorHAnsi"/>
        </w:rPr>
        <w:t>ем к Балансу (форма 0503130), «Сведений о движении нефинансовых активов</w:t>
      </w:r>
      <w:r w:rsidRPr="00857C91">
        <w:rPr>
          <w:rFonts w:eastAsiaTheme="minorHAnsi"/>
        </w:rPr>
        <w:t xml:space="preserve"> (форма 0503168)</w:t>
      </w:r>
      <w:r w:rsidR="000E3772">
        <w:rPr>
          <w:rFonts w:eastAsiaTheme="minorHAnsi"/>
        </w:rPr>
        <w:t>, в которых</w:t>
      </w:r>
      <w:r w:rsidRPr="00857C91">
        <w:rPr>
          <w:rFonts w:eastAsiaTheme="minorHAnsi"/>
        </w:rPr>
        <w:t xml:space="preserve"> занижены показатели по счёту 01 на конец отчётного периода на 5,7 тыс. рублей</w:t>
      </w:r>
      <w:r>
        <w:rPr>
          <w:rFonts w:eastAsiaTheme="minorHAnsi"/>
        </w:rPr>
        <w:t xml:space="preserve">. </w:t>
      </w:r>
    </w:p>
    <w:p w:rsidR="00E33D20" w:rsidRDefault="00000744" w:rsidP="00FC2E5B">
      <w:pPr>
        <w:autoSpaceDE w:val="0"/>
        <w:autoSpaceDN w:val="0"/>
        <w:adjustRightInd w:val="0"/>
        <w:ind w:firstLine="851"/>
        <w:jc w:val="both"/>
        <w:outlineLvl w:val="0"/>
        <w:rPr>
          <w:rFonts w:eastAsiaTheme="minorHAnsi"/>
        </w:rPr>
      </w:pPr>
      <w:r w:rsidRPr="007E1B7A">
        <w:t xml:space="preserve">В ходе проверки Комитетом </w:t>
      </w:r>
      <w:r w:rsidR="00343C5D" w:rsidRPr="007E1B7A">
        <w:t>в</w:t>
      </w:r>
      <w:r w:rsidRPr="007E1B7A">
        <w:t xml:space="preserve">несены </w:t>
      </w:r>
      <w:r w:rsidRPr="007E1B7A">
        <w:rPr>
          <w:rFonts w:eastAsiaTheme="minorHAnsi"/>
        </w:rPr>
        <w:t>исправления в бухгалтерский учёт</w:t>
      </w:r>
      <w:r w:rsidR="00004C9E" w:rsidRPr="007E1B7A">
        <w:rPr>
          <w:rFonts w:eastAsiaTheme="minorHAnsi"/>
        </w:rPr>
        <w:t xml:space="preserve"> </w:t>
      </w:r>
      <w:r w:rsidRPr="007E1B7A">
        <w:t xml:space="preserve">и во все формы бюджетной </w:t>
      </w:r>
      <w:r w:rsidRPr="00C906DE">
        <w:t>отчетности,</w:t>
      </w:r>
      <w:r w:rsidRPr="007E1B7A">
        <w:t xml:space="preserve"> которые </w:t>
      </w:r>
      <w:r w:rsidR="00343C5D" w:rsidRPr="007E1B7A">
        <w:t xml:space="preserve">были </w:t>
      </w:r>
      <w:r w:rsidRPr="007E1B7A">
        <w:t xml:space="preserve"> </w:t>
      </w:r>
      <w:r w:rsidR="000E3772">
        <w:t>приняты Комитетом финансов</w:t>
      </w:r>
      <w:r w:rsidR="007E1B7A" w:rsidRPr="007E1B7A">
        <w:rPr>
          <w:rFonts w:eastAsiaTheme="minorHAnsi"/>
        </w:rPr>
        <w:t>.</w:t>
      </w:r>
    </w:p>
    <w:p w:rsidR="00FC2E5B" w:rsidRPr="00FC2E5B" w:rsidRDefault="00FC2E5B" w:rsidP="00FC2E5B">
      <w:pPr>
        <w:autoSpaceDE w:val="0"/>
        <w:autoSpaceDN w:val="0"/>
        <w:adjustRightInd w:val="0"/>
        <w:jc w:val="both"/>
        <w:outlineLvl w:val="0"/>
        <w:rPr>
          <w:rFonts w:eastAsiaTheme="minorHAnsi"/>
        </w:rPr>
      </w:pPr>
    </w:p>
    <w:p w:rsidR="000E3772" w:rsidRDefault="000E3772" w:rsidP="00920158">
      <w:pPr>
        <w:autoSpaceDE w:val="0"/>
        <w:autoSpaceDN w:val="0"/>
        <w:adjustRightInd w:val="0"/>
        <w:ind w:firstLine="540"/>
        <w:jc w:val="center"/>
        <w:rPr>
          <w:b/>
          <w:i/>
        </w:rPr>
      </w:pPr>
    </w:p>
    <w:p w:rsidR="000E3772" w:rsidRDefault="000E3772" w:rsidP="00920158">
      <w:pPr>
        <w:autoSpaceDE w:val="0"/>
        <w:autoSpaceDN w:val="0"/>
        <w:adjustRightInd w:val="0"/>
        <w:ind w:firstLine="540"/>
        <w:jc w:val="center"/>
        <w:rPr>
          <w:b/>
          <w:i/>
        </w:rPr>
      </w:pPr>
    </w:p>
    <w:p w:rsidR="00920158" w:rsidRDefault="00920158" w:rsidP="00920158">
      <w:pPr>
        <w:autoSpaceDE w:val="0"/>
        <w:autoSpaceDN w:val="0"/>
        <w:adjustRightInd w:val="0"/>
        <w:ind w:firstLine="540"/>
        <w:jc w:val="center"/>
        <w:rPr>
          <w:b/>
          <w:i/>
        </w:rPr>
      </w:pPr>
      <w:r>
        <w:rPr>
          <w:b/>
          <w:i/>
        </w:rPr>
        <w:lastRenderedPageBreak/>
        <w:t xml:space="preserve">Исполнение доходов </w:t>
      </w:r>
    </w:p>
    <w:p w:rsidR="00723E9B" w:rsidRPr="009D51C5" w:rsidRDefault="00723E9B" w:rsidP="00723E9B">
      <w:pPr>
        <w:pStyle w:val="1"/>
        <w:spacing w:before="0" w:after="0"/>
        <w:ind w:firstLine="720"/>
        <w:jc w:val="both"/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</w:pPr>
      <w:bookmarkStart w:id="0" w:name="OLE_LINK2"/>
      <w:r w:rsidRPr="00BE735C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>Данные об администрируемых Комитетом доходах и</w:t>
      </w:r>
      <w:r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 xml:space="preserve"> фактическом поступлении за 2017</w:t>
      </w:r>
      <w:r w:rsidRPr="00BE735C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 xml:space="preserve"> год отражены в таблице.</w:t>
      </w:r>
    </w:p>
    <w:p w:rsidR="00723E9B" w:rsidRPr="00BE735C" w:rsidRDefault="00723E9B" w:rsidP="00723E9B">
      <w:pPr>
        <w:autoSpaceDE w:val="0"/>
        <w:autoSpaceDN w:val="0"/>
        <w:adjustRightInd w:val="0"/>
        <w:ind w:right="-1" w:firstLine="720"/>
        <w:jc w:val="right"/>
        <w:rPr>
          <w:i/>
          <w:sz w:val="20"/>
          <w:szCs w:val="20"/>
        </w:rPr>
      </w:pPr>
      <w:r w:rsidRPr="00BE735C">
        <w:rPr>
          <w:b/>
          <w:sz w:val="20"/>
          <w:szCs w:val="20"/>
        </w:rPr>
        <w:t xml:space="preserve">                                                                                                              </w:t>
      </w:r>
      <w:r w:rsidRPr="00BE735C">
        <w:rPr>
          <w:i/>
          <w:sz w:val="20"/>
          <w:szCs w:val="20"/>
        </w:rPr>
        <w:t>тыс. руб.</w:t>
      </w:r>
    </w:p>
    <w:tbl>
      <w:tblPr>
        <w:tblW w:w="10031" w:type="dxa"/>
        <w:tblLayout w:type="fixed"/>
        <w:tblLook w:val="04A0"/>
      </w:tblPr>
      <w:tblGrid>
        <w:gridCol w:w="5920"/>
        <w:gridCol w:w="1418"/>
        <w:gridCol w:w="1275"/>
        <w:gridCol w:w="1418"/>
      </w:tblGrid>
      <w:tr w:rsidR="00723E9B" w:rsidRPr="00B061BB" w:rsidTr="00407E56">
        <w:trPr>
          <w:trHeight w:val="230"/>
        </w:trPr>
        <w:tc>
          <w:tcPr>
            <w:tcW w:w="592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23E9B" w:rsidRPr="00C1598F" w:rsidRDefault="00723E9B" w:rsidP="00EA53DD">
            <w:pPr>
              <w:jc w:val="center"/>
              <w:rPr>
                <w:b/>
                <w:sz w:val="20"/>
                <w:szCs w:val="20"/>
              </w:rPr>
            </w:pPr>
            <w:r w:rsidRPr="00C1598F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723E9B" w:rsidRPr="00C1598F" w:rsidRDefault="00723E9B" w:rsidP="00EA53DD">
            <w:pPr>
              <w:jc w:val="center"/>
              <w:rPr>
                <w:b/>
                <w:sz w:val="20"/>
                <w:szCs w:val="20"/>
              </w:rPr>
            </w:pPr>
            <w:r w:rsidRPr="00C1598F">
              <w:rPr>
                <w:b/>
                <w:sz w:val="20"/>
                <w:szCs w:val="20"/>
              </w:rPr>
              <w:t>Утверждено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23E9B" w:rsidRPr="00C1598F" w:rsidRDefault="00723E9B" w:rsidP="00EA53DD">
            <w:pPr>
              <w:jc w:val="center"/>
              <w:rPr>
                <w:b/>
                <w:sz w:val="20"/>
                <w:szCs w:val="20"/>
              </w:rPr>
            </w:pPr>
            <w:r w:rsidRPr="00C1598F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EECE1" w:themeFill="background2"/>
            <w:vAlign w:val="center"/>
            <w:hideMark/>
          </w:tcPr>
          <w:p w:rsidR="00723E9B" w:rsidRDefault="00723E9B" w:rsidP="00EA53DD">
            <w:pPr>
              <w:jc w:val="center"/>
              <w:rPr>
                <w:b/>
                <w:sz w:val="20"/>
                <w:szCs w:val="20"/>
              </w:rPr>
            </w:pPr>
            <w:r w:rsidRPr="00C1598F">
              <w:rPr>
                <w:b/>
                <w:sz w:val="20"/>
                <w:szCs w:val="20"/>
              </w:rPr>
              <w:t>Отклонение</w:t>
            </w:r>
          </w:p>
          <w:p w:rsidR="00E33D20" w:rsidRPr="00C1598F" w:rsidRDefault="00F17EEE" w:rsidP="00EA53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увел. (+), умен. (-), </w:t>
            </w:r>
            <w:r w:rsidR="00E33D20">
              <w:rPr>
                <w:b/>
                <w:sz w:val="20"/>
                <w:szCs w:val="20"/>
              </w:rPr>
              <w:t>%</w:t>
            </w:r>
          </w:p>
        </w:tc>
      </w:tr>
      <w:tr w:rsidR="00723E9B" w:rsidRPr="00B061BB" w:rsidTr="00407E56">
        <w:trPr>
          <w:trHeight w:val="230"/>
        </w:trPr>
        <w:tc>
          <w:tcPr>
            <w:tcW w:w="592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  <w:hideMark/>
          </w:tcPr>
          <w:p w:rsidR="00723E9B" w:rsidRPr="00C1598F" w:rsidRDefault="00723E9B" w:rsidP="00EA53D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723E9B" w:rsidRPr="00C1598F" w:rsidRDefault="00723E9B" w:rsidP="00EA53D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723E9B" w:rsidRPr="00C1598F" w:rsidRDefault="00723E9B" w:rsidP="00EA53D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  <w:hideMark/>
          </w:tcPr>
          <w:p w:rsidR="00723E9B" w:rsidRPr="00C1598F" w:rsidRDefault="00723E9B" w:rsidP="00EA53DD">
            <w:pPr>
              <w:rPr>
                <w:sz w:val="20"/>
                <w:szCs w:val="20"/>
              </w:rPr>
            </w:pPr>
          </w:p>
        </w:tc>
      </w:tr>
      <w:tr w:rsidR="00723E9B" w:rsidRPr="00B061BB" w:rsidTr="00407E56">
        <w:trPr>
          <w:trHeight w:val="255"/>
        </w:trPr>
        <w:tc>
          <w:tcPr>
            <w:tcW w:w="5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23E9B" w:rsidRPr="00C1598F" w:rsidRDefault="00723E9B" w:rsidP="00EA53DD">
            <w:pPr>
              <w:rPr>
                <w:b/>
                <w:bCs/>
                <w:sz w:val="20"/>
                <w:szCs w:val="20"/>
              </w:rPr>
            </w:pPr>
            <w:r w:rsidRPr="00C1598F">
              <w:rPr>
                <w:b/>
                <w:bCs/>
                <w:sz w:val="20"/>
                <w:szCs w:val="20"/>
              </w:rPr>
              <w:t>Доходы бюджета - всего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E9B" w:rsidRPr="00C1598F" w:rsidRDefault="00723E9B" w:rsidP="00EA53D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45 150,0</w:t>
            </w:r>
          </w:p>
        </w:tc>
        <w:tc>
          <w:tcPr>
            <w:tcW w:w="127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E9B" w:rsidRPr="00C1598F" w:rsidRDefault="00723E9B" w:rsidP="00EA53D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59 586,7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23E9B" w:rsidRPr="008A31F3" w:rsidRDefault="00E33D20" w:rsidP="00EA53D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32,0</w:t>
            </w:r>
          </w:p>
        </w:tc>
      </w:tr>
      <w:tr w:rsidR="00723E9B" w:rsidRPr="00B061BB" w:rsidTr="00407E56">
        <w:trPr>
          <w:trHeight w:val="255"/>
        </w:trPr>
        <w:tc>
          <w:tcPr>
            <w:tcW w:w="59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23E9B" w:rsidRPr="00C1598F" w:rsidRDefault="00723E9B" w:rsidP="00EA53DD">
            <w:pPr>
              <w:rPr>
                <w:i/>
                <w:sz w:val="20"/>
                <w:szCs w:val="20"/>
              </w:rPr>
            </w:pPr>
            <w:r w:rsidRPr="00C1598F">
              <w:rPr>
                <w:i/>
                <w:sz w:val="20"/>
                <w:szCs w:val="20"/>
              </w:rPr>
              <w:t xml:space="preserve">   в том числе: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E9B" w:rsidRPr="00C1598F" w:rsidRDefault="00723E9B" w:rsidP="00EA53DD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E9B" w:rsidRPr="00C1598F" w:rsidRDefault="00723E9B" w:rsidP="00EA53DD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23E9B" w:rsidRPr="008A31F3" w:rsidRDefault="00723E9B" w:rsidP="00EA53DD">
            <w:pPr>
              <w:jc w:val="right"/>
              <w:rPr>
                <w:i/>
                <w:sz w:val="20"/>
                <w:szCs w:val="20"/>
              </w:rPr>
            </w:pPr>
          </w:p>
        </w:tc>
      </w:tr>
      <w:tr w:rsidR="00723E9B" w:rsidRPr="00B061BB" w:rsidTr="00407E56">
        <w:trPr>
          <w:trHeight w:val="255"/>
        </w:trPr>
        <w:tc>
          <w:tcPr>
            <w:tcW w:w="59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23E9B" w:rsidRPr="00C1598F" w:rsidRDefault="00723E9B" w:rsidP="00EA53DD">
            <w:pPr>
              <w:rPr>
                <w:sz w:val="20"/>
                <w:szCs w:val="20"/>
              </w:rPr>
            </w:pPr>
            <w:r w:rsidRPr="00C1598F">
              <w:rPr>
                <w:b/>
                <w:sz w:val="20"/>
                <w:szCs w:val="20"/>
              </w:rPr>
              <w:t xml:space="preserve">Налоговые и неналоговые доходы </w:t>
            </w:r>
            <w:r w:rsidRPr="00C1598F"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841</w:t>
            </w:r>
            <w:r w:rsidRPr="00C1598F">
              <w:rPr>
                <w:i/>
                <w:sz w:val="20"/>
                <w:szCs w:val="20"/>
              </w:rPr>
              <w:t xml:space="preserve"> 1 00 00000 00 0000 000</w:t>
            </w:r>
            <w:r w:rsidRPr="00C1598F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E9B" w:rsidRPr="00500FC1" w:rsidRDefault="00424C0E" w:rsidP="00EA53D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45 150,0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E9B" w:rsidRPr="00500FC1" w:rsidRDefault="00424C0E" w:rsidP="00EA53D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59 577,9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23E9B" w:rsidRPr="008A31F3" w:rsidRDefault="00E33D20" w:rsidP="00EA53D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32,0</w:t>
            </w:r>
          </w:p>
        </w:tc>
      </w:tr>
      <w:tr w:rsidR="00723E9B" w:rsidRPr="00B061BB" w:rsidTr="00407E56">
        <w:trPr>
          <w:trHeight w:val="510"/>
        </w:trPr>
        <w:tc>
          <w:tcPr>
            <w:tcW w:w="59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23E9B" w:rsidRPr="00C1598F" w:rsidRDefault="00424C0E" w:rsidP="00EA53DD">
            <w:pPr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t xml:space="preserve"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 </w:t>
            </w:r>
            <w:r w:rsidR="00723E9B" w:rsidRPr="00C1598F">
              <w:rPr>
                <w:sz w:val="20"/>
                <w:szCs w:val="18"/>
              </w:rPr>
              <w:t xml:space="preserve">РФ </w:t>
            </w:r>
            <w:r w:rsidR="00723E9B" w:rsidRPr="00C1598F"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841 1 08 07080 01 0000 11</w:t>
            </w:r>
            <w:r w:rsidR="00723E9B" w:rsidRPr="00C1598F">
              <w:rPr>
                <w:i/>
                <w:sz w:val="20"/>
                <w:szCs w:val="20"/>
              </w:rPr>
              <w:t>0</w:t>
            </w:r>
            <w:r w:rsidR="00723E9B" w:rsidRPr="00C1598F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E9B" w:rsidRPr="00C1598F" w:rsidRDefault="00F23A15" w:rsidP="00EA53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45 150</w:t>
            </w:r>
            <w:r w:rsidR="00723E9B" w:rsidRPr="00C1598F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E9B" w:rsidRPr="00C1598F" w:rsidRDefault="00F23A15" w:rsidP="00EA53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59 577,9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23E9B" w:rsidRPr="008A31F3" w:rsidRDefault="00E33D20" w:rsidP="00EA53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</w:tr>
      <w:tr w:rsidR="00723E9B" w:rsidRPr="00B061BB" w:rsidTr="00407E56">
        <w:trPr>
          <w:trHeight w:val="178"/>
        </w:trPr>
        <w:tc>
          <w:tcPr>
            <w:tcW w:w="59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23E9B" w:rsidRPr="00C1598F" w:rsidRDefault="00F23A15" w:rsidP="00EA53D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  <w:r w:rsidR="00723E9B" w:rsidRPr="00C1598F">
              <w:rPr>
                <w:b/>
                <w:sz w:val="20"/>
                <w:szCs w:val="20"/>
              </w:rPr>
              <w:t xml:space="preserve"> </w:t>
            </w:r>
            <w:r w:rsidR="00723E9B" w:rsidRPr="00C1598F"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 xml:space="preserve">841 1 13 </w:t>
            </w:r>
            <w:r w:rsidR="00723E9B" w:rsidRPr="00C1598F">
              <w:rPr>
                <w:i/>
                <w:sz w:val="20"/>
                <w:szCs w:val="20"/>
              </w:rPr>
              <w:t xml:space="preserve"> 00000 00 0000 000</w:t>
            </w:r>
            <w:r w:rsidR="00723E9B" w:rsidRPr="00C1598F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E9B" w:rsidRPr="000C497E" w:rsidRDefault="00F23A15" w:rsidP="00EA53D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E9B" w:rsidRPr="000C497E" w:rsidRDefault="00F23A15" w:rsidP="00EA53D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23E9B" w:rsidRPr="000C497E" w:rsidRDefault="00723E9B" w:rsidP="00EA53DD">
            <w:pPr>
              <w:jc w:val="right"/>
              <w:rPr>
                <w:b/>
                <w:sz w:val="20"/>
                <w:szCs w:val="20"/>
              </w:rPr>
            </w:pPr>
            <w:r w:rsidRPr="000C497E">
              <w:rPr>
                <w:b/>
                <w:sz w:val="20"/>
                <w:szCs w:val="20"/>
              </w:rPr>
              <w:t>---</w:t>
            </w:r>
          </w:p>
        </w:tc>
      </w:tr>
      <w:tr w:rsidR="00723E9B" w:rsidRPr="00B061BB" w:rsidTr="00407E56">
        <w:trPr>
          <w:trHeight w:val="70"/>
        </w:trPr>
        <w:tc>
          <w:tcPr>
            <w:tcW w:w="592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23E9B" w:rsidRPr="00C1598F" w:rsidRDefault="008064D5" w:rsidP="008064D5">
            <w:pPr>
              <w:rPr>
                <w:sz w:val="20"/>
                <w:szCs w:val="20"/>
              </w:rPr>
            </w:pPr>
            <w:r w:rsidRPr="008064D5">
              <w:rPr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  <w:r w:rsidRPr="00C1598F">
              <w:rPr>
                <w:b/>
                <w:sz w:val="20"/>
                <w:szCs w:val="20"/>
              </w:rPr>
              <w:t xml:space="preserve"> </w:t>
            </w:r>
            <w:r w:rsidRPr="00C1598F"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 xml:space="preserve">841 </w:t>
            </w:r>
            <w:r w:rsidRPr="00C1598F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1 13 02000 00</w:t>
            </w:r>
            <w:r w:rsidRPr="00C1598F">
              <w:rPr>
                <w:i/>
                <w:sz w:val="20"/>
                <w:szCs w:val="20"/>
              </w:rPr>
              <w:t xml:space="preserve"> 0000 1</w:t>
            </w:r>
            <w:r>
              <w:rPr>
                <w:i/>
                <w:sz w:val="20"/>
                <w:szCs w:val="20"/>
              </w:rPr>
              <w:t>30</w:t>
            </w:r>
            <w:r w:rsidRPr="00C1598F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E9B" w:rsidRPr="00C1598F" w:rsidRDefault="008064D5" w:rsidP="00EA53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E9B" w:rsidRPr="00C1598F" w:rsidRDefault="008064D5" w:rsidP="00EA53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23E9B" w:rsidRPr="00C1598F" w:rsidRDefault="00723E9B" w:rsidP="00EA53DD">
            <w:pPr>
              <w:jc w:val="right"/>
              <w:rPr>
                <w:sz w:val="20"/>
                <w:szCs w:val="20"/>
              </w:rPr>
            </w:pPr>
            <w:r w:rsidRPr="00C1598F">
              <w:rPr>
                <w:sz w:val="20"/>
                <w:szCs w:val="20"/>
              </w:rPr>
              <w:t>---</w:t>
            </w:r>
          </w:p>
        </w:tc>
      </w:tr>
    </w:tbl>
    <w:p w:rsidR="00723E9B" w:rsidRDefault="00723E9B" w:rsidP="00211BE3">
      <w:pPr>
        <w:ind w:firstLine="709"/>
        <w:jc w:val="both"/>
      </w:pPr>
      <w:r w:rsidRPr="000C497E">
        <w:t>Согласно форме бюджетной отчетности (далее форма) 0503164 «Сведения об исполнении бюджета</w:t>
      </w:r>
      <w:r w:rsidR="008A31F3">
        <w:t>» доходы поступили в сумме 59 586,7</w:t>
      </w:r>
      <w:r w:rsidRPr="000C497E">
        <w:t xml:space="preserve"> тыс.руб., что превышает плановые </w:t>
      </w:r>
      <w:r w:rsidR="008A31F3">
        <w:t>назначени</w:t>
      </w:r>
      <w:r w:rsidR="00E33D20">
        <w:t>я на 14 436,7 тыс.руб.</w:t>
      </w:r>
      <w:r w:rsidR="00B91093">
        <w:t>,</w:t>
      </w:r>
      <w:r w:rsidR="00E33D20">
        <w:t xml:space="preserve"> или на 32 процента</w:t>
      </w:r>
      <w:r w:rsidR="00520869">
        <w:t>.</w:t>
      </w:r>
      <w:r w:rsidRPr="000C497E">
        <w:t xml:space="preserve"> </w:t>
      </w:r>
    </w:p>
    <w:p w:rsidR="001232B6" w:rsidRPr="001232B6" w:rsidRDefault="001232B6" w:rsidP="001232B6">
      <w:pPr>
        <w:ind w:firstLine="708"/>
        <w:jc w:val="both"/>
      </w:pPr>
      <w:r w:rsidRPr="001232B6">
        <w:t xml:space="preserve">Администрируемые Комитетом доходы </w:t>
      </w:r>
      <w:r w:rsidRPr="001232B6">
        <w:rPr>
          <w:i/>
        </w:rPr>
        <w:t>областного бюджета</w:t>
      </w:r>
      <w:r w:rsidRPr="001232B6">
        <w:t xml:space="preserve"> состоят из государственной пошлины за выдачу лицензии на розничную продажу алкогольной продукции и государственной пошлины за выдачу лицензии на заготовку, переработку и реализацию лома черных и цветных металлов. </w:t>
      </w:r>
    </w:p>
    <w:p w:rsidR="001232B6" w:rsidRPr="00D5422A" w:rsidRDefault="001232B6" w:rsidP="001232B6">
      <w:pPr>
        <w:pStyle w:val="af9"/>
        <w:ind w:firstLine="709"/>
        <w:jc w:val="both"/>
        <w:rPr>
          <w:rFonts w:ascii="Times New Roman" w:eastAsia="Calibri" w:hAnsi="Times New Roman" w:cs="Times New Roman"/>
        </w:rPr>
      </w:pPr>
      <w:r w:rsidRPr="00EB38D4">
        <w:rPr>
          <w:rFonts w:ascii="Times New Roman" w:hAnsi="Times New Roman" w:cs="Times New Roman"/>
        </w:rPr>
        <w:t>Перевыполнение про</w:t>
      </w:r>
      <w:r w:rsidR="00D5422A" w:rsidRPr="00EB38D4">
        <w:rPr>
          <w:rFonts w:ascii="Times New Roman" w:hAnsi="Times New Roman" w:cs="Times New Roman"/>
        </w:rPr>
        <w:t>гнозного показателя</w:t>
      </w:r>
      <w:r w:rsidRPr="00EB38D4">
        <w:rPr>
          <w:rFonts w:ascii="Times New Roman" w:hAnsi="Times New Roman" w:cs="Times New Roman"/>
        </w:rPr>
        <w:t xml:space="preserve"> </w:t>
      </w:r>
      <w:r w:rsidR="00E33D20">
        <w:rPr>
          <w:rFonts w:ascii="Times New Roman" w:hAnsi="Times New Roman" w:cs="Times New Roman"/>
        </w:rPr>
        <w:t xml:space="preserve">обусловлено </w:t>
      </w:r>
      <w:r w:rsidR="002839A2">
        <w:rPr>
          <w:rFonts w:ascii="Times New Roman" w:hAnsi="Times New Roman" w:cs="Times New Roman"/>
        </w:rPr>
        <w:t>увеличением количества заявителей</w:t>
      </w:r>
      <w:r w:rsidR="00A522C5" w:rsidRPr="00D5422A">
        <w:rPr>
          <w:rFonts w:ascii="Times New Roman" w:hAnsi="Times New Roman" w:cs="Times New Roman"/>
        </w:rPr>
        <w:t xml:space="preserve"> на продление лицензий</w:t>
      </w:r>
      <w:r w:rsidRPr="00D5422A">
        <w:rPr>
          <w:rFonts w:ascii="Times New Roman" w:hAnsi="Times New Roman" w:cs="Times New Roman"/>
        </w:rPr>
        <w:t xml:space="preserve">. </w:t>
      </w:r>
    </w:p>
    <w:p w:rsidR="001232B6" w:rsidRPr="001232B6" w:rsidRDefault="001232B6" w:rsidP="001232B6">
      <w:pPr>
        <w:ind w:firstLine="709"/>
        <w:jc w:val="both"/>
      </w:pPr>
      <w:r>
        <w:t xml:space="preserve">Кроме того, в доходах областного бюджета по КБК </w:t>
      </w:r>
      <w:r>
        <w:rPr>
          <w:rFonts w:eastAsia="Times New Roman"/>
        </w:rPr>
        <w:t xml:space="preserve">841 1 13 02992 02 0000 000 </w:t>
      </w:r>
      <w:r>
        <w:t xml:space="preserve">отражена сумма поступлений 8,8 тыс. руб. – возврат </w:t>
      </w:r>
      <w:r w:rsidR="00E33D20">
        <w:t xml:space="preserve">ошибочно начисленной </w:t>
      </w:r>
      <w:r>
        <w:t>заработной платы за 2016 год.</w:t>
      </w:r>
    </w:p>
    <w:bookmarkEnd w:id="0"/>
    <w:p w:rsidR="00C04EFC" w:rsidRDefault="0039270B" w:rsidP="00863072">
      <w:pPr>
        <w:pStyle w:val="aff7"/>
        <w:spacing w:before="0" w:beforeAutospacing="0" w:after="0" w:afterAutospacing="0"/>
        <w:ind w:firstLine="708"/>
        <w:jc w:val="both"/>
      </w:pPr>
      <w:r>
        <w:t>В адрес К</w:t>
      </w:r>
      <w:r w:rsidR="00723E9B" w:rsidRPr="00B21320">
        <w:t>омитет</w:t>
      </w:r>
      <w:r>
        <w:t>а финансов</w:t>
      </w:r>
      <w:r w:rsidR="00723E9B" w:rsidRPr="00B21320">
        <w:t xml:space="preserve"> Комитетом было на</w:t>
      </w:r>
      <w:r w:rsidR="00520869">
        <w:t>правлено письмо от 10.07.2017/2352</w:t>
      </w:r>
      <w:r w:rsidR="00723E9B" w:rsidRPr="00B21320">
        <w:t xml:space="preserve"> об уточне</w:t>
      </w:r>
      <w:r w:rsidR="00520869">
        <w:t>нии бюджетных назначений на 2017</w:t>
      </w:r>
      <w:r w:rsidR="00723E9B" w:rsidRPr="00B21320">
        <w:t xml:space="preserve"> год в</w:t>
      </w:r>
      <w:r w:rsidR="00211BE3">
        <w:t xml:space="preserve"> части </w:t>
      </w:r>
      <w:r w:rsidR="00E33D20">
        <w:t>увеличения прогнозных показателей по доходам на общую сумму 13 950,0 тыс. руб., однако</w:t>
      </w:r>
      <w:r w:rsidR="00723E9B" w:rsidRPr="00B21320">
        <w:t>,</w:t>
      </w:r>
      <w:r>
        <w:t xml:space="preserve"> предложения К</w:t>
      </w:r>
      <w:r w:rsidR="00211BE3">
        <w:t>оми</w:t>
      </w:r>
      <w:r>
        <w:t>тетом финансов</w:t>
      </w:r>
      <w:r w:rsidR="00211BE3">
        <w:t xml:space="preserve"> не были учтены в поправках к Закону об областном бюджете</w:t>
      </w:r>
      <w:r w:rsidR="00723E9B" w:rsidRPr="00B21320">
        <w:t>.</w:t>
      </w:r>
    </w:p>
    <w:p w:rsidR="00792491" w:rsidRPr="00792491" w:rsidRDefault="000E3772" w:rsidP="00792491">
      <w:pPr>
        <w:pStyle w:val="af9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Помимо </w:t>
      </w:r>
      <w:r w:rsidR="00792491" w:rsidRPr="00792491">
        <w:rPr>
          <w:rFonts w:ascii="Times New Roman" w:hAnsi="Times New Roman"/>
        </w:rPr>
        <w:t>доходов</w:t>
      </w:r>
      <w:r>
        <w:rPr>
          <w:rFonts w:ascii="Times New Roman" w:hAnsi="Times New Roman"/>
        </w:rPr>
        <w:t xml:space="preserve"> областного бюджета</w:t>
      </w:r>
      <w:r w:rsidR="00792491" w:rsidRPr="00792491">
        <w:rPr>
          <w:rFonts w:ascii="Times New Roman" w:hAnsi="Times New Roman"/>
        </w:rPr>
        <w:t xml:space="preserve"> Комитет является администратором отдельных доходов местных бюджетов (бюджета г. Волгограда) по кодам бюджетной классификации доходов 1 16 08010 01 0000 140 «Денежные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продукции» и 1 16 90040 04 0000 140 «</w:t>
      </w:r>
      <w:r w:rsidR="00792491" w:rsidRPr="00792491">
        <w:rPr>
          <w:rFonts w:ascii="Times New Roman" w:eastAsia="Calibri" w:hAnsi="Times New Roman"/>
        </w:rPr>
        <w:t>Прочие поступления от денежных взысканий (штрафов) и иных сумм в возмещение ущерба, зачисляемые в бюджеты городских округов» по ш</w:t>
      </w:r>
      <w:r w:rsidR="00792491" w:rsidRPr="00792491">
        <w:rPr>
          <w:rFonts w:ascii="Times New Roman" w:hAnsi="Times New Roman"/>
        </w:rPr>
        <w:t>трафам за нарушение условий лицензирования заготовки, хранения, переработки и реализации лома черных и (или) цветных металлов.</w:t>
      </w:r>
    </w:p>
    <w:p w:rsidR="00792491" w:rsidRPr="00C7442A" w:rsidRDefault="00792491" w:rsidP="00C7442A">
      <w:pPr>
        <w:pStyle w:val="af9"/>
        <w:ind w:firstLine="708"/>
        <w:jc w:val="both"/>
        <w:rPr>
          <w:rFonts w:ascii="Times New Roman" w:hAnsi="Times New Roman"/>
        </w:rPr>
      </w:pPr>
      <w:r w:rsidRPr="00792491">
        <w:rPr>
          <w:rFonts w:ascii="Times New Roman" w:hAnsi="Times New Roman"/>
        </w:rPr>
        <w:t xml:space="preserve">Полномочия по администрированию данных доходов возложены на Комитет в соответствии с </w:t>
      </w:r>
      <w:r w:rsidRPr="00792491">
        <w:rPr>
          <w:rFonts w:ascii="Times New Roman" w:eastAsia="Calibri" w:hAnsi="Times New Roman"/>
        </w:rPr>
        <w:t xml:space="preserve"> Порядком осуществления органами государственной власти Волгоградской области, органами управления территориальными государственными внебюджетными фондами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</w:t>
      </w:r>
      <w:r w:rsidRPr="00792491">
        <w:rPr>
          <w:rFonts w:ascii="Times New Roman" w:hAnsi="Times New Roman"/>
        </w:rPr>
        <w:t xml:space="preserve">, утвержденным постановлением Правительства Волгоградской области от 09.04.2013 №153-п, и Решением Волгоградской городской Думы от 23.12.2016 №52/1511 «О бюджете Волгограда на 2017 год и на плановый период 2018 и 2019 годов». </w:t>
      </w:r>
      <w:r w:rsidRPr="00792491">
        <w:rPr>
          <w:highlight w:val="yellow"/>
        </w:rPr>
        <w:t xml:space="preserve"> </w:t>
      </w:r>
    </w:p>
    <w:p w:rsidR="0062465B" w:rsidRPr="00D30563" w:rsidRDefault="00C7442A" w:rsidP="009575A6">
      <w:pPr>
        <w:ind w:firstLine="709"/>
        <w:jc w:val="both"/>
      </w:pPr>
      <w:r w:rsidRPr="00D30563">
        <w:lastRenderedPageBreak/>
        <w:t>Информация о начислениях, поступлениях и задолженности</w:t>
      </w:r>
      <w:r w:rsidR="000E3772">
        <w:t xml:space="preserve"> по доходам, поступившим</w:t>
      </w:r>
      <w:r w:rsidR="0062465B">
        <w:t xml:space="preserve"> в бюджет г.Волгограда</w:t>
      </w:r>
      <w:r w:rsidRPr="00D30563">
        <w:t xml:space="preserve"> на начало и конец отчетного периода</w:t>
      </w:r>
      <w:r w:rsidR="002839A2">
        <w:t>,</w:t>
      </w:r>
      <w:r w:rsidRPr="00D30563">
        <w:t xml:space="preserve"> приведена в таблице. </w:t>
      </w:r>
    </w:p>
    <w:p w:rsidR="00C7442A" w:rsidRDefault="00C7442A" w:rsidP="00C7442A">
      <w:pPr>
        <w:ind w:firstLine="567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тыс. руб.</w:t>
      </w:r>
    </w:p>
    <w:tbl>
      <w:tblPr>
        <w:tblW w:w="10025" w:type="dxa"/>
        <w:jc w:val="center"/>
        <w:tblInd w:w="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734"/>
        <w:gridCol w:w="1090"/>
        <w:gridCol w:w="1019"/>
        <w:gridCol w:w="1225"/>
        <w:gridCol w:w="1473"/>
        <w:gridCol w:w="1429"/>
        <w:gridCol w:w="1055"/>
      </w:tblGrid>
      <w:tr w:rsidR="00D52A5D" w:rsidRPr="00D53C96" w:rsidTr="00D47047">
        <w:trPr>
          <w:trHeight w:val="20"/>
          <w:jc w:val="center"/>
        </w:trPr>
        <w:tc>
          <w:tcPr>
            <w:tcW w:w="2734" w:type="dxa"/>
            <w:shd w:val="clear" w:color="auto" w:fill="auto"/>
            <w:vAlign w:val="center"/>
            <w:hideMark/>
          </w:tcPr>
          <w:p w:rsidR="00D52A5D" w:rsidRPr="00D53C96" w:rsidRDefault="00D52A5D" w:rsidP="00D47047">
            <w:pPr>
              <w:jc w:val="center"/>
              <w:rPr>
                <w:rFonts w:eastAsia="Times New Roman"/>
                <w:b/>
                <w:i/>
                <w:sz w:val="20"/>
                <w:szCs w:val="20"/>
              </w:rPr>
            </w:pPr>
            <w:r w:rsidRPr="00D53C96">
              <w:rPr>
                <w:rFonts w:eastAsia="Times New Roman"/>
                <w:b/>
                <w:i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D52A5D" w:rsidRPr="00D53C96" w:rsidRDefault="00D52A5D" w:rsidP="00D47047">
            <w:pPr>
              <w:jc w:val="center"/>
              <w:rPr>
                <w:rFonts w:eastAsia="Times New Roman"/>
                <w:b/>
                <w:i/>
                <w:sz w:val="20"/>
                <w:szCs w:val="20"/>
              </w:rPr>
            </w:pPr>
            <w:r w:rsidRPr="00D53C96">
              <w:rPr>
                <w:rFonts w:eastAsia="Times New Roman"/>
                <w:b/>
                <w:i/>
                <w:sz w:val="20"/>
                <w:szCs w:val="20"/>
              </w:rPr>
              <w:t>Сальдо на 01.01.</w:t>
            </w:r>
            <w:r>
              <w:rPr>
                <w:rFonts w:eastAsia="Times New Roman"/>
                <w:b/>
                <w:i/>
                <w:sz w:val="20"/>
                <w:szCs w:val="20"/>
              </w:rPr>
              <w:t>2017</w:t>
            </w:r>
          </w:p>
        </w:tc>
        <w:tc>
          <w:tcPr>
            <w:tcW w:w="1019" w:type="dxa"/>
            <w:vAlign w:val="center"/>
          </w:tcPr>
          <w:p w:rsidR="00D52A5D" w:rsidRDefault="00D47047" w:rsidP="00D47047">
            <w:pPr>
              <w:jc w:val="center"/>
              <w:rPr>
                <w:rFonts w:eastAsia="Times New Roman"/>
                <w:b/>
                <w:i/>
                <w:sz w:val="20"/>
                <w:szCs w:val="20"/>
              </w:rPr>
            </w:pPr>
            <w:r>
              <w:rPr>
                <w:rFonts w:eastAsia="Times New Roman"/>
                <w:b/>
                <w:i/>
                <w:sz w:val="20"/>
                <w:szCs w:val="20"/>
              </w:rPr>
              <w:t>Начислено в 2017</w:t>
            </w:r>
            <w:r w:rsidRPr="00D53C96">
              <w:rPr>
                <w:rFonts w:eastAsia="Times New Roman"/>
                <w:b/>
                <w:i/>
                <w:sz w:val="20"/>
                <w:szCs w:val="20"/>
              </w:rPr>
              <w:t xml:space="preserve"> году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D52A5D" w:rsidRPr="00D53C96" w:rsidRDefault="00D47047" w:rsidP="00D47047">
            <w:pPr>
              <w:jc w:val="center"/>
              <w:rPr>
                <w:rFonts w:eastAsia="Times New Roman"/>
                <w:b/>
                <w:i/>
                <w:sz w:val="20"/>
                <w:szCs w:val="20"/>
              </w:rPr>
            </w:pPr>
            <w:r>
              <w:rPr>
                <w:rFonts w:eastAsia="Times New Roman"/>
                <w:b/>
                <w:i/>
                <w:sz w:val="20"/>
                <w:szCs w:val="20"/>
              </w:rPr>
              <w:t>Поступило в 2017</w:t>
            </w:r>
            <w:r w:rsidRPr="00D53C96">
              <w:rPr>
                <w:rFonts w:eastAsia="Times New Roman"/>
                <w:b/>
                <w:i/>
                <w:sz w:val="20"/>
                <w:szCs w:val="20"/>
              </w:rPr>
              <w:t xml:space="preserve"> году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D52A5D" w:rsidRPr="00D53C96" w:rsidRDefault="00D47047" w:rsidP="00D47047">
            <w:pPr>
              <w:jc w:val="center"/>
              <w:rPr>
                <w:rFonts w:eastAsia="Times New Roman"/>
                <w:b/>
                <w:i/>
                <w:sz w:val="20"/>
                <w:szCs w:val="20"/>
              </w:rPr>
            </w:pPr>
            <w:r>
              <w:rPr>
                <w:rFonts w:eastAsia="Times New Roman"/>
                <w:b/>
                <w:i/>
                <w:sz w:val="20"/>
                <w:szCs w:val="20"/>
              </w:rPr>
              <w:t>Списана дебиторская задолженность</w:t>
            </w:r>
          </w:p>
        </w:tc>
        <w:tc>
          <w:tcPr>
            <w:tcW w:w="1429" w:type="dxa"/>
            <w:vAlign w:val="center"/>
          </w:tcPr>
          <w:p w:rsidR="00D52A5D" w:rsidRDefault="00D47047" w:rsidP="0062465B">
            <w:pPr>
              <w:jc w:val="center"/>
              <w:rPr>
                <w:rFonts w:eastAsia="Times New Roman"/>
                <w:b/>
                <w:i/>
                <w:sz w:val="20"/>
                <w:szCs w:val="20"/>
              </w:rPr>
            </w:pPr>
            <w:r>
              <w:rPr>
                <w:rFonts w:eastAsia="Times New Roman"/>
                <w:b/>
                <w:i/>
                <w:sz w:val="20"/>
                <w:szCs w:val="20"/>
              </w:rPr>
              <w:t xml:space="preserve">Возврат ошибочно </w:t>
            </w:r>
            <w:r w:rsidR="0062465B">
              <w:rPr>
                <w:rFonts w:eastAsia="Times New Roman"/>
                <w:b/>
                <w:i/>
                <w:sz w:val="20"/>
                <w:szCs w:val="20"/>
              </w:rPr>
              <w:t>взысканного</w:t>
            </w:r>
            <w:r>
              <w:rPr>
                <w:rFonts w:eastAsia="Times New Roman"/>
                <w:b/>
                <w:i/>
                <w:sz w:val="20"/>
                <w:szCs w:val="20"/>
              </w:rPr>
              <w:t xml:space="preserve"> штрафа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D52A5D" w:rsidRPr="00D53C96" w:rsidRDefault="00D52A5D" w:rsidP="00D47047">
            <w:pPr>
              <w:jc w:val="center"/>
              <w:rPr>
                <w:rFonts w:eastAsia="Times New Roman"/>
                <w:b/>
                <w:i/>
                <w:sz w:val="20"/>
                <w:szCs w:val="20"/>
              </w:rPr>
            </w:pPr>
            <w:r>
              <w:rPr>
                <w:rFonts w:eastAsia="Times New Roman"/>
                <w:b/>
                <w:i/>
                <w:sz w:val="20"/>
                <w:szCs w:val="20"/>
              </w:rPr>
              <w:t>Сальдо на 01.01.2018</w:t>
            </w:r>
          </w:p>
        </w:tc>
      </w:tr>
      <w:tr w:rsidR="00D52A5D" w:rsidRPr="00D30563" w:rsidTr="005B3DA6">
        <w:trPr>
          <w:trHeight w:val="276"/>
          <w:jc w:val="center"/>
        </w:trPr>
        <w:tc>
          <w:tcPr>
            <w:tcW w:w="2734" w:type="dxa"/>
            <w:shd w:val="clear" w:color="auto" w:fill="auto"/>
            <w:hideMark/>
          </w:tcPr>
          <w:p w:rsidR="00D52A5D" w:rsidRPr="00D30563" w:rsidRDefault="00BD707E" w:rsidP="007F150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Доходы, поступающие в бюджет г.</w:t>
            </w:r>
            <w:r w:rsidR="00D52A5D" w:rsidRPr="00D30563">
              <w:rPr>
                <w:rFonts w:eastAsia="Times New Roman"/>
                <w:sz w:val="20"/>
                <w:szCs w:val="20"/>
              </w:rPr>
              <w:t>Волгограда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D52A5D" w:rsidRPr="00B76D6E" w:rsidRDefault="00D52A5D" w:rsidP="005B3DA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6D6E">
              <w:rPr>
                <w:rFonts w:eastAsia="Times New Roman"/>
                <w:sz w:val="20"/>
                <w:szCs w:val="20"/>
              </w:rPr>
              <w:t>14 375,1</w:t>
            </w:r>
          </w:p>
        </w:tc>
        <w:tc>
          <w:tcPr>
            <w:tcW w:w="1019" w:type="dxa"/>
            <w:vAlign w:val="center"/>
          </w:tcPr>
          <w:p w:rsidR="00D52A5D" w:rsidRDefault="00D47047" w:rsidP="005B3DA6">
            <w:pPr>
              <w:jc w:val="center"/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>8 672,0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D52A5D" w:rsidRPr="00D30563" w:rsidRDefault="00D47047" w:rsidP="005B3DA6">
            <w:pPr>
              <w:jc w:val="center"/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>2 879,4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D52A5D" w:rsidRPr="00D30563" w:rsidRDefault="00D47047" w:rsidP="005B3DA6">
            <w:pPr>
              <w:jc w:val="center"/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>3 417,8</w:t>
            </w:r>
          </w:p>
        </w:tc>
        <w:tc>
          <w:tcPr>
            <w:tcW w:w="1429" w:type="dxa"/>
            <w:vAlign w:val="center"/>
          </w:tcPr>
          <w:p w:rsidR="00D52A5D" w:rsidRPr="00B76D6E" w:rsidRDefault="00D47047" w:rsidP="005B3DA6">
            <w:pPr>
              <w:jc w:val="center"/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>8,0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D52A5D" w:rsidRPr="00B76D6E" w:rsidRDefault="00D52A5D" w:rsidP="005B3DA6">
            <w:pPr>
              <w:jc w:val="center"/>
              <w:rPr>
                <w:rFonts w:eastAsia="Times New Roman"/>
                <w:iCs/>
                <w:sz w:val="20"/>
                <w:szCs w:val="20"/>
              </w:rPr>
            </w:pPr>
            <w:r w:rsidRPr="00B76D6E">
              <w:rPr>
                <w:rFonts w:eastAsia="Times New Roman"/>
                <w:iCs/>
                <w:sz w:val="20"/>
                <w:szCs w:val="20"/>
              </w:rPr>
              <w:t>16 741,9</w:t>
            </w:r>
          </w:p>
        </w:tc>
      </w:tr>
    </w:tbl>
    <w:p w:rsidR="007D6E6F" w:rsidRPr="00CC5298" w:rsidRDefault="007F150F" w:rsidP="002505F0">
      <w:pPr>
        <w:ind w:firstLine="708"/>
        <w:jc w:val="both"/>
      </w:pPr>
      <w:r w:rsidRPr="00CC5298">
        <w:t>В соотв</w:t>
      </w:r>
      <w:r w:rsidR="0062465B">
        <w:t xml:space="preserve">етствии с </w:t>
      </w:r>
      <w:r w:rsidR="000E3772">
        <w:t>П</w:t>
      </w:r>
      <w:r w:rsidR="0062465B">
        <w:t>оложением о Комитете</w:t>
      </w:r>
      <w:r w:rsidRPr="00CC5298">
        <w:t xml:space="preserve"> отделом государственных услуг выполняется государственная функция по осуществлению государственного контроля за декларированием розничной продажи алкогольной продукции, отделом базовых отраслей промышленности – лицензионный контроль в сфере оборота лома черных и цветных металлов. За искажение информации и (или) нарушение сроков и порядка представления деклараций об объеме розничной продажи алкогольной продукции и спиртосодержащей продукции, а также за нарушение условий лицензирования заготовки, хранения, переработки и реализации лома черных и (или) цветных металлов предусмотрена административная ответственность в виде наложения административного штрафа на должностных лиц. </w:t>
      </w:r>
    </w:p>
    <w:p w:rsidR="006D4BE8" w:rsidRPr="00CC5298" w:rsidRDefault="007F150F" w:rsidP="006E6FEF">
      <w:pPr>
        <w:ind w:firstLine="708"/>
        <w:jc w:val="both"/>
      </w:pPr>
      <w:r w:rsidRPr="00CC5298">
        <w:t xml:space="preserve">За 2017 год </w:t>
      </w:r>
      <w:r w:rsidR="00D47047">
        <w:t xml:space="preserve">Комитетом </w:t>
      </w:r>
      <w:r w:rsidRPr="00CC5298">
        <w:t>было</w:t>
      </w:r>
      <w:r w:rsidR="006E6FEF">
        <w:t xml:space="preserve"> начислено штрафов</w:t>
      </w:r>
      <w:r w:rsidR="006E6FEF" w:rsidRPr="00B87E07">
        <w:t xml:space="preserve"> в рамках осуществления государственного контроля за представлением деклараций об объеме розничной продажи алкогольной и спиртосодержащей продукции</w:t>
      </w:r>
      <w:r w:rsidR="000E3772">
        <w:t xml:space="preserve"> в размере</w:t>
      </w:r>
      <w:r w:rsidR="006E6FEF">
        <w:t xml:space="preserve"> 8 371,0 тыс. руб., штрафов</w:t>
      </w:r>
      <w:r w:rsidR="006E6FEF" w:rsidRPr="00B87E07">
        <w:t xml:space="preserve"> за нарушение административного законодательства в сфере оборота и реализации алкогольн</w:t>
      </w:r>
      <w:r w:rsidR="006E6FEF">
        <w:t>о</w:t>
      </w:r>
      <w:r w:rsidR="00A94442">
        <w:t xml:space="preserve">й и спиртосодержащей продукции - </w:t>
      </w:r>
      <w:r w:rsidR="006E6FEF">
        <w:t>301,0 тыс. руб.</w:t>
      </w:r>
      <w:r w:rsidR="00D47047">
        <w:t>,</w:t>
      </w:r>
      <w:r w:rsidR="006D4BE8">
        <w:t xml:space="preserve"> </w:t>
      </w:r>
      <w:r w:rsidR="00CA357E">
        <w:t xml:space="preserve"> оплачено</w:t>
      </w:r>
      <w:r w:rsidRPr="00CC5298">
        <w:t xml:space="preserve"> штрафов на общую </w:t>
      </w:r>
      <w:r w:rsidR="0062465B">
        <w:t xml:space="preserve">сумму 2 879,4 тыс.руб., </w:t>
      </w:r>
      <w:r w:rsidRPr="00CC5298">
        <w:t>списана дебиторская задолженность в связи с истечением сроков исковой давнос</w:t>
      </w:r>
      <w:r w:rsidR="00D47047">
        <w:t>ти в разм</w:t>
      </w:r>
      <w:r w:rsidR="0062465B">
        <w:t xml:space="preserve">ере 3 417,8 тыс. руб., </w:t>
      </w:r>
      <w:r w:rsidR="00850291">
        <w:t>возвращен</w:t>
      </w:r>
      <w:r w:rsidR="00CA357E">
        <w:t>а сумма</w:t>
      </w:r>
      <w:r w:rsidR="0062465B" w:rsidRPr="0062465B">
        <w:t xml:space="preserve"> </w:t>
      </w:r>
      <w:r w:rsidR="0062465B">
        <w:t>ошибочно взысканного службой судебных приставов</w:t>
      </w:r>
      <w:r w:rsidR="00850291">
        <w:t xml:space="preserve"> штраф</w:t>
      </w:r>
      <w:r w:rsidR="00CA357E">
        <w:t>а</w:t>
      </w:r>
      <w:r w:rsidR="0062465B">
        <w:t xml:space="preserve"> </w:t>
      </w:r>
      <w:r w:rsidR="00850291">
        <w:t xml:space="preserve">в размере </w:t>
      </w:r>
      <w:r w:rsidR="00D47047">
        <w:t>8,0</w:t>
      </w:r>
      <w:r w:rsidR="00850291">
        <w:t xml:space="preserve"> тыс.рублей</w:t>
      </w:r>
      <w:r w:rsidRPr="00CC5298">
        <w:t>.</w:t>
      </w:r>
      <w:r w:rsidR="002B2803">
        <w:t xml:space="preserve"> </w:t>
      </w:r>
    </w:p>
    <w:p w:rsidR="006D4BE8" w:rsidRPr="00333EA1" w:rsidRDefault="007F150F" w:rsidP="007F150F">
      <w:pPr>
        <w:jc w:val="both"/>
      </w:pPr>
      <w:r w:rsidRPr="00CC5298">
        <w:tab/>
      </w:r>
      <w:r w:rsidRPr="00333EA1">
        <w:t>Как видно из таблицы, размер дебиторской задолженности</w:t>
      </w:r>
      <w:r w:rsidR="00EF7A8C" w:rsidRPr="00333EA1">
        <w:t xml:space="preserve"> </w:t>
      </w:r>
      <w:r w:rsidR="006D4BE8" w:rsidRPr="00333EA1">
        <w:t>на конец 2017 года увеличился на 2 366,8 тыс. руб. (+16,5%) и</w:t>
      </w:r>
      <w:r w:rsidRPr="00333EA1">
        <w:t xml:space="preserve"> составил 16 741,9 тыс.руб.,</w:t>
      </w:r>
      <w:r w:rsidR="006D4BE8" w:rsidRPr="00333EA1">
        <w:t xml:space="preserve"> процент </w:t>
      </w:r>
      <w:r w:rsidR="00BA1822" w:rsidRPr="00333EA1">
        <w:t xml:space="preserve">взыскания задолженности </w:t>
      </w:r>
      <w:r w:rsidR="0062465B">
        <w:t xml:space="preserve">за 2017 год </w:t>
      </w:r>
      <w:r w:rsidR="00BA1822" w:rsidRPr="00333EA1">
        <w:t>составляет</w:t>
      </w:r>
      <w:r w:rsidR="006D4BE8" w:rsidRPr="00333EA1">
        <w:t xml:space="preserve"> </w:t>
      </w:r>
      <w:r w:rsidR="0062465B">
        <w:t xml:space="preserve">33,2 </w:t>
      </w:r>
      <w:r w:rsidR="00F97F24" w:rsidRPr="00333EA1">
        <w:t>% от общей суммы начислений.</w:t>
      </w:r>
    </w:p>
    <w:p w:rsidR="007D6E6F" w:rsidRDefault="0062465B" w:rsidP="001B4952">
      <w:pPr>
        <w:ind w:firstLine="709"/>
        <w:jc w:val="both"/>
      </w:pPr>
      <w:r>
        <w:t>С</w:t>
      </w:r>
      <w:r w:rsidR="007D6E6F" w:rsidRPr="005259E4">
        <w:t xml:space="preserve">ледует отметить, что размер дебиторской задолженности </w:t>
      </w:r>
      <w:r w:rsidR="00363B40" w:rsidRPr="005259E4">
        <w:t xml:space="preserve">на 01.01.2015 </w:t>
      </w:r>
      <w:r w:rsidR="007D6E6F" w:rsidRPr="005259E4">
        <w:t>составлял 5 912,8 тыс. руб.</w:t>
      </w:r>
      <w:r>
        <w:t xml:space="preserve">, который </w:t>
      </w:r>
      <w:r w:rsidR="00363B40" w:rsidRPr="005259E4">
        <w:t>за три года</w:t>
      </w:r>
      <w:r w:rsidR="007D6E6F" w:rsidRPr="005259E4">
        <w:t xml:space="preserve"> </w:t>
      </w:r>
      <w:r w:rsidRPr="005259E4">
        <w:t xml:space="preserve">увеличился </w:t>
      </w:r>
      <w:r w:rsidR="007D6E6F" w:rsidRPr="005259E4">
        <w:t>на 10 829,1 тыс.руб., или 1,8 раза.</w:t>
      </w:r>
    </w:p>
    <w:p w:rsidR="00CA357E" w:rsidRPr="00CA357E" w:rsidRDefault="00CA357E" w:rsidP="00CA357E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Н</w:t>
      </w:r>
      <w:r w:rsidRPr="0081394F">
        <w:rPr>
          <w:rFonts w:eastAsia="Times New Roman"/>
        </w:rPr>
        <w:t>а основании П</w:t>
      </w:r>
      <w:r>
        <w:rPr>
          <w:rFonts w:eastAsia="Times New Roman"/>
        </w:rPr>
        <w:t xml:space="preserve">ротокола №1 </w:t>
      </w:r>
      <w:r w:rsidRPr="0081394F">
        <w:rPr>
          <w:rFonts w:eastAsia="Times New Roman"/>
        </w:rPr>
        <w:t xml:space="preserve">заседания постоянно действующей комиссии по поступлению и выбытию активов от 29.11.2017 и Приказа </w:t>
      </w:r>
      <w:r>
        <w:rPr>
          <w:rFonts w:eastAsia="Times New Roman"/>
        </w:rPr>
        <w:t xml:space="preserve">Комитета </w:t>
      </w:r>
      <w:r w:rsidRPr="0081394F">
        <w:rPr>
          <w:rFonts w:eastAsia="Times New Roman"/>
        </w:rPr>
        <w:t>от 30.11.2017</w:t>
      </w:r>
      <w:r w:rsidR="0062465B">
        <w:rPr>
          <w:rFonts w:eastAsia="Times New Roman"/>
        </w:rPr>
        <w:t xml:space="preserve"> </w:t>
      </w:r>
      <w:r w:rsidR="0062465B" w:rsidRPr="0081394F">
        <w:rPr>
          <w:rFonts w:eastAsia="Times New Roman"/>
        </w:rPr>
        <w:t>№214-од</w:t>
      </w:r>
      <w:r>
        <w:rPr>
          <w:rFonts w:eastAsia="Times New Roman"/>
        </w:rPr>
        <w:t xml:space="preserve">  в 2017 году списана задолженность в размере 3 417,8 тыс.руб. </w:t>
      </w:r>
      <w:r w:rsidRPr="0081394F">
        <w:rPr>
          <w:rFonts w:eastAsia="Times New Roman"/>
        </w:rPr>
        <w:t>с истекшим сроком исковой давности</w:t>
      </w:r>
      <w:r w:rsidR="000E3772">
        <w:rPr>
          <w:rFonts w:eastAsia="Times New Roman"/>
        </w:rPr>
        <w:t xml:space="preserve"> (дата возникновения задолженности – 2014 год)</w:t>
      </w:r>
      <w:r>
        <w:rPr>
          <w:rFonts w:eastAsia="Times New Roman"/>
        </w:rPr>
        <w:t>.</w:t>
      </w:r>
    </w:p>
    <w:p w:rsidR="009A7550" w:rsidRPr="0081394F" w:rsidRDefault="0062465B" w:rsidP="00CA357E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П</w:t>
      </w:r>
      <w:r w:rsidR="009A7550" w:rsidRPr="0081394F">
        <w:rPr>
          <w:rFonts w:eastAsia="Times New Roman"/>
        </w:rPr>
        <w:t>ри выборочной проверке принимаемых мер по взысканию</w:t>
      </w:r>
      <w:r w:rsidR="00EF7A8C" w:rsidRPr="0081394F">
        <w:rPr>
          <w:rFonts w:eastAsia="Times New Roman"/>
        </w:rPr>
        <w:t xml:space="preserve"> дебиторской </w:t>
      </w:r>
      <w:r w:rsidR="00F354EC" w:rsidRPr="0081394F">
        <w:rPr>
          <w:rFonts w:eastAsia="Times New Roman"/>
        </w:rPr>
        <w:t>задолженности</w:t>
      </w:r>
      <w:r w:rsidR="00EF7A8C" w:rsidRPr="0081394F">
        <w:rPr>
          <w:rFonts w:eastAsia="Times New Roman"/>
        </w:rPr>
        <w:t>,</w:t>
      </w:r>
      <w:r w:rsidR="006F0FCB" w:rsidRPr="0081394F">
        <w:rPr>
          <w:rFonts w:eastAsia="Times New Roman"/>
        </w:rPr>
        <w:t xml:space="preserve"> установлено:</w:t>
      </w:r>
    </w:p>
    <w:p w:rsidR="00397A82" w:rsidRPr="0081394F" w:rsidRDefault="005071DA" w:rsidP="00DB1633">
      <w:pPr>
        <w:ind w:firstLine="680"/>
        <w:jc w:val="both"/>
      </w:pPr>
      <w:r w:rsidRPr="0081394F">
        <w:rPr>
          <w:rFonts w:eastAsia="Times New Roman"/>
        </w:rPr>
        <w:t xml:space="preserve">- </w:t>
      </w:r>
      <w:r w:rsidR="00DB1633" w:rsidRPr="0081394F">
        <w:rPr>
          <w:rFonts w:eastAsia="Times New Roman"/>
        </w:rPr>
        <w:t>ряд организаций</w:t>
      </w:r>
      <w:r w:rsidRPr="0081394F">
        <w:rPr>
          <w:rFonts w:eastAsia="Times New Roman"/>
        </w:rPr>
        <w:t xml:space="preserve"> </w:t>
      </w:r>
      <w:r w:rsidR="00DB1633" w:rsidRPr="0081394F">
        <w:rPr>
          <w:rFonts w:eastAsia="Times New Roman"/>
        </w:rPr>
        <w:t>до настоящего времени не прекратили свою деятельность</w:t>
      </w:r>
      <w:r w:rsidRPr="0081394F">
        <w:rPr>
          <w:rFonts w:eastAsia="Times New Roman"/>
        </w:rPr>
        <w:t xml:space="preserve"> </w:t>
      </w:r>
      <w:r w:rsidR="00DB1633" w:rsidRPr="0081394F">
        <w:rPr>
          <w:rFonts w:eastAsia="Times New Roman"/>
        </w:rPr>
        <w:t>(</w:t>
      </w:r>
      <w:r w:rsidRPr="0081394F">
        <w:rPr>
          <w:rFonts w:eastAsia="Times New Roman"/>
        </w:rPr>
        <w:t xml:space="preserve">например, </w:t>
      </w:r>
      <w:r w:rsidR="00397A82" w:rsidRPr="0081394F">
        <w:t>ООО «</w:t>
      </w:r>
      <w:r w:rsidR="00DB1633" w:rsidRPr="0081394F">
        <w:t>Волжский фермер»</w:t>
      </w:r>
      <w:r w:rsidR="00397A82" w:rsidRPr="0081394F">
        <w:t>, ООО «Пузенк</w:t>
      </w:r>
      <w:r w:rsidR="00EE1ECB" w:rsidRPr="0081394F">
        <w:t>ꞌ</w:t>
      </w:r>
      <w:r w:rsidR="00DB1633" w:rsidRPr="0081394F">
        <w:t>оФФ», ООО Рюмочка, ООО «Эльф»</w:t>
      </w:r>
      <w:r w:rsidR="00C93E8D" w:rsidRPr="0081394F">
        <w:t xml:space="preserve"> и др.</w:t>
      </w:r>
      <w:r w:rsidR="00DB1633" w:rsidRPr="0081394F">
        <w:t>)</w:t>
      </w:r>
      <w:r w:rsidR="000E3772">
        <w:t>,</w:t>
      </w:r>
      <w:r w:rsidR="00397A82" w:rsidRPr="0081394F">
        <w:t xml:space="preserve"> общая сумма задолжен</w:t>
      </w:r>
      <w:r w:rsidR="00333EA1" w:rsidRPr="0081394F">
        <w:t>ности</w:t>
      </w:r>
      <w:r w:rsidRPr="0081394F">
        <w:t xml:space="preserve"> по таким организациям составила </w:t>
      </w:r>
      <w:r w:rsidR="00C93E8D" w:rsidRPr="0081394F">
        <w:t>1 603,0 тыс.руб.</w:t>
      </w:r>
      <w:r w:rsidR="0062465B">
        <w:t>,</w:t>
      </w:r>
      <w:r w:rsidR="00F04FEE" w:rsidRPr="0081394F">
        <w:rPr>
          <w:rFonts w:eastAsia="Times New Roman"/>
        </w:rPr>
        <w:t xml:space="preserve"> или </w:t>
      </w:r>
      <w:r w:rsidR="0081394F" w:rsidRPr="0081394F">
        <w:rPr>
          <w:rFonts w:eastAsia="Times New Roman"/>
        </w:rPr>
        <w:t>46,9</w:t>
      </w:r>
      <w:r w:rsidR="00F04FEE" w:rsidRPr="0081394F">
        <w:rPr>
          <w:rFonts w:eastAsia="Times New Roman"/>
        </w:rPr>
        <w:t>% от общей суммы списанной дебиторской задолженности</w:t>
      </w:r>
      <w:r w:rsidRPr="0081394F">
        <w:t>;</w:t>
      </w:r>
    </w:p>
    <w:p w:rsidR="005071DA" w:rsidRPr="0081394F" w:rsidRDefault="005071DA" w:rsidP="00DB1633">
      <w:pPr>
        <w:ind w:firstLine="680"/>
        <w:jc w:val="both"/>
      </w:pPr>
      <w:r w:rsidRPr="0081394F">
        <w:t>-</w:t>
      </w:r>
      <w:r w:rsidR="008D2AF2">
        <w:t xml:space="preserve"> </w:t>
      </w:r>
      <w:r w:rsidRPr="0081394F">
        <w:t>организации, которые прекратили свою деятельность</w:t>
      </w:r>
      <w:r w:rsidR="00DD4A51" w:rsidRPr="0081394F">
        <w:t xml:space="preserve"> </w:t>
      </w:r>
      <w:r w:rsidR="00C93E8D" w:rsidRPr="0081394F">
        <w:t xml:space="preserve">в основном в </w:t>
      </w:r>
      <w:r w:rsidR="00DD4A51" w:rsidRPr="0081394F">
        <w:t xml:space="preserve"> 2016-2017 годах, т.е. по истечении</w:t>
      </w:r>
      <w:r w:rsidR="00C93E8D" w:rsidRPr="0081394F">
        <w:t xml:space="preserve"> порядка 2-3</w:t>
      </w:r>
      <w:r w:rsidR="00FC5986">
        <w:t xml:space="preserve"> лет</w:t>
      </w:r>
      <w:r w:rsidR="00DD4A51" w:rsidRPr="0081394F">
        <w:t xml:space="preserve"> после даты возникновения задолженности</w:t>
      </w:r>
      <w:r w:rsidR="00543618" w:rsidRPr="0081394F">
        <w:t xml:space="preserve"> (например, ООО «Вишневая балка», ООО</w:t>
      </w:r>
      <w:r w:rsidR="00F04FEE" w:rsidRPr="0081394F">
        <w:t xml:space="preserve"> «</w:t>
      </w:r>
      <w:r w:rsidR="00543618" w:rsidRPr="0081394F">
        <w:t>Рим», ООО «Нормаль-ц»</w:t>
      </w:r>
      <w:r w:rsidR="00C93E8D" w:rsidRPr="0081394F">
        <w:t xml:space="preserve"> </w:t>
      </w:r>
      <w:r w:rsidR="00F04FEE" w:rsidRPr="0081394F">
        <w:t xml:space="preserve"> и др.)</w:t>
      </w:r>
      <w:r w:rsidR="000E3772">
        <w:t xml:space="preserve"> имели задолженность</w:t>
      </w:r>
      <w:r w:rsidR="00F04FEE" w:rsidRPr="0081394F">
        <w:t xml:space="preserve"> </w:t>
      </w:r>
      <w:r w:rsidR="00C93E8D" w:rsidRPr="0081394F">
        <w:t>на общую сумму 1 </w:t>
      </w:r>
      <w:r w:rsidR="00805D76" w:rsidRPr="0081394F">
        <w:t>754</w:t>
      </w:r>
      <w:r w:rsidR="00C93E8D" w:rsidRPr="0081394F">
        <w:t>,8  тыс. руб.</w:t>
      </w:r>
      <w:r w:rsidR="00F04FEE" w:rsidRPr="0081394F">
        <w:t xml:space="preserve">, или  </w:t>
      </w:r>
      <w:r w:rsidR="0081394F" w:rsidRPr="0081394F">
        <w:t>51,3</w:t>
      </w:r>
      <w:r w:rsidR="00F04FEE" w:rsidRPr="0081394F">
        <w:t>%</w:t>
      </w:r>
      <w:r w:rsidR="00A94442">
        <w:t xml:space="preserve"> </w:t>
      </w:r>
      <w:r w:rsidR="00A94442" w:rsidRPr="0081394F">
        <w:t>от общей суммы дебиторской задолженности</w:t>
      </w:r>
      <w:r w:rsidR="00C93E8D" w:rsidRPr="0081394F">
        <w:t>;</w:t>
      </w:r>
    </w:p>
    <w:p w:rsidR="005B3DA6" w:rsidRDefault="005071DA" w:rsidP="00FE23D0">
      <w:pPr>
        <w:ind w:firstLine="680"/>
        <w:jc w:val="both"/>
      </w:pPr>
      <w:r w:rsidRPr="0081394F">
        <w:t>-</w:t>
      </w:r>
      <w:r w:rsidR="00805D76" w:rsidRPr="0081394F">
        <w:t xml:space="preserve"> </w:t>
      </w:r>
      <w:r w:rsidR="00C93E8D" w:rsidRPr="0081394F">
        <w:t xml:space="preserve">общая сумма списанной задолженности </w:t>
      </w:r>
      <w:r w:rsidR="000E3772">
        <w:t xml:space="preserve">по </w:t>
      </w:r>
      <w:r w:rsidR="000E3772" w:rsidRPr="0081394F">
        <w:t>физически</w:t>
      </w:r>
      <w:r w:rsidR="000E3772">
        <w:t>м</w:t>
      </w:r>
      <w:r w:rsidR="000E3772" w:rsidRPr="0081394F">
        <w:t xml:space="preserve"> лица</w:t>
      </w:r>
      <w:r w:rsidR="000E3772">
        <w:t>м</w:t>
      </w:r>
      <w:r w:rsidR="00627E96">
        <w:t xml:space="preserve"> </w:t>
      </w:r>
      <w:r w:rsidR="00C93E8D" w:rsidRPr="0081394F">
        <w:t xml:space="preserve">составила  </w:t>
      </w:r>
      <w:r w:rsidR="000E3772">
        <w:t xml:space="preserve">              </w:t>
      </w:r>
      <w:r w:rsidR="00C93E8D" w:rsidRPr="0081394F">
        <w:t>60,0 тыс.руб.</w:t>
      </w:r>
      <w:r w:rsidR="00F04FEE" w:rsidRPr="0081394F">
        <w:t xml:space="preserve">, или </w:t>
      </w:r>
      <w:r w:rsidR="00C93E8D" w:rsidRPr="0081394F">
        <w:t xml:space="preserve"> </w:t>
      </w:r>
      <w:r w:rsidR="00D4480B" w:rsidRPr="0081394F">
        <w:t xml:space="preserve">1,8 </w:t>
      </w:r>
      <w:r w:rsidR="00F04FEE" w:rsidRPr="0081394F">
        <w:t>%</w:t>
      </w:r>
      <w:r w:rsidR="00D4480B" w:rsidRPr="0081394F">
        <w:t xml:space="preserve"> от общей суммы дебиторской задолженности.</w:t>
      </w:r>
    </w:p>
    <w:p w:rsidR="00914044" w:rsidRDefault="00914044" w:rsidP="00914044">
      <w:pPr>
        <w:ind w:firstLine="851"/>
        <w:jc w:val="both"/>
      </w:pPr>
      <w:r w:rsidRPr="00AB1FB2">
        <w:t>Размер  дебиторской задолженности на 01.01.2015 составлял 5 912,8 тыс. руб.,  из которой списано в 2017 году</w:t>
      </w:r>
      <w:r>
        <w:t xml:space="preserve"> в связи с истечением сроков исковой давности</w:t>
      </w:r>
      <w:r w:rsidRPr="00AB1FB2">
        <w:t xml:space="preserve"> 3 367,8 тыс.руб.</w:t>
      </w:r>
      <w:r w:rsidR="000E3772">
        <w:t>,</w:t>
      </w:r>
      <w:r w:rsidRPr="00AB1FB2">
        <w:t xml:space="preserve"> или 57%</w:t>
      </w:r>
      <w:r w:rsidR="001B0DEA">
        <w:t xml:space="preserve"> от общ</w:t>
      </w:r>
      <w:r>
        <w:t>ей суммы задолженности</w:t>
      </w:r>
      <w:r w:rsidRPr="00AB1FB2">
        <w:t>, что указывает на низкий</w:t>
      </w:r>
      <w:r>
        <w:t xml:space="preserve"> процент взыскания</w:t>
      </w:r>
      <w:r w:rsidR="000E3772">
        <w:t>,</w:t>
      </w:r>
      <w:r>
        <w:t xml:space="preserve"> и если не активизировать работу в этом направлении, то через 3 года уже будет списано</w:t>
      </w:r>
      <w:r w:rsidR="00A418CA">
        <w:t xml:space="preserve"> задолженности в размере</w:t>
      </w:r>
      <w:r>
        <w:t xml:space="preserve"> </w:t>
      </w:r>
      <w:r w:rsidR="000E3772">
        <w:t xml:space="preserve"> </w:t>
      </w:r>
      <w:r>
        <w:t>9 542,9 тыс.</w:t>
      </w:r>
      <w:r w:rsidR="0062465B">
        <w:t xml:space="preserve"> </w:t>
      </w:r>
      <w:r>
        <w:t>рублей.</w:t>
      </w:r>
      <w:r w:rsidRPr="00AB1FB2">
        <w:t xml:space="preserve">  </w:t>
      </w:r>
    </w:p>
    <w:p w:rsidR="004F7805" w:rsidRDefault="004F7805" w:rsidP="00DB1633">
      <w:pPr>
        <w:ind w:firstLine="680"/>
        <w:jc w:val="both"/>
      </w:pPr>
    </w:p>
    <w:p w:rsidR="007D1E6F" w:rsidRDefault="007D1E6F" w:rsidP="00DB1633">
      <w:pPr>
        <w:ind w:firstLine="680"/>
        <w:jc w:val="both"/>
      </w:pPr>
      <w:r w:rsidRPr="007D1E6F">
        <w:t xml:space="preserve">В </w:t>
      </w:r>
      <w:r w:rsidR="0062465B">
        <w:t xml:space="preserve">ходе проверки в </w:t>
      </w:r>
      <w:r w:rsidRPr="007D1E6F">
        <w:t>адрес Комитета было направлено письмо</w:t>
      </w:r>
      <w:r>
        <w:t xml:space="preserve"> (исх.№01КСП-02-04/236 от 26.02.2018)</w:t>
      </w:r>
      <w:r w:rsidRPr="007D1E6F">
        <w:t xml:space="preserve"> с просьбой </w:t>
      </w:r>
      <w:r w:rsidR="0030241F">
        <w:t xml:space="preserve">представить  информацию и </w:t>
      </w:r>
      <w:r w:rsidRPr="007D1E6F">
        <w:t>документы о проделанной работе</w:t>
      </w:r>
      <w:r w:rsidR="00A94442">
        <w:t xml:space="preserve"> по </w:t>
      </w:r>
      <w:r w:rsidRPr="007D1E6F">
        <w:t>взысканию списа</w:t>
      </w:r>
      <w:r w:rsidR="000E3772">
        <w:t>нной в связи с истечением срока</w:t>
      </w:r>
      <w:r w:rsidRPr="007D1E6F">
        <w:t xml:space="preserve"> исковой давности дебиторской задолженности  по 4 организациям, которые до </w:t>
      </w:r>
      <w:r w:rsidR="000D158A" w:rsidRPr="007D1E6F">
        <w:t>настоящего</w:t>
      </w:r>
      <w:r w:rsidRPr="007D1E6F">
        <w:t xml:space="preserve"> времени не прекратили свою </w:t>
      </w:r>
      <w:r w:rsidR="000D158A" w:rsidRPr="007D1E6F">
        <w:t>деятельность</w:t>
      </w:r>
      <w:r w:rsidR="000D158A">
        <w:t xml:space="preserve"> (</w:t>
      </w:r>
      <w:r w:rsidRPr="007D1E6F">
        <w:t>ООО «</w:t>
      </w:r>
      <w:r w:rsidR="000D158A">
        <w:t>Волжский фермер»</w:t>
      </w:r>
      <w:r w:rsidRPr="007D1E6F">
        <w:t>,</w:t>
      </w:r>
      <w:r w:rsidR="000D158A">
        <w:t xml:space="preserve"> </w:t>
      </w:r>
      <w:r w:rsidR="000D158A" w:rsidRPr="0081394F">
        <w:t>ООО «ПузенкꞌоФФ»</w:t>
      </w:r>
      <w:r w:rsidR="000D158A">
        <w:t>, ООО Рюмочка, ООО «Эльф»).</w:t>
      </w:r>
    </w:p>
    <w:p w:rsidR="000D158A" w:rsidRPr="00462D6A" w:rsidRDefault="00FE23D0" w:rsidP="00462D6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t>Согласно представленному ответу</w:t>
      </w:r>
      <w:r w:rsidR="00853984">
        <w:t xml:space="preserve"> (исх.№03-03-07-2/778 от 28.02.2018)</w:t>
      </w:r>
      <w:r>
        <w:t xml:space="preserve"> сотрудниками Комитета были составлены протоколы об административном правонарушении в отношении вышеуказанных организаций,</w:t>
      </w:r>
      <w:r w:rsidRPr="009649E0">
        <w:t xml:space="preserve"> в адрес Управления федеральной службы судебных при</w:t>
      </w:r>
      <w:r>
        <w:t xml:space="preserve">ставов по Волгоградской области были </w:t>
      </w:r>
      <w:r w:rsidRPr="009649E0">
        <w:t>направлены письма о возбуждении исполнительного производства и проведении необходимых мер по взысканию образовавше</w:t>
      </w:r>
      <w:r w:rsidR="0062465B">
        <w:t>йся задолженности</w:t>
      </w:r>
      <w:r>
        <w:t>, которые</w:t>
      </w:r>
      <w:r w:rsidRPr="00FE23D0">
        <w:rPr>
          <w:szCs w:val="28"/>
        </w:rPr>
        <w:t xml:space="preserve"> </w:t>
      </w:r>
      <w:r>
        <w:rPr>
          <w:szCs w:val="28"/>
        </w:rPr>
        <w:t xml:space="preserve">могут быть предъявлены к исполнению в течение двух лет. </w:t>
      </w:r>
      <w:r w:rsidRPr="009649E0">
        <w:t>Документов, свидетельствующих об оплате административных штрафов, в Комитет не поступало.</w:t>
      </w:r>
      <w:r w:rsidR="00462D6A">
        <w:rPr>
          <w:szCs w:val="28"/>
        </w:rPr>
        <w:t xml:space="preserve"> </w:t>
      </w:r>
      <w:r w:rsidR="00462D6A">
        <w:t>В соответствии со</w:t>
      </w:r>
      <w:r>
        <w:t xml:space="preserve"> ст. 31.9. </w:t>
      </w:r>
      <w:r w:rsidRPr="00E04467">
        <w:t>Кодекс</w:t>
      </w:r>
      <w:r>
        <w:t>а</w:t>
      </w:r>
      <w:r w:rsidRPr="00E04467">
        <w:t xml:space="preserve"> Российской Федерации об административных правонарушениях от 30.12.2001 </w:t>
      </w:r>
      <w:r>
        <w:t>№</w:t>
      </w:r>
      <w:r w:rsidRPr="00E04467">
        <w:t xml:space="preserve"> 195-ФЗ</w:t>
      </w:r>
      <w:r w:rsidR="00462D6A">
        <w:t xml:space="preserve"> и проведенной в К</w:t>
      </w:r>
      <w:r>
        <w:t>омитете инвентаризации финансовых активов и обязательств</w:t>
      </w:r>
      <w:r w:rsidR="00462D6A">
        <w:t xml:space="preserve">, </w:t>
      </w:r>
      <w:r w:rsidRPr="006C3233">
        <w:t>комиссией по</w:t>
      </w:r>
      <w:r w:rsidR="00462D6A">
        <w:t xml:space="preserve"> поступлению и выбытию активов К</w:t>
      </w:r>
      <w:r w:rsidRPr="006C3233">
        <w:t>омитета было принято решение о списании дебиторской задолженности, безнадежной к взысканию, в том числе в отношении задолженности</w:t>
      </w:r>
      <w:r w:rsidR="00462D6A">
        <w:t xml:space="preserve"> по вышеуказанным организациям</w:t>
      </w:r>
      <w:r>
        <w:t>.</w:t>
      </w:r>
    </w:p>
    <w:p w:rsidR="00397A82" w:rsidRPr="00F41204" w:rsidRDefault="00FE23D0" w:rsidP="006E6FEF">
      <w:pPr>
        <w:ind w:firstLine="680"/>
        <w:jc w:val="both"/>
      </w:pPr>
      <w:r w:rsidRPr="00462D6A">
        <w:t>Исходя из вышеизложенного</w:t>
      </w:r>
      <w:r w:rsidR="00462D6A" w:rsidRPr="00462D6A">
        <w:t xml:space="preserve"> можно сделать вывод, что н</w:t>
      </w:r>
      <w:r w:rsidR="00A94442" w:rsidRPr="00462D6A">
        <w:t xml:space="preserve">изкий процент </w:t>
      </w:r>
      <w:r w:rsidR="00462D6A" w:rsidRPr="00462D6A">
        <w:t>взыскани</w:t>
      </w:r>
      <w:r w:rsidR="00A94442" w:rsidRPr="00462D6A">
        <w:t xml:space="preserve">я </w:t>
      </w:r>
      <w:r w:rsidR="00462D6A" w:rsidRPr="00462D6A">
        <w:t>задолженности обусловлен недостаточным взаимодействием</w:t>
      </w:r>
      <w:r w:rsidR="00A367A3" w:rsidRPr="00462D6A">
        <w:t xml:space="preserve"> Комитета со службой судебных </w:t>
      </w:r>
      <w:r w:rsidR="00462D6A" w:rsidRPr="00462D6A">
        <w:t>приставов и свидетельствует</w:t>
      </w:r>
      <w:r w:rsidR="000E3772">
        <w:t xml:space="preserve"> о ненадлежащем</w:t>
      </w:r>
      <w:r w:rsidR="00397A82" w:rsidRPr="00462D6A">
        <w:t xml:space="preserve"> исполнении полномочий администратора доходов, которые</w:t>
      </w:r>
      <w:r w:rsidR="00397A82" w:rsidRPr="00462D6A">
        <w:rPr>
          <w:bCs/>
        </w:rPr>
        <w:t xml:space="preserve"> предусмотрены </w:t>
      </w:r>
      <w:r w:rsidR="00397A82" w:rsidRPr="00462D6A">
        <w:t>п.2 ст. 160.1 БК РФ в части контроля за полнотой и своевременностью осуществлен</w:t>
      </w:r>
      <w:r w:rsidR="00EC2F6E">
        <w:t>ия платежей в бюджет</w:t>
      </w:r>
      <w:r w:rsidR="00397A82" w:rsidRPr="00462D6A">
        <w:t>.</w:t>
      </w:r>
    </w:p>
    <w:p w:rsidR="007F150F" w:rsidRPr="00343077" w:rsidRDefault="007F150F" w:rsidP="007F150F">
      <w:pPr>
        <w:ind w:firstLine="709"/>
        <w:jc w:val="both"/>
      </w:pPr>
      <w:r w:rsidRPr="00343077">
        <w:t>В соответствии с п.</w:t>
      </w:r>
      <w:r w:rsidR="00EC2F6E">
        <w:t>п.</w:t>
      </w:r>
      <w:r w:rsidR="0089014D">
        <w:rPr>
          <w:bCs/>
        </w:rPr>
        <w:t xml:space="preserve"> 273</w:t>
      </w:r>
      <w:r w:rsidR="00CC5298">
        <w:rPr>
          <w:bCs/>
        </w:rPr>
        <w:t xml:space="preserve">, 274 Инструкции </w:t>
      </w:r>
      <w:r w:rsidR="0062465B">
        <w:rPr>
          <w:bCs/>
        </w:rPr>
        <w:t>№191н</w:t>
      </w:r>
      <w:r w:rsidRPr="00343077">
        <w:rPr>
          <w:bCs/>
        </w:rPr>
        <w:t xml:space="preserve"> н</w:t>
      </w:r>
      <w:r w:rsidRPr="00343077">
        <w:t>а администратора доходов, не являющегося получателем средств бюджета, возложена обязанность формировать бюджетную отчетность по операциям администрирования поступлений в бюджет доходов в объеме годовой бюджетной отчетности. При этом порядок и сроки отчетности подлежат согласованию между администратором и финансовым органом соответствующего бюджета.</w:t>
      </w:r>
    </w:p>
    <w:p w:rsidR="007F150F" w:rsidRDefault="007F150F" w:rsidP="00CC5298">
      <w:pPr>
        <w:ind w:firstLine="709"/>
        <w:jc w:val="both"/>
        <w:rPr>
          <w:rFonts w:eastAsia="Times New Roman"/>
        </w:rPr>
      </w:pPr>
      <w:r w:rsidRPr="00276CA3">
        <w:t>В 2017 году срок сдачи отчетности установлен Департаментом финансов адм</w:t>
      </w:r>
      <w:r w:rsidR="00CC5298">
        <w:t>инистрации Волгограда 01.02.2018</w:t>
      </w:r>
      <w:r w:rsidRPr="00276CA3">
        <w:t xml:space="preserve"> (письмо от 22.12.2017 №05-и/6583). </w:t>
      </w:r>
      <w:r w:rsidRPr="00276CA3">
        <w:rPr>
          <w:rFonts w:eastAsia="Times New Roman"/>
        </w:rPr>
        <w:t>Отчетность представлена Комитетом 07.02.2018.</w:t>
      </w:r>
    </w:p>
    <w:p w:rsidR="00EC2F6E" w:rsidRDefault="00EC2F6E" w:rsidP="00CC5298">
      <w:pPr>
        <w:ind w:firstLine="709"/>
        <w:jc w:val="both"/>
        <w:rPr>
          <w:rFonts w:eastAsia="Times New Roman"/>
        </w:rPr>
      </w:pPr>
    </w:p>
    <w:p w:rsidR="00195C88" w:rsidRDefault="00195C88" w:rsidP="00343077">
      <w:pPr>
        <w:autoSpaceDE w:val="0"/>
        <w:autoSpaceDN w:val="0"/>
        <w:adjustRightInd w:val="0"/>
        <w:rPr>
          <w:b/>
          <w:i/>
        </w:rPr>
      </w:pPr>
    </w:p>
    <w:p w:rsidR="00EB38D4" w:rsidRDefault="00920158" w:rsidP="00EB38D4">
      <w:pPr>
        <w:autoSpaceDE w:val="0"/>
        <w:autoSpaceDN w:val="0"/>
        <w:adjustRightInd w:val="0"/>
        <w:jc w:val="center"/>
        <w:rPr>
          <w:b/>
          <w:i/>
        </w:rPr>
      </w:pPr>
      <w:r w:rsidRPr="00EB38D4">
        <w:rPr>
          <w:b/>
          <w:i/>
        </w:rPr>
        <w:t>Исполнение расходов</w:t>
      </w:r>
    </w:p>
    <w:p w:rsidR="00EB38D4" w:rsidRDefault="00EB38D4" w:rsidP="00EB38D4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DE6988">
        <w:t>Законом об областном бюджете Комитету предусмотрен</w:t>
      </w:r>
      <w:r>
        <w:t>ы ассигнования в сумме        148 046,3</w:t>
      </w:r>
      <w:r w:rsidRPr="00DE6988">
        <w:t xml:space="preserve"> тыс. руб., согласно бюджетной росписи и отчету об исполнении бюджета (ф.0305127) бюджетны</w:t>
      </w:r>
      <w:r w:rsidR="001F1D09">
        <w:t>е назначения составили 102 72</w:t>
      </w:r>
      <w:r w:rsidR="00EC2F6E">
        <w:t>0,3 тыс. руб., что</w:t>
      </w:r>
      <w:r w:rsidR="001F1D09">
        <w:t xml:space="preserve"> на 45 326,0</w:t>
      </w:r>
      <w:r w:rsidRPr="00DE6988">
        <w:t xml:space="preserve"> тыс. руб.</w:t>
      </w:r>
      <w:r w:rsidR="00EC2F6E">
        <w:t>,</w:t>
      </w:r>
      <w:r w:rsidRPr="00DE6988">
        <w:t xml:space="preserve"> </w:t>
      </w:r>
      <w:r w:rsidR="001F1D09">
        <w:t>или на 30,6</w:t>
      </w:r>
      <w:r w:rsidRPr="00DE6988">
        <w:t xml:space="preserve"> % меньше утвержденного Законом об областном бюджете. </w:t>
      </w:r>
      <w:r>
        <w:rPr>
          <w:bCs/>
        </w:rPr>
        <w:t>Сокращение бюджетных назначений произведено на основании уведомлений финансового органа после утверждения Закона о бюджете в последней редакции.</w:t>
      </w:r>
    </w:p>
    <w:p w:rsidR="00863072" w:rsidRDefault="001F1D09" w:rsidP="00863072">
      <w:pPr>
        <w:ind w:firstLine="567"/>
        <w:jc w:val="both"/>
        <w:rPr>
          <w:bCs/>
        </w:rPr>
      </w:pPr>
      <w:r w:rsidRPr="001F1D09">
        <w:rPr>
          <w:bCs/>
        </w:rPr>
        <w:t xml:space="preserve">Изменения в сводную бюджетную роспись внесены </w:t>
      </w:r>
      <w:r w:rsidRPr="001F1D09">
        <w:t>без внесения изменений в закон о бюджете в соответствии с решением руководителя финансового органа в рамках полномочий, определенных п. 3 ст. 217 БК РФ.</w:t>
      </w:r>
    </w:p>
    <w:p w:rsidR="00C04EFC" w:rsidRDefault="00EB38D4" w:rsidP="00863072">
      <w:pPr>
        <w:ind w:firstLine="567"/>
        <w:jc w:val="both"/>
        <w:rPr>
          <w:bCs/>
        </w:rPr>
      </w:pPr>
      <w:r w:rsidRPr="00C31196">
        <w:rPr>
          <w:bCs/>
        </w:rPr>
        <w:t>Отклонение бюджетных назначений от ассигнований по Закону об областном бюджете приведено в таблице.</w:t>
      </w:r>
    </w:p>
    <w:p w:rsidR="009575A6" w:rsidRDefault="009575A6" w:rsidP="0062465B">
      <w:pPr>
        <w:jc w:val="both"/>
        <w:rPr>
          <w:bCs/>
        </w:rPr>
      </w:pPr>
    </w:p>
    <w:p w:rsidR="00EC2F6E" w:rsidRDefault="00EC2F6E" w:rsidP="0062465B">
      <w:pPr>
        <w:jc w:val="both"/>
        <w:rPr>
          <w:bCs/>
        </w:rPr>
      </w:pPr>
    </w:p>
    <w:p w:rsidR="00EC2F6E" w:rsidRDefault="00EC2F6E" w:rsidP="0062465B">
      <w:pPr>
        <w:jc w:val="both"/>
        <w:rPr>
          <w:bCs/>
        </w:rPr>
      </w:pPr>
    </w:p>
    <w:p w:rsidR="00EC2F6E" w:rsidRDefault="00EC2F6E" w:rsidP="0062465B">
      <w:pPr>
        <w:jc w:val="both"/>
        <w:rPr>
          <w:bCs/>
        </w:rPr>
      </w:pPr>
    </w:p>
    <w:p w:rsidR="00EC2F6E" w:rsidRDefault="00EC2F6E" w:rsidP="0062465B">
      <w:pPr>
        <w:jc w:val="both"/>
        <w:rPr>
          <w:bCs/>
        </w:rPr>
      </w:pPr>
    </w:p>
    <w:p w:rsidR="009575A6" w:rsidRPr="008C5358" w:rsidRDefault="009575A6" w:rsidP="0062465B">
      <w:pPr>
        <w:jc w:val="both"/>
        <w:rPr>
          <w:bCs/>
        </w:rPr>
      </w:pPr>
    </w:p>
    <w:p w:rsidR="00EB38D4" w:rsidRPr="007354A0" w:rsidRDefault="00EB38D4" w:rsidP="00EB38D4">
      <w:pPr>
        <w:ind w:firstLine="709"/>
        <w:jc w:val="right"/>
        <w:rPr>
          <w:sz w:val="20"/>
          <w:szCs w:val="20"/>
        </w:rPr>
      </w:pPr>
      <w:r>
        <w:lastRenderedPageBreak/>
        <w:t xml:space="preserve"> </w:t>
      </w:r>
      <w:r w:rsidRPr="007354A0">
        <w:rPr>
          <w:sz w:val="20"/>
          <w:szCs w:val="20"/>
        </w:rPr>
        <w:t>(тыс.руб.)</w:t>
      </w:r>
    </w:p>
    <w:tbl>
      <w:tblPr>
        <w:tblW w:w="9747" w:type="dxa"/>
        <w:tblBorders>
          <w:top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992"/>
        <w:gridCol w:w="1559"/>
        <w:gridCol w:w="1134"/>
        <w:gridCol w:w="1276"/>
        <w:gridCol w:w="1134"/>
      </w:tblGrid>
      <w:tr w:rsidR="00EB38D4" w:rsidRPr="008D1930" w:rsidTr="00A90C23">
        <w:trPr>
          <w:trHeight w:val="60"/>
        </w:trPr>
        <w:tc>
          <w:tcPr>
            <w:tcW w:w="3652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B38D4" w:rsidRPr="00B061BB" w:rsidRDefault="00EB38D4" w:rsidP="00EA53DD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721B9C"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left w:val="doub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B38D4" w:rsidRPr="00B061BB" w:rsidRDefault="00EB38D4" w:rsidP="00EA53DD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721B9C">
              <w:rPr>
                <w:b/>
                <w:sz w:val="18"/>
                <w:szCs w:val="18"/>
              </w:rPr>
              <w:t>КБК</w:t>
            </w:r>
          </w:p>
        </w:tc>
        <w:tc>
          <w:tcPr>
            <w:tcW w:w="1559" w:type="dxa"/>
            <w:vMerge w:val="restart"/>
            <w:shd w:val="clear" w:color="auto" w:fill="EEECE1" w:themeFill="background2"/>
          </w:tcPr>
          <w:p w:rsidR="00EB38D4" w:rsidRDefault="00EB38D4" w:rsidP="00EA53DD">
            <w:pPr>
              <w:jc w:val="center"/>
              <w:rPr>
                <w:b/>
                <w:sz w:val="16"/>
                <w:szCs w:val="16"/>
              </w:rPr>
            </w:pPr>
            <w:r w:rsidRPr="00C24DCF">
              <w:rPr>
                <w:b/>
                <w:sz w:val="16"/>
                <w:szCs w:val="16"/>
              </w:rPr>
              <w:t>Утверждено Зако</w:t>
            </w:r>
            <w:r w:rsidR="00EA53DD">
              <w:rPr>
                <w:b/>
                <w:sz w:val="16"/>
                <w:szCs w:val="16"/>
              </w:rPr>
              <w:t>ном об областном бюджете на 2017</w:t>
            </w:r>
            <w:r w:rsidRPr="00C24DCF">
              <w:rPr>
                <w:b/>
                <w:sz w:val="16"/>
                <w:szCs w:val="16"/>
              </w:rPr>
              <w:t xml:space="preserve"> год</w:t>
            </w:r>
          </w:p>
          <w:p w:rsidR="00EB38D4" w:rsidRPr="00C24DCF" w:rsidRDefault="00EB38D4" w:rsidP="00EA53D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EEECE1" w:themeFill="background2"/>
            <w:vAlign w:val="center"/>
            <w:hideMark/>
          </w:tcPr>
          <w:p w:rsidR="00EB38D4" w:rsidRPr="00B061BB" w:rsidRDefault="00EB38D4" w:rsidP="00EA53DD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721B9C">
              <w:rPr>
                <w:b/>
                <w:sz w:val="18"/>
                <w:szCs w:val="18"/>
              </w:rPr>
              <w:t>Бюдж. роспись</w:t>
            </w:r>
          </w:p>
        </w:tc>
        <w:tc>
          <w:tcPr>
            <w:tcW w:w="2410" w:type="dxa"/>
            <w:gridSpan w:val="2"/>
            <w:shd w:val="clear" w:color="auto" w:fill="EEECE1" w:themeFill="background2"/>
            <w:vAlign w:val="center"/>
            <w:hideMark/>
          </w:tcPr>
          <w:p w:rsidR="00EB38D4" w:rsidRPr="008D1930" w:rsidRDefault="00EB38D4" w:rsidP="00EA53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 Закону об областном бюджете</w:t>
            </w:r>
          </w:p>
        </w:tc>
      </w:tr>
      <w:tr w:rsidR="00EB38D4" w:rsidRPr="008D1930" w:rsidTr="00A90C23">
        <w:trPr>
          <w:trHeight w:val="60"/>
        </w:trPr>
        <w:tc>
          <w:tcPr>
            <w:tcW w:w="365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  <w:hideMark/>
          </w:tcPr>
          <w:p w:rsidR="00EB38D4" w:rsidRPr="00B061BB" w:rsidRDefault="00EB38D4" w:rsidP="00EA53DD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EEECE1" w:themeFill="background2"/>
            <w:vAlign w:val="center"/>
            <w:hideMark/>
          </w:tcPr>
          <w:p w:rsidR="00EB38D4" w:rsidRPr="00B061BB" w:rsidRDefault="00EB38D4" w:rsidP="00EA53DD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EEECE1" w:themeFill="background2"/>
          </w:tcPr>
          <w:p w:rsidR="00EB38D4" w:rsidRPr="00B061BB" w:rsidRDefault="00EB38D4" w:rsidP="00EA53DD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EEECE1" w:themeFill="background2"/>
            <w:vAlign w:val="center"/>
            <w:hideMark/>
          </w:tcPr>
          <w:p w:rsidR="00EB38D4" w:rsidRPr="00B061BB" w:rsidRDefault="00EB38D4" w:rsidP="00EA53DD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B38D4" w:rsidRPr="008D1930" w:rsidRDefault="00EB38D4" w:rsidP="00EA53DD">
            <w:pPr>
              <w:jc w:val="center"/>
              <w:rPr>
                <w:b/>
                <w:sz w:val="18"/>
                <w:szCs w:val="18"/>
              </w:rPr>
            </w:pPr>
            <w:r w:rsidRPr="008D1930">
              <w:rPr>
                <w:b/>
                <w:sz w:val="18"/>
                <w:szCs w:val="18"/>
              </w:rPr>
              <w:t>Отклон.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B38D4" w:rsidRPr="008D1930" w:rsidRDefault="00EB38D4" w:rsidP="00DE2D45">
            <w:pPr>
              <w:jc w:val="center"/>
              <w:rPr>
                <w:b/>
                <w:sz w:val="18"/>
                <w:szCs w:val="18"/>
              </w:rPr>
            </w:pPr>
            <w:r w:rsidRPr="008D1930">
              <w:rPr>
                <w:b/>
                <w:sz w:val="18"/>
                <w:szCs w:val="18"/>
              </w:rPr>
              <w:t xml:space="preserve">% </w:t>
            </w:r>
          </w:p>
        </w:tc>
      </w:tr>
      <w:tr w:rsidR="00EA53DD" w:rsidRPr="00F742AB" w:rsidTr="006A47B6">
        <w:trPr>
          <w:trHeight w:val="60"/>
        </w:trPr>
        <w:tc>
          <w:tcPr>
            <w:tcW w:w="3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53DD" w:rsidRPr="00C24DCF" w:rsidRDefault="00EA53DD" w:rsidP="00EA53DD">
            <w:pPr>
              <w:jc w:val="both"/>
              <w:rPr>
                <w:b/>
                <w:sz w:val="20"/>
                <w:szCs w:val="20"/>
              </w:rPr>
            </w:pPr>
            <w:r w:rsidRPr="00C24DCF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53DD" w:rsidRPr="00DE6D63" w:rsidRDefault="00EA53DD" w:rsidP="00EA53DD">
            <w:pPr>
              <w:jc w:val="right"/>
              <w:rPr>
                <w:sz w:val="18"/>
                <w:szCs w:val="18"/>
              </w:rPr>
            </w:pPr>
            <w:r w:rsidRPr="00DE6D63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53DD" w:rsidRPr="009E04C2" w:rsidRDefault="00EA53DD" w:rsidP="00EA53DD">
            <w:pPr>
              <w:jc w:val="center"/>
              <w:rPr>
                <w:b/>
                <w:bCs/>
                <w:sz w:val="18"/>
                <w:szCs w:val="18"/>
              </w:rPr>
            </w:pPr>
            <w:r w:rsidRPr="009E04C2">
              <w:rPr>
                <w:b/>
                <w:bCs/>
                <w:sz w:val="18"/>
                <w:szCs w:val="18"/>
              </w:rPr>
              <w:t>148 046,3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53DD" w:rsidRPr="009E04C2" w:rsidRDefault="00EA53DD" w:rsidP="00EA53DD">
            <w:pPr>
              <w:jc w:val="center"/>
              <w:rPr>
                <w:b/>
                <w:bCs/>
                <w:sz w:val="18"/>
                <w:szCs w:val="18"/>
              </w:rPr>
            </w:pPr>
            <w:r w:rsidRPr="009E04C2">
              <w:rPr>
                <w:b/>
                <w:bCs/>
                <w:sz w:val="18"/>
                <w:szCs w:val="18"/>
              </w:rPr>
              <w:t>102 720,3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53DD" w:rsidRPr="00114320" w:rsidRDefault="00114320" w:rsidP="00EA53DD">
            <w:pPr>
              <w:jc w:val="center"/>
              <w:rPr>
                <w:b/>
                <w:bCs/>
                <w:sz w:val="18"/>
                <w:szCs w:val="18"/>
              </w:rPr>
            </w:pPr>
            <w:r w:rsidRPr="00114320">
              <w:rPr>
                <w:b/>
                <w:bCs/>
                <w:sz w:val="18"/>
                <w:szCs w:val="18"/>
              </w:rPr>
              <w:t>- 45 326,0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53DD" w:rsidRPr="00114320" w:rsidRDefault="00383932" w:rsidP="0011432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</w:t>
            </w:r>
            <w:r w:rsidR="00DE2D45">
              <w:rPr>
                <w:b/>
                <w:bCs/>
                <w:sz w:val="18"/>
                <w:szCs w:val="18"/>
              </w:rPr>
              <w:t>-30,6</w:t>
            </w:r>
          </w:p>
        </w:tc>
      </w:tr>
      <w:tr w:rsidR="00EA53DD" w:rsidRPr="008D1930" w:rsidTr="006A47B6">
        <w:trPr>
          <w:trHeight w:val="60"/>
        </w:trPr>
        <w:tc>
          <w:tcPr>
            <w:tcW w:w="3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53DD" w:rsidRPr="00DE6D63" w:rsidRDefault="00EA53DD" w:rsidP="00EA53D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53DD" w:rsidRPr="00EA53DD" w:rsidRDefault="00EA53DD" w:rsidP="00EA53DD">
            <w:pPr>
              <w:jc w:val="center"/>
              <w:rPr>
                <w:b/>
                <w:bCs/>
                <w:sz w:val="18"/>
                <w:szCs w:val="18"/>
              </w:rPr>
            </w:pPr>
            <w:r w:rsidRPr="00EA53DD">
              <w:rPr>
                <w:b/>
                <w:bCs/>
                <w:sz w:val="18"/>
                <w:szCs w:val="18"/>
              </w:rPr>
              <w:t>04 00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53DD" w:rsidRPr="009E04C2" w:rsidRDefault="00EA53DD" w:rsidP="00EA53DD">
            <w:pPr>
              <w:jc w:val="center"/>
              <w:rPr>
                <w:b/>
                <w:bCs/>
                <w:sz w:val="18"/>
                <w:szCs w:val="18"/>
              </w:rPr>
            </w:pPr>
            <w:r w:rsidRPr="009E04C2">
              <w:rPr>
                <w:b/>
                <w:bCs/>
                <w:sz w:val="18"/>
                <w:szCs w:val="18"/>
              </w:rPr>
              <w:t>136 046,3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53DD" w:rsidRPr="009E04C2" w:rsidRDefault="00EA53DD" w:rsidP="00EA53DD">
            <w:pPr>
              <w:jc w:val="center"/>
              <w:rPr>
                <w:b/>
                <w:bCs/>
                <w:sz w:val="18"/>
                <w:szCs w:val="18"/>
              </w:rPr>
            </w:pPr>
            <w:r w:rsidRPr="009E04C2">
              <w:rPr>
                <w:b/>
                <w:bCs/>
                <w:sz w:val="18"/>
                <w:szCs w:val="18"/>
              </w:rPr>
              <w:t>96 </w:t>
            </w:r>
            <w:r w:rsidR="004F781C">
              <w:rPr>
                <w:b/>
                <w:bCs/>
                <w:sz w:val="18"/>
                <w:szCs w:val="18"/>
              </w:rPr>
              <w:t>200,</w:t>
            </w:r>
            <w:r w:rsidR="00114320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53DD" w:rsidRPr="00114320" w:rsidRDefault="00114320" w:rsidP="00EA53DD">
            <w:pPr>
              <w:jc w:val="center"/>
              <w:rPr>
                <w:b/>
                <w:bCs/>
                <w:sz w:val="18"/>
                <w:szCs w:val="18"/>
              </w:rPr>
            </w:pPr>
            <w:r w:rsidRPr="00114320">
              <w:rPr>
                <w:b/>
                <w:bCs/>
                <w:sz w:val="18"/>
                <w:szCs w:val="18"/>
              </w:rPr>
              <w:t>- 39 845,7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53DD" w:rsidRPr="00114320" w:rsidRDefault="00DE2D45" w:rsidP="00EA53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-29,3</w:t>
            </w:r>
          </w:p>
        </w:tc>
      </w:tr>
      <w:tr w:rsidR="00EA53DD" w:rsidRPr="00F742AB" w:rsidTr="006A47B6">
        <w:trPr>
          <w:trHeight w:val="341"/>
        </w:trPr>
        <w:tc>
          <w:tcPr>
            <w:tcW w:w="3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53DD" w:rsidRPr="00DE6D63" w:rsidRDefault="00F33C4B" w:rsidP="00EA53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Непрограммые направления </w:t>
            </w:r>
            <w:r w:rsidR="00480B75">
              <w:rPr>
                <w:sz w:val="18"/>
                <w:szCs w:val="18"/>
              </w:rPr>
              <w:t>обеспечения</w:t>
            </w:r>
            <w:r w:rsidR="0043406E">
              <w:rPr>
                <w:sz w:val="18"/>
                <w:szCs w:val="18"/>
              </w:rPr>
              <w:t xml:space="preserve"> деятельности государственных органов Волгоградской области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53DD" w:rsidRPr="00EA53DD" w:rsidRDefault="00EA53DD" w:rsidP="005A3220">
            <w:pPr>
              <w:jc w:val="center"/>
              <w:rPr>
                <w:sz w:val="18"/>
                <w:szCs w:val="18"/>
              </w:rPr>
            </w:pPr>
            <w:r w:rsidRPr="00EA53DD">
              <w:rPr>
                <w:sz w:val="18"/>
                <w:szCs w:val="18"/>
              </w:rPr>
              <w:t xml:space="preserve">0412 90 </w:t>
            </w:r>
            <w:r w:rsidR="005A3220">
              <w:rPr>
                <w:sz w:val="18"/>
                <w:szCs w:val="18"/>
              </w:rPr>
              <w:t xml:space="preserve"> 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53DD" w:rsidRPr="009E04C2" w:rsidRDefault="005A3220" w:rsidP="00EA53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36 041,3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53DD" w:rsidRPr="009E04C2" w:rsidRDefault="00480B75" w:rsidP="00EA53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41 200,</w:t>
            </w:r>
            <w:r w:rsidR="00114320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53DD" w:rsidRPr="00114320" w:rsidRDefault="00114320" w:rsidP="00EA53DD">
            <w:pPr>
              <w:jc w:val="center"/>
              <w:rPr>
                <w:sz w:val="18"/>
                <w:szCs w:val="18"/>
              </w:rPr>
            </w:pPr>
            <w:r w:rsidRPr="00114320">
              <w:rPr>
                <w:sz w:val="18"/>
                <w:szCs w:val="18"/>
              </w:rPr>
              <w:t>5 159,3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53DD" w:rsidRPr="00114320" w:rsidRDefault="00DE2D45" w:rsidP="00EA53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14,3</w:t>
            </w:r>
          </w:p>
        </w:tc>
      </w:tr>
      <w:tr w:rsidR="00114320" w:rsidRPr="00F742AB" w:rsidTr="006A47B6">
        <w:trPr>
          <w:trHeight w:val="341"/>
        </w:trPr>
        <w:tc>
          <w:tcPr>
            <w:tcW w:w="3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14320" w:rsidRDefault="00114320" w:rsidP="00EA53DD">
            <w:pPr>
              <w:jc w:val="both"/>
              <w:rPr>
                <w:sz w:val="18"/>
                <w:szCs w:val="18"/>
              </w:rPr>
            </w:pPr>
            <w:r w:rsidRPr="00114320">
              <w:rPr>
                <w:sz w:val="18"/>
                <w:szCs w:val="18"/>
              </w:rPr>
              <w:t>Непрограммные расходы государственных органов Волгоградской области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14320" w:rsidRPr="00EA53DD" w:rsidRDefault="00114320" w:rsidP="005A3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0412 99 0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4320" w:rsidRDefault="00114320" w:rsidP="00EA53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100 005,0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14320" w:rsidRDefault="00114320" w:rsidP="00EA53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55 000,0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14320" w:rsidRPr="00114320" w:rsidRDefault="00114320" w:rsidP="00EA53DD">
            <w:pPr>
              <w:jc w:val="center"/>
              <w:rPr>
                <w:sz w:val="18"/>
                <w:szCs w:val="18"/>
              </w:rPr>
            </w:pPr>
            <w:r w:rsidRPr="00114320">
              <w:rPr>
                <w:sz w:val="18"/>
                <w:szCs w:val="18"/>
              </w:rPr>
              <w:t>- 45 005,0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14320" w:rsidRPr="00114320" w:rsidRDefault="00DE2D45" w:rsidP="00EA53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</w:tr>
      <w:tr w:rsidR="00EA53DD" w:rsidRPr="008D1930" w:rsidTr="006A47B6">
        <w:trPr>
          <w:trHeight w:val="60"/>
        </w:trPr>
        <w:tc>
          <w:tcPr>
            <w:tcW w:w="3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A53DD" w:rsidRPr="009E04C2" w:rsidRDefault="00EA53DD" w:rsidP="00EA53DD">
            <w:pPr>
              <w:jc w:val="both"/>
              <w:rPr>
                <w:b/>
                <w:bCs/>
                <w:sz w:val="18"/>
                <w:szCs w:val="18"/>
              </w:rPr>
            </w:pPr>
            <w:r w:rsidRPr="009E04C2">
              <w:rPr>
                <w:rFonts w:eastAsia="Times New Roman"/>
                <w:b/>
                <w:sz w:val="20"/>
                <w:szCs w:val="2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A53DD" w:rsidRPr="00EA53DD" w:rsidRDefault="00EA53DD" w:rsidP="00114320">
            <w:pPr>
              <w:jc w:val="center"/>
              <w:rPr>
                <w:b/>
                <w:bCs/>
                <w:sz w:val="18"/>
                <w:szCs w:val="18"/>
              </w:rPr>
            </w:pPr>
            <w:r w:rsidRPr="00EA53DD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53DD" w:rsidRPr="008D1930" w:rsidRDefault="00EA53DD" w:rsidP="00EA53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12 000,0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A53DD" w:rsidRPr="008D1930" w:rsidRDefault="00EA53DD" w:rsidP="00EA53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6 519,7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A53DD" w:rsidRPr="008A7F9D" w:rsidRDefault="00114320" w:rsidP="00EA53DD">
            <w:pPr>
              <w:jc w:val="center"/>
              <w:rPr>
                <w:b/>
                <w:sz w:val="18"/>
                <w:szCs w:val="18"/>
              </w:rPr>
            </w:pPr>
            <w:r w:rsidRPr="008A7F9D">
              <w:rPr>
                <w:b/>
                <w:sz w:val="18"/>
                <w:szCs w:val="18"/>
              </w:rPr>
              <w:t>- 5 480,3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A53DD" w:rsidRPr="008A7F9D" w:rsidRDefault="00DE2D45" w:rsidP="00DE2D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-45,7</w:t>
            </w:r>
          </w:p>
        </w:tc>
      </w:tr>
    </w:tbl>
    <w:p w:rsidR="00F84F0D" w:rsidRPr="002B7EE9" w:rsidRDefault="00244BBE" w:rsidP="00230AB1">
      <w:pPr>
        <w:spacing w:line="240" w:lineRule="atLeast"/>
        <w:ind w:firstLine="709"/>
        <w:jc w:val="both"/>
        <w:rPr>
          <w:bCs/>
        </w:rPr>
      </w:pPr>
      <w:r w:rsidRPr="00572234">
        <w:t>Как видно из данной таблицы</w:t>
      </w:r>
      <w:r w:rsidR="00DE2D45" w:rsidRPr="00572234">
        <w:t>,</w:t>
      </w:r>
      <w:r w:rsidRPr="00572234">
        <w:t xml:space="preserve"> наибольшее уменьшение бюджетных назначений произошло по  непрограммным расходам государственных органов Волгоградской о</w:t>
      </w:r>
      <w:r w:rsidR="002839A2">
        <w:t>бласти (в основном по субсидии Ф</w:t>
      </w:r>
      <w:r w:rsidRPr="00572234">
        <w:t>онду «Перспективное развитие Волгоградской области» для финансового обеспечения проектов развития совместно с Фондом развития промышленности</w:t>
      </w:r>
      <w:r w:rsidR="00DE2D45" w:rsidRPr="00572234">
        <w:t>) на 45 005,0 тыс. руб. (-4</w:t>
      </w:r>
      <w:r w:rsidRPr="00572234">
        <w:t xml:space="preserve">5,0%) и по другим  </w:t>
      </w:r>
      <w:r w:rsidRPr="00572234">
        <w:rPr>
          <w:rFonts w:eastAsia="Times New Roman"/>
          <w:lang w:eastAsia="en-US"/>
        </w:rPr>
        <w:t>вопросам в области жилищно-коммунального хозяйства (субсидии на возмещение ресурсоснабжающим организациям недополученных доходов, возникающих в результате установления льготных тарифов в сфере холодного водоснабжения и водоотведения предприятиям пивоваренной промышленности)</w:t>
      </w:r>
      <w:r w:rsidR="00DE2D45" w:rsidRPr="00572234">
        <w:rPr>
          <w:rFonts w:eastAsia="Times New Roman"/>
          <w:lang w:eastAsia="en-US"/>
        </w:rPr>
        <w:t xml:space="preserve"> на 5 480,0 тыс. руб. (-45,7</w:t>
      </w:r>
      <w:r w:rsidR="00C101D7" w:rsidRPr="00572234">
        <w:rPr>
          <w:rFonts w:eastAsia="Times New Roman"/>
          <w:lang w:eastAsia="en-US"/>
        </w:rPr>
        <w:t>%).</w:t>
      </w:r>
    </w:p>
    <w:p w:rsidR="00C101D7" w:rsidRDefault="00DE2D45" w:rsidP="00230AB1">
      <w:pPr>
        <w:ind w:firstLine="709"/>
        <w:jc w:val="both"/>
      </w:pPr>
      <w:r>
        <w:t>Исполнение</w:t>
      </w:r>
      <w:r w:rsidR="00EB38D4" w:rsidRPr="00721B9C">
        <w:t xml:space="preserve"> бюджетных назначений</w:t>
      </w:r>
      <w:r w:rsidR="00F84F0D">
        <w:t xml:space="preserve"> </w:t>
      </w:r>
      <w:r w:rsidR="002839A2">
        <w:t>Комитетом</w:t>
      </w:r>
      <w:r w:rsidR="00F84F0D">
        <w:t xml:space="preserve"> за 2017 год</w:t>
      </w:r>
      <w:r w:rsidR="00EB38D4" w:rsidRPr="00721B9C">
        <w:t xml:space="preserve"> представлен</w:t>
      </w:r>
      <w:r w:rsidR="00EC2F6E">
        <w:t>о</w:t>
      </w:r>
      <w:r w:rsidR="00EB38D4" w:rsidRPr="00721B9C">
        <w:t xml:space="preserve"> в следующей таблице.</w:t>
      </w:r>
    </w:p>
    <w:p w:rsidR="00EB38D4" w:rsidRPr="00721B9C" w:rsidRDefault="00EB38D4" w:rsidP="00EB38D4">
      <w:pPr>
        <w:tabs>
          <w:tab w:val="left" w:pos="0"/>
        </w:tabs>
        <w:ind w:right="-82"/>
        <w:jc w:val="right"/>
        <w:rPr>
          <w:i/>
          <w:sz w:val="20"/>
          <w:szCs w:val="20"/>
        </w:rPr>
      </w:pPr>
      <w:r w:rsidRPr="00721B9C">
        <w:t xml:space="preserve"> </w:t>
      </w:r>
      <w:r w:rsidRPr="00721B9C">
        <w:rPr>
          <w:i/>
          <w:sz w:val="20"/>
          <w:szCs w:val="20"/>
        </w:rPr>
        <w:t>тыс. руб.</w:t>
      </w:r>
    </w:p>
    <w:tbl>
      <w:tblPr>
        <w:tblW w:w="9747" w:type="dxa"/>
        <w:tblBorders>
          <w:top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851"/>
        <w:gridCol w:w="1133"/>
        <w:gridCol w:w="992"/>
        <w:gridCol w:w="993"/>
        <w:gridCol w:w="888"/>
        <w:gridCol w:w="954"/>
      </w:tblGrid>
      <w:tr w:rsidR="00163C2E" w:rsidRPr="00B061BB" w:rsidTr="00EF7A8C">
        <w:trPr>
          <w:trHeight w:val="60"/>
        </w:trPr>
        <w:tc>
          <w:tcPr>
            <w:tcW w:w="3936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163C2E" w:rsidRPr="00B061BB" w:rsidRDefault="00163C2E" w:rsidP="00EA53DD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721B9C"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left w:val="doub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163C2E" w:rsidRPr="00B061BB" w:rsidRDefault="00163C2E" w:rsidP="00EA53DD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721B9C">
              <w:rPr>
                <w:b/>
                <w:sz w:val="18"/>
                <w:szCs w:val="18"/>
              </w:rPr>
              <w:t>КБК</w:t>
            </w:r>
          </w:p>
        </w:tc>
        <w:tc>
          <w:tcPr>
            <w:tcW w:w="1133" w:type="dxa"/>
            <w:vMerge w:val="restart"/>
            <w:shd w:val="clear" w:color="auto" w:fill="EEECE1" w:themeFill="background2"/>
            <w:vAlign w:val="center"/>
          </w:tcPr>
          <w:p w:rsidR="00163C2E" w:rsidRPr="00C24DCF" w:rsidRDefault="00163C2E" w:rsidP="00C23E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Бюджетная роспись</w:t>
            </w:r>
          </w:p>
        </w:tc>
        <w:tc>
          <w:tcPr>
            <w:tcW w:w="992" w:type="dxa"/>
            <w:vMerge w:val="restart"/>
            <w:shd w:val="clear" w:color="auto" w:fill="EEECE1" w:themeFill="background2"/>
            <w:vAlign w:val="center"/>
            <w:hideMark/>
          </w:tcPr>
          <w:p w:rsidR="00163C2E" w:rsidRPr="008D1930" w:rsidRDefault="00163C2E" w:rsidP="00C23E5C">
            <w:pPr>
              <w:jc w:val="center"/>
              <w:rPr>
                <w:b/>
                <w:sz w:val="18"/>
                <w:szCs w:val="18"/>
              </w:rPr>
            </w:pPr>
            <w:r w:rsidRPr="008D1930">
              <w:rPr>
                <w:b/>
                <w:sz w:val="18"/>
                <w:szCs w:val="18"/>
              </w:rPr>
              <w:t>Лимиты</w:t>
            </w:r>
          </w:p>
        </w:tc>
        <w:tc>
          <w:tcPr>
            <w:tcW w:w="993" w:type="dxa"/>
            <w:vMerge w:val="restart"/>
            <w:shd w:val="clear" w:color="auto" w:fill="EEECE1" w:themeFill="background2"/>
            <w:noWrap/>
            <w:vAlign w:val="center"/>
            <w:hideMark/>
          </w:tcPr>
          <w:p w:rsidR="00163C2E" w:rsidRPr="008D1930" w:rsidRDefault="00163C2E" w:rsidP="00EA53DD">
            <w:pPr>
              <w:jc w:val="center"/>
              <w:rPr>
                <w:b/>
                <w:sz w:val="18"/>
                <w:szCs w:val="18"/>
              </w:rPr>
            </w:pPr>
            <w:r w:rsidRPr="008D1930">
              <w:rPr>
                <w:b/>
                <w:sz w:val="18"/>
                <w:szCs w:val="18"/>
              </w:rPr>
              <w:t>Исполнено</w:t>
            </w:r>
          </w:p>
        </w:tc>
        <w:tc>
          <w:tcPr>
            <w:tcW w:w="1842" w:type="dxa"/>
            <w:gridSpan w:val="2"/>
            <w:shd w:val="clear" w:color="auto" w:fill="EEECE1" w:themeFill="background2"/>
            <w:vAlign w:val="center"/>
            <w:hideMark/>
          </w:tcPr>
          <w:p w:rsidR="00163C2E" w:rsidRPr="008D1930" w:rsidRDefault="00163C2E" w:rsidP="00EA53DD">
            <w:pPr>
              <w:jc w:val="center"/>
              <w:rPr>
                <w:b/>
                <w:sz w:val="18"/>
                <w:szCs w:val="18"/>
              </w:rPr>
            </w:pPr>
            <w:r w:rsidRPr="008D1930">
              <w:rPr>
                <w:b/>
                <w:sz w:val="18"/>
                <w:szCs w:val="18"/>
              </w:rPr>
              <w:t>К бюджетной росписи</w:t>
            </w:r>
          </w:p>
        </w:tc>
      </w:tr>
      <w:tr w:rsidR="00163C2E" w:rsidRPr="00B061BB" w:rsidTr="00EF7A8C">
        <w:trPr>
          <w:trHeight w:val="60"/>
        </w:trPr>
        <w:tc>
          <w:tcPr>
            <w:tcW w:w="393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  <w:hideMark/>
          </w:tcPr>
          <w:p w:rsidR="00163C2E" w:rsidRPr="00B061BB" w:rsidRDefault="00163C2E" w:rsidP="00EA53DD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EEECE1" w:themeFill="background2"/>
            <w:vAlign w:val="center"/>
            <w:hideMark/>
          </w:tcPr>
          <w:p w:rsidR="00163C2E" w:rsidRPr="00B061BB" w:rsidRDefault="00163C2E" w:rsidP="00EA53DD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33" w:type="dxa"/>
            <w:vMerge/>
            <w:tcBorders>
              <w:bottom w:val="double" w:sz="4" w:space="0" w:color="auto"/>
            </w:tcBorders>
            <w:shd w:val="clear" w:color="auto" w:fill="EEECE1" w:themeFill="background2"/>
            <w:vAlign w:val="center"/>
          </w:tcPr>
          <w:p w:rsidR="00163C2E" w:rsidRPr="00B061BB" w:rsidRDefault="00163C2E" w:rsidP="00EA53DD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shd w:val="clear" w:color="auto" w:fill="EEECE1" w:themeFill="background2"/>
            <w:vAlign w:val="center"/>
            <w:hideMark/>
          </w:tcPr>
          <w:p w:rsidR="00163C2E" w:rsidRPr="008D1930" w:rsidRDefault="00163C2E" w:rsidP="00EA53D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double" w:sz="4" w:space="0" w:color="auto"/>
            </w:tcBorders>
            <w:shd w:val="clear" w:color="auto" w:fill="EEECE1" w:themeFill="background2"/>
            <w:vAlign w:val="center"/>
            <w:hideMark/>
          </w:tcPr>
          <w:p w:rsidR="00163C2E" w:rsidRPr="008D1930" w:rsidRDefault="00163C2E" w:rsidP="00EA53D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8" w:type="dxa"/>
            <w:tcBorders>
              <w:bottom w:val="doub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163C2E" w:rsidRPr="008D1930" w:rsidRDefault="00163C2E" w:rsidP="00EA53DD">
            <w:pPr>
              <w:jc w:val="center"/>
              <w:rPr>
                <w:b/>
                <w:sz w:val="18"/>
                <w:szCs w:val="18"/>
              </w:rPr>
            </w:pPr>
            <w:r w:rsidRPr="008D1930">
              <w:rPr>
                <w:b/>
                <w:sz w:val="18"/>
                <w:szCs w:val="18"/>
              </w:rPr>
              <w:t>Отклон.</w:t>
            </w:r>
          </w:p>
        </w:tc>
        <w:tc>
          <w:tcPr>
            <w:tcW w:w="954" w:type="dxa"/>
            <w:tcBorders>
              <w:bottom w:val="doub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163C2E" w:rsidRPr="008D1930" w:rsidRDefault="00D820B3" w:rsidP="00DE2D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% </w:t>
            </w:r>
          </w:p>
        </w:tc>
      </w:tr>
      <w:tr w:rsidR="00163C2E" w:rsidRPr="00B061BB" w:rsidTr="00EF7A8C">
        <w:trPr>
          <w:trHeight w:val="50"/>
        </w:trPr>
        <w:tc>
          <w:tcPr>
            <w:tcW w:w="3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3C2E" w:rsidRPr="00C24DCF" w:rsidRDefault="00163C2E" w:rsidP="009E04C2">
            <w:pPr>
              <w:jc w:val="both"/>
              <w:rPr>
                <w:b/>
                <w:sz w:val="20"/>
                <w:szCs w:val="20"/>
              </w:rPr>
            </w:pPr>
            <w:r w:rsidRPr="00C24DCF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3C2E" w:rsidRPr="00DE6D63" w:rsidRDefault="00163C2E" w:rsidP="00EA53DD">
            <w:pPr>
              <w:jc w:val="right"/>
              <w:rPr>
                <w:sz w:val="18"/>
                <w:szCs w:val="18"/>
              </w:rPr>
            </w:pPr>
            <w:r w:rsidRPr="00DE6D63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3C2E" w:rsidRPr="009E04C2" w:rsidRDefault="002B2090" w:rsidP="00EA53D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102 720,3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3C2E" w:rsidRPr="009E04C2" w:rsidRDefault="00163C2E" w:rsidP="00EA53DD">
            <w:pPr>
              <w:jc w:val="right"/>
              <w:rPr>
                <w:b/>
                <w:bCs/>
                <w:sz w:val="18"/>
                <w:szCs w:val="18"/>
              </w:rPr>
            </w:pPr>
            <w:r w:rsidRPr="009E04C2">
              <w:rPr>
                <w:b/>
                <w:bCs/>
                <w:sz w:val="18"/>
                <w:szCs w:val="18"/>
              </w:rPr>
              <w:t>102 720,3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3C2E" w:rsidRPr="002B0506" w:rsidRDefault="00163C2E" w:rsidP="00EA53DD">
            <w:pPr>
              <w:jc w:val="right"/>
              <w:rPr>
                <w:b/>
                <w:bCs/>
                <w:sz w:val="18"/>
                <w:szCs w:val="18"/>
              </w:rPr>
            </w:pPr>
            <w:r w:rsidRPr="002B0506">
              <w:rPr>
                <w:b/>
                <w:bCs/>
                <w:sz w:val="18"/>
                <w:szCs w:val="18"/>
              </w:rPr>
              <w:t>101 872,9</w:t>
            </w:r>
          </w:p>
        </w:tc>
        <w:tc>
          <w:tcPr>
            <w:tcW w:w="8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3C2E" w:rsidRPr="002B0506" w:rsidRDefault="00D00C8E" w:rsidP="00EA53DD">
            <w:pPr>
              <w:jc w:val="right"/>
              <w:rPr>
                <w:b/>
                <w:bCs/>
                <w:sz w:val="18"/>
                <w:szCs w:val="18"/>
              </w:rPr>
            </w:pPr>
            <w:r w:rsidRPr="002B0506">
              <w:rPr>
                <w:b/>
                <w:bCs/>
                <w:sz w:val="18"/>
                <w:szCs w:val="18"/>
              </w:rPr>
              <w:t>-847,4</w:t>
            </w:r>
          </w:p>
        </w:tc>
        <w:tc>
          <w:tcPr>
            <w:tcW w:w="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3C2E" w:rsidRPr="002B0506" w:rsidRDefault="00416796" w:rsidP="0041679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-0,8</w:t>
            </w:r>
          </w:p>
        </w:tc>
      </w:tr>
      <w:tr w:rsidR="00163C2E" w:rsidRPr="002B0506" w:rsidTr="00EF7A8C">
        <w:trPr>
          <w:trHeight w:val="60"/>
        </w:trPr>
        <w:tc>
          <w:tcPr>
            <w:tcW w:w="3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3C2E" w:rsidRPr="00DE6D63" w:rsidRDefault="00163C2E" w:rsidP="009E04C2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3C2E" w:rsidRPr="009E04C2" w:rsidRDefault="00163C2E" w:rsidP="00EA53DD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 w:rsidRPr="0000015B">
              <w:rPr>
                <w:b/>
                <w:bCs/>
                <w:sz w:val="18"/>
                <w:szCs w:val="18"/>
              </w:rPr>
              <w:t>04 00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3C2E" w:rsidRPr="009E04C2" w:rsidRDefault="00385F7D" w:rsidP="00EA53D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96 200,</w:t>
            </w:r>
            <w:r w:rsidR="00700E20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3C2E" w:rsidRPr="009E04C2" w:rsidRDefault="00163C2E" w:rsidP="00EA53DD">
            <w:pPr>
              <w:jc w:val="right"/>
              <w:rPr>
                <w:b/>
                <w:bCs/>
                <w:sz w:val="18"/>
                <w:szCs w:val="18"/>
              </w:rPr>
            </w:pPr>
            <w:r w:rsidRPr="009E04C2">
              <w:rPr>
                <w:b/>
                <w:bCs/>
                <w:sz w:val="18"/>
                <w:szCs w:val="18"/>
              </w:rPr>
              <w:t>96 20</w:t>
            </w:r>
            <w:r w:rsidR="00700E20">
              <w:rPr>
                <w:b/>
                <w:bCs/>
                <w:sz w:val="18"/>
                <w:szCs w:val="18"/>
              </w:rPr>
              <w:t>0,6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3C2E" w:rsidRPr="002B0506" w:rsidRDefault="005C27FA" w:rsidP="00EA53DD">
            <w:pPr>
              <w:jc w:val="right"/>
              <w:rPr>
                <w:b/>
                <w:bCs/>
                <w:sz w:val="18"/>
                <w:szCs w:val="18"/>
              </w:rPr>
            </w:pPr>
            <w:r w:rsidRPr="002B0506">
              <w:rPr>
                <w:b/>
                <w:bCs/>
                <w:sz w:val="18"/>
                <w:szCs w:val="18"/>
              </w:rPr>
              <w:t>95 353,2</w:t>
            </w:r>
          </w:p>
        </w:tc>
        <w:tc>
          <w:tcPr>
            <w:tcW w:w="8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3C2E" w:rsidRPr="002B0506" w:rsidRDefault="00D00C8E" w:rsidP="00EA53DD">
            <w:pPr>
              <w:jc w:val="right"/>
              <w:rPr>
                <w:b/>
                <w:bCs/>
                <w:sz w:val="18"/>
                <w:szCs w:val="18"/>
              </w:rPr>
            </w:pPr>
            <w:r w:rsidRPr="002B0506">
              <w:rPr>
                <w:b/>
                <w:bCs/>
                <w:sz w:val="18"/>
                <w:szCs w:val="18"/>
              </w:rPr>
              <w:t>-847,</w:t>
            </w:r>
            <w:r w:rsidR="005C27FA" w:rsidRPr="002B050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3C2E" w:rsidRPr="002B0506" w:rsidRDefault="00416796" w:rsidP="0041679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-0,8</w:t>
            </w:r>
          </w:p>
        </w:tc>
      </w:tr>
      <w:tr w:rsidR="00163C2E" w:rsidRPr="00B061BB" w:rsidTr="00EF7A8C">
        <w:trPr>
          <w:trHeight w:val="60"/>
        </w:trPr>
        <w:tc>
          <w:tcPr>
            <w:tcW w:w="3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3C2E" w:rsidRPr="00DE6D63" w:rsidRDefault="00163C2E" w:rsidP="009E04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3C2E" w:rsidRPr="0000015B" w:rsidRDefault="0000015B" w:rsidP="00EA53DD">
            <w:pPr>
              <w:jc w:val="center"/>
              <w:rPr>
                <w:sz w:val="18"/>
                <w:szCs w:val="18"/>
              </w:rPr>
            </w:pPr>
            <w:r w:rsidRPr="0000015B">
              <w:rPr>
                <w:sz w:val="18"/>
                <w:szCs w:val="18"/>
              </w:rPr>
              <w:t>04 12 90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3C2E" w:rsidRPr="009E04C2" w:rsidRDefault="00C23E5C" w:rsidP="00EA53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38 252,0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3C2E" w:rsidRPr="009E04C2" w:rsidRDefault="00163C2E" w:rsidP="00EA53DD">
            <w:pPr>
              <w:jc w:val="right"/>
              <w:rPr>
                <w:sz w:val="18"/>
                <w:szCs w:val="18"/>
              </w:rPr>
            </w:pPr>
            <w:r w:rsidRPr="009E04C2">
              <w:rPr>
                <w:sz w:val="18"/>
                <w:szCs w:val="18"/>
              </w:rPr>
              <w:t>38 252,0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3C2E" w:rsidRPr="002B0506" w:rsidRDefault="001D0899" w:rsidP="00EA53DD">
            <w:pPr>
              <w:jc w:val="right"/>
              <w:rPr>
                <w:sz w:val="18"/>
                <w:szCs w:val="18"/>
              </w:rPr>
            </w:pPr>
            <w:r w:rsidRPr="002B0506">
              <w:rPr>
                <w:sz w:val="18"/>
                <w:szCs w:val="18"/>
              </w:rPr>
              <w:t>3</w:t>
            </w:r>
            <w:r w:rsidR="00C43250" w:rsidRPr="002B0506">
              <w:rPr>
                <w:sz w:val="18"/>
                <w:szCs w:val="18"/>
              </w:rPr>
              <w:t>7 415,4</w:t>
            </w:r>
          </w:p>
        </w:tc>
        <w:tc>
          <w:tcPr>
            <w:tcW w:w="8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3C2E" w:rsidRPr="002B0506" w:rsidRDefault="00D00C8E" w:rsidP="00EA53DD">
            <w:pPr>
              <w:jc w:val="right"/>
              <w:rPr>
                <w:sz w:val="18"/>
                <w:szCs w:val="18"/>
              </w:rPr>
            </w:pPr>
            <w:r w:rsidRPr="002B0506">
              <w:rPr>
                <w:sz w:val="18"/>
                <w:szCs w:val="18"/>
              </w:rPr>
              <w:t>-836,6</w:t>
            </w:r>
          </w:p>
        </w:tc>
        <w:tc>
          <w:tcPr>
            <w:tcW w:w="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3C2E" w:rsidRPr="002B0506" w:rsidRDefault="00416796" w:rsidP="00416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-2,2</w:t>
            </w:r>
          </w:p>
        </w:tc>
      </w:tr>
      <w:tr w:rsidR="00163C2E" w:rsidRPr="00B061BB" w:rsidTr="00EF7A8C">
        <w:trPr>
          <w:trHeight w:val="60"/>
        </w:trPr>
        <w:tc>
          <w:tcPr>
            <w:tcW w:w="3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3C2E" w:rsidRPr="00C43250" w:rsidRDefault="00700E20" w:rsidP="009E04C2">
            <w:pPr>
              <w:jc w:val="both"/>
              <w:rPr>
                <w:sz w:val="18"/>
                <w:szCs w:val="18"/>
              </w:rPr>
            </w:pPr>
            <w:r w:rsidRPr="00C43250">
              <w:rPr>
                <w:sz w:val="18"/>
                <w:szCs w:val="18"/>
              </w:rPr>
              <w:t>П</w:t>
            </w:r>
            <w:r w:rsidR="00163C2E" w:rsidRPr="00C43250">
              <w:rPr>
                <w:sz w:val="18"/>
                <w:szCs w:val="18"/>
              </w:rPr>
              <w:t>ремиальные выплаты государственных органов Волгоградской области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3C2E" w:rsidRPr="0000015B" w:rsidRDefault="0000015B" w:rsidP="00EA53DD">
            <w:pPr>
              <w:jc w:val="right"/>
              <w:rPr>
                <w:sz w:val="18"/>
                <w:szCs w:val="18"/>
              </w:rPr>
            </w:pPr>
            <w:r w:rsidRPr="0000015B">
              <w:rPr>
                <w:sz w:val="18"/>
                <w:szCs w:val="18"/>
              </w:rPr>
              <w:t>04 12 90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3C2E" w:rsidRPr="00C43250" w:rsidRDefault="00700E20" w:rsidP="00EA53DD">
            <w:pPr>
              <w:jc w:val="right"/>
              <w:rPr>
                <w:sz w:val="18"/>
                <w:szCs w:val="18"/>
              </w:rPr>
            </w:pPr>
            <w:r w:rsidRPr="00C43250">
              <w:rPr>
                <w:sz w:val="18"/>
                <w:szCs w:val="18"/>
              </w:rPr>
              <w:t>2 620,0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3C2E" w:rsidRPr="00C43250" w:rsidRDefault="00163C2E" w:rsidP="002B0506">
            <w:pPr>
              <w:jc w:val="right"/>
              <w:rPr>
                <w:sz w:val="18"/>
                <w:szCs w:val="18"/>
              </w:rPr>
            </w:pPr>
            <w:r w:rsidRPr="00C43250">
              <w:rPr>
                <w:sz w:val="18"/>
                <w:szCs w:val="18"/>
              </w:rPr>
              <w:t>2 620,0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3C2E" w:rsidRPr="002B0506" w:rsidRDefault="00163C2E" w:rsidP="00EA53DD">
            <w:pPr>
              <w:jc w:val="right"/>
              <w:rPr>
                <w:sz w:val="18"/>
                <w:szCs w:val="18"/>
              </w:rPr>
            </w:pPr>
            <w:r w:rsidRPr="002B0506">
              <w:rPr>
                <w:sz w:val="18"/>
                <w:szCs w:val="18"/>
              </w:rPr>
              <w:t>2 609,</w:t>
            </w:r>
            <w:r w:rsidR="005C27FA" w:rsidRPr="002B0506">
              <w:rPr>
                <w:sz w:val="18"/>
                <w:szCs w:val="18"/>
              </w:rPr>
              <w:t>1</w:t>
            </w:r>
          </w:p>
        </w:tc>
        <w:tc>
          <w:tcPr>
            <w:tcW w:w="8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3C2E" w:rsidRPr="002B0506" w:rsidRDefault="00D00C8E" w:rsidP="00EA53DD">
            <w:pPr>
              <w:jc w:val="right"/>
              <w:rPr>
                <w:sz w:val="18"/>
                <w:szCs w:val="18"/>
              </w:rPr>
            </w:pPr>
            <w:r w:rsidRPr="002B0506">
              <w:rPr>
                <w:sz w:val="18"/>
                <w:szCs w:val="18"/>
              </w:rPr>
              <w:t>-10,</w:t>
            </w:r>
            <w:r w:rsidR="005C27FA" w:rsidRPr="002B0506">
              <w:rPr>
                <w:sz w:val="18"/>
                <w:szCs w:val="18"/>
              </w:rPr>
              <w:t>9</w:t>
            </w:r>
          </w:p>
        </w:tc>
        <w:tc>
          <w:tcPr>
            <w:tcW w:w="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3C2E" w:rsidRPr="002B0506" w:rsidRDefault="00416796" w:rsidP="00416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-0,4</w:t>
            </w:r>
          </w:p>
        </w:tc>
      </w:tr>
      <w:tr w:rsidR="00163C2E" w:rsidRPr="00B061BB" w:rsidTr="00EF7A8C">
        <w:trPr>
          <w:trHeight w:val="60"/>
        </w:trPr>
        <w:tc>
          <w:tcPr>
            <w:tcW w:w="3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3C2E" w:rsidRPr="00DE6D63" w:rsidRDefault="00163C2E" w:rsidP="009E04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Закупка товаров, работ,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3C2E" w:rsidRPr="0000015B" w:rsidRDefault="0000015B" w:rsidP="00EA53DD">
            <w:pPr>
              <w:jc w:val="right"/>
              <w:rPr>
                <w:sz w:val="18"/>
                <w:szCs w:val="18"/>
              </w:rPr>
            </w:pPr>
            <w:r w:rsidRPr="0000015B">
              <w:rPr>
                <w:sz w:val="18"/>
                <w:szCs w:val="18"/>
              </w:rPr>
              <w:t>04 12 90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3C2E" w:rsidRPr="008D1930" w:rsidRDefault="00C23E5C" w:rsidP="00EA53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63C2E">
              <w:rPr>
                <w:sz w:val="18"/>
                <w:szCs w:val="18"/>
              </w:rPr>
              <w:t>00,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3C2E" w:rsidRPr="008D1930" w:rsidRDefault="00163C2E" w:rsidP="00EA53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200,2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3C2E" w:rsidRPr="002B0506" w:rsidRDefault="00163C2E" w:rsidP="00EA53DD">
            <w:pPr>
              <w:jc w:val="right"/>
              <w:rPr>
                <w:sz w:val="18"/>
                <w:szCs w:val="18"/>
              </w:rPr>
            </w:pPr>
            <w:r w:rsidRPr="002B0506">
              <w:rPr>
                <w:sz w:val="18"/>
                <w:szCs w:val="18"/>
              </w:rPr>
              <w:t>200,2</w:t>
            </w:r>
          </w:p>
        </w:tc>
        <w:tc>
          <w:tcPr>
            <w:tcW w:w="8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3C2E" w:rsidRPr="002B0506" w:rsidRDefault="00D00C8E" w:rsidP="00EA53DD">
            <w:pPr>
              <w:jc w:val="right"/>
              <w:rPr>
                <w:sz w:val="18"/>
                <w:szCs w:val="18"/>
              </w:rPr>
            </w:pPr>
            <w:r w:rsidRPr="002B0506">
              <w:rPr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3C2E" w:rsidRPr="002B0506" w:rsidRDefault="00D00C8E" w:rsidP="00416796">
            <w:pPr>
              <w:jc w:val="right"/>
              <w:rPr>
                <w:sz w:val="18"/>
                <w:szCs w:val="18"/>
              </w:rPr>
            </w:pPr>
            <w:r w:rsidRPr="002B0506">
              <w:rPr>
                <w:sz w:val="18"/>
                <w:szCs w:val="18"/>
              </w:rPr>
              <w:t>0</w:t>
            </w:r>
          </w:p>
        </w:tc>
      </w:tr>
      <w:tr w:rsidR="00385F7D" w:rsidRPr="00B061BB" w:rsidTr="00EF7A8C">
        <w:trPr>
          <w:trHeight w:val="60"/>
        </w:trPr>
        <w:tc>
          <w:tcPr>
            <w:tcW w:w="3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85F7D" w:rsidRDefault="00700E20" w:rsidP="009E04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государственных органов Волгоградской области (информационные технологии)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85F7D" w:rsidRPr="0000015B" w:rsidRDefault="0000015B" w:rsidP="00EA53DD">
            <w:pPr>
              <w:jc w:val="right"/>
              <w:rPr>
                <w:sz w:val="18"/>
                <w:szCs w:val="18"/>
              </w:rPr>
            </w:pPr>
            <w:r w:rsidRPr="0000015B">
              <w:rPr>
                <w:sz w:val="18"/>
                <w:szCs w:val="18"/>
              </w:rPr>
              <w:t>04 12 90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5F7D" w:rsidRDefault="00700E20" w:rsidP="00EA53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101,1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85F7D" w:rsidRDefault="002B2090" w:rsidP="00EA53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101,1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85F7D" w:rsidRDefault="001D0899" w:rsidP="00EA53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101,1</w:t>
            </w:r>
          </w:p>
        </w:tc>
        <w:tc>
          <w:tcPr>
            <w:tcW w:w="8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85F7D" w:rsidRPr="009E04C2" w:rsidRDefault="00D00C8E" w:rsidP="00EA53DD">
            <w:pPr>
              <w:jc w:val="right"/>
              <w:rPr>
                <w:sz w:val="18"/>
                <w:szCs w:val="18"/>
                <w:highlight w:val="yellow"/>
              </w:rPr>
            </w:pPr>
            <w:r w:rsidRPr="00D00C8E">
              <w:rPr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85F7D" w:rsidRPr="009E04C2" w:rsidRDefault="00D00C8E" w:rsidP="00416796">
            <w:pPr>
              <w:jc w:val="right"/>
              <w:rPr>
                <w:sz w:val="18"/>
                <w:szCs w:val="18"/>
                <w:highlight w:val="yellow"/>
              </w:rPr>
            </w:pPr>
            <w:r w:rsidRPr="00D00C8E">
              <w:rPr>
                <w:sz w:val="18"/>
                <w:szCs w:val="18"/>
              </w:rPr>
              <w:t>0</w:t>
            </w:r>
          </w:p>
        </w:tc>
      </w:tr>
      <w:tr w:rsidR="00700E20" w:rsidRPr="00B061BB" w:rsidTr="00EF7A8C">
        <w:trPr>
          <w:trHeight w:val="682"/>
        </w:trPr>
        <w:tc>
          <w:tcPr>
            <w:tcW w:w="3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0E20" w:rsidRDefault="00700E20" w:rsidP="001C27A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государственных органов Волгоградской области (расходы по обязательствам прошлых лет)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0E20" w:rsidRPr="0000015B" w:rsidRDefault="0000015B" w:rsidP="00EA53DD">
            <w:pPr>
              <w:jc w:val="right"/>
              <w:rPr>
                <w:sz w:val="18"/>
                <w:szCs w:val="18"/>
              </w:rPr>
            </w:pPr>
            <w:r w:rsidRPr="0000015B">
              <w:rPr>
                <w:sz w:val="18"/>
                <w:szCs w:val="18"/>
              </w:rPr>
              <w:t>04 12 90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0E20" w:rsidRDefault="00700E20" w:rsidP="00EA53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0E20" w:rsidRDefault="002B2090" w:rsidP="00EA53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0E20" w:rsidRDefault="001D0899" w:rsidP="00EA53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</w:t>
            </w:r>
          </w:p>
        </w:tc>
        <w:tc>
          <w:tcPr>
            <w:tcW w:w="8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0E20" w:rsidRPr="00D00C8E" w:rsidRDefault="00D00C8E" w:rsidP="00EA53DD">
            <w:pPr>
              <w:jc w:val="right"/>
              <w:rPr>
                <w:sz w:val="18"/>
                <w:szCs w:val="18"/>
              </w:rPr>
            </w:pPr>
            <w:r w:rsidRPr="00D00C8E">
              <w:rPr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0E20" w:rsidRPr="00D00C8E" w:rsidRDefault="00D00C8E" w:rsidP="00416796">
            <w:pPr>
              <w:jc w:val="right"/>
              <w:rPr>
                <w:sz w:val="18"/>
                <w:szCs w:val="18"/>
              </w:rPr>
            </w:pPr>
            <w:r w:rsidRPr="00D00C8E">
              <w:rPr>
                <w:sz w:val="18"/>
                <w:szCs w:val="18"/>
              </w:rPr>
              <w:t>0</w:t>
            </w:r>
          </w:p>
        </w:tc>
      </w:tr>
      <w:tr w:rsidR="00700E20" w:rsidRPr="00B061BB" w:rsidTr="00EF7A8C">
        <w:trPr>
          <w:trHeight w:val="60"/>
        </w:trPr>
        <w:tc>
          <w:tcPr>
            <w:tcW w:w="3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0E20" w:rsidRPr="00DE6D63" w:rsidRDefault="00700E20" w:rsidP="009E04C2">
            <w:pPr>
              <w:jc w:val="both"/>
              <w:rPr>
                <w:sz w:val="18"/>
                <w:szCs w:val="18"/>
              </w:rPr>
            </w:pPr>
            <w:r w:rsidRPr="00DE6D63">
              <w:rPr>
                <w:sz w:val="18"/>
                <w:szCs w:val="18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0E20" w:rsidRPr="0000015B" w:rsidRDefault="005B0E64" w:rsidP="00EA53DD">
            <w:pPr>
              <w:jc w:val="right"/>
              <w:rPr>
                <w:sz w:val="18"/>
                <w:szCs w:val="18"/>
              </w:rPr>
            </w:pPr>
            <w:r w:rsidRPr="0000015B">
              <w:rPr>
                <w:sz w:val="18"/>
                <w:szCs w:val="18"/>
              </w:rPr>
              <w:t>04 12 90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0E20" w:rsidRPr="008D1930" w:rsidRDefault="00700E20" w:rsidP="00EA53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0E20" w:rsidRPr="008D1930" w:rsidRDefault="00700E20" w:rsidP="00EA53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21,1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0E20" w:rsidRPr="008D1930" w:rsidRDefault="00700E20" w:rsidP="00EA53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21,1</w:t>
            </w:r>
          </w:p>
        </w:tc>
        <w:tc>
          <w:tcPr>
            <w:tcW w:w="8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0E20" w:rsidRPr="00D00C8E" w:rsidRDefault="00D00C8E" w:rsidP="00EA53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0E20" w:rsidRPr="00D00C8E" w:rsidRDefault="00D00C8E" w:rsidP="00416796">
            <w:pPr>
              <w:jc w:val="right"/>
              <w:rPr>
                <w:sz w:val="18"/>
                <w:szCs w:val="18"/>
              </w:rPr>
            </w:pPr>
            <w:r w:rsidRPr="00D00C8E">
              <w:rPr>
                <w:sz w:val="18"/>
                <w:szCs w:val="18"/>
              </w:rPr>
              <w:t>0</w:t>
            </w:r>
          </w:p>
        </w:tc>
      </w:tr>
      <w:tr w:rsidR="00700E20" w:rsidRPr="00B061BB" w:rsidTr="00EF7A8C">
        <w:trPr>
          <w:trHeight w:val="60"/>
        </w:trPr>
        <w:tc>
          <w:tcPr>
            <w:tcW w:w="3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0E20" w:rsidRPr="00721B9C" w:rsidRDefault="00700E20" w:rsidP="009E04C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Непрограммные расходы государственных органов Волгоградской области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0E20" w:rsidRPr="0000015B" w:rsidRDefault="0000015B" w:rsidP="00EA53DD">
            <w:pPr>
              <w:jc w:val="right"/>
              <w:rPr>
                <w:b/>
                <w:sz w:val="18"/>
                <w:szCs w:val="18"/>
              </w:rPr>
            </w:pPr>
            <w:r w:rsidRPr="0000015B">
              <w:rPr>
                <w:b/>
                <w:sz w:val="18"/>
                <w:szCs w:val="18"/>
              </w:rPr>
              <w:t>04</w:t>
            </w:r>
            <w:r w:rsidR="00700E20" w:rsidRPr="0000015B">
              <w:rPr>
                <w:b/>
                <w:sz w:val="18"/>
                <w:szCs w:val="18"/>
              </w:rPr>
              <w:t xml:space="preserve"> 00</w:t>
            </w:r>
            <w:r w:rsidRPr="0000015B">
              <w:rPr>
                <w:b/>
                <w:sz w:val="18"/>
                <w:szCs w:val="18"/>
              </w:rPr>
              <w:t xml:space="preserve"> 99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0E20" w:rsidRPr="008D1930" w:rsidRDefault="00700E20" w:rsidP="00EA53D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55 000,0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0E20" w:rsidRPr="008D1930" w:rsidRDefault="00700E20" w:rsidP="00EA53D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55 000,0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0E20" w:rsidRPr="008D1930" w:rsidRDefault="00700E20" w:rsidP="00EA53D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55 000,0</w:t>
            </w:r>
          </w:p>
        </w:tc>
        <w:tc>
          <w:tcPr>
            <w:tcW w:w="8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0E20" w:rsidRPr="00D00C8E" w:rsidRDefault="00D00C8E" w:rsidP="00EA53D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0E20" w:rsidRPr="00D00C8E" w:rsidRDefault="00D00C8E" w:rsidP="00416796">
            <w:pPr>
              <w:jc w:val="right"/>
              <w:rPr>
                <w:b/>
                <w:sz w:val="18"/>
                <w:szCs w:val="18"/>
              </w:rPr>
            </w:pPr>
            <w:r w:rsidRPr="00D00C8E">
              <w:rPr>
                <w:sz w:val="18"/>
                <w:szCs w:val="18"/>
              </w:rPr>
              <w:t>0</w:t>
            </w:r>
          </w:p>
        </w:tc>
      </w:tr>
      <w:tr w:rsidR="00700E20" w:rsidRPr="00B061BB" w:rsidTr="00EF7A8C">
        <w:trPr>
          <w:trHeight w:val="60"/>
        </w:trPr>
        <w:tc>
          <w:tcPr>
            <w:tcW w:w="3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0E20" w:rsidRPr="009E04C2" w:rsidRDefault="00700E20" w:rsidP="009E04C2">
            <w:pPr>
              <w:jc w:val="both"/>
              <w:rPr>
                <w:i/>
                <w:sz w:val="18"/>
                <w:szCs w:val="18"/>
              </w:rPr>
            </w:pPr>
            <w:r w:rsidRPr="009E04C2">
              <w:rPr>
                <w:i/>
                <w:sz w:val="18"/>
                <w:szCs w:val="18"/>
              </w:rPr>
              <w:t>Субсидия фонду «Перспективное развитие Волгоградской области» для финансового обеспечения проектов развития совместно с Фондом развития промышленности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0E20" w:rsidRPr="005B0E64" w:rsidRDefault="005B0E64" w:rsidP="00EA53DD">
            <w:pPr>
              <w:jc w:val="right"/>
              <w:rPr>
                <w:sz w:val="18"/>
                <w:szCs w:val="18"/>
              </w:rPr>
            </w:pPr>
            <w:r w:rsidRPr="005B0E64">
              <w:rPr>
                <w:sz w:val="18"/>
                <w:szCs w:val="18"/>
              </w:rPr>
              <w:t>04 00 99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0E20" w:rsidRPr="009E04C2" w:rsidRDefault="00700E20" w:rsidP="00EA53DD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55 </w:t>
            </w:r>
            <w:r w:rsidRPr="009E04C2">
              <w:rPr>
                <w:i/>
                <w:sz w:val="18"/>
                <w:szCs w:val="18"/>
              </w:rPr>
              <w:t>000,0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0E20" w:rsidRPr="009E04C2" w:rsidRDefault="00700E20" w:rsidP="00EA53DD">
            <w:pPr>
              <w:jc w:val="right"/>
              <w:rPr>
                <w:i/>
                <w:sz w:val="18"/>
                <w:szCs w:val="18"/>
              </w:rPr>
            </w:pPr>
            <w:r w:rsidRPr="009E04C2">
              <w:rPr>
                <w:i/>
                <w:sz w:val="18"/>
                <w:szCs w:val="18"/>
              </w:rPr>
              <w:t>55 000,0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0E20" w:rsidRPr="009E04C2" w:rsidRDefault="00700E20" w:rsidP="00EA53DD">
            <w:pPr>
              <w:jc w:val="right"/>
              <w:rPr>
                <w:i/>
                <w:sz w:val="18"/>
                <w:szCs w:val="18"/>
              </w:rPr>
            </w:pPr>
            <w:r w:rsidRPr="009E04C2">
              <w:rPr>
                <w:i/>
                <w:sz w:val="18"/>
                <w:szCs w:val="18"/>
              </w:rPr>
              <w:t>55 000,0</w:t>
            </w:r>
          </w:p>
        </w:tc>
        <w:tc>
          <w:tcPr>
            <w:tcW w:w="8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0E20" w:rsidRPr="00D00C8E" w:rsidRDefault="00700E20" w:rsidP="00EA53DD">
            <w:pPr>
              <w:jc w:val="right"/>
              <w:rPr>
                <w:i/>
                <w:sz w:val="18"/>
                <w:szCs w:val="18"/>
              </w:rPr>
            </w:pPr>
            <w:r w:rsidRPr="00D00C8E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0E20" w:rsidRPr="00D00C8E" w:rsidRDefault="00700E20" w:rsidP="00416796">
            <w:pPr>
              <w:jc w:val="right"/>
              <w:rPr>
                <w:i/>
                <w:sz w:val="18"/>
                <w:szCs w:val="18"/>
              </w:rPr>
            </w:pPr>
            <w:r w:rsidRPr="00D00C8E">
              <w:rPr>
                <w:i/>
                <w:sz w:val="18"/>
                <w:szCs w:val="18"/>
              </w:rPr>
              <w:t>0</w:t>
            </w:r>
          </w:p>
        </w:tc>
      </w:tr>
      <w:tr w:rsidR="00700E20" w:rsidRPr="00B061BB" w:rsidTr="00EF7A8C">
        <w:trPr>
          <w:trHeight w:val="60"/>
        </w:trPr>
        <w:tc>
          <w:tcPr>
            <w:tcW w:w="3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0E20" w:rsidRPr="009E04C2" w:rsidRDefault="00700E20" w:rsidP="009E04C2">
            <w:pPr>
              <w:jc w:val="both"/>
              <w:rPr>
                <w:b/>
                <w:bCs/>
                <w:sz w:val="18"/>
                <w:szCs w:val="18"/>
              </w:rPr>
            </w:pPr>
            <w:r w:rsidRPr="009E04C2">
              <w:rPr>
                <w:rFonts w:eastAsia="Times New Roman"/>
                <w:b/>
                <w:sz w:val="20"/>
                <w:szCs w:val="2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0E20" w:rsidRPr="00EA53DD" w:rsidRDefault="00700E20" w:rsidP="00EA53DD">
            <w:pPr>
              <w:jc w:val="right"/>
              <w:rPr>
                <w:b/>
                <w:bCs/>
                <w:sz w:val="18"/>
                <w:szCs w:val="18"/>
              </w:rPr>
            </w:pPr>
            <w:r w:rsidRPr="00EA53DD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0E20" w:rsidRPr="008D1930" w:rsidRDefault="002B2090" w:rsidP="00EA53D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6 519,7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0E20" w:rsidRPr="008D1930" w:rsidRDefault="00700E20" w:rsidP="00EA53D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6 519,7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0E20" w:rsidRPr="008D1930" w:rsidRDefault="00700E20" w:rsidP="00EA53D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6 519,7</w:t>
            </w:r>
          </w:p>
        </w:tc>
        <w:tc>
          <w:tcPr>
            <w:tcW w:w="8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0E20" w:rsidRPr="00D00C8E" w:rsidRDefault="00700E20" w:rsidP="009E04C2">
            <w:pPr>
              <w:jc w:val="right"/>
              <w:rPr>
                <w:b/>
                <w:bCs/>
                <w:sz w:val="18"/>
                <w:szCs w:val="18"/>
              </w:rPr>
            </w:pPr>
            <w:r w:rsidRPr="00D00C8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0E20" w:rsidRPr="00D00C8E" w:rsidRDefault="00700E20" w:rsidP="00416796">
            <w:pPr>
              <w:jc w:val="right"/>
              <w:rPr>
                <w:b/>
                <w:bCs/>
                <w:sz w:val="18"/>
                <w:szCs w:val="18"/>
              </w:rPr>
            </w:pPr>
            <w:r w:rsidRPr="00D00C8E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700E20" w:rsidRPr="00B061BB" w:rsidTr="00EF7A8C">
        <w:trPr>
          <w:trHeight w:val="60"/>
        </w:trPr>
        <w:tc>
          <w:tcPr>
            <w:tcW w:w="3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0E20" w:rsidRPr="009E04C2" w:rsidRDefault="00700E20" w:rsidP="009E04C2">
            <w:pPr>
              <w:jc w:val="both"/>
              <w:rPr>
                <w:i/>
                <w:sz w:val="18"/>
                <w:szCs w:val="18"/>
              </w:rPr>
            </w:pPr>
            <w:r w:rsidRPr="009E04C2">
              <w:rPr>
                <w:rFonts w:eastAsia="Times New Roman"/>
                <w:i/>
                <w:sz w:val="20"/>
                <w:szCs w:val="20"/>
                <w:lang w:eastAsia="en-US"/>
              </w:rPr>
              <w:t xml:space="preserve">Субсидии на возмещение ресурсоснабжающим организациям недополученных доходов, возникающих в результате установления льготных тарифов в сфере холодного водоснабжения и водоотведения </w:t>
            </w:r>
            <w:r w:rsidRPr="009E04C2">
              <w:rPr>
                <w:rFonts w:eastAsia="Times New Roman"/>
                <w:i/>
                <w:sz w:val="20"/>
                <w:szCs w:val="20"/>
                <w:lang w:eastAsia="en-US"/>
              </w:rPr>
              <w:lastRenderedPageBreak/>
              <w:t>предприятиям пивоваренной промышленности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0E20" w:rsidRPr="00EA53DD" w:rsidRDefault="00700E20" w:rsidP="00EA53DD">
            <w:pPr>
              <w:jc w:val="right"/>
              <w:rPr>
                <w:sz w:val="18"/>
                <w:szCs w:val="18"/>
              </w:rPr>
            </w:pPr>
            <w:r w:rsidRPr="00EA53DD">
              <w:rPr>
                <w:sz w:val="18"/>
                <w:szCs w:val="18"/>
              </w:rPr>
              <w:lastRenderedPageBreak/>
              <w:t>0505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0E20" w:rsidRPr="008D1930" w:rsidRDefault="002B2090" w:rsidP="00EA53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6 519,7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0E20" w:rsidRPr="008D1930" w:rsidRDefault="00700E20" w:rsidP="00EA53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6 519,7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0E20" w:rsidRPr="008D1930" w:rsidRDefault="00700E20" w:rsidP="00EA53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6 519,7</w:t>
            </w:r>
          </w:p>
        </w:tc>
        <w:tc>
          <w:tcPr>
            <w:tcW w:w="8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0E20" w:rsidRPr="00D00C8E" w:rsidRDefault="00700E20" w:rsidP="00EA53DD">
            <w:pPr>
              <w:jc w:val="right"/>
              <w:rPr>
                <w:sz w:val="18"/>
                <w:szCs w:val="18"/>
              </w:rPr>
            </w:pPr>
            <w:r w:rsidRPr="00D00C8E">
              <w:rPr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0E20" w:rsidRPr="00D00C8E" w:rsidRDefault="00700E20" w:rsidP="00A7777F">
            <w:pPr>
              <w:jc w:val="right"/>
              <w:rPr>
                <w:sz w:val="18"/>
                <w:szCs w:val="18"/>
              </w:rPr>
            </w:pPr>
            <w:r w:rsidRPr="00D00C8E">
              <w:rPr>
                <w:sz w:val="18"/>
                <w:szCs w:val="18"/>
              </w:rPr>
              <w:t>0</w:t>
            </w:r>
          </w:p>
        </w:tc>
      </w:tr>
    </w:tbl>
    <w:p w:rsidR="00F84F0D" w:rsidRPr="00EF412E" w:rsidRDefault="00F84F0D" w:rsidP="008D2AF2">
      <w:pPr>
        <w:autoSpaceDE w:val="0"/>
        <w:autoSpaceDN w:val="0"/>
        <w:adjustRightInd w:val="0"/>
        <w:ind w:firstLine="708"/>
        <w:jc w:val="both"/>
      </w:pPr>
      <w:r w:rsidRPr="00DE6988">
        <w:lastRenderedPageBreak/>
        <w:t>Исполне</w:t>
      </w:r>
      <w:r>
        <w:t xml:space="preserve">ние кассовых расходов составило </w:t>
      </w:r>
      <w:r w:rsidRPr="00C23E5C">
        <w:t>101 872,9 тыс. руб., или 99,2% от</w:t>
      </w:r>
      <w:r w:rsidRPr="00DE6988">
        <w:t xml:space="preserve"> выделенных ассигнований</w:t>
      </w:r>
      <w:r>
        <w:t xml:space="preserve"> и от лимитов.</w:t>
      </w:r>
    </w:p>
    <w:p w:rsidR="00C101D7" w:rsidRPr="008652AD" w:rsidRDefault="00C101D7" w:rsidP="00C73596">
      <w:pPr>
        <w:pStyle w:val="af2"/>
        <w:keepNext/>
        <w:spacing w:after="0"/>
        <w:ind w:left="0" w:firstLine="709"/>
        <w:jc w:val="both"/>
      </w:pPr>
      <w:r w:rsidRPr="00C101D7">
        <w:t>Общая сумма неисполненных назначений на 01.01.2018 составила 847,4 тыс. руб., или 0,8% от утвержденных бюджетных назначений,</w:t>
      </w:r>
      <w:r w:rsidR="00416796">
        <w:t xml:space="preserve"> которая</w:t>
      </w:r>
      <w:r w:rsidRPr="00C101D7">
        <w:t xml:space="preserve"> сложилась в</w:t>
      </w:r>
      <w:r w:rsidR="00C73596">
        <w:t xml:space="preserve"> </w:t>
      </w:r>
      <w:r w:rsidR="00C73596" w:rsidRPr="008652AD">
        <w:t xml:space="preserve">основном </w:t>
      </w:r>
      <w:r w:rsidR="003531EC" w:rsidRPr="008652AD">
        <w:t>в связи с выделением кассового плана в меньшем объеме.</w:t>
      </w:r>
    </w:p>
    <w:p w:rsidR="00512A2C" w:rsidRPr="00114319" w:rsidRDefault="00C101D7" w:rsidP="000B48BB">
      <w:pPr>
        <w:ind w:firstLine="708"/>
        <w:jc w:val="both"/>
      </w:pPr>
      <w:r w:rsidRPr="00C73596">
        <w:t>В расходах на обеспечение деятельности Комитета наибольший объем занимают расходы</w:t>
      </w:r>
      <w:r w:rsidR="00C73596" w:rsidRPr="00C73596">
        <w:t xml:space="preserve"> </w:t>
      </w:r>
      <w:r w:rsidR="002839A2">
        <w:t>по перечислению субсидии Ф</w:t>
      </w:r>
      <w:r w:rsidR="00C73596" w:rsidRPr="00C73596">
        <w:t xml:space="preserve">онду «Перспективное развитие Волгоградской области» для финансового обеспечения проектов развития совместно с Фондом развития промышленности (54%) и  </w:t>
      </w:r>
      <w:r w:rsidRPr="00C73596">
        <w:t>на оплату труда с начисле</w:t>
      </w:r>
      <w:r w:rsidR="00C73596" w:rsidRPr="00C73596">
        <w:t>ниями (36,7</w:t>
      </w:r>
      <w:r w:rsidRPr="00C73596">
        <w:t>%).</w:t>
      </w:r>
    </w:p>
    <w:p w:rsidR="00BD41B7" w:rsidRPr="000874D6" w:rsidRDefault="002839A2" w:rsidP="00BD41B7">
      <w:pPr>
        <w:ind w:firstLine="708"/>
        <w:jc w:val="both"/>
      </w:pPr>
      <w:r>
        <w:t>Предоставление субсидии Ф</w:t>
      </w:r>
      <w:r w:rsidR="00BD41B7" w:rsidRPr="000874D6">
        <w:t xml:space="preserve">онду «Перспективное развитие Волгоградской области» </w:t>
      </w:r>
      <w:r w:rsidR="000874D6" w:rsidRPr="000874D6">
        <w:t xml:space="preserve"> произведено </w:t>
      </w:r>
      <w:r w:rsidR="00BD41B7" w:rsidRPr="000874D6">
        <w:t>в целях финансового обеспечения затрат, связанных с финансированием  проектов развития, направленных на внедрение передовых технологий, создание новых продуктов или организацию импортозамещающих производств в Волгоградской области.</w:t>
      </w:r>
    </w:p>
    <w:p w:rsidR="00A80E85" w:rsidRPr="001630BD" w:rsidRDefault="00BD41B7" w:rsidP="00416796">
      <w:pPr>
        <w:ind w:firstLine="708"/>
        <w:jc w:val="both"/>
        <w:rPr>
          <w:b/>
        </w:rPr>
      </w:pPr>
      <w:r w:rsidRPr="000874D6">
        <w:t xml:space="preserve"> </w:t>
      </w:r>
      <w:r w:rsidR="00416796">
        <w:t xml:space="preserve">Субсидия </w:t>
      </w:r>
      <w:r w:rsidR="002839A2">
        <w:t>из Ф</w:t>
      </w:r>
      <w:r w:rsidR="00416796">
        <w:t>онда</w:t>
      </w:r>
      <w:r w:rsidR="00416796" w:rsidRPr="00C73596">
        <w:t xml:space="preserve"> «Перспективное развитие Волгоградской области»</w:t>
      </w:r>
      <w:r w:rsidR="00416796">
        <w:t xml:space="preserve"> </w:t>
      </w:r>
      <w:r w:rsidRPr="000874D6">
        <w:t>была представлена двум предприят</w:t>
      </w:r>
      <w:r w:rsidR="00416796">
        <w:t xml:space="preserve">иям на сумму 36 030,0 тыс.руб. </w:t>
      </w:r>
      <w:r w:rsidRPr="000874D6">
        <w:t xml:space="preserve">(АО «Газпромхимволокно» в размере 29 940,0 тыс.руб. и ООО НПП «КФ» в размере 6 090,0 тыс.руб.), остаток </w:t>
      </w:r>
      <w:r w:rsidR="002168D1" w:rsidRPr="000874D6">
        <w:t>неиспользованных целевых средств</w:t>
      </w:r>
      <w:r w:rsidR="00EC2F6E">
        <w:t xml:space="preserve"> в размере 18 970,0 тыс.руб.</w:t>
      </w:r>
      <w:r w:rsidR="002168D1" w:rsidRPr="000874D6">
        <w:t xml:space="preserve"> был перечислен </w:t>
      </w:r>
      <w:r w:rsidR="002839A2">
        <w:t xml:space="preserve">указанным Фондом </w:t>
      </w:r>
      <w:r w:rsidR="002168D1" w:rsidRPr="000874D6">
        <w:t>в доход бюджета Волгоградской области платежным получением №9 от 29.01.2018.</w:t>
      </w:r>
      <w:r w:rsidRPr="000874D6">
        <w:t xml:space="preserve"> </w:t>
      </w:r>
    </w:p>
    <w:p w:rsidR="00C73596" w:rsidRPr="00F033AB" w:rsidRDefault="00EB38D4" w:rsidP="00F033AB">
      <w:pPr>
        <w:ind w:firstLine="708"/>
        <w:jc w:val="both"/>
        <w:rPr>
          <w:b/>
          <w:sz w:val="22"/>
          <w:szCs w:val="22"/>
        </w:rPr>
      </w:pPr>
      <w:r w:rsidRPr="00C73596">
        <w:t>Сравнительный анализ показателей исполнения расходов Комитета за отчетный и предыдущий год представлен в следующей таблице.</w:t>
      </w:r>
      <w:r w:rsidRPr="00C73596">
        <w:rPr>
          <w:b/>
          <w:sz w:val="22"/>
          <w:szCs w:val="22"/>
        </w:rPr>
        <w:t xml:space="preserve">         </w:t>
      </w:r>
      <w:r w:rsidR="004444F2">
        <w:rPr>
          <w:b/>
          <w:sz w:val="22"/>
          <w:szCs w:val="22"/>
        </w:rPr>
        <w:t xml:space="preserve">               </w:t>
      </w:r>
      <w:r w:rsidRPr="00C73596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B2090">
        <w:rPr>
          <w:b/>
          <w:color w:val="FF0000"/>
          <w:sz w:val="22"/>
          <w:szCs w:val="22"/>
        </w:rPr>
        <w:t xml:space="preserve"> </w:t>
      </w:r>
    </w:p>
    <w:p w:rsidR="00EB38D4" w:rsidRPr="00C73596" w:rsidRDefault="00EB38D4" w:rsidP="00EB38D4">
      <w:pPr>
        <w:ind w:firstLine="708"/>
        <w:jc w:val="right"/>
        <w:rPr>
          <w:i/>
          <w:sz w:val="20"/>
          <w:szCs w:val="20"/>
        </w:rPr>
      </w:pPr>
      <w:r w:rsidRPr="00C73596">
        <w:rPr>
          <w:i/>
          <w:sz w:val="20"/>
          <w:szCs w:val="20"/>
        </w:rPr>
        <w:t>тыс. руб.</w:t>
      </w:r>
    </w:p>
    <w:tbl>
      <w:tblPr>
        <w:tblW w:w="9747" w:type="dxa"/>
        <w:tblLayout w:type="fixed"/>
        <w:tblLook w:val="04A0"/>
      </w:tblPr>
      <w:tblGrid>
        <w:gridCol w:w="4503"/>
        <w:gridCol w:w="945"/>
        <w:gridCol w:w="1134"/>
        <w:gridCol w:w="993"/>
        <w:gridCol w:w="1134"/>
        <w:gridCol w:w="1038"/>
      </w:tblGrid>
      <w:tr w:rsidR="00EB38D4" w:rsidRPr="00C73596" w:rsidTr="00407E56">
        <w:trPr>
          <w:trHeight w:val="60"/>
        </w:trPr>
        <w:tc>
          <w:tcPr>
            <w:tcW w:w="450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B38D4" w:rsidRPr="00C73596" w:rsidRDefault="00EB38D4" w:rsidP="00EA53DD">
            <w:pPr>
              <w:jc w:val="center"/>
              <w:rPr>
                <w:b/>
                <w:sz w:val="18"/>
                <w:szCs w:val="18"/>
              </w:rPr>
            </w:pPr>
            <w:r w:rsidRPr="00C73596"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4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B38D4" w:rsidRPr="00C73596" w:rsidRDefault="00EB38D4" w:rsidP="00EA53DD">
            <w:pPr>
              <w:jc w:val="center"/>
              <w:rPr>
                <w:b/>
                <w:sz w:val="18"/>
                <w:szCs w:val="18"/>
              </w:rPr>
            </w:pPr>
            <w:r w:rsidRPr="00C73596">
              <w:rPr>
                <w:b/>
                <w:sz w:val="18"/>
                <w:szCs w:val="18"/>
              </w:rPr>
              <w:t>КБК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B38D4" w:rsidRPr="00C73596" w:rsidRDefault="00EB38D4" w:rsidP="00EA53DD">
            <w:pPr>
              <w:jc w:val="center"/>
              <w:rPr>
                <w:b/>
                <w:sz w:val="18"/>
                <w:szCs w:val="18"/>
              </w:rPr>
            </w:pPr>
            <w:r w:rsidRPr="00C73596">
              <w:rPr>
                <w:b/>
                <w:sz w:val="18"/>
                <w:szCs w:val="18"/>
              </w:rPr>
              <w:t>201</w:t>
            </w:r>
            <w:r w:rsidR="00C73596" w:rsidRPr="00C73596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B38D4" w:rsidRPr="00C73596" w:rsidRDefault="00EB38D4" w:rsidP="00EA53DD">
            <w:pPr>
              <w:jc w:val="center"/>
              <w:rPr>
                <w:b/>
                <w:sz w:val="18"/>
                <w:szCs w:val="18"/>
              </w:rPr>
            </w:pPr>
            <w:r w:rsidRPr="00C73596">
              <w:rPr>
                <w:b/>
                <w:sz w:val="18"/>
                <w:szCs w:val="18"/>
              </w:rPr>
              <w:t>201</w:t>
            </w:r>
            <w:r w:rsidR="00C73596" w:rsidRPr="00C73596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172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EECE1" w:themeFill="background2"/>
            <w:vAlign w:val="bottom"/>
            <w:hideMark/>
          </w:tcPr>
          <w:p w:rsidR="00EB38D4" w:rsidRPr="00C73596" w:rsidRDefault="00EB38D4" w:rsidP="00EA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C73596">
              <w:rPr>
                <w:b/>
                <w:bCs/>
                <w:sz w:val="20"/>
                <w:szCs w:val="20"/>
              </w:rPr>
              <w:t>Увеличение, снижение (-)</w:t>
            </w:r>
          </w:p>
        </w:tc>
      </w:tr>
      <w:tr w:rsidR="00EB38D4" w:rsidRPr="002B2090" w:rsidTr="00407E56">
        <w:trPr>
          <w:trHeight w:val="60"/>
        </w:trPr>
        <w:tc>
          <w:tcPr>
            <w:tcW w:w="450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B38D4" w:rsidRPr="002B2090" w:rsidRDefault="00EB38D4" w:rsidP="00EA53DD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B38D4" w:rsidRPr="002B2090" w:rsidRDefault="00EB38D4" w:rsidP="00EA53DD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B38D4" w:rsidRPr="002B2090" w:rsidRDefault="00EB38D4" w:rsidP="00EA53DD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B38D4" w:rsidRPr="002B2090" w:rsidRDefault="00EB38D4" w:rsidP="00EA53DD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EB38D4" w:rsidRPr="00C73596" w:rsidRDefault="00EB38D4" w:rsidP="00EA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C73596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03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EB38D4" w:rsidRPr="00C73596" w:rsidRDefault="00EB38D4" w:rsidP="00EA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C73596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1118D3" w:rsidRPr="002B2090" w:rsidTr="00407E56">
        <w:trPr>
          <w:trHeight w:val="60"/>
        </w:trPr>
        <w:tc>
          <w:tcPr>
            <w:tcW w:w="45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8D3" w:rsidRPr="00C24DCF" w:rsidRDefault="001118D3" w:rsidP="001C27A1">
            <w:pPr>
              <w:jc w:val="both"/>
              <w:rPr>
                <w:b/>
                <w:sz w:val="20"/>
                <w:szCs w:val="20"/>
              </w:rPr>
            </w:pPr>
            <w:r w:rsidRPr="00C24DCF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4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8D3" w:rsidRPr="00DE6D63" w:rsidRDefault="001118D3" w:rsidP="001C27A1">
            <w:pPr>
              <w:jc w:val="right"/>
              <w:rPr>
                <w:sz w:val="18"/>
                <w:szCs w:val="18"/>
              </w:rPr>
            </w:pPr>
            <w:r w:rsidRPr="00DE6D6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8D3" w:rsidRPr="001118D3" w:rsidRDefault="001118D3" w:rsidP="00EA53DD">
            <w:pPr>
              <w:jc w:val="right"/>
              <w:rPr>
                <w:b/>
                <w:bCs/>
                <w:sz w:val="18"/>
                <w:szCs w:val="18"/>
              </w:rPr>
            </w:pPr>
            <w:r w:rsidRPr="001118D3">
              <w:rPr>
                <w:b/>
                <w:bCs/>
                <w:sz w:val="18"/>
                <w:szCs w:val="18"/>
              </w:rPr>
              <w:t>49 502,1</w:t>
            </w:r>
          </w:p>
        </w:tc>
        <w:tc>
          <w:tcPr>
            <w:tcW w:w="99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8D3" w:rsidRPr="001118D3" w:rsidRDefault="001118D3" w:rsidP="00EA53DD">
            <w:pPr>
              <w:jc w:val="right"/>
              <w:rPr>
                <w:b/>
                <w:bCs/>
                <w:sz w:val="18"/>
                <w:szCs w:val="18"/>
              </w:rPr>
            </w:pPr>
            <w:r w:rsidRPr="001118D3">
              <w:rPr>
                <w:b/>
                <w:bCs/>
                <w:sz w:val="18"/>
                <w:szCs w:val="18"/>
              </w:rPr>
              <w:t>101 872,9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8D3" w:rsidRPr="00500F51" w:rsidRDefault="00500F51" w:rsidP="00EA53DD">
            <w:pPr>
              <w:jc w:val="right"/>
              <w:rPr>
                <w:b/>
                <w:bCs/>
                <w:sz w:val="18"/>
                <w:szCs w:val="18"/>
              </w:rPr>
            </w:pPr>
            <w:r w:rsidRPr="00500F51">
              <w:rPr>
                <w:b/>
                <w:bCs/>
                <w:sz w:val="18"/>
                <w:szCs w:val="18"/>
              </w:rPr>
              <w:t>52 370,8</w:t>
            </w:r>
          </w:p>
        </w:tc>
        <w:tc>
          <w:tcPr>
            <w:tcW w:w="1038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118D3" w:rsidRPr="00500F51" w:rsidRDefault="00EC2F6E" w:rsidP="00EA53D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 2</w:t>
            </w:r>
            <w:r w:rsidR="00C54762">
              <w:rPr>
                <w:b/>
                <w:bCs/>
                <w:sz w:val="18"/>
                <w:szCs w:val="18"/>
              </w:rPr>
              <w:t>,1 раза</w:t>
            </w:r>
          </w:p>
        </w:tc>
      </w:tr>
      <w:tr w:rsidR="001118D3" w:rsidRPr="002B2090" w:rsidTr="00407E56">
        <w:trPr>
          <w:trHeight w:val="60"/>
        </w:trPr>
        <w:tc>
          <w:tcPr>
            <w:tcW w:w="450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8D3" w:rsidRPr="00DE6D63" w:rsidRDefault="001118D3" w:rsidP="001C27A1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8D3" w:rsidRPr="00EA53DD" w:rsidRDefault="001118D3" w:rsidP="001C27A1">
            <w:pPr>
              <w:jc w:val="center"/>
              <w:rPr>
                <w:b/>
                <w:bCs/>
                <w:sz w:val="18"/>
                <w:szCs w:val="18"/>
              </w:rPr>
            </w:pPr>
            <w:r w:rsidRPr="00EA53DD">
              <w:rPr>
                <w:b/>
                <w:bCs/>
                <w:sz w:val="18"/>
                <w:szCs w:val="18"/>
              </w:rPr>
              <w:t>04 00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8D3" w:rsidRPr="001118D3" w:rsidRDefault="001118D3" w:rsidP="00EA53DD">
            <w:pPr>
              <w:jc w:val="right"/>
              <w:rPr>
                <w:b/>
                <w:bCs/>
                <w:sz w:val="18"/>
                <w:szCs w:val="18"/>
              </w:rPr>
            </w:pPr>
            <w:r w:rsidRPr="001118D3">
              <w:rPr>
                <w:b/>
                <w:bCs/>
                <w:sz w:val="18"/>
                <w:szCs w:val="18"/>
              </w:rPr>
              <w:t>41 </w:t>
            </w:r>
            <w:r w:rsidR="00CF2E64">
              <w:rPr>
                <w:b/>
                <w:bCs/>
                <w:sz w:val="18"/>
                <w:szCs w:val="18"/>
              </w:rPr>
              <w:t>890</w:t>
            </w:r>
            <w:r w:rsidRPr="001118D3">
              <w:rPr>
                <w:b/>
                <w:bCs/>
                <w:sz w:val="18"/>
                <w:szCs w:val="18"/>
              </w:rPr>
              <w:t>,</w:t>
            </w:r>
            <w:r w:rsidR="00CF2E64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8D3" w:rsidRPr="001118D3" w:rsidRDefault="001118D3" w:rsidP="00EA53DD">
            <w:pPr>
              <w:jc w:val="right"/>
              <w:rPr>
                <w:b/>
                <w:bCs/>
                <w:sz w:val="18"/>
                <w:szCs w:val="18"/>
              </w:rPr>
            </w:pPr>
            <w:r w:rsidRPr="001118D3">
              <w:rPr>
                <w:b/>
                <w:bCs/>
                <w:sz w:val="18"/>
                <w:szCs w:val="18"/>
              </w:rPr>
              <w:t>95 353,</w:t>
            </w:r>
            <w:r w:rsidR="005C27F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8D3" w:rsidRPr="001B011D" w:rsidRDefault="001B011D" w:rsidP="00EA53DD">
            <w:pPr>
              <w:jc w:val="right"/>
              <w:rPr>
                <w:b/>
                <w:bCs/>
                <w:sz w:val="18"/>
                <w:szCs w:val="18"/>
              </w:rPr>
            </w:pPr>
            <w:r w:rsidRPr="001B011D">
              <w:rPr>
                <w:b/>
                <w:bCs/>
                <w:sz w:val="18"/>
                <w:szCs w:val="18"/>
              </w:rPr>
              <w:t>53 462,3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118D3" w:rsidRPr="001B011D" w:rsidRDefault="00A45100" w:rsidP="00EA53D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в </w:t>
            </w:r>
            <w:r w:rsidR="00EC2F6E">
              <w:rPr>
                <w:b/>
                <w:bCs/>
                <w:sz w:val="18"/>
                <w:szCs w:val="18"/>
              </w:rPr>
              <w:t>2</w:t>
            </w:r>
            <w:r w:rsidR="001B011D" w:rsidRPr="001B011D">
              <w:rPr>
                <w:b/>
                <w:bCs/>
                <w:sz w:val="18"/>
                <w:szCs w:val="18"/>
              </w:rPr>
              <w:t xml:space="preserve">,3 </w:t>
            </w:r>
            <w:r w:rsidR="001118D3" w:rsidRPr="001B011D">
              <w:rPr>
                <w:b/>
                <w:bCs/>
                <w:sz w:val="18"/>
                <w:szCs w:val="18"/>
              </w:rPr>
              <w:t>раза</w:t>
            </w:r>
          </w:p>
        </w:tc>
      </w:tr>
      <w:tr w:rsidR="001118D3" w:rsidRPr="002B2090" w:rsidTr="00407E56">
        <w:trPr>
          <w:trHeight w:val="60"/>
        </w:trPr>
        <w:tc>
          <w:tcPr>
            <w:tcW w:w="450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8D3" w:rsidRPr="00DE6D63" w:rsidRDefault="001118D3" w:rsidP="001C27A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Непрограммые направления обеспечения деятельности государственных органов Волгоградской области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8D3" w:rsidRPr="00EA53DD" w:rsidRDefault="001118D3" w:rsidP="001C27A1">
            <w:pPr>
              <w:jc w:val="center"/>
              <w:rPr>
                <w:sz w:val="18"/>
                <w:szCs w:val="18"/>
              </w:rPr>
            </w:pPr>
            <w:r w:rsidRPr="00EA53DD">
              <w:rPr>
                <w:sz w:val="18"/>
                <w:szCs w:val="18"/>
              </w:rPr>
              <w:t xml:space="preserve">0412 90 </w:t>
            </w:r>
            <w:r>
              <w:rPr>
                <w:sz w:val="18"/>
                <w:szCs w:val="18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8D3" w:rsidRPr="00CF2E64" w:rsidRDefault="00CF2E64" w:rsidP="00EA53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41 890</w:t>
            </w:r>
            <w:r w:rsidRPr="00CF2E6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8D3" w:rsidRPr="001118D3" w:rsidRDefault="001118D3" w:rsidP="00EA53DD">
            <w:pPr>
              <w:jc w:val="right"/>
              <w:rPr>
                <w:sz w:val="18"/>
                <w:szCs w:val="18"/>
              </w:rPr>
            </w:pPr>
            <w:r w:rsidRPr="001118D3">
              <w:rPr>
                <w:sz w:val="18"/>
                <w:szCs w:val="18"/>
              </w:rPr>
              <w:t>40 </w:t>
            </w:r>
            <w:r w:rsidR="005C27FA">
              <w:rPr>
                <w:sz w:val="18"/>
                <w:szCs w:val="18"/>
              </w:rPr>
              <w:t>353</w:t>
            </w:r>
            <w:r w:rsidRPr="001118D3">
              <w:rPr>
                <w:sz w:val="18"/>
                <w:szCs w:val="18"/>
              </w:rPr>
              <w:t>,</w:t>
            </w:r>
            <w:r w:rsidR="005C27FA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8D3" w:rsidRPr="001B011D" w:rsidRDefault="001118D3" w:rsidP="00EA53DD">
            <w:pPr>
              <w:jc w:val="right"/>
              <w:rPr>
                <w:sz w:val="18"/>
                <w:szCs w:val="18"/>
              </w:rPr>
            </w:pPr>
            <w:r w:rsidRPr="001B011D">
              <w:rPr>
                <w:sz w:val="18"/>
                <w:szCs w:val="18"/>
              </w:rPr>
              <w:t>-</w:t>
            </w:r>
            <w:r w:rsidR="001B011D" w:rsidRPr="001B011D">
              <w:rPr>
                <w:sz w:val="18"/>
                <w:szCs w:val="18"/>
              </w:rPr>
              <w:t xml:space="preserve">1 537,7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118D3" w:rsidRPr="001B011D" w:rsidRDefault="001B011D" w:rsidP="00A45100">
            <w:pPr>
              <w:jc w:val="right"/>
              <w:rPr>
                <w:sz w:val="18"/>
                <w:szCs w:val="18"/>
              </w:rPr>
            </w:pPr>
            <w:r w:rsidRPr="001B011D">
              <w:rPr>
                <w:sz w:val="18"/>
                <w:szCs w:val="18"/>
              </w:rPr>
              <w:t>- 3,7</w:t>
            </w:r>
          </w:p>
        </w:tc>
      </w:tr>
      <w:tr w:rsidR="001118D3" w:rsidRPr="002B2090" w:rsidTr="00407E56">
        <w:trPr>
          <w:trHeight w:val="60"/>
        </w:trPr>
        <w:tc>
          <w:tcPr>
            <w:tcW w:w="450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8D3" w:rsidRDefault="001118D3" w:rsidP="001C27A1">
            <w:pPr>
              <w:jc w:val="both"/>
              <w:rPr>
                <w:sz w:val="18"/>
                <w:szCs w:val="18"/>
              </w:rPr>
            </w:pPr>
            <w:r w:rsidRPr="00114320">
              <w:rPr>
                <w:sz w:val="18"/>
                <w:szCs w:val="18"/>
              </w:rPr>
              <w:t>Непрограммные расходы государственных органов Волгоградской области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8D3" w:rsidRPr="00EA53DD" w:rsidRDefault="001118D3" w:rsidP="001C27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0412 99 0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8D3" w:rsidRPr="00CF2E64" w:rsidRDefault="00CF2E64" w:rsidP="00EA53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8D3" w:rsidRPr="001118D3" w:rsidRDefault="001118D3" w:rsidP="00EA53DD">
            <w:pPr>
              <w:jc w:val="right"/>
              <w:rPr>
                <w:sz w:val="18"/>
                <w:szCs w:val="18"/>
              </w:rPr>
            </w:pPr>
            <w:r w:rsidRPr="001118D3">
              <w:rPr>
                <w:sz w:val="18"/>
                <w:szCs w:val="18"/>
              </w:rPr>
              <w:t>55 000,0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8D3" w:rsidRPr="001B011D" w:rsidRDefault="001B011D" w:rsidP="00EA53DD">
            <w:pPr>
              <w:jc w:val="right"/>
              <w:rPr>
                <w:sz w:val="18"/>
                <w:szCs w:val="18"/>
              </w:rPr>
            </w:pPr>
            <w:r w:rsidRPr="001B011D">
              <w:rPr>
                <w:sz w:val="18"/>
                <w:szCs w:val="18"/>
              </w:rPr>
              <w:t>55 000,0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118D3" w:rsidRPr="001B011D" w:rsidRDefault="001B011D" w:rsidP="00A45100">
            <w:pPr>
              <w:jc w:val="right"/>
              <w:rPr>
                <w:sz w:val="18"/>
                <w:szCs w:val="18"/>
              </w:rPr>
            </w:pPr>
            <w:r w:rsidRPr="001B011D">
              <w:rPr>
                <w:sz w:val="18"/>
                <w:szCs w:val="18"/>
              </w:rPr>
              <w:t>100</w:t>
            </w:r>
          </w:p>
        </w:tc>
      </w:tr>
      <w:tr w:rsidR="001118D3" w:rsidRPr="002B2090" w:rsidTr="00407E56">
        <w:trPr>
          <w:trHeight w:val="60"/>
        </w:trPr>
        <w:tc>
          <w:tcPr>
            <w:tcW w:w="4503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8D3" w:rsidRPr="009E04C2" w:rsidRDefault="001118D3" w:rsidP="001C27A1">
            <w:pPr>
              <w:jc w:val="both"/>
              <w:rPr>
                <w:b/>
                <w:bCs/>
                <w:sz w:val="18"/>
                <w:szCs w:val="18"/>
              </w:rPr>
            </w:pPr>
            <w:r w:rsidRPr="009E04C2">
              <w:rPr>
                <w:rFonts w:eastAsia="Times New Roman"/>
                <w:b/>
                <w:sz w:val="20"/>
                <w:szCs w:val="2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94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8D3" w:rsidRPr="00EA53DD" w:rsidRDefault="001118D3" w:rsidP="001C27A1">
            <w:pPr>
              <w:jc w:val="center"/>
              <w:rPr>
                <w:b/>
                <w:bCs/>
                <w:sz w:val="18"/>
                <w:szCs w:val="18"/>
              </w:rPr>
            </w:pPr>
            <w:r w:rsidRPr="00EA53DD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8D3" w:rsidRPr="00AF6D46" w:rsidRDefault="00AF6D46" w:rsidP="00EA53DD">
            <w:pPr>
              <w:jc w:val="right"/>
              <w:rPr>
                <w:b/>
                <w:sz w:val="18"/>
                <w:szCs w:val="18"/>
              </w:rPr>
            </w:pPr>
            <w:r w:rsidRPr="00AF6D46">
              <w:rPr>
                <w:b/>
                <w:sz w:val="18"/>
                <w:szCs w:val="18"/>
              </w:rPr>
              <w:t>7 611,2</w:t>
            </w:r>
          </w:p>
        </w:tc>
        <w:tc>
          <w:tcPr>
            <w:tcW w:w="99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8D3" w:rsidRPr="005C27FA" w:rsidRDefault="001118D3" w:rsidP="00EA53DD">
            <w:pPr>
              <w:jc w:val="right"/>
              <w:rPr>
                <w:b/>
                <w:sz w:val="18"/>
                <w:szCs w:val="18"/>
              </w:rPr>
            </w:pPr>
            <w:r w:rsidRPr="005C27FA">
              <w:rPr>
                <w:b/>
                <w:sz w:val="18"/>
                <w:szCs w:val="18"/>
              </w:rPr>
              <w:t>6 519,7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8D3" w:rsidRPr="001B011D" w:rsidRDefault="001118D3" w:rsidP="00EA53DD">
            <w:pPr>
              <w:jc w:val="right"/>
              <w:rPr>
                <w:b/>
                <w:sz w:val="18"/>
                <w:szCs w:val="18"/>
              </w:rPr>
            </w:pPr>
            <w:r w:rsidRPr="001B011D">
              <w:rPr>
                <w:b/>
                <w:sz w:val="18"/>
                <w:szCs w:val="18"/>
              </w:rPr>
              <w:t>-</w:t>
            </w:r>
            <w:r w:rsidR="001B011D" w:rsidRPr="001B011D">
              <w:rPr>
                <w:b/>
                <w:sz w:val="18"/>
                <w:szCs w:val="18"/>
              </w:rPr>
              <w:t>1 091,5</w:t>
            </w:r>
          </w:p>
        </w:tc>
        <w:tc>
          <w:tcPr>
            <w:tcW w:w="103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118D3" w:rsidRPr="001B011D" w:rsidRDefault="001B011D" w:rsidP="00A45100">
            <w:pPr>
              <w:jc w:val="right"/>
              <w:rPr>
                <w:b/>
                <w:sz w:val="18"/>
                <w:szCs w:val="18"/>
              </w:rPr>
            </w:pPr>
            <w:r w:rsidRPr="001B011D">
              <w:rPr>
                <w:b/>
                <w:sz w:val="18"/>
                <w:szCs w:val="18"/>
              </w:rPr>
              <w:t>-14,3</w:t>
            </w:r>
          </w:p>
        </w:tc>
      </w:tr>
    </w:tbl>
    <w:p w:rsidR="006F0FCB" w:rsidRDefault="006F0FCB" w:rsidP="009427E9">
      <w:pPr>
        <w:jc w:val="both"/>
      </w:pPr>
    </w:p>
    <w:p w:rsidR="006F0FCB" w:rsidRPr="00863072" w:rsidRDefault="00545544" w:rsidP="00863072">
      <w:pPr>
        <w:ind w:firstLine="708"/>
        <w:jc w:val="both"/>
        <w:rPr>
          <w:b/>
        </w:rPr>
      </w:pPr>
      <w:r>
        <w:t>Как видно из</w:t>
      </w:r>
      <w:r w:rsidR="00EB38D4" w:rsidRPr="00A667AA">
        <w:t xml:space="preserve"> таблицы, </w:t>
      </w:r>
      <w:r w:rsidR="00A667AA" w:rsidRPr="00A667AA">
        <w:t>кассовые расходы Ко</w:t>
      </w:r>
      <w:r w:rsidR="009B041F">
        <w:t xml:space="preserve">митета в 2017 году увеличились </w:t>
      </w:r>
      <w:r w:rsidR="00A667AA" w:rsidRPr="00A667AA">
        <w:t>по о</w:t>
      </w:r>
      <w:r>
        <w:t xml:space="preserve">тношению к 2016 году на </w:t>
      </w:r>
      <w:r w:rsidR="00C54762">
        <w:t xml:space="preserve">52 </w:t>
      </w:r>
      <w:r>
        <w:t>370,8</w:t>
      </w:r>
      <w:r w:rsidR="00EC2F6E">
        <w:t xml:space="preserve"> тыс. руб., или в 2</w:t>
      </w:r>
      <w:r w:rsidR="00C54762">
        <w:t>,1 раза</w:t>
      </w:r>
      <w:r w:rsidR="00A667AA" w:rsidRPr="00A667AA">
        <w:t xml:space="preserve"> </w:t>
      </w:r>
      <w:r w:rsidR="004E0AF9" w:rsidRPr="004E0AF9">
        <w:t xml:space="preserve">в связи с увеличением бюджетных ассигнований, предусмотренных на выплату </w:t>
      </w:r>
      <w:r w:rsidR="002839A2">
        <w:t xml:space="preserve"> субсидии Ф</w:t>
      </w:r>
      <w:r w:rsidR="00A667AA" w:rsidRPr="004E0AF9">
        <w:t>онду</w:t>
      </w:r>
      <w:r w:rsidR="00A667AA" w:rsidRPr="00A667AA">
        <w:t xml:space="preserve"> «Перспективное развитие Волгоградской области» для финансового обеспечения проектов развития совместно с Фондом развития промышл</w:t>
      </w:r>
      <w:r w:rsidR="00BD41B7">
        <w:t xml:space="preserve">енности на 55 000,0 тыс. рублей. </w:t>
      </w:r>
    </w:p>
    <w:p w:rsidR="006F0FCB" w:rsidRDefault="006F0FCB" w:rsidP="00920158">
      <w:pPr>
        <w:jc w:val="center"/>
        <w:rPr>
          <w:b/>
          <w:i/>
        </w:rPr>
      </w:pPr>
    </w:p>
    <w:p w:rsidR="00920158" w:rsidRPr="006F184F" w:rsidRDefault="00920158" w:rsidP="00920158">
      <w:pPr>
        <w:jc w:val="center"/>
      </w:pPr>
      <w:r w:rsidRPr="006F184F">
        <w:rPr>
          <w:b/>
          <w:i/>
        </w:rPr>
        <w:t>Дебиторская и кредиторская задолженности</w:t>
      </w:r>
    </w:p>
    <w:p w:rsidR="006F0FCB" w:rsidRPr="006F184F" w:rsidRDefault="006F184F" w:rsidP="00863072">
      <w:pPr>
        <w:ind w:firstLine="567"/>
        <w:jc w:val="both"/>
      </w:pPr>
      <w:r w:rsidRPr="006F184F">
        <w:t xml:space="preserve"> Информация о динамике дебиторской и кредиторской задолженности в 2017 году приведена в следующей таблице</w:t>
      </w:r>
      <w:r w:rsidR="00592B36">
        <w:t>.</w:t>
      </w:r>
    </w:p>
    <w:p w:rsidR="006F184F" w:rsidRPr="006F184F" w:rsidRDefault="00920158" w:rsidP="006F184F">
      <w:pPr>
        <w:ind w:firstLine="709"/>
        <w:jc w:val="right"/>
      </w:pPr>
      <w:r w:rsidRPr="006F184F">
        <w:rPr>
          <w:sz w:val="20"/>
          <w:szCs w:val="20"/>
        </w:rPr>
        <w:t>тыс. руб.</w:t>
      </w:r>
      <w:r w:rsidRPr="006F184F">
        <w:t xml:space="preserve"> </w:t>
      </w:r>
    </w:p>
    <w:tbl>
      <w:tblPr>
        <w:tblW w:w="9597" w:type="dxa"/>
        <w:jc w:val="center"/>
        <w:tblCellMar>
          <w:left w:w="28" w:type="dxa"/>
          <w:right w:w="28" w:type="dxa"/>
        </w:tblCellMar>
        <w:tblLook w:val="04A0"/>
      </w:tblPr>
      <w:tblGrid>
        <w:gridCol w:w="4378"/>
        <w:gridCol w:w="1318"/>
        <w:gridCol w:w="1277"/>
        <w:gridCol w:w="1343"/>
        <w:gridCol w:w="1281"/>
      </w:tblGrid>
      <w:tr w:rsidR="006F184F" w:rsidRPr="00A522C5" w:rsidTr="00870E92">
        <w:trPr>
          <w:trHeight w:val="20"/>
          <w:jc w:val="center"/>
        </w:trPr>
        <w:tc>
          <w:tcPr>
            <w:tcW w:w="4378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6F184F" w:rsidRPr="006F184F" w:rsidRDefault="006F184F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6F184F">
              <w:rPr>
                <w:rFonts w:eastAsia="Times New Roman"/>
                <w:b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2595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6F184F" w:rsidRPr="006F184F" w:rsidRDefault="006F184F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6F184F">
              <w:rPr>
                <w:b/>
                <w:bCs/>
                <w:color w:val="000000"/>
                <w:sz w:val="18"/>
                <w:szCs w:val="18"/>
              </w:rPr>
              <w:t>Данные о задолженности</w:t>
            </w:r>
          </w:p>
        </w:tc>
        <w:tc>
          <w:tcPr>
            <w:tcW w:w="262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 w:themeFill="background2"/>
            <w:vAlign w:val="center"/>
            <w:hideMark/>
          </w:tcPr>
          <w:p w:rsidR="006F184F" w:rsidRPr="006F184F" w:rsidRDefault="006F184F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6F184F">
              <w:rPr>
                <w:rFonts w:eastAsia="Times New Roman"/>
                <w:b/>
                <w:sz w:val="20"/>
                <w:szCs w:val="20"/>
                <w:lang w:eastAsia="en-US"/>
              </w:rPr>
              <w:t>Отклонение</w:t>
            </w:r>
          </w:p>
        </w:tc>
      </w:tr>
      <w:tr w:rsidR="006F184F" w:rsidRPr="00A522C5" w:rsidTr="00870E92">
        <w:trPr>
          <w:trHeight w:val="20"/>
          <w:jc w:val="center"/>
        </w:trPr>
        <w:tc>
          <w:tcPr>
            <w:tcW w:w="4378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6F184F" w:rsidRPr="006F184F" w:rsidRDefault="006F184F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6F184F" w:rsidRPr="006F184F" w:rsidRDefault="006F184F" w:rsidP="001C27A1">
            <w:pPr>
              <w:spacing w:line="276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en-US"/>
              </w:rPr>
            </w:pPr>
            <w:r w:rsidRPr="006F184F">
              <w:rPr>
                <w:rFonts w:eastAsia="Times New Roman"/>
                <w:b/>
                <w:bCs/>
                <w:sz w:val="16"/>
                <w:szCs w:val="16"/>
                <w:lang w:eastAsia="en-US"/>
              </w:rPr>
              <w:t xml:space="preserve">на </w:t>
            </w:r>
          </w:p>
          <w:p w:rsidR="006F184F" w:rsidRPr="006F184F" w:rsidRDefault="006F184F" w:rsidP="001C27A1">
            <w:pPr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6F184F">
              <w:rPr>
                <w:rFonts w:eastAsia="Times New Roman"/>
                <w:b/>
                <w:bCs/>
                <w:sz w:val="16"/>
                <w:szCs w:val="16"/>
                <w:lang w:eastAsia="en-US"/>
              </w:rPr>
              <w:t>31.12.16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6F184F" w:rsidRPr="006F184F" w:rsidRDefault="006F184F" w:rsidP="001C27A1">
            <w:pPr>
              <w:spacing w:line="276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en-US"/>
              </w:rPr>
            </w:pPr>
            <w:r w:rsidRPr="006F184F">
              <w:rPr>
                <w:rFonts w:eastAsia="Times New Roman"/>
                <w:b/>
                <w:bCs/>
                <w:sz w:val="16"/>
                <w:szCs w:val="16"/>
                <w:lang w:eastAsia="en-US"/>
              </w:rPr>
              <w:t xml:space="preserve">на </w:t>
            </w:r>
          </w:p>
          <w:p w:rsidR="006F184F" w:rsidRPr="006F184F" w:rsidRDefault="006F184F" w:rsidP="001C27A1">
            <w:pPr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6F184F">
              <w:rPr>
                <w:rFonts w:eastAsia="Times New Roman"/>
                <w:b/>
                <w:bCs/>
                <w:sz w:val="16"/>
                <w:szCs w:val="16"/>
                <w:lang w:eastAsia="en-US"/>
              </w:rPr>
              <w:t>31.12.17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6F184F" w:rsidRPr="006F184F" w:rsidRDefault="006F184F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6F184F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 w:themeFill="background2"/>
            <w:vAlign w:val="center"/>
            <w:hideMark/>
          </w:tcPr>
          <w:p w:rsidR="006F184F" w:rsidRPr="006F184F" w:rsidRDefault="006F184F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6F184F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в % (раз)</w:t>
            </w:r>
          </w:p>
        </w:tc>
      </w:tr>
      <w:tr w:rsidR="00F544A9" w:rsidRPr="00A522C5" w:rsidTr="00A90C23">
        <w:trPr>
          <w:trHeight w:val="20"/>
          <w:jc w:val="center"/>
        </w:trPr>
        <w:tc>
          <w:tcPr>
            <w:tcW w:w="43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44A9" w:rsidRPr="0021659E" w:rsidRDefault="00F544A9">
            <w:pPr>
              <w:spacing w:line="276" w:lineRule="auto"/>
              <w:jc w:val="both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21659E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US"/>
              </w:rPr>
              <w:t>Дебиторская задолженность, в т.ч.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544A9" w:rsidRPr="0021659E" w:rsidRDefault="00F544A9" w:rsidP="001C27A1">
            <w:pPr>
              <w:spacing w:line="276" w:lineRule="auto"/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  <w:r w:rsidRPr="0021659E">
              <w:rPr>
                <w:rFonts w:eastAsia="Times New Roman"/>
                <w:sz w:val="20"/>
                <w:szCs w:val="20"/>
                <w:lang w:eastAsia="en-US"/>
              </w:rPr>
              <w:t>470,0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F544A9" w:rsidRPr="0021659E" w:rsidRDefault="00F544A9">
            <w:pPr>
              <w:spacing w:line="276" w:lineRule="auto"/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  <w:r w:rsidRPr="0021659E">
              <w:rPr>
                <w:rFonts w:eastAsia="Times New Roman"/>
                <w:sz w:val="20"/>
                <w:szCs w:val="20"/>
                <w:lang w:eastAsia="en-US"/>
              </w:rPr>
              <w:t>19 012,3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44A9" w:rsidRPr="0021659E" w:rsidRDefault="00673F36">
            <w:pPr>
              <w:spacing w:line="276" w:lineRule="auto"/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18 542,3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F544A9" w:rsidRPr="0021659E" w:rsidRDefault="00EC2F6E">
            <w:pPr>
              <w:spacing w:line="276" w:lineRule="auto"/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в 40</w:t>
            </w:r>
            <w:r w:rsidR="00D14A20">
              <w:rPr>
                <w:rFonts w:eastAsia="Times New Roman"/>
                <w:sz w:val="20"/>
                <w:szCs w:val="20"/>
                <w:lang w:eastAsia="en-US"/>
              </w:rPr>
              <w:t>,5</w:t>
            </w:r>
            <w:r w:rsidR="00673F36">
              <w:rPr>
                <w:rFonts w:eastAsia="Times New Roman"/>
                <w:sz w:val="20"/>
                <w:szCs w:val="20"/>
                <w:lang w:eastAsia="en-US"/>
              </w:rPr>
              <w:t xml:space="preserve"> раза</w:t>
            </w:r>
          </w:p>
        </w:tc>
      </w:tr>
      <w:tr w:rsidR="0021659E" w:rsidRPr="00A522C5" w:rsidTr="0021659E">
        <w:trPr>
          <w:trHeight w:val="20"/>
          <w:jc w:val="center"/>
        </w:trPr>
        <w:tc>
          <w:tcPr>
            <w:tcW w:w="43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1659E" w:rsidRPr="0021659E" w:rsidRDefault="0021659E">
            <w:pPr>
              <w:spacing w:line="276" w:lineRule="auto"/>
              <w:jc w:val="both"/>
              <w:rPr>
                <w:rFonts w:eastAsia="Times New Roman"/>
                <w:bCs/>
                <w:iCs/>
                <w:sz w:val="20"/>
                <w:szCs w:val="20"/>
                <w:lang w:eastAsia="en-US"/>
              </w:rPr>
            </w:pPr>
            <w:r w:rsidRPr="0021659E">
              <w:rPr>
                <w:rFonts w:eastAsia="Times New Roman"/>
                <w:bCs/>
                <w:iCs/>
                <w:sz w:val="20"/>
                <w:szCs w:val="20"/>
                <w:lang w:eastAsia="en-US"/>
              </w:rPr>
              <w:t xml:space="preserve">Расчеты по доходам 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1659E" w:rsidRPr="00966C0D" w:rsidRDefault="0021659E" w:rsidP="001C27A1">
            <w:pPr>
              <w:spacing w:line="276" w:lineRule="auto"/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  <w:r w:rsidRPr="00966C0D">
              <w:rPr>
                <w:rFonts w:eastAsia="Times New Roman"/>
                <w:sz w:val="20"/>
                <w:szCs w:val="20"/>
                <w:lang w:eastAsia="en-US"/>
              </w:rPr>
              <w:t>125,8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1659E" w:rsidRPr="00966C0D" w:rsidRDefault="0021659E">
            <w:pPr>
              <w:spacing w:line="276" w:lineRule="auto"/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  <w:r w:rsidRPr="00966C0D">
              <w:rPr>
                <w:rFonts w:eastAsia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1659E" w:rsidRPr="0021659E" w:rsidRDefault="00673F36">
            <w:pPr>
              <w:spacing w:line="276" w:lineRule="auto"/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-125,8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21659E" w:rsidRPr="0021659E" w:rsidRDefault="00673F36">
            <w:pPr>
              <w:spacing w:line="276" w:lineRule="auto"/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0</w:t>
            </w:r>
          </w:p>
        </w:tc>
      </w:tr>
      <w:tr w:rsidR="00F544A9" w:rsidRPr="00A522C5" w:rsidTr="00A90C23">
        <w:trPr>
          <w:trHeight w:val="20"/>
          <w:jc w:val="center"/>
        </w:trPr>
        <w:tc>
          <w:tcPr>
            <w:tcW w:w="43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44A9" w:rsidRPr="0021659E" w:rsidRDefault="00F544A9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21659E">
              <w:rPr>
                <w:rFonts w:eastAsia="Times New Roman"/>
                <w:sz w:val="20"/>
                <w:szCs w:val="20"/>
                <w:lang w:eastAsia="en-US"/>
              </w:rPr>
              <w:t>Расчеты по выданным авансам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544A9" w:rsidRPr="00966C0D" w:rsidRDefault="0021659E" w:rsidP="001C27A1">
            <w:pPr>
              <w:spacing w:line="276" w:lineRule="auto"/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  <w:r w:rsidRPr="00966C0D">
              <w:rPr>
                <w:rFonts w:eastAsia="Times New Roman"/>
                <w:sz w:val="20"/>
                <w:szCs w:val="20"/>
                <w:lang w:eastAsia="en-US"/>
              </w:rPr>
              <w:t>72,0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F544A9" w:rsidRPr="00966C0D" w:rsidRDefault="00F544A9">
            <w:pPr>
              <w:spacing w:line="276" w:lineRule="auto"/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  <w:r w:rsidRPr="00966C0D">
              <w:rPr>
                <w:rFonts w:eastAsia="Times New Roman"/>
                <w:sz w:val="20"/>
                <w:szCs w:val="20"/>
                <w:lang w:eastAsia="en-US"/>
              </w:rPr>
              <w:t>18 987,3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44A9" w:rsidRPr="0021659E" w:rsidRDefault="00673F36">
            <w:pPr>
              <w:spacing w:line="276" w:lineRule="auto"/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18 915,3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F544A9" w:rsidRPr="0021659E" w:rsidRDefault="00EC2F6E">
            <w:pPr>
              <w:spacing w:line="276" w:lineRule="auto"/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в 263</w:t>
            </w:r>
            <w:r w:rsidR="00673F36">
              <w:rPr>
                <w:rFonts w:eastAsia="Times New Roman"/>
                <w:sz w:val="20"/>
                <w:szCs w:val="20"/>
                <w:lang w:eastAsia="en-US"/>
              </w:rPr>
              <w:t>,7  раза</w:t>
            </w:r>
          </w:p>
        </w:tc>
      </w:tr>
      <w:tr w:rsidR="00F544A9" w:rsidRPr="00A522C5" w:rsidTr="00A90C23">
        <w:trPr>
          <w:trHeight w:val="20"/>
          <w:jc w:val="center"/>
        </w:trPr>
        <w:tc>
          <w:tcPr>
            <w:tcW w:w="43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44A9" w:rsidRPr="0021659E" w:rsidRDefault="00F544A9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21659E">
              <w:rPr>
                <w:rFonts w:eastAsia="Times New Roman"/>
                <w:sz w:val="20"/>
                <w:szCs w:val="20"/>
                <w:lang w:eastAsia="en-US"/>
              </w:rPr>
              <w:t>Расчеты по платежам в бюджеты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544A9" w:rsidRPr="00966C0D" w:rsidRDefault="00F544A9" w:rsidP="001C27A1">
            <w:pPr>
              <w:spacing w:line="276" w:lineRule="auto"/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  <w:r w:rsidRPr="00966C0D">
              <w:rPr>
                <w:rFonts w:eastAsia="Times New Roman"/>
                <w:sz w:val="20"/>
                <w:szCs w:val="20"/>
                <w:lang w:eastAsia="en-US"/>
              </w:rPr>
              <w:t>272,2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F544A9" w:rsidRPr="00966C0D" w:rsidRDefault="0021659E">
            <w:pPr>
              <w:spacing w:line="276" w:lineRule="auto"/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  <w:r w:rsidRPr="00966C0D">
              <w:rPr>
                <w:rFonts w:eastAsia="Times New Roman"/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44A9" w:rsidRPr="0021659E" w:rsidRDefault="00673F36">
            <w:pPr>
              <w:spacing w:line="276" w:lineRule="auto"/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-247,2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F544A9" w:rsidRPr="0021659E" w:rsidRDefault="00D14A20" w:rsidP="00D14A20">
            <w:pPr>
              <w:spacing w:line="276" w:lineRule="auto"/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-90,8</w:t>
            </w:r>
          </w:p>
        </w:tc>
      </w:tr>
      <w:tr w:rsidR="00F544A9" w:rsidRPr="00A522C5" w:rsidTr="00A90C23">
        <w:trPr>
          <w:trHeight w:val="20"/>
          <w:jc w:val="center"/>
        </w:trPr>
        <w:tc>
          <w:tcPr>
            <w:tcW w:w="43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44A9" w:rsidRPr="0021659E" w:rsidRDefault="00F544A9">
            <w:pPr>
              <w:spacing w:line="276" w:lineRule="auto"/>
              <w:jc w:val="both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21659E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US"/>
              </w:rPr>
              <w:t>Кредиторская задолженность, в т.ч.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544A9" w:rsidRPr="0021659E" w:rsidRDefault="00F544A9" w:rsidP="001C27A1">
            <w:pPr>
              <w:spacing w:line="276" w:lineRule="auto"/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  <w:r w:rsidRPr="0021659E">
              <w:rPr>
                <w:rFonts w:eastAsia="Times New Roman"/>
                <w:sz w:val="20"/>
                <w:szCs w:val="20"/>
                <w:lang w:eastAsia="en-US"/>
              </w:rPr>
              <w:t>11 191,4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F544A9" w:rsidRPr="0021659E" w:rsidRDefault="00673F36">
            <w:pPr>
              <w:spacing w:line="276" w:lineRule="auto"/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2 384,0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44A9" w:rsidRPr="0021659E" w:rsidRDefault="007A2021">
            <w:pPr>
              <w:spacing w:line="276" w:lineRule="auto"/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-8 807,4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F544A9" w:rsidRPr="0021659E" w:rsidRDefault="007A2021" w:rsidP="00D14A20">
            <w:pPr>
              <w:spacing w:line="276" w:lineRule="auto"/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-78,7</w:t>
            </w:r>
          </w:p>
        </w:tc>
      </w:tr>
      <w:tr w:rsidR="00F544A9" w:rsidRPr="00A522C5" w:rsidTr="00D15317">
        <w:trPr>
          <w:trHeight w:val="20"/>
          <w:jc w:val="center"/>
        </w:trPr>
        <w:tc>
          <w:tcPr>
            <w:tcW w:w="43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4A9" w:rsidRPr="0021659E" w:rsidRDefault="00F544A9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21659E">
              <w:rPr>
                <w:rFonts w:eastAsia="Times New Roman"/>
                <w:sz w:val="20"/>
                <w:szCs w:val="20"/>
                <w:lang w:eastAsia="en-US"/>
              </w:rPr>
              <w:t>Расчеты по платежам в бюджеты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544A9" w:rsidRPr="00966C0D" w:rsidRDefault="00F544A9" w:rsidP="001C27A1">
            <w:pPr>
              <w:spacing w:line="276" w:lineRule="auto"/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  <w:r w:rsidRPr="00966C0D">
              <w:rPr>
                <w:rFonts w:eastAsia="Times New Roman"/>
                <w:sz w:val="20"/>
                <w:szCs w:val="20"/>
                <w:lang w:eastAsia="en-US"/>
              </w:rPr>
              <w:t>9,3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F544A9" w:rsidRPr="00966C0D" w:rsidRDefault="00673F36">
            <w:pPr>
              <w:spacing w:line="276" w:lineRule="auto"/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  <w:r w:rsidRPr="00966C0D">
              <w:rPr>
                <w:rFonts w:eastAsia="Times New Roman"/>
                <w:sz w:val="20"/>
                <w:szCs w:val="20"/>
                <w:lang w:eastAsia="en-US"/>
              </w:rPr>
              <w:t>337,1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4A9" w:rsidRPr="00966C0D" w:rsidRDefault="007A2021">
            <w:pPr>
              <w:spacing w:line="276" w:lineRule="auto"/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  <w:r w:rsidRPr="00966C0D">
              <w:rPr>
                <w:rFonts w:eastAsia="Times New Roman"/>
                <w:sz w:val="20"/>
                <w:szCs w:val="20"/>
                <w:lang w:eastAsia="en-US"/>
              </w:rPr>
              <w:t>327,8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F544A9" w:rsidRPr="0021659E" w:rsidRDefault="00EC2F6E">
            <w:pPr>
              <w:spacing w:line="276" w:lineRule="auto"/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в 36</w:t>
            </w:r>
            <w:r w:rsidR="004F3CD1">
              <w:rPr>
                <w:rFonts w:eastAsia="Times New Roman"/>
                <w:sz w:val="20"/>
                <w:szCs w:val="20"/>
                <w:lang w:eastAsia="en-US"/>
              </w:rPr>
              <w:t xml:space="preserve">,2 </w:t>
            </w:r>
            <w:r w:rsidR="007A2021">
              <w:rPr>
                <w:rFonts w:eastAsia="Times New Roman"/>
                <w:sz w:val="20"/>
                <w:szCs w:val="20"/>
                <w:lang w:eastAsia="en-US"/>
              </w:rPr>
              <w:t>раза</w:t>
            </w:r>
          </w:p>
        </w:tc>
      </w:tr>
      <w:tr w:rsidR="00F544A9" w:rsidRPr="00A522C5" w:rsidTr="00D15317">
        <w:trPr>
          <w:trHeight w:val="20"/>
          <w:jc w:val="center"/>
        </w:trPr>
        <w:tc>
          <w:tcPr>
            <w:tcW w:w="43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F544A9" w:rsidRPr="0021659E" w:rsidRDefault="00F544A9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21659E">
              <w:rPr>
                <w:rFonts w:eastAsia="Times New Roman"/>
                <w:sz w:val="20"/>
                <w:szCs w:val="20"/>
                <w:lang w:eastAsia="en-US"/>
              </w:rPr>
              <w:lastRenderedPageBreak/>
              <w:t>Расчеты по доходам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F544A9" w:rsidRPr="00966C0D" w:rsidRDefault="00F544A9" w:rsidP="001C27A1">
            <w:pPr>
              <w:spacing w:line="276" w:lineRule="auto"/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  <w:r w:rsidRPr="00966C0D">
              <w:rPr>
                <w:rFonts w:eastAsia="Times New Roman"/>
                <w:sz w:val="20"/>
                <w:szCs w:val="20"/>
                <w:lang w:eastAsia="en-US"/>
              </w:rPr>
              <w:t>11 172,7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F544A9" w:rsidRPr="00966C0D" w:rsidRDefault="00673F36">
            <w:pPr>
              <w:spacing w:line="276" w:lineRule="auto"/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  <w:r w:rsidRPr="00966C0D">
              <w:rPr>
                <w:rFonts w:eastAsia="Times New Roman"/>
                <w:sz w:val="20"/>
                <w:szCs w:val="20"/>
                <w:lang w:eastAsia="en-US"/>
              </w:rPr>
              <w:t>1 398,0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4A9" w:rsidRPr="00966C0D" w:rsidRDefault="007A2021">
            <w:pPr>
              <w:spacing w:line="276" w:lineRule="auto"/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  <w:r w:rsidRPr="00966C0D">
              <w:rPr>
                <w:rFonts w:eastAsia="Times New Roman"/>
                <w:sz w:val="20"/>
                <w:szCs w:val="20"/>
                <w:lang w:eastAsia="en-US"/>
              </w:rPr>
              <w:t>-9 774,7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F544A9" w:rsidRPr="0021659E" w:rsidRDefault="007A2021" w:rsidP="00D14A20">
            <w:pPr>
              <w:spacing w:line="276" w:lineRule="auto"/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-87,5</w:t>
            </w:r>
          </w:p>
        </w:tc>
      </w:tr>
      <w:tr w:rsidR="00F544A9" w:rsidRPr="00A522C5" w:rsidTr="00D15317">
        <w:trPr>
          <w:trHeight w:val="20"/>
          <w:jc w:val="center"/>
        </w:trPr>
        <w:tc>
          <w:tcPr>
            <w:tcW w:w="43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F544A9" w:rsidRPr="0021659E" w:rsidRDefault="00F544A9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21659E">
              <w:rPr>
                <w:rFonts w:eastAsia="Times New Roman"/>
                <w:sz w:val="20"/>
                <w:szCs w:val="20"/>
                <w:lang w:eastAsia="en-US"/>
              </w:rPr>
              <w:t>Ра</w:t>
            </w:r>
            <w:r w:rsidR="00D15317">
              <w:rPr>
                <w:rFonts w:eastAsia="Times New Roman"/>
                <w:sz w:val="20"/>
                <w:szCs w:val="20"/>
                <w:lang w:eastAsia="en-US"/>
              </w:rPr>
              <w:t>счеты по принятым обязательствам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F544A9" w:rsidRPr="00966C0D" w:rsidRDefault="00F544A9" w:rsidP="001C27A1">
            <w:pPr>
              <w:spacing w:line="276" w:lineRule="auto"/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  <w:r w:rsidRPr="00966C0D">
              <w:rPr>
                <w:rFonts w:eastAsia="Times New Roman"/>
                <w:sz w:val="20"/>
                <w:szCs w:val="20"/>
                <w:lang w:eastAsia="en-US"/>
              </w:rPr>
              <w:t>6,3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F544A9" w:rsidRPr="00966C0D" w:rsidRDefault="00673F36">
            <w:pPr>
              <w:spacing w:line="276" w:lineRule="auto"/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  <w:r w:rsidRPr="00966C0D">
              <w:rPr>
                <w:rFonts w:eastAsia="Times New Roman"/>
                <w:sz w:val="20"/>
                <w:szCs w:val="20"/>
                <w:lang w:eastAsia="en-US"/>
              </w:rPr>
              <w:t>612,3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4A9" w:rsidRPr="00966C0D" w:rsidRDefault="007A2021">
            <w:pPr>
              <w:spacing w:line="276" w:lineRule="auto"/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  <w:r w:rsidRPr="00966C0D">
              <w:rPr>
                <w:rFonts w:eastAsia="Times New Roman"/>
                <w:sz w:val="20"/>
                <w:szCs w:val="20"/>
                <w:lang w:eastAsia="en-US"/>
              </w:rPr>
              <w:t>606,0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F544A9" w:rsidRPr="0021659E" w:rsidRDefault="00671F74">
            <w:pPr>
              <w:spacing w:line="276" w:lineRule="auto"/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в 97</w:t>
            </w:r>
            <w:r w:rsidR="007A2021">
              <w:rPr>
                <w:rFonts w:eastAsia="Times New Roman"/>
                <w:sz w:val="20"/>
                <w:szCs w:val="20"/>
                <w:lang w:eastAsia="en-US"/>
              </w:rPr>
              <w:t>,2 раза</w:t>
            </w:r>
          </w:p>
        </w:tc>
      </w:tr>
      <w:tr w:rsidR="00F544A9" w:rsidRPr="00A522C5" w:rsidTr="00D15317">
        <w:trPr>
          <w:trHeight w:val="20"/>
          <w:jc w:val="center"/>
        </w:trPr>
        <w:tc>
          <w:tcPr>
            <w:tcW w:w="43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F544A9" w:rsidRPr="0021659E" w:rsidRDefault="00F544A9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21659E">
              <w:rPr>
                <w:rFonts w:eastAsia="Times New Roman"/>
                <w:sz w:val="20"/>
                <w:szCs w:val="20"/>
                <w:lang w:eastAsia="en-US"/>
              </w:rPr>
              <w:t xml:space="preserve">Расчеты по удержаниям 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F544A9" w:rsidRPr="00966C0D" w:rsidRDefault="00F544A9" w:rsidP="001C27A1">
            <w:pPr>
              <w:spacing w:line="276" w:lineRule="auto"/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  <w:r w:rsidRPr="00966C0D">
              <w:rPr>
                <w:rFonts w:eastAsia="Times New Roman"/>
                <w:sz w:val="20"/>
                <w:szCs w:val="20"/>
                <w:lang w:eastAsia="en-US"/>
              </w:rPr>
              <w:t>3,1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F544A9" w:rsidRPr="00966C0D" w:rsidRDefault="00673F36">
            <w:pPr>
              <w:spacing w:line="276" w:lineRule="auto"/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  <w:r w:rsidRPr="00966C0D">
              <w:rPr>
                <w:rFonts w:eastAsia="Times New Roman"/>
                <w:sz w:val="20"/>
                <w:szCs w:val="20"/>
                <w:lang w:eastAsia="en-US"/>
              </w:rPr>
              <w:t>3,4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4A9" w:rsidRPr="00966C0D" w:rsidRDefault="007A2021">
            <w:pPr>
              <w:spacing w:line="276" w:lineRule="auto"/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  <w:r w:rsidRPr="00966C0D">
              <w:rPr>
                <w:rFonts w:eastAsia="Times New Roman"/>
                <w:sz w:val="20"/>
                <w:szCs w:val="20"/>
                <w:lang w:eastAsia="en-US"/>
              </w:rPr>
              <w:t>0,3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F544A9" w:rsidRPr="0021659E" w:rsidRDefault="007A2021" w:rsidP="00D14A20">
            <w:pPr>
              <w:spacing w:line="276" w:lineRule="auto"/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9,7</w:t>
            </w:r>
          </w:p>
        </w:tc>
      </w:tr>
      <w:tr w:rsidR="00F544A9" w:rsidRPr="00A522C5" w:rsidTr="00D15317">
        <w:trPr>
          <w:trHeight w:val="20"/>
          <w:jc w:val="center"/>
        </w:trPr>
        <w:tc>
          <w:tcPr>
            <w:tcW w:w="437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F544A9" w:rsidRPr="00D15317" w:rsidRDefault="00F544A9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D15317">
              <w:rPr>
                <w:rFonts w:eastAsia="Times New Roman"/>
                <w:sz w:val="20"/>
                <w:szCs w:val="20"/>
                <w:lang w:eastAsia="en-US"/>
              </w:rPr>
              <w:t>Расчеты с подотчетными лицами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F544A9" w:rsidRPr="00966C0D" w:rsidRDefault="00F544A9" w:rsidP="001C27A1">
            <w:pPr>
              <w:spacing w:line="276" w:lineRule="auto"/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  <w:r w:rsidRPr="00966C0D">
              <w:rPr>
                <w:rFonts w:eastAsia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F544A9" w:rsidRPr="00966C0D" w:rsidRDefault="00673F36">
            <w:pPr>
              <w:spacing w:line="276" w:lineRule="auto"/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  <w:r w:rsidRPr="00966C0D">
              <w:rPr>
                <w:rFonts w:eastAsia="Times New Roman"/>
                <w:sz w:val="20"/>
                <w:szCs w:val="20"/>
                <w:lang w:eastAsia="en-US"/>
              </w:rPr>
              <w:t>33,2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544A9" w:rsidRPr="00966C0D" w:rsidRDefault="007A2021">
            <w:pPr>
              <w:spacing w:line="276" w:lineRule="auto"/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  <w:r w:rsidRPr="00966C0D">
              <w:rPr>
                <w:rFonts w:eastAsia="Times New Roman"/>
                <w:sz w:val="20"/>
                <w:szCs w:val="20"/>
                <w:lang w:eastAsia="en-US"/>
              </w:rPr>
              <w:t>33,2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544A9" w:rsidRPr="0021659E" w:rsidRDefault="007A2021">
            <w:pPr>
              <w:spacing w:line="276" w:lineRule="auto"/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х</w:t>
            </w:r>
          </w:p>
        </w:tc>
      </w:tr>
    </w:tbl>
    <w:p w:rsidR="00920158" w:rsidRPr="007A2021" w:rsidRDefault="00920158" w:rsidP="004A637C">
      <w:pPr>
        <w:spacing w:line="240" w:lineRule="atLeast"/>
        <w:ind w:firstLine="851"/>
        <w:jc w:val="both"/>
      </w:pPr>
      <w:r w:rsidRPr="007A2021">
        <w:t>Дебиторская задо</w:t>
      </w:r>
      <w:r w:rsidR="007A2021" w:rsidRPr="007A2021">
        <w:t>лженность Комитета на конец 2017 года составила 19 012,3 тыс. руб., что н</w:t>
      </w:r>
      <w:r w:rsidR="00671F74">
        <w:t>а 18 542,3 тыс. руб., или в 40</w:t>
      </w:r>
      <w:r w:rsidR="00D14A20">
        <w:t>,5</w:t>
      </w:r>
      <w:r w:rsidRPr="007A2021">
        <w:t xml:space="preserve"> раза больше, чем на начало года. </w:t>
      </w:r>
    </w:p>
    <w:p w:rsidR="00920158" w:rsidRPr="007A2021" w:rsidRDefault="007A2021" w:rsidP="004A637C">
      <w:pPr>
        <w:spacing w:line="240" w:lineRule="atLeast"/>
        <w:ind w:firstLine="851"/>
        <w:jc w:val="both"/>
      </w:pPr>
      <w:r w:rsidRPr="007A2021">
        <w:t xml:space="preserve">Основная сумма дебиторской задолженности сложилась </w:t>
      </w:r>
      <w:r w:rsidR="00920158" w:rsidRPr="007A2021">
        <w:t xml:space="preserve"> </w:t>
      </w:r>
      <w:r w:rsidRPr="007A2021">
        <w:t>в сумме 18 987,3 тыс. руб. по Соглашению от 09.08.2017 №С-4/2017</w:t>
      </w:r>
      <w:r w:rsidR="00D14A20">
        <w:t xml:space="preserve"> Комитета</w:t>
      </w:r>
      <w:r w:rsidRPr="007A2021">
        <w:t xml:space="preserve"> с Фондом «Перспективное </w:t>
      </w:r>
      <w:r w:rsidR="00D14A20">
        <w:t>развитие Волгоградской области», которая была погашена в январе 2018 года.</w:t>
      </w:r>
    </w:p>
    <w:p w:rsidR="0059627A" w:rsidRPr="0059627A" w:rsidRDefault="00920158" w:rsidP="0059627A">
      <w:pPr>
        <w:ind w:firstLine="851"/>
        <w:jc w:val="both"/>
        <w:rPr>
          <w:lang w:eastAsia="en-US"/>
        </w:rPr>
      </w:pPr>
      <w:r w:rsidRPr="00234901">
        <w:t>Кредиторская задо</w:t>
      </w:r>
      <w:r w:rsidR="00234901" w:rsidRPr="00234901">
        <w:t>лженность Комитета на конец 2017</w:t>
      </w:r>
      <w:r w:rsidRPr="00234901">
        <w:t xml:space="preserve"> года состави</w:t>
      </w:r>
      <w:r w:rsidR="00234901" w:rsidRPr="00234901">
        <w:t>ла 2 384,0</w:t>
      </w:r>
      <w:r w:rsidRPr="00234901">
        <w:rPr>
          <w:bCs/>
          <w:iCs/>
        </w:rPr>
        <w:t xml:space="preserve"> </w:t>
      </w:r>
      <w:r w:rsidR="00234901" w:rsidRPr="00234901">
        <w:t>тыс. руб., что на 8 807,4 тыс. руб., или на 78,7</w:t>
      </w:r>
      <w:r w:rsidRPr="00234901">
        <w:t xml:space="preserve">% меньше, чем на начало </w:t>
      </w:r>
      <w:r w:rsidR="00D14A20">
        <w:t>года</w:t>
      </w:r>
      <w:r w:rsidRPr="00234901">
        <w:t xml:space="preserve"> за счет снижения задолженности по доходам.</w:t>
      </w:r>
      <w:r w:rsidR="0059627A" w:rsidRPr="0059627A">
        <w:t xml:space="preserve"> Наибольшая сумма задолженности приходится на расчеты по доходам (1 398,0 тыс. руб.) по причине оплаты соискателями государственной пошлины за лицензии, но </w:t>
      </w:r>
      <w:r w:rsidR="0059627A">
        <w:t>не</w:t>
      </w:r>
      <w:r w:rsidR="00572234">
        <w:t>получением ими</w:t>
      </w:r>
      <w:r w:rsidR="0059627A" w:rsidRPr="0059627A">
        <w:t xml:space="preserve"> </w:t>
      </w:r>
      <w:r w:rsidR="00671F74">
        <w:t xml:space="preserve">лицензии </w:t>
      </w:r>
      <w:r w:rsidR="0059627A" w:rsidRPr="0059627A">
        <w:t>на конец года.</w:t>
      </w:r>
    </w:p>
    <w:p w:rsidR="00BD41B7" w:rsidRPr="00BD41B7" w:rsidRDefault="0059627A" w:rsidP="00BD41B7">
      <w:pPr>
        <w:ind w:firstLine="851"/>
        <w:jc w:val="both"/>
      </w:pPr>
      <w:r w:rsidRPr="0059627A">
        <w:t xml:space="preserve">Согласно отчету ф.0503169 просроченная дебиторская </w:t>
      </w:r>
      <w:r w:rsidR="00D14A20">
        <w:t xml:space="preserve">задолженность </w:t>
      </w:r>
      <w:r w:rsidRPr="0059627A">
        <w:t xml:space="preserve">отсутствует,  просроченная кредиторская задолженность у Комитета сложилась в размере 640,6 тыс.руб. и образовалась в основном (536,6 тыс.руб.) </w:t>
      </w:r>
      <w:r w:rsidRPr="0059627A">
        <w:rPr>
          <w:lang w:eastAsia="en-US"/>
        </w:rPr>
        <w:t>по счету 205.11 «Расчеты с плательщиками налоговых доходов» в виде поступ</w:t>
      </w:r>
      <w:r w:rsidR="00D14A20">
        <w:rPr>
          <w:lang w:eastAsia="en-US"/>
        </w:rPr>
        <w:t>ившей госпошлины за невыданные Комитетом лицензии</w:t>
      </w:r>
      <w:r w:rsidRPr="0059627A">
        <w:rPr>
          <w:lang w:eastAsia="en-US"/>
        </w:rPr>
        <w:t>.</w:t>
      </w:r>
    </w:p>
    <w:p w:rsidR="000B48BB" w:rsidRPr="00645B36" w:rsidRDefault="000B48BB" w:rsidP="00A80E85">
      <w:pPr>
        <w:pStyle w:val="ConsPlusNormal"/>
        <w:ind w:firstLine="851"/>
        <w:jc w:val="both"/>
      </w:pPr>
      <w:r w:rsidRPr="007D2730">
        <w:t>Комитетом принято бюджетных обязательств сверх утвержденного на финансовый год объема бюджетных ассигнований на сумму 177,8 тыс.руб.</w:t>
      </w:r>
      <w:r w:rsidR="00671F74">
        <w:t>,</w:t>
      </w:r>
      <w:r w:rsidRPr="007D2730">
        <w:t xml:space="preserve"> по причине уменьшения </w:t>
      </w:r>
      <w:r w:rsidR="00D14A20">
        <w:t>в конце</w:t>
      </w:r>
      <w:r w:rsidR="004621B4">
        <w:t xml:space="preserve"> года</w:t>
      </w:r>
      <w:r w:rsidR="00D14A20">
        <w:t xml:space="preserve"> </w:t>
      </w:r>
      <w:r w:rsidRPr="007D2730">
        <w:t xml:space="preserve">бюджетных ассигнований и лимитов бюджетных обязательств на 2017 год под заключенные уже договора (контракты), принятые к учету авансовые отчеты от подотчетных лиц </w:t>
      </w:r>
      <w:r w:rsidR="00671F74">
        <w:t>(</w:t>
      </w:r>
      <w:r w:rsidRPr="007D2730">
        <w:t>уведомлен</w:t>
      </w:r>
      <w:r w:rsidR="00671F74">
        <w:t>ие</w:t>
      </w:r>
      <w:r w:rsidRPr="007D2730">
        <w:t xml:space="preserve"> об изменении бюджетных </w:t>
      </w:r>
      <w:r w:rsidR="00D14A20">
        <w:t>назначений №53251 от 30.12.2017</w:t>
      </w:r>
      <w:r w:rsidR="00671F74">
        <w:t>)</w:t>
      </w:r>
      <w:r w:rsidR="00D14A20">
        <w:t>,</w:t>
      </w:r>
      <w:r w:rsidR="004621B4">
        <w:t xml:space="preserve"> что</w:t>
      </w:r>
      <w:r w:rsidR="00D14A20">
        <w:t xml:space="preserve"> привело к образованию кредиторской задолженности.</w:t>
      </w:r>
      <w:r w:rsidR="00592B36">
        <w:t xml:space="preserve"> Уменьшение произведено</w:t>
      </w:r>
      <w:r w:rsidRPr="007D2730">
        <w:t xml:space="preserve"> </w:t>
      </w:r>
      <w:r w:rsidRPr="00645B36">
        <w:t>на основании абзаца 11 статьи 5.1 Закона Волгоградской области от 11.06.2008 №1694-ОД «О бюджетном процессе в Волгоградской области»</w:t>
      </w:r>
      <w:r w:rsidR="0059627A" w:rsidRPr="00645B36">
        <w:t xml:space="preserve"> (</w:t>
      </w:r>
      <w:r w:rsidRPr="00645B36">
        <w:t>путем перераспределения бюджетных ассигнований между текущим финансовым годом и плановым периодом в пределах общего объема бюджетных ассигнований, утвержденных законом Волгоградской области об областном бюджете</w:t>
      </w:r>
      <w:r w:rsidR="0059627A" w:rsidRPr="00645B36">
        <w:t>)</w:t>
      </w:r>
      <w:r w:rsidRPr="00645B36">
        <w:t>.</w:t>
      </w:r>
    </w:p>
    <w:p w:rsidR="00A80E85" w:rsidRDefault="00A80E85" w:rsidP="003D59AF">
      <w:pPr>
        <w:autoSpaceDE w:val="0"/>
        <w:autoSpaceDN w:val="0"/>
        <w:adjustRightInd w:val="0"/>
        <w:ind w:firstLine="567"/>
        <w:jc w:val="center"/>
        <w:rPr>
          <w:b/>
          <w:i/>
        </w:rPr>
      </w:pPr>
    </w:p>
    <w:p w:rsidR="003D59AF" w:rsidRPr="00584C11" w:rsidRDefault="003D59AF" w:rsidP="003D59AF">
      <w:pPr>
        <w:autoSpaceDE w:val="0"/>
        <w:autoSpaceDN w:val="0"/>
        <w:adjustRightInd w:val="0"/>
        <w:ind w:firstLine="567"/>
        <w:jc w:val="center"/>
        <w:rPr>
          <w:b/>
          <w:i/>
        </w:rPr>
      </w:pPr>
      <w:r w:rsidRPr="00584C11">
        <w:rPr>
          <w:b/>
          <w:i/>
        </w:rPr>
        <w:t>Анализ достижения поставленных целей и ожидаемых результатов.</w:t>
      </w:r>
    </w:p>
    <w:p w:rsidR="003D59AF" w:rsidRDefault="003D59AF" w:rsidP="003D59AF">
      <w:pPr>
        <w:ind w:firstLine="567"/>
        <w:jc w:val="both"/>
      </w:pPr>
      <w:r w:rsidRPr="00584C11">
        <w:rPr>
          <w:rFonts w:eastAsia="Times New Roman"/>
        </w:rPr>
        <w:t>Комитет определен ответственным исполнителем государственной программы «</w:t>
      </w:r>
      <w:r w:rsidRPr="00584C11">
        <w:t>Развитие промышленности Волгоградской области и повышение ее конкурентоспособности» на 2014-2020 годы</w:t>
      </w:r>
      <w:r w:rsidRPr="00A1773A">
        <w:t>, утвержденной постановлением Правительства Волгоградской области от 29.10.2013 №573-п</w:t>
      </w:r>
      <w:r w:rsidR="004F3CD1">
        <w:t xml:space="preserve"> (далее – Государственная программа)</w:t>
      </w:r>
      <w:r w:rsidRPr="00A1773A">
        <w:t>.</w:t>
      </w:r>
    </w:p>
    <w:p w:rsidR="003D59AF" w:rsidRPr="00FB4694" w:rsidRDefault="004F3CD1" w:rsidP="003D59AF">
      <w:pPr>
        <w:ind w:firstLine="567"/>
        <w:jc w:val="both"/>
        <w:rPr>
          <w:bCs/>
        </w:rPr>
      </w:pPr>
      <w:r>
        <w:rPr>
          <w:bCs/>
        </w:rPr>
        <w:t>Г</w:t>
      </w:r>
      <w:r w:rsidR="00B27EC1" w:rsidRPr="00682399">
        <w:rPr>
          <w:bCs/>
        </w:rPr>
        <w:t>осударств</w:t>
      </w:r>
      <w:r>
        <w:rPr>
          <w:bCs/>
        </w:rPr>
        <w:t>енная программа состоит из 3 мероприятий без финансового обеспечения.</w:t>
      </w:r>
      <w:r w:rsidR="00B27EC1" w:rsidRPr="00682399">
        <w:rPr>
          <w:bCs/>
        </w:rPr>
        <w:t xml:space="preserve"> </w:t>
      </w:r>
      <w:r w:rsidR="003D59AF" w:rsidRPr="00FB4694">
        <w:rPr>
          <w:bCs/>
        </w:rPr>
        <w:t>Госпрограммой установлено 14 целевых показателей.</w:t>
      </w:r>
    </w:p>
    <w:p w:rsidR="003D59AF" w:rsidRPr="00FB4694" w:rsidRDefault="003D59AF" w:rsidP="008A4341">
      <w:pPr>
        <w:ind w:firstLine="567"/>
        <w:jc w:val="both"/>
      </w:pPr>
      <w:r w:rsidRPr="00FB4694">
        <w:t>В таблице приведена информация о выполнении плановых значений целевых</w:t>
      </w:r>
      <w:r w:rsidR="00A1773A" w:rsidRPr="00FB4694">
        <w:t xml:space="preserve"> показателей Госпрограммы в 2017</w:t>
      </w:r>
      <w:r w:rsidRPr="00FB4694">
        <w:t xml:space="preserve"> году.</w:t>
      </w:r>
    </w:p>
    <w:tbl>
      <w:tblPr>
        <w:tblW w:w="9714" w:type="dxa"/>
        <w:tblInd w:w="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59"/>
        <w:gridCol w:w="6805"/>
        <w:gridCol w:w="708"/>
        <w:gridCol w:w="708"/>
        <w:gridCol w:w="1134"/>
      </w:tblGrid>
      <w:tr w:rsidR="003D59AF" w:rsidRPr="00A522C5" w:rsidTr="00574354">
        <w:trPr>
          <w:trHeight w:val="330"/>
        </w:trPr>
        <w:tc>
          <w:tcPr>
            <w:tcW w:w="359" w:type="dxa"/>
            <w:vMerge w:val="restart"/>
            <w:shd w:val="clear" w:color="auto" w:fill="EEECE1" w:themeFill="background2"/>
            <w:vAlign w:val="center"/>
            <w:hideMark/>
          </w:tcPr>
          <w:p w:rsidR="003D59AF" w:rsidRPr="006F184F" w:rsidRDefault="003D59AF" w:rsidP="001C27A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6F184F">
              <w:rPr>
                <w:rFonts w:eastAsia="Times New Roman"/>
                <w:sz w:val="20"/>
                <w:szCs w:val="20"/>
                <w:lang w:eastAsia="en-US"/>
              </w:rPr>
              <w:t>№ п.п</w:t>
            </w:r>
          </w:p>
        </w:tc>
        <w:tc>
          <w:tcPr>
            <w:tcW w:w="6805" w:type="dxa"/>
            <w:vMerge w:val="restart"/>
            <w:shd w:val="clear" w:color="auto" w:fill="EEECE1" w:themeFill="background2"/>
            <w:vAlign w:val="center"/>
            <w:hideMark/>
          </w:tcPr>
          <w:p w:rsidR="003D59AF" w:rsidRPr="006F184F" w:rsidRDefault="003D59AF" w:rsidP="001C27A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6F184F">
              <w:rPr>
                <w:rFonts w:eastAsia="Times New Roman"/>
                <w:sz w:val="20"/>
                <w:szCs w:val="20"/>
                <w:lang w:eastAsia="en-US"/>
              </w:rPr>
              <w:t>Наименование целевого показателя</w:t>
            </w:r>
          </w:p>
        </w:tc>
        <w:tc>
          <w:tcPr>
            <w:tcW w:w="2550" w:type="dxa"/>
            <w:gridSpan w:val="3"/>
            <w:shd w:val="clear" w:color="auto" w:fill="EEECE1" w:themeFill="background2"/>
            <w:vAlign w:val="center"/>
            <w:hideMark/>
          </w:tcPr>
          <w:p w:rsidR="003D59AF" w:rsidRPr="006F184F" w:rsidRDefault="003D59AF" w:rsidP="001C27A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6F184F">
              <w:rPr>
                <w:rFonts w:eastAsia="Times New Roman"/>
                <w:sz w:val="20"/>
                <w:szCs w:val="20"/>
                <w:lang w:eastAsia="en-US"/>
              </w:rPr>
              <w:t>Целевые показатели</w:t>
            </w:r>
          </w:p>
        </w:tc>
      </w:tr>
      <w:tr w:rsidR="003D59AF" w:rsidRPr="00A522C5" w:rsidTr="00574354">
        <w:trPr>
          <w:trHeight w:val="315"/>
        </w:trPr>
        <w:tc>
          <w:tcPr>
            <w:tcW w:w="359" w:type="dxa"/>
            <w:vMerge/>
            <w:shd w:val="clear" w:color="auto" w:fill="EEECE1" w:themeFill="background2"/>
            <w:vAlign w:val="center"/>
            <w:hideMark/>
          </w:tcPr>
          <w:p w:rsidR="003D59AF" w:rsidRPr="006F184F" w:rsidRDefault="003D59AF" w:rsidP="001C27A1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6805" w:type="dxa"/>
            <w:vMerge/>
            <w:shd w:val="clear" w:color="auto" w:fill="EEECE1" w:themeFill="background2"/>
            <w:vAlign w:val="center"/>
            <w:hideMark/>
          </w:tcPr>
          <w:p w:rsidR="003D59AF" w:rsidRPr="006F184F" w:rsidRDefault="003D59AF" w:rsidP="001C27A1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EEECE1" w:themeFill="background2"/>
            <w:vAlign w:val="center"/>
            <w:hideMark/>
          </w:tcPr>
          <w:p w:rsidR="003D59AF" w:rsidRPr="006F184F" w:rsidRDefault="003D59AF" w:rsidP="001C27A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6F184F">
              <w:rPr>
                <w:rFonts w:eastAsia="Times New Roman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708" w:type="dxa"/>
            <w:shd w:val="clear" w:color="auto" w:fill="EEECE1" w:themeFill="background2"/>
            <w:vAlign w:val="center"/>
            <w:hideMark/>
          </w:tcPr>
          <w:p w:rsidR="003D59AF" w:rsidRPr="006F184F" w:rsidRDefault="003D59AF" w:rsidP="001C27A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6F184F">
              <w:rPr>
                <w:rFonts w:eastAsia="Times New Roman"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1134" w:type="dxa"/>
            <w:shd w:val="clear" w:color="auto" w:fill="EEECE1" w:themeFill="background2"/>
            <w:noWrap/>
            <w:vAlign w:val="center"/>
            <w:hideMark/>
          </w:tcPr>
          <w:p w:rsidR="003D59AF" w:rsidRPr="006F184F" w:rsidRDefault="003D59AF" w:rsidP="001C27A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6F184F">
              <w:rPr>
                <w:rFonts w:eastAsia="Times New Roman"/>
                <w:sz w:val="20"/>
                <w:szCs w:val="20"/>
                <w:lang w:eastAsia="en-US"/>
              </w:rPr>
              <w:t>выполнение</w:t>
            </w:r>
          </w:p>
        </w:tc>
      </w:tr>
      <w:tr w:rsidR="003D59AF" w:rsidRPr="00A522C5" w:rsidTr="00EE4B60">
        <w:trPr>
          <w:trHeight w:val="315"/>
        </w:trPr>
        <w:tc>
          <w:tcPr>
            <w:tcW w:w="9714" w:type="dxa"/>
            <w:gridSpan w:val="5"/>
            <w:shd w:val="clear" w:color="auto" w:fill="auto"/>
            <w:vAlign w:val="center"/>
            <w:hideMark/>
          </w:tcPr>
          <w:p w:rsidR="003D59AF" w:rsidRPr="00EE4B60" w:rsidRDefault="003D59AF" w:rsidP="001C27A1">
            <w:pPr>
              <w:spacing w:line="276" w:lineRule="auto"/>
              <w:jc w:val="center"/>
              <w:rPr>
                <w:rFonts w:eastAsia="Times New Roman"/>
                <w:b/>
                <w:i/>
                <w:sz w:val="20"/>
                <w:szCs w:val="20"/>
                <w:highlight w:val="yellow"/>
                <w:lang w:eastAsia="en-US"/>
              </w:rPr>
            </w:pPr>
            <w:r w:rsidRPr="00EE4B60">
              <w:rPr>
                <w:rFonts w:eastAsia="Times New Roman"/>
                <w:b/>
                <w:i/>
                <w:sz w:val="20"/>
                <w:szCs w:val="20"/>
                <w:lang w:eastAsia="en-US"/>
              </w:rPr>
              <w:t>ГП ВО «Развитие промышленности ВО и повышение ее конкурентоспособности» на 2014-2020 г.</w:t>
            </w:r>
          </w:p>
        </w:tc>
      </w:tr>
      <w:tr w:rsidR="003D59AF" w:rsidRPr="00A522C5" w:rsidTr="00574354">
        <w:trPr>
          <w:trHeight w:val="510"/>
        </w:trPr>
        <w:tc>
          <w:tcPr>
            <w:tcW w:w="359" w:type="dxa"/>
            <w:vAlign w:val="center"/>
            <w:hideMark/>
          </w:tcPr>
          <w:p w:rsidR="003D59AF" w:rsidRPr="00FB4694" w:rsidRDefault="003D59AF" w:rsidP="001C27A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B4694">
              <w:rPr>
                <w:rFonts w:eastAsia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805" w:type="dxa"/>
            <w:vAlign w:val="center"/>
            <w:hideMark/>
          </w:tcPr>
          <w:p w:rsidR="003D59AF" w:rsidRPr="00FB4694" w:rsidRDefault="003D59AF" w:rsidP="001C27A1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FB4694">
              <w:rPr>
                <w:rFonts w:eastAsia="Times New Roman"/>
                <w:sz w:val="20"/>
                <w:szCs w:val="20"/>
                <w:lang w:eastAsia="en-US"/>
              </w:rPr>
              <w:t>Кол-во субъектов деятельности в сфере промышленности ВО, приобретающих оборудование в целях модернизации производства (ед)</w:t>
            </w:r>
          </w:p>
        </w:tc>
        <w:tc>
          <w:tcPr>
            <w:tcW w:w="708" w:type="dxa"/>
            <w:vAlign w:val="center"/>
            <w:hideMark/>
          </w:tcPr>
          <w:p w:rsidR="003D59AF" w:rsidRPr="00FB4694" w:rsidRDefault="00FB4694" w:rsidP="001C27A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708" w:type="dxa"/>
            <w:noWrap/>
            <w:vAlign w:val="center"/>
            <w:hideMark/>
          </w:tcPr>
          <w:p w:rsidR="003D59AF" w:rsidRPr="00FB4694" w:rsidRDefault="00FB4694" w:rsidP="001C27A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1134" w:type="dxa"/>
            <w:noWrap/>
            <w:vAlign w:val="center"/>
            <w:hideMark/>
          </w:tcPr>
          <w:p w:rsidR="003D59AF" w:rsidRPr="00A522C5" w:rsidRDefault="00753B79" w:rsidP="001C27A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в </w:t>
            </w:r>
            <w:r w:rsidR="003D59AF" w:rsidRPr="00753B79">
              <w:rPr>
                <w:rFonts w:eastAsia="Times New Roman"/>
                <w:sz w:val="20"/>
                <w:szCs w:val="20"/>
                <w:lang w:eastAsia="en-US"/>
              </w:rPr>
              <w:t>1</w:t>
            </w:r>
            <w:r w:rsidRPr="00753B79">
              <w:rPr>
                <w:rFonts w:eastAsia="Times New Roman"/>
                <w:sz w:val="20"/>
                <w:szCs w:val="20"/>
                <w:lang w:eastAsia="en-US"/>
              </w:rPr>
              <w:t>,9 раза</w:t>
            </w:r>
          </w:p>
        </w:tc>
      </w:tr>
      <w:tr w:rsidR="003D59AF" w:rsidRPr="00A522C5" w:rsidTr="00574354">
        <w:trPr>
          <w:trHeight w:val="510"/>
        </w:trPr>
        <w:tc>
          <w:tcPr>
            <w:tcW w:w="359" w:type="dxa"/>
            <w:vAlign w:val="center"/>
            <w:hideMark/>
          </w:tcPr>
          <w:p w:rsidR="003D59AF" w:rsidRPr="00F04441" w:rsidRDefault="003D59AF" w:rsidP="001C27A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04441">
              <w:rPr>
                <w:rFonts w:eastAsia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05" w:type="dxa"/>
            <w:vAlign w:val="center"/>
            <w:hideMark/>
          </w:tcPr>
          <w:p w:rsidR="003D59AF" w:rsidRPr="00ED4219" w:rsidRDefault="00ED4219" w:rsidP="001C27A1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  <w:highlight w:val="yellow"/>
                <w:lang w:eastAsia="en-US"/>
              </w:rPr>
            </w:pPr>
            <w:r w:rsidRPr="00ED4219">
              <w:rPr>
                <w:sz w:val="20"/>
                <w:szCs w:val="20"/>
              </w:rPr>
              <w:t>Общее количество региональных предприятий и организаций, производящих композиционные материалы, конструкции и изделия из них</w:t>
            </w:r>
            <w:r w:rsidRPr="00ED4219">
              <w:rPr>
                <w:rFonts w:eastAsia="Times New Roman"/>
                <w:sz w:val="20"/>
                <w:szCs w:val="20"/>
                <w:lang w:eastAsia="en-US"/>
              </w:rPr>
              <w:t xml:space="preserve"> (ед</w:t>
            </w:r>
            <w:r w:rsidR="003D59AF" w:rsidRPr="00ED4219">
              <w:rPr>
                <w:rFonts w:eastAsia="Times New Roman"/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708" w:type="dxa"/>
            <w:vAlign w:val="center"/>
            <w:hideMark/>
          </w:tcPr>
          <w:p w:rsidR="003D59AF" w:rsidRPr="00ED4219" w:rsidRDefault="003D59AF" w:rsidP="001C27A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ED4219">
              <w:rPr>
                <w:rFonts w:eastAsia="Times New Roman"/>
                <w:sz w:val="20"/>
                <w:szCs w:val="20"/>
                <w:lang w:eastAsia="en-US"/>
              </w:rPr>
              <w:t>1</w:t>
            </w:r>
            <w:r w:rsidR="00ED4219" w:rsidRPr="00ED4219">
              <w:rPr>
                <w:rFonts w:eastAsia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8" w:type="dxa"/>
            <w:noWrap/>
            <w:vAlign w:val="center"/>
            <w:hideMark/>
          </w:tcPr>
          <w:p w:rsidR="003D59AF" w:rsidRPr="00ED4219" w:rsidRDefault="00ED4219" w:rsidP="001C27A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ED4219">
              <w:rPr>
                <w:rFonts w:eastAsia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134" w:type="dxa"/>
            <w:noWrap/>
            <w:vAlign w:val="center"/>
            <w:hideMark/>
          </w:tcPr>
          <w:p w:rsidR="003D59AF" w:rsidRPr="00A522C5" w:rsidRDefault="00753B79" w:rsidP="001C27A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eastAsia="en-US"/>
              </w:rPr>
            </w:pPr>
            <w:r w:rsidRPr="00753B79">
              <w:rPr>
                <w:rFonts w:eastAsia="Times New Roman"/>
                <w:sz w:val="20"/>
                <w:szCs w:val="20"/>
                <w:lang w:eastAsia="en-US"/>
              </w:rPr>
              <w:t>в 1,4 раза</w:t>
            </w:r>
          </w:p>
        </w:tc>
      </w:tr>
      <w:tr w:rsidR="003D59AF" w:rsidRPr="00A522C5" w:rsidTr="00574354">
        <w:trPr>
          <w:trHeight w:val="510"/>
        </w:trPr>
        <w:tc>
          <w:tcPr>
            <w:tcW w:w="359" w:type="dxa"/>
            <w:vAlign w:val="center"/>
            <w:hideMark/>
          </w:tcPr>
          <w:p w:rsidR="003D59AF" w:rsidRPr="00F04441" w:rsidRDefault="003D59AF" w:rsidP="001C27A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04441">
              <w:rPr>
                <w:rFonts w:eastAsia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805" w:type="dxa"/>
            <w:vAlign w:val="center"/>
            <w:hideMark/>
          </w:tcPr>
          <w:p w:rsidR="003D59AF" w:rsidRPr="00F04441" w:rsidRDefault="00F04441" w:rsidP="001C27A1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  <w:highlight w:val="yellow"/>
                <w:lang w:eastAsia="en-US"/>
              </w:rPr>
            </w:pPr>
            <w:r w:rsidRPr="00F04441">
              <w:rPr>
                <w:sz w:val="20"/>
                <w:szCs w:val="20"/>
              </w:rPr>
              <w:t>Количество субъектов деятельности в сфере промышленности Волгоградской области, которым оказано содействие по обеспечению рабочими и инженерными кадрами (ед.)</w:t>
            </w:r>
          </w:p>
        </w:tc>
        <w:tc>
          <w:tcPr>
            <w:tcW w:w="708" w:type="dxa"/>
            <w:vAlign w:val="center"/>
            <w:hideMark/>
          </w:tcPr>
          <w:p w:rsidR="003D59AF" w:rsidRPr="00A522C5" w:rsidRDefault="00682399" w:rsidP="001C27A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eastAsia="en-US"/>
              </w:rPr>
            </w:pPr>
            <w:r w:rsidRPr="00682399">
              <w:rPr>
                <w:rFonts w:eastAsia="Times New Roman"/>
                <w:sz w:val="20"/>
                <w:szCs w:val="20"/>
                <w:lang w:eastAsia="en-US"/>
              </w:rPr>
              <w:t>14</w:t>
            </w:r>
            <w:r w:rsidR="00F04441" w:rsidRPr="00682399">
              <w:rPr>
                <w:rFonts w:eastAsia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3D59AF" w:rsidRPr="00A522C5" w:rsidRDefault="00F04441" w:rsidP="001C27A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eastAsia="en-US"/>
              </w:rPr>
            </w:pPr>
            <w:r w:rsidRPr="00F04441">
              <w:rPr>
                <w:rFonts w:eastAsia="Times New Roman"/>
                <w:sz w:val="20"/>
                <w:szCs w:val="20"/>
                <w:lang w:eastAsia="en-US"/>
              </w:rPr>
              <w:t>143</w:t>
            </w:r>
          </w:p>
        </w:tc>
        <w:tc>
          <w:tcPr>
            <w:tcW w:w="1134" w:type="dxa"/>
            <w:noWrap/>
            <w:vAlign w:val="center"/>
            <w:hideMark/>
          </w:tcPr>
          <w:p w:rsidR="003D59AF" w:rsidRPr="00A522C5" w:rsidRDefault="00753B79" w:rsidP="001C27A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eastAsia="en-US"/>
              </w:rPr>
            </w:pPr>
            <w:r w:rsidRPr="00753B79">
              <w:rPr>
                <w:rFonts w:eastAsia="Times New Roman"/>
                <w:sz w:val="20"/>
                <w:szCs w:val="20"/>
                <w:lang w:eastAsia="en-US"/>
              </w:rPr>
              <w:t>1</w:t>
            </w:r>
            <w:r w:rsidR="00682399">
              <w:rPr>
                <w:rFonts w:eastAsia="Times New Roman"/>
                <w:sz w:val="20"/>
                <w:szCs w:val="20"/>
                <w:lang w:eastAsia="en-US"/>
              </w:rPr>
              <w:t>02,1</w:t>
            </w:r>
          </w:p>
        </w:tc>
      </w:tr>
      <w:tr w:rsidR="003D59AF" w:rsidRPr="00A522C5" w:rsidTr="00574354">
        <w:trPr>
          <w:trHeight w:val="510"/>
        </w:trPr>
        <w:tc>
          <w:tcPr>
            <w:tcW w:w="359" w:type="dxa"/>
            <w:vAlign w:val="center"/>
            <w:hideMark/>
          </w:tcPr>
          <w:p w:rsidR="003D59AF" w:rsidRPr="00F04441" w:rsidRDefault="003D59AF" w:rsidP="001C27A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04441">
              <w:rPr>
                <w:rFonts w:eastAsia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805" w:type="dxa"/>
            <w:vAlign w:val="center"/>
            <w:hideMark/>
          </w:tcPr>
          <w:p w:rsidR="003D59AF" w:rsidRPr="00F04441" w:rsidRDefault="003D59AF" w:rsidP="001C27A1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F04441">
              <w:rPr>
                <w:rFonts w:eastAsia="Times New Roman"/>
                <w:sz w:val="20"/>
                <w:szCs w:val="20"/>
                <w:lang w:eastAsia="en-US"/>
              </w:rPr>
              <w:t>Кол-во субъектов деятельности в сфере промышленности ВО, освоивших производство импортозамещающих видов продукции (ед)</w:t>
            </w:r>
          </w:p>
        </w:tc>
        <w:tc>
          <w:tcPr>
            <w:tcW w:w="708" w:type="dxa"/>
            <w:vAlign w:val="center"/>
            <w:hideMark/>
          </w:tcPr>
          <w:p w:rsidR="003D59AF" w:rsidRPr="00F04441" w:rsidRDefault="003D59AF" w:rsidP="001C27A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04441">
              <w:rPr>
                <w:rFonts w:eastAsia="Times New Roman"/>
                <w:sz w:val="20"/>
                <w:szCs w:val="20"/>
                <w:lang w:eastAsia="en-US"/>
              </w:rPr>
              <w:t>4</w:t>
            </w:r>
            <w:r w:rsidR="00F04441" w:rsidRPr="00F04441">
              <w:rPr>
                <w:rFonts w:eastAsia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8" w:type="dxa"/>
            <w:noWrap/>
            <w:vAlign w:val="center"/>
            <w:hideMark/>
          </w:tcPr>
          <w:p w:rsidR="003D59AF" w:rsidRPr="00F04441" w:rsidRDefault="00F04441" w:rsidP="001C27A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04441">
              <w:rPr>
                <w:rFonts w:eastAsia="Times New Roman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1134" w:type="dxa"/>
            <w:noWrap/>
            <w:vAlign w:val="center"/>
            <w:hideMark/>
          </w:tcPr>
          <w:p w:rsidR="003D59AF" w:rsidRPr="00343427" w:rsidRDefault="003D59AF" w:rsidP="001C27A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eastAsia="en-US"/>
              </w:rPr>
            </w:pPr>
            <w:r w:rsidRPr="00343427">
              <w:rPr>
                <w:rFonts w:eastAsia="Times New Roman"/>
                <w:sz w:val="20"/>
                <w:szCs w:val="20"/>
                <w:lang w:eastAsia="en-US"/>
              </w:rPr>
              <w:t>11</w:t>
            </w:r>
            <w:r w:rsidR="00343427" w:rsidRPr="00343427">
              <w:rPr>
                <w:rFonts w:eastAsia="Times New Roman"/>
                <w:sz w:val="20"/>
                <w:szCs w:val="20"/>
                <w:lang w:eastAsia="en-US"/>
              </w:rPr>
              <w:t>7,8</w:t>
            </w:r>
          </w:p>
        </w:tc>
      </w:tr>
      <w:tr w:rsidR="003D59AF" w:rsidRPr="00A522C5" w:rsidTr="00EE4B60">
        <w:trPr>
          <w:trHeight w:val="315"/>
        </w:trPr>
        <w:tc>
          <w:tcPr>
            <w:tcW w:w="9714" w:type="dxa"/>
            <w:gridSpan w:val="5"/>
            <w:shd w:val="clear" w:color="auto" w:fill="auto"/>
            <w:vAlign w:val="center"/>
            <w:hideMark/>
          </w:tcPr>
          <w:p w:rsidR="003D59AF" w:rsidRPr="00EE4B60" w:rsidRDefault="003D59AF" w:rsidP="001C27A1">
            <w:pPr>
              <w:spacing w:line="276" w:lineRule="auto"/>
              <w:jc w:val="center"/>
              <w:rPr>
                <w:rFonts w:eastAsia="Times New Roman"/>
                <w:b/>
                <w:i/>
                <w:sz w:val="20"/>
                <w:szCs w:val="20"/>
                <w:lang w:eastAsia="en-US"/>
              </w:rPr>
            </w:pPr>
            <w:r w:rsidRPr="00EE4B60">
              <w:rPr>
                <w:rFonts w:eastAsia="Times New Roman"/>
                <w:b/>
                <w:i/>
                <w:sz w:val="20"/>
                <w:szCs w:val="20"/>
                <w:lang w:eastAsia="en-US"/>
              </w:rPr>
              <w:lastRenderedPageBreak/>
              <w:t>Подпрограмма «Развитие промышленной инфраструктуры и инфраструктуры поддержки деятельности в сфере промышленности»</w:t>
            </w:r>
          </w:p>
        </w:tc>
      </w:tr>
      <w:tr w:rsidR="003D59AF" w:rsidRPr="00A522C5" w:rsidTr="00574354">
        <w:trPr>
          <w:trHeight w:val="510"/>
        </w:trPr>
        <w:tc>
          <w:tcPr>
            <w:tcW w:w="359" w:type="dxa"/>
            <w:vAlign w:val="center"/>
            <w:hideMark/>
          </w:tcPr>
          <w:p w:rsidR="003D59AF" w:rsidRPr="00A522C5" w:rsidRDefault="003D59AF" w:rsidP="001C27A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eastAsia="en-US"/>
              </w:rPr>
            </w:pPr>
            <w:r w:rsidRPr="00F04441">
              <w:rPr>
                <w:rFonts w:eastAsia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805" w:type="dxa"/>
            <w:vAlign w:val="center"/>
            <w:hideMark/>
          </w:tcPr>
          <w:p w:rsidR="003D59AF" w:rsidRPr="00F04441" w:rsidRDefault="003D59AF" w:rsidP="001C27A1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F04441">
              <w:rPr>
                <w:rFonts w:eastAsia="Times New Roman"/>
                <w:sz w:val="20"/>
                <w:szCs w:val="20"/>
                <w:lang w:eastAsia="en-US"/>
              </w:rPr>
              <w:t>Кол-во субъектов деятельности в сфере промышленности ВО, приобретающих оборудование в целях модернизации производства (ед)</w:t>
            </w:r>
          </w:p>
        </w:tc>
        <w:tc>
          <w:tcPr>
            <w:tcW w:w="708" w:type="dxa"/>
            <w:vAlign w:val="center"/>
            <w:hideMark/>
          </w:tcPr>
          <w:p w:rsidR="003D59AF" w:rsidRPr="00F04441" w:rsidRDefault="003D59AF" w:rsidP="001C27A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04441">
              <w:rPr>
                <w:rFonts w:eastAsia="Times New Roman"/>
                <w:sz w:val="20"/>
                <w:szCs w:val="20"/>
                <w:lang w:eastAsia="en-US"/>
              </w:rPr>
              <w:t>2</w:t>
            </w:r>
            <w:r w:rsidR="00F04441">
              <w:rPr>
                <w:rFonts w:eastAsia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8" w:type="dxa"/>
            <w:vAlign w:val="center"/>
            <w:hideMark/>
          </w:tcPr>
          <w:p w:rsidR="003D59AF" w:rsidRPr="00F04441" w:rsidRDefault="00F04441" w:rsidP="001C27A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1134" w:type="dxa"/>
            <w:noWrap/>
            <w:vAlign w:val="center"/>
            <w:hideMark/>
          </w:tcPr>
          <w:p w:rsidR="003D59AF" w:rsidRPr="00F04441" w:rsidRDefault="00753B79" w:rsidP="001C27A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в 1,9 раза</w:t>
            </w:r>
          </w:p>
        </w:tc>
      </w:tr>
      <w:tr w:rsidR="003D59AF" w:rsidRPr="00A522C5" w:rsidTr="00EE4B60">
        <w:trPr>
          <w:trHeight w:val="315"/>
        </w:trPr>
        <w:tc>
          <w:tcPr>
            <w:tcW w:w="9714" w:type="dxa"/>
            <w:gridSpan w:val="5"/>
            <w:shd w:val="clear" w:color="auto" w:fill="auto"/>
            <w:vAlign w:val="center"/>
            <w:hideMark/>
          </w:tcPr>
          <w:p w:rsidR="003D59AF" w:rsidRPr="00EE4B60" w:rsidRDefault="003D59AF" w:rsidP="001C27A1">
            <w:pPr>
              <w:spacing w:line="276" w:lineRule="auto"/>
              <w:jc w:val="center"/>
              <w:rPr>
                <w:rFonts w:eastAsia="Times New Roman"/>
                <w:b/>
                <w:i/>
                <w:sz w:val="20"/>
                <w:szCs w:val="20"/>
                <w:highlight w:val="yellow"/>
                <w:lang w:eastAsia="en-US"/>
              </w:rPr>
            </w:pPr>
            <w:r w:rsidRPr="00EE4B60">
              <w:rPr>
                <w:rFonts w:eastAsia="Times New Roman"/>
                <w:b/>
                <w:i/>
                <w:sz w:val="20"/>
                <w:szCs w:val="20"/>
                <w:lang w:eastAsia="en-US"/>
              </w:rPr>
              <w:t>Подпрограмма «Развитие производства и потребления композиционных материалов и изделий из них в ВО»</w:t>
            </w:r>
          </w:p>
        </w:tc>
      </w:tr>
      <w:tr w:rsidR="003D59AF" w:rsidRPr="00A522C5" w:rsidTr="00574354">
        <w:trPr>
          <w:trHeight w:val="510"/>
        </w:trPr>
        <w:tc>
          <w:tcPr>
            <w:tcW w:w="359" w:type="dxa"/>
            <w:vAlign w:val="center"/>
            <w:hideMark/>
          </w:tcPr>
          <w:p w:rsidR="003D59AF" w:rsidRPr="00F04441" w:rsidRDefault="003D59AF" w:rsidP="001C27A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04441">
              <w:rPr>
                <w:rFonts w:eastAsia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805" w:type="dxa"/>
            <w:vAlign w:val="center"/>
            <w:hideMark/>
          </w:tcPr>
          <w:p w:rsidR="003D59AF" w:rsidRPr="00F04441" w:rsidRDefault="003D59AF" w:rsidP="001C27A1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F04441">
              <w:rPr>
                <w:rFonts w:eastAsia="Times New Roman"/>
                <w:sz w:val="20"/>
                <w:szCs w:val="20"/>
                <w:lang w:eastAsia="en-US"/>
              </w:rPr>
              <w:t>Кол-во наименований композитной продукции, производимой промышленными предприятиями ВО (ед)</w:t>
            </w:r>
          </w:p>
        </w:tc>
        <w:tc>
          <w:tcPr>
            <w:tcW w:w="708" w:type="dxa"/>
            <w:vAlign w:val="center"/>
            <w:hideMark/>
          </w:tcPr>
          <w:p w:rsidR="003D59AF" w:rsidRPr="00F04441" w:rsidRDefault="00F04441" w:rsidP="001C27A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04441">
              <w:rPr>
                <w:rFonts w:eastAsia="Times New Roman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708" w:type="dxa"/>
            <w:vAlign w:val="center"/>
            <w:hideMark/>
          </w:tcPr>
          <w:p w:rsidR="003D59AF" w:rsidRPr="00F04441" w:rsidRDefault="00F04441" w:rsidP="001C27A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04441">
              <w:rPr>
                <w:rFonts w:eastAsia="Times New Roman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1134" w:type="dxa"/>
            <w:noWrap/>
            <w:vAlign w:val="center"/>
            <w:hideMark/>
          </w:tcPr>
          <w:p w:rsidR="003D59AF" w:rsidRPr="00A522C5" w:rsidRDefault="003D59AF" w:rsidP="001C27A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eastAsia="en-US"/>
              </w:rPr>
            </w:pPr>
            <w:r w:rsidRPr="00753B79">
              <w:rPr>
                <w:rFonts w:eastAsia="Times New Roman"/>
                <w:sz w:val="20"/>
                <w:szCs w:val="20"/>
                <w:lang w:eastAsia="en-US"/>
              </w:rPr>
              <w:t>10</w:t>
            </w:r>
            <w:r w:rsidR="00753B79" w:rsidRPr="00753B79">
              <w:rPr>
                <w:rFonts w:eastAsia="Times New Roman"/>
                <w:sz w:val="20"/>
                <w:szCs w:val="20"/>
                <w:lang w:eastAsia="en-US"/>
              </w:rPr>
              <w:t>8,3</w:t>
            </w:r>
          </w:p>
        </w:tc>
      </w:tr>
      <w:tr w:rsidR="003D59AF" w:rsidRPr="00A522C5" w:rsidTr="00574354">
        <w:trPr>
          <w:trHeight w:val="510"/>
        </w:trPr>
        <w:tc>
          <w:tcPr>
            <w:tcW w:w="359" w:type="dxa"/>
            <w:vAlign w:val="center"/>
            <w:hideMark/>
          </w:tcPr>
          <w:p w:rsidR="003D59AF" w:rsidRPr="00F04441" w:rsidRDefault="003D59AF" w:rsidP="001C27A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04441">
              <w:rPr>
                <w:rFonts w:eastAsia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805" w:type="dxa"/>
            <w:vAlign w:val="center"/>
            <w:hideMark/>
          </w:tcPr>
          <w:p w:rsidR="003D59AF" w:rsidRPr="00F04441" w:rsidRDefault="003D59AF" w:rsidP="001C27A1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F04441">
              <w:rPr>
                <w:rFonts w:eastAsia="Times New Roman"/>
                <w:sz w:val="20"/>
                <w:szCs w:val="20"/>
                <w:lang w:eastAsia="en-US"/>
              </w:rPr>
              <w:t>Общее кол-во региональных предприятий и организаций, производящих композиционные материалы, конструкции и изделия из них (ед)</w:t>
            </w:r>
          </w:p>
        </w:tc>
        <w:tc>
          <w:tcPr>
            <w:tcW w:w="708" w:type="dxa"/>
            <w:vAlign w:val="center"/>
            <w:hideMark/>
          </w:tcPr>
          <w:p w:rsidR="003D59AF" w:rsidRPr="00343427" w:rsidRDefault="003D59AF" w:rsidP="001C27A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343427">
              <w:rPr>
                <w:rFonts w:eastAsia="Times New Roman"/>
                <w:sz w:val="20"/>
                <w:szCs w:val="20"/>
                <w:lang w:eastAsia="en-US"/>
              </w:rPr>
              <w:t>1</w:t>
            </w:r>
            <w:r w:rsidR="00343427" w:rsidRPr="00343427">
              <w:rPr>
                <w:rFonts w:eastAsia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8" w:type="dxa"/>
            <w:vAlign w:val="center"/>
            <w:hideMark/>
          </w:tcPr>
          <w:p w:rsidR="003D59AF" w:rsidRPr="00343427" w:rsidRDefault="00343427" w:rsidP="001C27A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343427">
              <w:rPr>
                <w:rFonts w:eastAsia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134" w:type="dxa"/>
            <w:noWrap/>
            <w:vAlign w:val="center"/>
            <w:hideMark/>
          </w:tcPr>
          <w:p w:rsidR="003D59AF" w:rsidRPr="00A522C5" w:rsidRDefault="00343427" w:rsidP="001C27A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в 1,4 раза</w:t>
            </w:r>
          </w:p>
        </w:tc>
      </w:tr>
      <w:tr w:rsidR="003D59AF" w:rsidRPr="00A522C5" w:rsidTr="00574354">
        <w:trPr>
          <w:trHeight w:val="510"/>
        </w:trPr>
        <w:tc>
          <w:tcPr>
            <w:tcW w:w="359" w:type="dxa"/>
            <w:vAlign w:val="center"/>
            <w:hideMark/>
          </w:tcPr>
          <w:p w:rsidR="003D59AF" w:rsidRPr="00F04441" w:rsidRDefault="003D59AF" w:rsidP="001C27A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04441">
              <w:rPr>
                <w:rFonts w:eastAsia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805" w:type="dxa"/>
            <w:vAlign w:val="center"/>
            <w:hideMark/>
          </w:tcPr>
          <w:p w:rsidR="003D59AF" w:rsidRPr="00F04441" w:rsidRDefault="003D59AF" w:rsidP="001C27A1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F04441">
              <w:rPr>
                <w:rFonts w:eastAsia="Times New Roman"/>
                <w:sz w:val="20"/>
                <w:szCs w:val="20"/>
                <w:lang w:eastAsia="en-US"/>
              </w:rPr>
              <w:t>Кол-во наименований композитной продукции, потребляемой предприятиями и организациями ВО (ед)</w:t>
            </w:r>
          </w:p>
        </w:tc>
        <w:tc>
          <w:tcPr>
            <w:tcW w:w="708" w:type="dxa"/>
            <w:vAlign w:val="center"/>
            <w:hideMark/>
          </w:tcPr>
          <w:p w:rsidR="003D59AF" w:rsidRPr="00F04441" w:rsidRDefault="00F04441" w:rsidP="001C27A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708" w:type="dxa"/>
            <w:vAlign w:val="center"/>
            <w:hideMark/>
          </w:tcPr>
          <w:p w:rsidR="003D59AF" w:rsidRPr="00F04441" w:rsidRDefault="00F04441" w:rsidP="001C27A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5</w:t>
            </w:r>
            <w:r w:rsidRPr="00F04441">
              <w:rPr>
                <w:rFonts w:eastAsia="Times New Roman"/>
                <w:sz w:val="20"/>
                <w:szCs w:val="20"/>
                <w:lang w:eastAsia="en-US"/>
              </w:rPr>
              <w:t>1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134" w:type="dxa"/>
            <w:noWrap/>
            <w:vAlign w:val="center"/>
            <w:hideMark/>
          </w:tcPr>
          <w:p w:rsidR="003D59AF" w:rsidRPr="00A522C5" w:rsidRDefault="004945B8" w:rsidP="001C27A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eastAsia="en-US"/>
              </w:rPr>
            </w:pPr>
            <w:r w:rsidRPr="004945B8">
              <w:rPr>
                <w:rFonts w:eastAsia="Times New Roman"/>
                <w:sz w:val="20"/>
                <w:szCs w:val="20"/>
                <w:lang w:eastAsia="en-US"/>
              </w:rPr>
              <w:t>106,3</w:t>
            </w:r>
          </w:p>
        </w:tc>
      </w:tr>
      <w:tr w:rsidR="003D59AF" w:rsidRPr="00A522C5" w:rsidTr="00574354">
        <w:trPr>
          <w:trHeight w:val="315"/>
        </w:trPr>
        <w:tc>
          <w:tcPr>
            <w:tcW w:w="359" w:type="dxa"/>
            <w:vAlign w:val="center"/>
            <w:hideMark/>
          </w:tcPr>
          <w:p w:rsidR="003D59AF" w:rsidRPr="00F04441" w:rsidRDefault="003D59AF" w:rsidP="001C27A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04441">
              <w:rPr>
                <w:rFonts w:eastAsia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805" w:type="dxa"/>
            <w:vAlign w:val="center"/>
            <w:hideMark/>
          </w:tcPr>
          <w:p w:rsidR="003D59AF" w:rsidRPr="00F04441" w:rsidRDefault="003D59AF" w:rsidP="001C27A1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F04441">
              <w:rPr>
                <w:rFonts w:eastAsia="Times New Roman"/>
                <w:sz w:val="20"/>
                <w:szCs w:val="20"/>
                <w:lang w:eastAsia="en-US"/>
              </w:rPr>
              <w:t>Общее кол-во региональных предприятий, потребляющих композиты и изделия из них (ед)</w:t>
            </w:r>
          </w:p>
        </w:tc>
        <w:tc>
          <w:tcPr>
            <w:tcW w:w="708" w:type="dxa"/>
            <w:vAlign w:val="center"/>
            <w:hideMark/>
          </w:tcPr>
          <w:p w:rsidR="003D59AF" w:rsidRPr="00F04441" w:rsidRDefault="00F04441" w:rsidP="001C27A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04441">
              <w:rPr>
                <w:rFonts w:eastAsia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708" w:type="dxa"/>
            <w:vAlign w:val="center"/>
            <w:hideMark/>
          </w:tcPr>
          <w:p w:rsidR="003D59AF" w:rsidRPr="00F04441" w:rsidRDefault="00F04441" w:rsidP="001C27A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04441">
              <w:rPr>
                <w:rFonts w:eastAsia="Times New Roman"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1134" w:type="dxa"/>
            <w:noWrap/>
            <w:vAlign w:val="center"/>
            <w:hideMark/>
          </w:tcPr>
          <w:p w:rsidR="003D59AF" w:rsidRPr="00A522C5" w:rsidRDefault="00343427" w:rsidP="001C27A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в 3,9</w:t>
            </w:r>
            <w:r w:rsidR="003D59AF" w:rsidRPr="004945B8">
              <w:rPr>
                <w:rFonts w:eastAsia="Times New Roman"/>
                <w:sz w:val="20"/>
                <w:szCs w:val="20"/>
                <w:lang w:eastAsia="en-US"/>
              </w:rPr>
              <w:t xml:space="preserve"> раз</w:t>
            </w:r>
            <w:r w:rsidR="004945B8" w:rsidRPr="004945B8">
              <w:rPr>
                <w:rFonts w:eastAsia="Times New Roman"/>
                <w:sz w:val="20"/>
                <w:szCs w:val="20"/>
                <w:lang w:eastAsia="en-US"/>
              </w:rPr>
              <w:t>а</w:t>
            </w:r>
          </w:p>
        </w:tc>
      </w:tr>
      <w:tr w:rsidR="003D59AF" w:rsidRPr="00A522C5" w:rsidTr="00574354">
        <w:trPr>
          <w:trHeight w:val="765"/>
        </w:trPr>
        <w:tc>
          <w:tcPr>
            <w:tcW w:w="359" w:type="dxa"/>
            <w:vAlign w:val="center"/>
            <w:hideMark/>
          </w:tcPr>
          <w:p w:rsidR="003D59AF" w:rsidRPr="00F04441" w:rsidRDefault="003D59AF" w:rsidP="001C27A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04441">
              <w:rPr>
                <w:rFonts w:eastAsia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805" w:type="dxa"/>
            <w:vAlign w:val="center"/>
            <w:hideMark/>
          </w:tcPr>
          <w:p w:rsidR="003D59AF" w:rsidRPr="00F04441" w:rsidRDefault="003D59AF" w:rsidP="001C27A1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F04441">
              <w:rPr>
                <w:rFonts w:eastAsia="Times New Roman"/>
                <w:sz w:val="20"/>
                <w:szCs w:val="20"/>
                <w:lang w:eastAsia="en-US"/>
              </w:rPr>
              <w:t>Кол-во инновационных разработок региональных образовательных, научных организаций и малых инновационных предприятий в сфере производства композиционных материалов и изделий из них (ед)</w:t>
            </w:r>
          </w:p>
        </w:tc>
        <w:tc>
          <w:tcPr>
            <w:tcW w:w="708" w:type="dxa"/>
            <w:vAlign w:val="center"/>
            <w:hideMark/>
          </w:tcPr>
          <w:p w:rsidR="003D59AF" w:rsidRPr="00A522C5" w:rsidRDefault="003D59AF" w:rsidP="001C27A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eastAsia="en-US"/>
              </w:rPr>
            </w:pPr>
            <w:r w:rsidRPr="00682399">
              <w:rPr>
                <w:rFonts w:eastAsia="Times New Roman"/>
                <w:sz w:val="20"/>
                <w:szCs w:val="20"/>
                <w:lang w:eastAsia="en-US"/>
              </w:rPr>
              <w:t>2</w:t>
            </w:r>
            <w:r w:rsidR="00682399" w:rsidRPr="00682399">
              <w:rPr>
                <w:rFonts w:eastAsia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8" w:type="dxa"/>
            <w:vAlign w:val="center"/>
            <w:hideMark/>
          </w:tcPr>
          <w:p w:rsidR="003D59AF" w:rsidRPr="00A522C5" w:rsidRDefault="003D59AF" w:rsidP="001C27A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eastAsia="en-US"/>
              </w:rPr>
            </w:pPr>
            <w:r w:rsidRPr="00F04441">
              <w:rPr>
                <w:rFonts w:eastAsia="Times New Roman"/>
                <w:sz w:val="20"/>
                <w:szCs w:val="20"/>
                <w:lang w:eastAsia="en-US"/>
              </w:rPr>
              <w:t>2</w:t>
            </w:r>
            <w:r w:rsidR="00F04441" w:rsidRPr="00F04441">
              <w:rPr>
                <w:rFonts w:eastAsia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noWrap/>
            <w:vAlign w:val="center"/>
            <w:hideMark/>
          </w:tcPr>
          <w:p w:rsidR="003D59AF" w:rsidRPr="00A522C5" w:rsidRDefault="004945B8" w:rsidP="001C27A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eastAsia="en-US"/>
              </w:rPr>
            </w:pPr>
            <w:r w:rsidRPr="004945B8">
              <w:rPr>
                <w:rFonts w:eastAsia="Times New Roman"/>
                <w:sz w:val="20"/>
                <w:szCs w:val="20"/>
                <w:lang w:eastAsia="en-US"/>
              </w:rPr>
              <w:t>1</w:t>
            </w:r>
            <w:r w:rsidR="00682399">
              <w:rPr>
                <w:rFonts w:eastAsia="Times New Roman"/>
                <w:sz w:val="20"/>
                <w:szCs w:val="20"/>
                <w:lang w:eastAsia="en-US"/>
              </w:rPr>
              <w:t>21,7</w:t>
            </w:r>
          </w:p>
        </w:tc>
      </w:tr>
      <w:tr w:rsidR="003D59AF" w:rsidRPr="00F04441" w:rsidTr="00EE4B60">
        <w:trPr>
          <w:trHeight w:val="315"/>
        </w:trPr>
        <w:tc>
          <w:tcPr>
            <w:tcW w:w="9714" w:type="dxa"/>
            <w:gridSpan w:val="5"/>
            <w:shd w:val="clear" w:color="auto" w:fill="auto"/>
            <w:vAlign w:val="center"/>
            <w:hideMark/>
          </w:tcPr>
          <w:p w:rsidR="003D59AF" w:rsidRPr="00EE4B60" w:rsidRDefault="003D59AF" w:rsidP="001C27A1">
            <w:pPr>
              <w:spacing w:line="276" w:lineRule="auto"/>
              <w:jc w:val="center"/>
              <w:rPr>
                <w:rFonts w:eastAsia="Times New Roman"/>
                <w:b/>
                <w:i/>
                <w:sz w:val="20"/>
                <w:szCs w:val="20"/>
                <w:lang w:eastAsia="en-US"/>
              </w:rPr>
            </w:pPr>
            <w:r w:rsidRPr="00EE4B60">
              <w:rPr>
                <w:rFonts w:eastAsia="Times New Roman"/>
                <w:b/>
                <w:i/>
                <w:sz w:val="20"/>
                <w:szCs w:val="20"/>
                <w:lang w:eastAsia="en-US"/>
              </w:rPr>
              <w:t>Подпрограмма «Повышение эффективности взаимодействия с субъектами промышленной деятельности</w:t>
            </w:r>
            <w:r w:rsidRPr="00EE4B60">
              <w:rPr>
                <w:rFonts w:eastAsia="Times New Roman"/>
                <w:sz w:val="20"/>
                <w:szCs w:val="20"/>
                <w:lang w:eastAsia="en-US"/>
              </w:rPr>
              <w:t>»</w:t>
            </w:r>
          </w:p>
        </w:tc>
      </w:tr>
      <w:tr w:rsidR="003D59AF" w:rsidRPr="00A522C5" w:rsidTr="00EE4B60">
        <w:trPr>
          <w:trHeight w:val="510"/>
        </w:trPr>
        <w:tc>
          <w:tcPr>
            <w:tcW w:w="359" w:type="dxa"/>
            <w:vAlign w:val="center"/>
            <w:hideMark/>
          </w:tcPr>
          <w:p w:rsidR="003D59AF" w:rsidRPr="00F04441" w:rsidRDefault="003D59AF" w:rsidP="001C27A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04441">
              <w:rPr>
                <w:rFonts w:eastAsia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805" w:type="dxa"/>
            <w:vAlign w:val="center"/>
            <w:hideMark/>
          </w:tcPr>
          <w:p w:rsidR="003D59AF" w:rsidRPr="00F04441" w:rsidRDefault="003D59AF" w:rsidP="001C27A1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F04441">
              <w:rPr>
                <w:rFonts w:eastAsia="Times New Roman"/>
                <w:sz w:val="20"/>
                <w:szCs w:val="20"/>
                <w:lang w:eastAsia="en-US"/>
              </w:rPr>
              <w:t>Кол-во субъектов деятельности в сфере промышленности ВО, освоивших производство импортозамещающих видов продукции (ед)</w:t>
            </w:r>
          </w:p>
        </w:tc>
        <w:tc>
          <w:tcPr>
            <w:tcW w:w="708" w:type="dxa"/>
            <w:vAlign w:val="center"/>
            <w:hideMark/>
          </w:tcPr>
          <w:p w:rsidR="003D59AF" w:rsidRPr="00F04441" w:rsidRDefault="003D59AF" w:rsidP="001C27A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04441">
              <w:rPr>
                <w:rFonts w:eastAsia="Times New Roman"/>
                <w:sz w:val="20"/>
                <w:szCs w:val="20"/>
                <w:lang w:eastAsia="en-US"/>
              </w:rPr>
              <w:t>4</w:t>
            </w:r>
            <w:r w:rsidR="00F04441" w:rsidRPr="00F04441">
              <w:rPr>
                <w:rFonts w:eastAsia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8" w:type="dxa"/>
            <w:vAlign w:val="center"/>
            <w:hideMark/>
          </w:tcPr>
          <w:p w:rsidR="003D59AF" w:rsidRPr="00F04441" w:rsidRDefault="00F04441" w:rsidP="001C27A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04441">
              <w:rPr>
                <w:rFonts w:eastAsia="Times New Roman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59AF" w:rsidRPr="00A522C5" w:rsidRDefault="003D59AF" w:rsidP="001C27A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eastAsia="en-US"/>
              </w:rPr>
            </w:pPr>
            <w:r w:rsidRPr="004945B8">
              <w:rPr>
                <w:rFonts w:eastAsia="Times New Roman"/>
                <w:sz w:val="20"/>
                <w:szCs w:val="20"/>
                <w:lang w:eastAsia="en-US"/>
              </w:rPr>
              <w:t>11</w:t>
            </w:r>
            <w:r w:rsidR="004945B8" w:rsidRPr="004945B8">
              <w:rPr>
                <w:rFonts w:eastAsia="Times New Roman"/>
                <w:sz w:val="20"/>
                <w:szCs w:val="20"/>
                <w:lang w:eastAsia="en-US"/>
              </w:rPr>
              <w:t>7,8</w:t>
            </w:r>
          </w:p>
        </w:tc>
      </w:tr>
      <w:tr w:rsidR="003D59AF" w:rsidRPr="00A522C5" w:rsidTr="00574354">
        <w:trPr>
          <w:trHeight w:val="510"/>
        </w:trPr>
        <w:tc>
          <w:tcPr>
            <w:tcW w:w="359" w:type="dxa"/>
            <w:vAlign w:val="center"/>
            <w:hideMark/>
          </w:tcPr>
          <w:p w:rsidR="003D59AF" w:rsidRPr="00F04441" w:rsidRDefault="003D59AF" w:rsidP="001C27A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04441">
              <w:rPr>
                <w:rFonts w:eastAsia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6805" w:type="dxa"/>
            <w:vAlign w:val="center"/>
            <w:hideMark/>
          </w:tcPr>
          <w:p w:rsidR="003D59AF" w:rsidRPr="00F04441" w:rsidRDefault="003D59AF" w:rsidP="001C27A1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F04441">
              <w:rPr>
                <w:rFonts w:eastAsia="Times New Roman"/>
                <w:sz w:val="20"/>
                <w:szCs w:val="20"/>
                <w:lang w:eastAsia="en-US"/>
              </w:rPr>
              <w:t>Кол-во наименований импортозамещающей продукции, производимой промышленными предприятиями ВО (ед)</w:t>
            </w:r>
          </w:p>
        </w:tc>
        <w:tc>
          <w:tcPr>
            <w:tcW w:w="708" w:type="dxa"/>
            <w:vAlign w:val="center"/>
            <w:hideMark/>
          </w:tcPr>
          <w:p w:rsidR="003D59AF" w:rsidRPr="00F04441" w:rsidRDefault="003D59AF" w:rsidP="001C27A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04441">
              <w:rPr>
                <w:rFonts w:eastAsia="Times New Roman"/>
                <w:sz w:val="20"/>
                <w:szCs w:val="20"/>
                <w:lang w:eastAsia="en-US"/>
              </w:rPr>
              <w:t>5</w:t>
            </w:r>
            <w:r w:rsidR="00F04441" w:rsidRPr="00F04441">
              <w:rPr>
                <w:rFonts w:eastAsia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8" w:type="dxa"/>
            <w:vAlign w:val="center"/>
            <w:hideMark/>
          </w:tcPr>
          <w:p w:rsidR="003D59AF" w:rsidRPr="00F04441" w:rsidRDefault="00F04441" w:rsidP="001C27A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04441">
              <w:rPr>
                <w:rFonts w:eastAsia="Times New Roman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1134" w:type="dxa"/>
            <w:noWrap/>
            <w:vAlign w:val="center"/>
            <w:hideMark/>
          </w:tcPr>
          <w:p w:rsidR="003D59AF" w:rsidRPr="00A522C5" w:rsidRDefault="003D59AF" w:rsidP="001C27A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eastAsia="en-US"/>
              </w:rPr>
            </w:pPr>
            <w:r w:rsidRPr="004945B8">
              <w:rPr>
                <w:rFonts w:eastAsia="Times New Roman"/>
                <w:sz w:val="20"/>
                <w:szCs w:val="20"/>
                <w:lang w:eastAsia="en-US"/>
              </w:rPr>
              <w:t>1</w:t>
            </w:r>
            <w:r w:rsidR="004945B8" w:rsidRPr="004945B8">
              <w:rPr>
                <w:rFonts w:eastAsia="Times New Roman"/>
                <w:sz w:val="20"/>
                <w:szCs w:val="20"/>
                <w:lang w:eastAsia="en-US"/>
              </w:rPr>
              <w:t>36,4</w:t>
            </w:r>
          </w:p>
        </w:tc>
      </w:tr>
      <w:tr w:rsidR="003D59AF" w:rsidRPr="00A522C5" w:rsidTr="00574354">
        <w:trPr>
          <w:trHeight w:val="510"/>
        </w:trPr>
        <w:tc>
          <w:tcPr>
            <w:tcW w:w="359" w:type="dxa"/>
            <w:vAlign w:val="center"/>
            <w:hideMark/>
          </w:tcPr>
          <w:p w:rsidR="003D59AF" w:rsidRPr="00F04441" w:rsidRDefault="003D59AF" w:rsidP="001C27A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04441">
              <w:rPr>
                <w:rFonts w:eastAsia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805" w:type="dxa"/>
            <w:vAlign w:val="center"/>
            <w:hideMark/>
          </w:tcPr>
          <w:p w:rsidR="003D59AF" w:rsidRPr="00F04441" w:rsidRDefault="003D59AF" w:rsidP="001C27A1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F04441">
              <w:rPr>
                <w:rFonts w:eastAsia="Times New Roman"/>
                <w:sz w:val="20"/>
                <w:szCs w:val="20"/>
                <w:lang w:eastAsia="en-US"/>
              </w:rPr>
              <w:t>Кол-во субъектов деятельности в сфере промышленности ВО, которым оказано содействие в налаживании кооперационных связей (ед)</w:t>
            </w:r>
          </w:p>
        </w:tc>
        <w:tc>
          <w:tcPr>
            <w:tcW w:w="708" w:type="dxa"/>
            <w:vAlign w:val="center"/>
            <w:hideMark/>
          </w:tcPr>
          <w:p w:rsidR="003D59AF" w:rsidRPr="00F04441" w:rsidRDefault="00F04441" w:rsidP="001C27A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04441">
              <w:rPr>
                <w:rFonts w:eastAsia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08" w:type="dxa"/>
            <w:vAlign w:val="center"/>
            <w:hideMark/>
          </w:tcPr>
          <w:p w:rsidR="003D59AF" w:rsidRPr="00F04441" w:rsidRDefault="003D59AF" w:rsidP="001C27A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04441">
              <w:rPr>
                <w:rFonts w:eastAsia="Times New Roman"/>
                <w:sz w:val="20"/>
                <w:szCs w:val="20"/>
                <w:lang w:eastAsia="en-US"/>
              </w:rPr>
              <w:t>1</w:t>
            </w:r>
            <w:r w:rsidR="00343427">
              <w:rPr>
                <w:rFonts w:eastAsia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134" w:type="dxa"/>
            <w:noWrap/>
            <w:vAlign w:val="center"/>
            <w:hideMark/>
          </w:tcPr>
          <w:p w:rsidR="003D59AF" w:rsidRPr="00A522C5" w:rsidRDefault="00343427" w:rsidP="001C27A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в 2,3</w:t>
            </w:r>
            <w:r w:rsidR="003D59AF" w:rsidRPr="004945B8">
              <w:rPr>
                <w:rFonts w:eastAsia="Times New Roman"/>
                <w:sz w:val="20"/>
                <w:szCs w:val="20"/>
                <w:lang w:eastAsia="en-US"/>
              </w:rPr>
              <w:t xml:space="preserve"> раза</w:t>
            </w:r>
          </w:p>
        </w:tc>
      </w:tr>
      <w:tr w:rsidR="003D59AF" w:rsidRPr="00A522C5" w:rsidTr="00574354">
        <w:trPr>
          <w:trHeight w:val="510"/>
        </w:trPr>
        <w:tc>
          <w:tcPr>
            <w:tcW w:w="359" w:type="dxa"/>
            <w:vAlign w:val="center"/>
            <w:hideMark/>
          </w:tcPr>
          <w:p w:rsidR="003D59AF" w:rsidRPr="00F04441" w:rsidRDefault="003D59AF" w:rsidP="001C27A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04441">
              <w:rPr>
                <w:rFonts w:eastAsia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6805" w:type="dxa"/>
            <w:vAlign w:val="center"/>
            <w:hideMark/>
          </w:tcPr>
          <w:p w:rsidR="003D59AF" w:rsidRPr="00F04441" w:rsidRDefault="003D59AF" w:rsidP="001C27A1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F04441">
              <w:rPr>
                <w:rFonts w:eastAsia="Times New Roman"/>
                <w:sz w:val="20"/>
                <w:szCs w:val="20"/>
                <w:lang w:eastAsia="en-US"/>
              </w:rPr>
              <w:t>Кол-во субъектов деятельности в сфере промышленности ВО, которым оказано содействие по обеспечению рабочими и инженерными кадрами (ед)</w:t>
            </w:r>
          </w:p>
        </w:tc>
        <w:tc>
          <w:tcPr>
            <w:tcW w:w="708" w:type="dxa"/>
            <w:vAlign w:val="center"/>
            <w:hideMark/>
          </w:tcPr>
          <w:p w:rsidR="003D59AF" w:rsidRPr="00A522C5" w:rsidRDefault="00682399" w:rsidP="001C27A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eastAsia="en-US"/>
              </w:rPr>
            </w:pPr>
            <w:r w:rsidRPr="00682399">
              <w:rPr>
                <w:rFonts w:eastAsia="Times New Roman"/>
                <w:sz w:val="20"/>
                <w:szCs w:val="20"/>
                <w:lang w:eastAsia="en-US"/>
              </w:rPr>
              <w:t>14</w:t>
            </w:r>
            <w:r w:rsidR="003D59AF" w:rsidRPr="00682399">
              <w:rPr>
                <w:rFonts w:eastAsia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3D59AF" w:rsidRPr="00A522C5" w:rsidRDefault="003D59AF" w:rsidP="001C27A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eastAsia="en-US"/>
              </w:rPr>
            </w:pPr>
            <w:r w:rsidRPr="00F04441">
              <w:rPr>
                <w:rFonts w:eastAsia="Times New Roman"/>
                <w:sz w:val="20"/>
                <w:szCs w:val="20"/>
                <w:lang w:eastAsia="en-US"/>
              </w:rPr>
              <w:t>1</w:t>
            </w:r>
            <w:r w:rsidR="00F04441" w:rsidRPr="00F04441">
              <w:rPr>
                <w:rFonts w:eastAsia="Times New Roman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1134" w:type="dxa"/>
            <w:noWrap/>
            <w:vAlign w:val="center"/>
            <w:hideMark/>
          </w:tcPr>
          <w:p w:rsidR="003D59AF" w:rsidRPr="00A522C5" w:rsidRDefault="003D59AF" w:rsidP="001C27A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eastAsia="en-US"/>
              </w:rPr>
            </w:pPr>
            <w:r w:rsidRPr="004945B8">
              <w:rPr>
                <w:rFonts w:eastAsia="Times New Roman"/>
                <w:sz w:val="20"/>
                <w:szCs w:val="20"/>
                <w:lang w:eastAsia="en-US"/>
              </w:rPr>
              <w:t>1</w:t>
            </w:r>
            <w:r w:rsidR="00682399">
              <w:rPr>
                <w:rFonts w:eastAsia="Times New Roman"/>
                <w:sz w:val="20"/>
                <w:szCs w:val="20"/>
                <w:lang w:eastAsia="en-US"/>
              </w:rPr>
              <w:t>02,1</w:t>
            </w:r>
          </w:p>
        </w:tc>
      </w:tr>
    </w:tbl>
    <w:p w:rsidR="00F47C92" w:rsidRDefault="003D59AF" w:rsidP="00F47C92">
      <w:pPr>
        <w:autoSpaceDE w:val="0"/>
        <w:autoSpaceDN w:val="0"/>
        <w:adjustRightInd w:val="0"/>
        <w:ind w:firstLine="567"/>
        <w:jc w:val="both"/>
        <w:rPr>
          <w:i/>
          <w:sz w:val="18"/>
          <w:szCs w:val="18"/>
          <w:lang w:eastAsia="en-US"/>
        </w:rPr>
      </w:pPr>
      <w:r w:rsidRPr="00F47C92">
        <w:rPr>
          <w:i/>
          <w:sz w:val="18"/>
          <w:szCs w:val="18"/>
          <w:lang w:eastAsia="en-US"/>
        </w:rPr>
        <w:t>*-</w:t>
      </w:r>
      <w:r w:rsidR="004945B8" w:rsidRPr="00F47C92">
        <w:rPr>
          <w:i/>
          <w:sz w:val="18"/>
          <w:szCs w:val="18"/>
          <w:lang w:eastAsia="en-US"/>
        </w:rPr>
        <w:t>данный показатель в 2017 году рассчи</w:t>
      </w:r>
      <w:r w:rsidR="00117D0B">
        <w:rPr>
          <w:i/>
          <w:sz w:val="18"/>
          <w:szCs w:val="18"/>
          <w:lang w:eastAsia="en-US"/>
        </w:rPr>
        <w:t>тывался с учетом ГОСТ</w:t>
      </w:r>
      <w:r w:rsidR="00671F74">
        <w:rPr>
          <w:i/>
          <w:sz w:val="18"/>
          <w:szCs w:val="18"/>
          <w:lang w:eastAsia="en-US"/>
        </w:rPr>
        <w:t>а</w:t>
      </w:r>
      <w:r w:rsidR="00117D0B">
        <w:rPr>
          <w:i/>
          <w:sz w:val="18"/>
          <w:szCs w:val="18"/>
          <w:lang w:eastAsia="en-US"/>
        </w:rPr>
        <w:t xml:space="preserve"> 32794-2014</w:t>
      </w:r>
    </w:p>
    <w:p w:rsidR="00F47C92" w:rsidRPr="00F47C92" w:rsidRDefault="00F47C92" w:rsidP="00F47C92">
      <w:pPr>
        <w:autoSpaceDE w:val="0"/>
        <w:autoSpaceDN w:val="0"/>
        <w:adjustRightInd w:val="0"/>
        <w:ind w:firstLine="567"/>
        <w:jc w:val="both"/>
        <w:rPr>
          <w:i/>
          <w:sz w:val="18"/>
          <w:szCs w:val="18"/>
          <w:lang w:eastAsia="en-US"/>
        </w:rPr>
      </w:pPr>
    </w:p>
    <w:p w:rsidR="00770D0F" w:rsidRPr="0083185A" w:rsidRDefault="00770D0F" w:rsidP="00770D0F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83185A">
        <w:rPr>
          <w:lang w:eastAsia="en-US"/>
        </w:rPr>
        <w:t xml:space="preserve">Из таблицы видно, что </w:t>
      </w:r>
      <w:r w:rsidRPr="0083185A">
        <w:t>все установленные показатели результативности перевыполнены. Процент перевыполнения ко</w:t>
      </w:r>
      <w:r w:rsidR="004F3CD1" w:rsidRPr="0083185A">
        <w:t xml:space="preserve">леблется в пределах от 2,1% до </w:t>
      </w:r>
      <w:r w:rsidR="00671F74">
        <w:t>3</w:t>
      </w:r>
      <w:r w:rsidRPr="0083185A">
        <w:t>,9 раз</w:t>
      </w:r>
      <w:r w:rsidR="0083185A" w:rsidRPr="0083185A">
        <w:t>а. Такие значительные отклонения</w:t>
      </w:r>
      <w:r w:rsidRPr="0083185A">
        <w:t xml:space="preserve"> о</w:t>
      </w:r>
      <w:r w:rsidR="004B2080">
        <w:t>бусловлены следующими факторами:</w:t>
      </w:r>
      <w:r w:rsidRPr="0083185A">
        <w:t xml:space="preserve"> </w:t>
      </w:r>
    </w:p>
    <w:p w:rsidR="00770D0F" w:rsidRPr="00AB6DD1" w:rsidRDefault="0046528C" w:rsidP="00770D0F">
      <w:pPr>
        <w:ind w:firstLine="709"/>
        <w:jc w:val="both"/>
      </w:pPr>
      <w:r>
        <w:t>-по подпрограмме</w:t>
      </w:r>
      <w:r w:rsidR="00770D0F" w:rsidRPr="00AB6DD1">
        <w:t xml:space="preserve"> «Развитие производства и потребления композиционных</w:t>
      </w:r>
      <w:r w:rsidR="00770D0F" w:rsidRPr="00AB6DD1">
        <w:rPr>
          <w:rFonts w:eastAsia="Times New Roman"/>
          <w:sz w:val="20"/>
          <w:szCs w:val="20"/>
          <w:lang w:eastAsia="en-US"/>
        </w:rPr>
        <w:t xml:space="preserve"> </w:t>
      </w:r>
      <w:r w:rsidR="00770D0F" w:rsidRPr="00AB6DD1">
        <w:t>материалов и из</w:t>
      </w:r>
      <w:r>
        <w:t xml:space="preserve">делий из них в ВО» </w:t>
      </w:r>
      <w:r w:rsidR="00770D0F" w:rsidRPr="00AB6DD1">
        <w:t xml:space="preserve"> увеличение </w:t>
      </w:r>
      <w:r>
        <w:t xml:space="preserve">по всем целевым показателям </w:t>
      </w:r>
      <w:r w:rsidR="00671F74">
        <w:t>произошло в связи с тем, что</w:t>
      </w:r>
      <w:r w:rsidR="00117D0B" w:rsidRPr="00AB6DD1">
        <w:t xml:space="preserve"> Министерством промышленности и торговли Российской Федерации было рекомендовано при определении данного показателя руководствоваться </w:t>
      </w:r>
      <w:r w:rsidR="00770D0F" w:rsidRPr="00AB6DD1">
        <w:t>ГОСТ</w:t>
      </w:r>
      <w:r w:rsidR="00117D0B" w:rsidRPr="00AB6DD1">
        <w:t>ом</w:t>
      </w:r>
      <w:r w:rsidR="00770D0F" w:rsidRPr="00AB6DD1">
        <w:t xml:space="preserve"> 32794-2014</w:t>
      </w:r>
      <w:r w:rsidR="00117D0B" w:rsidRPr="00AB6DD1">
        <w:t xml:space="preserve"> «Композиты полимерные. Термины и определения»</w:t>
      </w:r>
      <w:r w:rsidR="001B0DEA" w:rsidRPr="00AB6DD1">
        <w:t>, в результате чего</w:t>
      </w:r>
      <w:r w:rsidR="00770D0F" w:rsidRPr="00AB6DD1">
        <w:t xml:space="preserve"> список композитно</w:t>
      </w:r>
      <w:r w:rsidR="00117D0B" w:rsidRPr="00AB6DD1">
        <w:t xml:space="preserve">й продукции значительно </w:t>
      </w:r>
      <w:r w:rsidR="001C7AA8" w:rsidRPr="00AB6DD1">
        <w:t>расширился</w:t>
      </w:r>
      <w:r>
        <w:t>, с связи с этим  у</w:t>
      </w:r>
      <w:r w:rsidR="00770D0F" w:rsidRPr="00AB6DD1">
        <w:t xml:space="preserve">величилось  количество производителей композитов и количество потребителей композитной продукции;  </w:t>
      </w:r>
    </w:p>
    <w:p w:rsidR="00770D0F" w:rsidRDefault="0046528C" w:rsidP="00770D0F">
      <w:pPr>
        <w:ind w:firstLine="709"/>
        <w:jc w:val="both"/>
        <w:rPr>
          <w:bCs/>
        </w:rPr>
      </w:pPr>
      <w:r>
        <w:t>-по</w:t>
      </w:r>
      <w:r w:rsidR="00770D0F" w:rsidRPr="00AB6DD1">
        <w:t xml:space="preserve"> подпрог</w:t>
      </w:r>
      <w:r>
        <w:t>рамме</w:t>
      </w:r>
      <w:r w:rsidR="00770D0F" w:rsidRPr="00AB6DD1">
        <w:t xml:space="preserve"> «Развитие промышленной инфраструктуры и инфраструктуры поддержки деяте</w:t>
      </w:r>
      <w:r>
        <w:t>льности в сфере промышленности»</w:t>
      </w:r>
      <w:r w:rsidR="00770D0F" w:rsidRPr="00AB6DD1">
        <w:t xml:space="preserve"> </w:t>
      </w:r>
      <w:r w:rsidR="00770D0F" w:rsidRPr="00AB6DD1">
        <w:rPr>
          <w:bCs/>
        </w:rPr>
        <w:t>по прогнозным данным, предоставленным предприятиями, участвующими в мониторинге деятельности ведущих предприятий  и организаций региона в 2017 году</w:t>
      </w:r>
      <w:r w:rsidR="00AB6DD1" w:rsidRPr="00AB6DD1">
        <w:rPr>
          <w:bCs/>
        </w:rPr>
        <w:t>,</w:t>
      </w:r>
      <w:r w:rsidR="00770D0F" w:rsidRPr="00AB6DD1">
        <w:rPr>
          <w:bCs/>
        </w:rPr>
        <w:t xml:space="preserve"> планировались программы модернизации 27 предприятиями. По итогам мониторинга 52 предприятия направили инвестиции на модернизацию и реконструкцию производства. Рост показателя свидетельствует о вовлечении промышленного комплекса региона в программы модернизации производств, что связано с необходимостью обеспечения  производства высокотехнологичной, конкурентосп</w:t>
      </w:r>
      <w:r w:rsidR="00671F74">
        <w:rPr>
          <w:bCs/>
        </w:rPr>
        <w:t>особной продукцией</w:t>
      </w:r>
      <w:r w:rsidR="00770D0F" w:rsidRPr="00AB6DD1">
        <w:rPr>
          <w:bCs/>
        </w:rPr>
        <w:t>. С целью повышения качества производимой продукции, повышения экономичности за счет рационального и эффективно</w:t>
      </w:r>
      <w:r w:rsidR="00AB6DD1" w:rsidRPr="00AB6DD1">
        <w:rPr>
          <w:bCs/>
        </w:rPr>
        <w:t>го</w:t>
      </w:r>
      <w:r w:rsidR="00770D0F" w:rsidRPr="00AB6DD1">
        <w:rPr>
          <w:bCs/>
        </w:rPr>
        <w:t xml:space="preserve"> использования материальных, финансовых, трудовых и природных ресурсов, обеспечения повышения производительности труда, внедрения ресурсосберегающих технологий,  обеспечения соответствия требованиям технологической и экологической безопасности, промышленным </w:t>
      </w:r>
      <w:r w:rsidR="00770D0F" w:rsidRPr="00AB6DD1">
        <w:rPr>
          <w:bCs/>
        </w:rPr>
        <w:lastRenderedPageBreak/>
        <w:t>комплексом  модернизируется станочный парк, заменяются изношенные (в том числе морально ус</w:t>
      </w:r>
      <w:r w:rsidR="004B2080">
        <w:rPr>
          <w:bCs/>
        </w:rPr>
        <w:t>таревшие) станки и оборудование.</w:t>
      </w:r>
    </w:p>
    <w:p w:rsidR="004B2080" w:rsidRPr="001E579E" w:rsidRDefault="0046528C" w:rsidP="001E579E">
      <w:pPr>
        <w:ind w:firstLine="709"/>
        <w:jc w:val="both"/>
      </w:pPr>
      <w:r>
        <w:t>По указанным двум подпрограммам отмечается значительное перев</w:t>
      </w:r>
      <w:r w:rsidR="00671F74">
        <w:t>ыполнение плановых показателей. В</w:t>
      </w:r>
      <w:r w:rsidR="002F1309">
        <w:t>месте с тем</w:t>
      </w:r>
      <w:r>
        <w:t xml:space="preserve"> в</w:t>
      </w:r>
      <w:r w:rsidR="004B2080" w:rsidRPr="001C7AA8">
        <w:t xml:space="preserve"> соответствии с п.2.5 </w:t>
      </w:r>
      <w:hyperlink r:id="rId8" w:history="1">
        <w:r w:rsidR="004B2080" w:rsidRPr="001C7AA8">
          <w:t xml:space="preserve">постановления </w:t>
        </w:r>
        <w:r w:rsidR="004B2080">
          <w:t>Правительства Волгоградской области</w:t>
        </w:r>
        <w:r w:rsidR="004B2080" w:rsidRPr="001C7AA8">
          <w:t xml:space="preserve"> от 27.08.2013 №423-п «Об утверждении Порядка разработки, реализации и оценки эффективности реализации государственных программ Волгоградской области»</w:t>
        </w:r>
      </w:hyperlink>
      <w:r w:rsidR="004B2080">
        <w:t xml:space="preserve"> (далее – Постановление №423-п)</w:t>
      </w:r>
      <w:r w:rsidR="004B2080" w:rsidRPr="001C7AA8">
        <w:t xml:space="preserve"> </w:t>
      </w:r>
      <w:r w:rsidR="004B2080" w:rsidRPr="001C7AA8">
        <w:rPr>
          <w:u w:val="single"/>
        </w:rPr>
        <w:t>целевые показатели должны иметь количественные значения, отражающие фактическое описание ситуации на дату разработк</w:t>
      </w:r>
      <w:r w:rsidR="004B2080" w:rsidRPr="001C7AA8">
        <w:t>и и утверждения государственной программы и запланированные по годам реализации государственной программы, измеряемые или рассчитываемые по установленным методикам, и определяться на основе данных официальной ведомственной и (или) статистической отчетности</w:t>
      </w:r>
      <w:r w:rsidR="004B2080">
        <w:t>.</w:t>
      </w:r>
    </w:p>
    <w:p w:rsidR="004B2080" w:rsidRDefault="0046528C" w:rsidP="004B2080">
      <w:pPr>
        <w:ind w:firstLine="709"/>
        <w:jc w:val="both"/>
      </w:pPr>
      <w:r>
        <w:t>Необоснованное занижение</w:t>
      </w:r>
      <w:r w:rsidR="004B2080" w:rsidRPr="008616F0">
        <w:t xml:space="preserve"> плановых целевых показателей</w:t>
      </w:r>
      <w:r w:rsidR="001E579E">
        <w:t xml:space="preserve"> указанных</w:t>
      </w:r>
      <w:r w:rsidR="004B2080" w:rsidRPr="008616F0">
        <w:t xml:space="preserve"> </w:t>
      </w:r>
      <w:r w:rsidR="001E579E">
        <w:t>подпрограмм</w:t>
      </w:r>
      <w:r w:rsidR="004B2080" w:rsidRPr="008616F0">
        <w:t xml:space="preserve"> может повлиять на объективную оценку эфф</w:t>
      </w:r>
      <w:r w:rsidR="0049555D">
        <w:t>ективности реализации программы</w:t>
      </w:r>
      <w:r>
        <w:t>, в связи с чем</w:t>
      </w:r>
      <w:r w:rsidR="004B2080" w:rsidRPr="008616F0">
        <w:t xml:space="preserve"> необходимо обеспечить корректировку вышеназванных показателей.</w:t>
      </w:r>
    </w:p>
    <w:p w:rsidR="008054CB" w:rsidRPr="00A26063" w:rsidRDefault="0046528C" w:rsidP="00A26063">
      <w:pPr>
        <w:ind w:firstLine="709"/>
        <w:jc w:val="both"/>
      </w:pPr>
      <w:r w:rsidRPr="00A26063">
        <w:t>-по подпрограмме</w:t>
      </w:r>
      <w:r w:rsidR="00770D0F" w:rsidRPr="00A26063">
        <w:t xml:space="preserve"> «Повышение эффективности взаимодействия с субъек</w:t>
      </w:r>
      <w:r w:rsidR="00CE0EC0" w:rsidRPr="00A26063">
        <w:t>тами промышленной деятельности»</w:t>
      </w:r>
      <w:r w:rsidR="00A26063" w:rsidRPr="00A26063">
        <w:t xml:space="preserve"> </w:t>
      </w:r>
      <w:r w:rsidR="00A26063" w:rsidRPr="00AB6DD1">
        <w:t xml:space="preserve">увеличение </w:t>
      </w:r>
      <w:r w:rsidR="00A26063">
        <w:t>по всем целевым показателям произошло в связи с тем, что в</w:t>
      </w:r>
      <w:r w:rsidR="00770D0F" w:rsidRPr="00A26063">
        <w:rPr>
          <w:bCs/>
        </w:rPr>
        <w:t xml:space="preserve"> 2017 году Комитетом проводилась работа по установлению и развитию кооперационных связей между предприятиями, а также вовлечению промышленного потенциала региона в реали</w:t>
      </w:r>
      <w:r w:rsidR="00AB6DD1" w:rsidRPr="00A26063">
        <w:rPr>
          <w:bCs/>
        </w:rPr>
        <w:t>зацию инфраструктурных проектов, в</w:t>
      </w:r>
      <w:r w:rsidR="00770D0F" w:rsidRPr="00A26063">
        <w:rPr>
          <w:bCs/>
        </w:rPr>
        <w:t xml:space="preserve"> том числе путем проведения расширенных рабочих совещаний с активным привлечением малых и средних промышленных предприятий региона.</w:t>
      </w:r>
      <w:r w:rsidR="001C04FF" w:rsidRPr="00A26063">
        <w:t xml:space="preserve"> </w:t>
      </w:r>
      <w:r w:rsidR="00770D0F" w:rsidRPr="00A26063">
        <w:rPr>
          <w:bCs/>
        </w:rPr>
        <w:t>Кроме того, в 2017 году осуществлялась работа по информированию субъектов РФ о функционировании интернет ресурса «Интерактивный классификатор промышленно</w:t>
      </w:r>
      <w:r w:rsidR="00671F74">
        <w:rPr>
          <w:bCs/>
        </w:rPr>
        <w:t>сти Волгоградской области». Так</w:t>
      </w:r>
      <w:r w:rsidR="00770D0F" w:rsidRPr="00A26063">
        <w:rPr>
          <w:bCs/>
        </w:rPr>
        <w:t>же проводилась систематическая работа по организации участия промышленных предприятий Волгоградской области в межрегиональных конгрессно-выставочных мероприятиях. В 2017 году региональные предприятия приняли участие в международной специализированной выставке «Импртозамещение-2017», 17-й Всероссийской промышленной выставке «ПромЭКСПО», 17-й Межрегиональной специализированной промышленной выставке «Пром-Volga 2017», международной промышленной выставке «ИННОПРОМ-2017».</w:t>
      </w:r>
    </w:p>
    <w:p w:rsidR="00561ACE" w:rsidRPr="004B2080" w:rsidRDefault="0046528C" w:rsidP="000268BD">
      <w:pPr>
        <w:ind w:firstLine="709"/>
        <w:jc w:val="both"/>
        <w:rPr>
          <w:bCs/>
        </w:rPr>
      </w:pPr>
      <w:r w:rsidRPr="00A26063">
        <w:rPr>
          <w:bCs/>
        </w:rPr>
        <w:t>Значительное перевыполнение плановых показателей</w:t>
      </w:r>
      <w:r w:rsidR="001E579E">
        <w:rPr>
          <w:bCs/>
        </w:rPr>
        <w:t xml:space="preserve"> по указанной подпрограмме</w:t>
      </w:r>
      <w:r w:rsidRPr="00A26063">
        <w:rPr>
          <w:bCs/>
        </w:rPr>
        <w:t xml:space="preserve"> обусловлено в основном работой </w:t>
      </w:r>
      <w:r w:rsidR="00CE0EC0" w:rsidRPr="00A26063">
        <w:rPr>
          <w:bCs/>
        </w:rPr>
        <w:t>Комитета по наполнению</w:t>
      </w:r>
      <w:r w:rsidR="00770D0F" w:rsidRPr="00A26063">
        <w:rPr>
          <w:bCs/>
        </w:rPr>
        <w:t xml:space="preserve"> интернет ресурса «Интерактивный классификатор промышленности Волгоградской области»</w:t>
      </w:r>
      <w:r w:rsidR="00CE0EC0" w:rsidRPr="00A26063">
        <w:rPr>
          <w:bCs/>
        </w:rPr>
        <w:t>. По пояснению Комитета</w:t>
      </w:r>
      <w:r w:rsidR="00671F74">
        <w:rPr>
          <w:bCs/>
        </w:rPr>
        <w:t>,</w:t>
      </w:r>
      <w:r w:rsidR="00CE0EC0" w:rsidRPr="00A26063">
        <w:rPr>
          <w:bCs/>
        </w:rPr>
        <w:t xml:space="preserve"> </w:t>
      </w:r>
      <w:r w:rsidR="00770D0F" w:rsidRPr="00A26063">
        <w:rPr>
          <w:bCs/>
        </w:rPr>
        <w:t xml:space="preserve">в 2018 году существенного увеличения </w:t>
      </w:r>
      <w:r w:rsidR="00A26063">
        <w:rPr>
          <w:bCs/>
        </w:rPr>
        <w:t xml:space="preserve"> </w:t>
      </w:r>
      <w:r w:rsidR="00A26063" w:rsidRPr="00A26063">
        <w:rPr>
          <w:bCs/>
        </w:rPr>
        <w:t>целевых показателей</w:t>
      </w:r>
      <w:r w:rsidR="00AE047D">
        <w:rPr>
          <w:bCs/>
        </w:rPr>
        <w:t xml:space="preserve"> по </w:t>
      </w:r>
      <w:r w:rsidR="00AE047D" w:rsidRPr="00A26063">
        <w:t>подпрограмме «Повышение эффективности взаимодействия с субъектами промышленной деятельности»</w:t>
      </w:r>
      <w:r w:rsidR="00A26063" w:rsidRPr="00A26063">
        <w:rPr>
          <w:bCs/>
        </w:rPr>
        <w:t xml:space="preserve"> </w:t>
      </w:r>
      <w:r w:rsidR="00770D0F" w:rsidRPr="00A26063">
        <w:rPr>
          <w:bCs/>
        </w:rPr>
        <w:t>не планируется.</w:t>
      </w:r>
    </w:p>
    <w:p w:rsidR="00462D6A" w:rsidRDefault="00462D6A" w:rsidP="00EE4B60">
      <w:pPr>
        <w:autoSpaceDE w:val="0"/>
        <w:autoSpaceDN w:val="0"/>
        <w:adjustRightInd w:val="0"/>
        <w:rPr>
          <w:b/>
          <w:i/>
        </w:rPr>
      </w:pPr>
    </w:p>
    <w:p w:rsidR="00920158" w:rsidRPr="00911035" w:rsidRDefault="00920158" w:rsidP="00920158">
      <w:pPr>
        <w:autoSpaceDE w:val="0"/>
        <w:autoSpaceDN w:val="0"/>
        <w:adjustRightInd w:val="0"/>
        <w:ind w:firstLine="720"/>
        <w:jc w:val="center"/>
        <w:rPr>
          <w:b/>
          <w:i/>
        </w:rPr>
      </w:pPr>
      <w:r w:rsidRPr="00911035">
        <w:rPr>
          <w:b/>
          <w:i/>
        </w:rPr>
        <w:t>Организация внутреннего финансового контроля и внутреннего финансового аудита.</w:t>
      </w:r>
    </w:p>
    <w:p w:rsidR="00911035" w:rsidRPr="00632E9B" w:rsidRDefault="00911035" w:rsidP="00911035">
      <w:pPr>
        <w:pStyle w:val="afc"/>
        <w:ind w:left="0" w:firstLine="709"/>
        <w:rPr>
          <w:rFonts w:ascii="Times New Roman" w:hAnsi="Times New Roman" w:cs="Times New Roman"/>
          <w:lang w:eastAsia="ru-RU"/>
        </w:rPr>
      </w:pPr>
      <w:bookmarkStart w:id="1" w:name="sub_160214"/>
      <w:r w:rsidRPr="00632E9B">
        <w:rPr>
          <w:rFonts w:ascii="Times New Roman" w:hAnsi="Times New Roman" w:cs="Times New Roman"/>
        </w:rPr>
        <w:t xml:space="preserve">Статьей 160.2-1 БК РФ определены </w:t>
      </w:r>
      <w:r w:rsidRPr="00632E9B">
        <w:rPr>
          <w:rFonts w:ascii="Times New Roman" w:hAnsi="Times New Roman" w:cs="Times New Roman"/>
          <w:lang w:eastAsia="ru-RU"/>
        </w:rPr>
        <w:t>бюджетные полномочия главного распорядителя (распорядителя) бюджетных средств, главного администратора (администратора) доходов бюджета, главного администратора (администратора) источников финансирования дефицита бюджета по осуществлению внутреннего финансового контроля и внутреннего финансового аудита.</w:t>
      </w:r>
    </w:p>
    <w:p w:rsidR="003079D6" w:rsidRPr="00632E9B" w:rsidRDefault="00911035" w:rsidP="003079D6">
      <w:pPr>
        <w:autoSpaceDE w:val="0"/>
        <w:autoSpaceDN w:val="0"/>
        <w:adjustRightInd w:val="0"/>
        <w:ind w:firstLine="709"/>
        <w:jc w:val="both"/>
      </w:pPr>
      <w:r w:rsidRPr="00632E9B">
        <w:t>Во исполнение требований Порядка осуществления внутреннего финансового контроля и внутреннего финансового аудита на территории Волгоградской области, утвержденного постановлением Правительства Волгог</w:t>
      </w:r>
      <w:r>
        <w:t xml:space="preserve">радской области от 26.05.2014 </w:t>
      </w:r>
      <w:r w:rsidR="00B965C5">
        <w:t xml:space="preserve">      </w:t>
      </w:r>
      <w:r>
        <w:t>№</w:t>
      </w:r>
      <w:r w:rsidRPr="00632E9B">
        <w:t>266-п</w:t>
      </w:r>
      <w:r w:rsidR="00DC4AB7">
        <w:t xml:space="preserve"> (далее – Постановление №266-п)</w:t>
      </w:r>
      <w:r w:rsidRPr="00632E9B">
        <w:t>, в Комитете организована работа по внедрению системы внутреннего финансового контроля и внутреннего финансового аудита.</w:t>
      </w:r>
    </w:p>
    <w:p w:rsidR="00876C95" w:rsidRDefault="00876C95" w:rsidP="00876C95">
      <w:pPr>
        <w:autoSpaceDE w:val="0"/>
        <w:autoSpaceDN w:val="0"/>
        <w:adjustRightInd w:val="0"/>
        <w:ind w:firstLine="720"/>
        <w:jc w:val="both"/>
      </w:pPr>
      <w:r w:rsidRPr="00664ECB">
        <w:t>В 2017 году в ходе осуществления контрольных действий в рамках внутреннего финансового контроля (самоконтроля) выявлены 2 нарушения</w:t>
      </w:r>
      <w:r w:rsidR="001E579E">
        <w:t>, касающие</w:t>
      </w:r>
      <w:r w:rsidRPr="00664ECB">
        <w:t>ся порядка применения бюджетной классификации при принятии и исполнении бюд</w:t>
      </w:r>
      <w:r w:rsidR="001E579E">
        <w:t xml:space="preserve">жетных </w:t>
      </w:r>
      <w:r w:rsidR="001E579E">
        <w:lastRenderedPageBreak/>
        <w:t>обязательств. Для принятия</w:t>
      </w:r>
      <w:r w:rsidRPr="00664ECB">
        <w:t xml:space="preserve"> мер Комитетом направлены в Центр учета предложения по внесению изменений в распределение расходов и уведомления об уточнении вида и принадлежности платежа.</w:t>
      </w:r>
    </w:p>
    <w:p w:rsidR="0055371A" w:rsidRDefault="00664ECB" w:rsidP="0055371A">
      <w:pPr>
        <w:pStyle w:val="af8"/>
        <w:ind w:left="0" w:firstLine="709"/>
        <w:jc w:val="both"/>
      </w:pPr>
      <w:r w:rsidRPr="0055371A">
        <w:t>В рамках проведения внутреннего финансового аудита в 2017 году Комитетом была проведена проверка соблюдения порядка предоставления в финансовый орган документов, необходимых для составления и рассмотрения проекта бюджета на очередной финансовый год и плановый период</w:t>
      </w:r>
      <w:r w:rsidR="0055371A">
        <w:t>.</w:t>
      </w:r>
      <w:r w:rsidR="0055371A" w:rsidRPr="0055371A">
        <w:t xml:space="preserve"> </w:t>
      </w:r>
      <w:r w:rsidR="0055371A" w:rsidRPr="00E75F64">
        <w:t xml:space="preserve">По результатам проверки было установлено, что финансово-экономические </w:t>
      </w:r>
      <w:r w:rsidR="00E75F64" w:rsidRPr="00E75F64">
        <w:t xml:space="preserve">обоснования для разработки соответствующих разделов проектировок расходов бюджета представлены в финансовый орган </w:t>
      </w:r>
      <w:r w:rsidR="00286C72">
        <w:t xml:space="preserve">в </w:t>
      </w:r>
      <w:r w:rsidR="00E75F64" w:rsidRPr="00E75F64">
        <w:t>установленной срок и в</w:t>
      </w:r>
      <w:r w:rsidR="00671F74">
        <w:t xml:space="preserve"> полном объеме.</w:t>
      </w:r>
      <w:r w:rsidR="00E75F64">
        <w:t xml:space="preserve"> </w:t>
      </w:r>
      <w:r w:rsidR="00671F74">
        <w:t>О</w:t>
      </w:r>
      <w:r w:rsidR="0055371A" w:rsidRPr="00E75F64">
        <w:t>существляемый в Комитете внутренний финансовый контроль по данной процедуре обладает высокой степенью надежности.</w:t>
      </w:r>
    </w:p>
    <w:p w:rsidR="00E75F64" w:rsidRDefault="00E75F64" w:rsidP="0055371A">
      <w:pPr>
        <w:pStyle w:val="af8"/>
        <w:ind w:left="0" w:firstLine="709"/>
        <w:jc w:val="both"/>
      </w:pPr>
      <w:r>
        <w:t xml:space="preserve">Других проверок, в том </w:t>
      </w:r>
      <w:r w:rsidRPr="00E75F64">
        <w:t xml:space="preserve">числе </w:t>
      </w:r>
      <w:r>
        <w:t xml:space="preserve">проверки бюджетной отчетности </w:t>
      </w:r>
      <w:r w:rsidRPr="00E75F64">
        <w:t>за 2017 год в рамках проведения финансово</w:t>
      </w:r>
      <w:r>
        <w:t>го аудита</w:t>
      </w:r>
      <w:r w:rsidR="00671F74">
        <w:t>,</w:t>
      </w:r>
      <w:r>
        <w:t xml:space="preserve"> Комитетом не проводил</w:t>
      </w:r>
      <w:r w:rsidR="00343117">
        <w:t>о</w:t>
      </w:r>
      <w:r w:rsidRPr="00E75F64">
        <w:t>сь</w:t>
      </w:r>
      <w:r>
        <w:t>.</w:t>
      </w:r>
    </w:p>
    <w:p w:rsidR="00343117" w:rsidRPr="006A0755" w:rsidRDefault="00343117" w:rsidP="006A0755">
      <w:pPr>
        <w:pStyle w:val="af8"/>
        <w:ind w:left="0" w:firstLine="709"/>
        <w:jc w:val="both"/>
      </w:pPr>
      <w:r>
        <w:t>Согласно пояснениям должностных лиц Комитета при ведении бюджетного учета и составлени</w:t>
      </w:r>
      <w:r w:rsidR="001E579E">
        <w:t>и</w:t>
      </w:r>
      <w:r>
        <w:t xml:space="preserve"> отчетности другим субъектом (Центром учета) фактически </w:t>
      </w:r>
      <w:r w:rsidR="00286C72">
        <w:t xml:space="preserve">отсутствовало </w:t>
      </w:r>
      <w:r>
        <w:t xml:space="preserve"> время для проведения проверки </w:t>
      </w:r>
      <w:r w:rsidR="006A0755">
        <w:t xml:space="preserve">бюджетной отчетности </w:t>
      </w:r>
      <w:r w:rsidR="006A0755" w:rsidRPr="00E75F64">
        <w:t>за 2017 год</w:t>
      </w:r>
      <w:r w:rsidR="006A0755">
        <w:t>.</w:t>
      </w:r>
    </w:p>
    <w:bookmarkEnd w:id="1"/>
    <w:p w:rsidR="00920158" w:rsidRDefault="003D191E" w:rsidP="00CB6EEA">
      <w:pPr>
        <w:pStyle w:val="af8"/>
        <w:ind w:left="0" w:firstLine="709"/>
        <w:jc w:val="both"/>
      </w:pPr>
      <w:r w:rsidRPr="00D464B1">
        <w:t>Однако</w:t>
      </w:r>
      <w:r w:rsidR="00671F74">
        <w:t>,</w:t>
      </w:r>
      <w:r w:rsidRPr="00D464B1">
        <w:t xml:space="preserve"> к</w:t>
      </w:r>
      <w:r w:rsidR="001E579E">
        <w:t>ак показали результаты</w:t>
      </w:r>
      <w:r w:rsidRPr="00D464B1">
        <w:t xml:space="preserve"> проверки</w:t>
      </w:r>
      <w:r w:rsidR="001E579E">
        <w:t xml:space="preserve"> КСП</w:t>
      </w:r>
      <w:r w:rsidRPr="00D464B1">
        <w:t>, имеется случай неверного отражения первичного документа в учете</w:t>
      </w:r>
      <w:r w:rsidR="001E579E">
        <w:t xml:space="preserve"> (лицензии на неисключительные права по использованию программного продукта)</w:t>
      </w:r>
      <w:r w:rsidRPr="00D464B1">
        <w:t>, что повлияло на достоверность бюджетной отчетности</w:t>
      </w:r>
      <w:r w:rsidR="001E579E">
        <w:t xml:space="preserve">. </w:t>
      </w:r>
    </w:p>
    <w:p w:rsidR="00CB6EEA" w:rsidRDefault="00CB6EEA" w:rsidP="005231A0">
      <w:pPr>
        <w:autoSpaceDE w:val="0"/>
        <w:autoSpaceDN w:val="0"/>
        <w:adjustRightInd w:val="0"/>
        <w:ind w:firstLine="698"/>
        <w:jc w:val="center"/>
        <w:rPr>
          <w:b/>
          <w:i/>
        </w:rPr>
      </w:pPr>
    </w:p>
    <w:p w:rsidR="005231A0" w:rsidRPr="00E7403C" w:rsidRDefault="005231A0" w:rsidP="005231A0">
      <w:pPr>
        <w:autoSpaceDE w:val="0"/>
        <w:autoSpaceDN w:val="0"/>
        <w:adjustRightInd w:val="0"/>
        <w:ind w:firstLine="698"/>
        <w:jc w:val="center"/>
        <w:rPr>
          <w:b/>
          <w:i/>
        </w:rPr>
      </w:pPr>
      <w:r w:rsidRPr="00E7403C">
        <w:rPr>
          <w:b/>
          <w:i/>
        </w:rPr>
        <w:t>Выводы:</w:t>
      </w:r>
    </w:p>
    <w:p w:rsidR="005231A0" w:rsidRPr="00896B9D" w:rsidRDefault="005231A0" w:rsidP="005231A0">
      <w:pPr>
        <w:autoSpaceDE w:val="0"/>
        <w:autoSpaceDN w:val="0"/>
        <w:adjustRightInd w:val="0"/>
        <w:ind w:firstLine="709"/>
        <w:jc w:val="both"/>
        <w:outlineLvl w:val="0"/>
      </w:pPr>
      <w:r w:rsidRPr="00896B9D">
        <w:rPr>
          <w:b/>
        </w:rPr>
        <w:t xml:space="preserve"> 1.</w:t>
      </w:r>
      <w:r w:rsidR="00880FF9">
        <w:t xml:space="preserve"> </w:t>
      </w:r>
      <w:r w:rsidRPr="00896B9D">
        <w:t>При проверке достоверности бю</w:t>
      </w:r>
      <w:r w:rsidR="00C37396">
        <w:t>джетной отчетности установлено 7</w:t>
      </w:r>
      <w:r w:rsidRPr="00896B9D">
        <w:t xml:space="preserve"> случаев нарушения положений Инструкции №191н. В ходе проверки Комитетом внесены исправления во все форм</w:t>
      </w:r>
      <w:r w:rsidR="009714DB">
        <w:t>ы бюджетной отчетности, которые представлены в К</w:t>
      </w:r>
      <w:r w:rsidRPr="00896B9D">
        <w:t>омите</w:t>
      </w:r>
      <w:r w:rsidR="009714DB">
        <w:t>т финансов</w:t>
      </w:r>
      <w:r w:rsidRPr="00896B9D">
        <w:t xml:space="preserve">. </w:t>
      </w:r>
    </w:p>
    <w:p w:rsidR="005231A0" w:rsidRPr="00A14611" w:rsidRDefault="005231A0" w:rsidP="00A14611">
      <w:pPr>
        <w:pStyle w:val="af8"/>
        <w:autoSpaceDE w:val="0"/>
        <w:autoSpaceDN w:val="0"/>
        <w:adjustRightInd w:val="0"/>
        <w:ind w:left="0" w:firstLine="708"/>
        <w:jc w:val="both"/>
      </w:pPr>
      <w:r w:rsidRPr="00896B9D">
        <w:rPr>
          <w:b/>
        </w:rPr>
        <w:t xml:space="preserve"> 2.</w:t>
      </w:r>
      <w:r w:rsidR="00880FF9">
        <w:t xml:space="preserve"> </w:t>
      </w:r>
      <w:r w:rsidRPr="00896B9D">
        <w:t xml:space="preserve">В </w:t>
      </w:r>
      <w:r w:rsidRPr="00896B9D">
        <w:rPr>
          <w:rFonts w:eastAsiaTheme="minorHAnsi"/>
        </w:rPr>
        <w:t xml:space="preserve">2017 году Комитету </w:t>
      </w:r>
      <w:r w:rsidR="00A14611">
        <w:rPr>
          <w:rFonts w:eastAsiaTheme="minorHAnsi"/>
        </w:rPr>
        <w:t>продлена лицензия</w:t>
      </w:r>
      <w:r w:rsidRPr="00896B9D">
        <w:rPr>
          <w:rFonts w:eastAsiaTheme="minorHAnsi"/>
        </w:rPr>
        <w:t xml:space="preserve"> на неисключительные права по использованию  программного продукта СБиС ЭО  на сумму 5,7 тыс. рублей. </w:t>
      </w:r>
      <w:r w:rsidR="00A14611">
        <w:rPr>
          <w:rFonts w:eastAsiaTheme="minorHAnsi"/>
        </w:rPr>
        <w:t xml:space="preserve">В нарушение </w:t>
      </w:r>
      <w:r w:rsidR="00520C7D">
        <w:rPr>
          <w:rFonts w:eastAsiaTheme="minorHAnsi"/>
        </w:rPr>
        <w:t>п.</w:t>
      </w:r>
      <w:r w:rsidR="00A14611">
        <w:rPr>
          <w:rFonts w:eastAsiaTheme="minorHAnsi"/>
        </w:rPr>
        <w:t xml:space="preserve">66 Инструкции № 157н </w:t>
      </w:r>
      <w:r w:rsidR="00A14611" w:rsidRPr="00896B9D">
        <w:rPr>
          <w:rFonts w:eastAsiaTheme="minorHAnsi"/>
        </w:rPr>
        <w:t xml:space="preserve">программный продукт </w:t>
      </w:r>
      <w:r w:rsidR="00A14611">
        <w:rPr>
          <w:rFonts w:eastAsiaTheme="minorHAnsi"/>
        </w:rPr>
        <w:t>не учтен на забалансовом счете</w:t>
      </w:r>
      <w:r w:rsidR="00A14611" w:rsidRPr="00896B9D">
        <w:rPr>
          <w:rFonts w:eastAsiaTheme="minorHAnsi"/>
        </w:rPr>
        <w:t xml:space="preserve">  01 «Имуще</w:t>
      </w:r>
      <w:r w:rsidR="00A14611">
        <w:rPr>
          <w:rFonts w:eastAsiaTheme="minorHAnsi"/>
        </w:rPr>
        <w:t xml:space="preserve">ство, полученное в пользование». </w:t>
      </w:r>
      <w:r w:rsidRPr="00896B9D">
        <w:t xml:space="preserve">В ходе проведения проверки нарушение устранено. </w:t>
      </w:r>
    </w:p>
    <w:p w:rsidR="005231A0" w:rsidRPr="00896B9D" w:rsidRDefault="005231A0" w:rsidP="005231A0">
      <w:pPr>
        <w:pStyle w:val="af2"/>
        <w:keepNext/>
        <w:spacing w:after="0"/>
        <w:ind w:left="0" w:firstLine="709"/>
        <w:jc w:val="both"/>
      </w:pPr>
      <w:r w:rsidRPr="00896B9D">
        <w:rPr>
          <w:b/>
        </w:rPr>
        <w:t>3.</w:t>
      </w:r>
      <w:r w:rsidRPr="00896B9D">
        <w:t xml:space="preserve"> Расходы, утверждё</w:t>
      </w:r>
      <w:r w:rsidR="006617CB" w:rsidRPr="00896B9D">
        <w:t>нные Комитету, исполнены на 99,2</w:t>
      </w:r>
      <w:r w:rsidRPr="00896B9D">
        <w:t>%, объём неисполн</w:t>
      </w:r>
      <w:r w:rsidR="006617CB" w:rsidRPr="00896B9D">
        <w:t>енных назначений составил 847,4</w:t>
      </w:r>
      <w:r w:rsidRPr="00896B9D">
        <w:t xml:space="preserve"> тыс. руб. в основном</w:t>
      </w:r>
      <w:r w:rsidR="006617CB" w:rsidRPr="00896B9D">
        <w:t xml:space="preserve"> в связи с выделением кассового плана в меньшем размере</w:t>
      </w:r>
      <w:r w:rsidRPr="00896B9D">
        <w:t xml:space="preserve">.  </w:t>
      </w:r>
    </w:p>
    <w:p w:rsidR="006617CB" w:rsidRPr="00F742B1" w:rsidRDefault="005231A0" w:rsidP="006617CB">
      <w:pPr>
        <w:pStyle w:val="af9"/>
        <w:ind w:firstLine="709"/>
        <w:jc w:val="both"/>
        <w:rPr>
          <w:rFonts w:ascii="Times New Roman" w:hAnsi="Times New Roman" w:cs="Times New Roman"/>
        </w:rPr>
      </w:pPr>
      <w:r w:rsidRPr="00F742B1">
        <w:rPr>
          <w:rFonts w:ascii="Times New Roman" w:hAnsi="Times New Roman" w:cs="Times New Roman"/>
          <w:b/>
        </w:rPr>
        <w:t>4.</w:t>
      </w:r>
      <w:r w:rsidR="006617CB" w:rsidRPr="00F742B1">
        <w:rPr>
          <w:rFonts w:ascii="Times New Roman" w:hAnsi="Times New Roman" w:cs="Times New Roman"/>
        </w:rPr>
        <w:t xml:space="preserve"> Исполнение по доходам за 2017 год составило 53 586,7 тыс. руб., или </w:t>
      </w:r>
      <w:r w:rsidR="00520C7D" w:rsidRPr="00F742B1">
        <w:rPr>
          <w:rFonts w:ascii="Times New Roman" w:hAnsi="Times New Roman" w:cs="Times New Roman"/>
        </w:rPr>
        <w:t>на 32% больше плановых назначений</w:t>
      </w:r>
      <w:r w:rsidRPr="00F742B1">
        <w:rPr>
          <w:rFonts w:ascii="Times New Roman" w:hAnsi="Times New Roman" w:cs="Times New Roman"/>
        </w:rPr>
        <w:t xml:space="preserve">. </w:t>
      </w:r>
      <w:r w:rsidR="006617CB" w:rsidRPr="00F742B1">
        <w:rPr>
          <w:rFonts w:ascii="Times New Roman" w:hAnsi="Times New Roman" w:cs="Times New Roman"/>
        </w:rPr>
        <w:t xml:space="preserve">Перевыполнение прогнозного показателя произошло по причине увеличения количества заявлений на продление лицензий. </w:t>
      </w:r>
    </w:p>
    <w:p w:rsidR="009714DB" w:rsidRPr="001E579E" w:rsidRDefault="009714DB" w:rsidP="001E579E">
      <w:pPr>
        <w:pStyle w:val="af9"/>
        <w:ind w:firstLine="708"/>
        <w:jc w:val="both"/>
        <w:rPr>
          <w:rFonts w:ascii="Times New Roman" w:hAnsi="Times New Roman" w:cs="Times New Roman"/>
        </w:rPr>
      </w:pPr>
      <w:r w:rsidRPr="00E16F9A">
        <w:rPr>
          <w:rFonts w:ascii="Times New Roman" w:hAnsi="Times New Roman" w:cs="Times New Roman"/>
          <w:b/>
        </w:rPr>
        <w:t>5.</w:t>
      </w:r>
      <w:r w:rsidR="00605553" w:rsidRPr="00E16F9A">
        <w:rPr>
          <w:rFonts w:ascii="Times New Roman" w:hAnsi="Times New Roman" w:cs="Times New Roman"/>
          <w:b/>
        </w:rPr>
        <w:t xml:space="preserve"> </w:t>
      </w:r>
      <w:r w:rsidR="00F742B1" w:rsidRPr="00E16F9A">
        <w:rPr>
          <w:rFonts w:ascii="Times New Roman" w:hAnsi="Times New Roman" w:cs="Times New Roman"/>
        </w:rPr>
        <w:t xml:space="preserve">Комитет является администратором доходов </w:t>
      </w:r>
      <w:r w:rsidR="00E16F9A">
        <w:rPr>
          <w:rFonts w:ascii="Times New Roman" w:hAnsi="Times New Roman" w:cs="Times New Roman"/>
        </w:rPr>
        <w:t>по</w:t>
      </w:r>
      <w:r w:rsidR="00605553" w:rsidRPr="00E16F9A">
        <w:rPr>
          <w:rFonts w:ascii="Times New Roman" w:hAnsi="Times New Roman" w:cs="Times New Roman"/>
        </w:rPr>
        <w:t xml:space="preserve"> </w:t>
      </w:r>
      <w:r w:rsidR="00E16F9A" w:rsidRPr="00E16F9A">
        <w:rPr>
          <w:rFonts w:ascii="Times New Roman" w:hAnsi="Times New Roman" w:cs="Times New Roman"/>
        </w:rPr>
        <w:t>штрафам в рамках осуществления государственного контроля за представлением деклараций об объеме розничной продажи алкогольной и спиртосодержащей продукции и штрафам за нарушение административного законодательства в сфере оборота и реализации алкогольн</w:t>
      </w:r>
      <w:r w:rsidR="00671F74">
        <w:rPr>
          <w:rFonts w:ascii="Times New Roman" w:hAnsi="Times New Roman" w:cs="Times New Roman"/>
        </w:rPr>
        <w:t xml:space="preserve">ой и спиртосодержащей продукции, по штрафам за нарушение условий </w:t>
      </w:r>
      <w:r w:rsidR="004F7805" w:rsidRPr="004F7805">
        <w:rPr>
          <w:rFonts w:ascii="Times New Roman" w:hAnsi="Times New Roman" w:cs="Times New Roman"/>
        </w:rPr>
        <w:t>лицензирования заготовки, хранения, переработки и реализации</w:t>
      </w:r>
      <w:r w:rsidR="00671F74" w:rsidRPr="004F7805">
        <w:rPr>
          <w:rFonts w:ascii="Times New Roman" w:hAnsi="Times New Roman" w:cs="Times New Roman"/>
        </w:rPr>
        <w:t xml:space="preserve"> лома черных и</w:t>
      </w:r>
      <w:r w:rsidR="004F7805" w:rsidRPr="004F7805">
        <w:rPr>
          <w:rFonts w:ascii="Times New Roman" w:hAnsi="Times New Roman" w:cs="Times New Roman"/>
        </w:rPr>
        <w:t xml:space="preserve"> (или)</w:t>
      </w:r>
      <w:r w:rsidR="00671F74" w:rsidRPr="004F7805">
        <w:rPr>
          <w:rFonts w:ascii="Times New Roman" w:hAnsi="Times New Roman" w:cs="Times New Roman"/>
        </w:rPr>
        <w:t xml:space="preserve"> цветных металлов</w:t>
      </w:r>
      <w:r w:rsidR="004F7805" w:rsidRPr="004F7805">
        <w:rPr>
          <w:rFonts w:ascii="Times New Roman" w:hAnsi="Times New Roman" w:cs="Times New Roman"/>
        </w:rPr>
        <w:t>.</w:t>
      </w:r>
      <w:r w:rsidR="001E579E" w:rsidRPr="004F7805">
        <w:rPr>
          <w:rFonts w:ascii="Times New Roman" w:hAnsi="Times New Roman" w:cs="Times New Roman"/>
        </w:rPr>
        <w:t xml:space="preserve"> </w:t>
      </w:r>
      <w:r w:rsidR="00F742B1" w:rsidRPr="004F7805">
        <w:rPr>
          <w:rFonts w:ascii="Times New Roman" w:hAnsi="Times New Roman" w:cs="Times New Roman"/>
        </w:rPr>
        <w:t>За</w:t>
      </w:r>
      <w:r w:rsidR="00F742B1" w:rsidRPr="001E579E">
        <w:rPr>
          <w:rFonts w:ascii="Times New Roman" w:hAnsi="Times New Roman" w:cs="Times New Roman"/>
        </w:rPr>
        <w:t xml:space="preserve"> 2017 год </w:t>
      </w:r>
      <w:r w:rsidR="00E16F9A" w:rsidRPr="001E579E">
        <w:rPr>
          <w:rFonts w:ascii="Times New Roman" w:hAnsi="Times New Roman" w:cs="Times New Roman"/>
        </w:rPr>
        <w:t xml:space="preserve">было </w:t>
      </w:r>
      <w:r w:rsidR="00F742B1" w:rsidRPr="001E579E">
        <w:rPr>
          <w:rFonts w:ascii="Times New Roman" w:hAnsi="Times New Roman" w:cs="Times New Roman"/>
        </w:rPr>
        <w:t xml:space="preserve">начислено штрафных санкций  </w:t>
      </w:r>
      <w:r w:rsidR="00E16F9A" w:rsidRPr="001E579E">
        <w:rPr>
          <w:rFonts w:ascii="Times New Roman" w:hAnsi="Times New Roman" w:cs="Times New Roman"/>
        </w:rPr>
        <w:t xml:space="preserve">на общую сумму </w:t>
      </w:r>
      <w:r w:rsidR="00F742B1" w:rsidRPr="001E579E">
        <w:rPr>
          <w:rFonts w:ascii="Times New Roman" w:hAnsi="Times New Roman" w:cs="Times New Roman"/>
        </w:rPr>
        <w:t>8 672,0 тыс.руб.,  поступило – 2 879,4 тыс. руб.,  процент взыскан</w:t>
      </w:r>
      <w:r w:rsidR="00E16F9A" w:rsidRPr="001E579E">
        <w:rPr>
          <w:rFonts w:ascii="Times New Roman" w:hAnsi="Times New Roman" w:cs="Times New Roman"/>
        </w:rPr>
        <w:t>ия задолженности составляет 33,2% от общей суммы начислений</w:t>
      </w:r>
      <w:r w:rsidR="00F742B1" w:rsidRPr="001E579E">
        <w:rPr>
          <w:rFonts w:ascii="Times New Roman" w:hAnsi="Times New Roman" w:cs="Times New Roman"/>
        </w:rPr>
        <w:t xml:space="preserve">. </w:t>
      </w:r>
      <w:r w:rsidR="00605553" w:rsidRPr="001E579E">
        <w:rPr>
          <w:rFonts w:ascii="Times New Roman" w:hAnsi="Times New Roman" w:cs="Times New Roman"/>
        </w:rPr>
        <w:t xml:space="preserve">Размер дебиторской </w:t>
      </w:r>
      <w:r w:rsidR="003C5057" w:rsidRPr="001E579E">
        <w:rPr>
          <w:rFonts w:ascii="Times New Roman" w:hAnsi="Times New Roman" w:cs="Times New Roman"/>
        </w:rPr>
        <w:t xml:space="preserve">задолженности на конец 2017 года </w:t>
      </w:r>
      <w:r w:rsidR="00605553" w:rsidRPr="001E579E">
        <w:rPr>
          <w:rFonts w:ascii="Times New Roman" w:hAnsi="Times New Roman" w:cs="Times New Roman"/>
        </w:rPr>
        <w:t>увеличился на 2 366,8 тыс. руб. (+16,5%) и составил 16 741,9 тыс.</w:t>
      </w:r>
      <w:r w:rsidR="00364DD1" w:rsidRPr="001E579E">
        <w:rPr>
          <w:rFonts w:ascii="Times New Roman" w:hAnsi="Times New Roman" w:cs="Times New Roman"/>
        </w:rPr>
        <w:t xml:space="preserve"> </w:t>
      </w:r>
      <w:r w:rsidR="00DB6200" w:rsidRPr="001E579E">
        <w:rPr>
          <w:rFonts w:ascii="Times New Roman" w:hAnsi="Times New Roman" w:cs="Times New Roman"/>
        </w:rPr>
        <w:t xml:space="preserve">рублей. За три последних года задолженность увеличилась на 10 829,1 тыс.руб., или </w:t>
      </w:r>
      <w:r w:rsidR="004F7805">
        <w:rPr>
          <w:rFonts w:ascii="Times New Roman" w:hAnsi="Times New Roman" w:cs="Times New Roman"/>
        </w:rPr>
        <w:t xml:space="preserve">в </w:t>
      </w:r>
      <w:r w:rsidR="00DB6200" w:rsidRPr="001E579E">
        <w:rPr>
          <w:rFonts w:ascii="Times New Roman" w:hAnsi="Times New Roman" w:cs="Times New Roman"/>
        </w:rPr>
        <w:t>1,8 раза.</w:t>
      </w:r>
      <w:r w:rsidR="001E579E" w:rsidRPr="001E579E">
        <w:rPr>
          <w:rFonts w:ascii="Times New Roman" w:hAnsi="Times New Roman" w:cs="Times New Roman"/>
          <w:b/>
        </w:rPr>
        <w:t xml:space="preserve"> </w:t>
      </w:r>
      <w:r w:rsidR="00605553" w:rsidRPr="001E579E">
        <w:rPr>
          <w:rFonts w:ascii="Times New Roman" w:hAnsi="Times New Roman" w:cs="Times New Roman"/>
        </w:rPr>
        <w:t>Низкий процент взыскания задолженности</w:t>
      </w:r>
      <w:r w:rsidR="004F7805">
        <w:rPr>
          <w:rFonts w:ascii="Times New Roman" w:hAnsi="Times New Roman" w:cs="Times New Roman"/>
        </w:rPr>
        <w:t xml:space="preserve"> свидетельствует о ненадлежащем</w:t>
      </w:r>
      <w:r w:rsidR="00BE66B9" w:rsidRPr="001E579E">
        <w:rPr>
          <w:rFonts w:ascii="Times New Roman" w:hAnsi="Times New Roman" w:cs="Times New Roman"/>
        </w:rPr>
        <w:t xml:space="preserve"> исполнении полномочий администратора доходов, </w:t>
      </w:r>
      <w:r w:rsidR="00BE66B9" w:rsidRPr="001E579E">
        <w:rPr>
          <w:rFonts w:ascii="Times New Roman" w:hAnsi="Times New Roman" w:cs="Times New Roman"/>
          <w:bCs/>
        </w:rPr>
        <w:t xml:space="preserve">предусмотренных </w:t>
      </w:r>
      <w:r w:rsidR="00BE66B9" w:rsidRPr="001E579E">
        <w:rPr>
          <w:rFonts w:ascii="Times New Roman" w:hAnsi="Times New Roman" w:cs="Times New Roman"/>
        </w:rPr>
        <w:t>п.2 ст. 160.1 БК РФ в части контроля за полнотой и своевременностью осуществления платежей в бюджет и</w:t>
      </w:r>
      <w:r w:rsidR="004F7805">
        <w:rPr>
          <w:rFonts w:ascii="Times New Roman" w:hAnsi="Times New Roman" w:cs="Times New Roman"/>
        </w:rPr>
        <w:t xml:space="preserve"> их</w:t>
      </w:r>
      <w:r w:rsidR="00BE66B9" w:rsidRPr="001E579E">
        <w:rPr>
          <w:rFonts w:ascii="Times New Roman" w:hAnsi="Times New Roman" w:cs="Times New Roman"/>
        </w:rPr>
        <w:t xml:space="preserve"> взыскания, а также </w:t>
      </w:r>
      <w:r w:rsidR="004F7805">
        <w:rPr>
          <w:rFonts w:ascii="Times New Roman" w:hAnsi="Times New Roman" w:cs="Times New Roman"/>
        </w:rPr>
        <w:t>о недостаточном взаимодействии</w:t>
      </w:r>
      <w:r w:rsidR="00BE66B9" w:rsidRPr="001E579E">
        <w:rPr>
          <w:rFonts w:ascii="Times New Roman" w:hAnsi="Times New Roman" w:cs="Times New Roman"/>
        </w:rPr>
        <w:t xml:space="preserve"> Комитета со службой судебных приставов</w:t>
      </w:r>
      <w:r w:rsidR="00605553" w:rsidRPr="001E579E">
        <w:rPr>
          <w:rFonts w:ascii="Times New Roman" w:hAnsi="Times New Roman" w:cs="Times New Roman"/>
        </w:rPr>
        <w:t>.</w:t>
      </w:r>
    </w:p>
    <w:p w:rsidR="00E57F62" w:rsidRPr="00DB1ADD" w:rsidRDefault="009714DB" w:rsidP="003C5057">
      <w:pPr>
        <w:autoSpaceDE w:val="0"/>
        <w:autoSpaceDN w:val="0"/>
        <w:adjustRightInd w:val="0"/>
        <w:ind w:firstLine="709"/>
        <w:jc w:val="both"/>
      </w:pPr>
      <w:r w:rsidRPr="003C5057">
        <w:rPr>
          <w:b/>
        </w:rPr>
        <w:lastRenderedPageBreak/>
        <w:t>6</w:t>
      </w:r>
      <w:r w:rsidR="005231A0" w:rsidRPr="003C5057">
        <w:rPr>
          <w:b/>
        </w:rPr>
        <w:t>.</w:t>
      </w:r>
      <w:r w:rsidR="005231A0" w:rsidRPr="003C5057">
        <w:t xml:space="preserve"> </w:t>
      </w:r>
      <w:r w:rsidR="003C5057" w:rsidRPr="003C5057">
        <w:rPr>
          <w:bCs/>
        </w:rPr>
        <w:t>Государственная программа Комитета утверждена без финансового обеспечения. Госпрограммой установлено 14 целевых показателей</w:t>
      </w:r>
      <w:r w:rsidR="00EE41E2" w:rsidRPr="003C5057">
        <w:rPr>
          <w:bCs/>
        </w:rPr>
        <w:t xml:space="preserve">. </w:t>
      </w:r>
      <w:r w:rsidR="00EE41E2" w:rsidRPr="003C5057">
        <w:t>Все установленные показатели результативности перевыполнены. Процент перевыполнения колеблется</w:t>
      </w:r>
      <w:r w:rsidR="003C5057" w:rsidRPr="003C5057">
        <w:t xml:space="preserve"> в п</w:t>
      </w:r>
      <w:r w:rsidR="004F7805">
        <w:t>ределах от 2,1% до 3</w:t>
      </w:r>
      <w:r w:rsidR="00117D0B" w:rsidRPr="003C5057">
        <w:t>,9 раза</w:t>
      </w:r>
      <w:r w:rsidR="004D00FA" w:rsidRPr="003C5057">
        <w:t>.</w:t>
      </w:r>
      <w:r w:rsidR="004A403E" w:rsidRPr="003C5057">
        <w:t xml:space="preserve"> </w:t>
      </w:r>
      <w:r w:rsidR="003C5057" w:rsidRPr="003C5057">
        <w:t>Указанные отклонения образовались в связи с тем, что Комитетом не скорректированы отдельные плановые целевые показатели с учетом</w:t>
      </w:r>
      <w:r w:rsidR="00BE66B9">
        <w:t xml:space="preserve"> требований </w:t>
      </w:r>
      <w:r w:rsidR="003C5057" w:rsidRPr="003C5057">
        <w:t>п.2.5</w:t>
      </w:r>
      <w:r w:rsidR="004A403E" w:rsidRPr="003C5057">
        <w:t xml:space="preserve"> </w:t>
      </w:r>
      <w:hyperlink r:id="rId9" w:history="1">
        <w:r w:rsidR="00C04A05">
          <w:t>П</w:t>
        </w:r>
        <w:r w:rsidR="004A403E" w:rsidRPr="003C5057">
          <w:t xml:space="preserve">остановления  </w:t>
        </w:r>
        <w:r w:rsidR="00C04A05">
          <w:t>№423-п</w:t>
        </w:r>
        <w:r w:rsidR="00BE66B9">
          <w:t>,</w:t>
        </w:r>
        <w:r w:rsidR="00C04A05">
          <w:t xml:space="preserve"> </w:t>
        </w:r>
      </w:hyperlink>
      <w:r w:rsidR="00DB1ADD">
        <w:t>согласно к</w:t>
      </w:r>
      <w:r w:rsidR="00BE66B9">
        <w:t>оторому</w:t>
      </w:r>
      <w:r w:rsidR="00DB1ADD">
        <w:t xml:space="preserve"> </w:t>
      </w:r>
      <w:r w:rsidR="004A403E" w:rsidRPr="00DB1ADD">
        <w:t>целевые показатели должны иметь количественные значения, отражающие фактическое описание ситуации на дату разработки и утверждения государственной программы и запланированные по годам реализ</w:t>
      </w:r>
      <w:r w:rsidR="00DB1ADD" w:rsidRPr="00DB1ADD">
        <w:t>ации государственной программы.</w:t>
      </w:r>
    </w:p>
    <w:p w:rsidR="00D33B6A" w:rsidRPr="003C5057" w:rsidRDefault="00D33B6A" w:rsidP="00C604B1">
      <w:pPr>
        <w:pStyle w:val="af8"/>
        <w:ind w:left="0" w:firstLine="709"/>
        <w:jc w:val="both"/>
      </w:pPr>
      <w:r w:rsidRPr="00D464B1">
        <w:rPr>
          <w:b/>
        </w:rPr>
        <w:t>7.</w:t>
      </w:r>
      <w:r w:rsidRPr="00D464B1">
        <w:t xml:space="preserve"> Проверка бюджетной отчетности за 2017 год в рамках проведения финансового аудита Комитето</w:t>
      </w:r>
      <w:r w:rsidR="00BE66B9" w:rsidRPr="00D464B1">
        <w:t xml:space="preserve">м не проводилась. </w:t>
      </w:r>
      <w:r w:rsidR="001E579E">
        <w:t xml:space="preserve">Установленное КСП нарушение по учету лицензии </w:t>
      </w:r>
      <w:r w:rsidR="001E579E" w:rsidRPr="00896B9D">
        <w:rPr>
          <w:rFonts w:eastAsiaTheme="minorHAnsi"/>
        </w:rPr>
        <w:t xml:space="preserve">на неисключительные права по </w:t>
      </w:r>
      <w:r w:rsidR="00946519">
        <w:rPr>
          <w:rFonts w:eastAsiaTheme="minorHAnsi"/>
        </w:rPr>
        <w:t>использованию</w:t>
      </w:r>
      <w:r w:rsidR="001E579E" w:rsidRPr="00896B9D">
        <w:rPr>
          <w:rFonts w:eastAsiaTheme="minorHAnsi"/>
        </w:rPr>
        <w:t xml:space="preserve"> программного продукта</w:t>
      </w:r>
      <w:r w:rsidR="001E579E">
        <w:rPr>
          <w:rFonts w:eastAsiaTheme="minorHAnsi"/>
        </w:rPr>
        <w:t xml:space="preserve"> свидетельствует о недостаточном качестве финансового контроля. </w:t>
      </w:r>
    </w:p>
    <w:p w:rsidR="00CF05BF" w:rsidRPr="003B234B" w:rsidRDefault="00CF05BF" w:rsidP="003B234B">
      <w:pPr>
        <w:jc w:val="both"/>
        <w:rPr>
          <w:bCs/>
          <w:color w:val="C0504D"/>
        </w:rPr>
      </w:pPr>
    </w:p>
    <w:p w:rsidR="005231A0" w:rsidRPr="0068490C" w:rsidRDefault="005231A0" w:rsidP="005231A0">
      <w:pPr>
        <w:autoSpaceDE w:val="0"/>
        <w:autoSpaceDN w:val="0"/>
        <w:adjustRightInd w:val="0"/>
        <w:ind w:firstLine="698"/>
        <w:jc w:val="both"/>
        <w:rPr>
          <w:b/>
          <w:i/>
        </w:rPr>
      </w:pPr>
      <w:r w:rsidRPr="0068490C">
        <w:rPr>
          <w:b/>
          <w:i/>
        </w:rPr>
        <w:t>Предложения Комитету:</w:t>
      </w:r>
    </w:p>
    <w:p w:rsidR="005231A0" w:rsidRPr="00896B9D" w:rsidRDefault="004D00FA" w:rsidP="005231A0">
      <w:pPr>
        <w:pStyle w:val="af8"/>
        <w:widowControl w:val="0"/>
        <w:autoSpaceDN w:val="0"/>
        <w:adjustRightInd w:val="0"/>
        <w:ind w:left="0" w:firstLine="708"/>
        <w:contextualSpacing w:val="0"/>
        <w:jc w:val="both"/>
      </w:pPr>
      <w:r>
        <w:t xml:space="preserve"> </w:t>
      </w:r>
      <w:r w:rsidR="005231A0" w:rsidRPr="00896B9D">
        <w:t xml:space="preserve">1. </w:t>
      </w:r>
      <w:r w:rsidR="004F7805">
        <w:t xml:space="preserve">С целью повышения </w:t>
      </w:r>
      <w:r w:rsidR="00520C7D">
        <w:t>собираемости доходов в консолидированный бюджет Волгоградской об</w:t>
      </w:r>
      <w:r w:rsidR="004F7805">
        <w:t>ласти усилить работу по взысканию</w:t>
      </w:r>
      <w:r w:rsidR="00520C7D">
        <w:t xml:space="preserve"> задолженности по штрафам</w:t>
      </w:r>
      <w:r w:rsidR="00520C7D" w:rsidRPr="00B87E07">
        <w:t xml:space="preserve"> в рамках осуществления государственного контроля за представлением деклараций об объеме розничной продажи алкогольной и спиртосодержащей продукции</w:t>
      </w:r>
      <w:r w:rsidR="00520C7D">
        <w:t xml:space="preserve"> и штрафам</w:t>
      </w:r>
      <w:r w:rsidR="00520C7D" w:rsidRPr="00B87E07">
        <w:t xml:space="preserve"> за нарушение административного законодательства в сфере оборота и реализации алкогольн</w:t>
      </w:r>
      <w:r w:rsidR="00520C7D">
        <w:t>ой и спиртосодержащей продукции</w:t>
      </w:r>
      <w:r w:rsidR="00141396">
        <w:t>.</w:t>
      </w:r>
    </w:p>
    <w:p w:rsidR="0068490C" w:rsidRDefault="004D00FA" w:rsidP="0068490C">
      <w:pPr>
        <w:ind w:firstLine="709"/>
        <w:jc w:val="both"/>
      </w:pPr>
      <w:r>
        <w:t xml:space="preserve"> </w:t>
      </w:r>
      <w:r w:rsidR="005231A0" w:rsidRPr="00896B9D">
        <w:t>2.</w:t>
      </w:r>
      <w:r w:rsidR="0068490C" w:rsidRPr="00896B9D">
        <w:t xml:space="preserve"> </w:t>
      </w:r>
      <w:r w:rsidR="00520C7D">
        <w:t>Обеспечить корректировку плановых целевых показателей Государственной</w:t>
      </w:r>
      <w:r w:rsidR="000218F4">
        <w:t xml:space="preserve"> </w:t>
      </w:r>
      <w:r w:rsidR="00520C7D">
        <w:t>программы</w:t>
      </w:r>
      <w:r w:rsidR="00DB6200">
        <w:t xml:space="preserve"> в соответствии с п.2.5</w:t>
      </w:r>
      <w:r w:rsidR="000218F4">
        <w:t xml:space="preserve"> </w:t>
      </w:r>
      <w:hyperlink r:id="rId10" w:history="1">
        <w:r w:rsidR="000218F4" w:rsidRPr="001C7AA8">
          <w:t xml:space="preserve">постановления </w:t>
        </w:r>
        <w:r w:rsidR="00141396">
          <w:t>Правительства Волгоградской области</w:t>
        </w:r>
        <w:r w:rsidR="000218F4" w:rsidRPr="001C7AA8">
          <w:t xml:space="preserve"> от 27.08.2013 №423-п «Об утверждении Порядка разработки, реализации и оценки эффективности реализации государственных программ Волгоградской области»</w:t>
        </w:r>
      </w:hyperlink>
      <w:r w:rsidR="000218F4">
        <w:t>.</w:t>
      </w:r>
    </w:p>
    <w:p w:rsidR="00CD1E33" w:rsidRPr="00CD1E33" w:rsidRDefault="00321A5B" w:rsidP="00CD1E33">
      <w:pPr>
        <w:pStyle w:val="af8"/>
        <w:ind w:left="0" w:firstLine="709"/>
        <w:jc w:val="both"/>
      </w:pPr>
      <w:r w:rsidRPr="00CD1E33">
        <w:t xml:space="preserve">3. </w:t>
      </w:r>
      <w:r w:rsidR="001E579E">
        <w:t>П</w:t>
      </w:r>
      <w:r w:rsidR="00C270C6" w:rsidRPr="00B94285">
        <w:t>ринять меры по повышению качества</w:t>
      </w:r>
      <w:r w:rsidR="001E579E">
        <w:t xml:space="preserve"> внутреннего финансового контроля</w:t>
      </w:r>
      <w:r w:rsidR="00C270C6">
        <w:t>.</w:t>
      </w:r>
      <w:r w:rsidR="00C270C6" w:rsidRPr="00CD1E33">
        <w:t xml:space="preserve"> </w:t>
      </w:r>
      <w:r w:rsidR="00CD1E33" w:rsidRPr="00CD1E33">
        <w:t>Обеспечить проверку достоверности бюджетной отчетности</w:t>
      </w:r>
      <w:r w:rsidR="00207256">
        <w:t xml:space="preserve"> в рамках внутреннего финансового аудита</w:t>
      </w:r>
      <w:r w:rsidR="00CD1E33" w:rsidRPr="00CD1E33">
        <w:t xml:space="preserve"> </w:t>
      </w:r>
      <w:r w:rsidR="003B234B">
        <w:t xml:space="preserve">до сдачи ее </w:t>
      </w:r>
      <w:r w:rsidR="00CD1E33" w:rsidRPr="00CD1E33">
        <w:t>финансовому органу.</w:t>
      </w:r>
    </w:p>
    <w:p w:rsidR="00D33B6A" w:rsidRDefault="00D33B6A" w:rsidP="0068490C">
      <w:pPr>
        <w:ind w:firstLine="709"/>
        <w:jc w:val="both"/>
      </w:pPr>
    </w:p>
    <w:p w:rsidR="00D33B6A" w:rsidRPr="00896B9D" w:rsidRDefault="00D33B6A" w:rsidP="0068490C">
      <w:pPr>
        <w:ind w:firstLine="709"/>
        <w:jc w:val="both"/>
      </w:pPr>
    </w:p>
    <w:p w:rsidR="008A4341" w:rsidRDefault="008A4341" w:rsidP="005231A0">
      <w:pPr>
        <w:jc w:val="both"/>
      </w:pPr>
    </w:p>
    <w:p w:rsidR="005231A0" w:rsidRDefault="005231A0" w:rsidP="00FC78B2">
      <w:pPr>
        <w:ind w:firstLine="709"/>
        <w:jc w:val="both"/>
        <w:rPr>
          <w:b/>
          <w:i/>
        </w:rPr>
      </w:pPr>
      <w:r w:rsidRPr="006E4276">
        <w:rPr>
          <w:b/>
          <w:i/>
        </w:rPr>
        <w:t>Аудитор</w:t>
      </w:r>
      <w:r w:rsidRPr="00362C5A">
        <w:rPr>
          <w:b/>
          <w:i/>
          <w:color w:val="4F6228"/>
        </w:rPr>
        <w:tab/>
      </w:r>
      <w:r w:rsidRPr="00362C5A">
        <w:rPr>
          <w:b/>
          <w:i/>
          <w:color w:val="4F6228"/>
        </w:rPr>
        <w:tab/>
      </w:r>
      <w:r w:rsidRPr="00362C5A">
        <w:rPr>
          <w:b/>
          <w:i/>
          <w:color w:val="4F6228"/>
        </w:rPr>
        <w:tab/>
      </w:r>
      <w:r w:rsidRPr="00362C5A">
        <w:rPr>
          <w:b/>
          <w:i/>
          <w:color w:val="4F6228"/>
        </w:rPr>
        <w:tab/>
      </w:r>
      <w:r w:rsidRPr="00362C5A">
        <w:rPr>
          <w:b/>
          <w:i/>
          <w:color w:val="4F6228"/>
        </w:rPr>
        <w:tab/>
      </w:r>
      <w:r w:rsidRPr="00362C5A">
        <w:rPr>
          <w:b/>
          <w:i/>
          <w:color w:val="4F6228"/>
        </w:rPr>
        <w:tab/>
      </w:r>
      <w:r w:rsidR="00FC78B2">
        <w:rPr>
          <w:b/>
          <w:i/>
          <w:color w:val="4F6228"/>
        </w:rPr>
        <w:t xml:space="preserve">                               </w:t>
      </w:r>
      <w:r>
        <w:rPr>
          <w:b/>
          <w:i/>
        </w:rPr>
        <w:t xml:space="preserve">   </w:t>
      </w:r>
      <w:r w:rsidRPr="006B1656">
        <w:rPr>
          <w:b/>
          <w:i/>
        </w:rPr>
        <w:t>Н.Л.</w:t>
      </w:r>
      <w:r>
        <w:rPr>
          <w:b/>
          <w:i/>
        </w:rPr>
        <w:t xml:space="preserve"> </w:t>
      </w:r>
      <w:r w:rsidRPr="006B1656">
        <w:rPr>
          <w:b/>
          <w:i/>
        </w:rPr>
        <w:t>Ноздрюхина</w:t>
      </w:r>
    </w:p>
    <w:p w:rsidR="005231A0" w:rsidRDefault="005231A0" w:rsidP="005231A0">
      <w:pPr>
        <w:jc w:val="both"/>
        <w:rPr>
          <w:b/>
          <w:i/>
        </w:rPr>
      </w:pPr>
    </w:p>
    <w:p w:rsidR="005231A0" w:rsidRDefault="005231A0" w:rsidP="005231A0">
      <w:pPr>
        <w:jc w:val="both"/>
      </w:pPr>
    </w:p>
    <w:p w:rsidR="00920158" w:rsidRDefault="00920158" w:rsidP="00920158">
      <w:pPr>
        <w:jc w:val="both"/>
        <w:rPr>
          <w:b/>
          <w:bCs/>
          <w:i/>
        </w:rPr>
      </w:pPr>
    </w:p>
    <w:sectPr w:rsidR="00920158" w:rsidSect="00236695">
      <w:headerReference w:type="defaul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6FC" w:rsidRDefault="002F46FC" w:rsidP="006F0FCB">
      <w:r>
        <w:separator/>
      </w:r>
    </w:p>
  </w:endnote>
  <w:endnote w:type="continuationSeparator" w:id="1">
    <w:p w:rsidR="002F46FC" w:rsidRDefault="002F46FC" w:rsidP="006F0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6FC" w:rsidRDefault="002F46FC" w:rsidP="006F0FCB">
      <w:r>
        <w:separator/>
      </w:r>
    </w:p>
  </w:footnote>
  <w:footnote w:type="continuationSeparator" w:id="1">
    <w:p w:rsidR="002F46FC" w:rsidRDefault="002F46FC" w:rsidP="006F0F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42537"/>
      <w:docPartObj>
        <w:docPartGallery w:val="Page Numbers (Top of Page)"/>
        <w:docPartUnique/>
      </w:docPartObj>
    </w:sdtPr>
    <w:sdtContent>
      <w:p w:rsidR="000E3772" w:rsidRDefault="003F4E4C">
        <w:pPr>
          <w:pStyle w:val="aa"/>
          <w:jc w:val="center"/>
        </w:pPr>
        <w:fldSimple w:instr=" PAGE   \* MERGEFORMAT ">
          <w:r w:rsidR="00EC337E">
            <w:rPr>
              <w:noProof/>
            </w:rPr>
            <w:t>2</w:t>
          </w:r>
        </w:fldSimple>
      </w:p>
    </w:sdtContent>
  </w:sdt>
  <w:p w:rsidR="000E3772" w:rsidRDefault="000E377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07BAD"/>
    <w:multiLevelType w:val="hybridMultilevel"/>
    <w:tmpl w:val="F5AC4A8A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54414"/>
    <w:multiLevelType w:val="hybridMultilevel"/>
    <w:tmpl w:val="285CCEB6"/>
    <w:lvl w:ilvl="0" w:tplc="B9F8E2A4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6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41" w:hanging="360"/>
      </w:pPr>
      <w:rPr>
        <w:rFonts w:ascii="Wingdings" w:hAnsi="Wingdings" w:hint="default"/>
      </w:rPr>
    </w:lvl>
  </w:abstractNum>
  <w:abstractNum w:abstractNumId="2">
    <w:nsid w:val="16696960"/>
    <w:multiLevelType w:val="hybridMultilevel"/>
    <w:tmpl w:val="D8D4B614"/>
    <w:lvl w:ilvl="0" w:tplc="C3040438">
      <w:start w:val="1"/>
      <w:numFmt w:val="bullet"/>
      <w:pStyle w:val="a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F408CC"/>
    <w:multiLevelType w:val="hybridMultilevel"/>
    <w:tmpl w:val="6868B4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700650"/>
    <w:multiLevelType w:val="hybridMultilevel"/>
    <w:tmpl w:val="18027B8E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/>
  <w:rsids>
    <w:rsidRoot w:val="00920158"/>
    <w:rsid w:val="0000015B"/>
    <w:rsid w:val="00000744"/>
    <w:rsid w:val="00004C9E"/>
    <w:rsid w:val="000074BF"/>
    <w:rsid w:val="000218F4"/>
    <w:rsid w:val="00024A2A"/>
    <w:rsid w:val="000268BD"/>
    <w:rsid w:val="0004241F"/>
    <w:rsid w:val="000469EA"/>
    <w:rsid w:val="00061399"/>
    <w:rsid w:val="00067D15"/>
    <w:rsid w:val="00071FEE"/>
    <w:rsid w:val="000874D6"/>
    <w:rsid w:val="0009189C"/>
    <w:rsid w:val="00092C47"/>
    <w:rsid w:val="000B48BB"/>
    <w:rsid w:val="000B6630"/>
    <w:rsid w:val="000D158A"/>
    <w:rsid w:val="000D2F39"/>
    <w:rsid w:val="000E0429"/>
    <w:rsid w:val="000E3772"/>
    <w:rsid w:val="000E4B3C"/>
    <w:rsid w:val="000F3806"/>
    <w:rsid w:val="000F4933"/>
    <w:rsid w:val="001118D3"/>
    <w:rsid w:val="00114320"/>
    <w:rsid w:val="00116C6D"/>
    <w:rsid w:val="00117D0B"/>
    <w:rsid w:val="001232B6"/>
    <w:rsid w:val="00141396"/>
    <w:rsid w:val="001463F2"/>
    <w:rsid w:val="00147760"/>
    <w:rsid w:val="001630BD"/>
    <w:rsid w:val="00163C2E"/>
    <w:rsid w:val="001674F2"/>
    <w:rsid w:val="00170508"/>
    <w:rsid w:val="00171A8A"/>
    <w:rsid w:val="001812EC"/>
    <w:rsid w:val="00190CDE"/>
    <w:rsid w:val="00195C88"/>
    <w:rsid w:val="00196C8D"/>
    <w:rsid w:val="001B011D"/>
    <w:rsid w:val="001B0681"/>
    <w:rsid w:val="001B0DEA"/>
    <w:rsid w:val="001B322E"/>
    <w:rsid w:val="001B4952"/>
    <w:rsid w:val="001C04FF"/>
    <w:rsid w:val="001C27A1"/>
    <w:rsid w:val="001C5727"/>
    <w:rsid w:val="001C7AA8"/>
    <w:rsid w:val="001D0899"/>
    <w:rsid w:val="001D6133"/>
    <w:rsid w:val="001E114D"/>
    <w:rsid w:val="001E26BE"/>
    <w:rsid w:val="001E579E"/>
    <w:rsid w:val="001E734F"/>
    <w:rsid w:val="001F1D09"/>
    <w:rsid w:val="002011FE"/>
    <w:rsid w:val="00204E50"/>
    <w:rsid w:val="00207256"/>
    <w:rsid w:val="00211BE3"/>
    <w:rsid w:val="0021659E"/>
    <w:rsid w:val="002168D1"/>
    <w:rsid w:val="00222D73"/>
    <w:rsid w:val="002234E5"/>
    <w:rsid w:val="00230AB1"/>
    <w:rsid w:val="00234901"/>
    <w:rsid w:val="00234A0C"/>
    <w:rsid w:val="00236695"/>
    <w:rsid w:val="00244BBE"/>
    <w:rsid w:val="002505F0"/>
    <w:rsid w:val="00260B43"/>
    <w:rsid w:val="00261B03"/>
    <w:rsid w:val="002675B7"/>
    <w:rsid w:val="00276CA3"/>
    <w:rsid w:val="00281C6C"/>
    <w:rsid w:val="002839A2"/>
    <w:rsid w:val="00286C72"/>
    <w:rsid w:val="002909AE"/>
    <w:rsid w:val="002B0506"/>
    <w:rsid w:val="002B1B2E"/>
    <w:rsid w:val="002B2090"/>
    <w:rsid w:val="002B2803"/>
    <w:rsid w:val="002B7EE9"/>
    <w:rsid w:val="002C1A94"/>
    <w:rsid w:val="002D20C9"/>
    <w:rsid w:val="002E2A83"/>
    <w:rsid w:val="002F1309"/>
    <w:rsid w:val="002F46FC"/>
    <w:rsid w:val="0030241F"/>
    <w:rsid w:val="00305962"/>
    <w:rsid w:val="003079D6"/>
    <w:rsid w:val="003104EE"/>
    <w:rsid w:val="00310B30"/>
    <w:rsid w:val="0031541B"/>
    <w:rsid w:val="00321A5B"/>
    <w:rsid w:val="00333EA1"/>
    <w:rsid w:val="00343077"/>
    <w:rsid w:val="00343117"/>
    <w:rsid w:val="00343427"/>
    <w:rsid w:val="00343C5D"/>
    <w:rsid w:val="00344806"/>
    <w:rsid w:val="003531EC"/>
    <w:rsid w:val="00363B40"/>
    <w:rsid w:val="00364DD1"/>
    <w:rsid w:val="00365FCF"/>
    <w:rsid w:val="0037601F"/>
    <w:rsid w:val="00380479"/>
    <w:rsid w:val="00383932"/>
    <w:rsid w:val="00385F7D"/>
    <w:rsid w:val="00386B09"/>
    <w:rsid w:val="0039270B"/>
    <w:rsid w:val="00397A82"/>
    <w:rsid w:val="003A10A1"/>
    <w:rsid w:val="003A3255"/>
    <w:rsid w:val="003B234B"/>
    <w:rsid w:val="003C0E9A"/>
    <w:rsid w:val="003C2B3A"/>
    <w:rsid w:val="003C5057"/>
    <w:rsid w:val="003D191E"/>
    <w:rsid w:val="003D59AF"/>
    <w:rsid w:val="003E3131"/>
    <w:rsid w:val="003F4E4C"/>
    <w:rsid w:val="00407E56"/>
    <w:rsid w:val="00416796"/>
    <w:rsid w:val="004241DE"/>
    <w:rsid w:val="00424C0E"/>
    <w:rsid w:val="0043406E"/>
    <w:rsid w:val="00434CC8"/>
    <w:rsid w:val="004350AF"/>
    <w:rsid w:val="00440E62"/>
    <w:rsid w:val="004444F2"/>
    <w:rsid w:val="00453715"/>
    <w:rsid w:val="004618FE"/>
    <w:rsid w:val="00461D79"/>
    <w:rsid w:val="004621B4"/>
    <w:rsid w:val="00462D6A"/>
    <w:rsid w:val="0046528C"/>
    <w:rsid w:val="00465DCB"/>
    <w:rsid w:val="00476942"/>
    <w:rsid w:val="00477F1B"/>
    <w:rsid w:val="00480B75"/>
    <w:rsid w:val="004945B8"/>
    <w:rsid w:val="0049555D"/>
    <w:rsid w:val="004A00BA"/>
    <w:rsid w:val="004A2C94"/>
    <w:rsid w:val="004A403E"/>
    <w:rsid w:val="004A637C"/>
    <w:rsid w:val="004B0241"/>
    <w:rsid w:val="004B2080"/>
    <w:rsid w:val="004C7B7D"/>
    <w:rsid w:val="004D00FA"/>
    <w:rsid w:val="004E0AF9"/>
    <w:rsid w:val="004E3BAC"/>
    <w:rsid w:val="004E3E47"/>
    <w:rsid w:val="004E4CD8"/>
    <w:rsid w:val="004E5EB4"/>
    <w:rsid w:val="004F010E"/>
    <w:rsid w:val="004F1220"/>
    <w:rsid w:val="004F3CD1"/>
    <w:rsid w:val="004F6A9C"/>
    <w:rsid w:val="004F7805"/>
    <w:rsid w:val="004F781C"/>
    <w:rsid w:val="00500F51"/>
    <w:rsid w:val="00502057"/>
    <w:rsid w:val="00502456"/>
    <w:rsid w:val="0050388C"/>
    <w:rsid w:val="00504C7A"/>
    <w:rsid w:val="005071DA"/>
    <w:rsid w:val="00507643"/>
    <w:rsid w:val="00512A2C"/>
    <w:rsid w:val="00513CAB"/>
    <w:rsid w:val="00520869"/>
    <w:rsid w:val="00520C7D"/>
    <w:rsid w:val="005231A0"/>
    <w:rsid w:val="005259E4"/>
    <w:rsid w:val="0052724A"/>
    <w:rsid w:val="00542B02"/>
    <w:rsid w:val="00543618"/>
    <w:rsid w:val="00545544"/>
    <w:rsid w:val="005512EB"/>
    <w:rsid w:val="0055371A"/>
    <w:rsid w:val="00561ACE"/>
    <w:rsid w:val="00572234"/>
    <w:rsid w:val="00574354"/>
    <w:rsid w:val="00574462"/>
    <w:rsid w:val="00576936"/>
    <w:rsid w:val="005826C8"/>
    <w:rsid w:val="005835A7"/>
    <w:rsid w:val="00584C11"/>
    <w:rsid w:val="005926B8"/>
    <w:rsid w:val="00592B36"/>
    <w:rsid w:val="0059627A"/>
    <w:rsid w:val="005977A4"/>
    <w:rsid w:val="005A0DF6"/>
    <w:rsid w:val="005A3220"/>
    <w:rsid w:val="005A544D"/>
    <w:rsid w:val="005B00BA"/>
    <w:rsid w:val="005B0E17"/>
    <w:rsid w:val="005B0E64"/>
    <w:rsid w:val="005B3DA6"/>
    <w:rsid w:val="005B5907"/>
    <w:rsid w:val="005C27FA"/>
    <w:rsid w:val="005C5BB6"/>
    <w:rsid w:val="005C75C6"/>
    <w:rsid w:val="005E0551"/>
    <w:rsid w:val="005F7E0B"/>
    <w:rsid w:val="00602274"/>
    <w:rsid w:val="00605553"/>
    <w:rsid w:val="00614AAD"/>
    <w:rsid w:val="00614AD7"/>
    <w:rsid w:val="00616380"/>
    <w:rsid w:val="0062465B"/>
    <w:rsid w:val="00627E96"/>
    <w:rsid w:val="00645B36"/>
    <w:rsid w:val="006617CB"/>
    <w:rsid w:val="00664ECB"/>
    <w:rsid w:val="0066648C"/>
    <w:rsid w:val="00671F74"/>
    <w:rsid w:val="006728AA"/>
    <w:rsid w:val="006730C3"/>
    <w:rsid w:val="00673F36"/>
    <w:rsid w:val="00681B03"/>
    <w:rsid w:val="00682399"/>
    <w:rsid w:val="0068490C"/>
    <w:rsid w:val="00693044"/>
    <w:rsid w:val="006A0755"/>
    <w:rsid w:val="006A075C"/>
    <w:rsid w:val="006A47B6"/>
    <w:rsid w:val="006B3C12"/>
    <w:rsid w:val="006B6831"/>
    <w:rsid w:val="006D037B"/>
    <w:rsid w:val="006D3957"/>
    <w:rsid w:val="006D4BE8"/>
    <w:rsid w:val="006E5DC2"/>
    <w:rsid w:val="006E6FEF"/>
    <w:rsid w:val="006F0FCB"/>
    <w:rsid w:val="006F10A0"/>
    <w:rsid w:val="006F184F"/>
    <w:rsid w:val="00700E20"/>
    <w:rsid w:val="0071144A"/>
    <w:rsid w:val="007126CE"/>
    <w:rsid w:val="00722FE3"/>
    <w:rsid w:val="00723E9B"/>
    <w:rsid w:val="00732018"/>
    <w:rsid w:val="00733010"/>
    <w:rsid w:val="0073403D"/>
    <w:rsid w:val="00734EB7"/>
    <w:rsid w:val="0074710D"/>
    <w:rsid w:val="00753B79"/>
    <w:rsid w:val="007561E7"/>
    <w:rsid w:val="007664CC"/>
    <w:rsid w:val="00767BC5"/>
    <w:rsid w:val="00770D0F"/>
    <w:rsid w:val="00792491"/>
    <w:rsid w:val="00793662"/>
    <w:rsid w:val="00795C9A"/>
    <w:rsid w:val="007A2021"/>
    <w:rsid w:val="007A26AA"/>
    <w:rsid w:val="007A3045"/>
    <w:rsid w:val="007A5593"/>
    <w:rsid w:val="007B547D"/>
    <w:rsid w:val="007C7B74"/>
    <w:rsid w:val="007D1E6F"/>
    <w:rsid w:val="007D2730"/>
    <w:rsid w:val="007D6E6F"/>
    <w:rsid w:val="007E077B"/>
    <w:rsid w:val="007E1B7A"/>
    <w:rsid w:val="007E49DE"/>
    <w:rsid w:val="007F150F"/>
    <w:rsid w:val="008009BA"/>
    <w:rsid w:val="008054CB"/>
    <w:rsid w:val="00805D76"/>
    <w:rsid w:val="008064D5"/>
    <w:rsid w:val="00806A86"/>
    <w:rsid w:val="0081394F"/>
    <w:rsid w:val="00822AC8"/>
    <w:rsid w:val="008232BC"/>
    <w:rsid w:val="0083185A"/>
    <w:rsid w:val="00833FB9"/>
    <w:rsid w:val="00837067"/>
    <w:rsid w:val="00850291"/>
    <w:rsid w:val="00853984"/>
    <w:rsid w:val="00857C91"/>
    <w:rsid w:val="00860750"/>
    <w:rsid w:val="008616F0"/>
    <w:rsid w:val="00862D9A"/>
    <w:rsid w:val="00863072"/>
    <w:rsid w:val="008641B9"/>
    <w:rsid w:val="00864B73"/>
    <w:rsid w:val="008652AD"/>
    <w:rsid w:val="00870E92"/>
    <w:rsid w:val="00876C95"/>
    <w:rsid w:val="00880FF9"/>
    <w:rsid w:val="0088534C"/>
    <w:rsid w:val="0089014D"/>
    <w:rsid w:val="008929BE"/>
    <w:rsid w:val="00894437"/>
    <w:rsid w:val="0089695F"/>
    <w:rsid w:val="00896B9D"/>
    <w:rsid w:val="008A0F36"/>
    <w:rsid w:val="008A31F3"/>
    <w:rsid w:val="008A4341"/>
    <w:rsid w:val="008A7F9D"/>
    <w:rsid w:val="008B3952"/>
    <w:rsid w:val="008C5358"/>
    <w:rsid w:val="008D2AF2"/>
    <w:rsid w:val="008D5C7B"/>
    <w:rsid w:val="008E6F12"/>
    <w:rsid w:val="008F365C"/>
    <w:rsid w:val="00902972"/>
    <w:rsid w:val="00911035"/>
    <w:rsid w:val="00913659"/>
    <w:rsid w:val="00913AB2"/>
    <w:rsid w:val="00914044"/>
    <w:rsid w:val="00920158"/>
    <w:rsid w:val="009210F0"/>
    <w:rsid w:val="009241EA"/>
    <w:rsid w:val="009258C8"/>
    <w:rsid w:val="00932DF8"/>
    <w:rsid w:val="009345C5"/>
    <w:rsid w:val="0094161D"/>
    <w:rsid w:val="0094218D"/>
    <w:rsid w:val="009427E9"/>
    <w:rsid w:val="00944026"/>
    <w:rsid w:val="00946519"/>
    <w:rsid w:val="009573EF"/>
    <w:rsid w:val="009575A6"/>
    <w:rsid w:val="0096658E"/>
    <w:rsid w:val="00966C0D"/>
    <w:rsid w:val="009714DB"/>
    <w:rsid w:val="00977251"/>
    <w:rsid w:val="00980295"/>
    <w:rsid w:val="00984B4B"/>
    <w:rsid w:val="009904DC"/>
    <w:rsid w:val="0099252B"/>
    <w:rsid w:val="009A7550"/>
    <w:rsid w:val="009B041F"/>
    <w:rsid w:val="009B13F9"/>
    <w:rsid w:val="009C7022"/>
    <w:rsid w:val="009D401E"/>
    <w:rsid w:val="009D654E"/>
    <w:rsid w:val="009E04C2"/>
    <w:rsid w:val="009E05B7"/>
    <w:rsid w:val="009E2316"/>
    <w:rsid w:val="009E392D"/>
    <w:rsid w:val="00A0604B"/>
    <w:rsid w:val="00A06566"/>
    <w:rsid w:val="00A14611"/>
    <w:rsid w:val="00A1773A"/>
    <w:rsid w:val="00A23855"/>
    <w:rsid w:val="00A2530C"/>
    <w:rsid w:val="00A26063"/>
    <w:rsid w:val="00A2613D"/>
    <w:rsid w:val="00A30C73"/>
    <w:rsid w:val="00A361EE"/>
    <w:rsid w:val="00A367A3"/>
    <w:rsid w:val="00A36B29"/>
    <w:rsid w:val="00A37802"/>
    <w:rsid w:val="00A418CA"/>
    <w:rsid w:val="00A45100"/>
    <w:rsid w:val="00A46D30"/>
    <w:rsid w:val="00A522C5"/>
    <w:rsid w:val="00A63471"/>
    <w:rsid w:val="00A667AA"/>
    <w:rsid w:val="00A76254"/>
    <w:rsid w:val="00A7777F"/>
    <w:rsid w:val="00A80E85"/>
    <w:rsid w:val="00A81A75"/>
    <w:rsid w:val="00A90C23"/>
    <w:rsid w:val="00A90DE7"/>
    <w:rsid w:val="00A933D9"/>
    <w:rsid w:val="00A94442"/>
    <w:rsid w:val="00AB1FB2"/>
    <w:rsid w:val="00AB5742"/>
    <w:rsid w:val="00AB6DD1"/>
    <w:rsid w:val="00AD0167"/>
    <w:rsid w:val="00AD452B"/>
    <w:rsid w:val="00AD542D"/>
    <w:rsid w:val="00AE047D"/>
    <w:rsid w:val="00AF6D46"/>
    <w:rsid w:val="00AF766A"/>
    <w:rsid w:val="00B0367A"/>
    <w:rsid w:val="00B27B71"/>
    <w:rsid w:val="00B27C3C"/>
    <w:rsid w:val="00B27EC1"/>
    <w:rsid w:val="00B3022C"/>
    <w:rsid w:val="00B357D3"/>
    <w:rsid w:val="00B35A4E"/>
    <w:rsid w:val="00B6205D"/>
    <w:rsid w:val="00B639C1"/>
    <w:rsid w:val="00B71282"/>
    <w:rsid w:val="00B73103"/>
    <w:rsid w:val="00B73B3A"/>
    <w:rsid w:val="00B743C6"/>
    <w:rsid w:val="00B76D6E"/>
    <w:rsid w:val="00B844EE"/>
    <w:rsid w:val="00B870DA"/>
    <w:rsid w:val="00B87AAF"/>
    <w:rsid w:val="00B91093"/>
    <w:rsid w:val="00B94285"/>
    <w:rsid w:val="00B965C5"/>
    <w:rsid w:val="00BA1822"/>
    <w:rsid w:val="00BB0ED5"/>
    <w:rsid w:val="00BB76CB"/>
    <w:rsid w:val="00BD2DBC"/>
    <w:rsid w:val="00BD41B7"/>
    <w:rsid w:val="00BD707E"/>
    <w:rsid w:val="00BD768C"/>
    <w:rsid w:val="00BE144B"/>
    <w:rsid w:val="00BE44E2"/>
    <w:rsid w:val="00BE66B9"/>
    <w:rsid w:val="00BE745E"/>
    <w:rsid w:val="00BF017B"/>
    <w:rsid w:val="00BF5D68"/>
    <w:rsid w:val="00BF5DDB"/>
    <w:rsid w:val="00BF6CF2"/>
    <w:rsid w:val="00C02C0E"/>
    <w:rsid w:val="00C03079"/>
    <w:rsid w:val="00C04A05"/>
    <w:rsid w:val="00C04EFC"/>
    <w:rsid w:val="00C101D7"/>
    <w:rsid w:val="00C23E5C"/>
    <w:rsid w:val="00C270C6"/>
    <w:rsid w:val="00C31BEF"/>
    <w:rsid w:val="00C37396"/>
    <w:rsid w:val="00C43250"/>
    <w:rsid w:val="00C54762"/>
    <w:rsid w:val="00C574C3"/>
    <w:rsid w:val="00C57B06"/>
    <w:rsid w:val="00C604B1"/>
    <w:rsid w:val="00C7278A"/>
    <w:rsid w:val="00C73596"/>
    <w:rsid w:val="00C7442A"/>
    <w:rsid w:val="00C7539E"/>
    <w:rsid w:val="00C82D68"/>
    <w:rsid w:val="00C906DE"/>
    <w:rsid w:val="00C91976"/>
    <w:rsid w:val="00C93E8D"/>
    <w:rsid w:val="00CA357E"/>
    <w:rsid w:val="00CA5427"/>
    <w:rsid w:val="00CA73BE"/>
    <w:rsid w:val="00CB3E8F"/>
    <w:rsid w:val="00CB6493"/>
    <w:rsid w:val="00CB6A0C"/>
    <w:rsid w:val="00CB6EEA"/>
    <w:rsid w:val="00CC5298"/>
    <w:rsid w:val="00CD1E33"/>
    <w:rsid w:val="00CE0EC0"/>
    <w:rsid w:val="00CE0EF1"/>
    <w:rsid w:val="00CE25FC"/>
    <w:rsid w:val="00CE269B"/>
    <w:rsid w:val="00CE2E64"/>
    <w:rsid w:val="00CF05BF"/>
    <w:rsid w:val="00CF0AE5"/>
    <w:rsid w:val="00CF2E64"/>
    <w:rsid w:val="00CF7D90"/>
    <w:rsid w:val="00D00C8E"/>
    <w:rsid w:val="00D0435C"/>
    <w:rsid w:val="00D04A5A"/>
    <w:rsid w:val="00D07BDB"/>
    <w:rsid w:val="00D10046"/>
    <w:rsid w:val="00D14A20"/>
    <w:rsid w:val="00D15169"/>
    <w:rsid w:val="00D15317"/>
    <w:rsid w:val="00D2406C"/>
    <w:rsid w:val="00D3086E"/>
    <w:rsid w:val="00D33B6A"/>
    <w:rsid w:val="00D37789"/>
    <w:rsid w:val="00D37D69"/>
    <w:rsid w:val="00D4113C"/>
    <w:rsid w:val="00D4480B"/>
    <w:rsid w:val="00D464B1"/>
    <w:rsid w:val="00D47047"/>
    <w:rsid w:val="00D523E0"/>
    <w:rsid w:val="00D52A5D"/>
    <w:rsid w:val="00D5422A"/>
    <w:rsid w:val="00D626BD"/>
    <w:rsid w:val="00D62D2A"/>
    <w:rsid w:val="00D65377"/>
    <w:rsid w:val="00D76F20"/>
    <w:rsid w:val="00D820B3"/>
    <w:rsid w:val="00D900EB"/>
    <w:rsid w:val="00D9074C"/>
    <w:rsid w:val="00D92155"/>
    <w:rsid w:val="00D960A6"/>
    <w:rsid w:val="00DB1633"/>
    <w:rsid w:val="00DB1ADD"/>
    <w:rsid w:val="00DB6200"/>
    <w:rsid w:val="00DC4AB7"/>
    <w:rsid w:val="00DD4A51"/>
    <w:rsid w:val="00DD6378"/>
    <w:rsid w:val="00DE2A06"/>
    <w:rsid w:val="00DE2D45"/>
    <w:rsid w:val="00DE6735"/>
    <w:rsid w:val="00DF03EF"/>
    <w:rsid w:val="00DF2CB3"/>
    <w:rsid w:val="00DF666D"/>
    <w:rsid w:val="00DF6766"/>
    <w:rsid w:val="00E0136B"/>
    <w:rsid w:val="00E131C9"/>
    <w:rsid w:val="00E1497B"/>
    <w:rsid w:val="00E16F9A"/>
    <w:rsid w:val="00E33D20"/>
    <w:rsid w:val="00E468D4"/>
    <w:rsid w:val="00E46A6F"/>
    <w:rsid w:val="00E53C7E"/>
    <w:rsid w:val="00E55D49"/>
    <w:rsid w:val="00E56BF2"/>
    <w:rsid w:val="00E57F62"/>
    <w:rsid w:val="00E67223"/>
    <w:rsid w:val="00E70751"/>
    <w:rsid w:val="00E710C7"/>
    <w:rsid w:val="00E736BB"/>
    <w:rsid w:val="00E75F64"/>
    <w:rsid w:val="00E8166C"/>
    <w:rsid w:val="00E95D6F"/>
    <w:rsid w:val="00EA53DD"/>
    <w:rsid w:val="00EB05DE"/>
    <w:rsid w:val="00EB38D4"/>
    <w:rsid w:val="00EC25D8"/>
    <w:rsid w:val="00EC2F6E"/>
    <w:rsid w:val="00EC337E"/>
    <w:rsid w:val="00EC4DF0"/>
    <w:rsid w:val="00EC6C31"/>
    <w:rsid w:val="00ED0654"/>
    <w:rsid w:val="00ED4219"/>
    <w:rsid w:val="00ED5A3C"/>
    <w:rsid w:val="00EE1ECB"/>
    <w:rsid w:val="00EE41E2"/>
    <w:rsid w:val="00EE4B60"/>
    <w:rsid w:val="00EF0BC3"/>
    <w:rsid w:val="00EF7A8C"/>
    <w:rsid w:val="00F00CAA"/>
    <w:rsid w:val="00F02E69"/>
    <w:rsid w:val="00F033AB"/>
    <w:rsid w:val="00F04441"/>
    <w:rsid w:val="00F04456"/>
    <w:rsid w:val="00F04FEE"/>
    <w:rsid w:val="00F10918"/>
    <w:rsid w:val="00F17B76"/>
    <w:rsid w:val="00F17EEE"/>
    <w:rsid w:val="00F23A15"/>
    <w:rsid w:val="00F26DE9"/>
    <w:rsid w:val="00F33C4B"/>
    <w:rsid w:val="00F354EC"/>
    <w:rsid w:val="00F47C92"/>
    <w:rsid w:val="00F5116A"/>
    <w:rsid w:val="00F5344F"/>
    <w:rsid w:val="00F539D3"/>
    <w:rsid w:val="00F544A9"/>
    <w:rsid w:val="00F603F2"/>
    <w:rsid w:val="00F61728"/>
    <w:rsid w:val="00F67914"/>
    <w:rsid w:val="00F71F22"/>
    <w:rsid w:val="00F742B1"/>
    <w:rsid w:val="00F825C2"/>
    <w:rsid w:val="00F84685"/>
    <w:rsid w:val="00F84F0D"/>
    <w:rsid w:val="00F871F9"/>
    <w:rsid w:val="00F87335"/>
    <w:rsid w:val="00F87346"/>
    <w:rsid w:val="00F9050E"/>
    <w:rsid w:val="00F90936"/>
    <w:rsid w:val="00F9715A"/>
    <w:rsid w:val="00F97F24"/>
    <w:rsid w:val="00FB4694"/>
    <w:rsid w:val="00FC2AA4"/>
    <w:rsid w:val="00FC2E5B"/>
    <w:rsid w:val="00FC5986"/>
    <w:rsid w:val="00FC78B2"/>
    <w:rsid w:val="00FD1430"/>
    <w:rsid w:val="00FD484E"/>
    <w:rsid w:val="00FE1D16"/>
    <w:rsid w:val="00FE2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201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92015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rsid w:val="0092015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semiHidden/>
    <w:unhideWhenUsed/>
    <w:qFormat/>
    <w:rsid w:val="0092015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20158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2015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9"/>
    <w:semiHidden/>
    <w:rsid w:val="0092015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rsid w:val="0092015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920158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styleId="a4">
    <w:name w:val="Hyperlink"/>
    <w:basedOn w:val="a1"/>
    <w:uiPriority w:val="99"/>
    <w:semiHidden/>
    <w:unhideWhenUsed/>
    <w:rsid w:val="00920158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920158"/>
    <w:rPr>
      <w:color w:val="800080" w:themeColor="followedHyperlink"/>
      <w:u w:val="single"/>
    </w:rPr>
  </w:style>
  <w:style w:type="paragraph" w:styleId="a6">
    <w:name w:val="footnote text"/>
    <w:basedOn w:val="a0"/>
    <w:link w:val="11"/>
    <w:uiPriority w:val="99"/>
    <w:semiHidden/>
    <w:unhideWhenUsed/>
    <w:rsid w:val="00920158"/>
    <w:rPr>
      <w:rFonts w:ascii="Calibri" w:eastAsiaTheme="minorHAnsi" w:hAnsi="Calibri"/>
      <w:sz w:val="20"/>
      <w:szCs w:val="20"/>
      <w:lang w:eastAsia="en-US"/>
    </w:rPr>
  </w:style>
  <w:style w:type="character" w:customStyle="1" w:styleId="a7">
    <w:name w:val="Текст сноски Знак"/>
    <w:basedOn w:val="a1"/>
    <w:link w:val="a6"/>
    <w:uiPriority w:val="99"/>
    <w:semiHidden/>
    <w:rsid w:val="0092015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annotation text"/>
    <w:basedOn w:val="a0"/>
    <w:link w:val="12"/>
    <w:uiPriority w:val="99"/>
    <w:semiHidden/>
    <w:unhideWhenUsed/>
    <w:rsid w:val="00920158"/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92015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header"/>
    <w:basedOn w:val="a0"/>
    <w:link w:val="ab"/>
    <w:uiPriority w:val="99"/>
    <w:unhideWhenUsed/>
    <w:rsid w:val="0092015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92015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semiHidden/>
    <w:unhideWhenUsed/>
    <w:rsid w:val="009201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92015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Title"/>
    <w:basedOn w:val="a0"/>
    <w:link w:val="af"/>
    <w:uiPriority w:val="99"/>
    <w:qFormat/>
    <w:rsid w:val="00920158"/>
    <w:pPr>
      <w:jc w:val="center"/>
    </w:pPr>
    <w:rPr>
      <w:rFonts w:eastAsia="Times New Roman"/>
      <w:b/>
      <w:bCs/>
    </w:rPr>
  </w:style>
  <w:style w:type="character" w:customStyle="1" w:styleId="af">
    <w:name w:val="Название Знак"/>
    <w:basedOn w:val="a1"/>
    <w:link w:val="ae"/>
    <w:uiPriority w:val="99"/>
    <w:rsid w:val="009201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Body Text"/>
    <w:basedOn w:val="a0"/>
    <w:link w:val="af1"/>
    <w:uiPriority w:val="99"/>
    <w:semiHidden/>
    <w:unhideWhenUsed/>
    <w:rsid w:val="00920158"/>
    <w:pPr>
      <w:jc w:val="both"/>
    </w:pPr>
    <w:rPr>
      <w:rFonts w:eastAsia="Times New Roman"/>
      <w:szCs w:val="20"/>
    </w:rPr>
  </w:style>
  <w:style w:type="character" w:customStyle="1" w:styleId="af1">
    <w:name w:val="Основной текст Знак"/>
    <w:basedOn w:val="a1"/>
    <w:link w:val="af0"/>
    <w:uiPriority w:val="99"/>
    <w:semiHidden/>
    <w:rsid w:val="009201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Body Text Indent"/>
    <w:basedOn w:val="a0"/>
    <w:link w:val="af3"/>
    <w:uiPriority w:val="99"/>
    <w:unhideWhenUsed/>
    <w:rsid w:val="00920158"/>
    <w:pPr>
      <w:spacing w:after="120"/>
      <w:ind w:left="283"/>
    </w:pPr>
    <w:rPr>
      <w:rFonts w:eastAsia="Times New Roman"/>
    </w:rPr>
  </w:style>
  <w:style w:type="character" w:customStyle="1" w:styleId="af3">
    <w:name w:val="Основной текст с отступом Знак"/>
    <w:basedOn w:val="a1"/>
    <w:link w:val="af2"/>
    <w:uiPriority w:val="99"/>
    <w:rsid w:val="009201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0"/>
    <w:link w:val="22"/>
    <w:semiHidden/>
    <w:unhideWhenUsed/>
    <w:rsid w:val="00920158"/>
    <w:pPr>
      <w:spacing w:after="120" w:line="480" w:lineRule="auto"/>
    </w:pPr>
    <w:rPr>
      <w:rFonts w:eastAsia="Times New Roman"/>
    </w:rPr>
  </w:style>
  <w:style w:type="character" w:customStyle="1" w:styleId="22">
    <w:name w:val="Основной текст 2 Знак"/>
    <w:basedOn w:val="a1"/>
    <w:link w:val="21"/>
    <w:semiHidden/>
    <w:rsid w:val="009201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0"/>
    <w:link w:val="24"/>
    <w:uiPriority w:val="99"/>
    <w:semiHidden/>
    <w:unhideWhenUsed/>
    <w:rsid w:val="00920158"/>
    <w:pPr>
      <w:spacing w:after="120" w:line="480" w:lineRule="auto"/>
      <w:ind w:left="283"/>
    </w:pPr>
    <w:rPr>
      <w:rFonts w:eastAsia="Times New Roman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9201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semiHidden/>
    <w:unhideWhenUsed/>
    <w:rsid w:val="00920158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semiHidden/>
    <w:rsid w:val="009201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annotation subject"/>
    <w:basedOn w:val="a8"/>
    <w:next w:val="a8"/>
    <w:link w:val="13"/>
    <w:uiPriority w:val="99"/>
    <w:semiHidden/>
    <w:unhideWhenUsed/>
    <w:rsid w:val="00920158"/>
    <w:rPr>
      <w:b/>
      <w:bCs/>
    </w:rPr>
  </w:style>
  <w:style w:type="character" w:customStyle="1" w:styleId="af5">
    <w:name w:val="Тема примечания Знак"/>
    <w:basedOn w:val="a9"/>
    <w:link w:val="af4"/>
    <w:uiPriority w:val="99"/>
    <w:semiHidden/>
    <w:rsid w:val="00920158"/>
    <w:rPr>
      <w:b/>
      <w:bCs/>
    </w:rPr>
  </w:style>
  <w:style w:type="paragraph" w:styleId="af6">
    <w:name w:val="Balloon Text"/>
    <w:basedOn w:val="a0"/>
    <w:link w:val="af7"/>
    <w:uiPriority w:val="99"/>
    <w:semiHidden/>
    <w:unhideWhenUsed/>
    <w:rsid w:val="0092015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920158"/>
    <w:rPr>
      <w:rFonts w:ascii="Tahoma" w:eastAsia="Calibri" w:hAnsi="Tahoma" w:cs="Tahoma"/>
      <w:sz w:val="16"/>
      <w:szCs w:val="16"/>
      <w:lang w:eastAsia="ru-RU"/>
    </w:rPr>
  </w:style>
  <w:style w:type="paragraph" w:styleId="af8">
    <w:name w:val="List Paragraph"/>
    <w:basedOn w:val="a0"/>
    <w:uiPriority w:val="34"/>
    <w:qFormat/>
    <w:rsid w:val="00920158"/>
    <w:pPr>
      <w:ind w:left="720"/>
      <w:contextualSpacing/>
    </w:pPr>
  </w:style>
  <w:style w:type="paragraph" w:customStyle="1" w:styleId="af9">
    <w:name w:val="Прижатый влево"/>
    <w:basedOn w:val="a0"/>
    <w:next w:val="a0"/>
    <w:uiPriority w:val="99"/>
    <w:rsid w:val="0092015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a">
    <w:name w:val="Комментарий"/>
    <w:basedOn w:val="a0"/>
    <w:next w:val="a0"/>
    <w:uiPriority w:val="99"/>
    <w:rsid w:val="00920158"/>
    <w:pPr>
      <w:shd w:val="clear" w:color="auto" w:fill="F0F0F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lang w:eastAsia="en-US"/>
    </w:rPr>
  </w:style>
  <w:style w:type="paragraph" w:customStyle="1" w:styleId="afb">
    <w:name w:val="Информация об изменениях документа"/>
    <w:basedOn w:val="afa"/>
    <w:next w:val="a0"/>
    <w:uiPriority w:val="99"/>
    <w:rsid w:val="00920158"/>
    <w:rPr>
      <w:i/>
      <w:iCs/>
    </w:rPr>
  </w:style>
  <w:style w:type="paragraph" w:customStyle="1" w:styleId="afc">
    <w:name w:val="Заголовок статьи"/>
    <w:basedOn w:val="a0"/>
    <w:next w:val="a0"/>
    <w:uiPriority w:val="99"/>
    <w:rsid w:val="00920158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en-US"/>
    </w:rPr>
  </w:style>
  <w:style w:type="paragraph" w:customStyle="1" w:styleId="afd">
    <w:name w:val="Нормальный (таблица)"/>
    <w:basedOn w:val="a0"/>
    <w:next w:val="a0"/>
    <w:uiPriority w:val="99"/>
    <w:rsid w:val="00920158"/>
    <w:pPr>
      <w:autoSpaceDE w:val="0"/>
      <w:autoSpaceDN w:val="0"/>
      <w:adjustRightInd w:val="0"/>
      <w:jc w:val="both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9201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">
    <w:name w:val="Пробный"/>
    <w:basedOn w:val="a0"/>
    <w:uiPriority w:val="99"/>
    <w:rsid w:val="00920158"/>
    <w:pPr>
      <w:numPr>
        <w:numId w:val="1"/>
      </w:numPr>
      <w:jc w:val="both"/>
    </w:pPr>
    <w:rPr>
      <w:rFonts w:eastAsia="Times New Roman"/>
      <w:sz w:val="28"/>
      <w:szCs w:val="28"/>
    </w:rPr>
  </w:style>
  <w:style w:type="paragraph" w:customStyle="1" w:styleId="afe">
    <w:name w:val="Таблицы (моноширинный)"/>
    <w:basedOn w:val="a0"/>
    <w:next w:val="a0"/>
    <w:uiPriority w:val="99"/>
    <w:rsid w:val="00920158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paragraph" w:customStyle="1" w:styleId="ConsNormal">
    <w:name w:val="ConsNormal"/>
    <w:uiPriority w:val="99"/>
    <w:rsid w:val="0092015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">
    <w:name w:val="Колонтитул (правый)"/>
    <w:basedOn w:val="a0"/>
    <w:next w:val="a0"/>
    <w:uiPriority w:val="99"/>
    <w:rsid w:val="00920158"/>
    <w:pPr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ConsPlusNonformat">
    <w:name w:val="ConsPlusNonformat"/>
    <w:uiPriority w:val="99"/>
    <w:rsid w:val="0092015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Абзац списка1"/>
    <w:basedOn w:val="a0"/>
    <w:uiPriority w:val="99"/>
    <w:rsid w:val="00920158"/>
    <w:pPr>
      <w:widowControl w:val="0"/>
      <w:autoSpaceDN w:val="0"/>
      <w:adjustRightInd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ConsPlusCell">
    <w:name w:val="ConsPlusCell Знак"/>
    <w:link w:val="ConsPlusCell0"/>
    <w:locked/>
    <w:rsid w:val="009201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0">
    <w:name w:val="ConsPlusCell"/>
    <w:link w:val="ConsPlusCell"/>
    <w:rsid w:val="009201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2b-toption-rowtype-data">
    <w:name w:val="b-b2b-toption-row__type-data"/>
    <w:basedOn w:val="a0"/>
    <w:rsid w:val="00920158"/>
    <w:pPr>
      <w:spacing w:before="100" w:beforeAutospacing="1" w:after="100" w:afterAutospacing="1"/>
    </w:pPr>
    <w:rPr>
      <w:rFonts w:eastAsia="Times New Roman"/>
    </w:rPr>
  </w:style>
  <w:style w:type="paragraph" w:customStyle="1" w:styleId="25">
    <w:name w:val="Знак Знак2 Знак Знак Знак"/>
    <w:basedOn w:val="a0"/>
    <w:rsid w:val="00920158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0">
    <w:name w:val="Внимание: криминал!!"/>
    <w:basedOn w:val="a0"/>
    <w:next w:val="a0"/>
    <w:uiPriority w:val="99"/>
    <w:rsid w:val="00920158"/>
    <w:pPr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character" w:styleId="aff1">
    <w:name w:val="annotation reference"/>
    <w:basedOn w:val="a1"/>
    <w:uiPriority w:val="99"/>
    <w:semiHidden/>
    <w:unhideWhenUsed/>
    <w:rsid w:val="00920158"/>
    <w:rPr>
      <w:sz w:val="16"/>
      <w:szCs w:val="16"/>
    </w:rPr>
  </w:style>
  <w:style w:type="character" w:styleId="aff2">
    <w:name w:val="page number"/>
    <w:basedOn w:val="a1"/>
    <w:uiPriority w:val="99"/>
    <w:semiHidden/>
    <w:unhideWhenUsed/>
    <w:rsid w:val="00920158"/>
    <w:rPr>
      <w:rFonts w:ascii="Times New Roman" w:hAnsi="Times New Roman" w:cs="Times New Roman" w:hint="default"/>
    </w:rPr>
  </w:style>
  <w:style w:type="character" w:customStyle="1" w:styleId="aff3">
    <w:name w:val="Гипертекстовая ссылка"/>
    <w:basedOn w:val="a1"/>
    <w:uiPriority w:val="99"/>
    <w:rsid w:val="00920158"/>
    <w:rPr>
      <w:color w:val="106BBE"/>
    </w:rPr>
  </w:style>
  <w:style w:type="character" w:customStyle="1" w:styleId="aff4">
    <w:name w:val="Цветовое выделение"/>
    <w:uiPriority w:val="99"/>
    <w:rsid w:val="00920158"/>
    <w:rPr>
      <w:b/>
      <w:bCs/>
      <w:color w:val="26282F"/>
    </w:rPr>
  </w:style>
  <w:style w:type="character" w:customStyle="1" w:styleId="blk">
    <w:name w:val="blk"/>
    <w:basedOn w:val="a1"/>
    <w:rsid w:val="00920158"/>
  </w:style>
  <w:style w:type="character" w:customStyle="1" w:styleId="12">
    <w:name w:val="Текст примечания Знак1"/>
    <w:basedOn w:val="a1"/>
    <w:link w:val="a8"/>
    <w:uiPriority w:val="99"/>
    <w:semiHidden/>
    <w:locked/>
    <w:rsid w:val="00920158"/>
    <w:rPr>
      <w:rFonts w:cs="Times New Roman"/>
    </w:rPr>
  </w:style>
  <w:style w:type="character" w:customStyle="1" w:styleId="CommentTextChar1">
    <w:name w:val="Comment Text Char1"/>
    <w:basedOn w:val="a1"/>
    <w:uiPriority w:val="99"/>
    <w:semiHidden/>
    <w:locked/>
    <w:rsid w:val="00920158"/>
    <w:rPr>
      <w:rFonts w:ascii="Times New Roman" w:hAnsi="Times New Roman" w:cs="Times New Roman" w:hint="default"/>
      <w:sz w:val="20"/>
      <w:szCs w:val="20"/>
    </w:rPr>
  </w:style>
  <w:style w:type="character" w:customStyle="1" w:styleId="13">
    <w:name w:val="Тема примечания Знак1"/>
    <w:basedOn w:val="12"/>
    <w:link w:val="af4"/>
    <w:uiPriority w:val="99"/>
    <w:semiHidden/>
    <w:locked/>
    <w:rsid w:val="00920158"/>
    <w:rPr>
      <w:b/>
      <w:bCs/>
    </w:rPr>
  </w:style>
  <w:style w:type="character" w:customStyle="1" w:styleId="CommentSubjectChar1">
    <w:name w:val="Comment Subject Char1"/>
    <w:basedOn w:val="a9"/>
    <w:uiPriority w:val="99"/>
    <w:semiHidden/>
    <w:locked/>
    <w:rsid w:val="00920158"/>
    <w:rPr>
      <w:rFonts w:hint="default"/>
      <w:b/>
      <w:bCs/>
    </w:rPr>
  </w:style>
  <w:style w:type="character" w:customStyle="1" w:styleId="11">
    <w:name w:val="Текст сноски Знак1"/>
    <w:basedOn w:val="a1"/>
    <w:link w:val="a6"/>
    <w:uiPriority w:val="99"/>
    <w:semiHidden/>
    <w:locked/>
    <w:rsid w:val="00920158"/>
    <w:rPr>
      <w:rFonts w:ascii="Calibri" w:hAnsi="Calibri" w:cs="Times New Roman"/>
      <w:sz w:val="20"/>
      <w:szCs w:val="20"/>
    </w:rPr>
  </w:style>
  <w:style w:type="character" w:customStyle="1" w:styleId="FootnoteTextChar1">
    <w:name w:val="Footnote Text Char1"/>
    <w:basedOn w:val="a1"/>
    <w:uiPriority w:val="99"/>
    <w:semiHidden/>
    <w:locked/>
    <w:rsid w:val="00920158"/>
    <w:rPr>
      <w:rFonts w:ascii="Times New Roman" w:hAnsi="Times New Roman" w:cs="Times New Roman" w:hint="default"/>
      <w:sz w:val="20"/>
      <w:szCs w:val="20"/>
    </w:rPr>
  </w:style>
  <w:style w:type="character" w:customStyle="1" w:styleId="aff5">
    <w:name w:val="Сравнение редакций. Удаленный фрагмент"/>
    <w:uiPriority w:val="99"/>
    <w:rsid w:val="00920158"/>
    <w:rPr>
      <w:color w:val="000000"/>
      <w:shd w:val="clear" w:color="auto" w:fill="C4C413"/>
    </w:rPr>
  </w:style>
  <w:style w:type="character" w:customStyle="1" w:styleId="b-b2b-toption-rowtype-name">
    <w:name w:val="b-b2b-toption-row__type-name"/>
    <w:basedOn w:val="a1"/>
    <w:rsid w:val="00920158"/>
  </w:style>
  <w:style w:type="character" w:customStyle="1" w:styleId="apple-converted-space">
    <w:name w:val="apple-converted-space"/>
    <w:basedOn w:val="a1"/>
    <w:rsid w:val="00920158"/>
  </w:style>
  <w:style w:type="character" w:customStyle="1" w:styleId="b-b2b-toption-rowtype-content">
    <w:name w:val="b-b2b-toption-row__type-content"/>
    <w:basedOn w:val="a1"/>
    <w:rsid w:val="00920158"/>
  </w:style>
  <w:style w:type="table" w:styleId="aff6">
    <w:name w:val="Table Grid"/>
    <w:basedOn w:val="a2"/>
    <w:uiPriority w:val="59"/>
    <w:rsid w:val="0092015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ceouttxt51">
    <w:name w:val="iceouttxt51"/>
    <w:basedOn w:val="a1"/>
    <w:rsid w:val="001E734F"/>
    <w:rPr>
      <w:rFonts w:ascii="Arial" w:hAnsi="Arial" w:cs="Arial" w:hint="default"/>
      <w:color w:val="666666"/>
      <w:sz w:val="14"/>
      <w:szCs w:val="14"/>
    </w:rPr>
  </w:style>
  <w:style w:type="paragraph" w:styleId="aff7">
    <w:name w:val="Normal (Web)"/>
    <w:basedOn w:val="a0"/>
    <w:uiPriority w:val="99"/>
    <w:unhideWhenUsed/>
    <w:rsid w:val="00723E9B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F871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4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4298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2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8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11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72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E2FD3B9C77186EE5B844E1456C15E5198E24E5ED1EA7E3B4EAAE8AA852791AD0C5929EB6DE5F134C653F5AV8E5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5E2FD3B9C77186EE5B844E1456C15E5198E24E5ED1EA7E3B4EAAE8AA852791AD0C5929EB6DE5F134C653F5AV8E5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E2FD3B9C77186EE5B844E1456C15E5198E24E5ED1EA7E3B4EAAE8AA852791AD0C5929EB6DE5F134C653F5AV8E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9E169-7454-472F-B551-C941E8A8C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4283</TotalTime>
  <Pages>12</Pages>
  <Words>6052</Words>
  <Characters>34498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Зубрева</dc:creator>
  <cp:lastModifiedBy>Зубрева</cp:lastModifiedBy>
  <cp:revision>414</cp:revision>
  <cp:lastPrinted>2018-03-23T12:12:00Z</cp:lastPrinted>
  <dcterms:created xsi:type="dcterms:W3CDTF">2018-02-12T13:47:00Z</dcterms:created>
  <dcterms:modified xsi:type="dcterms:W3CDTF">2018-03-23T12:16:00Z</dcterms:modified>
</cp:coreProperties>
</file>