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AC" w:rsidRPr="00F737D1" w:rsidRDefault="009B7FAC" w:rsidP="009B7FAC">
      <w:pPr>
        <w:ind w:left="5760"/>
        <w:jc w:val="center"/>
        <w:rPr>
          <w:b/>
        </w:rPr>
      </w:pPr>
      <w:r w:rsidRPr="00F737D1">
        <w:rPr>
          <w:b/>
        </w:rPr>
        <w:t>УТВЕРЖДАЮ</w:t>
      </w:r>
    </w:p>
    <w:p w:rsidR="009B7FAC" w:rsidRPr="00F737D1" w:rsidRDefault="009B7FAC" w:rsidP="009B7FAC">
      <w:pPr>
        <w:ind w:left="5760"/>
        <w:jc w:val="both"/>
        <w:rPr>
          <w:b/>
        </w:rPr>
      </w:pPr>
      <w:r w:rsidRPr="00F737D1">
        <w:rPr>
          <w:b/>
        </w:rPr>
        <w:t>председатель контрольно-счетной палаты Волгоградской области</w:t>
      </w:r>
      <w:r>
        <w:rPr>
          <w:b/>
        </w:rPr>
        <w:t xml:space="preserve"> ___</w:t>
      </w:r>
      <w:r w:rsidRPr="00F737D1">
        <w:rPr>
          <w:b/>
        </w:rPr>
        <w:t>______________</w:t>
      </w:r>
      <w:r>
        <w:rPr>
          <w:b/>
        </w:rPr>
        <w:t xml:space="preserve">  </w:t>
      </w:r>
      <w:proofErr w:type="gramStart"/>
      <w:r w:rsidRPr="00F737D1">
        <w:rPr>
          <w:b/>
        </w:rPr>
        <w:t>И. А.</w:t>
      </w:r>
      <w:proofErr w:type="gramEnd"/>
      <w:r w:rsidRPr="00F737D1">
        <w:rPr>
          <w:b/>
        </w:rPr>
        <w:t xml:space="preserve"> Дьяченко</w:t>
      </w:r>
    </w:p>
    <w:p w:rsidR="009B7FAC" w:rsidRPr="00F737D1" w:rsidRDefault="009B7FAC" w:rsidP="009B7FAC">
      <w:pPr>
        <w:ind w:left="5760"/>
        <w:rPr>
          <w:b/>
        </w:rPr>
      </w:pPr>
      <w:r>
        <w:rPr>
          <w:b/>
        </w:rPr>
        <w:t>«</w:t>
      </w:r>
      <w:r w:rsidR="00794F73">
        <w:rPr>
          <w:b/>
        </w:rPr>
        <w:t xml:space="preserve">     </w:t>
      </w:r>
      <w:r>
        <w:rPr>
          <w:b/>
        </w:rPr>
        <w:t xml:space="preserve">» </w:t>
      </w:r>
      <w:r w:rsidR="00A6190A">
        <w:rPr>
          <w:b/>
        </w:rPr>
        <w:t>март</w:t>
      </w:r>
      <w:r w:rsidR="00A0358E">
        <w:rPr>
          <w:b/>
        </w:rPr>
        <w:t>а</w:t>
      </w:r>
      <w:r>
        <w:rPr>
          <w:b/>
        </w:rPr>
        <w:t xml:space="preserve"> 20</w:t>
      </w:r>
      <w:r w:rsidR="008E0278">
        <w:rPr>
          <w:b/>
        </w:rPr>
        <w:t>20</w:t>
      </w:r>
      <w:r w:rsidRPr="00F737D1">
        <w:rPr>
          <w:b/>
        </w:rPr>
        <w:t xml:space="preserve"> года</w:t>
      </w:r>
    </w:p>
    <w:p w:rsidR="009B7FAC" w:rsidRDefault="009B7FAC" w:rsidP="009B7FAC">
      <w:pPr>
        <w:pStyle w:val="21"/>
        <w:spacing w:after="0" w:line="240" w:lineRule="auto"/>
        <w:jc w:val="center"/>
        <w:rPr>
          <w:b/>
          <w:i/>
        </w:rPr>
      </w:pPr>
    </w:p>
    <w:p w:rsidR="009B7FAC" w:rsidRPr="006D6B86" w:rsidRDefault="009B7FAC" w:rsidP="009B7FAC">
      <w:pPr>
        <w:pStyle w:val="21"/>
        <w:spacing w:after="0" w:line="240" w:lineRule="auto"/>
        <w:jc w:val="center"/>
        <w:rPr>
          <w:b/>
          <w:i/>
        </w:rPr>
      </w:pPr>
      <w:r w:rsidRPr="006D6B86">
        <w:rPr>
          <w:b/>
          <w:i/>
        </w:rPr>
        <w:t>ЗАКЛЮЧЕНИЕ</w:t>
      </w:r>
    </w:p>
    <w:p w:rsidR="00A0358E" w:rsidRPr="00110740" w:rsidRDefault="009B7FAC" w:rsidP="00A0358E">
      <w:pPr>
        <w:ind w:firstLine="708"/>
        <w:jc w:val="center"/>
        <w:rPr>
          <w:b/>
        </w:rPr>
      </w:pPr>
      <w:r>
        <w:rPr>
          <w:b/>
        </w:rPr>
        <w:t xml:space="preserve">по результатам </w:t>
      </w:r>
      <w:r w:rsidR="00A0358E" w:rsidRPr="00110740">
        <w:rPr>
          <w:b/>
        </w:rPr>
        <w:t>внешней проверки бюджетной отчетности и отдельных вопросов исполнения областного бюджета за 201</w:t>
      </w:r>
      <w:r w:rsidR="008E0278">
        <w:rPr>
          <w:b/>
        </w:rPr>
        <w:t>9</w:t>
      </w:r>
      <w:r w:rsidR="00A0358E" w:rsidRPr="00110740">
        <w:rPr>
          <w:b/>
        </w:rPr>
        <w:t xml:space="preserve"> год главным администратором средств областного бюджета – </w:t>
      </w:r>
      <w:r w:rsidR="00356FF9">
        <w:rPr>
          <w:b/>
        </w:rPr>
        <w:t>Представительством Волгоградской области в городе Москве</w:t>
      </w:r>
    </w:p>
    <w:p w:rsidR="001976BC" w:rsidRDefault="001976BC" w:rsidP="009B7FAC">
      <w:pPr>
        <w:pStyle w:val="21"/>
        <w:spacing w:after="0" w:line="240" w:lineRule="auto"/>
        <w:jc w:val="center"/>
        <w:rPr>
          <w:b/>
        </w:rPr>
      </w:pPr>
    </w:p>
    <w:p w:rsidR="001976BC" w:rsidRPr="00A0743C" w:rsidRDefault="004302E5" w:rsidP="00F74945">
      <w:pPr>
        <w:autoSpaceDE w:val="0"/>
        <w:autoSpaceDN w:val="0"/>
        <w:adjustRightInd w:val="0"/>
        <w:ind w:firstLine="680"/>
        <w:jc w:val="both"/>
      </w:pPr>
      <w:proofErr w:type="gramStart"/>
      <w:r w:rsidRPr="00A0743C">
        <w:t>В</w:t>
      </w:r>
      <w:r w:rsidR="00C279EB" w:rsidRPr="00A0743C">
        <w:t xml:space="preserve"> соответствии с </w:t>
      </w:r>
      <w:r w:rsidR="00E3390F">
        <w:t>П</w:t>
      </w:r>
      <w:r w:rsidR="00C279EB" w:rsidRPr="00A0743C">
        <w:t>ланом работы</w:t>
      </w:r>
      <w:r w:rsidRPr="00A0743C">
        <w:t xml:space="preserve"> контрольно-счетной палаты Волгоградской области (далее – КСП)</w:t>
      </w:r>
      <w:r w:rsidR="00C279EB" w:rsidRPr="00A0743C">
        <w:t xml:space="preserve"> на 20</w:t>
      </w:r>
      <w:r w:rsidR="008E0278">
        <w:t>20</w:t>
      </w:r>
      <w:r w:rsidR="00C279EB" w:rsidRPr="00A0743C">
        <w:t xml:space="preserve"> год, </w:t>
      </w:r>
      <w:r w:rsidR="001976BC" w:rsidRPr="00A0743C">
        <w:t xml:space="preserve">утвержденным постановлением коллегии КСП </w:t>
      </w:r>
      <w:r w:rsidR="00045549" w:rsidRPr="00045549">
        <w:t xml:space="preserve">от </w:t>
      </w:r>
      <w:r w:rsidR="008E0278" w:rsidRPr="008E0278">
        <w:t>20.12.2019 № 23/2</w:t>
      </w:r>
      <w:r w:rsidR="001976BC" w:rsidRPr="00A0743C">
        <w:t>,</w:t>
      </w:r>
      <w:r w:rsidRPr="00A0743C">
        <w:t xml:space="preserve"> </w:t>
      </w:r>
      <w:r w:rsidRPr="00A0743C">
        <w:rPr>
          <w:bCs/>
        </w:rPr>
        <w:t>в целях подготовки заключения на годовой отчет об исполнении областного бюджета за 201</w:t>
      </w:r>
      <w:r w:rsidR="00764BED">
        <w:rPr>
          <w:bCs/>
        </w:rPr>
        <w:t>9</w:t>
      </w:r>
      <w:r w:rsidR="008365AE" w:rsidRPr="00A0743C">
        <w:rPr>
          <w:bCs/>
        </w:rPr>
        <w:t xml:space="preserve"> год </w:t>
      </w:r>
      <w:r w:rsidRPr="00A0743C">
        <w:t>проведена камеральная внешняя проверка бюджетной отчетности и отдельных вопросов исполнения областного бюджета за 201</w:t>
      </w:r>
      <w:r w:rsidR="008E0278">
        <w:t>9</w:t>
      </w:r>
      <w:r w:rsidRPr="00A0743C">
        <w:t xml:space="preserve"> год главным администратором средств областного бюджета – </w:t>
      </w:r>
      <w:r w:rsidR="00045549">
        <w:t>Представительством Волгоградской области в</w:t>
      </w:r>
      <w:proofErr w:type="gramEnd"/>
      <w:r w:rsidR="00045549">
        <w:t xml:space="preserve"> </w:t>
      </w:r>
      <w:proofErr w:type="gramStart"/>
      <w:r w:rsidR="00045549">
        <w:t>городе</w:t>
      </w:r>
      <w:proofErr w:type="gramEnd"/>
      <w:r w:rsidR="00045549">
        <w:t xml:space="preserve"> Москве</w:t>
      </w:r>
      <w:r w:rsidR="00A0743C" w:rsidRPr="00A0743C">
        <w:t xml:space="preserve"> </w:t>
      </w:r>
      <w:r w:rsidR="00436FE1" w:rsidRPr="00A0743C">
        <w:rPr>
          <w:bCs/>
        </w:rPr>
        <w:t xml:space="preserve">(далее – </w:t>
      </w:r>
      <w:r w:rsidR="00045549">
        <w:rPr>
          <w:bCs/>
        </w:rPr>
        <w:t>Представительство</w:t>
      </w:r>
      <w:r w:rsidR="00436FE1" w:rsidRPr="00A0743C">
        <w:rPr>
          <w:bCs/>
        </w:rPr>
        <w:t>)</w:t>
      </w:r>
      <w:r w:rsidRPr="00A0743C">
        <w:t>.</w:t>
      </w:r>
      <w:r w:rsidR="008365AE" w:rsidRPr="00A0743C">
        <w:t xml:space="preserve"> </w:t>
      </w:r>
    </w:p>
    <w:p w:rsidR="00045549" w:rsidRPr="00FE5C1A" w:rsidRDefault="00045549" w:rsidP="00045549">
      <w:pPr>
        <w:autoSpaceDE w:val="0"/>
        <w:autoSpaceDN w:val="0"/>
        <w:adjustRightInd w:val="0"/>
        <w:ind w:firstLine="709"/>
        <w:jc w:val="both"/>
      </w:pPr>
      <w:bookmarkStart w:id="0" w:name="sub_408"/>
      <w:bookmarkStart w:id="1" w:name="sub_22"/>
      <w:r w:rsidRPr="00FE5C1A">
        <w:t>В соответствии с Законом Волгог</w:t>
      </w:r>
      <w:r>
        <w:t>радской области от 15.03.2012 №</w:t>
      </w:r>
      <w:r w:rsidRPr="00FE5C1A">
        <w:t>22-ОД «О системе органов исполнительной власти Волгоградской области» Представительство является органом исполнительной власти Волгоградской области. Положение о нем утверждено постановлением Губернатора Волгоградской области от 20.06.2012 № 489.</w:t>
      </w:r>
    </w:p>
    <w:p w:rsidR="00045549" w:rsidRPr="00F4371F" w:rsidRDefault="00045549" w:rsidP="00045549">
      <w:pPr>
        <w:pStyle w:val="ConsPlusNormal"/>
        <w:ind w:firstLine="540"/>
        <w:jc w:val="both"/>
        <w:rPr>
          <w:rFonts w:ascii="Times New Roman" w:hAnsi="Times New Roman" w:cs="Times New Roman"/>
          <w:sz w:val="24"/>
          <w:szCs w:val="24"/>
        </w:rPr>
      </w:pPr>
      <w:r w:rsidRPr="00F4371F">
        <w:rPr>
          <w:rFonts w:ascii="Times New Roman" w:hAnsi="Times New Roman" w:cs="Times New Roman"/>
          <w:sz w:val="24"/>
          <w:szCs w:val="24"/>
        </w:rPr>
        <w:t>Представительство является органом исполнительной власти Волгоградской области, осуществляющим обеспечение взаимодействия Губернатора Волгоградской области, Администрации Волгоградской области и Волгоградской областной Думы с Правительством Российской Федерации, Администрацией Президента Российской Федерации, иными федеральными органами государственной власти в пределах их полномочий по предметам ведения Российской Федерации и по предметам совместного ведения Российской Федерации и субъектов Российской Федерации</w:t>
      </w:r>
      <w:r>
        <w:rPr>
          <w:rFonts w:ascii="Times New Roman" w:hAnsi="Times New Roman" w:cs="Times New Roman"/>
          <w:sz w:val="24"/>
          <w:szCs w:val="24"/>
        </w:rPr>
        <w:t>.</w:t>
      </w:r>
    </w:p>
    <w:p w:rsidR="00045549" w:rsidRPr="0025602D" w:rsidRDefault="00045549" w:rsidP="00045549">
      <w:pPr>
        <w:autoSpaceDE w:val="0"/>
        <w:autoSpaceDN w:val="0"/>
        <w:adjustRightInd w:val="0"/>
        <w:ind w:firstLine="709"/>
        <w:jc w:val="both"/>
      </w:pPr>
      <w:r w:rsidRPr="00E56BF2">
        <w:t>В соответствии с Законом Волгог</w:t>
      </w:r>
      <w:r>
        <w:t xml:space="preserve">радской области </w:t>
      </w:r>
      <w:r w:rsidR="008E0278">
        <w:t>от 07.12.2018 №</w:t>
      </w:r>
      <w:r w:rsidR="008E0278" w:rsidRPr="00E56BF2">
        <w:t>1</w:t>
      </w:r>
      <w:r w:rsidR="008E0278">
        <w:t>34</w:t>
      </w:r>
      <w:r w:rsidR="008E0278" w:rsidRPr="00E56BF2">
        <w:t>-ОД «Об областном бюджете на 201</w:t>
      </w:r>
      <w:r w:rsidR="008E0278">
        <w:t>9</w:t>
      </w:r>
      <w:r w:rsidR="008E0278" w:rsidRPr="00E56BF2">
        <w:t xml:space="preserve"> год и на плановый период 20</w:t>
      </w:r>
      <w:r w:rsidR="008E0278">
        <w:t>20</w:t>
      </w:r>
      <w:r w:rsidR="008E0278" w:rsidRPr="00E56BF2">
        <w:t xml:space="preserve"> и 20</w:t>
      </w:r>
      <w:r w:rsidR="008E0278">
        <w:t>21</w:t>
      </w:r>
      <w:r w:rsidR="008E0278" w:rsidRPr="00E56BF2">
        <w:t xml:space="preserve"> годов»</w:t>
      </w:r>
      <w:r w:rsidRPr="00E56BF2">
        <w:t xml:space="preserve"> (далее - Зак</w:t>
      </w:r>
      <w:r>
        <w:t>он об областном бюджете) Представительство</w:t>
      </w:r>
      <w:r w:rsidRPr="00E56BF2">
        <w:t xml:space="preserve"> в 201</w:t>
      </w:r>
      <w:r w:rsidR="008E0278">
        <w:t>9</w:t>
      </w:r>
      <w:r w:rsidRPr="00E56BF2">
        <w:t xml:space="preserve"> году являл</w:t>
      </w:r>
      <w:r>
        <w:t>ось</w:t>
      </w:r>
      <w:r w:rsidRPr="00E56BF2">
        <w:t xml:space="preserve"> главным </w:t>
      </w:r>
      <w:r w:rsidRPr="0025602D">
        <w:t>администратором доходов областного бюджета и главным распорядителем средств областного бюджета.</w:t>
      </w:r>
    </w:p>
    <w:p w:rsidR="00045549" w:rsidRPr="00FE5C1A" w:rsidRDefault="00045549" w:rsidP="00045549">
      <w:pPr>
        <w:ind w:firstLine="709"/>
        <w:jc w:val="both"/>
      </w:pPr>
      <w:r w:rsidRPr="00FE5C1A">
        <w:t>Подведомственные учреждения у Представительства отсутствуют.</w:t>
      </w:r>
    </w:p>
    <w:p w:rsidR="0022236F" w:rsidRPr="00691A5B" w:rsidRDefault="0022236F" w:rsidP="0022236F">
      <w:pPr>
        <w:ind w:firstLine="709"/>
        <w:jc w:val="both"/>
      </w:pPr>
      <w:r>
        <w:t>Штатная численность Представительства по состоянию на 01.01.20</w:t>
      </w:r>
      <w:r w:rsidR="009B2A1A">
        <w:t>20</w:t>
      </w:r>
      <w:r>
        <w:t xml:space="preserve"> утверждена в количестве 17 единиц, в том числе 1 ед. </w:t>
      </w:r>
      <w:proofErr w:type="spellStart"/>
      <w:r>
        <w:t>госдолжности</w:t>
      </w:r>
      <w:proofErr w:type="spellEnd"/>
      <w:r>
        <w:t xml:space="preserve">, 9 ед. ГГС, 7 ед. </w:t>
      </w:r>
      <w:r w:rsidRPr="00395B15">
        <w:t>должност</w:t>
      </w:r>
      <w:r>
        <w:t>ей</w:t>
      </w:r>
      <w:r w:rsidRPr="00395B15">
        <w:t>, не отнесенны</w:t>
      </w:r>
      <w:r>
        <w:t>х</w:t>
      </w:r>
      <w:r w:rsidRPr="00395B15">
        <w:t xml:space="preserve"> к должностям государственной гражданской службы</w:t>
      </w:r>
      <w:r>
        <w:t xml:space="preserve">. </w:t>
      </w:r>
      <w:r w:rsidRPr="00115274">
        <w:t>Вакантные ставки на 01.01.20</w:t>
      </w:r>
      <w:r w:rsidR="009B2A1A">
        <w:t>20</w:t>
      </w:r>
      <w:r w:rsidRPr="00115274">
        <w:t xml:space="preserve"> –</w:t>
      </w:r>
      <w:r w:rsidR="00E528F8">
        <w:t xml:space="preserve"> </w:t>
      </w:r>
      <w:r w:rsidR="009B2A1A">
        <w:t>4</w:t>
      </w:r>
      <w:r w:rsidRPr="00115274">
        <w:t xml:space="preserve"> единиц</w:t>
      </w:r>
      <w:r w:rsidR="00403D96">
        <w:t>ы</w:t>
      </w:r>
      <w:r w:rsidRPr="00115274">
        <w:t xml:space="preserve"> ГГС</w:t>
      </w:r>
      <w:r w:rsidR="00794F73">
        <w:t xml:space="preserve"> </w:t>
      </w:r>
      <w:r w:rsidR="00794F73" w:rsidRPr="00115274">
        <w:t>и 1 единица водителя</w:t>
      </w:r>
      <w:r w:rsidRPr="00115274">
        <w:t>.</w:t>
      </w:r>
    </w:p>
    <w:p w:rsidR="0022236F" w:rsidRDefault="0022236F" w:rsidP="00045549">
      <w:pPr>
        <w:ind w:firstLine="709"/>
        <w:jc w:val="both"/>
      </w:pPr>
    </w:p>
    <w:p w:rsidR="009A208B" w:rsidRPr="00794F73" w:rsidRDefault="009A208B" w:rsidP="009A208B">
      <w:pPr>
        <w:autoSpaceDE w:val="0"/>
        <w:autoSpaceDN w:val="0"/>
        <w:adjustRightInd w:val="0"/>
        <w:ind w:firstLine="680"/>
        <w:jc w:val="center"/>
        <w:rPr>
          <w:b/>
          <w:i/>
        </w:rPr>
      </w:pPr>
      <w:bookmarkStart w:id="2" w:name="sub_1405"/>
      <w:r w:rsidRPr="00794F73">
        <w:rPr>
          <w:b/>
          <w:i/>
        </w:rPr>
        <w:t xml:space="preserve">Проверка полноты и правильности заполнения бюджетной отчетности </w:t>
      </w:r>
    </w:p>
    <w:bookmarkEnd w:id="0"/>
    <w:bookmarkEnd w:id="1"/>
    <w:bookmarkEnd w:id="2"/>
    <w:p w:rsidR="00EE23F1" w:rsidRDefault="00EE23F1" w:rsidP="00EE23F1">
      <w:pPr>
        <w:ind w:firstLine="709"/>
        <w:jc w:val="both"/>
      </w:pPr>
      <w:r w:rsidRPr="002B20A2">
        <w:t xml:space="preserve">Бюджетная отчетность </w:t>
      </w:r>
      <w:r w:rsidR="00ED0AA4">
        <w:t>Представительства</w:t>
      </w:r>
      <w:r w:rsidRPr="002B20A2">
        <w:t xml:space="preserve"> за 201</w:t>
      </w:r>
      <w:r w:rsidR="009B2A1A">
        <w:t>9</w:t>
      </w:r>
      <w:r w:rsidRPr="002B20A2">
        <w:t xml:space="preserve"> год представлена к проверке в составе, определенном ст. 264.1 БК РФ и п. 11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w:t>
      </w:r>
      <w:r w:rsidRPr="009137FD">
        <w:t>Инструкция № 191н).</w:t>
      </w:r>
    </w:p>
    <w:p w:rsidR="00D34E76" w:rsidRPr="00831356" w:rsidRDefault="00D34E76" w:rsidP="00D34E76">
      <w:pPr>
        <w:ind w:firstLine="709"/>
        <w:jc w:val="both"/>
      </w:pPr>
      <w:r w:rsidRPr="00831356">
        <w:t xml:space="preserve">С 2019 года при ведении бухгалтерского учёта и составлении бюджетной отчётности в государственном секторе действует </w:t>
      </w:r>
      <w:r w:rsidR="00764BED">
        <w:t>Ф</w:t>
      </w:r>
      <w:r w:rsidRPr="00831356">
        <w:t>едеральный стандарт «Учетная политика, оценочные значения и ошибки», утвержденны</w:t>
      </w:r>
      <w:r w:rsidR="00764BED">
        <w:t>й</w:t>
      </w:r>
      <w:r w:rsidRPr="00831356">
        <w:t xml:space="preserve"> приказом Минфина РФ от 30.12.2017 №274н (далее - СГС «Учетная политика»).</w:t>
      </w:r>
    </w:p>
    <w:p w:rsidR="00D34E76" w:rsidRPr="00831356" w:rsidRDefault="00D34E76" w:rsidP="00D34E76">
      <w:pPr>
        <w:autoSpaceDE w:val="0"/>
        <w:autoSpaceDN w:val="0"/>
        <w:adjustRightInd w:val="0"/>
        <w:ind w:firstLine="709"/>
        <w:jc w:val="both"/>
        <w:rPr>
          <w:rFonts w:eastAsia="Calibri"/>
        </w:rPr>
      </w:pPr>
      <w:r w:rsidRPr="00831356">
        <w:rPr>
          <w:rFonts w:eastAsia="Calibri"/>
        </w:rPr>
        <w:t xml:space="preserve">Согласно п. 1 ч. 6 ст. 8 </w:t>
      </w:r>
      <w:r w:rsidRPr="00831356">
        <w:t>Федеральн</w:t>
      </w:r>
      <w:r w:rsidR="00764BED">
        <w:t>ого</w:t>
      </w:r>
      <w:r w:rsidRPr="00831356">
        <w:t xml:space="preserve"> закон</w:t>
      </w:r>
      <w:r w:rsidR="00764BED">
        <w:t>а</w:t>
      </w:r>
      <w:r w:rsidRPr="00831356">
        <w:t xml:space="preserve"> от 06.12.2011 № 402-ФЗ «О бухгалтерском учёте» (далее – Закон о бухгалтерском учете)</w:t>
      </w:r>
      <w:r w:rsidRPr="00831356">
        <w:rPr>
          <w:rFonts w:eastAsia="Calibri"/>
        </w:rPr>
        <w:t xml:space="preserve"> введение новых правил бухгалтерского учета требует внесения соответствующих изменений в учетную политику.</w:t>
      </w:r>
    </w:p>
    <w:p w:rsidR="00D34E76" w:rsidRPr="00831356" w:rsidRDefault="00D34E76" w:rsidP="00D34E76">
      <w:pPr>
        <w:autoSpaceDE w:val="0"/>
        <w:autoSpaceDN w:val="0"/>
        <w:adjustRightInd w:val="0"/>
        <w:ind w:firstLine="709"/>
        <w:jc w:val="both"/>
        <w:rPr>
          <w:rFonts w:eastAsia="Calibri"/>
        </w:rPr>
      </w:pPr>
      <w:r w:rsidRPr="00831356">
        <w:rPr>
          <w:rFonts w:eastAsia="Calibri"/>
        </w:rPr>
        <w:t>Учётная политика Представительства, утверждённая приказом от 31.12.2015 № 278, действующая в 2018-2019 годах, не соответствует требованиям вышеуказанного стандарта, чем нарушен п.1 ч.6 ст8 Закона о бухгалтерском учете.</w:t>
      </w:r>
    </w:p>
    <w:p w:rsidR="00D34E76" w:rsidRDefault="00D34E76" w:rsidP="00D34E76">
      <w:pPr>
        <w:tabs>
          <w:tab w:val="left" w:pos="0"/>
          <w:tab w:val="left" w:pos="284"/>
          <w:tab w:val="left" w:pos="5812"/>
        </w:tabs>
        <w:spacing w:line="240" w:lineRule="atLeast"/>
        <w:ind w:firstLine="709"/>
        <w:jc w:val="both"/>
      </w:pPr>
      <w:r w:rsidRPr="00831356">
        <w:lastRenderedPageBreak/>
        <w:t>Проверкой бюджетной отчетности Представительства за 2019 год установлены следующие нарушения и недостатки</w:t>
      </w:r>
      <w:r w:rsidR="009266CD">
        <w:t xml:space="preserve"> </w:t>
      </w:r>
      <w:r w:rsidR="009266CD" w:rsidRPr="00B71479">
        <w:t>требований к ведению бюджетного (бухгалтерского)</w:t>
      </w:r>
      <w:r w:rsidR="009266CD">
        <w:t xml:space="preserve"> учета и составлению (представлению) бюджетной (финансовой) отчетности</w:t>
      </w:r>
      <w:r w:rsidRPr="00831356">
        <w:t>:</w:t>
      </w:r>
    </w:p>
    <w:p w:rsidR="001F4AD4" w:rsidRDefault="00A50C89" w:rsidP="00A50C89">
      <w:pPr>
        <w:pStyle w:val="afb"/>
        <w:numPr>
          <w:ilvl w:val="0"/>
          <w:numId w:val="38"/>
        </w:numPr>
        <w:tabs>
          <w:tab w:val="left" w:pos="0"/>
        </w:tabs>
        <w:spacing w:line="240" w:lineRule="atLeast"/>
        <w:ind w:left="0" w:firstLine="709"/>
        <w:jc w:val="both"/>
      </w:pPr>
      <w:r>
        <w:t xml:space="preserve">В нарушение п.1 ст. 10 и п. 1 ст. 13 Закона о бухгалтерском учете </w:t>
      </w:r>
      <w:r w:rsidRPr="00F42AFD">
        <w:rPr>
          <w:lang w:eastAsia="en-US"/>
        </w:rPr>
        <w:t xml:space="preserve">в </w:t>
      </w:r>
      <w:r w:rsidRPr="00EE6785">
        <w:rPr>
          <w:lang w:eastAsia="en-US"/>
        </w:rPr>
        <w:t xml:space="preserve">бюджетную, бухгалтерскую (финансовую) отчетность </w:t>
      </w:r>
      <w:r w:rsidR="001F4AD4" w:rsidRPr="00EE6785">
        <w:t xml:space="preserve">(ф.0503130 «Баланс») </w:t>
      </w:r>
      <w:r w:rsidR="00831318" w:rsidRPr="00EE6785">
        <w:t>в</w:t>
      </w:r>
      <w:r w:rsidR="00831318" w:rsidRPr="00EE6785">
        <w:rPr>
          <w:lang w:eastAsia="en-US"/>
        </w:rPr>
        <w:t>ключены</w:t>
      </w:r>
      <w:r w:rsidR="00831318" w:rsidRPr="00F42AFD">
        <w:rPr>
          <w:lang w:eastAsia="en-US"/>
        </w:rPr>
        <w:t xml:space="preserve"> </w:t>
      </w:r>
      <w:r w:rsidRPr="00F42AFD">
        <w:rPr>
          <w:lang w:eastAsia="en-US"/>
        </w:rPr>
        <w:t>показател</w:t>
      </w:r>
      <w:r>
        <w:rPr>
          <w:lang w:eastAsia="en-US"/>
        </w:rPr>
        <w:t>и</w:t>
      </w:r>
      <w:r w:rsidRPr="00F42AFD">
        <w:rPr>
          <w:lang w:eastAsia="en-US"/>
        </w:rPr>
        <w:t>,</w:t>
      </w:r>
      <w:r>
        <w:rPr>
          <w:lang w:eastAsia="en-US"/>
        </w:rPr>
        <w:t xml:space="preserve"> характеризующие объекты бухгалтерского учета</w:t>
      </w:r>
      <w:r w:rsidR="00E3390F">
        <w:rPr>
          <w:lang w:eastAsia="en-US"/>
        </w:rPr>
        <w:t>,</w:t>
      </w:r>
      <w:r w:rsidR="001F4AD4">
        <w:rPr>
          <w:lang w:eastAsia="en-US"/>
        </w:rPr>
        <w:t xml:space="preserve"> в </w:t>
      </w:r>
      <w:r w:rsidR="00403D96">
        <w:rPr>
          <w:lang w:eastAsia="en-US"/>
        </w:rPr>
        <w:t xml:space="preserve">общей </w:t>
      </w:r>
      <w:r w:rsidR="001F4AD4">
        <w:rPr>
          <w:lang w:eastAsia="en-US"/>
        </w:rPr>
        <w:t xml:space="preserve">сумме </w:t>
      </w:r>
      <w:r w:rsidR="001F4AD4">
        <w:t>15 005,9 тыс. руб</w:t>
      </w:r>
      <w:r w:rsidR="00522A13">
        <w:t>.</w:t>
      </w:r>
      <w:r w:rsidR="00831318">
        <w:rPr>
          <w:lang w:eastAsia="en-US"/>
        </w:rPr>
        <w:t>, которые</w:t>
      </w:r>
      <w:r>
        <w:rPr>
          <w:lang w:eastAsia="en-US"/>
        </w:rPr>
        <w:t xml:space="preserve"> не подтвержден</w:t>
      </w:r>
      <w:r w:rsidR="00831318">
        <w:rPr>
          <w:lang w:eastAsia="en-US"/>
        </w:rPr>
        <w:t>ы</w:t>
      </w:r>
      <w:r>
        <w:rPr>
          <w:lang w:eastAsia="en-US"/>
        </w:rPr>
        <w:t xml:space="preserve"> соответствующими регистрами бухгалтерского учета</w:t>
      </w:r>
      <w:r w:rsidR="001F4AD4">
        <w:rPr>
          <w:lang w:eastAsia="en-US"/>
        </w:rPr>
        <w:t>.</w:t>
      </w:r>
      <w:r>
        <w:t xml:space="preserve"> </w:t>
      </w:r>
    </w:p>
    <w:p w:rsidR="00E93FA2" w:rsidRDefault="00522A13" w:rsidP="00E93FA2">
      <w:pPr>
        <w:tabs>
          <w:tab w:val="left" w:pos="0"/>
          <w:tab w:val="left" w:pos="284"/>
          <w:tab w:val="left" w:pos="5812"/>
        </w:tabs>
        <w:spacing w:line="240" w:lineRule="atLeast"/>
        <w:ind w:firstLine="709"/>
        <w:jc w:val="both"/>
      </w:pPr>
      <w:r>
        <w:t xml:space="preserve">Представительством изменены </w:t>
      </w:r>
      <w:r w:rsidRPr="00522A13">
        <w:t>показател</w:t>
      </w:r>
      <w:r>
        <w:t>и</w:t>
      </w:r>
      <w:r w:rsidRPr="00522A13">
        <w:t xml:space="preserve"> на начало </w:t>
      </w:r>
      <w:r>
        <w:t>2019 года</w:t>
      </w:r>
      <w:r w:rsidRPr="00522A13">
        <w:t xml:space="preserve"> вступительного баланса</w:t>
      </w:r>
      <w:r>
        <w:t xml:space="preserve"> на сумму </w:t>
      </w:r>
      <w:r w:rsidRPr="00A743C2">
        <w:t>оборот</w:t>
      </w:r>
      <w:r>
        <w:t>ов</w:t>
      </w:r>
      <w:r w:rsidRPr="00A743C2">
        <w:t xml:space="preserve"> по исправлению ошибок прошлых лет</w:t>
      </w:r>
      <w:r w:rsidR="009D4641">
        <w:t xml:space="preserve"> в размере 15 005,9 тыс. руб</w:t>
      </w:r>
      <w:r w:rsidR="00E93FA2">
        <w:t>.</w:t>
      </w:r>
      <w:r w:rsidR="009D4641">
        <w:t xml:space="preserve"> без подтверждения регистрами бухгалтерского учета. </w:t>
      </w:r>
      <w:proofErr w:type="gramStart"/>
      <w:r w:rsidR="009D4641">
        <w:t>О</w:t>
      </w:r>
      <w:r w:rsidR="00E93FA2" w:rsidRPr="00A743C2">
        <w:t>борот</w:t>
      </w:r>
      <w:r w:rsidR="00E93FA2">
        <w:t>ы</w:t>
      </w:r>
      <w:r w:rsidR="00E93FA2" w:rsidRPr="00A743C2">
        <w:t xml:space="preserve"> по исправлению ошибок прошлых лет</w:t>
      </w:r>
      <w:r w:rsidR="00E93FA2">
        <w:t xml:space="preserve"> не</w:t>
      </w:r>
      <w:r w:rsidR="00E93FA2" w:rsidRPr="00A743C2">
        <w:t xml:space="preserve"> отражены в Журнале по прочим операциям (ф. 0504071)</w:t>
      </w:r>
      <w:r w:rsidR="009D4641">
        <w:t xml:space="preserve">, чем нарушен п.17 </w:t>
      </w:r>
      <w:r w:rsidR="009D4641" w:rsidRPr="00A40FEC">
        <w:t>Методически</w:t>
      </w:r>
      <w:r w:rsidR="009D4641">
        <w:t>х</w:t>
      </w:r>
      <w:r w:rsidR="009D4641" w:rsidRPr="00A40FEC">
        <w:t xml:space="preserve"> указани</w:t>
      </w:r>
      <w:r w:rsidR="009D4641">
        <w:t>й</w:t>
      </w:r>
      <w:r w:rsidR="009D4641" w:rsidRPr="00A40FEC">
        <w:t>, утвержденны</w:t>
      </w:r>
      <w:r w:rsidR="009D4641">
        <w:t>х</w:t>
      </w:r>
      <w:r w:rsidR="009D4641" w:rsidRPr="00A40FEC">
        <w:t xml:space="preserve"> приказом Минфина России от 30.03.2015 </w:t>
      </w:r>
      <w:r w:rsidR="009D4641">
        <w:t>№</w:t>
      </w:r>
      <w:r w:rsidR="009D4641" w:rsidRPr="00A40FEC">
        <w:t>52н</w:t>
      </w:r>
      <w:r w:rsidR="009D4641">
        <w:t>.</w:t>
      </w:r>
      <w:proofErr w:type="gramEnd"/>
    </w:p>
    <w:p w:rsidR="00561BB3" w:rsidRDefault="00561BB3" w:rsidP="00561BB3">
      <w:pPr>
        <w:tabs>
          <w:tab w:val="left" w:pos="900"/>
        </w:tabs>
        <w:ind w:firstLine="709"/>
        <w:jc w:val="both"/>
      </w:pPr>
      <w:r>
        <w:rPr>
          <w:rFonts w:eastAsia="Calibri"/>
          <w:lang w:eastAsia="en-US"/>
        </w:rPr>
        <w:t xml:space="preserve">В ходе проверки Представительством был </w:t>
      </w:r>
      <w:proofErr w:type="gramStart"/>
      <w:r>
        <w:rPr>
          <w:rFonts w:eastAsia="Calibri"/>
          <w:lang w:eastAsia="en-US"/>
        </w:rPr>
        <w:t>сформирован и представлен</w:t>
      </w:r>
      <w:proofErr w:type="gramEnd"/>
      <w:r>
        <w:rPr>
          <w:rFonts w:eastAsia="Calibri"/>
          <w:lang w:eastAsia="en-US"/>
        </w:rPr>
        <w:t xml:space="preserve"> </w:t>
      </w:r>
      <w:r w:rsidRPr="00A743C2">
        <w:t xml:space="preserve">Журнал по </w:t>
      </w:r>
      <w:r w:rsidRPr="00831356">
        <w:t>прочим операциям (ф. 0504071) с отраженными в нем операциями по исправлению ошибок прошлого финансового года.</w:t>
      </w:r>
    </w:p>
    <w:p w:rsidR="00E3390F" w:rsidRDefault="00E3390F" w:rsidP="0055060D">
      <w:pPr>
        <w:pStyle w:val="afb"/>
        <w:numPr>
          <w:ilvl w:val="0"/>
          <w:numId w:val="38"/>
        </w:numPr>
        <w:autoSpaceDE w:val="0"/>
        <w:autoSpaceDN w:val="0"/>
        <w:adjustRightInd w:val="0"/>
        <w:ind w:left="0" w:firstLine="709"/>
        <w:jc w:val="both"/>
      </w:pPr>
      <w:r>
        <w:t>Изменение показателей вступительного баланса</w:t>
      </w:r>
      <w:r w:rsidRPr="00F03471">
        <w:t xml:space="preserve"> </w:t>
      </w:r>
      <w:r>
        <w:t xml:space="preserve">на начало года (изменение валюты баланса) в соответствии с п. 170 Инструкции №191н подлежит отражению в «Сведениях об </w:t>
      </w:r>
      <w:r w:rsidRPr="00A743C2">
        <w:t>изменении остатков валюты баланса</w:t>
      </w:r>
      <w:r>
        <w:t>»</w:t>
      </w:r>
      <w:r w:rsidRPr="00A743C2">
        <w:t xml:space="preserve"> (ф. 0503173)</w:t>
      </w:r>
      <w:r>
        <w:t xml:space="preserve">. Представительством изменение входящих остатков баланса на начало 2019 года на общую сумму 15 005,9 тыс. руб., в нарушение </w:t>
      </w:r>
      <w:r w:rsidR="0055060D">
        <w:t>пунктов 152 и</w:t>
      </w:r>
      <w:r>
        <w:t xml:space="preserve"> 170 Инструкции №191н в указанной форме отчетности</w:t>
      </w:r>
      <w:r w:rsidRPr="00E3390F">
        <w:t xml:space="preserve"> </w:t>
      </w:r>
      <w:r w:rsidR="0055060D">
        <w:t>не отражено, форма отсутствует в составе пояснительной записки.</w:t>
      </w:r>
    </w:p>
    <w:p w:rsidR="006153ED" w:rsidRPr="006153ED" w:rsidRDefault="00A32F42" w:rsidP="00A32F42">
      <w:pPr>
        <w:pStyle w:val="afb"/>
        <w:numPr>
          <w:ilvl w:val="0"/>
          <w:numId w:val="38"/>
        </w:numPr>
        <w:tabs>
          <w:tab w:val="left" w:pos="0"/>
        </w:tabs>
        <w:spacing w:line="240" w:lineRule="atLeast"/>
        <w:ind w:left="0" w:firstLine="709"/>
        <w:jc w:val="both"/>
        <w:rPr>
          <w:shd w:val="clear" w:color="auto" w:fill="FFFFFF"/>
        </w:rPr>
      </w:pPr>
      <w:proofErr w:type="gramStart"/>
      <w:r w:rsidRPr="00FF0499">
        <w:t xml:space="preserve">В нарушение п. 18 </w:t>
      </w:r>
      <w:r w:rsidR="00FF0499" w:rsidRPr="00FF0499">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 Инструкция №157н)</w:t>
      </w:r>
      <w:r w:rsidR="005271FE" w:rsidRPr="00FF0499">
        <w:t>,</w:t>
      </w:r>
      <w:r w:rsidRPr="00FF0499">
        <w:t xml:space="preserve"> </w:t>
      </w:r>
      <w:r w:rsidR="005271FE" w:rsidRPr="00FF0499">
        <w:t>п.19,</w:t>
      </w:r>
      <w:r w:rsidRPr="00FF0499">
        <w:t xml:space="preserve"> п. 33 СГС «Учетная политика»</w:t>
      </w:r>
      <w:r w:rsidR="0042523E" w:rsidRPr="00FF0499">
        <w:t xml:space="preserve"> и п. 1 ст. 10 Закона о бухгалтерском учете </w:t>
      </w:r>
      <w:r w:rsidR="006153ED" w:rsidRPr="00FF0499">
        <w:t>в</w:t>
      </w:r>
      <w:r w:rsidR="006153ED">
        <w:t xml:space="preserve"> </w:t>
      </w:r>
      <w:r>
        <w:t>отчетности</w:t>
      </w:r>
      <w:proofErr w:type="gramEnd"/>
      <w:r>
        <w:t xml:space="preserve"> 2019 года был</w:t>
      </w:r>
      <w:r w:rsidR="00403D96">
        <w:t>о</w:t>
      </w:r>
      <w:r>
        <w:t xml:space="preserve"> произведено исправление ошибок прошлых лет</w:t>
      </w:r>
      <w:r w:rsidR="006153ED">
        <w:t xml:space="preserve"> путем</w:t>
      </w:r>
      <w:r>
        <w:t xml:space="preserve"> ретроспективн</w:t>
      </w:r>
      <w:r w:rsidR="006153ED">
        <w:t>ого</w:t>
      </w:r>
      <w:r>
        <w:t xml:space="preserve"> пересчет</w:t>
      </w:r>
      <w:r w:rsidR="006153ED">
        <w:t>а</w:t>
      </w:r>
      <w:r>
        <w:t xml:space="preserve"> бухгалтерской (финансовой) </w:t>
      </w:r>
      <w:r w:rsidRPr="00877A15">
        <w:t>отчетности</w:t>
      </w:r>
      <w:r w:rsidR="001D7FC4">
        <w:t xml:space="preserve"> (пересчет входящих остатков на начало отчетного года)</w:t>
      </w:r>
      <w:r w:rsidR="006153ED">
        <w:t>.</w:t>
      </w:r>
      <w:r w:rsidR="003E148E">
        <w:t xml:space="preserve"> Указанное нарушение привело к искажению информации об активах 2019 года.</w:t>
      </w:r>
    </w:p>
    <w:p w:rsidR="00A32F42" w:rsidRPr="00A32F42" w:rsidRDefault="006153ED" w:rsidP="006153ED">
      <w:pPr>
        <w:pStyle w:val="afb"/>
        <w:tabs>
          <w:tab w:val="left" w:pos="0"/>
        </w:tabs>
        <w:spacing w:line="240" w:lineRule="atLeast"/>
        <w:ind w:left="0" w:firstLine="709"/>
        <w:jc w:val="both"/>
        <w:rPr>
          <w:shd w:val="clear" w:color="auto" w:fill="FFFFFF"/>
        </w:rPr>
      </w:pPr>
      <w:r>
        <w:t>П</w:t>
      </w:r>
      <w:r w:rsidR="00A32F42" w:rsidRPr="00877A15">
        <w:t xml:space="preserve">о состоянию на 01.01.2019 </w:t>
      </w:r>
      <w:r>
        <w:t xml:space="preserve">в бюджетной (финансовой) отчетности Представительством отражены </w:t>
      </w:r>
      <w:r w:rsidR="00A32F42" w:rsidRPr="00877A15">
        <w:t>прав</w:t>
      </w:r>
      <w:r>
        <w:t>а</w:t>
      </w:r>
      <w:r w:rsidR="00A32F42" w:rsidRPr="00877A15">
        <w:t xml:space="preserve"> пользования имуществом</w:t>
      </w:r>
      <w:r w:rsidR="003E148E">
        <w:t>,</w:t>
      </w:r>
      <w:r w:rsidR="0042523E">
        <w:t xml:space="preserve"> </w:t>
      </w:r>
      <w:r w:rsidR="003E148E" w:rsidRPr="00877A15">
        <w:t>полученны</w:t>
      </w:r>
      <w:r w:rsidR="003E148E">
        <w:t>м</w:t>
      </w:r>
      <w:r w:rsidR="003E148E" w:rsidRPr="00877A15">
        <w:t xml:space="preserve"> по договору безвозмездного пользования</w:t>
      </w:r>
      <w:r w:rsidR="003E148E">
        <w:t xml:space="preserve">, </w:t>
      </w:r>
      <w:r w:rsidR="0042523E">
        <w:t xml:space="preserve">в размере справедливой стоимости </w:t>
      </w:r>
      <w:r w:rsidR="0042523E">
        <w:rPr>
          <w:shd w:val="clear" w:color="auto" w:fill="FFFFFF"/>
        </w:rPr>
        <w:t>арендных платежей</w:t>
      </w:r>
      <w:r w:rsidR="0042523E">
        <w:t xml:space="preserve"> на сумму </w:t>
      </w:r>
      <w:r w:rsidR="0042523E" w:rsidRPr="006A01E1">
        <w:rPr>
          <w:shd w:val="clear" w:color="auto" w:fill="FFFFFF"/>
        </w:rPr>
        <w:t>1 243,0 тыс. руб</w:t>
      </w:r>
      <w:r w:rsidR="003E148E">
        <w:rPr>
          <w:shd w:val="clear" w:color="auto" w:fill="FFFFFF"/>
        </w:rPr>
        <w:t>. в год.</w:t>
      </w:r>
      <w:r w:rsidR="00A32F42" w:rsidRPr="00877A15">
        <w:t xml:space="preserve"> </w:t>
      </w:r>
    </w:p>
    <w:p w:rsidR="00A32F42" w:rsidRDefault="00A32F42" w:rsidP="00A32F42">
      <w:pPr>
        <w:pStyle w:val="afb"/>
        <w:tabs>
          <w:tab w:val="left" w:pos="0"/>
        </w:tabs>
        <w:spacing w:line="240" w:lineRule="atLeast"/>
        <w:ind w:left="0" w:firstLine="709"/>
        <w:jc w:val="both"/>
        <w:rPr>
          <w:shd w:val="clear" w:color="auto" w:fill="FFFFFF"/>
        </w:rPr>
      </w:pPr>
      <w:r>
        <w:t xml:space="preserve">Вместе с тем справедливая стоимость </w:t>
      </w:r>
      <w:r>
        <w:rPr>
          <w:shd w:val="clear" w:color="auto" w:fill="FFFFFF"/>
        </w:rPr>
        <w:t xml:space="preserve">арендных платежей за </w:t>
      </w:r>
      <w:r w:rsidRPr="006A01E1">
        <w:rPr>
          <w:shd w:val="clear" w:color="auto" w:fill="FFFFFF"/>
        </w:rPr>
        <w:t xml:space="preserve">используемое имущество в </w:t>
      </w:r>
      <w:r w:rsidR="003E148E">
        <w:rPr>
          <w:shd w:val="clear" w:color="auto" w:fill="FFFFFF"/>
        </w:rPr>
        <w:t xml:space="preserve">указанной </w:t>
      </w:r>
      <w:r w:rsidRPr="006A01E1">
        <w:rPr>
          <w:shd w:val="clear" w:color="auto" w:fill="FFFFFF"/>
        </w:rPr>
        <w:t xml:space="preserve">сумме </w:t>
      </w:r>
      <w:r>
        <w:rPr>
          <w:shd w:val="clear" w:color="auto" w:fill="FFFFFF"/>
        </w:rPr>
        <w:t xml:space="preserve">была </w:t>
      </w:r>
      <w:proofErr w:type="gramStart"/>
      <w:r>
        <w:rPr>
          <w:shd w:val="clear" w:color="auto" w:fill="FFFFFF"/>
        </w:rPr>
        <w:t>установлена и утверждена</w:t>
      </w:r>
      <w:proofErr w:type="gramEnd"/>
      <w:r>
        <w:rPr>
          <w:shd w:val="clear" w:color="auto" w:fill="FFFFFF"/>
        </w:rPr>
        <w:t xml:space="preserve"> в 2019 году</w:t>
      </w:r>
      <w:r w:rsidRPr="006A01E1">
        <w:rPr>
          <w:shd w:val="clear" w:color="auto" w:fill="FFFFFF"/>
        </w:rPr>
        <w:t xml:space="preserve"> (приказ Представительства от 08.06.2019 №92).</w:t>
      </w:r>
    </w:p>
    <w:p w:rsidR="0042523E" w:rsidRDefault="0042523E" w:rsidP="0042523E">
      <w:pPr>
        <w:tabs>
          <w:tab w:val="left" w:pos="0"/>
        </w:tabs>
        <w:spacing w:line="240" w:lineRule="atLeast"/>
        <w:ind w:firstLine="709"/>
        <w:jc w:val="both"/>
      </w:pPr>
      <w:r>
        <w:rPr>
          <w:shd w:val="clear" w:color="auto" w:fill="FFFFFF"/>
        </w:rPr>
        <w:t>Так как информация о величине справедливой стоимости арендных платежей за используем</w:t>
      </w:r>
      <w:r w:rsidR="005271FE">
        <w:rPr>
          <w:shd w:val="clear" w:color="auto" w:fill="FFFFFF"/>
        </w:rPr>
        <w:t>ое имущество</w:t>
      </w:r>
      <w:r>
        <w:t xml:space="preserve"> на дату представления бухгалтерской (финансовой) отчетности за 2018 год </w:t>
      </w:r>
      <w:r w:rsidR="005271FE">
        <w:t xml:space="preserve">у Представительства </w:t>
      </w:r>
      <w:r>
        <w:t>отсутствовала, исправление ошибок прошлых лет в 2019 году путем ретроспективного пересчета отчетности не производится</w:t>
      </w:r>
      <w:r w:rsidR="005271FE">
        <w:t>.</w:t>
      </w:r>
      <w:r>
        <w:t xml:space="preserve"> Право безвозмездного пользования имуществом в размере справедливой стоимости арендных платежей подлежит отражению в 2019 году.</w:t>
      </w:r>
    </w:p>
    <w:p w:rsidR="00E764AE" w:rsidRPr="00DA3C02" w:rsidRDefault="00E764AE" w:rsidP="00220556">
      <w:pPr>
        <w:pStyle w:val="afb"/>
        <w:autoSpaceDE w:val="0"/>
        <w:autoSpaceDN w:val="0"/>
        <w:adjustRightInd w:val="0"/>
        <w:ind w:left="0" w:firstLine="709"/>
        <w:jc w:val="both"/>
      </w:pPr>
      <w:r w:rsidRPr="00DA3C02">
        <w:t>Указанное нарушение привело к искажению следующих форм отчетности:</w:t>
      </w:r>
    </w:p>
    <w:p w:rsidR="00E764AE" w:rsidRPr="00DA3C02" w:rsidRDefault="005271FE" w:rsidP="00220556">
      <w:pPr>
        <w:autoSpaceDE w:val="0"/>
        <w:autoSpaceDN w:val="0"/>
        <w:adjustRightInd w:val="0"/>
        <w:ind w:firstLine="709"/>
        <w:jc w:val="both"/>
      </w:pPr>
      <w:r>
        <w:t>-</w:t>
      </w:r>
      <w:r w:rsidR="00E764AE" w:rsidRPr="00DA3C02">
        <w:t>ф. 0503130 «Баланс» по стр. 100 гр. 3 и 5 на сумму 1 243,0 тыс. руб., искажение составило 12,1%;</w:t>
      </w:r>
    </w:p>
    <w:p w:rsidR="00E764AE" w:rsidRDefault="005271FE" w:rsidP="00220556">
      <w:pPr>
        <w:autoSpaceDE w:val="0"/>
        <w:autoSpaceDN w:val="0"/>
        <w:adjustRightInd w:val="0"/>
        <w:ind w:firstLine="709"/>
        <w:jc w:val="both"/>
      </w:pPr>
      <w:r>
        <w:t>-</w:t>
      </w:r>
      <w:r w:rsidR="00E764AE">
        <w:t>ф. 0503168 «Сведения о движении нефинансовых активов» на сумму 1 243,0 тыс. руб.: по стр. 264 граф 4,5,6 искажение составило 100%, по стр. 260 гр.4, 5,6 искажение составило 12,1%, 4,35% и 100% соответственно.</w:t>
      </w:r>
    </w:p>
    <w:p w:rsidR="00E764AE" w:rsidRPr="00FF0499" w:rsidRDefault="00C1182B" w:rsidP="00220556">
      <w:pPr>
        <w:tabs>
          <w:tab w:val="left" w:pos="900"/>
        </w:tabs>
        <w:ind w:firstLine="709"/>
        <w:jc w:val="both"/>
        <w:rPr>
          <w:rFonts w:eastAsia="Calibri"/>
          <w:lang w:eastAsia="en-US"/>
        </w:rPr>
      </w:pPr>
      <w:proofErr w:type="gramStart"/>
      <w:r>
        <w:rPr>
          <w:rFonts w:eastAsia="Calibri"/>
          <w:lang w:eastAsia="en-US"/>
        </w:rPr>
        <w:lastRenderedPageBreak/>
        <w:t xml:space="preserve">Допущенное Представительством нарушение </w:t>
      </w:r>
      <w:r w:rsidR="00E764AE">
        <w:t>п. 18 Инструкции №157н</w:t>
      </w:r>
      <w:r w:rsidR="00E764AE" w:rsidRPr="0030253D">
        <w:t xml:space="preserve"> </w:t>
      </w:r>
      <w:r w:rsidR="00E764AE">
        <w:t xml:space="preserve">и </w:t>
      </w:r>
      <w:r w:rsidR="00E764AE" w:rsidRPr="00C33DEF">
        <w:t>п. 33 СГС «Учетная политика»</w:t>
      </w:r>
      <w:r w:rsidR="00E764AE">
        <w:rPr>
          <w:rFonts w:eastAsia="Calibri"/>
          <w:lang w:eastAsia="en-US"/>
        </w:rPr>
        <w:t xml:space="preserve"> </w:t>
      </w:r>
      <w:r w:rsidR="00E764AE" w:rsidRPr="00B71479">
        <w:rPr>
          <w:rFonts w:eastAsia="Calibri"/>
          <w:lang w:eastAsia="en-US"/>
        </w:rPr>
        <w:t>привело к искажению информации об активах</w:t>
      </w:r>
      <w:r w:rsidR="00220556">
        <w:rPr>
          <w:rFonts w:eastAsia="Calibri"/>
          <w:lang w:eastAsia="en-US"/>
        </w:rPr>
        <w:t xml:space="preserve"> </w:t>
      </w:r>
      <w:r w:rsidR="001D7FC4">
        <w:rPr>
          <w:rFonts w:eastAsia="Calibri"/>
          <w:lang w:eastAsia="en-US"/>
        </w:rPr>
        <w:t>«</w:t>
      </w:r>
      <w:r w:rsidR="00E764AE">
        <w:rPr>
          <w:rFonts w:eastAsia="Calibri"/>
          <w:lang w:eastAsia="en-US"/>
        </w:rPr>
        <w:t xml:space="preserve">не менее чем на 1%, но не более чем на </w:t>
      </w:r>
      <w:r w:rsidR="00E764AE" w:rsidRPr="00B71479">
        <w:rPr>
          <w:lang w:eastAsia="en-US"/>
        </w:rPr>
        <w:t>10%</w:t>
      </w:r>
      <w:r w:rsidR="00E764AE">
        <w:rPr>
          <w:lang w:eastAsia="en-US"/>
        </w:rPr>
        <w:t xml:space="preserve"> и на сумму</w:t>
      </w:r>
      <w:r w:rsidR="00E3390F">
        <w:rPr>
          <w:lang w:eastAsia="en-US"/>
        </w:rPr>
        <w:t>,</w:t>
      </w:r>
      <w:r w:rsidR="00E764AE">
        <w:rPr>
          <w:lang w:eastAsia="en-US"/>
        </w:rPr>
        <w:t xml:space="preserve"> превышающую 1 000,0 тыс. руб.</w:t>
      </w:r>
      <w:r w:rsidR="001D7FC4">
        <w:rPr>
          <w:lang w:eastAsia="en-US"/>
        </w:rPr>
        <w:t>»</w:t>
      </w:r>
      <w:r w:rsidR="00E764AE" w:rsidRPr="00B71479">
        <w:rPr>
          <w:lang w:eastAsia="en-US"/>
        </w:rPr>
        <w:t xml:space="preserve">, </w:t>
      </w:r>
      <w:r w:rsidR="00E764AE" w:rsidRPr="00B71479">
        <w:t>что является грубым нарушением требований к ведению бюджетного (бухгалтерского)</w:t>
      </w:r>
      <w:r w:rsidR="00E764AE">
        <w:t xml:space="preserve"> учета, в том числе к составлению либо представлению бюджетной (бухгалтерской) отчетности, </w:t>
      </w:r>
      <w:r w:rsidR="00E764AE" w:rsidRPr="008210DD">
        <w:t>за что</w:t>
      </w:r>
      <w:proofErr w:type="gramEnd"/>
      <w:r w:rsidR="00E764AE" w:rsidRPr="008210DD">
        <w:t xml:space="preserve"> </w:t>
      </w:r>
      <w:r w:rsidR="00E764AE" w:rsidRPr="00FF0499">
        <w:t xml:space="preserve">предусмотрена административная ответственность в соответствии со ст. 15.15.6 </w:t>
      </w:r>
      <w:proofErr w:type="spellStart"/>
      <w:r w:rsidR="00E764AE" w:rsidRPr="00FF0499">
        <w:t>КоАП</w:t>
      </w:r>
      <w:proofErr w:type="spellEnd"/>
      <w:r w:rsidR="00E764AE" w:rsidRPr="00FF0499">
        <w:t xml:space="preserve"> РФ.</w:t>
      </w:r>
    </w:p>
    <w:p w:rsidR="00D7302D" w:rsidRDefault="00D7302D" w:rsidP="00D7302D">
      <w:pPr>
        <w:pStyle w:val="afb"/>
        <w:numPr>
          <w:ilvl w:val="0"/>
          <w:numId w:val="38"/>
        </w:numPr>
        <w:autoSpaceDE w:val="0"/>
        <w:autoSpaceDN w:val="0"/>
        <w:adjustRightInd w:val="0"/>
        <w:ind w:left="0" w:firstLine="709"/>
        <w:jc w:val="both"/>
      </w:pPr>
      <w:proofErr w:type="gramStart"/>
      <w:r w:rsidRPr="00FF0499">
        <w:t xml:space="preserve">В нарушение п. 123 </w:t>
      </w:r>
      <w:r w:rsidR="00FF0499" w:rsidRPr="00FF0499">
        <w:t xml:space="preserve">Плана счетов бюджетного учета и Инструкцией по его применению, утвержденными </w:t>
      </w:r>
      <w:r w:rsidR="00E3390F">
        <w:t>п</w:t>
      </w:r>
      <w:r w:rsidR="00FF0499" w:rsidRPr="00FF0499">
        <w:t>риказом Минфина РФ от 06.12.2010 №162н (далее – Инструкция №162н)</w:t>
      </w:r>
      <w:r w:rsidRPr="00FF0499">
        <w:t>, п. 96 Инструкции №191н и п.1 ст. 13 Закона о бухгалтерском учете</w:t>
      </w:r>
      <w:r>
        <w:t xml:space="preserve"> Представительством не произведено зачисление в доход текущего отчетного периода доходов от безвозмездного пользования имуществом в сумме справедливой стоимости арендных платежей </w:t>
      </w:r>
      <w:r w:rsidRPr="00DE7B4C">
        <w:t>1 243,0 тыс. руб</w:t>
      </w:r>
      <w:r w:rsidR="003A388A">
        <w:t>лей</w:t>
      </w:r>
      <w:proofErr w:type="gramEnd"/>
      <w:r w:rsidRPr="00DE7B4C">
        <w:t>.</w:t>
      </w:r>
      <w:r w:rsidR="003A388A">
        <w:t xml:space="preserve"> Указанное нарушение привело к искажению информации о финансовом результате 2019 года, а также искажению следующих форм бюджетной (финансовой) отчетности</w:t>
      </w:r>
      <w:r>
        <w:t>:</w:t>
      </w:r>
    </w:p>
    <w:p w:rsidR="00D34E76" w:rsidRPr="00DE7B4C" w:rsidRDefault="00D7302D" w:rsidP="00D7302D">
      <w:pPr>
        <w:pStyle w:val="afb"/>
        <w:autoSpaceDE w:val="0"/>
        <w:autoSpaceDN w:val="0"/>
        <w:adjustRightInd w:val="0"/>
        <w:ind w:left="0" w:firstLine="709"/>
        <w:jc w:val="both"/>
      </w:pPr>
      <w:r>
        <w:t>-</w:t>
      </w:r>
      <w:r w:rsidR="00D43B5F">
        <w:t>«Отчета о финансовых результатах деятельности» (</w:t>
      </w:r>
      <w:hyperlink r:id="rId8" w:history="1">
        <w:r w:rsidR="00D43B5F" w:rsidRPr="00DE7B4C">
          <w:t>ф. 0503121</w:t>
        </w:r>
      </w:hyperlink>
      <w:r w:rsidR="00D43B5F" w:rsidRPr="00DE7B4C">
        <w:t>)</w:t>
      </w:r>
      <w:r w:rsidR="00D43B5F">
        <w:t xml:space="preserve"> по </w:t>
      </w:r>
      <w:r w:rsidR="00D34E76">
        <w:t>строк</w:t>
      </w:r>
      <w:r w:rsidR="00D43B5F">
        <w:t>ам</w:t>
      </w:r>
      <w:r w:rsidR="00D34E76">
        <w:t xml:space="preserve"> 010 и 110 граф 4, 6 на 100%, искажению в денежном измерении по строкам 110, 010, 371, 372 и 370 на сумму, превышающую 1 000,0 тыс. руб.:</w:t>
      </w:r>
    </w:p>
    <w:p w:rsidR="00D34E76" w:rsidRDefault="00D34E76" w:rsidP="00D34E76">
      <w:pPr>
        <w:autoSpaceDE w:val="0"/>
        <w:autoSpaceDN w:val="0"/>
        <w:adjustRightInd w:val="0"/>
        <w:ind w:firstLine="709"/>
        <w:jc w:val="both"/>
      </w:pPr>
      <w:r>
        <w:t>-по строке 010 гр. 4 и гр. 6 на сумму 1 243,0 тыс. руб.</w:t>
      </w:r>
      <w:r w:rsidR="00E3390F">
        <w:t>,</w:t>
      </w:r>
      <w:r>
        <w:t xml:space="preserve"> или на 100%;</w:t>
      </w:r>
    </w:p>
    <w:p w:rsidR="00D34E76" w:rsidRDefault="00D34E76" w:rsidP="00D34E76">
      <w:pPr>
        <w:autoSpaceDE w:val="0"/>
        <w:autoSpaceDN w:val="0"/>
        <w:adjustRightInd w:val="0"/>
        <w:ind w:firstLine="709"/>
        <w:jc w:val="both"/>
      </w:pPr>
      <w:r>
        <w:t>-по строке 110 гр. 4 и гр. 6 сумму 1 243,0 тыс. руб.</w:t>
      </w:r>
      <w:r w:rsidR="00E3390F">
        <w:t>,</w:t>
      </w:r>
      <w:r>
        <w:t xml:space="preserve"> или на 100%;</w:t>
      </w:r>
    </w:p>
    <w:p w:rsidR="00D34E76" w:rsidRDefault="00D34E76" w:rsidP="00D34E76">
      <w:pPr>
        <w:autoSpaceDE w:val="0"/>
        <w:autoSpaceDN w:val="0"/>
        <w:adjustRightInd w:val="0"/>
        <w:ind w:firstLine="709"/>
        <w:jc w:val="both"/>
      </w:pPr>
      <w:r w:rsidRPr="0027097E">
        <w:t xml:space="preserve">-по строке 371 графы 4,6 на </w:t>
      </w:r>
      <w:r>
        <w:t>сумму 1 243,0 тыс. руб.</w:t>
      </w:r>
      <w:r w:rsidR="00E3390F">
        <w:t>,</w:t>
      </w:r>
      <w:r>
        <w:t xml:space="preserve"> или на 4,35%;</w:t>
      </w:r>
    </w:p>
    <w:p w:rsidR="00D34E76" w:rsidRPr="0027097E" w:rsidRDefault="00D34E76" w:rsidP="00D34E76">
      <w:pPr>
        <w:autoSpaceDE w:val="0"/>
        <w:autoSpaceDN w:val="0"/>
        <w:adjustRightInd w:val="0"/>
        <w:ind w:firstLine="709"/>
        <w:jc w:val="both"/>
      </w:pPr>
      <w:r>
        <w:t xml:space="preserve">-по строке 370 </w:t>
      </w:r>
      <w:r w:rsidRPr="0027097E">
        <w:t xml:space="preserve">графы 4,6 на </w:t>
      </w:r>
      <w:r>
        <w:t>сумму 1 243,0 тыс. руб.</w:t>
      </w:r>
      <w:r w:rsidR="00E3390F">
        <w:t>,</w:t>
      </w:r>
      <w:r>
        <w:t xml:space="preserve"> или на 6,84 процента.</w:t>
      </w:r>
    </w:p>
    <w:p w:rsidR="00D34E76" w:rsidRPr="00244C3E" w:rsidRDefault="00D34E76" w:rsidP="00D34E76">
      <w:pPr>
        <w:tabs>
          <w:tab w:val="left" w:pos="900"/>
        </w:tabs>
        <w:ind w:firstLine="709"/>
        <w:jc w:val="both"/>
        <w:rPr>
          <w:rFonts w:eastAsia="Calibri"/>
          <w:lang w:eastAsia="en-US"/>
        </w:rPr>
      </w:pPr>
      <w:proofErr w:type="gramStart"/>
      <w:r>
        <w:rPr>
          <w:rFonts w:eastAsia="Calibri"/>
          <w:lang w:eastAsia="en-US"/>
        </w:rPr>
        <w:t>Указанное нарушение</w:t>
      </w:r>
      <w:r w:rsidR="00806A41">
        <w:rPr>
          <w:rFonts w:eastAsia="Calibri"/>
          <w:lang w:eastAsia="en-US"/>
        </w:rPr>
        <w:t xml:space="preserve"> </w:t>
      </w:r>
      <w:r w:rsidRPr="00B71479">
        <w:rPr>
          <w:rFonts w:eastAsia="Calibri"/>
          <w:lang w:eastAsia="en-US"/>
        </w:rPr>
        <w:t xml:space="preserve">привело к искажению информации </w:t>
      </w:r>
      <w:r w:rsidR="000E7C20">
        <w:rPr>
          <w:rFonts w:eastAsia="Calibri"/>
          <w:lang w:eastAsia="en-US"/>
        </w:rPr>
        <w:t xml:space="preserve">о </w:t>
      </w:r>
      <w:r w:rsidRPr="00B71479">
        <w:rPr>
          <w:rFonts w:eastAsia="Calibri"/>
          <w:lang w:eastAsia="en-US"/>
        </w:rPr>
        <w:t xml:space="preserve">финансовом результате </w:t>
      </w:r>
      <w:r w:rsidR="00ED2534">
        <w:rPr>
          <w:rFonts w:eastAsia="Calibri"/>
          <w:lang w:eastAsia="en-US"/>
        </w:rPr>
        <w:t>«</w:t>
      </w:r>
      <w:r>
        <w:rPr>
          <w:rFonts w:eastAsia="Calibri"/>
          <w:lang w:eastAsia="en-US"/>
        </w:rPr>
        <w:t xml:space="preserve">не менее чем на 1%, но не более чем на </w:t>
      </w:r>
      <w:r w:rsidRPr="00B71479">
        <w:rPr>
          <w:lang w:eastAsia="en-US"/>
        </w:rPr>
        <w:t>10%</w:t>
      </w:r>
      <w:r>
        <w:rPr>
          <w:lang w:eastAsia="en-US"/>
        </w:rPr>
        <w:t xml:space="preserve"> и на сумму</w:t>
      </w:r>
      <w:r w:rsidR="00E3390F">
        <w:rPr>
          <w:lang w:eastAsia="en-US"/>
        </w:rPr>
        <w:t>,</w:t>
      </w:r>
      <w:r>
        <w:rPr>
          <w:lang w:eastAsia="en-US"/>
        </w:rPr>
        <w:t xml:space="preserve"> превышающую 1 000,0 тыс. руб.</w:t>
      </w:r>
      <w:r w:rsidR="00ED2534">
        <w:rPr>
          <w:lang w:eastAsia="en-US"/>
        </w:rPr>
        <w:t>»</w:t>
      </w:r>
      <w:r w:rsidRPr="00B71479">
        <w:rPr>
          <w:lang w:eastAsia="en-US"/>
        </w:rPr>
        <w:t xml:space="preserve">, </w:t>
      </w:r>
      <w:r w:rsidRPr="00B71479">
        <w:t>что является грубым нарушением требований к ведению бюджетного (бухгалтерского)</w:t>
      </w:r>
      <w:r>
        <w:t xml:space="preserve"> учета, в том числе к составлению либо представлению бюджетной (бухгалтерской) отчетности, </w:t>
      </w:r>
      <w:r w:rsidRPr="008210DD">
        <w:t>за что предусмотрена административная ответственность в соответствии со ст. 15.1</w:t>
      </w:r>
      <w:r>
        <w:t>5.6</w:t>
      </w:r>
      <w:r w:rsidRPr="008210DD">
        <w:t xml:space="preserve"> </w:t>
      </w:r>
      <w:proofErr w:type="spellStart"/>
      <w:r w:rsidRPr="008210DD">
        <w:t>КоАП</w:t>
      </w:r>
      <w:proofErr w:type="spellEnd"/>
      <w:r w:rsidRPr="008210DD">
        <w:t xml:space="preserve"> РФ</w:t>
      </w:r>
      <w:r>
        <w:t>.</w:t>
      </w:r>
      <w:proofErr w:type="gramEnd"/>
    </w:p>
    <w:p w:rsidR="00D34E76" w:rsidRDefault="00D7302D" w:rsidP="00D7302D">
      <w:pPr>
        <w:pStyle w:val="afb"/>
        <w:autoSpaceDE w:val="0"/>
        <w:autoSpaceDN w:val="0"/>
        <w:adjustRightInd w:val="0"/>
        <w:ind w:left="0" w:firstLine="709"/>
        <w:jc w:val="both"/>
      </w:pPr>
      <w:r>
        <w:t>-</w:t>
      </w:r>
      <w:r w:rsidR="00D34E76">
        <w:t>«Справк</w:t>
      </w:r>
      <w:r w:rsidR="00D43B5F">
        <w:t>и</w:t>
      </w:r>
      <w:r w:rsidR="00D34E76">
        <w:t xml:space="preserve"> по заключению счетов бюджетного учета отчетного финансового года» </w:t>
      </w:r>
      <w:r w:rsidR="00D43B5F">
        <w:t xml:space="preserve">(ф.0503110). </w:t>
      </w:r>
      <w:r w:rsidR="00D34E76">
        <w:t xml:space="preserve">В Справке отсутствует строка с номером счета бюджетного учета </w:t>
      </w:r>
      <w:r w:rsidR="00D34E76" w:rsidRPr="00E94FDD">
        <w:t>000</w:t>
      </w:r>
      <w:r w:rsidR="00D34E76">
        <w:t> </w:t>
      </w:r>
      <w:r w:rsidR="00D34E76" w:rsidRPr="00E94FDD">
        <w:t>11302992020000130</w:t>
      </w:r>
      <w:r w:rsidR="00D34E76">
        <w:t> </w:t>
      </w:r>
      <w:r w:rsidR="00D34E76" w:rsidRPr="00E94FDD">
        <w:t>1</w:t>
      </w:r>
      <w:r w:rsidR="00D34E76">
        <w:t> </w:t>
      </w:r>
      <w:r w:rsidR="00D34E76" w:rsidRPr="00E94FDD">
        <w:t>401</w:t>
      </w:r>
      <w:r w:rsidR="00D34E76">
        <w:t> </w:t>
      </w:r>
      <w:r w:rsidR="00D34E76" w:rsidRPr="00E94FDD">
        <w:t>10</w:t>
      </w:r>
      <w:r w:rsidR="00D34E76">
        <w:t> </w:t>
      </w:r>
      <w:r w:rsidR="00D34E76" w:rsidRPr="00E94FDD">
        <w:t>1</w:t>
      </w:r>
      <w:r w:rsidR="00D34E76">
        <w:t>8</w:t>
      </w:r>
      <w:r w:rsidR="00D34E76" w:rsidRPr="00E94FDD">
        <w:t>6</w:t>
      </w:r>
      <w:r w:rsidR="00D34E76">
        <w:t xml:space="preserve"> с числовым значением в сумме 1 243,0 тыс. руб. в графах 3, 4, 7. Искажение по указанной строке в графах 3, 4, 7 составило 100 процентов.</w:t>
      </w:r>
    </w:p>
    <w:p w:rsidR="00D34E76" w:rsidRPr="00FF0499" w:rsidRDefault="00D34E76" w:rsidP="00D34E76">
      <w:pPr>
        <w:tabs>
          <w:tab w:val="left" w:pos="0"/>
        </w:tabs>
        <w:ind w:firstLine="709"/>
        <w:jc w:val="both"/>
        <w:rPr>
          <w:rFonts w:eastAsia="Calibri"/>
          <w:lang w:eastAsia="en-US"/>
        </w:rPr>
      </w:pPr>
      <w:r>
        <w:rPr>
          <w:rFonts w:eastAsia="Calibri"/>
          <w:lang w:eastAsia="en-US"/>
        </w:rPr>
        <w:t xml:space="preserve">Указанное нарушение, допущенное Представительством, </w:t>
      </w:r>
      <w:r w:rsidRPr="00B71479">
        <w:rPr>
          <w:rFonts w:eastAsia="Calibri"/>
          <w:lang w:eastAsia="en-US"/>
        </w:rPr>
        <w:t xml:space="preserve">привело к искажению информации о финансовом результате </w:t>
      </w:r>
      <w:r>
        <w:rPr>
          <w:rFonts w:eastAsia="Calibri"/>
          <w:lang w:eastAsia="en-US"/>
        </w:rPr>
        <w:t xml:space="preserve">более чем на </w:t>
      </w:r>
      <w:r w:rsidRPr="00B71479">
        <w:rPr>
          <w:lang w:eastAsia="en-US"/>
        </w:rPr>
        <w:t xml:space="preserve">10%, </w:t>
      </w:r>
      <w:r w:rsidRPr="00B71479">
        <w:t>что является грубым нарушением требований к ведению бюджетного (бухгалтерского)</w:t>
      </w:r>
      <w:r>
        <w:t xml:space="preserve"> учета, в том числе к составлению либо представлению бюджетной (бухгалтерской) отчетности, </w:t>
      </w:r>
      <w:proofErr w:type="gramStart"/>
      <w:r w:rsidRPr="008210DD">
        <w:t>за</w:t>
      </w:r>
      <w:proofErr w:type="gramEnd"/>
      <w:r w:rsidRPr="008210DD">
        <w:t xml:space="preserve"> что </w:t>
      </w:r>
      <w:proofErr w:type="gramStart"/>
      <w:r w:rsidRPr="008210DD">
        <w:t>предусмотрена</w:t>
      </w:r>
      <w:proofErr w:type="gramEnd"/>
      <w:r w:rsidRPr="008210DD">
        <w:t xml:space="preserve"> </w:t>
      </w:r>
      <w:r w:rsidRPr="00FF0499">
        <w:t xml:space="preserve">административная ответственность в соответствии со ст. 15.15.6 </w:t>
      </w:r>
      <w:proofErr w:type="spellStart"/>
      <w:r w:rsidRPr="00FF0499">
        <w:t>КоАП</w:t>
      </w:r>
      <w:proofErr w:type="spellEnd"/>
      <w:r w:rsidRPr="00FF0499">
        <w:t xml:space="preserve"> РФ.</w:t>
      </w:r>
    </w:p>
    <w:p w:rsidR="003A388A" w:rsidRPr="00FF0499" w:rsidRDefault="003A388A" w:rsidP="003A388A">
      <w:pPr>
        <w:tabs>
          <w:tab w:val="left" w:pos="0"/>
        </w:tabs>
        <w:ind w:firstLine="709"/>
        <w:jc w:val="both"/>
      </w:pPr>
      <w:r w:rsidRPr="00FF0499">
        <w:t xml:space="preserve">В ходе проверки </w:t>
      </w:r>
      <w:r w:rsidR="0002491F">
        <w:t xml:space="preserve">все вышеуказанные </w:t>
      </w:r>
      <w:r w:rsidRPr="00FF0499">
        <w:t xml:space="preserve">нарушения устранены. </w:t>
      </w:r>
      <w:proofErr w:type="gramStart"/>
      <w:r w:rsidRPr="00FF0499">
        <w:t>Уточненн</w:t>
      </w:r>
      <w:r w:rsidR="001E2D47">
        <w:t>ые</w:t>
      </w:r>
      <w:r w:rsidRPr="00FF0499">
        <w:t xml:space="preserve"> (исправленн</w:t>
      </w:r>
      <w:r w:rsidR="001E2D47">
        <w:t>ые</w:t>
      </w:r>
      <w:r w:rsidRPr="00FF0499">
        <w:t>) форм</w:t>
      </w:r>
      <w:r w:rsidR="00EE6785" w:rsidRPr="00FF0499">
        <w:t>ы</w:t>
      </w:r>
      <w:r w:rsidRPr="00FF0499">
        <w:t xml:space="preserve"> бюджетной отчетности </w:t>
      </w:r>
      <w:r w:rsidR="00EE6785" w:rsidRPr="00FF0499">
        <w:t>«Баланс»</w:t>
      </w:r>
      <w:r w:rsidR="00EE6785" w:rsidRPr="00FF0499">
        <w:rPr>
          <w:lang w:eastAsia="en-US"/>
        </w:rPr>
        <w:t xml:space="preserve"> (</w:t>
      </w:r>
      <w:r w:rsidR="00EE6785" w:rsidRPr="00FF0499">
        <w:t>ф. 0503130), «Сведения о движении нефинансовых активов»</w:t>
      </w:r>
      <w:r w:rsidR="00EE6785" w:rsidRPr="00FF0499">
        <w:rPr>
          <w:lang w:eastAsia="en-US"/>
        </w:rPr>
        <w:t xml:space="preserve"> (</w:t>
      </w:r>
      <w:r w:rsidR="00EE6785" w:rsidRPr="00FF0499">
        <w:t xml:space="preserve">ф. 0503168), </w:t>
      </w:r>
      <w:r w:rsidR="0067579A">
        <w:t xml:space="preserve">«Сведения об </w:t>
      </w:r>
      <w:r w:rsidR="0067579A" w:rsidRPr="00A743C2">
        <w:t>изменении остатков валюты баланса</w:t>
      </w:r>
      <w:r w:rsidR="0067579A">
        <w:t>»</w:t>
      </w:r>
      <w:r w:rsidR="0067579A" w:rsidRPr="00A743C2">
        <w:t xml:space="preserve"> (ф. 0503173)</w:t>
      </w:r>
      <w:r w:rsidR="0067579A">
        <w:t>,</w:t>
      </w:r>
      <w:r w:rsidR="0067579A" w:rsidRPr="00FF0499">
        <w:t xml:space="preserve"> </w:t>
      </w:r>
      <w:r w:rsidRPr="00FF0499">
        <w:t>«Справка по заключению счетов бюджетного учета отчетного финансового года» (ф.0503110) и</w:t>
      </w:r>
      <w:r w:rsidRPr="00FF0499">
        <w:rPr>
          <w:lang w:eastAsia="en-US"/>
        </w:rPr>
        <w:t xml:space="preserve"> «</w:t>
      </w:r>
      <w:r w:rsidRPr="00FF0499">
        <w:t>Отчет о финансовых результатах деятельности</w:t>
      </w:r>
      <w:r w:rsidRPr="00FF0499">
        <w:rPr>
          <w:lang w:eastAsia="en-US"/>
        </w:rPr>
        <w:t xml:space="preserve">» </w:t>
      </w:r>
      <w:r w:rsidR="00EE6785" w:rsidRPr="00FF0499">
        <w:rPr>
          <w:lang w:eastAsia="en-US"/>
        </w:rPr>
        <w:t>(</w:t>
      </w:r>
      <w:r w:rsidRPr="00FF0499">
        <w:rPr>
          <w:lang w:eastAsia="en-US"/>
        </w:rPr>
        <w:t>ф.0503121</w:t>
      </w:r>
      <w:r w:rsidR="00EE6785" w:rsidRPr="00FF0499">
        <w:rPr>
          <w:lang w:eastAsia="en-US"/>
        </w:rPr>
        <w:t>)</w:t>
      </w:r>
      <w:r w:rsidRPr="00FF0499">
        <w:rPr>
          <w:lang w:eastAsia="en-US"/>
        </w:rPr>
        <w:t xml:space="preserve"> </w:t>
      </w:r>
      <w:r w:rsidRPr="00FF0499">
        <w:t xml:space="preserve">представлены в </w:t>
      </w:r>
      <w:r w:rsidR="00E3390F">
        <w:t>к</w:t>
      </w:r>
      <w:r w:rsidR="0002491F">
        <w:t xml:space="preserve">омитет финансов Волгоградской области (далее – </w:t>
      </w:r>
      <w:proofErr w:type="spellStart"/>
      <w:r w:rsidR="0002491F">
        <w:t>Облфин</w:t>
      </w:r>
      <w:proofErr w:type="spellEnd"/>
      <w:r w:rsidR="0002491F">
        <w:t>)</w:t>
      </w:r>
      <w:r w:rsidRPr="00FF0499">
        <w:t xml:space="preserve"> 28.02.2020 до её принятия</w:t>
      </w:r>
      <w:r w:rsidRPr="00FF0499">
        <w:rPr>
          <w:lang w:eastAsia="en-US"/>
        </w:rPr>
        <w:t xml:space="preserve">, </w:t>
      </w:r>
      <w:r w:rsidRPr="00FF0499">
        <w:t>что освобождает должностные лица от административной</w:t>
      </w:r>
      <w:proofErr w:type="gramEnd"/>
      <w:r w:rsidRPr="00FF0499">
        <w:t xml:space="preserve"> ответственности</w:t>
      </w:r>
      <w:r w:rsidRPr="00FF0499">
        <w:rPr>
          <w:lang w:eastAsia="en-US"/>
        </w:rPr>
        <w:t xml:space="preserve"> </w:t>
      </w:r>
      <w:r w:rsidRPr="00FF0499">
        <w:t xml:space="preserve">на основании п.6 Примечаний к ст. 15.15.6 </w:t>
      </w:r>
      <w:proofErr w:type="spellStart"/>
      <w:r w:rsidRPr="00FF0499">
        <w:t>КоАП</w:t>
      </w:r>
      <w:proofErr w:type="spellEnd"/>
      <w:r w:rsidRPr="00FF0499">
        <w:t xml:space="preserve"> РФ. </w:t>
      </w:r>
    </w:p>
    <w:p w:rsidR="00D34E76" w:rsidRPr="00831356" w:rsidRDefault="00D34E76" w:rsidP="00C47756">
      <w:pPr>
        <w:pStyle w:val="afb"/>
        <w:numPr>
          <w:ilvl w:val="0"/>
          <w:numId w:val="38"/>
        </w:numPr>
        <w:tabs>
          <w:tab w:val="left" w:pos="0"/>
        </w:tabs>
        <w:spacing w:line="240" w:lineRule="atLeast"/>
        <w:ind w:left="0" w:firstLine="709"/>
        <w:jc w:val="both"/>
      </w:pPr>
      <w:r w:rsidRPr="00FF0499">
        <w:t>В бюджетном учете не отражены права пользования программным</w:t>
      </w:r>
      <w:r w:rsidRPr="00831356">
        <w:t xml:space="preserve"> обеспечением </w:t>
      </w:r>
      <w:r w:rsidRPr="00D43B5F">
        <w:rPr>
          <w:lang w:val="en-US"/>
        </w:rPr>
        <w:t>Microsoft</w:t>
      </w:r>
      <w:r w:rsidRPr="00831356">
        <w:t xml:space="preserve"> </w:t>
      </w:r>
      <w:proofErr w:type="spellStart"/>
      <w:r w:rsidRPr="00D43B5F">
        <w:rPr>
          <w:lang w:val="en-US"/>
        </w:rPr>
        <w:t>offrce</w:t>
      </w:r>
      <w:proofErr w:type="spellEnd"/>
      <w:r w:rsidRPr="00831356">
        <w:t xml:space="preserve"> </w:t>
      </w:r>
      <w:r w:rsidRPr="00D43B5F">
        <w:rPr>
          <w:lang w:val="en-US"/>
        </w:rPr>
        <w:t>pro</w:t>
      </w:r>
      <w:r w:rsidRPr="00831356">
        <w:t xml:space="preserve"> </w:t>
      </w:r>
      <w:r w:rsidRPr="00D43B5F">
        <w:rPr>
          <w:lang w:val="en-US"/>
        </w:rPr>
        <w:t>plus</w:t>
      </w:r>
      <w:r w:rsidRPr="00831356">
        <w:t xml:space="preserve"> </w:t>
      </w:r>
      <w:proofErr w:type="spellStart"/>
      <w:r w:rsidRPr="00D43B5F">
        <w:rPr>
          <w:lang w:val="en-US"/>
        </w:rPr>
        <w:t>oLP</w:t>
      </w:r>
      <w:proofErr w:type="spellEnd"/>
      <w:r w:rsidRPr="00831356">
        <w:t xml:space="preserve"> </w:t>
      </w:r>
      <w:r w:rsidRPr="00D43B5F">
        <w:rPr>
          <w:lang w:val="en-US"/>
        </w:rPr>
        <w:t>A</w:t>
      </w:r>
      <w:r w:rsidRPr="00831356">
        <w:t xml:space="preserve"> </w:t>
      </w:r>
      <w:r w:rsidRPr="00D43B5F">
        <w:rPr>
          <w:lang w:val="en-US"/>
        </w:rPr>
        <w:t>Gov</w:t>
      </w:r>
      <w:r w:rsidRPr="00831356">
        <w:t xml:space="preserve">, полученные от индивидуального предпринимателя Могила Д.Ю. </w:t>
      </w:r>
    </w:p>
    <w:p w:rsidR="00D34E76" w:rsidRDefault="00D34E76" w:rsidP="00D34E76">
      <w:pPr>
        <w:tabs>
          <w:tab w:val="left" w:pos="0"/>
        </w:tabs>
        <w:spacing w:line="240" w:lineRule="atLeast"/>
        <w:ind w:firstLine="709"/>
        <w:jc w:val="both"/>
      </w:pPr>
      <w:r w:rsidRPr="00831356">
        <w:t>В соответствии с нормами Гражданского Кодекса Российской Федерации (ст. 1235, 1236,</w:t>
      </w:r>
      <w:r>
        <w:t xml:space="preserve"> 1238 ГК РФ) на основании государственного контракта от 08.07.2019 №23-2019 указанным индивидуальным предпринимателем Представительству были переданы </w:t>
      </w:r>
      <w:r>
        <w:lastRenderedPageBreak/>
        <w:t>неисключительные лицензионные права пользования вышеназванным программным обеспечением стоимостью 120,9 тыс. рублей.</w:t>
      </w:r>
    </w:p>
    <w:p w:rsidR="003A388A" w:rsidRDefault="003A388A" w:rsidP="00D34E76">
      <w:pPr>
        <w:autoSpaceDE w:val="0"/>
        <w:autoSpaceDN w:val="0"/>
        <w:adjustRightInd w:val="0"/>
        <w:ind w:firstLine="709"/>
        <w:jc w:val="both"/>
      </w:pPr>
      <w:r>
        <w:t xml:space="preserve">В соответствии с пунктами 66, 333 Инструкции №157н неисключительные лицензионные права пользования программным обеспечением </w:t>
      </w:r>
      <w:proofErr w:type="gramStart"/>
      <w:r w:rsidR="00EE6785">
        <w:t>признаются нематериальными активами и учитываются</w:t>
      </w:r>
      <w:proofErr w:type="gramEnd"/>
      <w:r w:rsidR="00EE6785">
        <w:t xml:space="preserve"> на </w:t>
      </w:r>
      <w:r w:rsidR="00EE6785" w:rsidRPr="003C3E17">
        <w:t>забалансовом счете 01 «Имущество, полученное в пользование» по стоимости, определяемой исходя из размера вознаграждения, установленного в договоре.</w:t>
      </w:r>
    </w:p>
    <w:p w:rsidR="00D34E76" w:rsidRDefault="00D34E76" w:rsidP="00D34E76">
      <w:pPr>
        <w:autoSpaceDE w:val="0"/>
        <w:autoSpaceDN w:val="0"/>
        <w:adjustRightInd w:val="0"/>
        <w:ind w:firstLine="709"/>
        <w:jc w:val="both"/>
      </w:pPr>
      <w:proofErr w:type="gramStart"/>
      <w:r w:rsidRPr="00C96EAC">
        <w:t>В нарушение</w:t>
      </w:r>
      <w:r>
        <w:t xml:space="preserve"> п.п. 66, 333 Инструкции №157н Представительством не отражены на забалансовом счете 01 </w:t>
      </w:r>
      <w:r w:rsidRPr="003C3E17">
        <w:t>«Имущество, полученное в пользование»</w:t>
      </w:r>
      <w:r>
        <w:t xml:space="preserve"> права пользования нематериальным активом на сумму 120,9 тыс. руб., что привело к искажению след</w:t>
      </w:r>
      <w:r w:rsidR="00E3390F">
        <w:t>ующих форм бюджетной отчетности и</w:t>
      </w:r>
      <w:r>
        <w:t xml:space="preserve"> нарушен</w:t>
      </w:r>
      <w:r w:rsidR="00E3390F">
        <w:t>ию</w:t>
      </w:r>
      <w:r>
        <w:t xml:space="preserve"> п.п. 20, 166 Инструкции №191н и п.1 ст. 13 Закона «О бухгалтерском учете»:</w:t>
      </w:r>
      <w:proofErr w:type="gramEnd"/>
    </w:p>
    <w:p w:rsidR="00D34E76" w:rsidRDefault="00D34E76" w:rsidP="00D34E76">
      <w:pPr>
        <w:autoSpaceDE w:val="0"/>
        <w:autoSpaceDN w:val="0"/>
        <w:adjustRightInd w:val="0"/>
        <w:ind w:firstLine="709"/>
        <w:jc w:val="both"/>
      </w:pPr>
      <w:r>
        <w:t xml:space="preserve">-Справки о наличии имущества и обязательств на забалансовых счетах к Балансу (ф.0503130) по строке 010 на сумму 120,9 тыс. руб., </w:t>
      </w:r>
    </w:p>
    <w:p w:rsidR="00D34E76" w:rsidRDefault="00D34E76" w:rsidP="00D34E76">
      <w:pPr>
        <w:autoSpaceDE w:val="0"/>
        <w:autoSpaceDN w:val="0"/>
        <w:adjustRightInd w:val="0"/>
        <w:ind w:firstLine="709"/>
        <w:jc w:val="both"/>
      </w:pPr>
      <w:r>
        <w:t>-Сведений о движении нефинансовых активов (ф.0503168) по стр. 490 граф 5, 7 раздела 3 «Движение материальных ценностей на забалансовых счетах» на сумму 120,9 тыс. рублей.</w:t>
      </w:r>
    </w:p>
    <w:p w:rsidR="00817B67" w:rsidRPr="004A3F44" w:rsidRDefault="00817B67" w:rsidP="00817B67">
      <w:pPr>
        <w:autoSpaceDE w:val="0"/>
        <w:autoSpaceDN w:val="0"/>
        <w:adjustRightInd w:val="0"/>
        <w:ind w:firstLine="540"/>
        <w:jc w:val="center"/>
        <w:rPr>
          <w:b/>
          <w:i/>
        </w:rPr>
      </w:pPr>
      <w:r w:rsidRPr="00656A22">
        <w:rPr>
          <w:b/>
          <w:i/>
        </w:rPr>
        <w:t xml:space="preserve">Исполнение доходов </w:t>
      </w:r>
    </w:p>
    <w:p w:rsidR="001F3339" w:rsidRPr="001B0BEB" w:rsidRDefault="001F3339" w:rsidP="001F3339">
      <w:pPr>
        <w:spacing w:line="240" w:lineRule="atLeast"/>
        <w:ind w:firstLine="709"/>
        <w:jc w:val="both"/>
        <w:rPr>
          <w:bCs/>
        </w:rPr>
      </w:pPr>
      <w:bookmarkStart w:id="3" w:name="OLE_LINK2"/>
      <w:r w:rsidRPr="001B0BEB">
        <w:rPr>
          <w:lang w:eastAsia="en-US"/>
        </w:rPr>
        <w:t xml:space="preserve">Законом </w:t>
      </w:r>
      <w:r w:rsidRPr="001B0BEB">
        <w:t>об областном бюджете на 201</w:t>
      </w:r>
      <w:r>
        <w:t>9</w:t>
      </w:r>
      <w:r w:rsidRPr="001B0BEB">
        <w:t xml:space="preserve"> год Представительство </w:t>
      </w:r>
      <w:r w:rsidRPr="001B0BEB">
        <w:rPr>
          <w:bCs/>
        </w:rPr>
        <w:t>определено главным администратором доходов областного бюджета.</w:t>
      </w:r>
    </w:p>
    <w:bookmarkEnd w:id="3"/>
    <w:p w:rsidR="001F3339" w:rsidRDefault="001F3339" w:rsidP="001F3339">
      <w:pPr>
        <w:autoSpaceDE w:val="0"/>
        <w:autoSpaceDN w:val="0"/>
        <w:adjustRightInd w:val="0"/>
        <w:ind w:firstLine="709"/>
        <w:jc w:val="both"/>
      </w:pPr>
      <w:r w:rsidRPr="001B0BEB">
        <w:t>Согласно отчету об исполнении бюджета (ф.0503127) за 201</w:t>
      </w:r>
      <w:r>
        <w:t>9</w:t>
      </w:r>
      <w:r w:rsidRPr="001B0BEB">
        <w:t xml:space="preserve"> год </w:t>
      </w:r>
      <w:r w:rsidRPr="00B66471">
        <w:t>поступления</w:t>
      </w:r>
      <w:r w:rsidRPr="001B0BEB">
        <w:t xml:space="preserve"> в доход областного </w:t>
      </w:r>
      <w:r w:rsidRPr="00B66471">
        <w:t xml:space="preserve">бюджета </w:t>
      </w:r>
      <w:r>
        <w:t>отсутствуют.</w:t>
      </w:r>
    </w:p>
    <w:p w:rsidR="0075613A" w:rsidRDefault="00D670BF" w:rsidP="001F3339">
      <w:pPr>
        <w:autoSpaceDE w:val="0"/>
        <w:autoSpaceDN w:val="0"/>
        <w:adjustRightInd w:val="0"/>
        <w:ind w:firstLine="709"/>
        <w:jc w:val="both"/>
      </w:pPr>
      <w:r>
        <w:t>Однако наличи</w:t>
      </w:r>
      <w:r w:rsidR="00554782">
        <w:t>е</w:t>
      </w:r>
      <w:r>
        <w:t xml:space="preserve"> у Представительства </w:t>
      </w:r>
      <w:r w:rsidR="00BA631D">
        <w:t>дебиторской задолженности на 01.01.2019 в сумме 357,6 тыс. руб. и отсутстви</w:t>
      </w:r>
      <w:r w:rsidR="00554782">
        <w:t>е</w:t>
      </w:r>
      <w:r w:rsidR="00BA631D">
        <w:t xml:space="preserve"> прогнозных назначений по доходам свидетельствует о некачественном планировании</w:t>
      </w:r>
      <w:r w:rsidR="00554782">
        <w:t xml:space="preserve"> поступлений по доходам, </w:t>
      </w:r>
      <w:proofErr w:type="spellStart"/>
      <w:r w:rsidR="00554782">
        <w:t>администрируемым</w:t>
      </w:r>
      <w:proofErr w:type="spellEnd"/>
      <w:r w:rsidR="00554782">
        <w:t xml:space="preserve"> Представительством, в нарушение </w:t>
      </w:r>
      <w:proofErr w:type="gramStart"/>
      <w:r w:rsidR="00554782">
        <w:t>ч</w:t>
      </w:r>
      <w:proofErr w:type="gramEnd"/>
      <w:r w:rsidR="00554782">
        <w:t>.1 ст. 160.1 Бюджетного Кодекса Российской Федерации (далее – БК РФ).</w:t>
      </w:r>
    </w:p>
    <w:p w:rsidR="00817B67" w:rsidRPr="004A3F44" w:rsidRDefault="00817B67" w:rsidP="00817B67">
      <w:pPr>
        <w:autoSpaceDE w:val="0"/>
        <w:autoSpaceDN w:val="0"/>
        <w:adjustRightInd w:val="0"/>
        <w:jc w:val="center"/>
        <w:rPr>
          <w:b/>
          <w:i/>
        </w:rPr>
      </w:pPr>
      <w:r w:rsidRPr="00412178">
        <w:rPr>
          <w:b/>
          <w:i/>
        </w:rPr>
        <w:t>Исполнение расходов</w:t>
      </w:r>
    </w:p>
    <w:p w:rsidR="00817B67" w:rsidRDefault="00817B67" w:rsidP="00817B67">
      <w:pPr>
        <w:autoSpaceDE w:val="0"/>
        <w:autoSpaceDN w:val="0"/>
        <w:adjustRightInd w:val="0"/>
        <w:ind w:firstLine="567"/>
        <w:jc w:val="both"/>
        <w:rPr>
          <w:bCs/>
          <w:highlight w:val="yellow"/>
        </w:rPr>
      </w:pPr>
      <w:r w:rsidRPr="00DE6988">
        <w:t>Законо</w:t>
      </w:r>
      <w:r>
        <w:t xml:space="preserve">м об областном бюджете Представительству </w:t>
      </w:r>
      <w:r w:rsidRPr="00DE6988">
        <w:t>предусмотрен</w:t>
      </w:r>
      <w:r>
        <w:t xml:space="preserve">ы ассигнования в сумме </w:t>
      </w:r>
      <w:r w:rsidR="0038091B">
        <w:t>38 407,2</w:t>
      </w:r>
      <w:r w:rsidRPr="00DE6988">
        <w:t xml:space="preserve"> тыс. руб., согласно бюджетной росписи и отчету об исполнении бюджета (ф.</w:t>
      </w:r>
      <w:proofErr w:type="gramStart"/>
      <w:r w:rsidRPr="00DE6988">
        <w:t xml:space="preserve">0305127) </w:t>
      </w:r>
      <w:proofErr w:type="gramEnd"/>
      <w:r w:rsidRPr="00DE6988">
        <w:t>бюджетны</w:t>
      </w:r>
      <w:r>
        <w:t xml:space="preserve">е назначения составили </w:t>
      </w:r>
      <w:r w:rsidR="0038091B">
        <w:t>39 067,5</w:t>
      </w:r>
      <w:r>
        <w:t xml:space="preserve"> тыс. руб., или на </w:t>
      </w:r>
      <w:r w:rsidR="0038091B">
        <w:t>659,8</w:t>
      </w:r>
      <w:r w:rsidRPr="00DE6988">
        <w:t xml:space="preserve"> тыс. руб. </w:t>
      </w:r>
      <w:r>
        <w:t xml:space="preserve">(на </w:t>
      </w:r>
      <w:r w:rsidR="0038091B">
        <w:t>1,72</w:t>
      </w:r>
      <w:r>
        <w:t xml:space="preserve"> %) больше</w:t>
      </w:r>
      <w:r w:rsidRPr="00DE6988">
        <w:t xml:space="preserve"> утвержденного Законом об областном бюджете. </w:t>
      </w:r>
    </w:p>
    <w:p w:rsidR="00817B67" w:rsidRDefault="00817B67" w:rsidP="00817B67">
      <w:pPr>
        <w:ind w:firstLine="680"/>
        <w:jc w:val="both"/>
      </w:pPr>
      <w:r w:rsidRPr="00983CE1">
        <w:t xml:space="preserve">Увеличение утвержденных бюджетных ассигнований </w:t>
      </w:r>
      <w:proofErr w:type="gramStart"/>
      <w:r w:rsidRPr="00983CE1">
        <w:t>в росписи относительно</w:t>
      </w:r>
      <w:r w:rsidRPr="006A4426">
        <w:t xml:space="preserve"> утвержденных в Законе об областном бюджете </w:t>
      </w:r>
      <w:r>
        <w:t xml:space="preserve">на </w:t>
      </w:r>
      <w:r w:rsidR="0011386C">
        <w:t>указанную сумму</w:t>
      </w:r>
      <w:r>
        <w:t xml:space="preserve"> </w:t>
      </w:r>
      <w:r w:rsidRPr="006A4426">
        <w:t>обусловлено доведением бюджетных ассигнований в большем размере</w:t>
      </w:r>
      <w:proofErr w:type="gramEnd"/>
      <w:r w:rsidRPr="006A4426">
        <w:t xml:space="preserve"> уведомлениями </w:t>
      </w:r>
      <w:proofErr w:type="spellStart"/>
      <w:r w:rsidRPr="006A4426">
        <w:t>Облфина</w:t>
      </w:r>
      <w:proofErr w:type="spellEnd"/>
      <w:r w:rsidRPr="006A4426">
        <w:t xml:space="preserve"> в связи с выплатой руководителю </w:t>
      </w:r>
      <w:r w:rsidR="0064258A">
        <w:t>П</w:t>
      </w:r>
      <w:r w:rsidRPr="006A4426">
        <w:t xml:space="preserve">редставительства денежного поощрения за успешное и добросовестное осуществление своих полномочий на основании </w:t>
      </w:r>
      <w:r w:rsidR="00E528F8">
        <w:t>р</w:t>
      </w:r>
      <w:r w:rsidRPr="006A4426">
        <w:t>аспоряжения Губернатора Волгоградской области от 20.12.2018 №230-р</w:t>
      </w:r>
      <w:r>
        <w:t>.</w:t>
      </w:r>
    </w:p>
    <w:p w:rsidR="00817B67" w:rsidRPr="00D95AFB" w:rsidRDefault="00817B67" w:rsidP="00817B67">
      <w:pPr>
        <w:autoSpaceDE w:val="0"/>
        <w:autoSpaceDN w:val="0"/>
        <w:adjustRightInd w:val="0"/>
        <w:ind w:firstLine="709"/>
        <w:jc w:val="both"/>
      </w:pPr>
      <w:r w:rsidRPr="006B4BDA">
        <w:rPr>
          <w:bCs/>
        </w:rPr>
        <w:t xml:space="preserve">Изменения </w:t>
      </w:r>
      <w:proofErr w:type="gramStart"/>
      <w:r w:rsidRPr="006B4BDA">
        <w:rPr>
          <w:bCs/>
        </w:rPr>
        <w:t xml:space="preserve">в сводную бюджетную роспись внесены </w:t>
      </w:r>
      <w:r w:rsidR="0002491F">
        <w:t>без внесения изменений в З</w:t>
      </w:r>
      <w:r w:rsidRPr="006B4BDA">
        <w:t>акон о</w:t>
      </w:r>
      <w:r w:rsidR="0002491F">
        <w:t xml:space="preserve">б областном </w:t>
      </w:r>
      <w:r w:rsidRPr="006B4BDA">
        <w:t>бюджете в соответствии</w:t>
      </w:r>
      <w:proofErr w:type="gramEnd"/>
      <w:r w:rsidRPr="006B4BDA">
        <w:t xml:space="preserve"> с решением руководителя финансового органа в рамках полномочий, определенных п. 3 ст. 217 БК РФ.</w:t>
      </w:r>
      <w:r>
        <w:t xml:space="preserve"> </w:t>
      </w:r>
    </w:p>
    <w:p w:rsidR="00E528F8" w:rsidRDefault="00E528F8" w:rsidP="00031FF8">
      <w:pPr>
        <w:ind w:firstLine="680"/>
        <w:jc w:val="center"/>
        <w:rPr>
          <w:b/>
          <w:i/>
        </w:rPr>
      </w:pPr>
    </w:p>
    <w:p w:rsidR="00817B67" w:rsidRPr="00031FF8" w:rsidRDefault="00817B67" w:rsidP="00031FF8">
      <w:pPr>
        <w:ind w:firstLine="680"/>
        <w:jc w:val="center"/>
        <w:rPr>
          <w:b/>
          <w:i/>
        </w:rPr>
      </w:pPr>
      <w:r w:rsidRPr="00031FF8">
        <w:rPr>
          <w:b/>
          <w:i/>
        </w:rPr>
        <w:t xml:space="preserve">Анализ исполнения бюджетных назначений Представительства </w:t>
      </w:r>
    </w:p>
    <w:p w:rsidR="00E033F0" w:rsidRPr="006C20A3" w:rsidRDefault="00E033F0" w:rsidP="00E033F0">
      <w:pPr>
        <w:ind w:firstLine="680"/>
        <w:jc w:val="right"/>
        <w:rPr>
          <w:sz w:val="18"/>
          <w:szCs w:val="18"/>
        </w:rPr>
      </w:pPr>
      <w:r w:rsidRPr="006C20A3">
        <w:rPr>
          <w:sz w:val="18"/>
          <w:szCs w:val="18"/>
        </w:rPr>
        <w:t xml:space="preserve">          таблица №1 (тыс. руб.)</w:t>
      </w:r>
    </w:p>
    <w:tbl>
      <w:tblPr>
        <w:tblW w:w="10632" w:type="dxa"/>
        <w:tblInd w:w="-318" w:type="dxa"/>
        <w:tblLayout w:type="fixed"/>
        <w:tblLook w:val="04A0"/>
      </w:tblPr>
      <w:tblGrid>
        <w:gridCol w:w="2836"/>
        <w:gridCol w:w="1843"/>
        <w:gridCol w:w="992"/>
        <w:gridCol w:w="1171"/>
        <w:gridCol w:w="992"/>
        <w:gridCol w:w="956"/>
        <w:gridCol w:w="850"/>
        <w:gridCol w:w="992"/>
      </w:tblGrid>
      <w:tr w:rsidR="00E950E9" w:rsidRPr="00412178" w:rsidTr="00EF37A9">
        <w:trPr>
          <w:trHeight w:val="255"/>
        </w:trPr>
        <w:tc>
          <w:tcPr>
            <w:tcW w:w="2836" w:type="dxa"/>
            <w:vMerge w:val="restart"/>
            <w:tcBorders>
              <w:top w:val="double" w:sz="4" w:space="0" w:color="auto"/>
              <w:left w:val="double" w:sz="4" w:space="0" w:color="auto"/>
              <w:bottom w:val="single" w:sz="6" w:space="0" w:color="auto"/>
              <w:right w:val="single" w:sz="6" w:space="0" w:color="auto"/>
            </w:tcBorders>
            <w:shd w:val="clear" w:color="auto" w:fill="EAF1DD"/>
            <w:vAlign w:val="center"/>
            <w:hideMark/>
          </w:tcPr>
          <w:p w:rsidR="00E950E9" w:rsidRPr="00797669" w:rsidRDefault="00E950E9" w:rsidP="00EF37A9">
            <w:pPr>
              <w:jc w:val="center"/>
              <w:rPr>
                <w:b/>
                <w:sz w:val="16"/>
                <w:szCs w:val="16"/>
              </w:rPr>
            </w:pPr>
            <w:r w:rsidRPr="00797669">
              <w:rPr>
                <w:b/>
                <w:sz w:val="16"/>
                <w:szCs w:val="16"/>
              </w:rPr>
              <w:t>Наименование показателя</w:t>
            </w:r>
          </w:p>
        </w:tc>
        <w:tc>
          <w:tcPr>
            <w:tcW w:w="1843" w:type="dxa"/>
            <w:vMerge w:val="restart"/>
            <w:tcBorders>
              <w:top w:val="double" w:sz="4"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jc w:val="center"/>
              <w:rPr>
                <w:b/>
                <w:sz w:val="16"/>
                <w:szCs w:val="16"/>
              </w:rPr>
            </w:pPr>
            <w:r w:rsidRPr="00797669">
              <w:rPr>
                <w:b/>
                <w:sz w:val="16"/>
                <w:szCs w:val="16"/>
              </w:rPr>
              <w:t>Код расхода по бюджетной классификации</w:t>
            </w:r>
          </w:p>
        </w:tc>
        <w:tc>
          <w:tcPr>
            <w:tcW w:w="992" w:type="dxa"/>
            <w:vMerge w:val="restart"/>
            <w:tcBorders>
              <w:top w:val="double" w:sz="4" w:space="0" w:color="auto"/>
              <w:left w:val="single" w:sz="6" w:space="0" w:color="auto"/>
              <w:bottom w:val="single" w:sz="6" w:space="0" w:color="auto"/>
              <w:right w:val="single" w:sz="6" w:space="0" w:color="auto"/>
            </w:tcBorders>
            <w:shd w:val="clear" w:color="auto" w:fill="EAF1DD"/>
          </w:tcPr>
          <w:p w:rsidR="00E950E9" w:rsidRPr="00797669" w:rsidRDefault="00E950E9" w:rsidP="00EF37A9">
            <w:pPr>
              <w:jc w:val="center"/>
              <w:rPr>
                <w:b/>
                <w:color w:val="000000"/>
                <w:sz w:val="16"/>
                <w:szCs w:val="16"/>
              </w:rPr>
            </w:pPr>
          </w:p>
          <w:p w:rsidR="00E950E9" w:rsidRPr="00797669" w:rsidRDefault="00E950E9" w:rsidP="00EF37A9">
            <w:pPr>
              <w:jc w:val="center"/>
              <w:rPr>
                <w:b/>
              </w:rPr>
            </w:pPr>
            <w:r w:rsidRPr="00797669">
              <w:rPr>
                <w:b/>
                <w:color w:val="000000"/>
                <w:sz w:val="16"/>
                <w:szCs w:val="16"/>
              </w:rPr>
              <w:t>Закон об областном бюджете</w:t>
            </w:r>
          </w:p>
          <w:p w:rsidR="00E950E9" w:rsidRPr="00797669" w:rsidRDefault="00E950E9" w:rsidP="00EF37A9">
            <w:pPr>
              <w:jc w:val="center"/>
              <w:rPr>
                <w:b/>
                <w:sz w:val="16"/>
                <w:szCs w:val="16"/>
              </w:rPr>
            </w:pPr>
          </w:p>
        </w:tc>
        <w:tc>
          <w:tcPr>
            <w:tcW w:w="1171" w:type="dxa"/>
            <w:vMerge w:val="restart"/>
            <w:tcBorders>
              <w:top w:val="double" w:sz="4"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ind w:left="-71" w:right="-108"/>
              <w:jc w:val="center"/>
              <w:rPr>
                <w:b/>
                <w:sz w:val="16"/>
                <w:szCs w:val="16"/>
              </w:rPr>
            </w:pPr>
            <w:r w:rsidRPr="00797669">
              <w:rPr>
                <w:b/>
                <w:sz w:val="16"/>
                <w:szCs w:val="16"/>
              </w:rPr>
              <w:t>Утвержденные бюджетные назначения в росписи</w:t>
            </w:r>
          </w:p>
        </w:tc>
        <w:tc>
          <w:tcPr>
            <w:tcW w:w="992" w:type="dxa"/>
            <w:vMerge w:val="restart"/>
            <w:tcBorders>
              <w:top w:val="double" w:sz="4"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ind w:left="-108" w:right="-108"/>
              <w:jc w:val="center"/>
              <w:rPr>
                <w:b/>
                <w:sz w:val="16"/>
                <w:szCs w:val="16"/>
              </w:rPr>
            </w:pPr>
            <w:r w:rsidRPr="00797669">
              <w:rPr>
                <w:b/>
                <w:sz w:val="16"/>
                <w:szCs w:val="16"/>
              </w:rPr>
              <w:t>Лимиты бюджетных обязательств</w:t>
            </w:r>
          </w:p>
        </w:tc>
        <w:tc>
          <w:tcPr>
            <w:tcW w:w="956" w:type="dxa"/>
            <w:vMerge w:val="restart"/>
            <w:tcBorders>
              <w:top w:val="double" w:sz="4"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ind w:left="-108" w:right="-108"/>
              <w:jc w:val="center"/>
              <w:rPr>
                <w:b/>
                <w:color w:val="000000"/>
                <w:sz w:val="16"/>
                <w:szCs w:val="16"/>
              </w:rPr>
            </w:pPr>
            <w:r w:rsidRPr="00797669">
              <w:rPr>
                <w:b/>
                <w:color w:val="000000"/>
                <w:sz w:val="16"/>
                <w:szCs w:val="16"/>
              </w:rPr>
              <w:t>Исполнено</w:t>
            </w:r>
          </w:p>
        </w:tc>
        <w:tc>
          <w:tcPr>
            <w:tcW w:w="1842" w:type="dxa"/>
            <w:gridSpan w:val="2"/>
            <w:tcBorders>
              <w:top w:val="double" w:sz="4" w:space="0" w:color="auto"/>
              <w:left w:val="single" w:sz="6" w:space="0" w:color="auto"/>
              <w:bottom w:val="single" w:sz="6" w:space="0" w:color="auto"/>
              <w:right w:val="double" w:sz="4" w:space="0" w:color="auto"/>
            </w:tcBorders>
            <w:shd w:val="clear" w:color="auto" w:fill="EAF1DD"/>
            <w:noWrap/>
            <w:vAlign w:val="center"/>
            <w:hideMark/>
          </w:tcPr>
          <w:p w:rsidR="00E950E9" w:rsidRPr="00797669" w:rsidRDefault="00E950E9" w:rsidP="00EF37A9">
            <w:pPr>
              <w:jc w:val="center"/>
              <w:rPr>
                <w:b/>
                <w:sz w:val="16"/>
                <w:szCs w:val="16"/>
              </w:rPr>
            </w:pPr>
            <w:r w:rsidRPr="00797669">
              <w:rPr>
                <w:b/>
                <w:sz w:val="16"/>
                <w:szCs w:val="16"/>
              </w:rPr>
              <w:t>Отклонения</w:t>
            </w:r>
          </w:p>
        </w:tc>
      </w:tr>
      <w:tr w:rsidR="00E950E9" w:rsidRPr="00412178" w:rsidTr="00EF37A9">
        <w:trPr>
          <w:trHeight w:val="255"/>
        </w:trPr>
        <w:tc>
          <w:tcPr>
            <w:tcW w:w="2836" w:type="dxa"/>
            <w:vMerge/>
            <w:tcBorders>
              <w:top w:val="single" w:sz="6" w:space="0" w:color="auto"/>
              <w:left w:val="double" w:sz="4" w:space="0" w:color="auto"/>
              <w:bottom w:val="single" w:sz="6" w:space="0" w:color="auto"/>
              <w:right w:val="single" w:sz="6" w:space="0" w:color="auto"/>
            </w:tcBorders>
            <w:shd w:val="clear" w:color="auto" w:fill="EAF1DD"/>
            <w:vAlign w:val="center"/>
            <w:hideMark/>
          </w:tcPr>
          <w:p w:rsidR="00E950E9" w:rsidRPr="00797669" w:rsidRDefault="00E950E9" w:rsidP="00EF37A9">
            <w:pPr>
              <w:rPr>
                <w:b/>
                <w:sz w:val="16"/>
                <w:szCs w:val="16"/>
              </w:rPr>
            </w:pPr>
          </w:p>
        </w:tc>
        <w:tc>
          <w:tcPr>
            <w:tcW w:w="1843" w:type="dxa"/>
            <w:vMerge/>
            <w:tcBorders>
              <w:top w:val="single" w:sz="6"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rPr>
                <w:b/>
                <w:sz w:val="16"/>
                <w:szCs w:val="16"/>
              </w:rPr>
            </w:pPr>
          </w:p>
        </w:tc>
        <w:tc>
          <w:tcPr>
            <w:tcW w:w="992" w:type="dxa"/>
            <w:vMerge/>
            <w:tcBorders>
              <w:top w:val="single" w:sz="6" w:space="0" w:color="auto"/>
              <w:left w:val="single" w:sz="6" w:space="0" w:color="auto"/>
              <w:bottom w:val="single" w:sz="6" w:space="0" w:color="auto"/>
              <w:right w:val="single" w:sz="6" w:space="0" w:color="auto"/>
            </w:tcBorders>
            <w:shd w:val="clear" w:color="auto" w:fill="EAF1DD"/>
          </w:tcPr>
          <w:p w:rsidR="00E950E9" w:rsidRPr="00797669" w:rsidRDefault="00E950E9" w:rsidP="00EF37A9">
            <w:pPr>
              <w:rPr>
                <w:b/>
                <w:sz w:val="16"/>
                <w:szCs w:val="16"/>
              </w:rPr>
            </w:pPr>
          </w:p>
        </w:tc>
        <w:tc>
          <w:tcPr>
            <w:tcW w:w="1171" w:type="dxa"/>
            <w:vMerge/>
            <w:tcBorders>
              <w:top w:val="single" w:sz="6"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rPr>
                <w:b/>
                <w:sz w:val="16"/>
                <w:szCs w:val="16"/>
              </w:rPr>
            </w:pPr>
          </w:p>
        </w:tc>
        <w:tc>
          <w:tcPr>
            <w:tcW w:w="992" w:type="dxa"/>
            <w:vMerge/>
            <w:tcBorders>
              <w:top w:val="single" w:sz="6"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rPr>
                <w:b/>
                <w:sz w:val="16"/>
                <w:szCs w:val="16"/>
              </w:rPr>
            </w:pPr>
          </w:p>
        </w:tc>
        <w:tc>
          <w:tcPr>
            <w:tcW w:w="956" w:type="dxa"/>
            <w:vMerge/>
            <w:tcBorders>
              <w:top w:val="single" w:sz="6"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rPr>
                <w:b/>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clear" w:color="auto" w:fill="EAF1DD"/>
            <w:vAlign w:val="center"/>
            <w:hideMark/>
          </w:tcPr>
          <w:p w:rsidR="00E950E9" w:rsidRPr="00797669" w:rsidRDefault="00E950E9" w:rsidP="00EF37A9">
            <w:pPr>
              <w:ind w:left="-108" w:right="-108"/>
              <w:jc w:val="center"/>
              <w:rPr>
                <w:b/>
                <w:sz w:val="16"/>
                <w:szCs w:val="16"/>
              </w:rPr>
            </w:pPr>
            <w:r w:rsidRPr="00797669">
              <w:rPr>
                <w:b/>
                <w:sz w:val="16"/>
                <w:szCs w:val="16"/>
              </w:rPr>
              <w:t>гр.6- гр.4</w:t>
            </w:r>
          </w:p>
        </w:tc>
        <w:tc>
          <w:tcPr>
            <w:tcW w:w="992" w:type="dxa"/>
            <w:tcBorders>
              <w:top w:val="single" w:sz="6" w:space="0" w:color="auto"/>
              <w:left w:val="single" w:sz="6" w:space="0" w:color="auto"/>
              <w:bottom w:val="single" w:sz="6" w:space="0" w:color="auto"/>
              <w:right w:val="double" w:sz="4" w:space="0" w:color="auto"/>
            </w:tcBorders>
            <w:shd w:val="clear" w:color="auto" w:fill="EAF1DD"/>
            <w:vAlign w:val="center"/>
            <w:hideMark/>
          </w:tcPr>
          <w:p w:rsidR="00E950E9" w:rsidRPr="00797669" w:rsidRDefault="00E950E9" w:rsidP="00EF37A9">
            <w:pPr>
              <w:jc w:val="center"/>
              <w:rPr>
                <w:b/>
                <w:sz w:val="16"/>
                <w:szCs w:val="16"/>
              </w:rPr>
            </w:pPr>
            <w:r w:rsidRPr="00797669">
              <w:rPr>
                <w:b/>
                <w:sz w:val="16"/>
                <w:szCs w:val="16"/>
              </w:rPr>
              <w:t xml:space="preserve">% </w:t>
            </w:r>
          </w:p>
        </w:tc>
      </w:tr>
      <w:tr w:rsidR="00E033F0" w:rsidRPr="00412178" w:rsidTr="007520BE">
        <w:trPr>
          <w:trHeight w:val="77"/>
        </w:trPr>
        <w:tc>
          <w:tcPr>
            <w:tcW w:w="2836" w:type="dxa"/>
            <w:tcBorders>
              <w:top w:val="single" w:sz="6" w:space="0" w:color="auto"/>
              <w:left w:val="double" w:sz="4" w:space="0" w:color="auto"/>
              <w:bottom w:val="single" w:sz="6" w:space="0" w:color="auto"/>
              <w:right w:val="single" w:sz="6" w:space="0" w:color="auto"/>
            </w:tcBorders>
            <w:shd w:val="clear" w:color="auto" w:fill="auto"/>
            <w:noWrap/>
            <w:vAlign w:val="center"/>
            <w:hideMark/>
          </w:tcPr>
          <w:p w:rsidR="00E033F0" w:rsidRPr="00412178" w:rsidRDefault="00E950E9" w:rsidP="007520BE">
            <w:pPr>
              <w:jc w:val="center"/>
              <w:rPr>
                <w:sz w:val="16"/>
                <w:szCs w:val="16"/>
              </w:rPr>
            </w:pPr>
            <w:r>
              <w:rPr>
                <w:sz w:val="16"/>
                <w:szCs w:val="16"/>
              </w:rPr>
              <w:t xml:space="preserve"> </w:t>
            </w:r>
            <w:r w:rsidR="00E033F0" w:rsidRPr="00412178">
              <w:rPr>
                <w:sz w:val="16"/>
                <w:szCs w:val="16"/>
              </w:rPr>
              <w:t>1</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E033F0" w:rsidRPr="00412178" w:rsidRDefault="00E033F0" w:rsidP="007520BE">
            <w:pPr>
              <w:jc w:val="center"/>
              <w:rPr>
                <w:sz w:val="16"/>
                <w:szCs w:val="16"/>
              </w:rPr>
            </w:pPr>
            <w:r w:rsidRPr="00412178">
              <w:rPr>
                <w:sz w:val="16"/>
                <w:szCs w:val="16"/>
              </w:rPr>
              <w:t>3</w:t>
            </w:r>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5</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6</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7</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E033F0" w:rsidRPr="00412178" w:rsidRDefault="00E033F0" w:rsidP="007520BE">
            <w:pPr>
              <w:jc w:val="center"/>
              <w:rPr>
                <w:sz w:val="16"/>
                <w:szCs w:val="16"/>
              </w:rPr>
            </w:pPr>
            <w:r w:rsidRPr="00412178">
              <w:rPr>
                <w:sz w:val="16"/>
                <w:szCs w:val="16"/>
              </w:rPr>
              <w:t>8</w:t>
            </w:r>
          </w:p>
        </w:tc>
      </w:tr>
      <w:tr w:rsidR="0011386C" w:rsidRPr="00412178"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412178" w:rsidRDefault="0011386C" w:rsidP="00EF37A9">
            <w:pPr>
              <w:rPr>
                <w:b/>
                <w:sz w:val="20"/>
                <w:szCs w:val="20"/>
              </w:rPr>
            </w:pPr>
            <w:r w:rsidRPr="00412178">
              <w:rPr>
                <w:b/>
                <w:sz w:val="20"/>
                <w:szCs w:val="20"/>
              </w:rPr>
              <w:t>Расходы бюджета - всего</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jc w:val="center"/>
              <w:rPr>
                <w:sz w:val="16"/>
                <w:szCs w:val="16"/>
              </w:rPr>
            </w:pPr>
            <w:r w:rsidRPr="00412178">
              <w:rPr>
                <w:sz w:val="16"/>
                <w:szCs w:val="16"/>
              </w:rPr>
              <w:t>Х</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210D5A" w:rsidRDefault="0011386C" w:rsidP="00EF37A9">
            <w:pPr>
              <w:jc w:val="right"/>
              <w:rPr>
                <w:b/>
                <w:sz w:val="20"/>
                <w:szCs w:val="20"/>
                <w:lang w:val="en-US"/>
              </w:rPr>
            </w:pPr>
            <w:r w:rsidRPr="00412178">
              <w:rPr>
                <w:b/>
                <w:sz w:val="20"/>
                <w:szCs w:val="20"/>
              </w:rPr>
              <w:t>3</w:t>
            </w:r>
            <w:r>
              <w:rPr>
                <w:b/>
                <w:sz w:val="20"/>
                <w:szCs w:val="20"/>
              </w:rPr>
              <w:t>8 407,2</w:t>
            </w:r>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jc w:val="right"/>
              <w:rPr>
                <w:b/>
                <w:sz w:val="20"/>
                <w:szCs w:val="20"/>
              </w:rPr>
            </w:pPr>
            <w:r>
              <w:rPr>
                <w:b/>
                <w:sz w:val="20"/>
                <w:szCs w:val="20"/>
              </w:rPr>
              <w:t>39 067,5</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jc w:val="right"/>
              <w:rPr>
                <w:b/>
                <w:sz w:val="20"/>
                <w:szCs w:val="20"/>
              </w:rPr>
            </w:pPr>
            <w:r>
              <w:rPr>
                <w:b/>
                <w:sz w:val="20"/>
                <w:szCs w:val="20"/>
              </w:rPr>
              <w:t>38 853,7</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jc w:val="right"/>
              <w:rPr>
                <w:b/>
                <w:sz w:val="20"/>
                <w:szCs w:val="20"/>
              </w:rPr>
            </w:pPr>
            <w:r>
              <w:rPr>
                <w:b/>
                <w:sz w:val="20"/>
                <w:szCs w:val="20"/>
              </w:rPr>
              <w:t>34 814,7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797669" w:rsidRDefault="0011386C" w:rsidP="00EF37A9">
            <w:pPr>
              <w:ind w:right="-109"/>
              <w:jc w:val="center"/>
              <w:rPr>
                <w:b/>
                <w:sz w:val="20"/>
                <w:szCs w:val="20"/>
              </w:rPr>
            </w:pPr>
            <w:r w:rsidRPr="00797669">
              <w:rPr>
                <w:b/>
                <w:sz w:val="20"/>
                <w:szCs w:val="20"/>
              </w:rPr>
              <w:t>-</w:t>
            </w:r>
            <w:r>
              <w:rPr>
                <w:b/>
                <w:sz w:val="20"/>
                <w:szCs w:val="20"/>
              </w:rPr>
              <w:t>4 252,8</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1D3393" w:rsidRDefault="0011386C" w:rsidP="00EF37A9">
            <w:pPr>
              <w:jc w:val="right"/>
              <w:rPr>
                <w:b/>
                <w:sz w:val="20"/>
                <w:szCs w:val="20"/>
              </w:rPr>
            </w:pPr>
            <w:r>
              <w:rPr>
                <w:b/>
                <w:sz w:val="20"/>
                <w:szCs w:val="20"/>
              </w:rPr>
              <w:t>-10,9</w:t>
            </w:r>
          </w:p>
        </w:tc>
      </w:tr>
      <w:tr w:rsidR="0011386C" w:rsidRPr="00412178"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412178" w:rsidRDefault="0011386C" w:rsidP="00EF37A9">
            <w:pPr>
              <w:rPr>
                <w:sz w:val="20"/>
                <w:szCs w:val="20"/>
              </w:rPr>
            </w:pPr>
            <w:r>
              <w:rPr>
                <w:sz w:val="20"/>
                <w:szCs w:val="20"/>
              </w:rPr>
              <w:t>Другие общегосудар</w:t>
            </w:r>
            <w:r w:rsidRPr="00412178">
              <w:rPr>
                <w:sz w:val="20"/>
                <w:szCs w:val="20"/>
              </w:rPr>
              <w:t>ственные вопросы</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ind w:left="-108" w:right="-108"/>
              <w:jc w:val="center"/>
              <w:rPr>
                <w:sz w:val="16"/>
                <w:szCs w:val="16"/>
              </w:rPr>
            </w:pPr>
            <w:r w:rsidRPr="00412178">
              <w:rPr>
                <w:sz w:val="16"/>
                <w:szCs w:val="16"/>
              </w:rPr>
              <w:t>0113</w:t>
            </w:r>
            <w:r>
              <w:rPr>
                <w:sz w:val="16"/>
                <w:szCs w:val="16"/>
              </w:rPr>
              <w:t> </w:t>
            </w:r>
            <w:r w:rsidRPr="00412178">
              <w:rPr>
                <w:sz w:val="16"/>
                <w:szCs w:val="16"/>
              </w:rPr>
              <w:t>0000000000</w:t>
            </w:r>
            <w:r>
              <w:rPr>
                <w:sz w:val="16"/>
                <w:szCs w:val="16"/>
              </w:rPr>
              <w:t> </w:t>
            </w:r>
            <w:r w:rsidRPr="00412178">
              <w:rPr>
                <w:sz w:val="16"/>
                <w:szCs w:val="16"/>
              </w:rPr>
              <w:t>000</w:t>
            </w:r>
            <w:r>
              <w:rPr>
                <w:sz w:val="16"/>
                <w:szCs w:val="16"/>
              </w:rPr>
              <w:t> </w:t>
            </w:r>
            <w:r w:rsidRPr="00412178">
              <w:rPr>
                <w:sz w:val="16"/>
                <w:szCs w:val="16"/>
              </w:rPr>
              <w:t>000</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E37FBE" w:rsidRDefault="0011386C" w:rsidP="00EF37A9">
            <w:pPr>
              <w:jc w:val="right"/>
              <w:rPr>
                <w:sz w:val="20"/>
                <w:szCs w:val="20"/>
              </w:rPr>
            </w:pPr>
            <w:r w:rsidRPr="00E37FBE">
              <w:rPr>
                <w:sz w:val="20"/>
                <w:szCs w:val="20"/>
              </w:rPr>
              <w:t>3</w:t>
            </w:r>
            <w:r>
              <w:rPr>
                <w:sz w:val="20"/>
                <w:szCs w:val="20"/>
              </w:rPr>
              <w:t>9 407,2</w:t>
            </w:r>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sz w:val="20"/>
                <w:szCs w:val="20"/>
              </w:rPr>
            </w:pPr>
            <w:r w:rsidRPr="00E37FBE">
              <w:rPr>
                <w:sz w:val="20"/>
                <w:szCs w:val="20"/>
              </w:rPr>
              <w:t>3</w:t>
            </w:r>
            <w:r>
              <w:rPr>
                <w:sz w:val="20"/>
                <w:szCs w:val="20"/>
              </w:rPr>
              <w:t>9 067,5</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sz w:val="20"/>
                <w:szCs w:val="20"/>
              </w:rPr>
            </w:pPr>
            <w:r w:rsidRPr="00E37FBE">
              <w:rPr>
                <w:sz w:val="20"/>
                <w:szCs w:val="20"/>
              </w:rPr>
              <w:t>3</w:t>
            </w:r>
            <w:r>
              <w:rPr>
                <w:sz w:val="20"/>
                <w:szCs w:val="20"/>
              </w:rPr>
              <w:t>8</w:t>
            </w:r>
            <w:r w:rsidRPr="00E37FBE">
              <w:rPr>
                <w:sz w:val="20"/>
                <w:szCs w:val="20"/>
              </w:rPr>
              <w:t> </w:t>
            </w:r>
            <w:r>
              <w:rPr>
                <w:sz w:val="20"/>
                <w:szCs w:val="20"/>
              </w:rPr>
              <w:t>853</w:t>
            </w:r>
            <w:r w:rsidRPr="00E37FBE">
              <w:rPr>
                <w:sz w:val="20"/>
                <w:szCs w:val="20"/>
              </w:rPr>
              <w:t>,</w:t>
            </w:r>
            <w:r>
              <w:rPr>
                <w:sz w:val="20"/>
                <w:szCs w:val="20"/>
              </w:rPr>
              <w:t>7</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sz w:val="20"/>
                <w:szCs w:val="20"/>
              </w:rPr>
            </w:pPr>
            <w:r w:rsidRPr="00E37FBE">
              <w:rPr>
                <w:sz w:val="20"/>
                <w:szCs w:val="20"/>
              </w:rPr>
              <w:t>3</w:t>
            </w:r>
            <w:r>
              <w:rPr>
                <w:sz w:val="20"/>
                <w:szCs w:val="20"/>
              </w:rPr>
              <w:t>4</w:t>
            </w:r>
            <w:r w:rsidRPr="00E37FBE">
              <w:rPr>
                <w:sz w:val="20"/>
                <w:szCs w:val="20"/>
              </w:rPr>
              <w:t> </w:t>
            </w:r>
            <w:r>
              <w:rPr>
                <w:sz w:val="20"/>
                <w:szCs w:val="20"/>
              </w:rPr>
              <w:t>814</w:t>
            </w:r>
            <w:r w:rsidRPr="00E37FBE">
              <w:rPr>
                <w:sz w:val="20"/>
                <w:szCs w:val="20"/>
              </w:rPr>
              <w:t>,</w:t>
            </w:r>
            <w:r>
              <w:rPr>
                <w:sz w:val="20"/>
                <w:szCs w:val="20"/>
              </w:rPr>
              <w:t>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F21D94" w:rsidRDefault="0011386C" w:rsidP="00EF37A9">
            <w:pPr>
              <w:ind w:left="-108" w:right="-109"/>
              <w:jc w:val="center"/>
              <w:rPr>
                <w:sz w:val="20"/>
                <w:szCs w:val="20"/>
              </w:rPr>
            </w:pPr>
            <w:r w:rsidRPr="00F21D94">
              <w:rPr>
                <w:sz w:val="20"/>
                <w:szCs w:val="20"/>
              </w:rPr>
              <w:t>-4</w:t>
            </w:r>
            <w:r>
              <w:rPr>
                <w:sz w:val="20"/>
                <w:szCs w:val="20"/>
              </w:rPr>
              <w:t> 252,8</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9B27B1" w:rsidRDefault="0011386C" w:rsidP="00EF37A9">
            <w:pPr>
              <w:jc w:val="right"/>
              <w:rPr>
                <w:sz w:val="20"/>
                <w:szCs w:val="20"/>
              </w:rPr>
            </w:pPr>
            <w:r>
              <w:rPr>
                <w:sz w:val="20"/>
                <w:szCs w:val="20"/>
              </w:rPr>
              <w:t>-11,0</w:t>
            </w:r>
          </w:p>
        </w:tc>
      </w:tr>
      <w:tr w:rsidR="0011386C" w:rsidRPr="00C7556C" w:rsidTr="007520BE">
        <w:trPr>
          <w:trHeight w:val="360"/>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412178" w:rsidRDefault="0011386C" w:rsidP="00EF37A9">
            <w:pPr>
              <w:rPr>
                <w:i/>
                <w:sz w:val="16"/>
                <w:szCs w:val="16"/>
              </w:rPr>
            </w:pPr>
            <w:r w:rsidRPr="00412178">
              <w:rPr>
                <w:i/>
                <w:sz w:val="16"/>
                <w:szCs w:val="16"/>
              </w:rPr>
              <w:t xml:space="preserve">ОБЕСПЕЧЕНИЕ ДЕЯТЕЛЬНОСТИ ГОСУДАРСТВЕННЫХ ОРГАНОВ </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ind w:left="-108" w:right="-108"/>
              <w:jc w:val="center"/>
              <w:rPr>
                <w:i/>
                <w:sz w:val="16"/>
                <w:szCs w:val="16"/>
              </w:rPr>
            </w:pPr>
            <w:r w:rsidRPr="00412178">
              <w:rPr>
                <w:i/>
                <w:sz w:val="16"/>
                <w:szCs w:val="16"/>
              </w:rPr>
              <w:t>0113</w:t>
            </w:r>
            <w:r>
              <w:rPr>
                <w:i/>
                <w:sz w:val="16"/>
                <w:szCs w:val="16"/>
              </w:rPr>
              <w:t> </w:t>
            </w:r>
            <w:r w:rsidRPr="00412178">
              <w:rPr>
                <w:i/>
                <w:sz w:val="16"/>
                <w:szCs w:val="16"/>
              </w:rPr>
              <w:t>9000000010</w:t>
            </w:r>
            <w:r>
              <w:rPr>
                <w:i/>
                <w:sz w:val="16"/>
                <w:szCs w:val="16"/>
              </w:rPr>
              <w:t> </w:t>
            </w:r>
            <w:r w:rsidRPr="00412178">
              <w:rPr>
                <w:i/>
                <w:sz w:val="16"/>
                <w:szCs w:val="16"/>
              </w:rPr>
              <w:t>000</w:t>
            </w:r>
            <w:r>
              <w:rPr>
                <w:i/>
                <w:sz w:val="16"/>
                <w:szCs w:val="16"/>
              </w:rPr>
              <w:t> </w:t>
            </w:r>
            <w:r w:rsidRPr="00412178">
              <w:rPr>
                <w:i/>
                <w:sz w:val="16"/>
                <w:szCs w:val="16"/>
              </w:rPr>
              <w:t>000</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E37FBE" w:rsidRDefault="0011386C" w:rsidP="00EF37A9">
            <w:pPr>
              <w:jc w:val="right"/>
              <w:rPr>
                <w:i/>
                <w:sz w:val="20"/>
                <w:szCs w:val="20"/>
              </w:rPr>
            </w:pPr>
            <w:r w:rsidRPr="00E37FBE">
              <w:rPr>
                <w:i/>
                <w:sz w:val="20"/>
                <w:szCs w:val="20"/>
              </w:rPr>
              <w:t>3</w:t>
            </w:r>
            <w:r>
              <w:rPr>
                <w:i/>
                <w:sz w:val="20"/>
                <w:szCs w:val="20"/>
              </w:rPr>
              <w:t>9</w:t>
            </w:r>
            <w:r w:rsidRPr="00E37FBE">
              <w:rPr>
                <w:i/>
                <w:sz w:val="20"/>
                <w:szCs w:val="20"/>
              </w:rPr>
              <w:t> </w:t>
            </w:r>
            <w:r>
              <w:rPr>
                <w:i/>
                <w:sz w:val="20"/>
                <w:szCs w:val="20"/>
              </w:rPr>
              <w:t>407</w:t>
            </w:r>
            <w:r w:rsidRPr="00E37FBE">
              <w:rPr>
                <w:i/>
                <w:sz w:val="20"/>
                <w:szCs w:val="20"/>
              </w:rPr>
              <w:t>,</w:t>
            </w:r>
            <w:r>
              <w:rPr>
                <w:i/>
                <w:sz w:val="20"/>
                <w:szCs w:val="20"/>
              </w:rPr>
              <w:t>2</w:t>
            </w:r>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i/>
                <w:sz w:val="20"/>
                <w:szCs w:val="20"/>
              </w:rPr>
            </w:pPr>
            <w:r w:rsidRPr="00E37FBE">
              <w:rPr>
                <w:i/>
                <w:sz w:val="20"/>
                <w:szCs w:val="20"/>
              </w:rPr>
              <w:t>3</w:t>
            </w:r>
            <w:r>
              <w:rPr>
                <w:i/>
                <w:sz w:val="20"/>
                <w:szCs w:val="20"/>
              </w:rPr>
              <w:t>8</w:t>
            </w:r>
            <w:r w:rsidRPr="00E37FBE">
              <w:rPr>
                <w:i/>
                <w:sz w:val="20"/>
                <w:szCs w:val="20"/>
              </w:rPr>
              <w:t> </w:t>
            </w:r>
            <w:r>
              <w:rPr>
                <w:i/>
                <w:sz w:val="20"/>
                <w:szCs w:val="20"/>
              </w:rPr>
              <w:t>318</w:t>
            </w:r>
            <w:r w:rsidRPr="00E37FBE">
              <w:rPr>
                <w:i/>
                <w:sz w:val="20"/>
                <w:szCs w:val="20"/>
              </w:rPr>
              <w:t>,</w:t>
            </w:r>
            <w:r>
              <w:rPr>
                <w:i/>
                <w:sz w:val="20"/>
                <w:szCs w:val="20"/>
              </w:rPr>
              <w:t>5</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i/>
                <w:sz w:val="20"/>
                <w:szCs w:val="20"/>
              </w:rPr>
            </w:pPr>
            <w:r w:rsidRPr="00E37FBE">
              <w:rPr>
                <w:i/>
                <w:sz w:val="20"/>
                <w:szCs w:val="20"/>
              </w:rPr>
              <w:t>3</w:t>
            </w:r>
            <w:r>
              <w:rPr>
                <w:i/>
                <w:sz w:val="20"/>
                <w:szCs w:val="20"/>
              </w:rPr>
              <w:t>8 220,2</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E37FBE" w:rsidRDefault="0011386C" w:rsidP="00EF37A9">
            <w:pPr>
              <w:jc w:val="right"/>
              <w:rPr>
                <w:i/>
                <w:sz w:val="20"/>
                <w:szCs w:val="20"/>
              </w:rPr>
            </w:pPr>
            <w:r>
              <w:rPr>
                <w:i/>
                <w:sz w:val="20"/>
                <w:szCs w:val="20"/>
              </w:rPr>
              <w:t>34 181,2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E7427" w:rsidRDefault="0011386C" w:rsidP="00EF37A9">
            <w:pPr>
              <w:ind w:left="-108" w:right="-109"/>
              <w:jc w:val="center"/>
              <w:rPr>
                <w:i/>
                <w:sz w:val="20"/>
                <w:szCs w:val="20"/>
              </w:rPr>
            </w:pPr>
            <w:r w:rsidRPr="004E7427">
              <w:rPr>
                <w:i/>
                <w:sz w:val="20"/>
                <w:szCs w:val="20"/>
              </w:rPr>
              <w:t>-</w:t>
            </w:r>
            <w:r>
              <w:rPr>
                <w:i/>
                <w:sz w:val="20"/>
                <w:szCs w:val="20"/>
              </w:rPr>
              <w:t>4 137,3</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C7556C" w:rsidRDefault="0011386C" w:rsidP="00EF37A9">
            <w:pPr>
              <w:jc w:val="right"/>
              <w:rPr>
                <w:i/>
                <w:sz w:val="20"/>
                <w:szCs w:val="20"/>
              </w:rPr>
            </w:pPr>
            <w:r w:rsidRPr="00C7556C">
              <w:rPr>
                <w:i/>
                <w:sz w:val="20"/>
                <w:szCs w:val="20"/>
              </w:rPr>
              <w:t>-</w:t>
            </w:r>
            <w:r>
              <w:rPr>
                <w:i/>
                <w:sz w:val="20"/>
                <w:szCs w:val="20"/>
              </w:rPr>
              <w:t>10</w:t>
            </w:r>
            <w:r w:rsidRPr="00C7556C">
              <w:rPr>
                <w:i/>
                <w:sz w:val="20"/>
                <w:szCs w:val="20"/>
              </w:rPr>
              <w:t>,</w:t>
            </w:r>
            <w:r>
              <w:rPr>
                <w:i/>
                <w:sz w:val="20"/>
                <w:szCs w:val="20"/>
              </w:rPr>
              <w:t>8</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lastRenderedPageBreak/>
              <w:t>Заработная плата</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0113 9000000010 121 211</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14 958,0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14 958,0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14 955,9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-2,1</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-0,02</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Социальные пособия и компенсации персоналу в денежной форме</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0113 9000000010 121 266</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11,2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-3,8</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-25,3</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Прочие выплаты</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0113 9000000010 122 212</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80,0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80,0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-78,3</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-157,0</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Прочие работы, услуги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0113 9000000010 122 226</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59,1</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-90,9</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-60,6</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Начисление по оплате труда</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0113 9000000010 129 213</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4 256,3</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4 157,9</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3 971,1</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-285,2</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-6,7</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Услуги связи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0113 9000000010 242 221</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570,0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570,0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371,4</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-198,6</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-34,85</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96BC3" w:rsidRDefault="0011386C" w:rsidP="00EF37A9">
            <w:pPr>
              <w:rPr>
                <w:sz w:val="20"/>
                <w:szCs w:val="20"/>
              </w:rPr>
            </w:pPr>
            <w:r w:rsidRPr="00A96BC3">
              <w:rPr>
                <w:sz w:val="20"/>
                <w:szCs w:val="20"/>
              </w:rPr>
              <w:t>Услуги по содержанию имущества</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ind w:left="-108" w:right="-108"/>
              <w:jc w:val="center"/>
              <w:rPr>
                <w:sz w:val="16"/>
                <w:szCs w:val="16"/>
              </w:rPr>
            </w:pPr>
            <w:r w:rsidRPr="00A96BC3">
              <w:rPr>
                <w:sz w:val="16"/>
                <w:szCs w:val="16"/>
              </w:rPr>
              <w:t>0113 9000000010 242 225</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96BC3" w:rsidRDefault="0011386C" w:rsidP="00EF37A9">
            <w:pPr>
              <w:jc w:val="right"/>
              <w:rPr>
                <w:sz w:val="20"/>
                <w:szCs w:val="20"/>
              </w:rPr>
            </w:pPr>
            <w:proofErr w:type="spellStart"/>
            <w:r w:rsidRPr="00A96BC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450,0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450,0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right"/>
              <w:rPr>
                <w:sz w:val="20"/>
                <w:szCs w:val="20"/>
              </w:rPr>
            </w:pPr>
            <w:r w:rsidRPr="00A96BC3">
              <w:rPr>
                <w:sz w:val="20"/>
                <w:szCs w:val="20"/>
              </w:rPr>
              <w:t>157,4</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96BC3" w:rsidRDefault="0011386C" w:rsidP="00EF37A9">
            <w:pPr>
              <w:jc w:val="center"/>
              <w:rPr>
                <w:sz w:val="20"/>
                <w:szCs w:val="20"/>
              </w:rPr>
            </w:pPr>
            <w:r w:rsidRPr="00A96BC3">
              <w:rPr>
                <w:sz w:val="20"/>
                <w:szCs w:val="20"/>
              </w:rPr>
              <w:t>-292,6</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sidRPr="00A96BC3">
              <w:rPr>
                <w:sz w:val="20"/>
                <w:szCs w:val="20"/>
              </w:rPr>
              <w:t>-65,0</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Прочие услуги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242</w:t>
            </w:r>
            <w:r>
              <w:rPr>
                <w:sz w:val="16"/>
                <w:szCs w:val="16"/>
              </w:rPr>
              <w:t> </w:t>
            </w:r>
            <w:r w:rsidRPr="00A4143B">
              <w:rPr>
                <w:sz w:val="16"/>
                <w:szCs w:val="16"/>
              </w:rPr>
              <w:t>226</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1 400,0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1 400,0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771,8</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center"/>
              <w:rPr>
                <w:sz w:val="20"/>
                <w:szCs w:val="20"/>
              </w:rPr>
            </w:pPr>
            <w:r>
              <w:rPr>
                <w:sz w:val="20"/>
                <w:szCs w:val="20"/>
              </w:rPr>
              <w:t>-628,2</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3172CE" w:rsidRDefault="0011386C" w:rsidP="00EF37A9">
            <w:pPr>
              <w:jc w:val="right"/>
              <w:rPr>
                <w:sz w:val="20"/>
                <w:szCs w:val="20"/>
              </w:rPr>
            </w:pPr>
            <w:r w:rsidRPr="00A4143B">
              <w:rPr>
                <w:sz w:val="20"/>
                <w:szCs w:val="20"/>
                <w:lang w:val="en-US"/>
              </w:rPr>
              <w:t>-44</w:t>
            </w:r>
            <w:r w:rsidRPr="00A4143B">
              <w:rPr>
                <w:sz w:val="20"/>
                <w:szCs w:val="20"/>
              </w:rPr>
              <w:t>,</w:t>
            </w:r>
            <w:r>
              <w:rPr>
                <w:sz w:val="20"/>
                <w:szCs w:val="20"/>
              </w:rPr>
              <w:t>9</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Услуги связи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w:t>
            </w:r>
            <w:r>
              <w:rPr>
                <w:sz w:val="16"/>
                <w:szCs w:val="16"/>
              </w:rPr>
              <w:t> </w:t>
            </w:r>
            <w:r w:rsidRPr="00A4143B">
              <w:rPr>
                <w:sz w:val="16"/>
                <w:szCs w:val="16"/>
              </w:rPr>
              <w:t>221</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100,0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100,0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10,6</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-89,4</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-89,4</w:t>
            </w:r>
          </w:p>
        </w:tc>
      </w:tr>
      <w:tr w:rsidR="0011386C" w:rsidRPr="00C7556C"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Транспортные услуги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w:t>
            </w:r>
            <w:r>
              <w:rPr>
                <w:sz w:val="16"/>
                <w:szCs w:val="16"/>
              </w:rPr>
              <w:t> </w:t>
            </w:r>
            <w:r w:rsidRPr="00A4143B">
              <w:rPr>
                <w:sz w:val="16"/>
                <w:szCs w:val="16"/>
              </w:rPr>
              <w:t>222</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20</w:t>
            </w:r>
            <w:r w:rsidRPr="00A4143B">
              <w:rPr>
                <w:sz w:val="20"/>
                <w:szCs w:val="20"/>
              </w:rPr>
              <w:t>,0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20</w:t>
            </w:r>
            <w:r w:rsidRPr="00A4143B">
              <w:rPr>
                <w:sz w:val="20"/>
                <w:szCs w:val="20"/>
              </w:rPr>
              <w:t>,0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0</w:t>
            </w:r>
            <w:r w:rsidRPr="00A4143B">
              <w:rPr>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Default="0011386C" w:rsidP="00EF37A9">
            <w:pPr>
              <w:jc w:val="right"/>
              <w:rPr>
                <w:sz w:val="20"/>
                <w:szCs w:val="20"/>
              </w:rPr>
            </w:pPr>
            <w:r w:rsidRPr="00A4143B">
              <w:rPr>
                <w:sz w:val="20"/>
                <w:szCs w:val="20"/>
              </w:rPr>
              <w:t>-</w:t>
            </w:r>
            <w:r>
              <w:rPr>
                <w:sz w:val="20"/>
                <w:szCs w:val="20"/>
              </w:rPr>
              <w:t>100,0</w:t>
            </w:r>
          </w:p>
        </w:tc>
      </w:tr>
      <w:tr w:rsidR="0011386C" w:rsidRPr="00C7556C"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Default="0011386C" w:rsidP="00EF37A9">
            <w:pPr>
              <w:rPr>
                <w:sz w:val="20"/>
                <w:szCs w:val="20"/>
              </w:rPr>
            </w:pPr>
            <w:r>
              <w:rPr>
                <w:sz w:val="20"/>
                <w:szCs w:val="20"/>
              </w:rPr>
              <w:t>Коммунальные услуги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ind w:left="-108" w:right="-108"/>
              <w:jc w:val="center"/>
              <w:rPr>
                <w:sz w:val="16"/>
                <w:szCs w:val="16"/>
              </w:rPr>
            </w:pPr>
            <w:r w:rsidRPr="00412178">
              <w:rPr>
                <w:sz w:val="16"/>
                <w:szCs w:val="16"/>
              </w:rPr>
              <w:t>0113</w:t>
            </w:r>
            <w:r>
              <w:rPr>
                <w:sz w:val="16"/>
                <w:szCs w:val="16"/>
              </w:rPr>
              <w:t> </w:t>
            </w:r>
            <w:r w:rsidRPr="00412178">
              <w:rPr>
                <w:sz w:val="16"/>
                <w:szCs w:val="16"/>
              </w:rPr>
              <w:t>9000000010</w:t>
            </w:r>
            <w:r>
              <w:rPr>
                <w:sz w:val="16"/>
                <w:szCs w:val="16"/>
              </w:rPr>
              <w:t> </w:t>
            </w:r>
            <w:r w:rsidRPr="00412178">
              <w:rPr>
                <w:sz w:val="16"/>
                <w:szCs w:val="16"/>
              </w:rPr>
              <w:t>24</w:t>
            </w:r>
            <w:r>
              <w:rPr>
                <w:sz w:val="16"/>
                <w:szCs w:val="16"/>
              </w:rPr>
              <w:t>4 </w:t>
            </w:r>
            <w:r w:rsidRPr="00412178">
              <w:rPr>
                <w:sz w:val="16"/>
                <w:szCs w:val="16"/>
              </w:rPr>
              <w:t>22</w:t>
            </w:r>
            <w:r>
              <w:rPr>
                <w:sz w:val="16"/>
                <w:szCs w:val="16"/>
              </w:rPr>
              <w:t>3</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170,0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170,0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27E48" w:rsidRDefault="0011386C" w:rsidP="00EF37A9">
            <w:pPr>
              <w:jc w:val="right"/>
              <w:rPr>
                <w:sz w:val="20"/>
                <w:szCs w:val="20"/>
              </w:rPr>
            </w:pPr>
            <w:r>
              <w:rPr>
                <w:sz w:val="20"/>
                <w:szCs w:val="20"/>
              </w:rPr>
              <w:t>99,2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ind w:right="-109"/>
              <w:jc w:val="center"/>
              <w:rPr>
                <w:sz w:val="20"/>
                <w:szCs w:val="20"/>
              </w:rPr>
            </w:pPr>
            <w:r>
              <w:rPr>
                <w:sz w:val="20"/>
                <w:szCs w:val="20"/>
              </w:rPr>
              <w:t>-70,8</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Default="0011386C" w:rsidP="00EF37A9">
            <w:pPr>
              <w:jc w:val="right"/>
              <w:rPr>
                <w:sz w:val="20"/>
                <w:szCs w:val="20"/>
              </w:rPr>
            </w:pPr>
            <w:r>
              <w:rPr>
                <w:sz w:val="20"/>
                <w:szCs w:val="20"/>
              </w:rPr>
              <w:t>-41,7</w:t>
            </w:r>
          </w:p>
        </w:tc>
      </w:tr>
      <w:tr w:rsidR="0011386C" w:rsidRPr="00C7556C"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Default="0011386C" w:rsidP="00EF37A9">
            <w:pPr>
              <w:rPr>
                <w:sz w:val="20"/>
                <w:szCs w:val="20"/>
              </w:rPr>
            </w:pPr>
            <w:r>
              <w:rPr>
                <w:sz w:val="20"/>
                <w:szCs w:val="20"/>
              </w:rPr>
              <w:t>Арендная плата за пользование имуществом</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412178" w:rsidRDefault="0011386C" w:rsidP="00EF37A9">
            <w:pPr>
              <w:ind w:left="-108" w:right="-108"/>
              <w:jc w:val="center"/>
              <w:rPr>
                <w:sz w:val="16"/>
                <w:szCs w:val="16"/>
              </w:rPr>
            </w:pPr>
            <w:r w:rsidRPr="00412178">
              <w:rPr>
                <w:sz w:val="16"/>
                <w:szCs w:val="16"/>
              </w:rPr>
              <w:t>0113</w:t>
            </w:r>
            <w:r>
              <w:rPr>
                <w:sz w:val="16"/>
                <w:szCs w:val="16"/>
              </w:rPr>
              <w:t> </w:t>
            </w:r>
            <w:r w:rsidRPr="00412178">
              <w:rPr>
                <w:sz w:val="16"/>
                <w:szCs w:val="16"/>
              </w:rPr>
              <w:t>000000010</w:t>
            </w:r>
            <w:r>
              <w:rPr>
                <w:sz w:val="16"/>
                <w:szCs w:val="16"/>
              </w:rPr>
              <w:t> </w:t>
            </w:r>
            <w:r w:rsidRPr="00412178">
              <w:rPr>
                <w:sz w:val="16"/>
                <w:szCs w:val="16"/>
              </w:rPr>
              <w:t>24</w:t>
            </w:r>
            <w:r>
              <w:rPr>
                <w:sz w:val="16"/>
                <w:szCs w:val="16"/>
              </w:rPr>
              <w:t>4 </w:t>
            </w:r>
            <w:r w:rsidRPr="00412178">
              <w:rPr>
                <w:sz w:val="16"/>
                <w:szCs w:val="16"/>
              </w:rPr>
              <w:t>22</w:t>
            </w:r>
            <w:r>
              <w:rPr>
                <w:sz w:val="16"/>
                <w:szCs w:val="16"/>
              </w:rPr>
              <w:t>4</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9 172,3,0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9 172,3,0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9 172,2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ind w:right="-109"/>
              <w:jc w:val="center"/>
              <w:rPr>
                <w:sz w:val="20"/>
                <w:szCs w:val="20"/>
              </w:rPr>
            </w:pPr>
            <w:r>
              <w:rPr>
                <w:sz w:val="20"/>
                <w:szCs w:val="20"/>
              </w:rPr>
              <w:t>-0,1</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Default="0011386C" w:rsidP="00EF37A9">
            <w:pPr>
              <w:jc w:val="right"/>
              <w:rPr>
                <w:sz w:val="20"/>
                <w:szCs w:val="20"/>
              </w:rPr>
            </w:pPr>
            <w:r>
              <w:rPr>
                <w:sz w:val="20"/>
                <w:szCs w:val="20"/>
              </w:rPr>
              <w:t>-0,01</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Работы, услуги по содержанию имущества</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w:t>
            </w:r>
            <w:r>
              <w:rPr>
                <w:sz w:val="16"/>
                <w:szCs w:val="16"/>
              </w:rPr>
              <w:t> </w:t>
            </w:r>
            <w:r w:rsidRPr="00A4143B">
              <w:rPr>
                <w:sz w:val="16"/>
                <w:szCs w:val="16"/>
              </w:rPr>
              <w:t>225</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2 </w:t>
            </w:r>
            <w:r>
              <w:rPr>
                <w:sz w:val="20"/>
                <w:szCs w:val="20"/>
              </w:rPr>
              <w:t>277</w:t>
            </w:r>
            <w:r w:rsidRPr="00A4143B">
              <w:rPr>
                <w:sz w:val="20"/>
                <w:szCs w:val="20"/>
              </w:rPr>
              <w:t>,0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2 </w:t>
            </w:r>
            <w:r>
              <w:rPr>
                <w:sz w:val="20"/>
                <w:szCs w:val="20"/>
              </w:rPr>
              <w:t>277</w:t>
            </w:r>
            <w:r w:rsidRPr="00A4143B">
              <w:rPr>
                <w:sz w:val="20"/>
                <w:szCs w:val="20"/>
              </w:rPr>
              <w:t>,0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1 </w:t>
            </w:r>
            <w:r>
              <w:rPr>
                <w:sz w:val="20"/>
                <w:szCs w:val="20"/>
              </w:rPr>
              <w:t>055</w:t>
            </w:r>
            <w:r w:rsidRPr="00A4143B">
              <w:rPr>
                <w:sz w:val="20"/>
                <w:szCs w:val="20"/>
              </w:rPr>
              <w:t>,</w:t>
            </w:r>
            <w:r>
              <w:rPr>
                <w:sz w:val="20"/>
                <w:szCs w:val="20"/>
              </w:rPr>
              <w:t>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-1 221,8</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-53,7</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Прочие работы, услуги</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w:t>
            </w:r>
            <w:r>
              <w:rPr>
                <w:sz w:val="16"/>
                <w:szCs w:val="16"/>
              </w:rPr>
              <w:t> </w:t>
            </w:r>
            <w:r w:rsidRPr="00A4143B">
              <w:rPr>
                <w:sz w:val="16"/>
                <w:szCs w:val="16"/>
              </w:rPr>
              <w:t>226</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2 0</w:t>
            </w:r>
            <w:r>
              <w:rPr>
                <w:sz w:val="20"/>
                <w:szCs w:val="20"/>
              </w:rPr>
              <w:t>00</w:t>
            </w:r>
            <w:r w:rsidRPr="00A4143B">
              <w:rPr>
                <w:sz w:val="20"/>
                <w:szCs w:val="20"/>
              </w:rPr>
              <w:t>,</w:t>
            </w:r>
            <w:r>
              <w:rPr>
                <w:sz w:val="20"/>
                <w:szCs w:val="20"/>
              </w:rPr>
              <w:t>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2 0</w:t>
            </w:r>
            <w:r>
              <w:rPr>
                <w:sz w:val="20"/>
                <w:szCs w:val="20"/>
              </w:rPr>
              <w:t>00</w:t>
            </w:r>
            <w:r w:rsidRPr="00A4143B">
              <w:rPr>
                <w:sz w:val="20"/>
                <w:szCs w:val="20"/>
              </w:rPr>
              <w:t>,</w:t>
            </w:r>
            <w:r>
              <w:rPr>
                <w:sz w:val="20"/>
                <w:szCs w:val="20"/>
              </w:rPr>
              <w:t>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1 </w:t>
            </w:r>
            <w:r>
              <w:rPr>
                <w:sz w:val="20"/>
                <w:szCs w:val="20"/>
              </w:rPr>
              <w:t>945</w:t>
            </w:r>
            <w:r w:rsidRPr="00A4143B">
              <w:rPr>
                <w:sz w:val="20"/>
                <w:szCs w:val="20"/>
              </w:rPr>
              <w:t>,</w:t>
            </w:r>
            <w:r>
              <w:rPr>
                <w:sz w:val="20"/>
                <w:szCs w:val="20"/>
              </w:rPr>
              <w:t>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-54,3</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-2,72</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5072A3" w:rsidRDefault="0011386C" w:rsidP="00EF37A9">
            <w:pPr>
              <w:rPr>
                <w:sz w:val="20"/>
                <w:szCs w:val="20"/>
              </w:rPr>
            </w:pPr>
            <w:r w:rsidRPr="005072A3">
              <w:rPr>
                <w:sz w:val="20"/>
                <w:szCs w:val="20"/>
              </w:rPr>
              <w:t>Страхование</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ind w:left="-108" w:right="-108"/>
              <w:jc w:val="center"/>
              <w:rPr>
                <w:sz w:val="16"/>
                <w:szCs w:val="16"/>
              </w:rPr>
            </w:pPr>
            <w:r w:rsidRPr="005072A3">
              <w:rPr>
                <w:sz w:val="16"/>
                <w:szCs w:val="16"/>
              </w:rPr>
              <w:t>0113 9000000010 244 227</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5072A3" w:rsidRDefault="0011386C" w:rsidP="00EF37A9">
            <w:pPr>
              <w:jc w:val="right"/>
              <w:rPr>
                <w:sz w:val="20"/>
                <w:szCs w:val="20"/>
              </w:rPr>
            </w:pPr>
            <w:proofErr w:type="spellStart"/>
            <w:r w:rsidRPr="005072A3">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jc w:val="right"/>
              <w:rPr>
                <w:sz w:val="20"/>
                <w:szCs w:val="20"/>
              </w:rPr>
            </w:pPr>
            <w:r w:rsidRPr="005072A3">
              <w:rPr>
                <w:sz w:val="20"/>
                <w:szCs w:val="20"/>
              </w:rPr>
              <w:t>150,0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jc w:val="right"/>
              <w:rPr>
                <w:sz w:val="20"/>
                <w:szCs w:val="20"/>
              </w:rPr>
            </w:pPr>
            <w:r w:rsidRPr="005072A3">
              <w:rPr>
                <w:sz w:val="20"/>
                <w:szCs w:val="20"/>
              </w:rPr>
              <w:t>150,0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5072A3">
              <w:rPr>
                <w:sz w:val="20"/>
                <w:szCs w:val="20"/>
              </w:rPr>
              <w:t>72,1</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-77,9</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-51,9</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5072A3" w:rsidRDefault="0011386C" w:rsidP="00EF37A9">
            <w:pPr>
              <w:rPr>
                <w:sz w:val="20"/>
                <w:szCs w:val="20"/>
              </w:rPr>
            </w:pPr>
            <w:r>
              <w:rPr>
                <w:sz w:val="20"/>
                <w:szCs w:val="20"/>
              </w:rPr>
              <w:t xml:space="preserve">Увеличение стоимости основных средств </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ind w:left="-108" w:right="-108"/>
              <w:jc w:val="center"/>
              <w:rPr>
                <w:sz w:val="16"/>
                <w:szCs w:val="16"/>
              </w:rPr>
            </w:pPr>
            <w:r w:rsidRPr="005072A3">
              <w:rPr>
                <w:sz w:val="16"/>
                <w:szCs w:val="16"/>
              </w:rPr>
              <w:t>0113 9000000010 244 </w:t>
            </w:r>
            <w:r>
              <w:rPr>
                <w:sz w:val="16"/>
                <w:szCs w:val="16"/>
              </w:rPr>
              <w:t>310</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5072A3"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jc w:val="right"/>
              <w:rPr>
                <w:sz w:val="20"/>
                <w:szCs w:val="20"/>
              </w:rPr>
            </w:pPr>
            <w:r>
              <w:rPr>
                <w:sz w:val="20"/>
                <w:szCs w:val="20"/>
              </w:rPr>
              <w:t>260,0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jc w:val="right"/>
              <w:rPr>
                <w:sz w:val="20"/>
                <w:szCs w:val="20"/>
              </w:rPr>
            </w:pPr>
            <w:r>
              <w:rPr>
                <w:sz w:val="20"/>
                <w:szCs w:val="20"/>
              </w:rPr>
              <w:t>260,0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5072A3" w:rsidRDefault="0011386C" w:rsidP="00EF37A9">
            <w:pPr>
              <w:jc w:val="right"/>
              <w:rPr>
                <w:sz w:val="20"/>
                <w:szCs w:val="20"/>
              </w:rPr>
            </w:pPr>
            <w:r>
              <w:rPr>
                <w:sz w:val="20"/>
                <w:szCs w:val="20"/>
              </w:rPr>
              <w:t>236,9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-23,1</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-8,89</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sidRPr="00A4143B">
              <w:rPr>
                <w:sz w:val="20"/>
                <w:szCs w:val="20"/>
              </w:rPr>
              <w:t xml:space="preserve">Увеличение стоимости </w:t>
            </w:r>
            <w:r>
              <w:rPr>
                <w:sz w:val="20"/>
                <w:szCs w:val="20"/>
              </w:rPr>
              <w:t>продуктов питания</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24434</w:t>
            </w:r>
            <w:r>
              <w:rPr>
                <w:sz w:val="16"/>
                <w:szCs w:val="16"/>
              </w:rPr>
              <w:t>2</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80,0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-100,0</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Pr>
                <w:sz w:val="20"/>
                <w:szCs w:val="20"/>
              </w:rPr>
              <w:t>Увеличение стоимости горюче-смазочных материалов</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24434</w:t>
            </w:r>
            <w:r>
              <w:rPr>
                <w:sz w:val="16"/>
                <w:szCs w:val="16"/>
              </w:rPr>
              <w:t>3</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950,0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950,0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539,7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-410,3</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-43,2</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Default="0011386C" w:rsidP="00EF37A9">
            <w:pPr>
              <w:rPr>
                <w:sz w:val="20"/>
                <w:szCs w:val="20"/>
              </w:rPr>
            </w:pPr>
            <w:r>
              <w:rPr>
                <w:sz w:val="20"/>
                <w:szCs w:val="20"/>
              </w:rPr>
              <w:t>Увеличение стоимости прочих оборотных запасов (материалов)</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24434</w:t>
            </w:r>
            <w:r>
              <w:rPr>
                <w:sz w:val="16"/>
                <w:szCs w:val="16"/>
              </w:rPr>
              <w:t>6</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470,0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470,0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379,9</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-90,1</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-19,2</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Default="0011386C" w:rsidP="00EF37A9">
            <w:pPr>
              <w:rPr>
                <w:sz w:val="20"/>
                <w:szCs w:val="20"/>
              </w:rPr>
            </w:pPr>
            <w:r>
              <w:rPr>
                <w:sz w:val="20"/>
                <w:szCs w:val="20"/>
              </w:rPr>
              <w:t>Увеличение стоимости прочих материальных запасов однократного применения</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24434</w:t>
            </w:r>
            <w:r>
              <w:rPr>
                <w:sz w:val="16"/>
                <w:szCs w:val="16"/>
              </w:rPr>
              <w:t>3</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Default="0011386C" w:rsidP="00EF37A9">
            <w:pPr>
              <w:jc w:val="right"/>
              <w:rPr>
                <w:sz w:val="20"/>
                <w:szCs w:val="20"/>
              </w:rPr>
            </w:pPr>
            <w:proofErr w:type="spellStart"/>
            <w:r>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320,0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Default="0011386C" w:rsidP="00EF37A9">
            <w:pPr>
              <w:jc w:val="right"/>
              <w:rPr>
                <w:sz w:val="20"/>
                <w:szCs w:val="20"/>
              </w:rPr>
            </w:pPr>
            <w:r>
              <w:rPr>
                <w:sz w:val="20"/>
                <w:szCs w:val="20"/>
              </w:rPr>
              <w:t>320,0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180,7</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-139,3</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-43,5</w:t>
            </w:r>
          </w:p>
        </w:tc>
      </w:tr>
      <w:tr w:rsidR="0011386C" w:rsidRPr="00A4143B" w:rsidTr="007520BE">
        <w:trPr>
          <w:trHeight w:val="255"/>
        </w:trPr>
        <w:tc>
          <w:tcPr>
            <w:tcW w:w="2836" w:type="dxa"/>
            <w:tcBorders>
              <w:top w:val="single" w:sz="6" w:space="0" w:color="auto"/>
              <w:left w:val="double" w:sz="4" w:space="0" w:color="auto"/>
              <w:bottom w:val="single" w:sz="6" w:space="0" w:color="auto"/>
              <w:right w:val="single" w:sz="6" w:space="0" w:color="auto"/>
            </w:tcBorders>
            <w:shd w:val="clear" w:color="auto" w:fill="auto"/>
            <w:vAlign w:val="bottom"/>
            <w:hideMark/>
          </w:tcPr>
          <w:p w:rsidR="0011386C" w:rsidRPr="00A4143B" w:rsidRDefault="0011386C" w:rsidP="00EF37A9">
            <w:pPr>
              <w:rPr>
                <w:sz w:val="20"/>
                <w:szCs w:val="20"/>
              </w:rPr>
            </w:pPr>
            <w:r>
              <w:rPr>
                <w:sz w:val="20"/>
                <w:szCs w:val="20"/>
              </w:rPr>
              <w:t>Уплата налога на имущество организаций и земельного налога</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851</w:t>
            </w:r>
            <w:r>
              <w:rPr>
                <w:sz w:val="16"/>
                <w:szCs w:val="16"/>
              </w:rPr>
              <w:t> </w:t>
            </w:r>
            <w:r w:rsidRPr="00A4143B">
              <w:rPr>
                <w:sz w:val="16"/>
                <w:szCs w:val="16"/>
              </w:rPr>
              <w:t>291</w:t>
            </w:r>
          </w:p>
        </w:tc>
        <w:tc>
          <w:tcPr>
            <w:tcW w:w="992" w:type="dxa"/>
            <w:tcBorders>
              <w:top w:val="single" w:sz="6" w:space="0" w:color="auto"/>
              <w:left w:val="single" w:sz="6" w:space="0" w:color="auto"/>
              <w:bottom w:val="single" w:sz="6"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180,0</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180,0</w:t>
            </w:r>
          </w:p>
        </w:tc>
        <w:tc>
          <w:tcPr>
            <w:tcW w:w="95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0,0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-180,0</w:t>
            </w:r>
          </w:p>
        </w:tc>
        <w:tc>
          <w:tcPr>
            <w:tcW w:w="992"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-100,0</w:t>
            </w:r>
          </w:p>
        </w:tc>
      </w:tr>
      <w:tr w:rsidR="0011386C" w:rsidRPr="00C7556C" w:rsidTr="007520BE">
        <w:trPr>
          <w:trHeight w:val="255"/>
        </w:trPr>
        <w:tc>
          <w:tcPr>
            <w:tcW w:w="2836" w:type="dxa"/>
            <w:tcBorders>
              <w:top w:val="single" w:sz="6" w:space="0" w:color="auto"/>
              <w:left w:val="double" w:sz="4" w:space="0" w:color="auto"/>
              <w:bottom w:val="double" w:sz="4" w:space="0" w:color="auto"/>
              <w:right w:val="single" w:sz="6" w:space="0" w:color="auto"/>
            </w:tcBorders>
            <w:shd w:val="clear" w:color="auto" w:fill="auto"/>
            <w:vAlign w:val="bottom"/>
            <w:hideMark/>
          </w:tcPr>
          <w:p w:rsidR="0011386C" w:rsidRPr="00A4143B" w:rsidRDefault="0011386C" w:rsidP="00EF37A9">
            <w:pPr>
              <w:rPr>
                <w:sz w:val="20"/>
                <w:szCs w:val="20"/>
              </w:rPr>
            </w:pPr>
            <w:r>
              <w:rPr>
                <w:sz w:val="20"/>
                <w:szCs w:val="20"/>
              </w:rPr>
              <w:t>Уплата прочих налогов</w:t>
            </w:r>
          </w:p>
        </w:tc>
        <w:tc>
          <w:tcPr>
            <w:tcW w:w="1843"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11386C" w:rsidRPr="00A4143B" w:rsidRDefault="0011386C" w:rsidP="00EF37A9">
            <w:pPr>
              <w:ind w:left="-108" w:right="-108"/>
              <w:jc w:val="center"/>
              <w:rPr>
                <w:sz w:val="16"/>
                <w:szCs w:val="16"/>
              </w:rPr>
            </w:pPr>
            <w:r w:rsidRPr="00A4143B">
              <w:rPr>
                <w:sz w:val="16"/>
                <w:szCs w:val="16"/>
              </w:rPr>
              <w:t>0113</w:t>
            </w:r>
            <w:r>
              <w:rPr>
                <w:sz w:val="16"/>
                <w:szCs w:val="16"/>
              </w:rPr>
              <w:t> </w:t>
            </w:r>
            <w:r w:rsidRPr="00A4143B">
              <w:rPr>
                <w:sz w:val="16"/>
                <w:szCs w:val="16"/>
              </w:rPr>
              <w:t>9000000010</w:t>
            </w:r>
            <w:r>
              <w:rPr>
                <w:sz w:val="16"/>
                <w:szCs w:val="16"/>
              </w:rPr>
              <w:t> </w:t>
            </w:r>
            <w:r w:rsidRPr="00A4143B">
              <w:rPr>
                <w:sz w:val="16"/>
                <w:szCs w:val="16"/>
              </w:rPr>
              <w:t>852</w:t>
            </w:r>
            <w:r>
              <w:rPr>
                <w:sz w:val="16"/>
                <w:szCs w:val="16"/>
              </w:rPr>
              <w:t> </w:t>
            </w:r>
            <w:r w:rsidRPr="00A4143B">
              <w:rPr>
                <w:sz w:val="16"/>
                <w:szCs w:val="16"/>
              </w:rPr>
              <w:t>291</w:t>
            </w:r>
          </w:p>
        </w:tc>
        <w:tc>
          <w:tcPr>
            <w:tcW w:w="992" w:type="dxa"/>
            <w:tcBorders>
              <w:top w:val="single" w:sz="6" w:space="0" w:color="auto"/>
              <w:left w:val="single" w:sz="6" w:space="0" w:color="auto"/>
              <w:bottom w:val="double" w:sz="4" w:space="0" w:color="auto"/>
              <w:right w:val="single" w:sz="6" w:space="0" w:color="auto"/>
            </w:tcBorders>
            <w:vAlign w:val="bottom"/>
          </w:tcPr>
          <w:p w:rsidR="0011386C" w:rsidRPr="00A4143B" w:rsidRDefault="0011386C" w:rsidP="00EF37A9">
            <w:pPr>
              <w:jc w:val="right"/>
              <w:rPr>
                <w:sz w:val="20"/>
                <w:szCs w:val="20"/>
              </w:rPr>
            </w:pPr>
            <w:proofErr w:type="spellStart"/>
            <w:r w:rsidRPr="00A4143B">
              <w:rPr>
                <w:sz w:val="20"/>
                <w:szCs w:val="20"/>
              </w:rPr>
              <w:t>х</w:t>
            </w:r>
            <w:proofErr w:type="spellEnd"/>
          </w:p>
        </w:tc>
        <w:tc>
          <w:tcPr>
            <w:tcW w:w="1171"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w:t>
            </w:r>
            <w:r>
              <w:rPr>
                <w:sz w:val="20"/>
                <w:szCs w:val="20"/>
              </w:rPr>
              <w:t>90,0</w:t>
            </w:r>
          </w:p>
        </w:tc>
        <w:tc>
          <w:tcPr>
            <w:tcW w:w="992"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sidRPr="00A4143B">
              <w:rPr>
                <w:sz w:val="20"/>
                <w:szCs w:val="20"/>
              </w:rPr>
              <w:t>2</w:t>
            </w:r>
            <w:r>
              <w:rPr>
                <w:sz w:val="20"/>
                <w:szCs w:val="20"/>
              </w:rPr>
              <w:t>90,0</w:t>
            </w:r>
          </w:p>
        </w:tc>
        <w:tc>
          <w:tcPr>
            <w:tcW w:w="956"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11386C" w:rsidRPr="00A4143B" w:rsidRDefault="0011386C" w:rsidP="00EF37A9">
            <w:pPr>
              <w:jc w:val="right"/>
              <w:rPr>
                <w:sz w:val="20"/>
                <w:szCs w:val="20"/>
              </w:rPr>
            </w:pPr>
            <w:r>
              <w:rPr>
                <w:sz w:val="20"/>
                <w:szCs w:val="20"/>
              </w:rPr>
              <w:t>189,4</w:t>
            </w:r>
          </w:p>
        </w:tc>
        <w:tc>
          <w:tcPr>
            <w:tcW w:w="85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11386C" w:rsidRPr="00A4143B" w:rsidRDefault="0011386C" w:rsidP="00EF37A9">
            <w:pPr>
              <w:ind w:right="-109"/>
              <w:jc w:val="center"/>
              <w:rPr>
                <w:sz w:val="20"/>
                <w:szCs w:val="20"/>
              </w:rPr>
            </w:pPr>
            <w:r>
              <w:rPr>
                <w:sz w:val="20"/>
                <w:szCs w:val="20"/>
              </w:rPr>
              <w:t>-100,6</w:t>
            </w:r>
          </w:p>
        </w:tc>
        <w:tc>
          <w:tcPr>
            <w:tcW w:w="992" w:type="dxa"/>
            <w:tcBorders>
              <w:top w:val="single" w:sz="6" w:space="0" w:color="auto"/>
              <w:left w:val="single" w:sz="6" w:space="0" w:color="auto"/>
              <w:bottom w:val="double" w:sz="4" w:space="0" w:color="auto"/>
              <w:right w:val="double" w:sz="4" w:space="0" w:color="auto"/>
            </w:tcBorders>
            <w:shd w:val="clear" w:color="auto" w:fill="auto"/>
            <w:noWrap/>
            <w:vAlign w:val="bottom"/>
            <w:hideMark/>
          </w:tcPr>
          <w:p w:rsidR="0011386C" w:rsidRPr="00A4143B" w:rsidRDefault="0011386C" w:rsidP="00EF37A9">
            <w:pPr>
              <w:jc w:val="right"/>
              <w:rPr>
                <w:sz w:val="20"/>
                <w:szCs w:val="20"/>
              </w:rPr>
            </w:pPr>
            <w:r>
              <w:rPr>
                <w:sz w:val="20"/>
                <w:szCs w:val="20"/>
              </w:rPr>
              <w:t>-34,7</w:t>
            </w:r>
          </w:p>
        </w:tc>
      </w:tr>
    </w:tbl>
    <w:p w:rsidR="0011386C" w:rsidRDefault="0011386C" w:rsidP="0011386C">
      <w:pPr>
        <w:ind w:firstLine="709"/>
        <w:jc w:val="both"/>
      </w:pPr>
      <w:r>
        <w:t>Неисполнение бюджетных назначений составило 10,9% (4 252,8 тыс. руб.) и связано:</w:t>
      </w:r>
    </w:p>
    <w:p w:rsidR="0011386C" w:rsidRDefault="0011386C" w:rsidP="0011386C">
      <w:pPr>
        <w:ind w:firstLine="709"/>
        <w:jc w:val="both"/>
      </w:pPr>
      <w:r w:rsidRPr="002001BA">
        <w:t xml:space="preserve">-со сложившейся экономией бюджетных средств по результатам конкурсных процедур на сумму </w:t>
      </w:r>
      <w:r>
        <w:t>1</w:t>
      </w:r>
      <w:r w:rsidRPr="002001BA">
        <w:t> </w:t>
      </w:r>
      <w:r>
        <w:t>085</w:t>
      </w:r>
      <w:r w:rsidRPr="002001BA">
        <w:t>,</w:t>
      </w:r>
      <w:r>
        <w:t>9</w:t>
      </w:r>
      <w:r w:rsidRPr="002001BA">
        <w:t xml:space="preserve"> тыс. руб.;</w:t>
      </w:r>
    </w:p>
    <w:p w:rsidR="0011386C" w:rsidRPr="002001BA" w:rsidRDefault="0011386C" w:rsidP="0011386C">
      <w:pPr>
        <w:ind w:firstLine="709"/>
        <w:jc w:val="both"/>
      </w:pPr>
      <w:r>
        <w:t xml:space="preserve">-предоставлением документов </w:t>
      </w:r>
      <w:proofErr w:type="gramStart"/>
      <w:r>
        <w:t>в</w:t>
      </w:r>
      <w:proofErr w:type="gramEnd"/>
      <w:r>
        <w:t xml:space="preserve"> </w:t>
      </w:r>
      <w:proofErr w:type="gramStart"/>
      <w:r>
        <w:t>следующим</w:t>
      </w:r>
      <w:proofErr w:type="gramEnd"/>
      <w:r>
        <w:t xml:space="preserve"> отчетном периоде на сумму 63,4 тыс. руб.; </w:t>
      </w:r>
    </w:p>
    <w:p w:rsidR="0011386C" w:rsidRDefault="0011386C" w:rsidP="0011386C">
      <w:pPr>
        <w:ind w:firstLine="709"/>
        <w:jc w:val="both"/>
      </w:pPr>
      <w:r w:rsidRPr="002001BA">
        <w:t>-с отсутствием потребности в бюджетных ассигнованиях на сумму 115,4 тыс. руб. в связи с наличием вакантных должностей</w:t>
      </w:r>
      <w:r>
        <w:t>;</w:t>
      </w:r>
    </w:p>
    <w:p w:rsidR="0011386C" w:rsidRPr="002001BA" w:rsidRDefault="0011386C" w:rsidP="0011386C">
      <w:pPr>
        <w:ind w:firstLine="709"/>
        <w:jc w:val="both"/>
        <w:rPr>
          <w:color w:val="FF0000"/>
        </w:rPr>
      </w:pPr>
      <w:r>
        <w:t xml:space="preserve">-с отсутствием потребности в бюджетных ассигнованиях на сумму 2 988,1 тыс. руб., свидетельствующем о недостатках при планировании бюджетных расходов в нарушение </w:t>
      </w:r>
      <w:hyperlink r:id="rId9" w:history="1">
        <w:r w:rsidRPr="009137FD">
          <w:t>подпункта 4 пункта 1 статьи 158</w:t>
        </w:r>
      </w:hyperlink>
      <w:r w:rsidRPr="009137FD">
        <w:t xml:space="preserve"> БК РФ.</w:t>
      </w:r>
      <w:r>
        <w:t xml:space="preserve"> </w:t>
      </w:r>
    </w:p>
    <w:p w:rsidR="00B670B0" w:rsidRPr="00A96BC3" w:rsidRDefault="00B670B0" w:rsidP="00B670B0">
      <w:pPr>
        <w:ind w:firstLine="680"/>
        <w:jc w:val="both"/>
      </w:pPr>
      <w:r w:rsidRPr="00050577">
        <w:t xml:space="preserve">В расходах на обеспечение деятельности </w:t>
      </w:r>
      <w:r>
        <w:t>Представительств</w:t>
      </w:r>
      <w:r w:rsidRPr="00050577">
        <w:t>а расходы на оплату труда</w:t>
      </w:r>
      <w:r>
        <w:t xml:space="preserve"> с </w:t>
      </w:r>
      <w:r w:rsidRPr="00A96BC3">
        <w:t>начислениями</w:t>
      </w:r>
      <w:r w:rsidR="00E950E9">
        <w:t xml:space="preserve"> и </w:t>
      </w:r>
      <w:r w:rsidR="00E950E9" w:rsidRPr="00A96BC3">
        <w:t>соц</w:t>
      </w:r>
      <w:proofErr w:type="gramStart"/>
      <w:r w:rsidR="00E950E9" w:rsidRPr="00A96BC3">
        <w:t>.п</w:t>
      </w:r>
      <w:proofErr w:type="gramEnd"/>
      <w:r w:rsidR="00E950E9" w:rsidRPr="00A96BC3">
        <w:t xml:space="preserve">особиями </w:t>
      </w:r>
      <w:r w:rsidRPr="00A96BC3">
        <w:t>составляют 19 571,7 тыс. руб.</w:t>
      </w:r>
      <w:r w:rsidR="00E950E9">
        <w:t>,</w:t>
      </w:r>
      <w:r w:rsidRPr="00A96BC3">
        <w:t xml:space="preserve"> или 56,2</w:t>
      </w:r>
      <w:r w:rsidR="00E950E9">
        <w:t>% от общих расходов</w:t>
      </w:r>
      <w:r w:rsidRPr="00A96BC3">
        <w:t>.</w:t>
      </w:r>
    </w:p>
    <w:p w:rsidR="00E3390F" w:rsidRDefault="00E3390F" w:rsidP="00031FF8">
      <w:pPr>
        <w:ind w:firstLine="567"/>
        <w:jc w:val="center"/>
        <w:rPr>
          <w:b/>
          <w:i/>
        </w:rPr>
      </w:pPr>
    </w:p>
    <w:p w:rsidR="0055060D" w:rsidRDefault="0055060D" w:rsidP="00031FF8">
      <w:pPr>
        <w:ind w:firstLine="567"/>
        <w:jc w:val="center"/>
        <w:rPr>
          <w:b/>
          <w:i/>
        </w:rPr>
      </w:pPr>
    </w:p>
    <w:p w:rsidR="0055060D" w:rsidRDefault="0055060D" w:rsidP="00031FF8">
      <w:pPr>
        <w:ind w:firstLine="567"/>
        <w:jc w:val="center"/>
        <w:rPr>
          <w:b/>
          <w:i/>
        </w:rPr>
      </w:pPr>
    </w:p>
    <w:p w:rsidR="00E3390F" w:rsidRDefault="00E3390F" w:rsidP="00031FF8">
      <w:pPr>
        <w:ind w:firstLine="567"/>
        <w:jc w:val="center"/>
        <w:rPr>
          <w:b/>
          <w:i/>
        </w:rPr>
      </w:pPr>
    </w:p>
    <w:p w:rsidR="00E033F0" w:rsidRPr="00031FF8" w:rsidRDefault="00E033F0" w:rsidP="00031FF8">
      <w:pPr>
        <w:ind w:firstLine="567"/>
        <w:jc w:val="center"/>
        <w:rPr>
          <w:b/>
          <w:i/>
        </w:rPr>
      </w:pPr>
      <w:r w:rsidRPr="00031FF8">
        <w:rPr>
          <w:b/>
          <w:i/>
        </w:rPr>
        <w:lastRenderedPageBreak/>
        <w:t>Сравнительный анализ показателей исполнения расходов за 201</w:t>
      </w:r>
      <w:r w:rsidR="00E950E9">
        <w:rPr>
          <w:b/>
          <w:i/>
        </w:rPr>
        <w:t>9</w:t>
      </w:r>
      <w:r w:rsidRPr="00031FF8">
        <w:rPr>
          <w:b/>
          <w:i/>
        </w:rPr>
        <w:t xml:space="preserve"> год по сравнению с 201</w:t>
      </w:r>
      <w:r w:rsidR="00E950E9">
        <w:rPr>
          <w:b/>
          <w:i/>
        </w:rPr>
        <w:t>8</w:t>
      </w:r>
      <w:r w:rsidRPr="00031FF8">
        <w:rPr>
          <w:b/>
          <w:i/>
        </w:rPr>
        <w:t xml:space="preserve"> годом </w:t>
      </w:r>
    </w:p>
    <w:p w:rsidR="00DE1CFD" w:rsidRPr="006C20A3" w:rsidRDefault="00DE1CFD" w:rsidP="00DE1CFD">
      <w:pPr>
        <w:tabs>
          <w:tab w:val="left" w:pos="0"/>
        </w:tabs>
        <w:ind w:firstLine="709"/>
        <w:jc w:val="right"/>
        <w:rPr>
          <w:sz w:val="18"/>
          <w:szCs w:val="18"/>
        </w:rPr>
      </w:pPr>
      <w:r w:rsidRPr="006C20A3">
        <w:rPr>
          <w:sz w:val="18"/>
          <w:szCs w:val="18"/>
        </w:rPr>
        <w:t>таблица № 2 (тыс. руб.)</w:t>
      </w:r>
    </w:p>
    <w:tbl>
      <w:tblPr>
        <w:tblW w:w="10176"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268"/>
        <w:gridCol w:w="1701"/>
        <w:gridCol w:w="1220"/>
        <w:gridCol w:w="1016"/>
        <w:gridCol w:w="895"/>
        <w:gridCol w:w="1076"/>
      </w:tblGrid>
      <w:tr w:rsidR="00E950E9" w:rsidRPr="00524DC5" w:rsidTr="00E950E9">
        <w:trPr>
          <w:trHeight w:val="435"/>
        </w:trPr>
        <w:tc>
          <w:tcPr>
            <w:tcW w:w="4268" w:type="dxa"/>
            <w:vMerge w:val="restart"/>
            <w:shd w:val="clear" w:color="auto" w:fill="EAF1DD"/>
            <w:vAlign w:val="center"/>
            <w:hideMark/>
          </w:tcPr>
          <w:p w:rsidR="00E950E9" w:rsidRPr="00524DC5" w:rsidRDefault="00E950E9" w:rsidP="00EF37A9">
            <w:pPr>
              <w:jc w:val="center"/>
              <w:rPr>
                <w:b/>
                <w:sz w:val="20"/>
                <w:szCs w:val="20"/>
              </w:rPr>
            </w:pPr>
            <w:r w:rsidRPr="00524DC5">
              <w:rPr>
                <w:b/>
                <w:sz w:val="20"/>
                <w:szCs w:val="20"/>
              </w:rPr>
              <w:t>Наименование показателя</w:t>
            </w:r>
          </w:p>
        </w:tc>
        <w:tc>
          <w:tcPr>
            <w:tcW w:w="1701" w:type="dxa"/>
            <w:vMerge w:val="restart"/>
            <w:shd w:val="clear" w:color="auto" w:fill="EAF1DD"/>
            <w:vAlign w:val="center"/>
            <w:hideMark/>
          </w:tcPr>
          <w:p w:rsidR="00E950E9" w:rsidRPr="00524DC5" w:rsidRDefault="00E950E9" w:rsidP="00EF37A9">
            <w:pPr>
              <w:jc w:val="center"/>
              <w:rPr>
                <w:b/>
                <w:sz w:val="16"/>
                <w:szCs w:val="16"/>
              </w:rPr>
            </w:pPr>
            <w:r w:rsidRPr="00524DC5">
              <w:rPr>
                <w:b/>
                <w:sz w:val="20"/>
                <w:szCs w:val="20"/>
              </w:rPr>
              <w:t xml:space="preserve">Раздел, подраздел, </w:t>
            </w:r>
            <w:r w:rsidRPr="00524DC5">
              <w:rPr>
                <w:b/>
                <w:sz w:val="20"/>
                <w:szCs w:val="20"/>
              </w:rPr>
              <w:br/>
              <w:t>целевая статья, КОСГУ</w:t>
            </w:r>
          </w:p>
        </w:tc>
        <w:tc>
          <w:tcPr>
            <w:tcW w:w="2236" w:type="dxa"/>
            <w:gridSpan w:val="2"/>
            <w:shd w:val="clear" w:color="auto" w:fill="EAF1DD"/>
            <w:vAlign w:val="center"/>
            <w:hideMark/>
          </w:tcPr>
          <w:p w:rsidR="00E950E9" w:rsidRPr="00524DC5" w:rsidRDefault="00E950E9" w:rsidP="00EF37A9">
            <w:pPr>
              <w:jc w:val="center"/>
              <w:rPr>
                <w:b/>
                <w:color w:val="000000"/>
                <w:sz w:val="20"/>
                <w:szCs w:val="20"/>
              </w:rPr>
            </w:pPr>
            <w:r w:rsidRPr="00524DC5">
              <w:rPr>
                <w:b/>
                <w:color w:val="000000"/>
                <w:sz w:val="20"/>
                <w:szCs w:val="20"/>
              </w:rPr>
              <w:t>Исполнено</w:t>
            </w:r>
          </w:p>
        </w:tc>
        <w:tc>
          <w:tcPr>
            <w:tcW w:w="1971" w:type="dxa"/>
            <w:gridSpan w:val="2"/>
            <w:shd w:val="clear" w:color="auto" w:fill="EAF1DD"/>
            <w:noWrap/>
            <w:vAlign w:val="center"/>
            <w:hideMark/>
          </w:tcPr>
          <w:p w:rsidR="00E950E9" w:rsidRPr="00524DC5" w:rsidRDefault="00E950E9" w:rsidP="00EF37A9">
            <w:pPr>
              <w:jc w:val="center"/>
              <w:rPr>
                <w:b/>
                <w:sz w:val="20"/>
                <w:szCs w:val="20"/>
              </w:rPr>
            </w:pPr>
            <w:r w:rsidRPr="00524DC5">
              <w:rPr>
                <w:b/>
                <w:sz w:val="20"/>
                <w:szCs w:val="20"/>
              </w:rPr>
              <w:t>Отклонение</w:t>
            </w:r>
          </w:p>
        </w:tc>
      </w:tr>
      <w:tr w:rsidR="00E950E9" w:rsidRPr="00524DC5" w:rsidTr="00E950E9">
        <w:trPr>
          <w:trHeight w:val="489"/>
        </w:trPr>
        <w:tc>
          <w:tcPr>
            <w:tcW w:w="4268" w:type="dxa"/>
            <w:vMerge/>
            <w:shd w:val="clear" w:color="auto" w:fill="EAF1DD"/>
            <w:vAlign w:val="center"/>
            <w:hideMark/>
          </w:tcPr>
          <w:p w:rsidR="00E950E9" w:rsidRPr="00524DC5" w:rsidRDefault="00E950E9" w:rsidP="00EF37A9">
            <w:pPr>
              <w:rPr>
                <w:b/>
                <w:sz w:val="20"/>
                <w:szCs w:val="20"/>
              </w:rPr>
            </w:pPr>
          </w:p>
        </w:tc>
        <w:tc>
          <w:tcPr>
            <w:tcW w:w="1701" w:type="dxa"/>
            <w:vMerge/>
            <w:shd w:val="clear" w:color="auto" w:fill="EAF1DD"/>
            <w:vAlign w:val="center"/>
            <w:hideMark/>
          </w:tcPr>
          <w:p w:rsidR="00E950E9" w:rsidRPr="00524DC5" w:rsidRDefault="00E950E9" w:rsidP="00EF37A9">
            <w:pPr>
              <w:rPr>
                <w:b/>
                <w:sz w:val="16"/>
                <w:szCs w:val="16"/>
              </w:rPr>
            </w:pPr>
          </w:p>
        </w:tc>
        <w:tc>
          <w:tcPr>
            <w:tcW w:w="1220" w:type="dxa"/>
            <w:shd w:val="clear" w:color="auto" w:fill="EAF1DD"/>
            <w:vAlign w:val="center"/>
            <w:hideMark/>
          </w:tcPr>
          <w:p w:rsidR="00E950E9" w:rsidRPr="00524DC5" w:rsidRDefault="00E950E9" w:rsidP="00EF37A9">
            <w:pPr>
              <w:jc w:val="center"/>
              <w:rPr>
                <w:b/>
                <w:color w:val="000000"/>
                <w:sz w:val="20"/>
                <w:szCs w:val="20"/>
              </w:rPr>
            </w:pPr>
            <w:r w:rsidRPr="00524DC5">
              <w:rPr>
                <w:b/>
                <w:color w:val="000000"/>
                <w:sz w:val="20"/>
                <w:szCs w:val="20"/>
              </w:rPr>
              <w:t>201</w:t>
            </w:r>
            <w:r>
              <w:rPr>
                <w:b/>
                <w:color w:val="000000"/>
                <w:sz w:val="20"/>
                <w:szCs w:val="20"/>
              </w:rPr>
              <w:t>8</w:t>
            </w:r>
          </w:p>
        </w:tc>
        <w:tc>
          <w:tcPr>
            <w:tcW w:w="1016" w:type="dxa"/>
            <w:shd w:val="clear" w:color="auto" w:fill="EAF1DD"/>
            <w:vAlign w:val="center"/>
            <w:hideMark/>
          </w:tcPr>
          <w:p w:rsidR="00E950E9" w:rsidRPr="00524DC5" w:rsidRDefault="00E950E9" w:rsidP="00EF37A9">
            <w:pPr>
              <w:jc w:val="center"/>
              <w:rPr>
                <w:b/>
                <w:color w:val="000000"/>
                <w:sz w:val="20"/>
                <w:szCs w:val="20"/>
              </w:rPr>
            </w:pPr>
            <w:r>
              <w:rPr>
                <w:b/>
                <w:color w:val="000000"/>
                <w:sz w:val="20"/>
                <w:szCs w:val="20"/>
              </w:rPr>
              <w:t>2019</w:t>
            </w:r>
          </w:p>
        </w:tc>
        <w:tc>
          <w:tcPr>
            <w:tcW w:w="895" w:type="dxa"/>
            <w:shd w:val="clear" w:color="auto" w:fill="EAF1DD"/>
            <w:vAlign w:val="center"/>
            <w:hideMark/>
          </w:tcPr>
          <w:p w:rsidR="00E950E9" w:rsidRPr="00524DC5" w:rsidRDefault="00E950E9" w:rsidP="00EF37A9">
            <w:pPr>
              <w:jc w:val="center"/>
              <w:rPr>
                <w:b/>
                <w:sz w:val="20"/>
                <w:szCs w:val="20"/>
              </w:rPr>
            </w:pPr>
            <w:r w:rsidRPr="00524DC5">
              <w:rPr>
                <w:b/>
                <w:sz w:val="20"/>
                <w:szCs w:val="20"/>
              </w:rPr>
              <w:t>тыс. руб.</w:t>
            </w:r>
          </w:p>
        </w:tc>
        <w:tc>
          <w:tcPr>
            <w:tcW w:w="1076" w:type="dxa"/>
            <w:shd w:val="clear" w:color="auto" w:fill="EAF1DD"/>
            <w:vAlign w:val="center"/>
            <w:hideMark/>
          </w:tcPr>
          <w:p w:rsidR="00E950E9" w:rsidRPr="00524DC5" w:rsidRDefault="00E950E9" w:rsidP="00EF37A9">
            <w:pPr>
              <w:jc w:val="center"/>
              <w:rPr>
                <w:b/>
                <w:sz w:val="20"/>
                <w:szCs w:val="20"/>
              </w:rPr>
            </w:pPr>
            <w:r w:rsidRPr="00524DC5">
              <w:rPr>
                <w:b/>
                <w:sz w:val="20"/>
                <w:szCs w:val="20"/>
              </w:rPr>
              <w:t>%</w:t>
            </w:r>
          </w:p>
        </w:tc>
      </w:tr>
      <w:tr w:rsidR="00E950E9" w:rsidRPr="00FE5C1A" w:rsidTr="00E950E9">
        <w:trPr>
          <w:trHeight w:val="70"/>
        </w:trPr>
        <w:tc>
          <w:tcPr>
            <w:tcW w:w="4268" w:type="dxa"/>
            <w:shd w:val="clear" w:color="auto" w:fill="auto"/>
            <w:noWrap/>
            <w:vAlign w:val="center"/>
            <w:hideMark/>
          </w:tcPr>
          <w:p w:rsidR="00E950E9" w:rsidRPr="00524DC5" w:rsidRDefault="00E950E9" w:rsidP="00EF37A9">
            <w:pPr>
              <w:jc w:val="center"/>
              <w:rPr>
                <w:sz w:val="16"/>
                <w:szCs w:val="16"/>
              </w:rPr>
            </w:pPr>
            <w:r w:rsidRPr="00524DC5">
              <w:rPr>
                <w:sz w:val="16"/>
                <w:szCs w:val="16"/>
              </w:rPr>
              <w:t>1</w:t>
            </w:r>
          </w:p>
        </w:tc>
        <w:tc>
          <w:tcPr>
            <w:tcW w:w="1701" w:type="dxa"/>
            <w:shd w:val="clear" w:color="auto" w:fill="auto"/>
            <w:noWrap/>
            <w:vAlign w:val="center"/>
            <w:hideMark/>
          </w:tcPr>
          <w:p w:rsidR="00E950E9" w:rsidRPr="00524DC5" w:rsidRDefault="00E950E9" w:rsidP="00EF37A9">
            <w:pPr>
              <w:jc w:val="center"/>
              <w:rPr>
                <w:sz w:val="16"/>
                <w:szCs w:val="16"/>
              </w:rPr>
            </w:pPr>
            <w:r w:rsidRPr="00524DC5">
              <w:rPr>
                <w:sz w:val="16"/>
                <w:szCs w:val="16"/>
              </w:rPr>
              <w:t>2</w:t>
            </w:r>
          </w:p>
        </w:tc>
        <w:tc>
          <w:tcPr>
            <w:tcW w:w="1220" w:type="dxa"/>
            <w:shd w:val="clear" w:color="auto" w:fill="auto"/>
            <w:noWrap/>
            <w:vAlign w:val="center"/>
            <w:hideMark/>
          </w:tcPr>
          <w:p w:rsidR="00E950E9" w:rsidRPr="00524DC5" w:rsidRDefault="00E950E9" w:rsidP="00EF37A9">
            <w:pPr>
              <w:jc w:val="center"/>
              <w:rPr>
                <w:sz w:val="16"/>
                <w:szCs w:val="16"/>
              </w:rPr>
            </w:pPr>
            <w:r>
              <w:rPr>
                <w:sz w:val="16"/>
                <w:szCs w:val="16"/>
              </w:rPr>
              <w:t>3</w:t>
            </w:r>
          </w:p>
        </w:tc>
        <w:tc>
          <w:tcPr>
            <w:tcW w:w="1016" w:type="dxa"/>
            <w:shd w:val="clear" w:color="auto" w:fill="auto"/>
            <w:noWrap/>
            <w:vAlign w:val="center"/>
            <w:hideMark/>
          </w:tcPr>
          <w:p w:rsidR="00E950E9" w:rsidRPr="00524DC5" w:rsidRDefault="00E950E9" w:rsidP="00EF37A9">
            <w:pPr>
              <w:jc w:val="center"/>
              <w:rPr>
                <w:sz w:val="16"/>
                <w:szCs w:val="16"/>
              </w:rPr>
            </w:pPr>
            <w:r>
              <w:rPr>
                <w:sz w:val="16"/>
                <w:szCs w:val="16"/>
              </w:rPr>
              <w:t>4</w:t>
            </w:r>
          </w:p>
        </w:tc>
        <w:tc>
          <w:tcPr>
            <w:tcW w:w="895" w:type="dxa"/>
            <w:shd w:val="clear" w:color="auto" w:fill="auto"/>
            <w:noWrap/>
            <w:vAlign w:val="center"/>
            <w:hideMark/>
          </w:tcPr>
          <w:p w:rsidR="00E950E9" w:rsidRPr="00524DC5" w:rsidRDefault="00E950E9" w:rsidP="00EF37A9">
            <w:pPr>
              <w:jc w:val="center"/>
              <w:rPr>
                <w:sz w:val="16"/>
                <w:szCs w:val="16"/>
              </w:rPr>
            </w:pPr>
            <w:r w:rsidRPr="00524DC5">
              <w:rPr>
                <w:sz w:val="16"/>
                <w:szCs w:val="16"/>
              </w:rPr>
              <w:t>5</w:t>
            </w:r>
          </w:p>
        </w:tc>
        <w:tc>
          <w:tcPr>
            <w:tcW w:w="1076" w:type="dxa"/>
            <w:shd w:val="clear" w:color="auto" w:fill="auto"/>
            <w:noWrap/>
            <w:vAlign w:val="center"/>
            <w:hideMark/>
          </w:tcPr>
          <w:p w:rsidR="00E950E9" w:rsidRPr="00524DC5" w:rsidRDefault="00E950E9" w:rsidP="00EF37A9">
            <w:pPr>
              <w:jc w:val="center"/>
              <w:rPr>
                <w:sz w:val="16"/>
                <w:szCs w:val="16"/>
              </w:rPr>
            </w:pPr>
            <w:r w:rsidRPr="00524DC5">
              <w:rPr>
                <w:sz w:val="16"/>
                <w:szCs w:val="16"/>
              </w:rPr>
              <w:t>6</w:t>
            </w:r>
          </w:p>
        </w:tc>
      </w:tr>
      <w:tr w:rsidR="00E950E9" w:rsidRPr="00FE5C1A" w:rsidTr="00E950E9">
        <w:trPr>
          <w:trHeight w:val="270"/>
        </w:trPr>
        <w:tc>
          <w:tcPr>
            <w:tcW w:w="4268" w:type="dxa"/>
            <w:shd w:val="clear" w:color="auto" w:fill="auto"/>
            <w:vAlign w:val="bottom"/>
            <w:hideMark/>
          </w:tcPr>
          <w:p w:rsidR="00E950E9" w:rsidRPr="0091236B" w:rsidRDefault="00E950E9" w:rsidP="00EF37A9">
            <w:pPr>
              <w:rPr>
                <w:b/>
                <w:sz w:val="20"/>
                <w:szCs w:val="20"/>
              </w:rPr>
            </w:pPr>
            <w:r w:rsidRPr="0091236B">
              <w:rPr>
                <w:b/>
                <w:sz w:val="20"/>
                <w:szCs w:val="20"/>
              </w:rPr>
              <w:t>Расходы бюджета - всего</w:t>
            </w:r>
          </w:p>
        </w:tc>
        <w:tc>
          <w:tcPr>
            <w:tcW w:w="1701" w:type="dxa"/>
            <w:shd w:val="clear" w:color="auto" w:fill="auto"/>
            <w:noWrap/>
            <w:vAlign w:val="bottom"/>
            <w:hideMark/>
          </w:tcPr>
          <w:p w:rsidR="00E950E9" w:rsidRPr="0091236B" w:rsidRDefault="00E950E9" w:rsidP="00EF37A9">
            <w:pPr>
              <w:jc w:val="center"/>
              <w:rPr>
                <w:b/>
                <w:sz w:val="20"/>
                <w:szCs w:val="20"/>
              </w:rPr>
            </w:pPr>
            <w:r w:rsidRPr="0091236B">
              <w:rPr>
                <w:b/>
                <w:sz w:val="20"/>
                <w:szCs w:val="20"/>
              </w:rPr>
              <w:t>Х</w:t>
            </w:r>
          </w:p>
        </w:tc>
        <w:tc>
          <w:tcPr>
            <w:tcW w:w="1220" w:type="dxa"/>
            <w:shd w:val="clear" w:color="auto" w:fill="auto"/>
            <w:noWrap/>
            <w:vAlign w:val="bottom"/>
            <w:hideMark/>
          </w:tcPr>
          <w:p w:rsidR="00E950E9" w:rsidRPr="00412178" w:rsidRDefault="00E950E9" w:rsidP="00EF37A9">
            <w:pPr>
              <w:jc w:val="right"/>
              <w:rPr>
                <w:b/>
                <w:sz w:val="20"/>
                <w:szCs w:val="20"/>
              </w:rPr>
            </w:pPr>
            <w:r>
              <w:rPr>
                <w:b/>
                <w:sz w:val="20"/>
                <w:szCs w:val="20"/>
              </w:rPr>
              <w:t>35 275,7</w:t>
            </w:r>
          </w:p>
        </w:tc>
        <w:tc>
          <w:tcPr>
            <w:tcW w:w="1016" w:type="dxa"/>
            <w:shd w:val="clear" w:color="auto" w:fill="auto"/>
            <w:noWrap/>
            <w:vAlign w:val="bottom"/>
            <w:hideMark/>
          </w:tcPr>
          <w:p w:rsidR="00E950E9" w:rsidRPr="00412178" w:rsidRDefault="00E950E9" w:rsidP="00EF37A9">
            <w:pPr>
              <w:jc w:val="right"/>
              <w:rPr>
                <w:b/>
                <w:sz w:val="20"/>
                <w:szCs w:val="20"/>
              </w:rPr>
            </w:pPr>
            <w:r>
              <w:rPr>
                <w:b/>
                <w:sz w:val="20"/>
                <w:szCs w:val="20"/>
              </w:rPr>
              <w:t>34 814,7</w:t>
            </w:r>
          </w:p>
        </w:tc>
        <w:tc>
          <w:tcPr>
            <w:tcW w:w="895" w:type="dxa"/>
            <w:shd w:val="clear" w:color="auto" w:fill="auto"/>
            <w:noWrap/>
            <w:vAlign w:val="bottom"/>
            <w:hideMark/>
          </w:tcPr>
          <w:p w:rsidR="00E950E9" w:rsidRPr="0091236B" w:rsidRDefault="00E950E9" w:rsidP="00EF37A9">
            <w:pPr>
              <w:jc w:val="right"/>
              <w:rPr>
                <w:b/>
                <w:sz w:val="20"/>
                <w:szCs w:val="20"/>
              </w:rPr>
            </w:pPr>
            <w:r>
              <w:rPr>
                <w:b/>
                <w:sz w:val="20"/>
                <w:szCs w:val="20"/>
              </w:rPr>
              <w:t>-461,0</w:t>
            </w:r>
          </w:p>
        </w:tc>
        <w:tc>
          <w:tcPr>
            <w:tcW w:w="1076" w:type="dxa"/>
            <w:shd w:val="clear" w:color="auto" w:fill="auto"/>
            <w:noWrap/>
            <w:vAlign w:val="bottom"/>
            <w:hideMark/>
          </w:tcPr>
          <w:p w:rsidR="00E950E9" w:rsidRPr="0017540D" w:rsidRDefault="00E950E9" w:rsidP="00EF37A9">
            <w:pPr>
              <w:jc w:val="right"/>
              <w:rPr>
                <w:b/>
                <w:sz w:val="20"/>
                <w:szCs w:val="20"/>
              </w:rPr>
            </w:pPr>
            <w:r>
              <w:rPr>
                <w:b/>
                <w:sz w:val="20"/>
                <w:szCs w:val="20"/>
              </w:rPr>
              <w:t>-1,3</w:t>
            </w:r>
          </w:p>
        </w:tc>
      </w:tr>
      <w:tr w:rsidR="00E950E9" w:rsidRPr="00CA0BEA" w:rsidTr="00E950E9">
        <w:trPr>
          <w:trHeight w:val="270"/>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Оплата труда с премиальными выплатами</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211</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15 624,1</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15 454,1</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-170,0</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-1,1</w:t>
            </w:r>
          </w:p>
        </w:tc>
      </w:tr>
      <w:tr w:rsidR="00E950E9" w:rsidRPr="00CA0BEA" w:rsidTr="00E950E9">
        <w:trPr>
          <w:trHeight w:val="270"/>
        </w:trPr>
        <w:tc>
          <w:tcPr>
            <w:tcW w:w="4268" w:type="dxa"/>
            <w:shd w:val="clear" w:color="auto" w:fill="auto"/>
            <w:vAlign w:val="bottom"/>
            <w:hideMark/>
          </w:tcPr>
          <w:p w:rsidR="00E950E9" w:rsidRPr="00CA0BEA" w:rsidRDefault="00E950E9" w:rsidP="00EF37A9">
            <w:pPr>
              <w:rPr>
                <w:sz w:val="20"/>
                <w:szCs w:val="20"/>
              </w:rPr>
            </w:pPr>
            <w:r>
              <w:rPr>
                <w:sz w:val="20"/>
                <w:szCs w:val="20"/>
              </w:rPr>
              <w:t>Социальные пособия</w:t>
            </w:r>
          </w:p>
        </w:tc>
        <w:tc>
          <w:tcPr>
            <w:tcW w:w="1701" w:type="dxa"/>
            <w:shd w:val="clear" w:color="auto" w:fill="auto"/>
            <w:noWrap/>
            <w:vAlign w:val="bottom"/>
            <w:hideMark/>
          </w:tcPr>
          <w:p w:rsidR="00E950E9" w:rsidRPr="00CA0BEA" w:rsidRDefault="00E950E9" w:rsidP="00EF37A9">
            <w:pPr>
              <w:jc w:val="center"/>
              <w:rPr>
                <w:sz w:val="20"/>
                <w:szCs w:val="20"/>
              </w:rPr>
            </w:pPr>
            <w:r>
              <w:rPr>
                <w:sz w:val="20"/>
                <w:szCs w:val="20"/>
              </w:rPr>
              <w:t>266</w:t>
            </w:r>
          </w:p>
        </w:tc>
        <w:tc>
          <w:tcPr>
            <w:tcW w:w="1220" w:type="dxa"/>
            <w:shd w:val="clear" w:color="auto" w:fill="auto"/>
            <w:noWrap/>
            <w:vAlign w:val="bottom"/>
            <w:hideMark/>
          </w:tcPr>
          <w:p w:rsidR="00E950E9" w:rsidRPr="00CA0BEA" w:rsidRDefault="00E950E9" w:rsidP="00EF37A9">
            <w:pPr>
              <w:jc w:val="right"/>
              <w:rPr>
                <w:sz w:val="20"/>
                <w:szCs w:val="20"/>
              </w:rPr>
            </w:pPr>
            <w:r>
              <w:rPr>
                <w:sz w:val="20"/>
                <w:szCs w:val="20"/>
              </w:rPr>
              <w:t>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11,2</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11,2</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100,0</w:t>
            </w:r>
          </w:p>
        </w:tc>
      </w:tr>
      <w:tr w:rsidR="00E950E9" w:rsidRPr="00CA0BEA" w:rsidTr="00E950E9">
        <w:trPr>
          <w:trHeight w:val="270"/>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Прочие выплаты</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212</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73,0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1,7</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-71,3</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-97,7</w:t>
            </w:r>
          </w:p>
        </w:tc>
      </w:tr>
      <w:tr w:rsidR="00E950E9" w:rsidRPr="00CA0BEA" w:rsidTr="00E950E9">
        <w:trPr>
          <w:trHeight w:val="152"/>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Начисление на оплату труда</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213</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4 599,2</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4 106,4</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-492,8</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-10,7</w:t>
            </w:r>
          </w:p>
        </w:tc>
      </w:tr>
      <w:tr w:rsidR="00E950E9" w:rsidRPr="00CA0BEA" w:rsidTr="00E950E9">
        <w:trPr>
          <w:trHeight w:val="157"/>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Услуги связи</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221</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401,2</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382,0</w:t>
            </w:r>
          </w:p>
        </w:tc>
        <w:tc>
          <w:tcPr>
            <w:tcW w:w="895" w:type="dxa"/>
            <w:shd w:val="clear" w:color="auto" w:fill="auto"/>
            <w:noWrap/>
            <w:vAlign w:val="bottom"/>
            <w:hideMark/>
          </w:tcPr>
          <w:p w:rsidR="00E950E9" w:rsidRPr="00CA0BEA" w:rsidRDefault="00E950E9" w:rsidP="00EF37A9">
            <w:pPr>
              <w:jc w:val="right"/>
              <w:rPr>
                <w:sz w:val="20"/>
                <w:szCs w:val="20"/>
              </w:rPr>
            </w:pPr>
            <w:r w:rsidRPr="00CA0BEA">
              <w:rPr>
                <w:sz w:val="20"/>
                <w:szCs w:val="20"/>
              </w:rPr>
              <w:t>-</w:t>
            </w:r>
            <w:r>
              <w:rPr>
                <w:sz w:val="20"/>
                <w:szCs w:val="20"/>
              </w:rPr>
              <w:t>19,2</w:t>
            </w:r>
          </w:p>
        </w:tc>
        <w:tc>
          <w:tcPr>
            <w:tcW w:w="1076" w:type="dxa"/>
            <w:shd w:val="clear" w:color="auto" w:fill="auto"/>
            <w:noWrap/>
            <w:vAlign w:val="bottom"/>
            <w:hideMark/>
          </w:tcPr>
          <w:p w:rsidR="00E950E9" w:rsidRPr="00CA0BEA" w:rsidRDefault="00E950E9" w:rsidP="00EF37A9">
            <w:pPr>
              <w:jc w:val="right"/>
              <w:rPr>
                <w:sz w:val="20"/>
                <w:szCs w:val="20"/>
              </w:rPr>
            </w:pPr>
            <w:r w:rsidRPr="00CA0BEA">
              <w:rPr>
                <w:sz w:val="20"/>
                <w:szCs w:val="20"/>
              </w:rPr>
              <w:t>-</w:t>
            </w:r>
            <w:r>
              <w:rPr>
                <w:sz w:val="20"/>
                <w:szCs w:val="20"/>
              </w:rPr>
              <w:t>4,8</w:t>
            </w:r>
          </w:p>
        </w:tc>
      </w:tr>
      <w:tr w:rsidR="00E950E9" w:rsidRPr="00CA0BEA" w:rsidTr="00E950E9">
        <w:trPr>
          <w:trHeight w:val="270"/>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Транспортные услуги</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222</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1,0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0,0</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w:t>
            </w:r>
            <w:r w:rsidRPr="00CA0BEA">
              <w:rPr>
                <w:sz w:val="20"/>
                <w:szCs w:val="20"/>
              </w:rPr>
              <w:t>1,0</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w:t>
            </w:r>
            <w:r w:rsidRPr="00CA0BEA">
              <w:rPr>
                <w:sz w:val="20"/>
                <w:szCs w:val="20"/>
              </w:rPr>
              <w:t>100,0</w:t>
            </w:r>
          </w:p>
        </w:tc>
      </w:tr>
      <w:tr w:rsidR="00E950E9" w:rsidRPr="00CA0BEA" w:rsidTr="00E950E9">
        <w:trPr>
          <w:trHeight w:val="270"/>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Коммунальные услуги</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223</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120,0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99,2</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-20,8</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-17</w:t>
            </w:r>
            <w:r w:rsidRPr="00CA0BEA">
              <w:rPr>
                <w:sz w:val="20"/>
                <w:szCs w:val="20"/>
              </w:rPr>
              <w:t>,3</w:t>
            </w:r>
          </w:p>
        </w:tc>
      </w:tr>
      <w:tr w:rsidR="00E950E9" w:rsidRPr="00A96BC3" w:rsidTr="00E950E9">
        <w:trPr>
          <w:trHeight w:val="167"/>
        </w:trPr>
        <w:tc>
          <w:tcPr>
            <w:tcW w:w="4268" w:type="dxa"/>
            <w:shd w:val="clear" w:color="auto" w:fill="auto"/>
            <w:vAlign w:val="bottom"/>
            <w:hideMark/>
          </w:tcPr>
          <w:p w:rsidR="00E950E9" w:rsidRPr="00A96BC3" w:rsidRDefault="00E950E9" w:rsidP="00EF37A9">
            <w:pPr>
              <w:rPr>
                <w:sz w:val="20"/>
                <w:szCs w:val="20"/>
              </w:rPr>
            </w:pPr>
            <w:r w:rsidRPr="00A96BC3">
              <w:rPr>
                <w:sz w:val="20"/>
                <w:szCs w:val="20"/>
              </w:rPr>
              <w:t>Арендная плата за пользование имуществом</w:t>
            </w:r>
          </w:p>
        </w:tc>
        <w:tc>
          <w:tcPr>
            <w:tcW w:w="1701" w:type="dxa"/>
            <w:shd w:val="clear" w:color="auto" w:fill="auto"/>
            <w:noWrap/>
            <w:vAlign w:val="bottom"/>
            <w:hideMark/>
          </w:tcPr>
          <w:p w:rsidR="00E950E9" w:rsidRPr="00A96BC3" w:rsidRDefault="00E950E9" w:rsidP="00EF37A9">
            <w:pPr>
              <w:jc w:val="center"/>
              <w:rPr>
                <w:sz w:val="20"/>
                <w:szCs w:val="20"/>
              </w:rPr>
            </w:pPr>
            <w:r w:rsidRPr="00A96BC3">
              <w:rPr>
                <w:sz w:val="20"/>
                <w:szCs w:val="20"/>
              </w:rPr>
              <w:t>224</w:t>
            </w:r>
          </w:p>
        </w:tc>
        <w:tc>
          <w:tcPr>
            <w:tcW w:w="1220" w:type="dxa"/>
            <w:shd w:val="clear" w:color="auto" w:fill="auto"/>
            <w:noWrap/>
            <w:vAlign w:val="bottom"/>
            <w:hideMark/>
          </w:tcPr>
          <w:p w:rsidR="00E950E9" w:rsidRPr="00A96BC3" w:rsidRDefault="00E950E9" w:rsidP="00EF37A9">
            <w:pPr>
              <w:jc w:val="right"/>
              <w:rPr>
                <w:sz w:val="20"/>
                <w:szCs w:val="20"/>
              </w:rPr>
            </w:pPr>
            <w:r w:rsidRPr="00A96BC3">
              <w:rPr>
                <w:sz w:val="20"/>
                <w:szCs w:val="20"/>
              </w:rPr>
              <w:t>8 589,8</w:t>
            </w:r>
          </w:p>
        </w:tc>
        <w:tc>
          <w:tcPr>
            <w:tcW w:w="1016" w:type="dxa"/>
            <w:shd w:val="clear" w:color="auto" w:fill="auto"/>
            <w:noWrap/>
            <w:vAlign w:val="bottom"/>
            <w:hideMark/>
          </w:tcPr>
          <w:p w:rsidR="00E950E9" w:rsidRPr="00A96BC3" w:rsidRDefault="00E950E9" w:rsidP="00EF37A9">
            <w:pPr>
              <w:jc w:val="right"/>
              <w:rPr>
                <w:sz w:val="20"/>
                <w:szCs w:val="20"/>
              </w:rPr>
            </w:pPr>
            <w:r w:rsidRPr="00A96BC3">
              <w:rPr>
                <w:sz w:val="20"/>
                <w:szCs w:val="20"/>
              </w:rPr>
              <w:t>9 172,2</w:t>
            </w:r>
          </w:p>
        </w:tc>
        <w:tc>
          <w:tcPr>
            <w:tcW w:w="895" w:type="dxa"/>
            <w:shd w:val="clear" w:color="auto" w:fill="auto"/>
            <w:noWrap/>
            <w:vAlign w:val="bottom"/>
            <w:hideMark/>
          </w:tcPr>
          <w:p w:rsidR="00E950E9" w:rsidRPr="00A96BC3" w:rsidRDefault="00E950E9" w:rsidP="00EF37A9">
            <w:pPr>
              <w:jc w:val="right"/>
              <w:rPr>
                <w:sz w:val="20"/>
                <w:szCs w:val="20"/>
              </w:rPr>
            </w:pPr>
            <w:r w:rsidRPr="00A96BC3">
              <w:rPr>
                <w:sz w:val="20"/>
                <w:szCs w:val="20"/>
              </w:rPr>
              <w:t>582,4</w:t>
            </w:r>
          </w:p>
        </w:tc>
        <w:tc>
          <w:tcPr>
            <w:tcW w:w="1076" w:type="dxa"/>
            <w:shd w:val="clear" w:color="auto" w:fill="auto"/>
            <w:noWrap/>
            <w:vAlign w:val="bottom"/>
            <w:hideMark/>
          </w:tcPr>
          <w:p w:rsidR="00E950E9" w:rsidRPr="00A96BC3" w:rsidRDefault="00E950E9" w:rsidP="00EF37A9">
            <w:pPr>
              <w:jc w:val="right"/>
              <w:rPr>
                <w:sz w:val="20"/>
                <w:szCs w:val="20"/>
              </w:rPr>
            </w:pPr>
            <w:r w:rsidRPr="00A96BC3">
              <w:rPr>
                <w:sz w:val="20"/>
                <w:szCs w:val="20"/>
              </w:rPr>
              <w:t>6,8</w:t>
            </w:r>
          </w:p>
        </w:tc>
      </w:tr>
      <w:tr w:rsidR="00E950E9" w:rsidRPr="00A96BC3" w:rsidTr="00E950E9">
        <w:trPr>
          <w:trHeight w:val="200"/>
        </w:trPr>
        <w:tc>
          <w:tcPr>
            <w:tcW w:w="4268" w:type="dxa"/>
            <w:shd w:val="clear" w:color="auto" w:fill="auto"/>
            <w:vAlign w:val="bottom"/>
            <w:hideMark/>
          </w:tcPr>
          <w:p w:rsidR="00E950E9" w:rsidRPr="00A96BC3" w:rsidRDefault="00E950E9" w:rsidP="00EF37A9">
            <w:pPr>
              <w:rPr>
                <w:sz w:val="20"/>
                <w:szCs w:val="20"/>
              </w:rPr>
            </w:pPr>
            <w:r w:rsidRPr="00A96BC3">
              <w:rPr>
                <w:sz w:val="20"/>
                <w:szCs w:val="20"/>
              </w:rPr>
              <w:t>Услуги по содержанию имущества</w:t>
            </w:r>
          </w:p>
        </w:tc>
        <w:tc>
          <w:tcPr>
            <w:tcW w:w="1701" w:type="dxa"/>
            <w:shd w:val="clear" w:color="auto" w:fill="auto"/>
            <w:noWrap/>
            <w:vAlign w:val="bottom"/>
            <w:hideMark/>
          </w:tcPr>
          <w:p w:rsidR="00E950E9" w:rsidRPr="00A96BC3" w:rsidRDefault="00E950E9" w:rsidP="00EF37A9">
            <w:pPr>
              <w:jc w:val="center"/>
              <w:rPr>
                <w:sz w:val="20"/>
                <w:szCs w:val="20"/>
              </w:rPr>
            </w:pPr>
            <w:r w:rsidRPr="00A96BC3">
              <w:rPr>
                <w:sz w:val="20"/>
                <w:szCs w:val="20"/>
              </w:rPr>
              <w:t>225</w:t>
            </w:r>
          </w:p>
        </w:tc>
        <w:tc>
          <w:tcPr>
            <w:tcW w:w="1220" w:type="dxa"/>
            <w:shd w:val="clear" w:color="auto" w:fill="auto"/>
            <w:noWrap/>
            <w:vAlign w:val="bottom"/>
            <w:hideMark/>
          </w:tcPr>
          <w:p w:rsidR="00E950E9" w:rsidRPr="00A96BC3" w:rsidRDefault="00E950E9" w:rsidP="00EF37A9">
            <w:pPr>
              <w:jc w:val="right"/>
              <w:rPr>
                <w:sz w:val="20"/>
                <w:szCs w:val="20"/>
              </w:rPr>
            </w:pPr>
            <w:r w:rsidRPr="00A96BC3">
              <w:rPr>
                <w:sz w:val="20"/>
                <w:szCs w:val="20"/>
              </w:rPr>
              <w:t>1 354,5</w:t>
            </w:r>
          </w:p>
        </w:tc>
        <w:tc>
          <w:tcPr>
            <w:tcW w:w="1016" w:type="dxa"/>
            <w:shd w:val="clear" w:color="auto" w:fill="auto"/>
            <w:noWrap/>
            <w:vAlign w:val="bottom"/>
            <w:hideMark/>
          </w:tcPr>
          <w:p w:rsidR="00E950E9" w:rsidRPr="00A96BC3" w:rsidRDefault="00E950E9" w:rsidP="00EF37A9">
            <w:pPr>
              <w:jc w:val="right"/>
              <w:rPr>
                <w:sz w:val="20"/>
                <w:szCs w:val="20"/>
              </w:rPr>
            </w:pPr>
            <w:r w:rsidRPr="00A96BC3">
              <w:rPr>
                <w:sz w:val="20"/>
                <w:szCs w:val="20"/>
              </w:rPr>
              <w:t>1 212,6</w:t>
            </w:r>
          </w:p>
        </w:tc>
        <w:tc>
          <w:tcPr>
            <w:tcW w:w="895" w:type="dxa"/>
            <w:shd w:val="clear" w:color="auto" w:fill="auto"/>
            <w:noWrap/>
            <w:vAlign w:val="bottom"/>
            <w:hideMark/>
          </w:tcPr>
          <w:p w:rsidR="00E950E9" w:rsidRPr="00A96BC3" w:rsidRDefault="00E950E9" w:rsidP="00EF37A9">
            <w:pPr>
              <w:jc w:val="right"/>
              <w:rPr>
                <w:sz w:val="20"/>
                <w:szCs w:val="20"/>
              </w:rPr>
            </w:pPr>
            <w:r w:rsidRPr="00A96BC3">
              <w:rPr>
                <w:sz w:val="20"/>
                <w:szCs w:val="20"/>
              </w:rPr>
              <w:t>-141,9</w:t>
            </w:r>
          </w:p>
        </w:tc>
        <w:tc>
          <w:tcPr>
            <w:tcW w:w="1076" w:type="dxa"/>
            <w:shd w:val="clear" w:color="auto" w:fill="auto"/>
            <w:noWrap/>
            <w:vAlign w:val="bottom"/>
            <w:hideMark/>
          </w:tcPr>
          <w:p w:rsidR="00E950E9" w:rsidRPr="00A96BC3" w:rsidRDefault="00E950E9" w:rsidP="00EF37A9">
            <w:pPr>
              <w:jc w:val="right"/>
              <w:rPr>
                <w:sz w:val="20"/>
                <w:szCs w:val="20"/>
              </w:rPr>
            </w:pPr>
            <w:r w:rsidRPr="00A96BC3">
              <w:rPr>
                <w:sz w:val="20"/>
                <w:szCs w:val="20"/>
              </w:rPr>
              <w:t>-0,9</w:t>
            </w:r>
          </w:p>
        </w:tc>
      </w:tr>
      <w:tr w:rsidR="00E950E9" w:rsidRPr="00CA0BEA" w:rsidTr="00E950E9">
        <w:trPr>
          <w:trHeight w:val="245"/>
        </w:trPr>
        <w:tc>
          <w:tcPr>
            <w:tcW w:w="4268" w:type="dxa"/>
            <w:shd w:val="clear" w:color="auto" w:fill="auto"/>
            <w:vAlign w:val="bottom"/>
            <w:hideMark/>
          </w:tcPr>
          <w:p w:rsidR="00E950E9" w:rsidRPr="00A96BC3" w:rsidRDefault="00E950E9" w:rsidP="00EF37A9">
            <w:pPr>
              <w:rPr>
                <w:sz w:val="20"/>
                <w:szCs w:val="20"/>
              </w:rPr>
            </w:pPr>
            <w:r w:rsidRPr="00A96BC3">
              <w:rPr>
                <w:sz w:val="20"/>
                <w:szCs w:val="20"/>
              </w:rPr>
              <w:t>Прочие услуги</w:t>
            </w:r>
          </w:p>
        </w:tc>
        <w:tc>
          <w:tcPr>
            <w:tcW w:w="1701" w:type="dxa"/>
            <w:shd w:val="clear" w:color="auto" w:fill="auto"/>
            <w:noWrap/>
            <w:vAlign w:val="bottom"/>
            <w:hideMark/>
          </w:tcPr>
          <w:p w:rsidR="00E950E9" w:rsidRPr="00A96BC3" w:rsidRDefault="00E950E9" w:rsidP="00EF37A9">
            <w:pPr>
              <w:jc w:val="center"/>
              <w:rPr>
                <w:sz w:val="20"/>
                <w:szCs w:val="20"/>
              </w:rPr>
            </w:pPr>
            <w:r w:rsidRPr="00A96BC3">
              <w:rPr>
                <w:sz w:val="20"/>
                <w:szCs w:val="20"/>
              </w:rPr>
              <w:t>226</w:t>
            </w:r>
          </w:p>
        </w:tc>
        <w:tc>
          <w:tcPr>
            <w:tcW w:w="1220" w:type="dxa"/>
            <w:shd w:val="clear" w:color="auto" w:fill="auto"/>
            <w:noWrap/>
            <w:vAlign w:val="bottom"/>
            <w:hideMark/>
          </w:tcPr>
          <w:p w:rsidR="00E950E9" w:rsidRPr="00A96BC3" w:rsidRDefault="00E950E9" w:rsidP="00EF37A9">
            <w:pPr>
              <w:jc w:val="right"/>
              <w:rPr>
                <w:sz w:val="20"/>
                <w:szCs w:val="20"/>
              </w:rPr>
            </w:pPr>
            <w:r w:rsidRPr="00A96BC3">
              <w:rPr>
                <w:sz w:val="20"/>
                <w:szCs w:val="20"/>
              </w:rPr>
              <w:t>2 186,3</w:t>
            </w:r>
          </w:p>
        </w:tc>
        <w:tc>
          <w:tcPr>
            <w:tcW w:w="1016" w:type="dxa"/>
            <w:shd w:val="clear" w:color="auto" w:fill="auto"/>
            <w:noWrap/>
            <w:vAlign w:val="bottom"/>
            <w:hideMark/>
          </w:tcPr>
          <w:p w:rsidR="00E950E9" w:rsidRPr="00A96BC3" w:rsidRDefault="00E950E9" w:rsidP="00EF37A9">
            <w:pPr>
              <w:jc w:val="right"/>
              <w:rPr>
                <w:sz w:val="20"/>
                <w:szCs w:val="20"/>
              </w:rPr>
            </w:pPr>
            <w:r w:rsidRPr="00A96BC3">
              <w:rPr>
                <w:sz w:val="20"/>
                <w:szCs w:val="20"/>
              </w:rPr>
              <w:t>2 776,6</w:t>
            </w:r>
          </w:p>
        </w:tc>
        <w:tc>
          <w:tcPr>
            <w:tcW w:w="895" w:type="dxa"/>
            <w:shd w:val="clear" w:color="auto" w:fill="auto"/>
            <w:noWrap/>
            <w:vAlign w:val="bottom"/>
            <w:hideMark/>
          </w:tcPr>
          <w:p w:rsidR="00E950E9" w:rsidRPr="00A96BC3" w:rsidRDefault="00E950E9" w:rsidP="00EF37A9">
            <w:pPr>
              <w:jc w:val="right"/>
              <w:rPr>
                <w:sz w:val="20"/>
                <w:szCs w:val="20"/>
              </w:rPr>
            </w:pPr>
            <w:r w:rsidRPr="00A96BC3">
              <w:rPr>
                <w:sz w:val="20"/>
                <w:szCs w:val="20"/>
              </w:rPr>
              <w:t>590,3</w:t>
            </w:r>
          </w:p>
        </w:tc>
        <w:tc>
          <w:tcPr>
            <w:tcW w:w="1076" w:type="dxa"/>
            <w:shd w:val="clear" w:color="auto" w:fill="auto"/>
            <w:noWrap/>
            <w:vAlign w:val="bottom"/>
            <w:hideMark/>
          </w:tcPr>
          <w:p w:rsidR="00E950E9" w:rsidRPr="00CA0BEA" w:rsidRDefault="00E950E9" w:rsidP="00EF37A9">
            <w:pPr>
              <w:jc w:val="right"/>
              <w:rPr>
                <w:sz w:val="20"/>
                <w:szCs w:val="20"/>
              </w:rPr>
            </w:pPr>
            <w:r w:rsidRPr="00A96BC3">
              <w:rPr>
                <w:sz w:val="20"/>
                <w:szCs w:val="20"/>
              </w:rPr>
              <w:t>27,0</w:t>
            </w:r>
          </w:p>
        </w:tc>
      </w:tr>
      <w:tr w:rsidR="00E950E9" w:rsidRPr="00CA0BEA" w:rsidTr="00E950E9">
        <w:trPr>
          <w:trHeight w:val="245"/>
        </w:trPr>
        <w:tc>
          <w:tcPr>
            <w:tcW w:w="4268" w:type="dxa"/>
            <w:shd w:val="clear" w:color="auto" w:fill="auto"/>
            <w:vAlign w:val="bottom"/>
            <w:hideMark/>
          </w:tcPr>
          <w:p w:rsidR="00E950E9" w:rsidRPr="00CA0BEA" w:rsidRDefault="00E950E9" w:rsidP="00EF37A9">
            <w:pPr>
              <w:rPr>
                <w:sz w:val="20"/>
                <w:szCs w:val="20"/>
              </w:rPr>
            </w:pPr>
            <w:r>
              <w:rPr>
                <w:sz w:val="20"/>
                <w:szCs w:val="20"/>
              </w:rPr>
              <w:t>Страхование</w:t>
            </w:r>
          </w:p>
        </w:tc>
        <w:tc>
          <w:tcPr>
            <w:tcW w:w="1701" w:type="dxa"/>
            <w:shd w:val="clear" w:color="auto" w:fill="auto"/>
            <w:noWrap/>
            <w:vAlign w:val="bottom"/>
            <w:hideMark/>
          </w:tcPr>
          <w:p w:rsidR="00E950E9" w:rsidRPr="00CA0BEA" w:rsidRDefault="00E950E9" w:rsidP="00EF37A9">
            <w:pPr>
              <w:jc w:val="center"/>
              <w:rPr>
                <w:sz w:val="20"/>
                <w:szCs w:val="20"/>
              </w:rPr>
            </w:pPr>
            <w:r>
              <w:rPr>
                <w:sz w:val="20"/>
                <w:szCs w:val="20"/>
              </w:rPr>
              <w:t>227</w:t>
            </w:r>
          </w:p>
        </w:tc>
        <w:tc>
          <w:tcPr>
            <w:tcW w:w="1220" w:type="dxa"/>
            <w:shd w:val="clear" w:color="auto" w:fill="auto"/>
            <w:noWrap/>
            <w:vAlign w:val="bottom"/>
            <w:hideMark/>
          </w:tcPr>
          <w:p w:rsidR="00E950E9" w:rsidRPr="00CA0BEA" w:rsidRDefault="00E950E9" w:rsidP="00EF37A9">
            <w:pPr>
              <w:jc w:val="right"/>
              <w:rPr>
                <w:sz w:val="20"/>
                <w:szCs w:val="20"/>
              </w:rPr>
            </w:pPr>
            <w:r>
              <w:rPr>
                <w:sz w:val="20"/>
                <w:szCs w:val="20"/>
              </w:rPr>
              <w:t>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72,1</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72,1</w:t>
            </w:r>
          </w:p>
        </w:tc>
        <w:tc>
          <w:tcPr>
            <w:tcW w:w="1076" w:type="dxa"/>
            <w:shd w:val="clear" w:color="auto" w:fill="auto"/>
            <w:noWrap/>
            <w:vAlign w:val="bottom"/>
            <w:hideMark/>
          </w:tcPr>
          <w:p w:rsidR="00E950E9" w:rsidRPr="00CA0BEA" w:rsidRDefault="00E950E9" w:rsidP="00EF37A9">
            <w:pPr>
              <w:jc w:val="right"/>
              <w:rPr>
                <w:sz w:val="20"/>
                <w:szCs w:val="20"/>
              </w:rPr>
            </w:pPr>
            <w:r>
              <w:rPr>
                <w:sz w:val="20"/>
                <w:szCs w:val="20"/>
              </w:rPr>
              <w:t>100,0</w:t>
            </w:r>
          </w:p>
        </w:tc>
      </w:tr>
      <w:tr w:rsidR="00E950E9" w:rsidRPr="00B51D8C" w:rsidTr="00E950E9">
        <w:trPr>
          <w:trHeight w:val="270"/>
        </w:trPr>
        <w:tc>
          <w:tcPr>
            <w:tcW w:w="4268" w:type="dxa"/>
            <w:shd w:val="clear" w:color="auto" w:fill="auto"/>
            <w:vAlign w:val="bottom"/>
            <w:hideMark/>
          </w:tcPr>
          <w:p w:rsidR="00E950E9" w:rsidRPr="00A4143B" w:rsidRDefault="00E950E9" w:rsidP="00EF37A9">
            <w:pPr>
              <w:rPr>
                <w:sz w:val="20"/>
                <w:szCs w:val="20"/>
              </w:rPr>
            </w:pPr>
            <w:r w:rsidRPr="00A4143B">
              <w:rPr>
                <w:sz w:val="20"/>
                <w:szCs w:val="20"/>
              </w:rPr>
              <w:t>Иные расходы</w:t>
            </w:r>
          </w:p>
        </w:tc>
        <w:tc>
          <w:tcPr>
            <w:tcW w:w="1701" w:type="dxa"/>
            <w:shd w:val="clear" w:color="auto" w:fill="auto"/>
            <w:noWrap/>
            <w:vAlign w:val="bottom"/>
            <w:hideMark/>
          </w:tcPr>
          <w:p w:rsidR="00E950E9" w:rsidRDefault="00E950E9" w:rsidP="00EF37A9">
            <w:pPr>
              <w:jc w:val="center"/>
              <w:rPr>
                <w:sz w:val="20"/>
                <w:szCs w:val="20"/>
              </w:rPr>
            </w:pPr>
            <w:r>
              <w:rPr>
                <w:sz w:val="20"/>
                <w:szCs w:val="20"/>
              </w:rPr>
              <w:t>296</w:t>
            </w:r>
          </w:p>
        </w:tc>
        <w:tc>
          <w:tcPr>
            <w:tcW w:w="1220" w:type="dxa"/>
            <w:shd w:val="clear" w:color="auto" w:fill="auto"/>
            <w:noWrap/>
            <w:vAlign w:val="bottom"/>
            <w:hideMark/>
          </w:tcPr>
          <w:p w:rsidR="00E950E9" w:rsidRPr="00B51D8C" w:rsidRDefault="00E950E9" w:rsidP="00EF37A9">
            <w:pPr>
              <w:jc w:val="right"/>
              <w:rPr>
                <w:sz w:val="20"/>
                <w:szCs w:val="20"/>
              </w:rPr>
            </w:pPr>
            <w:r>
              <w:rPr>
                <w:sz w:val="20"/>
                <w:szCs w:val="20"/>
              </w:rPr>
              <w:t>190,0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0</w:t>
            </w:r>
          </w:p>
        </w:tc>
        <w:tc>
          <w:tcPr>
            <w:tcW w:w="895" w:type="dxa"/>
            <w:shd w:val="clear" w:color="auto" w:fill="auto"/>
            <w:noWrap/>
            <w:vAlign w:val="bottom"/>
            <w:hideMark/>
          </w:tcPr>
          <w:p w:rsidR="00E950E9" w:rsidRDefault="00E950E9" w:rsidP="00EF37A9">
            <w:pPr>
              <w:jc w:val="right"/>
              <w:rPr>
                <w:sz w:val="20"/>
                <w:szCs w:val="20"/>
              </w:rPr>
            </w:pPr>
            <w:r>
              <w:rPr>
                <w:sz w:val="20"/>
                <w:szCs w:val="20"/>
              </w:rPr>
              <w:t>-190,0</w:t>
            </w:r>
          </w:p>
        </w:tc>
        <w:tc>
          <w:tcPr>
            <w:tcW w:w="1076" w:type="dxa"/>
            <w:shd w:val="clear" w:color="auto" w:fill="auto"/>
            <w:noWrap/>
            <w:vAlign w:val="bottom"/>
            <w:hideMark/>
          </w:tcPr>
          <w:p w:rsidR="00E950E9" w:rsidRDefault="00E950E9" w:rsidP="00EF37A9">
            <w:pPr>
              <w:jc w:val="right"/>
              <w:rPr>
                <w:sz w:val="20"/>
                <w:szCs w:val="20"/>
              </w:rPr>
            </w:pPr>
            <w:r>
              <w:rPr>
                <w:sz w:val="20"/>
                <w:szCs w:val="20"/>
              </w:rPr>
              <w:t>-100,0</w:t>
            </w:r>
          </w:p>
        </w:tc>
      </w:tr>
      <w:tr w:rsidR="00E950E9" w:rsidRPr="00EB6525" w:rsidTr="00E950E9">
        <w:trPr>
          <w:trHeight w:val="267"/>
        </w:trPr>
        <w:tc>
          <w:tcPr>
            <w:tcW w:w="4268" w:type="dxa"/>
            <w:shd w:val="clear" w:color="auto" w:fill="auto"/>
            <w:vAlign w:val="bottom"/>
            <w:hideMark/>
          </w:tcPr>
          <w:p w:rsidR="00E950E9" w:rsidRPr="00CA0BEA" w:rsidRDefault="00E950E9" w:rsidP="00EF37A9">
            <w:pPr>
              <w:rPr>
                <w:sz w:val="20"/>
                <w:szCs w:val="20"/>
              </w:rPr>
            </w:pPr>
            <w:r w:rsidRPr="00CA0BEA">
              <w:rPr>
                <w:sz w:val="20"/>
                <w:szCs w:val="20"/>
              </w:rPr>
              <w:t>Увеличение стоимости основных средств</w:t>
            </w:r>
          </w:p>
        </w:tc>
        <w:tc>
          <w:tcPr>
            <w:tcW w:w="1701" w:type="dxa"/>
            <w:shd w:val="clear" w:color="auto" w:fill="auto"/>
            <w:noWrap/>
            <w:vAlign w:val="bottom"/>
            <w:hideMark/>
          </w:tcPr>
          <w:p w:rsidR="00E950E9" w:rsidRPr="00CA0BEA" w:rsidRDefault="00E950E9" w:rsidP="00EF37A9">
            <w:pPr>
              <w:jc w:val="center"/>
              <w:rPr>
                <w:sz w:val="20"/>
                <w:szCs w:val="20"/>
              </w:rPr>
            </w:pPr>
            <w:r w:rsidRPr="00CA0BEA">
              <w:rPr>
                <w:sz w:val="20"/>
                <w:szCs w:val="20"/>
              </w:rPr>
              <w:t>310</w:t>
            </w:r>
          </w:p>
        </w:tc>
        <w:tc>
          <w:tcPr>
            <w:tcW w:w="1220" w:type="dxa"/>
            <w:shd w:val="clear" w:color="auto" w:fill="auto"/>
            <w:noWrap/>
            <w:vAlign w:val="bottom"/>
            <w:hideMark/>
          </w:tcPr>
          <w:p w:rsidR="00E950E9" w:rsidRPr="00CA0BEA" w:rsidRDefault="00E950E9" w:rsidP="00EF37A9">
            <w:pPr>
              <w:jc w:val="right"/>
              <w:rPr>
                <w:sz w:val="20"/>
                <w:szCs w:val="20"/>
              </w:rPr>
            </w:pPr>
            <w:r w:rsidRPr="00CA0BEA">
              <w:rPr>
                <w:sz w:val="20"/>
                <w:szCs w:val="20"/>
              </w:rPr>
              <w:t>484,6</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236,9</w:t>
            </w:r>
          </w:p>
        </w:tc>
        <w:tc>
          <w:tcPr>
            <w:tcW w:w="895" w:type="dxa"/>
            <w:shd w:val="clear" w:color="auto" w:fill="auto"/>
            <w:noWrap/>
            <w:vAlign w:val="bottom"/>
            <w:hideMark/>
          </w:tcPr>
          <w:p w:rsidR="00E950E9" w:rsidRPr="00CA0BEA" w:rsidRDefault="00E950E9" w:rsidP="00EF37A9">
            <w:pPr>
              <w:jc w:val="right"/>
              <w:rPr>
                <w:sz w:val="20"/>
                <w:szCs w:val="20"/>
              </w:rPr>
            </w:pPr>
            <w:r>
              <w:rPr>
                <w:sz w:val="20"/>
                <w:szCs w:val="20"/>
              </w:rPr>
              <w:t>-247,7</w:t>
            </w:r>
          </w:p>
        </w:tc>
        <w:tc>
          <w:tcPr>
            <w:tcW w:w="1076" w:type="dxa"/>
            <w:shd w:val="clear" w:color="auto" w:fill="auto"/>
            <w:noWrap/>
            <w:vAlign w:val="bottom"/>
            <w:hideMark/>
          </w:tcPr>
          <w:p w:rsidR="00E950E9" w:rsidRPr="00EB6525" w:rsidRDefault="00E950E9" w:rsidP="00EF37A9">
            <w:pPr>
              <w:jc w:val="right"/>
              <w:rPr>
                <w:sz w:val="20"/>
                <w:szCs w:val="20"/>
              </w:rPr>
            </w:pPr>
            <w:r>
              <w:rPr>
                <w:sz w:val="20"/>
                <w:szCs w:val="20"/>
              </w:rPr>
              <w:t>-51,1</w:t>
            </w:r>
          </w:p>
        </w:tc>
      </w:tr>
      <w:tr w:rsidR="00E950E9" w:rsidRPr="00EB6525" w:rsidTr="00E950E9">
        <w:trPr>
          <w:trHeight w:val="116"/>
        </w:trPr>
        <w:tc>
          <w:tcPr>
            <w:tcW w:w="4268" w:type="dxa"/>
            <w:shd w:val="clear" w:color="auto" w:fill="auto"/>
            <w:vAlign w:val="bottom"/>
            <w:hideMark/>
          </w:tcPr>
          <w:p w:rsidR="00E950E9" w:rsidRPr="00584300" w:rsidRDefault="00E950E9" w:rsidP="00EF37A9">
            <w:pPr>
              <w:rPr>
                <w:sz w:val="20"/>
                <w:szCs w:val="20"/>
              </w:rPr>
            </w:pPr>
            <w:r w:rsidRPr="00584300">
              <w:rPr>
                <w:sz w:val="20"/>
                <w:szCs w:val="20"/>
              </w:rPr>
              <w:t>Увеличение стоимости материальных запасов</w:t>
            </w:r>
          </w:p>
        </w:tc>
        <w:tc>
          <w:tcPr>
            <w:tcW w:w="1701" w:type="dxa"/>
            <w:shd w:val="clear" w:color="auto" w:fill="auto"/>
            <w:noWrap/>
            <w:vAlign w:val="bottom"/>
            <w:hideMark/>
          </w:tcPr>
          <w:p w:rsidR="00E950E9" w:rsidRPr="00584300" w:rsidRDefault="00E950E9" w:rsidP="00EF37A9">
            <w:pPr>
              <w:jc w:val="center"/>
              <w:rPr>
                <w:sz w:val="20"/>
                <w:szCs w:val="20"/>
              </w:rPr>
            </w:pPr>
            <w:r w:rsidRPr="00584300">
              <w:rPr>
                <w:sz w:val="20"/>
                <w:szCs w:val="20"/>
              </w:rPr>
              <w:t>340</w:t>
            </w:r>
          </w:p>
        </w:tc>
        <w:tc>
          <w:tcPr>
            <w:tcW w:w="1220" w:type="dxa"/>
            <w:shd w:val="clear" w:color="auto" w:fill="auto"/>
            <w:noWrap/>
            <w:vAlign w:val="bottom"/>
            <w:hideMark/>
          </w:tcPr>
          <w:p w:rsidR="00E950E9" w:rsidRPr="00584300" w:rsidRDefault="00E950E9" w:rsidP="00EF37A9">
            <w:pPr>
              <w:jc w:val="right"/>
              <w:rPr>
                <w:sz w:val="20"/>
                <w:szCs w:val="20"/>
              </w:rPr>
            </w:pPr>
            <w:r>
              <w:rPr>
                <w:sz w:val="20"/>
                <w:szCs w:val="20"/>
              </w:rPr>
              <w:t>1 354,0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0,0</w:t>
            </w:r>
          </w:p>
        </w:tc>
        <w:tc>
          <w:tcPr>
            <w:tcW w:w="895" w:type="dxa"/>
            <w:shd w:val="clear" w:color="auto" w:fill="auto"/>
            <w:noWrap/>
            <w:vAlign w:val="bottom"/>
            <w:hideMark/>
          </w:tcPr>
          <w:p w:rsidR="00E950E9" w:rsidRPr="00584300" w:rsidRDefault="00E950E9" w:rsidP="00EF37A9">
            <w:pPr>
              <w:jc w:val="right"/>
              <w:rPr>
                <w:sz w:val="20"/>
                <w:szCs w:val="20"/>
              </w:rPr>
            </w:pPr>
            <w:r>
              <w:rPr>
                <w:sz w:val="20"/>
                <w:szCs w:val="20"/>
              </w:rPr>
              <w:t>-1 354,0</w:t>
            </w:r>
          </w:p>
        </w:tc>
        <w:tc>
          <w:tcPr>
            <w:tcW w:w="1076" w:type="dxa"/>
            <w:shd w:val="clear" w:color="auto" w:fill="auto"/>
            <w:noWrap/>
            <w:vAlign w:val="bottom"/>
            <w:hideMark/>
          </w:tcPr>
          <w:p w:rsidR="00E950E9" w:rsidRPr="00584300" w:rsidRDefault="00E950E9" w:rsidP="00EF37A9">
            <w:pPr>
              <w:jc w:val="right"/>
              <w:rPr>
                <w:sz w:val="20"/>
                <w:szCs w:val="20"/>
              </w:rPr>
            </w:pPr>
            <w:r>
              <w:rPr>
                <w:sz w:val="20"/>
                <w:szCs w:val="20"/>
              </w:rPr>
              <w:t>-100,0</w:t>
            </w:r>
          </w:p>
        </w:tc>
      </w:tr>
      <w:tr w:rsidR="00E950E9" w:rsidRPr="00EB6525" w:rsidTr="00E950E9">
        <w:trPr>
          <w:trHeight w:val="116"/>
        </w:trPr>
        <w:tc>
          <w:tcPr>
            <w:tcW w:w="4268" w:type="dxa"/>
            <w:shd w:val="clear" w:color="auto" w:fill="auto"/>
            <w:vAlign w:val="bottom"/>
            <w:hideMark/>
          </w:tcPr>
          <w:p w:rsidR="00E950E9" w:rsidRPr="00584300" w:rsidRDefault="00E950E9" w:rsidP="00EF37A9">
            <w:pPr>
              <w:rPr>
                <w:sz w:val="20"/>
                <w:szCs w:val="20"/>
              </w:rPr>
            </w:pPr>
            <w:r>
              <w:rPr>
                <w:sz w:val="20"/>
                <w:szCs w:val="20"/>
              </w:rPr>
              <w:t>Увеличение стоимости горюче-смазочных материалов</w:t>
            </w:r>
          </w:p>
        </w:tc>
        <w:tc>
          <w:tcPr>
            <w:tcW w:w="1701" w:type="dxa"/>
            <w:shd w:val="clear" w:color="auto" w:fill="auto"/>
            <w:noWrap/>
            <w:vAlign w:val="bottom"/>
            <w:hideMark/>
          </w:tcPr>
          <w:p w:rsidR="00E950E9" w:rsidRPr="00584300" w:rsidRDefault="00E950E9" w:rsidP="00EF37A9">
            <w:pPr>
              <w:jc w:val="center"/>
              <w:rPr>
                <w:sz w:val="20"/>
                <w:szCs w:val="20"/>
              </w:rPr>
            </w:pPr>
            <w:r>
              <w:rPr>
                <w:sz w:val="20"/>
                <w:szCs w:val="20"/>
              </w:rPr>
              <w:t>343</w:t>
            </w:r>
          </w:p>
        </w:tc>
        <w:tc>
          <w:tcPr>
            <w:tcW w:w="1220" w:type="dxa"/>
            <w:shd w:val="clear" w:color="auto" w:fill="auto"/>
            <w:noWrap/>
            <w:vAlign w:val="bottom"/>
            <w:hideMark/>
          </w:tcPr>
          <w:p w:rsidR="00E950E9" w:rsidRDefault="00E950E9" w:rsidP="00EF37A9">
            <w:pPr>
              <w:jc w:val="right"/>
              <w:rPr>
                <w:sz w:val="20"/>
                <w:szCs w:val="20"/>
              </w:rPr>
            </w:pPr>
            <w:r>
              <w:rPr>
                <w:sz w:val="20"/>
                <w:szCs w:val="20"/>
              </w:rPr>
              <w:t>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539,7</w:t>
            </w:r>
          </w:p>
        </w:tc>
        <w:tc>
          <w:tcPr>
            <w:tcW w:w="895" w:type="dxa"/>
            <w:shd w:val="clear" w:color="auto" w:fill="auto"/>
            <w:noWrap/>
            <w:vAlign w:val="bottom"/>
            <w:hideMark/>
          </w:tcPr>
          <w:p w:rsidR="00E950E9" w:rsidRDefault="00E950E9" w:rsidP="00EF37A9">
            <w:pPr>
              <w:jc w:val="right"/>
              <w:rPr>
                <w:sz w:val="20"/>
                <w:szCs w:val="20"/>
              </w:rPr>
            </w:pPr>
            <w:r>
              <w:rPr>
                <w:sz w:val="20"/>
                <w:szCs w:val="20"/>
              </w:rPr>
              <w:t>539,7</w:t>
            </w:r>
          </w:p>
        </w:tc>
        <w:tc>
          <w:tcPr>
            <w:tcW w:w="1076" w:type="dxa"/>
            <w:shd w:val="clear" w:color="auto" w:fill="auto"/>
            <w:noWrap/>
            <w:vAlign w:val="bottom"/>
            <w:hideMark/>
          </w:tcPr>
          <w:p w:rsidR="00E950E9" w:rsidRDefault="00E950E9" w:rsidP="00EF37A9">
            <w:pPr>
              <w:jc w:val="right"/>
              <w:rPr>
                <w:sz w:val="20"/>
                <w:szCs w:val="20"/>
              </w:rPr>
            </w:pPr>
            <w:r>
              <w:rPr>
                <w:sz w:val="20"/>
                <w:szCs w:val="20"/>
              </w:rPr>
              <w:t>100,0</w:t>
            </w:r>
          </w:p>
        </w:tc>
      </w:tr>
      <w:tr w:rsidR="00E950E9" w:rsidRPr="00EB6525" w:rsidTr="00E950E9">
        <w:trPr>
          <w:trHeight w:val="116"/>
        </w:trPr>
        <w:tc>
          <w:tcPr>
            <w:tcW w:w="4268" w:type="dxa"/>
            <w:shd w:val="clear" w:color="auto" w:fill="auto"/>
            <w:vAlign w:val="bottom"/>
            <w:hideMark/>
          </w:tcPr>
          <w:p w:rsidR="00E950E9" w:rsidRDefault="00E950E9" w:rsidP="00EF37A9">
            <w:pPr>
              <w:rPr>
                <w:sz w:val="20"/>
                <w:szCs w:val="20"/>
              </w:rPr>
            </w:pPr>
            <w:r>
              <w:rPr>
                <w:sz w:val="20"/>
                <w:szCs w:val="20"/>
              </w:rPr>
              <w:t>Увеличение стоимости прочих материальных запасов однократного применения</w:t>
            </w:r>
          </w:p>
        </w:tc>
        <w:tc>
          <w:tcPr>
            <w:tcW w:w="1701" w:type="dxa"/>
            <w:shd w:val="clear" w:color="auto" w:fill="auto"/>
            <w:noWrap/>
            <w:vAlign w:val="bottom"/>
            <w:hideMark/>
          </w:tcPr>
          <w:p w:rsidR="00E950E9" w:rsidRDefault="00E950E9" w:rsidP="00EF37A9">
            <w:pPr>
              <w:jc w:val="center"/>
              <w:rPr>
                <w:sz w:val="20"/>
                <w:szCs w:val="20"/>
              </w:rPr>
            </w:pPr>
            <w:r>
              <w:rPr>
                <w:sz w:val="20"/>
                <w:szCs w:val="20"/>
              </w:rPr>
              <w:t>343</w:t>
            </w:r>
          </w:p>
        </w:tc>
        <w:tc>
          <w:tcPr>
            <w:tcW w:w="1220" w:type="dxa"/>
            <w:shd w:val="clear" w:color="auto" w:fill="auto"/>
            <w:noWrap/>
            <w:vAlign w:val="bottom"/>
            <w:hideMark/>
          </w:tcPr>
          <w:p w:rsidR="00E950E9" w:rsidRDefault="00E950E9" w:rsidP="00EF37A9">
            <w:pPr>
              <w:jc w:val="right"/>
              <w:rPr>
                <w:sz w:val="20"/>
                <w:szCs w:val="20"/>
              </w:rPr>
            </w:pPr>
            <w:r>
              <w:rPr>
                <w:sz w:val="20"/>
                <w:szCs w:val="20"/>
              </w:rPr>
              <w:t>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180,7</w:t>
            </w:r>
          </w:p>
        </w:tc>
        <w:tc>
          <w:tcPr>
            <w:tcW w:w="895" w:type="dxa"/>
            <w:shd w:val="clear" w:color="auto" w:fill="auto"/>
            <w:noWrap/>
            <w:vAlign w:val="bottom"/>
            <w:hideMark/>
          </w:tcPr>
          <w:p w:rsidR="00E950E9" w:rsidRDefault="00E950E9" w:rsidP="00EF37A9">
            <w:pPr>
              <w:jc w:val="right"/>
              <w:rPr>
                <w:sz w:val="20"/>
                <w:szCs w:val="20"/>
              </w:rPr>
            </w:pPr>
            <w:r>
              <w:rPr>
                <w:sz w:val="20"/>
                <w:szCs w:val="20"/>
              </w:rPr>
              <w:t>180,7</w:t>
            </w:r>
          </w:p>
        </w:tc>
        <w:tc>
          <w:tcPr>
            <w:tcW w:w="1076" w:type="dxa"/>
            <w:shd w:val="clear" w:color="auto" w:fill="auto"/>
            <w:noWrap/>
            <w:vAlign w:val="bottom"/>
            <w:hideMark/>
          </w:tcPr>
          <w:p w:rsidR="00E950E9" w:rsidRDefault="00E950E9" w:rsidP="00EF37A9">
            <w:pPr>
              <w:jc w:val="right"/>
              <w:rPr>
                <w:sz w:val="20"/>
                <w:szCs w:val="20"/>
              </w:rPr>
            </w:pPr>
            <w:r>
              <w:rPr>
                <w:sz w:val="20"/>
                <w:szCs w:val="20"/>
              </w:rPr>
              <w:t>100,0</w:t>
            </w:r>
          </w:p>
        </w:tc>
      </w:tr>
      <w:tr w:rsidR="00E950E9" w:rsidRPr="00EB6525" w:rsidTr="00E950E9">
        <w:trPr>
          <w:trHeight w:val="116"/>
        </w:trPr>
        <w:tc>
          <w:tcPr>
            <w:tcW w:w="4268" w:type="dxa"/>
            <w:shd w:val="clear" w:color="auto" w:fill="auto"/>
            <w:vAlign w:val="bottom"/>
            <w:hideMark/>
          </w:tcPr>
          <w:p w:rsidR="00E950E9" w:rsidRDefault="00E950E9" w:rsidP="00EF37A9">
            <w:pPr>
              <w:rPr>
                <w:sz w:val="20"/>
                <w:szCs w:val="20"/>
              </w:rPr>
            </w:pPr>
            <w:r>
              <w:rPr>
                <w:sz w:val="20"/>
                <w:szCs w:val="20"/>
              </w:rPr>
              <w:t>Увеличение стоимости прочих оборотных запасов (материалов)</w:t>
            </w:r>
          </w:p>
        </w:tc>
        <w:tc>
          <w:tcPr>
            <w:tcW w:w="1701" w:type="dxa"/>
            <w:shd w:val="clear" w:color="auto" w:fill="auto"/>
            <w:noWrap/>
            <w:vAlign w:val="bottom"/>
            <w:hideMark/>
          </w:tcPr>
          <w:p w:rsidR="00E950E9" w:rsidRDefault="00E950E9" w:rsidP="00EF37A9">
            <w:pPr>
              <w:jc w:val="center"/>
              <w:rPr>
                <w:sz w:val="20"/>
                <w:szCs w:val="20"/>
              </w:rPr>
            </w:pPr>
            <w:r>
              <w:rPr>
                <w:sz w:val="20"/>
                <w:szCs w:val="20"/>
              </w:rPr>
              <w:t>346</w:t>
            </w:r>
          </w:p>
        </w:tc>
        <w:tc>
          <w:tcPr>
            <w:tcW w:w="1220" w:type="dxa"/>
            <w:shd w:val="clear" w:color="auto" w:fill="auto"/>
            <w:noWrap/>
            <w:vAlign w:val="bottom"/>
            <w:hideMark/>
          </w:tcPr>
          <w:p w:rsidR="00E950E9" w:rsidRDefault="00E950E9" w:rsidP="00EF37A9">
            <w:pPr>
              <w:jc w:val="right"/>
              <w:rPr>
                <w:sz w:val="20"/>
                <w:szCs w:val="20"/>
              </w:rPr>
            </w:pPr>
            <w:r>
              <w:rPr>
                <w:sz w:val="20"/>
                <w:szCs w:val="20"/>
              </w:rPr>
              <w:t>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379,9</w:t>
            </w:r>
          </w:p>
        </w:tc>
        <w:tc>
          <w:tcPr>
            <w:tcW w:w="895" w:type="dxa"/>
            <w:shd w:val="clear" w:color="auto" w:fill="auto"/>
            <w:noWrap/>
            <w:vAlign w:val="bottom"/>
            <w:hideMark/>
          </w:tcPr>
          <w:p w:rsidR="00E950E9" w:rsidRDefault="00E950E9" w:rsidP="00EF37A9">
            <w:pPr>
              <w:jc w:val="right"/>
              <w:rPr>
                <w:sz w:val="20"/>
                <w:szCs w:val="20"/>
              </w:rPr>
            </w:pPr>
            <w:r>
              <w:rPr>
                <w:sz w:val="20"/>
                <w:szCs w:val="20"/>
              </w:rPr>
              <w:t>379,9</w:t>
            </w:r>
          </w:p>
        </w:tc>
        <w:tc>
          <w:tcPr>
            <w:tcW w:w="1076" w:type="dxa"/>
            <w:shd w:val="clear" w:color="auto" w:fill="auto"/>
            <w:noWrap/>
            <w:vAlign w:val="bottom"/>
            <w:hideMark/>
          </w:tcPr>
          <w:p w:rsidR="00E950E9" w:rsidRDefault="00E950E9" w:rsidP="00EF37A9">
            <w:pPr>
              <w:jc w:val="right"/>
              <w:rPr>
                <w:sz w:val="20"/>
                <w:szCs w:val="20"/>
              </w:rPr>
            </w:pPr>
            <w:r>
              <w:rPr>
                <w:sz w:val="20"/>
                <w:szCs w:val="20"/>
              </w:rPr>
              <w:t>100,0</w:t>
            </w:r>
          </w:p>
        </w:tc>
      </w:tr>
      <w:tr w:rsidR="00E950E9" w:rsidRPr="00B51D8C" w:rsidTr="00E950E9">
        <w:trPr>
          <w:trHeight w:val="270"/>
        </w:trPr>
        <w:tc>
          <w:tcPr>
            <w:tcW w:w="4268" w:type="dxa"/>
            <w:shd w:val="clear" w:color="auto" w:fill="auto"/>
            <w:vAlign w:val="bottom"/>
            <w:hideMark/>
          </w:tcPr>
          <w:p w:rsidR="00E950E9" w:rsidRPr="00B51D8C" w:rsidRDefault="00E950E9" w:rsidP="00EF37A9">
            <w:pPr>
              <w:rPr>
                <w:sz w:val="20"/>
                <w:szCs w:val="20"/>
              </w:rPr>
            </w:pPr>
            <w:r w:rsidRPr="00B51D8C">
              <w:rPr>
                <w:sz w:val="20"/>
                <w:szCs w:val="20"/>
              </w:rPr>
              <w:t>Уплата налогов и сборов</w:t>
            </w:r>
          </w:p>
        </w:tc>
        <w:tc>
          <w:tcPr>
            <w:tcW w:w="1701" w:type="dxa"/>
            <w:shd w:val="clear" w:color="auto" w:fill="auto"/>
            <w:noWrap/>
            <w:vAlign w:val="bottom"/>
            <w:hideMark/>
          </w:tcPr>
          <w:p w:rsidR="00E950E9" w:rsidRPr="00B51D8C" w:rsidRDefault="00E950E9" w:rsidP="00EF37A9">
            <w:pPr>
              <w:jc w:val="center"/>
              <w:rPr>
                <w:sz w:val="20"/>
                <w:szCs w:val="20"/>
              </w:rPr>
            </w:pPr>
            <w:r>
              <w:rPr>
                <w:sz w:val="20"/>
                <w:szCs w:val="20"/>
              </w:rPr>
              <w:t>291</w:t>
            </w:r>
          </w:p>
        </w:tc>
        <w:tc>
          <w:tcPr>
            <w:tcW w:w="1220" w:type="dxa"/>
            <w:shd w:val="clear" w:color="auto" w:fill="auto"/>
            <w:noWrap/>
            <w:vAlign w:val="bottom"/>
            <w:hideMark/>
          </w:tcPr>
          <w:p w:rsidR="00E950E9" w:rsidRPr="00B51D8C" w:rsidRDefault="00E950E9" w:rsidP="00EF37A9">
            <w:pPr>
              <w:jc w:val="right"/>
              <w:rPr>
                <w:sz w:val="20"/>
                <w:szCs w:val="20"/>
              </w:rPr>
            </w:pPr>
            <w:r w:rsidRPr="00B51D8C">
              <w:rPr>
                <w:sz w:val="20"/>
                <w:szCs w:val="20"/>
              </w:rPr>
              <w:t>298,0</w:t>
            </w:r>
          </w:p>
        </w:tc>
        <w:tc>
          <w:tcPr>
            <w:tcW w:w="1016" w:type="dxa"/>
            <w:shd w:val="clear" w:color="auto" w:fill="auto"/>
            <w:noWrap/>
            <w:vAlign w:val="bottom"/>
            <w:hideMark/>
          </w:tcPr>
          <w:p w:rsidR="00E950E9" w:rsidRPr="003D130E" w:rsidRDefault="00E950E9" w:rsidP="00EF37A9">
            <w:pPr>
              <w:jc w:val="right"/>
              <w:rPr>
                <w:sz w:val="20"/>
                <w:szCs w:val="20"/>
              </w:rPr>
            </w:pPr>
            <w:r w:rsidRPr="003D130E">
              <w:rPr>
                <w:sz w:val="20"/>
                <w:szCs w:val="20"/>
              </w:rPr>
              <w:t>189,4</w:t>
            </w:r>
          </w:p>
        </w:tc>
        <w:tc>
          <w:tcPr>
            <w:tcW w:w="895" w:type="dxa"/>
            <w:shd w:val="clear" w:color="auto" w:fill="auto"/>
            <w:noWrap/>
            <w:vAlign w:val="bottom"/>
            <w:hideMark/>
          </w:tcPr>
          <w:p w:rsidR="00E950E9" w:rsidRPr="00B51D8C" w:rsidRDefault="00E950E9" w:rsidP="00EF37A9">
            <w:pPr>
              <w:jc w:val="right"/>
              <w:rPr>
                <w:sz w:val="20"/>
                <w:szCs w:val="20"/>
              </w:rPr>
            </w:pPr>
            <w:r>
              <w:rPr>
                <w:sz w:val="20"/>
                <w:szCs w:val="20"/>
              </w:rPr>
              <w:t>-108,6</w:t>
            </w:r>
          </w:p>
        </w:tc>
        <w:tc>
          <w:tcPr>
            <w:tcW w:w="1076" w:type="dxa"/>
            <w:shd w:val="clear" w:color="auto" w:fill="auto"/>
            <w:noWrap/>
            <w:vAlign w:val="bottom"/>
            <w:hideMark/>
          </w:tcPr>
          <w:p w:rsidR="00E950E9" w:rsidRPr="00B51D8C" w:rsidRDefault="00E950E9" w:rsidP="00EF37A9">
            <w:pPr>
              <w:jc w:val="right"/>
              <w:rPr>
                <w:sz w:val="20"/>
                <w:szCs w:val="20"/>
              </w:rPr>
            </w:pPr>
            <w:r>
              <w:rPr>
                <w:sz w:val="20"/>
                <w:szCs w:val="20"/>
              </w:rPr>
              <w:t>-0,6</w:t>
            </w:r>
          </w:p>
        </w:tc>
      </w:tr>
    </w:tbl>
    <w:p w:rsidR="00E950E9" w:rsidRDefault="00E950E9" w:rsidP="00E950E9">
      <w:pPr>
        <w:ind w:firstLine="680"/>
        <w:jc w:val="both"/>
      </w:pPr>
      <w:r w:rsidRPr="00A41306">
        <w:t xml:space="preserve">Как видно из таблицы, в 2019 году в целом наблюдается снижение расходов на </w:t>
      </w:r>
      <w:r>
        <w:t>461,0</w:t>
      </w:r>
      <w:r w:rsidRPr="00A41306">
        <w:t xml:space="preserve"> тыс. руб. (</w:t>
      </w:r>
      <w:r>
        <w:t>-1,3</w:t>
      </w:r>
      <w:r w:rsidRPr="00A41306">
        <w:t>%) относительно 2018 года.</w:t>
      </w:r>
      <w:r>
        <w:t xml:space="preserve"> </w:t>
      </w:r>
    </w:p>
    <w:p w:rsidR="00E950E9" w:rsidRPr="00B47CA9" w:rsidRDefault="00E950E9" w:rsidP="00E950E9">
      <w:pPr>
        <w:ind w:firstLine="680"/>
        <w:jc w:val="both"/>
      </w:pPr>
      <w:r w:rsidRPr="001145A2">
        <w:t>В разрезе отдельных видов расходов наблюдается их существенный рост.</w:t>
      </w:r>
    </w:p>
    <w:p w:rsidR="00E950E9" w:rsidRDefault="00E950E9" w:rsidP="00E950E9">
      <w:pPr>
        <w:tabs>
          <w:tab w:val="left" w:pos="4962"/>
        </w:tabs>
        <w:ind w:firstLine="680"/>
        <w:jc w:val="both"/>
      </w:pPr>
      <w:r>
        <w:t>Так, расходы по арендной плате за пользование имуществом выросли на 582,4 тыс. руб. (+6,8%) в связи с увеличением ставки НДС с 18% до 20 процентов.</w:t>
      </w:r>
    </w:p>
    <w:p w:rsidR="00E950E9" w:rsidRPr="006B4D3F" w:rsidRDefault="00E950E9" w:rsidP="00E950E9">
      <w:pPr>
        <w:ind w:firstLine="680"/>
        <w:jc w:val="both"/>
        <w:rPr>
          <w:color w:val="FF0000"/>
        </w:rPr>
      </w:pPr>
      <w:r w:rsidRPr="00BE0322">
        <w:t xml:space="preserve">Расходы по </w:t>
      </w:r>
      <w:r>
        <w:t>прочим услугам (услуги парковки, проезд по платным автодорогам) в 201</w:t>
      </w:r>
      <w:r w:rsidRPr="006B4D3F">
        <w:t>9</w:t>
      </w:r>
      <w:r>
        <w:t xml:space="preserve"> году относительно 201</w:t>
      </w:r>
      <w:r w:rsidRPr="006B4D3F">
        <w:t>8</w:t>
      </w:r>
      <w:r>
        <w:t xml:space="preserve"> года увеличились на </w:t>
      </w:r>
      <w:r w:rsidRPr="006B4D3F">
        <w:t>590</w:t>
      </w:r>
      <w:r>
        <w:t>,</w:t>
      </w:r>
      <w:r w:rsidRPr="006B4D3F">
        <w:t>3</w:t>
      </w:r>
      <w:r>
        <w:t xml:space="preserve"> тыс. руб. (+27%) в связи с увеличением количества парковочных мест в аэропорту «Шереметьево» (в 2019 году предоставление парковочных мест в 2-х терминалах).</w:t>
      </w:r>
    </w:p>
    <w:p w:rsidR="00D43B5F" w:rsidRPr="00EF37A9" w:rsidRDefault="00D43B5F" w:rsidP="0004294A">
      <w:pPr>
        <w:autoSpaceDE w:val="0"/>
        <w:ind w:firstLine="680"/>
        <w:contextualSpacing/>
        <w:jc w:val="center"/>
        <w:rPr>
          <w:b/>
          <w:i/>
        </w:rPr>
      </w:pPr>
    </w:p>
    <w:p w:rsidR="0004294A" w:rsidRPr="00D95AFB" w:rsidRDefault="0004294A" w:rsidP="0004294A">
      <w:pPr>
        <w:autoSpaceDE w:val="0"/>
        <w:ind w:firstLine="680"/>
        <w:contextualSpacing/>
        <w:jc w:val="center"/>
        <w:rPr>
          <w:b/>
          <w:i/>
        </w:rPr>
      </w:pPr>
      <w:r w:rsidRPr="00D95AFB">
        <w:rPr>
          <w:b/>
          <w:i/>
        </w:rPr>
        <w:t>Динамика изменения дебиторской и кредиторской задолженностей</w:t>
      </w:r>
    </w:p>
    <w:p w:rsidR="00D63B87" w:rsidRPr="006521E0" w:rsidRDefault="00D63B87" w:rsidP="00D63B87">
      <w:pPr>
        <w:ind w:firstLine="720"/>
        <w:jc w:val="both"/>
        <w:rPr>
          <w:i/>
          <w:u w:val="single"/>
        </w:rPr>
      </w:pPr>
      <w:r w:rsidRPr="006521E0">
        <w:rPr>
          <w:i/>
          <w:u w:val="single"/>
        </w:rPr>
        <w:t>Состояние дебиторской задолженности</w:t>
      </w:r>
    </w:p>
    <w:p w:rsidR="00D63B87" w:rsidRDefault="00D63B87" w:rsidP="00D63B87">
      <w:pPr>
        <w:ind w:firstLine="680"/>
        <w:jc w:val="both"/>
      </w:pPr>
      <w:r w:rsidRPr="003F7598">
        <w:t>Дебиторская задолженность Представительства на 01.01.201</w:t>
      </w:r>
      <w:r>
        <w:t>9</w:t>
      </w:r>
      <w:r w:rsidRPr="003F7598">
        <w:t xml:space="preserve"> составляла 357,6 тыс</w:t>
      </w:r>
      <w:proofErr w:type="gramStart"/>
      <w:r w:rsidRPr="003F7598">
        <w:t>.р</w:t>
      </w:r>
      <w:proofErr w:type="gramEnd"/>
      <w:r w:rsidRPr="003F7598">
        <w:t>уб., на 01.01.20</w:t>
      </w:r>
      <w:r>
        <w:t>20</w:t>
      </w:r>
      <w:r w:rsidRPr="003F7598">
        <w:t xml:space="preserve"> – 3</w:t>
      </w:r>
      <w:r>
        <w:t>68</w:t>
      </w:r>
      <w:r w:rsidRPr="003F7598">
        <w:t>,</w:t>
      </w:r>
      <w:r>
        <w:t>3</w:t>
      </w:r>
      <w:r w:rsidRPr="003F7598">
        <w:t xml:space="preserve"> тыс. руб</w:t>
      </w:r>
      <w:r w:rsidR="00FC080A">
        <w:t>лей</w:t>
      </w:r>
      <w:r w:rsidRPr="003F7598">
        <w:t xml:space="preserve">. </w:t>
      </w:r>
      <w:r w:rsidR="00FC080A">
        <w:t>Следует отметить, что у</w:t>
      </w:r>
      <w:r w:rsidRPr="003F7598">
        <w:t xml:space="preserve">казанная сумма </w:t>
      </w:r>
      <w:r>
        <w:t xml:space="preserve">дебиторской </w:t>
      </w:r>
      <w:r w:rsidRPr="003F7598">
        <w:t xml:space="preserve">задолженности образовалась </w:t>
      </w:r>
      <w:r>
        <w:t xml:space="preserve">в результате переплаты Представительством </w:t>
      </w:r>
      <w:r w:rsidR="00337CCB">
        <w:t xml:space="preserve">в 2018 году </w:t>
      </w:r>
      <w:r>
        <w:t xml:space="preserve">страховых взносов по пособиям и больничным листам сотрудников. </w:t>
      </w:r>
    </w:p>
    <w:p w:rsidR="000801C0" w:rsidRDefault="00D63B87" w:rsidP="00D63B87">
      <w:pPr>
        <w:pStyle w:val="ConsPlusNormal"/>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r w:rsidRPr="00874EEF">
        <w:rPr>
          <w:rFonts w:ascii="Times New Roman" w:hAnsi="Times New Roman" w:cs="Times New Roman"/>
          <w:color w:val="000000"/>
          <w:sz w:val="24"/>
          <w:szCs w:val="24"/>
        </w:rPr>
        <w:t>п.2 ст.160.1 БК РФ</w:t>
      </w:r>
      <w:r>
        <w:rPr>
          <w:rFonts w:ascii="Times New Roman" w:hAnsi="Times New Roman" w:cs="Times New Roman"/>
          <w:color w:val="000000"/>
          <w:sz w:val="24"/>
          <w:szCs w:val="24"/>
        </w:rPr>
        <w:t xml:space="preserve"> на Представительство, как на администратора доходов, возложены полномочия по взысканию задолженности по </w:t>
      </w:r>
      <w:proofErr w:type="spellStart"/>
      <w:r>
        <w:rPr>
          <w:rFonts w:ascii="Times New Roman" w:hAnsi="Times New Roman" w:cs="Times New Roman"/>
          <w:color w:val="000000"/>
          <w:sz w:val="24"/>
          <w:szCs w:val="24"/>
        </w:rPr>
        <w:t>администрируемым</w:t>
      </w:r>
      <w:proofErr w:type="spellEnd"/>
      <w:r>
        <w:rPr>
          <w:rFonts w:ascii="Times New Roman" w:hAnsi="Times New Roman" w:cs="Times New Roman"/>
          <w:color w:val="000000"/>
          <w:sz w:val="24"/>
          <w:szCs w:val="24"/>
        </w:rPr>
        <w:t xml:space="preserve"> им доходам. </w:t>
      </w:r>
    </w:p>
    <w:p w:rsidR="000801C0" w:rsidRDefault="000801C0" w:rsidP="000801C0">
      <w:pPr>
        <w:pStyle w:val="ConsPlusNormal"/>
        <w:ind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 истечение</w:t>
      </w:r>
      <w:proofErr w:type="gramEnd"/>
      <w:r>
        <w:rPr>
          <w:rFonts w:ascii="Times New Roman" w:hAnsi="Times New Roman" w:cs="Times New Roman"/>
          <w:color w:val="000000"/>
          <w:sz w:val="24"/>
          <w:szCs w:val="24"/>
        </w:rPr>
        <w:t xml:space="preserve"> года должных мер по взысканию задолженности </w:t>
      </w:r>
      <w:r w:rsidR="0055060D">
        <w:rPr>
          <w:rFonts w:ascii="Times New Roman" w:hAnsi="Times New Roman" w:cs="Times New Roman"/>
          <w:color w:val="000000"/>
          <w:sz w:val="24"/>
          <w:szCs w:val="24"/>
        </w:rPr>
        <w:t xml:space="preserve">прошлых лет </w:t>
      </w:r>
      <w:r>
        <w:rPr>
          <w:rFonts w:ascii="Times New Roman" w:hAnsi="Times New Roman" w:cs="Times New Roman"/>
          <w:color w:val="000000"/>
          <w:sz w:val="24"/>
          <w:szCs w:val="24"/>
        </w:rPr>
        <w:t>по ФСС Представительством не принималось</w:t>
      </w:r>
      <w:r w:rsidR="00867101">
        <w:rPr>
          <w:rFonts w:ascii="Times New Roman" w:hAnsi="Times New Roman" w:cs="Times New Roman"/>
          <w:color w:val="000000"/>
          <w:sz w:val="24"/>
          <w:szCs w:val="24"/>
        </w:rPr>
        <w:t xml:space="preserve">. Так как срок для возврата указанной задолженности в досудебном порядке составляет три года, как предусмотрено </w:t>
      </w:r>
      <w:r w:rsidR="0055060D">
        <w:rPr>
          <w:rFonts w:ascii="Times New Roman" w:hAnsi="Times New Roman" w:cs="Times New Roman"/>
          <w:color w:val="000000"/>
          <w:sz w:val="24"/>
          <w:szCs w:val="24"/>
        </w:rPr>
        <w:t xml:space="preserve">п. 13 ст. 26.12 Федерального </w:t>
      </w:r>
      <w:r w:rsidR="00143A6D">
        <w:rPr>
          <w:rFonts w:ascii="Times New Roman" w:hAnsi="Times New Roman" w:cs="Times New Roman"/>
          <w:color w:val="000000"/>
          <w:sz w:val="24"/>
          <w:szCs w:val="24"/>
        </w:rPr>
        <w:t>з</w:t>
      </w:r>
      <w:r w:rsidR="00867101">
        <w:rPr>
          <w:rFonts w:ascii="Times New Roman" w:hAnsi="Times New Roman" w:cs="Times New Roman"/>
          <w:color w:val="000000"/>
          <w:sz w:val="24"/>
          <w:szCs w:val="24"/>
        </w:rPr>
        <w:t>акон</w:t>
      </w:r>
      <w:r w:rsidR="0055060D">
        <w:rPr>
          <w:rFonts w:ascii="Times New Roman" w:hAnsi="Times New Roman" w:cs="Times New Roman"/>
          <w:color w:val="000000"/>
          <w:sz w:val="24"/>
          <w:szCs w:val="24"/>
        </w:rPr>
        <w:t>а</w:t>
      </w:r>
      <w:r w:rsidR="00867101">
        <w:rPr>
          <w:rFonts w:ascii="Times New Roman" w:hAnsi="Times New Roman" w:cs="Times New Roman"/>
          <w:color w:val="000000"/>
          <w:sz w:val="24"/>
          <w:szCs w:val="24"/>
        </w:rPr>
        <w:t xml:space="preserve"> </w:t>
      </w:r>
      <w:r w:rsidR="00C23345">
        <w:rPr>
          <w:rFonts w:ascii="Times New Roman" w:hAnsi="Times New Roman" w:cs="Times New Roman"/>
          <w:color w:val="000000"/>
          <w:sz w:val="24"/>
          <w:szCs w:val="24"/>
        </w:rPr>
        <w:t xml:space="preserve">от 24.07.1998 №125-ФЗ </w:t>
      </w:r>
      <w:r w:rsidR="00867101">
        <w:rPr>
          <w:rFonts w:ascii="Times New Roman" w:hAnsi="Times New Roman" w:cs="Times New Roman"/>
          <w:color w:val="000000"/>
          <w:sz w:val="24"/>
          <w:szCs w:val="24"/>
        </w:rPr>
        <w:t xml:space="preserve">«Об обязательном социальном страховании от </w:t>
      </w:r>
      <w:proofErr w:type="spellStart"/>
      <w:r w:rsidR="00867101">
        <w:rPr>
          <w:rFonts w:ascii="Times New Roman" w:hAnsi="Times New Roman" w:cs="Times New Roman"/>
          <w:color w:val="000000"/>
          <w:sz w:val="24"/>
          <w:szCs w:val="24"/>
        </w:rPr>
        <w:t>несчастынх</w:t>
      </w:r>
      <w:proofErr w:type="spellEnd"/>
      <w:r w:rsidR="00867101">
        <w:rPr>
          <w:rFonts w:ascii="Times New Roman" w:hAnsi="Times New Roman" w:cs="Times New Roman"/>
          <w:color w:val="000000"/>
          <w:sz w:val="24"/>
          <w:szCs w:val="24"/>
        </w:rPr>
        <w:t xml:space="preserve"> случаев на производстве и профессиональных заболеваний»</w:t>
      </w:r>
      <w:r w:rsidR="003669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возникают риски потери </w:t>
      </w:r>
      <w:r>
        <w:rPr>
          <w:rFonts w:ascii="Times New Roman" w:hAnsi="Times New Roman" w:cs="Times New Roman"/>
          <w:color w:val="000000"/>
          <w:sz w:val="24"/>
          <w:szCs w:val="24"/>
        </w:rPr>
        <w:lastRenderedPageBreak/>
        <w:t xml:space="preserve">доходов </w:t>
      </w:r>
      <w:r w:rsidR="0067579A">
        <w:rPr>
          <w:rFonts w:ascii="Times New Roman" w:hAnsi="Times New Roman" w:cs="Times New Roman"/>
          <w:color w:val="000000"/>
          <w:sz w:val="24"/>
          <w:szCs w:val="24"/>
        </w:rPr>
        <w:t xml:space="preserve">областного </w:t>
      </w:r>
      <w:r>
        <w:rPr>
          <w:rFonts w:ascii="Times New Roman" w:hAnsi="Times New Roman" w:cs="Times New Roman"/>
          <w:color w:val="000000"/>
          <w:sz w:val="24"/>
          <w:szCs w:val="24"/>
        </w:rPr>
        <w:t>бюджета в сумме 357,6 тыс. р</w:t>
      </w:r>
      <w:r w:rsidR="0002491F">
        <w:rPr>
          <w:rFonts w:ascii="Times New Roman" w:hAnsi="Times New Roman" w:cs="Times New Roman"/>
          <w:color w:val="000000"/>
          <w:sz w:val="24"/>
          <w:szCs w:val="24"/>
        </w:rPr>
        <w:t>ублей</w:t>
      </w:r>
      <w:r>
        <w:rPr>
          <w:rFonts w:ascii="Times New Roman" w:hAnsi="Times New Roman" w:cs="Times New Roman"/>
          <w:color w:val="000000"/>
          <w:sz w:val="24"/>
          <w:szCs w:val="24"/>
        </w:rPr>
        <w:t>.</w:t>
      </w:r>
    </w:p>
    <w:p w:rsidR="0036696C" w:rsidRDefault="0036696C" w:rsidP="00D63B87">
      <w:pPr>
        <w:pStyle w:val="ConsPlusNormal"/>
        <w:ind w:firstLine="680"/>
        <w:jc w:val="both"/>
        <w:rPr>
          <w:rFonts w:ascii="Times New Roman" w:hAnsi="Times New Roman" w:cs="Times New Roman"/>
          <w:color w:val="000000"/>
          <w:sz w:val="24"/>
          <w:szCs w:val="24"/>
        </w:rPr>
      </w:pPr>
    </w:p>
    <w:p w:rsidR="00D63B87" w:rsidRPr="00146D5A" w:rsidRDefault="00D63B87" w:rsidP="00D63B87">
      <w:pPr>
        <w:ind w:firstLine="720"/>
        <w:jc w:val="both"/>
        <w:rPr>
          <w:i/>
          <w:u w:val="single"/>
        </w:rPr>
      </w:pPr>
      <w:r w:rsidRPr="00146D5A">
        <w:rPr>
          <w:i/>
          <w:u w:val="single"/>
        </w:rPr>
        <w:t>Состояние кредиторской задолженности</w:t>
      </w:r>
    </w:p>
    <w:p w:rsidR="00D63B87" w:rsidRDefault="00D63B87" w:rsidP="00D63B87">
      <w:pPr>
        <w:autoSpaceDE w:val="0"/>
        <w:autoSpaceDN w:val="0"/>
        <w:adjustRightInd w:val="0"/>
        <w:ind w:firstLine="709"/>
        <w:jc w:val="both"/>
        <w:rPr>
          <w:bCs/>
        </w:rPr>
      </w:pPr>
      <w:r w:rsidRPr="00146D5A">
        <w:rPr>
          <w:bCs/>
        </w:rPr>
        <w:t>Кредиторская задолженность на 01.01.201</w:t>
      </w:r>
      <w:r>
        <w:rPr>
          <w:bCs/>
        </w:rPr>
        <w:t>9</w:t>
      </w:r>
      <w:r w:rsidRPr="00146D5A">
        <w:rPr>
          <w:bCs/>
        </w:rPr>
        <w:t xml:space="preserve"> </w:t>
      </w:r>
      <w:r>
        <w:rPr>
          <w:bCs/>
        </w:rPr>
        <w:t xml:space="preserve">согласно ф.0503169 </w:t>
      </w:r>
      <w:r w:rsidRPr="00146D5A">
        <w:rPr>
          <w:bCs/>
        </w:rPr>
        <w:t>состав</w:t>
      </w:r>
      <w:r>
        <w:rPr>
          <w:bCs/>
        </w:rPr>
        <w:t>ляла</w:t>
      </w:r>
      <w:r w:rsidRPr="00146D5A">
        <w:rPr>
          <w:bCs/>
        </w:rPr>
        <w:t xml:space="preserve"> </w:t>
      </w:r>
      <w:r>
        <w:rPr>
          <w:bCs/>
        </w:rPr>
        <w:t>9 084,7</w:t>
      </w:r>
      <w:r w:rsidRPr="00146D5A">
        <w:rPr>
          <w:bCs/>
        </w:rPr>
        <w:t xml:space="preserve"> тыс. руб., </w:t>
      </w:r>
      <w:r w:rsidRPr="00146D5A">
        <w:t>на 01.01.20</w:t>
      </w:r>
      <w:r>
        <w:t>20</w:t>
      </w:r>
      <w:r w:rsidRPr="00146D5A">
        <w:t xml:space="preserve"> </w:t>
      </w:r>
      <w:r>
        <w:t>- 28 501,0</w:t>
      </w:r>
      <w:r w:rsidRPr="00146D5A">
        <w:t xml:space="preserve"> </w:t>
      </w:r>
      <w:r>
        <w:rPr>
          <w:bCs/>
        </w:rPr>
        <w:t xml:space="preserve">тыс. рублей. </w:t>
      </w:r>
    </w:p>
    <w:p w:rsidR="00D63B87" w:rsidRDefault="00D63B87" w:rsidP="00D63B87">
      <w:pPr>
        <w:autoSpaceDE w:val="0"/>
        <w:autoSpaceDN w:val="0"/>
        <w:adjustRightInd w:val="0"/>
        <w:ind w:firstLine="709"/>
        <w:jc w:val="both"/>
        <w:rPr>
          <w:bCs/>
        </w:rPr>
      </w:pPr>
      <w:r>
        <w:rPr>
          <w:bCs/>
        </w:rPr>
        <w:t xml:space="preserve">Увеличение задолженности более чем в три раза объясняется принятием обязательств по арендной плате за недвижимое имущество </w:t>
      </w:r>
      <w:r>
        <w:rPr>
          <w:color w:val="000000"/>
          <w:shd w:val="clear" w:color="auto" w:fill="FFFFFF"/>
        </w:rPr>
        <w:t>(аренда помещений) в сумме 28 586,8 тыс. руб. за весь срок пользования имуществом (согласно договор</w:t>
      </w:r>
      <w:r w:rsidR="000801C0">
        <w:rPr>
          <w:color w:val="000000"/>
          <w:shd w:val="clear" w:color="auto" w:fill="FFFFFF"/>
        </w:rPr>
        <w:t>у</w:t>
      </w:r>
      <w:r>
        <w:rPr>
          <w:color w:val="000000"/>
          <w:shd w:val="clear" w:color="auto" w:fill="FFFFFF"/>
        </w:rPr>
        <w:t xml:space="preserve"> аренды до 31.12.2022).</w:t>
      </w:r>
    </w:p>
    <w:p w:rsidR="00D63B87" w:rsidRPr="006521E0" w:rsidRDefault="00D63B87" w:rsidP="00D63B87">
      <w:pPr>
        <w:ind w:firstLine="720"/>
        <w:jc w:val="both"/>
      </w:pPr>
      <w:r w:rsidRPr="006521E0">
        <w:t>Просроченная дебиторская и кредиторская задолженность по данным Представительства отсутствует.</w:t>
      </w:r>
    </w:p>
    <w:p w:rsidR="009A5D7D" w:rsidRDefault="009A5D7D" w:rsidP="0004294A">
      <w:pPr>
        <w:ind w:left="-1276" w:firstLine="709"/>
        <w:jc w:val="center"/>
        <w:rPr>
          <w:b/>
          <w:i/>
        </w:rPr>
      </w:pPr>
    </w:p>
    <w:p w:rsidR="005A4C4D" w:rsidRPr="006521E0" w:rsidRDefault="005A4C4D" w:rsidP="005A4C4D">
      <w:pPr>
        <w:autoSpaceDE w:val="0"/>
        <w:autoSpaceDN w:val="0"/>
        <w:adjustRightInd w:val="0"/>
        <w:ind w:firstLine="720"/>
        <w:jc w:val="center"/>
        <w:rPr>
          <w:b/>
          <w:i/>
        </w:rPr>
      </w:pPr>
      <w:r w:rsidRPr="00AA7555">
        <w:rPr>
          <w:b/>
          <w:i/>
        </w:rPr>
        <w:t>Организация внутреннего финансового аудита.</w:t>
      </w:r>
    </w:p>
    <w:p w:rsidR="00A33B97" w:rsidRDefault="00A33B97" w:rsidP="00A33B97">
      <w:pPr>
        <w:ind w:firstLine="709"/>
        <w:jc w:val="both"/>
      </w:pPr>
      <w:bookmarkStart w:id="4" w:name="sub_160214"/>
      <w:r>
        <w:t>Во исполнение п. 4 и п.5 ст.160.2-1 БК РФ постановлением Правительства Волгоградской области от 26.05.2014 № 266-п утвержден Порядок осуществления внутреннего финансового контроля и внутреннего финансового аудита на территории Волгоградской области (далее – Постановление №266-п).</w:t>
      </w:r>
    </w:p>
    <w:p w:rsidR="00A33B97" w:rsidRDefault="00A33B97" w:rsidP="00A33B97">
      <w:pPr>
        <w:autoSpaceDE w:val="0"/>
        <w:autoSpaceDN w:val="0"/>
        <w:adjustRightInd w:val="0"/>
        <w:ind w:firstLine="720"/>
        <w:jc w:val="both"/>
      </w:pPr>
      <w:r w:rsidRPr="00C17D46">
        <w:t xml:space="preserve">Согласно п.3.1. </w:t>
      </w:r>
      <w:r>
        <w:t>Постановления №266-п</w:t>
      </w:r>
      <w:r w:rsidRPr="00C17D46">
        <w:t xml:space="preserve"> внутренний финансовый аудит осуществляется работниками главного ад</w:t>
      </w:r>
      <w:r>
        <w:t>министратора бюджетных средств</w:t>
      </w:r>
      <w:r w:rsidRPr="00C17D46">
        <w:t>, наделенными полномочиями по осуществлению внутреннего финансового аудита, на основе функциональной независимости.</w:t>
      </w:r>
    </w:p>
    <w:p w:rsidR="00A33814" w:rsidRPr="005D0AE1" w:rsidRDefault="00A33814" w:rsidP="00A33814">
      <w:pPr>
        <w:autoSpaceDE w:val="0"/>
        <w:autoSpaceDN w:val="0"/>
        <w:adjustRightInd w:val="0"/>
        <w:ind w:firstLine="720"/>
        <w:jc w:val="both"/>
      </w:pPr>
      <w:r w:rsidRPr="005D0AE1">
        <w:t xml:space="preserve">Приказом руководителя Представительства от </w:t>
      </w:r>
      <w:r>
        <w:t>30</w:t>
      </w:r>
      <w:r w:rsidRPr="005D0AE1">
        <w:t>.12.201</w:t>
      </w:r>
      <w:r>
        <w:t>8</w:t>
      </w:r>
      <w:r w:rsidRPr="005D0AE1">
        <w:t xml:space="preserve"> №2</w:t>
      </w:r>
      <w:r>
        <w:t>35</w:t>
      </w:r>
      <w:r w:rsidRPr="005D0AE1">
        <w:t xml:space="preserve"> утверждены план внутреннего финансового аудита и карта внутреннего финансового контроля Представительства на 201</w:t>
      </w:r>
      <w:r>
        <w:t>9</w:t>
      </w:r>
      <w:r w:rsidRPr="005D0AE1">
        <w:t xml:space="preserve"> год.</w:t>
      </w:r>
    </w:p>
    <w:p w:rsidR="00A33814" w:rsidRDefault="00A33814" w:rsidP="00A33B97">
      <w:pPr>
        <w:autoSpaceDE w:val="0"/>
        <w:autoSpaceDN w:val="0"/>
        <w:adjustRightInd w:val="0"/>
        <w:ind w:firstLine="720"/>
        <w:jc w:val="both"/>
      </w:pPr>
      <w:r w:rsidRPr="00EC3302">
        <w:t>В 2019 году в ходе осуществления контрольных действий в рамках внутреннего финансового контроля (самоконтроля) было проведено 7 мероприятий</w:t>
      </w:r>
      <w:r>
        <w:t xml:space="preserve">, нарушений не установлено. </w:t>
      </w:r>
      <w:r w:rsidRPr="0092183A">
        <w:t>В рамках проведения внутреннего финансового аудита в 201</w:t>
      </w:r>
      <w:r w:rsidR="005334CB">
        <w:t>9</w:t>
      </w:r>
      <w:r w:rsidRPr="0092183A">
        <w:t xml:space="preserve"> году Представительством </w:t>
      </w:r>
      <w:r>
        <w:t>проведено 6</w:t>
      </w:r>
      <w:r w:rsidRPr="0092183A">
        <w:t xml:space="preserve"> проверок</w:t>
      </w:r>
      <w:r w:rsidR="005334CB">
        <w:t>, нарушений также не установлено.</w:t>
      </w:r>
    </w:p>
    <w:p w:rsidR="00C32BB0" w:rsidRDefault="009A5D7D" w:rsidP="005A4C4D">
      <w:pPr>
        <w:autoSpaceDE w:val="0"/>
        <w:autoSpaceDN w:val="0"/>
        <w:adjustRightInd w:val="0"/>
        <w:ind w:firstLine="720"/>
        <w:jc w:val="both"/>
      </w:pPr>
      <w:r>
        <w:t>Вместе с тем</w:t>
      </w:r>
      <w:r w:rsidR="00C32BB0">
        <w:t xml:space="preserve"> настоящей проверкой было установлено</w:t>
      </w:r>
      <w:r w:rsidR="001F229E">
        <w:t xml:space="preserve"> значительное количество нарушений ведения бухгалтерского учета и составления бюджетной (финансовой) отчетности, что свидетельствует о некачественном финансовом аудите и финансовом контроле.</w:t>
      </w:r>
    </w:p>
    <w:bookmarkEnd w:id="4"/>
    <w:p w:rsidR="009A5D7D" w:rsidRDefault="009A5D7D" w:rsidP="00FE3CA9">
      <w:pPr>
        <w:ind w:firstLine="709"/>
        <w:jc w:val="both"/>
        <w:rPr>
          <w:b/>
          <w:i/>
        </w:rPr>
      </w:pPr>
    </w:p>
    <w:p w:rsidR="004B505E" w:rsidRDefault="004B505E" w:rsidP="00FE3CA9">
      <w:pPr>
        <w:ind w:firstLine="709"/>
        <w:jc w:val="both"/>
        <w:rPr>
          <w:b/>
          <w:i/>
        </w:rPr>
      </w:pPr>
      <w:r w:rsidRPr="002455F9">
        <w:rPr>
          <w:b/>
          <w:i/>
        </w:rPr>
        <w:t>Выводы:</w:t>
      </w:r>
    </w:p>
    <w:p w:rsidR="00C368FE" w:rsidRDefault="00C368FE" w:rsidP="0040669A">
      <w:pPr>
        <w:pStyle w:val="afb"/>
        <w:numPr>
          <w:ilvl w:val="0"/>
          <w:numId w:val="10"/>
        </w:numPr>
        <w:autoSpaceDE w:val="0"/>
        <w:autoSpaceDN w:val="0"/>
        <w:adjustRightInd w:val="0"/>
        <w:ind w:left="0" w:firstLine="709"/>
        <w:jc w:val="both"/>
      </w:pPr>
      <w:r>
        <w:t xml:space="preserve">Учетная политика Представительства не соответствует </w:t>
      </w:r>
      <w:r w:rsidRPr="0047609C">
        <w:t xml:space="preserve">требованиям </w:t>
      </w:r>
      <w:r w:rsidR="008E7C30">
        <w:t xml:space="preserve">Федерального стандарта </w:t>
      </w:r>
      <w:r w:rsidR="00E21A0D" w:rsidRPr="00831356">
        <w:t>СГС «Учетная политика»</w:t>
      </w:r>
      <w:r w:rsidRPr="0047609C">
        <w:t>, чем нарушен п.1 ч.6 ст</w:t>
      </w:r>
      <w:r w:rsidR="00D926EA">
        <w:t xml:space="preserve">. </w:t>
      </w:r>
      <w:r w:rsidR="001F229E">
        <w:t xml:space="preserve">8 Закона о </w:t>
      </w:r>
      <w:r w:rsidR="001F229E" w:rsidRPr="00284B73">
        <w:t>бухгалтерском учете</w:t>
      </w:r>
      <w:r w:rsidR="0055060D">
        <w:t>, что повлекло</w:t>
      </w:r>
      <w:r w:rsidR="0036696C" w:rsidRPr="00284B73">
        <w:t xml:space="preserve"> </w:t>
      </w:r>
      <w:r w:rsidR="001F229E" w:rsidRPr="00284B73">
        <w:t>значительное количество нарушений ведения бухгалтерского учета</w:t>
      </w:r>
      <w:r w:rsidR="00A308BC" w:rsidRPr="00284B73">
        <w:t xml:space="preserve"> </w:t>
      </w:r>
      <w:r w:rsidR="001F229E" w:rsidRPr="00284B73">
        <w:t>и</w:t>
      </w:r>
      <w:r w:rsidR="001F229E">
        <w:t xml:space="preserve"> составления форм бюджетной (финансовой) отчетности</w:t>
      </w:r>
      <w:r w:rsidR="00A308BC">
        <w:t>.</w:t>
      </w:r>
    </w:p>
    <w:p w:rsidR="0002491F" w:rsidRDefault="00660A43" w:rsidP="001E2D47">
      <w:pPr>
        <w:pStyle w:val="afb"/>
        <w:numPr>
          <w:ilvl w:val="0"/>
          <w:numId w:val="10"/>
        </w:numPr>
        <w:tabs>
          <w:tab w:val="left" w:pos="0"/>
        </w:tabs>
        <w:ind w:left="0" w:firstLine="709"/>
        <w:jc w:val="both"/>
      </w:pPr>
      <w:r>
        <w:t>В нарушение Инструкции №191н,</w:t>
      </w:r>
      <w:r w:rsidR="00B12A35">
        <w:t xml:space="preserve"> Инструкции №157н, Инструкции №162н</w:t>
      </w:r>
      <w:r>
        <w:t xml:space="preserve"> </w:t>
      </w:r>
      <w:r w:rsidR="00B12A35">
        <w:t>п</w:t>
      </w:r>
      <w:r w:rsidR="00C368FE">
        <w:t xml:space="preserve">роверкой установлено </w:t>
      </w:r>
      <w:r w:rsidR="00A308BC">
        <w:t>7</w:t>
      </w:r>
      <w:r w:rsidR="00C368FE">
        <w:t xml:space="preserve"> случаев </w:t>
      </w:r>
      <w:r w:rsidR="000801C0">
        <w:t xml:space="preserve">искажения </w:t>
      </w:r>
      <w:r w:rsidR="00A308BC">
        <w:t xml:space="preserve">форм бюджетной отчетности, в т.ч., </w:t>
      </w:r>
      <w:r w:rsidR="005F4321">
        <w:t>ф.0503110, ф. 1503121,</w:t>
      </w:r>
      <w:r w:rsidR="005F4321" w:rsidRPr="005F4321">
        <w:t xml:space="preserve"> </w:t>
      </w:r>
      <w:r w:rsidR="00A308BC">
        <w:t>ф.0503130</w:t>
      </w:r>
      <w:r w:rsidR="0002491F">
        <w:t xml:space="preserve"> (2 случая)</w:t>
      </w:r>
      <w:r w:rsidR="00A308BC">
        <w:t xml:space="preserve">, Справки о наличии имущества и обязательств на забалансовых счетах, ф.1503168, </w:t>
      </w:r>
      <w:r w:rsidR="005F4321">
        <w:t>ф.0503173</w:t>
      </w:r>
      <w:r w:rsidR="00A308BC">
        <w:t>.</w:t>
      </w:r>
      <w:r w:rsidR="00B12A35">
        <w:t xml:space="preserve"> </w:t>
      </w:r>
      <w:r w:rsidR="001E2D47" w:rsidRPr="00FF0499">
        <w:t xml:space="preserve">В ходе проверки </w:t>
      </w:r>
      <w:r w:rsidR="008761DD" w:rsidRPr="00FF0499">
        <w:t xml:space="preserve">28.02.2020 </w:t>
      </w:r>
      <w:r w:rsidR="001E2D47">
        <w:t xml:space="preserve">уточненные </w:t>
      </w:r>
      <w:r w:rsidR="001E2D47" w:rsidRPr="00FF0499">
        <w:t>(исправленн</w:t>
      </w:r>
      <w:r w:rsidR="001E2D47">
        <w:t>ые</w:t>
      </w:r>
      <w:r w:rsidR="001E2D47" w:rsidRPr="00FF0499">
        <w:t xml:space="preserve">) формы бюджетной отчетности представлены в </w:t>
      </w:r>
      <w:proofErr w:type="spellStart"/>
      <w:r w:rsidR="001E2D47" w:rsidRPr="00FF0499">
        <w:t>Облфин</w:t>
      </w:r>
      <w:proofErr w:type="spellEnd"/>
      <w:r w:rsidR="001E2D47" w:rsidRPr="00FF0499">
        <w:t xml:space="preserve"> до её принятия</w:t>
      </w:r>
      <w:r w:rsidR="0002491F">
        <w:t xml:space="preserve">, </w:t>
      </w:r>
      <w:r w:rsidR="0002491F" w:rsidRPr="00FF0499">
        <w:t>что освобождает должностны</w:t>
      </w:r>
      <w:r w:rsidR="00284B73">
        <w:t>х</w:t>
      </w:r>
      <w:r w:rsidR="0002491F" w:rsidRPr="00FF0499">
        <w:t xml:space="preserve"> лиц от административной ответственности</w:t>
      </w:r>
      <w:r w:rsidR="0002491F" w:rsidRPr="00FF0499">
        <w:rPr>
          <w:lang w:eastAsia="en-US"/>
        </w:rPr>
        <w:t xml:space="preserve"> </w:t>
      </w:r>
      <w:r w:rsidR="0002491F" w:rsidRPr="00FF0499">
        <w:t xml:space="preserve">на основании п.6 Примечаний к ст. 15.15.6 </w:t>
      </w:r>
      <w:proofErr w:type="spellStart"/>
      <w:r w:rsidR="0002491F" w:rsidRPr="00FF0499">
        <w:t>КоАП</w:t>
      </w:r>
      <w:proofErr w:type="spellEnd"/>
      <w:r w:rsidR="0002491F" w:rsidRPr="00FF0499">
        <w:t xml:space="preserve"> РФ. </w:t>
      </w:r>
      <w:r w:rsidR="001E2D47" w:rsidRPr="00FF0499">
        <w:t xml:space="preserve"> </w:t>
      </w:r>
    </w:p>
    <w:p w:rsidR="00AB4052" w:rsidRDefault="00AB4052" w:rsidP="001E2D47">
      <w:pPr>
        <w:pStyle w:val="afb"/>
        <w:numPr>
          <w:ilvl w:val="0"/>
          <w:numId w:val="10"/>
        </w:numPr>
        <w:tabs>
          <w:tab w:val="left" w:pos="0"/>
        </w:tabs>
        <w:ind w:left="0" w:firstLine="709"/>
        <w:jc w:val="both"/>
      </w:pPr>
      <w:r>
        <w:t>В нарушение п.1 ст. 10 и п. 1 ст. 13 Закона о бухгалтерском учете:</w:t>
      </w:r>
    </w:p>
    <w:p w:rsidR="00AB4052" w:rsidRDefault="00AB4052" w:rsidP="000B6AC6">
      <w:pPr>
        <w:pStyle w:val="afb"/>
        <w:tabs>
          <w:tab w:val="left" w:pos="0"/>
        </w:tabs>
        <w:ind w:left="0" w:firstLine="709"/>
        <w:jc w:val="both"/>
      </w:pPr>
      <w:r>
        <w:t>-</w:t>
      </w:r>
      <w:r w:rsidR="0099406A">
        <w:t xml:space="preserve"> </w:t>
      </w:r>
      <w:r>
        <w:t xml:space="preserve">не велся регистр бухгалтерского учета - </w:t>
      </w:r>
      <w:r w:rsidRPr="00A743C2">
        <w:t>Журнал по прочим операциям (ф. 0504071)</w:t>
      </w:r>
      <w:r>
        <w:t xml:space="preserve">, </w:t>
      </w:r>
      <w:r w:rsidR="000B6AC6">
        <w:t>данные которого необходимы для подтверждения обоснованности изменения показателей вступительного баланса</w:t>
      </w:r>
      <w:r w:rsidR="000B6AC6" w:rsidRPr="00F03471">
        <w:t xml:space="preserve"> </w:t>
      </w:r>
      <w:r w:rsidR="000B6AC6">
        <w:t>на начало 2019 года;</w:t>
      </w:r>
    </w:p>
    <w:p w:rsidR="000B6AC6" w:rsidRDefault="000B6AC6" w:rsidP="000B6AC6">
      <w:pPr>
        <w:pStyle w:val="afb"/>
        <w:tabs>
          <w:tab w:val="left" w:pos="0"/>
        </w:tabs>
        <w:ind w:left="0" w:firstLine="709"/>
        <w:jc w:val="both"/>
      </w:pPr>
      <w:r>
        <w:t>-</w:t>
      </w:r>
      <w:r w:rsidR="0099406A">
        <w:t xml:space="preserve"> </w:t>
      </w:r>
      <w:r>
        <w:t xml:space="preserve">произведено некорректное исправление ошибок прошлых лет, что привело к искажению информации об активах 2019 года на сумму </w:t>
      </w:r>
      <w:r w:rsidRPr="006A01E1">
        <w:rPr>
          <w:shd w:val="clear" w:color="auto" w:fill="FFFFFF"/>
        </w:rPr>
        <w:t>1 243,0 тыс. руб</w:t>
      </w:r>
      <w:r>
        <w:t>.</w:t>
      </w:r>
      <w:r w:rsidR="0099406A">
        <w:t>;</w:t>
      </w:r>
    </w:p>
    <w:p w:rsidR="000B6AC6" w:rsidRDefault="0099406A" w:rsidP="000B6AC6">
      <w:pPr>
        <w:pStyle w:val="afb"/>
        <w:tabs>
          <w:tab w:val="left" w:pos="0"/>
        </w:tabs>
        <w:ind w:left="0" w:firstLine="709"/>
        <w:jc w:val="both"/>
      </w:pPr>
      <w:r>
        <w:lastRenderedPageBreak/>
        <w:t>- не отражены в доходах текущего отчетного периода доходы от безвозмездного пользования имуществом в сумме справедливой стоимости арендных платежей</w:t>
      </w:r>
      <w:r w:rsidR="0067579A">
        <w:t>, что привело к и</w:t>
      </w:r>
      <w:r w:rsidR="0067579A" w:rsidRPr="00831356">
        <w:t>скажени</w:t>
      </w:r>
      <w:r w:rsidR="0067579A">
        <w:t>ю</w:t>
      </w:r>
      <w:r w:rsidR="0067579A" w:rsidRPr="00831356">
        <w:t xml:space="preserve"> информации о финансовом результате</w:t>
      </w:r>
      <w:r w:rsidR="0067579A">
        <w:t xml:space="preserve"> 2019 года на сумму </w:t>
      </w:r>
      <w:r w:rsidR="0067579A" w:rsidRPr="00DE7B4C">
        <w:t>1 243,0 тыс. руб</w:t>
      </w:r>
      <w:r w:rsidR="0067579A">
        <w:t>.</w:t>
      </w:r>
      <w:r>
        <w:t>;</w:t>
      </w:r>
    </w:p>
    <w:p w:rsidR="000B6AC6" w:rsidRDefault="00FC77C2" w:rsidP="000B6AC6">
      <w:pPr>
        <w:pStyle w:val="afb"/>
        <w:tabs>
          <w:tab w:val="left" w:pos="0"/>
        </w:tabs>
        <w:ind w:left="0" w:firstLine="709"/>
        <w:jc w:val="both"/>
      </w:pPr>
      <w:r>
        <w:t xml:space="preserve">- не </w:t>
      </w:r>
      <w:proofErr w:type="gramStart"/>
      <w:r>
        <w:t>учтены в бюджетном учете и не отражены</w:t>
      </w:r>
      <w:proofErr w:type="gramEnd"/>
      <w:r>
        <w:t xml:space="preserve"> на забалансовом счете </w:t>
      </w:r>
      <w:r w:rsidRPr="00831356">
        <w:t>01 «Имущество, полученное в пользование»</w:t>
      </w:r>
      <w:r>
        <w:t xml:space="preserve"> </w:t>
      </w:r>
      <w:r w:rsidRPr="00831356">
        <w:t>неисключительны</w:t>
      </w:r>
      <w:r>
        <w:t>е</w:t>
      </w:r>
      <w:r w:rsidRPr="00831356">
        <w:t xml:space="preserve"> лицензионны</w:t>
      </w:r>
      <w:r>
        <w:t>е</w:t>
      </w:r>
      <w:r w:rsidRPr="00831356">
        <w:t xml:space="preserve"> прав</w:t>
      </w:r>
      <w:r>
        <w:t>а</w:t>
      </w:r>
      <w:r w:rsidRPr="00831356">
        <w:t xml:space="preserve"> пользования программным обеспечением стоимостью 120,9 тыс. руб</w:t>
      </w:r>
      <w:r>
        <w:t>лей</w:t>
      </w:r>
      <w:r w:rsidRPr="00831356">
        <w:t>.</w:t>
      </w:r>
    </w:p>
    <w:p w:rsidR="00FA6EDE" w:rsidRDefault="00FC77C2" w:rsidP="00FC77C2">
      <w:pPr>
        <w:pStyle w:val="afb"/>
        <w:tabs>
          <w:tab w:val="left" w:pos="0"/>
        </w:tabs>
        <w:ind w:left="0" w:firstLine="709"/>
        <w:jc w:val="both"/>
      </w:pPr>
      <w:r>
        <w:t xml:space="preserve">4. </w:t>
      </w:r>
      <w:r w:rsidR="00FA6EDE" w:rsidRPr="005871A1">
        <w:t xml:space="preserve">Утвержденные бюджетные назначения по расходам исполнены в сумме </w:t>
      </w:r>
      <w:r w:rsidR="00FA6EDE">
        <w:t>34 814,7</w:t>
      </w:r>
      <w:r w:rsidR="00FA6EDE" w:rsidRPr="005871A1">
        <w:t xml:space="preserve"> тыс. руб., или </w:t>
      </w:r>
      <w:r w:rsidR="00284B73">
        <w:t xml:space="preserve">на </w:t>
      </w:r>
      <w:r w:rsidR="00FA6EDE">
        <w:t>89,1</w:t>
      </w:r>
      <w:r w:rsidR="00FA6EDE" w:rsidRPr="005871A1">
        <w:t>% от утвержденных бюджетных назначений</w:t>
      </w:r>
      <w:r w:rsidR="00FA6EDE">
        <w:t>. Сумма неисполненных назначений составила 4 252,8 тыс. руб., основн</w:t>
      </w:r>
      <w:r w:rsidR="00284B73">
        <w:t>ой</w:t>
      </w:r>
      <w:r w:rsidR="00FA6EDE">
        <w:t xml:space="preserve"> причин</w:t>
      </w:r>
      <w:r w:rsidR="00284B73">
        <w:t>ой</w:t>
      </w:r>
      <w:r w:rsidR="00FA6EDE">
        <w:t xml:space="preserve"> которой является </w:t>
      </w:r>
      <w:r w:rsidR="00FA6EDE" w:rsidRPr="005871A1">
        <w:t>экономи</w:t>
      </w:r>
      <w:r w:rsidR="00FA6EDE">
        <w:t>я</w:t>
      </w:r>
      <w:r w:rsidR="00FA6EDE" w:rsidRPr="005871A1">
        <w:t xml:space="preserve"> по расходам на общую сумму </w:t>
      </w:r>
      <w:r w:rsidR="00FA6EDE">
        <w:t>1</w:t>
      </w:r>
      <w:r w:rsidR="00FA6EDE" w:rsidRPr="002001BA">
        <w:t> </w:t>
      </w:r>
      <w:r w:rsidR="00FA6EDE">
        <w:t>085</w:t>
      </w:r>
      <w:r w:rsidR="00FA6EDE" w:rsidRPr="002001BA">
        <w:t>,</w:t>
      </w:r>
      <w:r w:rsidR="00FA6EDE">
        <w:t>9</w:t>
      </w:r>
      <w:r w:rsidR="00FA6EDE" w:rsidRPr="005871A1">
        <w:t xml:space="preserve"> тыс. руб. и </w:t>
      </w:r>
      <w:proofErr w:type="spellStart"/>
      <w:r w:rsidR="00FA6EDE">
        <w:t>невостребованность</w:t>
      </w:r>
      <w:proofErr w:type="spellEnd"/>
      <w:r w:rsidR="00FA6EDE">
        <w:t xml:space="preserve"> бюджетных средств</w:t>
      </w:r>
      <w:r w:rsidR="00FA6EDE" w:rsidRPr="005871A1">
        <w:t xml:space="preserve"> на </w:t>
      </w:r>
      <w:r w:rsidR="00FA6EDE">
        <w:t>сумму 2 988,1</w:t>
      </w:r>
      <w:r w:rsidR="00FA6EDE" w:rsidRPr="005871A1">
        <w:t xml:space="preserve"> тыс. руб</w:t>
      </w:r>
      <w:r w:rsidR="00FA6EDE">
        <w:t xml:space="preserve">. (некачественное выполнение полномочий ГРБС, определенных </w:t>
      </w:r>
      <w:hyperlink r:id="rId10" w:history="1">
        <w:r w:rsidR="00FA6EDE" w:rsidRPr="00B12A35">
          <w:t>п.п.4 п.1 ст. 158</w:t>
        </w:r>
      </w:hyperlink>
      <w:r w:rsidR="00FA6EDE" w:rsidRPr="00B12A35">
        <w:t xml:space="preserve"> БК РФ). </w:t>
      </w:r>
    </w:p>
    <w:p w:rsidR="00FA6EDE" w:rsidRPr="00244C3E" w:rsidRDefault="00FC77C2" w:rsidP="00FC77C2">
      <w:pPr>
        <w:pStyle w:val="afb"/>
        <w:tabs>
          <w:tab w:val="left" w:pos="0"/>
        </w:tabs>
        <w:ind w:left="0" w:firstLine="709"/>
        <w:jc w:val="both"/>
        <w:rPr>
          <w:lang w:eastAsia="en-US"/>
        </w:rPr>
      </w:pPr>
      <w:r>
        <w:t xml:space="preserve">5. </w:t>
      </w:r>
      <w:r w:rsidR="00FA6EDE" w:rsidRPr="00F85BFB">
        <w:rPr>
          <w:color w:val="000000"/>
        </w:rPr>
        <w:t xml:space="preserve">Не в полной мере выполнены полномочия, предусмотренные </w:t>
      </w:r>
      <w:r w:rsidR="0055060D">
        <w:rPr>
          <w:color w:val="000000"/>
        </w:rPr>
        <w:t xml:space="preserve">пунктами 1 и </w:t>
      </w:r>
      <w:r w:rsidR="00FA6EDE" w:rsidRPr="00F85BFB">
        <w:rPr>
          <w:color w:val="000000"/>
        </w:rPr>
        <w:t>2 ст.160.1 БК</w:t>
      </w:r>
      <w:r w:rsidR="00FA6EDE" w:rsidRPr="00874EEF">
        <w:rPr>
          <w:color w:val="000000"/>
        </w:rPr>
        <w:t xml:space="preserve"> РФ по </w:t>
      </w:r>
      <w:r w:rsidR="00FA6EDE" w:rsidRPr="00874EEF">
        <w:t xml:space="preserve">взысканию задолженности </w:t>
      </w:r>
      <w:r w:rsidR="0055060D">
        <w:t xml:space="preserve">прошлых лет и </w:t>
      </w:r>
      <w:r w:rsidR="005200E5">
        <w:t>прогнозированию доходов в части представления сведений при составлении проекта бюджета</w:t>
      </w:r>
      <w:r w:rsidR="00FA6EDE">
        <w:t xml:space="preserve">. </w:t>
      </w:r>
    </w:p>
    <w:p w:rsidR="00FA6EDE" w:rsidRDefault="00FA6EDE" w:rsidP="00284B73">
      <w:pPr>
        <w:pStyle w:val="afb"/>
        <w:numPr>
          <w:ilvl w:val="0"/>
          <w:numId w:val="40"/>
        </w:numPr>
        <w:autoSpaceDE w:val="0"/>
        <w:autoSpaceDN w:val="0"/>
        <w:adjustRightInd w:val="0"/>
        <w:ind w:left="0" w:firstLine="709"/>
        <w:jc w:val="both"/>
      </w:pPr>
      <w:r>
        <w:t>При проведении мероприятий внутреннего финансового аудита отмечен формальный подход к проверке достоверности и полноты бюджетной отчетности главным администратором бюджетных средств и низкое качество проведения финансового аудита.</w:t>
      </w:r>
    </w:p>
    <w:p w:rsidR="00FA6EDE" w:rsidRDefault="00FA6EDE" w:rsidP="00FA6EDE">
      <w:pPr>
        <w:tabs>
          <w:tab w:val="left" w:pos="0"/>
        </w:tabs>
        <w:spacing w:line="240" w:lineRule="atLeast"/>
        <w:jc w:val="both"/>
      </w:pPr>
    </w:p>
    <w:p w:rsidR="0055060D" w:rsidRDefault="0055060D" w:rsidP="0055060D">
      <w:pPr>
        <w:autoSpaceDE w:val="0"/>
        <w:autoSpaceDN w:val="0"/>
        <w:adjustRightInd w:val="0"/>
        <w:jc w:val="both"/>
      </w:pPr>
      <w:r>
        <w:t>представляет сведения, необходимые для составления среднесрочного финансового плана и (или) проекта бюджета</w:t>
      </w:r>
    </w:p>
    <w:p w:rsidR="00C67929" w:rsidRPr="00C67929" w:rsidRDefault="00C67929" w:rsidP="00C67929">
      <w:pPr>
        <w:autoSpaceDE w:val="0"/>
        <w:autoSpaceDN w:val="0"/>
        <w:adjustRightInd w:val="0"/>
        <w:jc w:val="both"/>
      </w:pPr>
    </w:p>
    <w:p w:rsidR="0010130C" w:rsidRDefault="0010130C" w:rsidP="00913D82">
      <w:pPr>
        <w:ind w:firstLine="709"/>
        <w:rPr>
          <w:b/>
          <w:i/>
          <w:highlight w:val="yellow"/>
        </w:rPr>
      </w:pPr>
    </w:p>
    <w:p w:rsidR="00B12A35" w:rsidRDefault="00913D82" w:rsidP="00D748A9">
      <w:pPr>
        <w:ind w:firstLine="709"/>
        <w:rPr>
          <w:b/>
          <w:i/>
        </w:rPr>
      </w:pPr>
      <w:r w:rsidRPr="006903C5">
        <w:rPr>
          <w:b/>
          <w:i/>
        </w:rPr>
        <w:t>Предложени</w:t>
      </w:r>
      <w:r w:rsidR="0040669A">
        <w:rPr>
          <w:b/>
          <w:i/>
        </w:rPr>
        <w:t>я</w:t>
      </w:r>
      <w:r w:rsidR="00B12A35">
        <w:rPr>
          <w:b/>
          <w:i/>
        </w:rPr>
        <w:t>:</w:t>
      </w:r>
    </w:p>
    <w:p w:rsidR="0040669A" w:rsidRDefault="0040669A" w:rsidP="00D748A9">
      <w:pPr>
        <w:pStyle w:val="afb"/>
        <w:numPr>
          <w:ilvl w:val="0"/>
          <w:numId w:val="21"/>
        </w:numPr>
        <w:autoSpaceDE w:val="0"/>
        <w:autoSpaceDN w:val="0"/>
        <w:adjustRightInd w:val="0"/>
        <w:ind w:left="0" w:firstLine="709"/>
        <w:jc w:val="both"/>
      </w:pPr>
      <w:r w:rsidRPr="0040669A">
        <w:rPr>
          <w:bCs/>
        </w:rPr>
        <w:t xml:space="preserve">Привести Учетную </w:t>
      </w:r>
      <w:r>
        <w:t xml:space="preserve">политику в соответствие </w:t>
      </w:r>
      <w:r w:rsidR="00284B73">
        <w:t xml:space="preserve">с </w:t>
      </w:r>
      <w:r w:rsidRPr="0047609C">
        <w:t>тре</w:t>
      </w:r>
      <w:r>
        <w:t>бованиям</w:t>
      </w:r>
      <w:r w:rsidR="00284B73">
        <w:t>и</w:t>
      </w:r>
      <w:r>
        <w:t xml:space="preserve"> </w:t>
      </w:r>
      <w:r w:rsidR="008E7C30">
        <w:t xml:space="preserve">Федерального стандарта </w:t>
      </w:r>
      <w:r w:rsidR="008E7C30" w:rsidRPr="00831356">
        <w:t>СГС «Учетная политика»</w:t>
      </w:r>
      <w:r>
        <w:t xml:space="preserve"> согласно </w:t>
      </w:r>
      <w:r w:rsidRPr="0047609C">
        <w:t>п.1 ч.6 ст</w:t>
      </w:r>
      <w:r>
        <w:t xml:space="preserve">. </w:t>
      </w:r>
      <w:r w:rsidRPr="0047609C">
        <w:t>8 Закона о бухгалтерском учете</w:t>
      </w:r>
      <w:r>
        <w:t>.</w:t>
      </w:r>
    </w:p>
    <w:p w:rsidR="00857FC1" w:rsidRPr="00FA6EDE" w:rsidRDefault="008E7C30" w:rsidP="00857FC1">
      <w:pPr>
        <w:pStyle w:val="afb"/>
        <w:numPr>
          <w:ilvl w:val="0"/>
          <w:numId w:val="21"/>
        </w:numPr>
        <w:autoSpaceDE w:val="0"/>
        <w:autoSpaceDN w:val="0"/>
        <w:adjustRightInd w:val="0"/>
        <w:ind w:left="0" w:firstLine="709"/>
        <w:jc w:val="both"/>
        <w:rPr>
          <w:bCs/>
        </w:rPr>
      </w:pPr>
      <w:r>
        <w:t>Внести исправления в</w:t>
      </w:r>
      <w:r w:rsidR="008047DB">
        <w:t xml:space="preserve"> бухгалтерск</w:t>
      </w:r>
      <w:r w:rsidR="00B12A35">
        <w:t>ий</w:t>
      </w:r>
      <w:r w:rsidR="009B5C4F">
        <w:t xml:space="preserve"> учет в части отражения на забалансовом счете 01 </w:t>
      </w:r>
      <w:r w:rsidR="009B5C4F" w:rsidRPr="00831356">
        <w:t>«Имущество, полученное в пользование»</w:t>
      </w:r>
      <w:r w:rsidR="009B5C4F">
        <w:t xml:space="preserve"> </w:t>
      </w:r>
      <w:r w:rsidR="009B5C4F" w:rsidRPr="00831356">
        <w:t>неисключительных лицензионных прав пользования программным обеспечением стоимостью 120,9 тыс. руб.</w:t>
      </w:r>
      <w:r w:rsidR="009B5C4F">
        <w:t xml:space="preserve"> </w:t>
      </w:r>
    </w:p>
    <w:p w:rsidR="00FA6EDE" w:rsidRPr="00857FC1" w:rsidRDefault="00FA6EDE" w:rsidP="00857FC1">
      <w:pPr>
        <w:pStyle w:val="afb"/>
        <w:numPr>
          <w:ilvl w:val="0"/>
          <w:numId w:val="21"/>
        </w:numPr>
        <w:autoSpaceDE w:val="0"/>
        <w:autoSpaceDN w:val="0"/>
        <w:adjustRightInd w:val="0"/>
        <w:ind w:left="0" w:firstLine="709"/>
        <w:jc w:val="both"/>
        <w:rPr>
          <w:bCs/>
        </w:rPr>
      </w:pPr>
      <w:r>
        <w:t>Обеспечить мероприятия по вз</w:t>
      </w:r>
      <w:r w:rsidR="00143A6D">
        <w:t>ы</w:t>
      </w:r>
      <w:r>
        <w:t>сканию в доход бюджета Волгоградской области дебиторской задолженности в виде излишне уплаченных страховых взносов</w:t>
      </w:r>
      <w:r w:rsidRPr="009B5C4F">
        <w:t xml:space="preserve"> </w:t>
      </w:r>
      <w:r>
        <w:t>в ФСС</w:t>
      </w:r>
      <w:r w:rsidR="005200E5">
        <w:t xml:space="preserve">, а также представить в </w:t>
      </w:r>
      <w:proofErr w:type="spellStart"/>
      <w:r w:rsidR="005200E5">
        <w:t>Облфин</w:t>
      </w:r>
      <w:proofErr w:type="spellEnd"/>
      <w:r w:rsidR="005200E5">
        <w:t xml:space="preserve"> сведения по прогнозным поступлениям доходов, </w:t>
      </w:r>
      <w:proofErr w:type="spellStart"/>
      <w:r w:rsidR="005200E5">
        <w:t>администрируемых</w:t>
      </w:r>
      <w:proofErr w:type="spellEnd"/>
      <w:r w:rsidR="005200E5">
        <w:t xml:space="preserve"> Представительством</w:t>
      </w:r>
      <w:r w:rsidR="00C23345">
        <w:t>, на 2020 год</w:t>
      </w:r>
      <w:r w:rsidR="00FC77C2">
        <w:t>.</w:t>
      </w:r>
    </w:p>
    <w:p w:rsidR="00143A6D" w:rsidRPr="00143A6D" w:rsidRDefault="00143A6D" w:rsidP="00FA6EDE">
      <w:pPr>
        <w:pStyle w:val="afb"/>
        <w:numPr>
          <w:ilvl w:val="0"/>
          <w:numId w:val="21"/>
        </w:numPr>
        <w:autoSpaceDE w:val="0"/>
        <w:autoSpaceDN w:val="0"/>
        <w:adjustRightInd w:val="0"/>
        <w:ind w:left="0" w:firstLine="709"/>
        <w:jc w:val="both"/>
        <w:rPr>
          <w:bCs/>
        </w:rPr>
      </w:pPr>
      <w:r>
        <w:t xml:space="preserve">Указать лицу, ответственному за проведение внутреннего финансового аудита, на значительное количество нарушений </w:t>
      </w:r>
      <w:r w:rsidRPr="00284B73">
        <w:t>ведения бухгалтерского учета и</w:t>
      </w:r>
      <w:r>
        <w:t xml:space="preserve"> составления форм бюджетной (финансовой) отчетности, что свидетельствует о формальном подходе </w:t>
      </w:r>
      <w:r w:rsidRPr="00367ACA">
        <w:t>и низком качестве проводимых проверок</w:t>
      </w:r>
      <w:r>
        <w:t xml:space="preserve">. </w:t>
      </w:r>
    </w:p>
    <w:p w:rsidR="00857FC1" w:rsidRPr="00FA6EDE" w:rsidRDefault="00857FC1" w:rsidP="00FA6EDE">
      <w:pPr>
        <w:autoSpaceDE w:val="0"/>
        <w:autoSpaceDN w:val="0"/>
        <w:adjustRightInd w:val="0"/>
        <w:jc w:val="both"/>
        <w:rPr>
          <w:bCs/>
        </w:rPr>
      </w:pPr>
    </w:p>
    <w:p w:rsidR="00C164D7" w:rsidRDefault="00C164D7" w:rsidP="00913D82">
      <w:pPr>
        <w:ind w:firstLine="709"/>
        <w:rPr>
          <w:b/>
          <w:i/>
        </w:rPr>
      </w:pPr>
    </w:p>
    <w:p w:rsidR="00C30120" w:rsidRDefault="00C30120" w:rsidP="00D63823">
      <w:pPr>
        <w:widowControl w:val="0"/>
        <w:autoSpaceDN w:val="0"/>
        <w:adjustRightInd w:val="0"/>
        <w:jc w:val="both"/>
        <w:rPr>
          <w:rFonts w:eastAsiaTheme="minorHAnsi"/>
          <w:iCs/>
          <w:lang w:eastAsia="en-US"/>
        </w:rPr>
      </w:pPr>
    </w:p>
    <w:p w:rsidR="00047BC3" w:rsidRDefault="00414169" w:rsidP="002F2691">
      <w:pPr>
        <w:tabs>
          <w:tab w:val="left" w:pos="2985"/>
        </w:tabs>
        <w:jc w:val="both"/>
        <w:rPr>
          <w:b/>
          <w:i/>
        </w:rPr>
      </w:pPr>
      <w:r>
        <w:rPr>
          <w:b/>
          <w:i/>
        </w:rPr>
        <w:t xml:space="preserve">  </w:t>
      </w:r>
      <w:r w:rsidR="00D21D4D" w:rsidRPr="006729DF">
        <w:rPr>
          <w:b/>
          <w:i/>
        </w:rPr>
        <w:t>Аудитор</w:t>
      </w:r>
      <w:r w:rsidR="00D21D4D">
        <w:rPr>
          <w:b/>
          <w:i/>
        </w:rPr>
        <w:t xml:space="preserve">    </w:t>
      </w:r>
      <w:r w:rsidR="00D21D4D" w:rsidRPr="006729DF">
        <w:rPr>
          <w:b/>
          <w:i/>
        </w:rPr>
        <w:tab/>
      </w:r>
      <w:r w:rsidR="00D21D4D" w:rsidRPr="006729DF">
        <w:rPr>
          <w:b/>
          <w:i/>
        </w:rPr>
        <w:tab/>
      </w:r>
      <w:r w:rsidR="00D21D4D" w:rsidRPr="006729DF">
        <w:rPr>
          <w:b/>
          <w:i/>
        </w:rPr>
        <w:tab/>
      </w:r>
      <w:r w:rsidR="00D21D4D" w:rsidRPr="006729DF">
        <w:rPr>
          <w:b/>
          <w:i/>
        </w:rPr>
        <w:tab/>
      </w:r>
      <w:r w:rsidR="00D21D4D" w:rsidRPr="006729DF">
        <w:rPr>
          <w:b/>
          <w:i/>
        </w:rPr>
        <w:tab/>
      </w:r>
      <w:r w:rsidR="00D21D4D" w:rsidRPr="006729DF">
        <w:rPr>
          <w:b/>
          <w:i/>
        </w:rPr>
        <w:tab/>
      </w:r>
      <w:r w:rsidR="00D21D4D" w:rsidRPr="006729DF">
        <w:rPr>
          <w:b/>
          <w:i/>
        </w:rPr>
        <w:tab/>
      </w:r>
      <w:r w:rsidR="00D21D4D">
        <w:rPr>
          <w:b/>
          <w:i/>
        </w:rPr>
        <w:t xml:space="preserve">           </w:t>
      </w:r>
      <w:r w:rsidR="00D21D4D" w:rsidRPr="006729DF">
        <w:rPr>
          <w:b/>
          <w:i/>
        </w:rPr>
        <w:t>Н.Л.</w:t>
      </w:r>
      <w:r w:rsidR="00D21D4D">
        <w:rPr>
          <w:b/>
          <w:i/>
        </w:rPr>
        <w:t xml:space="preserve"> </w:t>
      </w:r>
      <w:proofErr w:type="spellStart"/>
      <w:r w:rsidR="00D21D4D" w:rsidRPr="006729DF">
        <w:rPr>
          <w:b/>
          <w:i/>
        </w:rPr>
        <w:t>Ноздрюхина</w:t>
      </w:r>
      <w:proofErr w:type="spellEnd"/>
    </w:p>
    <w:sectPr w:rsidR="00047BC3" w:rsidSect="000A7096">
      <w:headerReference w:type="even" r:id="rId11"/>
      <w:headerReference w:type="default" r:id="rId12"/>
      <w:footerReference w:type="default" r:id="rId13"/>
      <w:pgSz w:w="11906" w:h="16838"/>
      <w:pgMar w:top="510" w:right="851" w:bottom="39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08" w:rsidRDefault="00EA4108">
      <w:r>
        <w:separator/>
      </w:r>
    </w:p>
  </w:endnote>
  <w:endnote w:type="continuationSeparator" w:id="0">
    <w:p w:rsidR="00EA4108" w:rsidRDefault="00EA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0D" w:rsidRDefault="0055060D">
    <w:pPr>
      <w:pStyle w:val="af4"/>
      <w:jc w:val="center"/>
    </w:pPr>
  </w:p>
  <w:p w:rsidR="0055060D" w:rsidRDefault="0055060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08" w:rsidRDefault="00EA4108">
      <w:r>
        <w:separator/>
      </w:r>
    </w:p>
  </w:footnote>
  <w:footnote w:type="continuationSeparator" w:id="0">
    <w:p w:rsidR="00EA4108" w:rsidRDefault="00EA4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0D" w:rsidRDefault="0055060D" w:rsidP="003C4B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5060D" w:rsidRDefault="005506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2552"/>
      <w:docPartObj>
        <w:docPartGallery w:val="Page Numbers (Top of Page)"/>
        <w:docPartUnique/>
      </w:docPartObj>
    </w:sdtPr>
    <w:sdtContent>
      <w:p w:rsidR="0055060D" w:rsidRDefault="0055060D">
        <w:pPr>
          <w:pStyle w:val="a5"/>
          <w:jc w:val="center"/>
        </w:pPr>
        <w:fldSimple w:instr=" PAGE   \* MERGEFORMAT ">
          <w:r w:rsidR="00143A6D">
            <w:rPr>
              <w:noProof/>
            </w:rPr>
            <w:t>8</w:t>
          </w:r>
        </w:fldSimple>
      </w:p>
    </w:sdtContent>
  </w:sdt>
  <w:p w:rsidR="0055060D" w:rsidRDefault="005506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6D2"/>
    <w:multiLevelType w:val="hybridMultilevel"/>
    <w:tmpl w:val="262E2D76"/>
    <w:lvl w:ilvl="0" w:tplc="6A4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0A12F1"/>
    <w:multiLevelType w:val="hybridMultilevel"/>
    <w:tmpl w:val="5366CEAC"/>
    <w:lvl w:ilvl="0" w:tplc="828CC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07BAD"/>
    <w:multiLevelType w:val="hybridMultilevel"/>
    <w:tmpl w:val="DD5CB2AC"/>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33014B"/>
    <w:multiLevelType w:val="hybridMultilevel"/>
    <w:tmpl w:val="A990AAD6"/>
    <w:lvl w:ilvl="0" w:tplc="4BC2AA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D1A97"/>
    <w:multiLevelType w:val="hybridMultilevel"/>
    <w:tmpl w:val="121E6274"/>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
    <w:nsid w:val="1CDD70A6"/>
    <w:multiLevelType w:val="hybridMultilevel"/>
    <w:tmpl w:val="A052D7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37746D"/>
    <w:multiLevelType w:val="hybridMultilevel"/>
    <w:tmpl w:val="F9B42D74"/>
    <w:lvl w:ilvl="0" w:tplc="F84C3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52AF7"/>
    <w:multiLevelType w:val="hybridMultilevel"/>
    <w:tmpl w:val="E95887D6"/>
    <w:lvl w:ilvl="0" w:tplc="F006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280921"/>
    <w:multiLevelType w:val="hybridMultilevel"/>
    <w:tmpl w:val="66DECC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FA1B0D"/>
    <w:multiLevelType w:val="hybridMultilevel"/>
    <w:tmpl w:val="29E8F454"/>
    <w:lvl w:ilvl="0" w:tplc="B7C48A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B47FE7"/>
    <w:multiLevelType w:val="hybridMultilevel"/>
    <w:tmpl w:val="716A91F4"/>
    <w:lvl w:ilvl="0" w:tplc="DE90D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B63E9E"/>
    <w:multiLevelType w:val="hybridMultilevel"/>
    <w:tmpl w:val="E95887D6"/>
    <w:lvl w:ilvl="0" w:tplc="F006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132B67"/>
    <w:multiLevelType w:val="hybridMultilevel"/>
    <w:tmpl w:val="A64A1360"/>
    <w:lvl w:ilvl="0" w:tplc="0C64C30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700650"/>
    <w:multiLevelType w:val="hybridMultilevel"/>
    <w:tmpl w:val="F63044F0"/>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31942FD8"/>
    <w:multiLevelType w:val="hybridMultilevel"/>
    <w:tmpl w:val="A5C05D64"/>
    <w:lvl w:ilvl="0" w:tplc="0B9EF09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052FF0"/>
    <w:multiLevelType w:val="hybridMultilevel"/>
    <w:tmpl w:val="212AA67E"/>
    <w:lvl w:ilvl="0" w:tplc="35F45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317E7"/>
    <w:multiLevelType w:val="multilevel"/>
    <w:tmpl w:val="7578188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563BE0"/>
    <w:multiLevelType w:val="hybridMultilevel"/>
    <w:tmpl w:val="B8009196"/>
    <w:lvl w:ilvl="0" w:tplc="38045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1161A4C"/>
    <w:multiLevelType w:val="hybridMultilevel"/>
    <w:tmpl w:val="3BA6B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A47648"/>
    <w:multiLevelType w:val="hybridMultilevel"/>
    <w:tmpl w:val="D1F66E08"/>
    <w:lvl w:ilvl="0" w:tplc="328693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C06DBF"/>
    <w:multiLevelType w:val="multilevel"/>
    <w:tmpl w:val="1FB0065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76D6214"/>
    <w:multiLevelType w:val="hybridMultilevel"/>
    <w:tmpl w:val="70222164"/>
    <w:lvl w:ilvl="0" w:tplc="3FBA4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F96CF0"/>
    <w:multiLevelType w:val="hybridMultilevel"/>
    <w:tmpl w:val="1162266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F8F6367"/>
    <w:multiLevelType w:val="hybridMultilevel"/>
    <w:tmpl w:val="2C365A30"/>
    <w:lvl w:ilvl="0" w:tplc="89CCC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B23340"/>
    <w:multiLevelType w:val="hybridMultilevel"/>
    <w:tmpl w:val="D5E8DF7C"/>
    <w:lvl w:ilvl="0" w:tplc="03ECB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CC7807"/>
    <w:multiLevelType w:val="hybridMultilevel"/>
    <w:tmpl w:val="09624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510E76"/>
    <w:multiLevelType w:val="hybridMultilevel"/>
    <w:tmpl w:val="3D6A78A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83753E"/>
    <w:multiLevelType w:val="hybridMultilevel"/>
    <w:tmpl w:val="B39CFCB2"/>
    <w:lvl w:ilvl="0" w:tplc="F6DE37D8">
      <w:start w:val="1"/>
      <w:numFmt w:val="decimal"/>
      <w:lvlText w:val="%1."/>
      <w:lvlJc w:val="left"/>
      <w:pPr>
        <w:ind w:left="2013"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503E5B"/>
    <w:multiLevelType w:val="hybridMultilevel"/>
    <w:tmpl w:val="EF54E9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0A32A3C"/>
    <w:multiLevelType w:val="hybridMultilevel"/>
    <w:tmpl w:val="24F88BFC"/>
    <w:lvl w:ilvl="0" w:tplc="DB6C71C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1209FE"/>
    <w:multiLevelType w:val="hybridMultilevel"/>
    <w:tmpl w:val="18E8EC6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83B7E7C"/>
    <w:multiLevelType w:val="hybridMultilevel"/>
    <w:tmpl w:val="7C0658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B50A40"/>
    <w:multiLevelType w:val="hybridMultilevel"/>
    <w:tmpl w:val="9F1C61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1E3BFC"/>
    <w:multiLevelType w:val="hybridMultilevel"/>
    <w:tmpl w:val="B1685C0E"/>
    <w:lvl w:ilvl="0" w:tplc="0FCC6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83D1C5D"/>
    <w:multiLevelType w:val="hybridMultilevel"/>
    <w:tmpl w:val="A01853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99D4CFD"/>
    <w:multiLevelType w:val="hybridMultilevel"/>
    <w:tmpl w:val="AE766EE0"/>
    <w:lvl w:ilvl="0" w:tplc="5792F0F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51120E"/>
    <w:multiLevelType w:val="hybridMultilevel"/>
    <w:tmpl w:val="8E980700"/>
    <w:lvl w:ilvl="0" w:tplc="CA5A722A">
      <w:start w:val="1"/>
      <w:numFmt w:val="decimal"/>
      <w:lvlText w:val="%1."/>
      <w:lvlJc w:val="left"/>
      <w:pPr>
        <w:ind w:left="1760" w:hanging="108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7">
    <w:nsid w:val="7C791184"/>
    <w:multiLevelType w:val="hybridMultilevel"/>
    <w:tmpl w:val="5DDEA73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7FD30E2C"/>
    <w:multiLevelType w:val="hybridMultilevel"/>
    <w:tmpl w:val="C5CCC8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7FF22CFF"/>
    <w:multiLevelType w:val="hybridMultilevel"/>
    <w:tmpl w:val="901E69F4"/>
    <w:lvl w:ilvl="0" w:tplc="E5824D0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7"/>
  </w:num>
  <w:num w:numId="3">
    <w:abstractNumId w:val="36"/>
  </w:num>
  <w:num w:numId="4">
    <w:abstractNumId w:val="31"/>
  </w:num>
  <w:num w:numId="5">
    <w:abstractNumId w:val="13"/>
  </w:num>
  <w:num w:numId="6">
    <w:abstractNumId w:val="38"/>
  </w:num>
  <w:num w:numId="7">
    <w:abstractNumId w:val="37"/>
  </w:num>
  <w:num w:numId="8">
    <w:abstractNumId w:val="24"/>
  </w:num>
  <w:num w:numId="9">
    <w:abstractNumId w:val="15"/>
  </w:num>
  <w:num w:numId="10">
    <w:abstractNumId w:val="11"/>
  </w:num>
  <w:num w:numId="11">
    <w:abstractNumId w:val="26"/>
  </w:num>
  <w:num w:numId="12">
    <w:abstractNumId w:val="10"/>
  </w:num>
  <w:num w:numId="13">
    <w:abstractNumId w:val="6"/>
  </w:num>
  <w:num w:numId="14">
    <w:abstractNumId w:val="1"/>
  </w:num>
  <w:num w:numId="15">
    <w:abstractNumId w:val="9"/>
  </w:num>
  <w:num w:numId="16">
    <w:abstractNumId w:val="22"/>
  </w:num>
  <w:num w:numId="17">
    <w:abstractNumId w:val="30"/>
  </w:num>
  <w:num w:numId="18">
    <w:abstractNumId w:val="33"/>
  </w:num>
  <w:num w:numId="19">
    <w:abstractNumId w:val="12"/>
  </w:num>
  <w:num w:numId="20">
    <w:abstractNumId w:val="14"/>
  </w:num>
  <w:num w:numId="21">
    <w:abstractNumId w:val="20"/>
  </w:num>
  <w:num w:numId="22">
    <w:abstractNumId w:val="7"/>
  </w:num>
  <w:num w:numId="23">
    <w:abstractNumId w:val="16"/>
  </w:num>
  <w:num w:numId="24">
    <w:abstractNumId w:val="23"/>
  </w:num>
  <w:num w:numId="25">
    <w:abstractNumId w:val="5"/>
  </w:num>
  <w:num w:numId="26">
    <w:abstractNumId w:val="28"/>
  </w:num>
  <w:num w:numId="27">
    <w:abstractNumId w:val="8"/>
  </w:num>
  <w:num w:numId="28">
    <w:abstractNumId w:val="3"/>
  </w:num>
  <w:num w:numId="29">
    <w:abstractNumId w:val="18"/>
  </w:num>
  <w:num w:numId="30">
    <w:abstractNumId w:val="19"/>
  </w:num>
  <w:num w:numId="31">
    <w:abstractNumId w:val="21"/>
  </w:num>
  <w:num w:numId="32">
    <w:abstractNumId w:val="35"/>
  </w:num>
  <w:num w:numId="33">
    <w:abstractNumId w:val="25"/>
  </w:num>
  <w:num w:numId="34">
    <w:abstractNumId w:val="32"/>
  </w:num>
  <w:num w:numId="35">
    <w:abstractNumId w:val="39"/>
  </w:num>
  <w:num w:numId="36">
    <w:abstractNumId w:val="34"/>
  </w:num>
  <w:num w:numId="37">
    <w:abstractNumId w:val="4"/>
  </w:num>
  <w:num w:numId="38">
    <w:abstractNumId w:val="0"/>
  </w:num>
  <w:num w:numId="39">
    <w:abstractNumId w:val="17"/>
  </w:num>
  <w:num w:numId="40">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130050"/>
  </w:hdrShapeDefaults>
  <w:footnotePr>
    <w:footnote w:id="-1"/>
    <w:footnote w:id="0"/>
  </w:footnotePr>
  <w:endnotePr>
    <w:endnote w:id="-1"/>
    <w:endnote w:id="0"/>
  </w:endnotePr>
  <w:compat/>
  <w:rsids>
    <w:rsidRoot w:val="003C4B45"/>
    <w:rsid w:val="00000715"/>
    <w:rsid w:val="00002C95"/>
    <w:rsid w:val="00002CA9"/>
    <w:rsid w:val="00003017"/>
    <w:rsid w:val="0000338C"/>
    <w:rsid w:val="00003CF4"/>
    <w:rsid w:val="00004303"/>
    <w:rsid w:val="00004767"/>
    <w:rsid w:val="00005287"/>
    <w:rsid w:val="0000551C"/>
    <w:rsid w:val="00005CF2"/>
    <w:rsid w:val="00005E77"/>
    <w:rsid w:val="00005FFE"/>
    <w:rsid w:val="000104EF"/>
    <w:rsid w:val="00010858"/>
    <w:rsid w:val="00011781"/>
    <w:rsid w:val="00012B9B"/>
    <w:rsid w:val="00014121"/>
    <w:rsid w:val="000150EA"/>
    <w:rsid w:val="000158A8"/>
    <w:rsid w:val="0002163A"/>
    <w:rsid w:val="00023E49"/>
    <w:rsid w:val="0002491F"/>
    <w:rsid w:val="00024B68"/>
    <w:rsid w:val="0002547D"/>
    <w:rsid w:val="00025730"/>
    <w:rsid w:val="0002642F"/>
    <w:rsid w:val="0002698A"/>
    <w:rsid w:val="00031DBC"/>
    <w:rsid w:val="00031FF8"/>
    <w:rsid w:val="0003276F"/>
    <w:rsid w:val="000332F7"/>
    <w:rsid w:val="00033409"/>
    <w:rsid w:val="00034044"/>
    <w:rsid w:val="00034762"/>
    <w:rsid w:val="000350D6"/>
    <w:rsid w:val="00041754"/>
    <w:rsid w:val="00041C6D"/>
    <w:rsid w:val="0004294A"/>
    <w:rsid w:val="0004487A"/>
    <w:rsid w:val="0004530F"/>
    <w:rsid w:val="00045549"/>
    <w:rsid w:val="000458A9"/>
    <w:rsid w:val="0004783E"/>
    <w:rsid w:val="00047BC3"/>
    <w:rsid w:val="000518EC"/>
    <w:rsid w:val="000519C0"/>
    <w:rsid w:val="00052F0A"/>
    <w:rsid w:val="00052F9F"/>
    <w:rsid w:val="000535BC"/>
    <w:rsid w:val="00054AC7"/>
    <w:rsid w:val="00055997"/>
    <w:rsid w:val="00055B0D"/>
    <w:rsid w:val="00056616"/>
    <w:rsid w:val="00056896"/>
    <w:rsid w:val="00056AE1"/>
    <w:rsid w:val="000571DB"/>
    <w:rsid w:val="00057429"/>
    <w:rsid w:val="00060B86"/>
    <w:rsid w:val="00061746"/>
    <w:rsid w:val="000617D5"/>
    <w:rsid w:val="00061BC7"/>
    <w:rsid w:val="00061D5C"/>
    <w:rsid w:val="00061EFE"/>
    <w:rsid w:val="00061F5E"/>
    <w:rsid w:val="00063068"/>
    <w:rsid w:val="00064856"/>
    <w:rsid w:val="000660BD"/>
    <w:rsid w:val="00070063"/>
    <w:rsid w:val="00070829"/>
    <w:rsid w:val="00070E1A"/>
    <w:rsid w:val="000711B4"/>
    <w:rsid w:val="0007125E"/>
    <w:rsid w:val="00074212"/>
    <w:rsid w:val="00075594"/>
    <w:rsid w:val="00076765"/>
    <w:rsid w:val="00076D2D"/>
    <w:rsid w:val="00076DBB"/>
    <w:rsid w:val="0007714E"/>
    <w:rsid w:val="000801C0"/>
    <w:rsid w:val="00081003"/>
    <w:rsid w:val="000810EE"/>
    <w:rsid w:val="00081B8E"/>
    <w:rsid w:val="0008471E"/>
    <w:rsid w:val="00084758"/>
    <w:rsid w:val="000852C7"/>
    <w:rsid w:val="0008552A"/>
    <w:rsid w:val="000855DD"/>
    <w:rsid w:val="0008695B"/>
    <w:rsid w:val="00091D55"/>
    <w:rsid w:val="00092A50"/>
    <w:rsid w:val="00093352"/>
    <w:rsid w:val="000942AC"/>
    <w:rsid w:val="00094846"/>
    <w:rsid w:val="00094F57"/>
    <w:rsid w:val="000954E2"/>
    <w:rsid w:val="00095DC2"/>
    <w:rsid w:val="000961B4"/>
    <w:rsid w:val="00096297"/>
    <w:rsid w:val="000966C2"/>
    <w:rsid w:val="000969D1"/>
    <w:rsid w:val="00097687"/>
    <w:rsid w:val="00097719"/>
    <w:rsid w:val="000A056E"/>
    <w:rsid w:val="000A064E"/>
    <w:rsid w:val="000A0C11"/>
    <w:rsid w:val="000A2B7B"/>
    <w:rsid w:val="000A40E4"/>
    <w:rsid w:val="000A5D70"/>
    <w:rsid w:val="000A7096"/>
    <w:rsid w:val="000A79E2"/>
    <w:rsid w:val="000B0ABA"/>
    <w:rsid w:val="000B150F"/>
    <w:rsid w:val="000B2D27"/>
    <w:rsid w:val="000B3985"/>
    <w:rsid w:val="000B3AC4"/>
    <w:rsid w:val="000B3E6C"/>
    <w:rsid w:val="000B49FE"/>
    <w:rsid w:val="000B5587"/>
    <w:rsid w:val="000B6AC6"/>
    <w:rsid w:val="000B740A"/>
    <w:rsid w:val="000C038C"/>
    <w:rsid w:val="000C0CD3"/>
    <w:rsid w:val="000C0E1F"/>
    <w:rsid w:val="000C0ED8"/>
    <w:rsid w:val="000C1850"/>
    <w:rsid w:val="000C280B"/>
    <w:rsid w:val="000C3899"/>
    <w:rsid w:val="000C42E5"/>
    <w:rsid w:val="000C4419"/>
    <w:rsid w:val="000C4953"/>
    <w:rsid w:val="000C5051"/>
    <w:rsid w:val="000D0CE4"/>
    <w:rsid w:val="000D18A1"/>
    <w:rsid w:val="000D2088"/>
    <w:rsid w:val="000D2568"/>
    <w:rsid w:val="000D3579"/>
    <w:rsid w:val="000D3B56"/>
    <w:rsid w:val="000D41A6"/>
    <w:rsid w:val="000D4903"/>
    <w:rsid w:val="000D5EB4"/>
    <w:rsid w:val="000D6B51"/>
    <w:rsid w:val="000D6F73"/>
    <w:rsid w:val="000D72EA"/>
    <w:rsid w:val="000D7C54"/>
    <w:rsid w:val="000D7F8B"/>
    <w:rsid w:val="000E031F"/>
    <w:rsid w:val="000E1BFB"/>
    <w:rsid w:val="000E245F"/>
    <w:rsid w:val="000E4A23"/>
    <w:rsid w:val="000E4BF5"/>
    <w:rsid w:val="000E5A77"/>
    <w:rsid w:val="000E5FA5"/>
    <w:rsid w:val="000E7C20"/>
    <w:rsid w:val="000E7D8A"/>
    <w:rsid w:val="000E7E71"/>
    <w:rsid w:val="000E7EC1"/>
    <w:rsid w:val="000F0ADD"/>
    <w:rsid w:val="000F0F2C"/>
    <w:rsid w:val="000F373D"/>
    <w:rsid w:val="000F56E5"/>
    <w:rsid w:val="000F799D"/>
    <w:rsid w:val="000F7EC2"/>
    <w:rsid w:val="0010089B"/>
    <w:rsid w:val="0010130C"/>
    <w:rsid w:val="00101AB1"/>
    <w:rsid w:val="00101F87"/>
    <w:rsid w:val="00102728"/>
    <w:rsid w:val="00103A8B"/>
    <w:rsid w:val="00103BFA"/>
    <w:rsid w:val="00103C92"/>
    <w:rsid w:val="00103E6F"/>
    <w:rsid w:val="00103EFC"/>
    <w:rsid w:val="00104B91"/>
    <w:rsid w:val="001054B8"/>
    <w:rsid w:val="00110521"/>
    <w:rsid w:val="00110740"/>
    <w:rsid w:val="001109BF"/>
    <w:rsid w:val="0011194E"/>
    <w:rsid w:val="0011229D"/>
    <w:rsid w:val="00112C8F"/>
    <w:rsid w:val="0011386C"/>
    <w:rsid w:val="0011629B"/>
    <w:rsid w:val="00116AB1"/>
    <w:rsid w:val="00116B4C"/>
    <w:rsid w:val="00117D0B"/>
    <w:rsid w:val="00121BCD"/>
    <w:rsid w:val="0012228A"/>
    <w:rsid w:val="00122640"/>
    <w:rsid w:val="001242CF"/>
    <w:rsid w:val="001249E0"/>
    <w:rsid w:val="001249F2"/>
    <w:rsid w:val="001251C6"/>
    <w:rsid w:val="001276BE"/>
    <w:rsid w:val="00130740"/>
    <w:rsid w:val="001309F1"/>
    <w:rsid w:val="00130ABD"/>
    <w:rsid w:val="00130DFB"/>
    <w:rsid w:val="00132A27"/>
    <w:rsid w:val="00133401"/>
    <w:rsid w:val="00133AC6"/>
    <w:rsid w:val="00137629"/>
    <w:rsid w:val="00137BA3"/>
    <w:rsid w:val="00140373"/>
    <w:rsid w:val="00140E80"/>
    <w:rsid w:val="00141E7F"/>
    <w:rsid w:val="00143A6D"/>
    <w:rsid w:val="00146678"/>
    <w:rsid w:val="001469F0"/>
    <w:rsid w:val="001473C7"/>
    <w:rsid w:val="00147553"/>
    <w:rsid w:val="0014764C"/>
    <w:rsid w:val="00147FAD"/>
    <w:rsid w:val="00150701"/>
    <w:rsid w:val="00150943"/>
    <w:rsid w:val="00150C95"/>
    <w:rsid w:val="00152548"/>
    <w:rsid w:val="00153C15"/>
    <w:rsid w:val="00157BE7"/>
    <w:rsid w:val="0016119F"/>
    <w:rsid w:val="001625C6"/>
    <w:rsid w:val="00162E6D"/>
    <w:rsid w:val="00163299"/>
    <w:rsid w:val="00163AD7"/>
    <w:rsid w:val="00163EFF"/>
    <w:rsid w:val="00164CB4"/>
    <w:rsid w:val="00165103"/>
    <w:rsid w:val="00166169"/>
    <w:rsid w:val="00167913"/>
    <w:rsid w:val="001700C0"/>
    <w:rsid w:val="00170F10"/>
    <w:rsid w:val="00170F7D"/>
    <w:rsid w:val="00171099"/>
    <w:rsid w:val="00171256"/>
    <w:rsid w:val="001712BA"/>
    <w:rsid w:val="00171674"/>
    <w:rsid w:val="00171908"/>
    <w:rsid w:val="00171EE3"/>
    <w:rsid w:val="0017202E"/>
    <w:rsid w:val="0017228E"/>
    <w:rsid w:val="00172462"/>
    <w:rsid w:val="001737FC"/>
    <w:rsid w:val="00173C42"/>
    <w:rsid w:val="00176CA0"/>
    <w:rsid w:val="0017703B"/>
    <w:rsid w:val="00181DFF"/>
    <w:rsid w:val="001829E6"/>
    <w:rsid w:val="00185E25"/>
    <w:rsid w:val="001879D5"/>
    <w:rsid w:val="00187C96"/>
    <w:rsid w:val="001901EB"/>
    <w:rsid w:val="00191DD7"/>
    <w:rsid w:val="00193462"/>
    <w:rsid w:val="001945E5"/>
    <w:rsid w:val="001948C3"/>
    <w:rsid w:val="00194DFF"/>
    <w:rsid w:val="00195069"/>
    <w:rsid w:val="0019638E"/>
    <w:rsid w:val="00196F86"/>
    <w:rsid w:val="001976BC"/>
    <w:rsid w:val="00197DB1"/>
    <w:rsid w:val="001A0C85"/>
    <w:rsid w:val="001A312D"/>
    <w:rsid w:val="001A3D3B"/>
    <w:rsid w:val="001A42A4"/>
    <w:rsid w:val="001A443E"/>
    <w:rsid w:val="001A57CB"/>
    <w:rsid w:val="001A6CA5"/>
    <w:rsid w:val="001B07F2"/>
    <w:rsid w:val="001B0F76"/>
    <w:rsid w:val="001B1636"/>
    <w:rsid w:val="001B1DF8"/>
    <w:rsid w:val="001B23DC"/>
    <w:rsid w:val="001B24E7"/>
    <w:rsid w:val="001B26C3"/>
    <w:rsid w:val="001B298E"/>
    <w:rsid w:val="001B4C71"/>
    <w:rsid w:val="001B5641"/>
    <w:rsid w:val="001B6922"/>
    <w:rsid w:val="001B6BD2"/>
    <w:rsid w:val="001B6D24"/>
    <w:rsid w:val="001B70F1"/>
    <w:rsid w:val="001B74F2"/>
    <w:rsid w:val="001B7AD4"/>
    <w:rsid w:val="001C0FC3"/>
    <w:rsid w:val="001C138C"/>
    <w:rsid w:val="001C35AE"/>
    <w:rsid w:val="001C42B1"/>
    <w:rsid w:val="001C50B8"/>
    <w:rsid w:val="001C5DED"/>
    <w:rsid w:val="001C623B"/>
    <w:rsid w:val="001C6FD7"/>
    <w:rsid w:val="001C6FE2"/>
    <w:rsid w:val="001D15D2"/>
    <w:rsid w:val="001D2628"/>
    <w:rsid w:val="001D305A"/>
    <w:rsid w:val="001D30F7"/>
    <w:rsid w:val="001D3F26"/>
    <w:rsid w:val="001D400E"/>
    <w:rsid w:val="001D4395"/>
    <w:rsid w:val="001D4500"/>
    <w:rsid w:val="001D4610"/>
    <w:rsid w:val="001D603D"/>
    <w:rsid w:val="001D6211"/>
    <w:rsid w:val="001D7FC4"/>
    <w:rsid w:val="001E06DD"/>
    <w:rsid w:val="001E1794"/>
    <w:rsid w:val="001E1EF8"/>
    <w:rsid w:val="001E2603"/>
    <w:rsid w:val="001E2D47"/>
    <w:rsid w:val="001E4866"/>
    <w:rsid w:val="001E51EA"/>
    <w:rsid w:val="001E5F4B"/>
    <w:rsid w:val="001E6892"/>
    <w:rsid w:val="001E6E49"/>
    <w:rsid w:val="001F0A36"/>
    <w:rsid w:val="001F1B6A"/>
    <w:rsid w:val="001F1E09"/>
    <w:rsid w:val="001F222D"/>
    <w:rsid w:val="001F229E"/>
    <w:rsid w:val="001F3339"/>
    <w:rsid w:val="001F3BD4"/>
    <w:rsid w:val="001F3E88"/>
    <w:rsid w:val="001F41B6"/>
    <w:rsid w:val="001F42DA"/>
    <w:rsid w:val="001F45A2"/>
    <w:rsid w:val="001F461E"/>
    <w:rsid w:val="001F4AD4"/>
    <w:rsid w:val="001F5088"/>
    <w:rsid w:val="001F73ED"/>
    <w:rsid w:val="002014BE"/>
    <w:rsid w:val="00201DC9"/>
    <w:rsid w:val="00202023"/>
    <w:rsid w:val="002022F6"/>
    <w:rsid w:val="00202BA5"/>
    <w:rsid w:val="00203F7C"/>
    <w:rsid w:val="00205155"/>
    <w:rsid w:val="00205302"/>
    <w:rsid w:val="00206490"/>
    <w:rsid w:val="0020757E"/>
    <w:rsid w:val="00210A83"/>
    <w:rsid w:val="00212DAD"/>
    <w:rsid w:val="00213C9D"/>
    <w:rsid w:val="00214103"/>
    <w:rsid w:val="0021442C"/>
    <w:rsid w:val="002160E5"/>
    <w:rsid w:val="00216A6E"/>
    <w:rsid w:val="00216D98"/>
    <w:rsid w:val="002172E3"/>
    <w:rsid w:val="002174E9"/>
    <w:rsid w:val="0021753D"/>
    <w:rsid w:val="00217D9F"/>
    <w:rsid w:val="00220556"/>
    <w:rsid w:val="00221649"/>
    <w:rsid w:val="00222214"/>
    <w:rsid w:val="0022236F"/>
    <w:rsid w:val="00222583"/>
    <w:rsid w:val="00222DFA"/>
    <w:rsid w:val="00222E49"/>
    <w:rsid w:val="00223BD5"/>
    <w:rsid w:val="00224338"/>
    <w:rsid w:val="00225468"/>
    <w:rsid w:val="002261EC"/>
    <w:rsid w:val="002269E2"/>
    <w:rsid w:val="00227BFC"/>
    <w:rsid w:val="00230396"/>
    <w:rsid w:val="00230A4E"/>
    <w:rsid w:val="00232E4C"/>
    <w:rsid w:val="00232F95"/>
    <w:rsid w:val="00232FE9"/>
    <w:rsid w:val="00235039"/>
    <w:rsid w:val="0023605B"/>
    <w:rsid w:val="002364D4"/>
    <w:rsid w:val="00236B00"/>
    <w:rsid w:val="00237C5C"/>
    <w:rsid w:val="00237F66"/>
    <w:rsid w:val="00241C69"/>
    <w:rsid w:val="0024391E"/>
    <w:rsid w:val="002455F9"/>
    <w:rsid w:val="002470C6"/>
    <w:rsid w:val="002517C3"/>
    <w:rsid w:val="00253B2C"/>
    <w:rsid w:val="00253F60"/>
    <w:rsid w:val="00254959"/>
    <w:rsid w:val="00254FFD"/>
    <w:rsid w:val="002556DA"/>
    <w:rsid w:val="00256655"/>
    <w:rsid w:val="002579AB"/>
    <w:rsid w:val="002579F8"/>
    <w:rsid w:val="00257AA7"/>
    <w:rsid w:val="00260419"/>
    <w:rsid w:val="0026151E"/>
    <w:rsid w:val="002645BB"/>
    <w:rsid w:val="00264AAE"/>
    <w:rsid w:val="00264BD7"/>
    <w:rsid w:val="00264EF6"/>
    <w:rsid w:val="0026544E"/>
    <w:rsid w:val="00265FA3"/>
    <w:rsid w:val="00266681"/>
    <w:rsid w:val="002672F0"/>
    <w:rsid w:val="00267C68"/>
    <w:rsid w:val="0027344B"/>
    <w:rsid w:val="0027463B"/>
    <w:rsid w:val="00274814"/>
    <w:rsid w:val="00276AF4"/>
    <w:rsid w:val="00280425"/>
    <w:rsid w:val="0028144F"/>
    <w:rsid w:val="00282995"/>
    <w:rsid w:val="002829B6"/>
    <w:rsid w:val="002830F4"/>
    <w:rsid w:val="00284195"/>
    <w:rsid w:val="00284B73"/>
    <w:rsid w:val="00284C34"/>
    <w:rsid w:val="00284DAC"/>
    <w:rsid w:val="00284F9F"/>
    <w:rsid w:val="0028644C"/>
    <w:rsid w:val="002864D7"/>
    <w:rsid w:val="00291500"/>
    <w:rsid w:val="0029185B"/>
    <w:rsid w:val="00291E59"/>
    <w:rsid w:val="00292ACC"/>
    <w:rsid w:val="00292DE8"/>
    <w:rsid w:val="00294262"/>
    <w:rsid w:val="00295825"/>
    <w:rsid w:val="00296A8C"/>
    <w:rsid w:val="00296C54"/>
    <w:rsid w:val="002A0838"/>
    <w:rsid w:val="002A0A98"/>
    <w:rsid w:val="002A0D7E"/>
    <w:rsid w:val="002A1482"/>
    <w:rsid w:val="002A1953"/>
    <w:rsid w:val="002A1A63"/>
    <w:rsid w:val="002A2343"/>
    <w:rsid w:val="002A4288"/>
    <w:rsid w:val="002A5392"/>
    <w:rsid w:val="002A6C7D"/>
    <w:rsid w:val="002A76D3"/>
    <w:rsid w:val="002B0DA5"/>
    <w:rsid w:val="002B1D2A"/>
    <w:rsid w:val="002B20A2"/>
    <w:rsid w:val="002B2ABC"/>
    <w:rsid w:val="002B6155"/>
    <w:rsid w:val="002B6294"/>
    <w:rsid w:val="002B7BA1"/>
    <w:rsid w:val="002B7CCA"/>
    <w:rsid w:val="002C0D69"/>
    <w:rsid w:val="002C115C"/>
    <w:rsid w:val="002C1DD1"/>
    <w:rsid w:val="002C28E2"/>
    <w:rsid w:val="002C37B3"/>
    <w:rsid w:val="002C4EFA"/>
    <w:rsid w:val="002C521F"/>
    <w:rsid w:val="002C5A81"/>
    <w:rsid w:val="002C66D2"/>
    <w:rsid w:val="002D00E7"/>
    <w:rsid w:val="002D0BB8"/>
    <w:rsid w:val="002D12BC"/>
    <w:rsid w:val="002D14F5"/>
    <w:rsid w:val="002D1DB9"/>
    <w:rsid w:val="002D364F"/>
    <w:rsid w:val="002D3F5A"/>
    <w:rsid w:val="002D41D7"/>
    <w:rsid w:val="002D4BA8"/>
    <w:rsid w:val="002D4FBC"/>
    <w:rsid w:val="002D5566"/>
    <w:rsid w:val="002D5CEE"/>
    <w:rsid w:val="002E2507"/>
    <w:rsid w:val="002E34C1"/>
    <w:rsid w:val="002E415D"/>
    <w:rsid w:val="002E426E"/>
    <w:rsid w:val="002E6D89"/>
    <w:rsid w:val="002E7655"/>
    <w:rsid w:val="002F1479"/>
    <w:rsid w:val="002F2691"/>
    <w:rsid w:val="002F3F01"/>
    <w:rsid w:val="002F7307"/>
    <w:rsid w:val="002F777E"/>
    <w:rsid w:val="002F7E2B"/>
    <w:rsid w:val="00300C19"/>
    <w:rsid w:val="00302CB8"/>
    <w:rsid w:val="00302F8A"/>
    <w:rsid w:val="0030393E"/>
    <w:rsid w:val="003046BA"/>
    <w:rsid w:val="003064D4"/>
    <w:rsid w:val="00307EB6"/>
    <w:rsid w:val="003115FA"/>
    <w:rsid w:val="00312635"/>
    <w:rsid w:val="00312E8E"/>
    <w:rsid w:val="00313504"/>
    <w:rsid w:val="00314C29"/>
    <w:rsid w:val="003164B0"/>
    <w:rsid w:val="00320EEA"/>
    <w:rsid w:val="00321BFC"/>
    <w:rsid w:val="00321F55"/>
    <w:rsid w:val="003226E3"/>
    <w:rsid w:val="003228D6"/>
    <w:rsid w:val="003233B9"/>
    <w:rsid w:val="003239C0"/>
    <w:rsid w:val="00323E96"/>
    <w:rsid w:val="0032477F"/>
    <w:rsid w:val="0032514F"/>
    <w:rsid w:val="00326FFE"/>
    <w:rsid w:val="00330CD5"/>
    <w:rsid w:val="0033139D"/>
    <w:rsid w:val="00331652"/>
    <w:rsid w:val="0033243C"/>
    <w:rsid w:val="00332BD1"/>
    <w:rsid w:val="003330A3"/>
    <w:rsid w:val="003335F5"/>
    <w:rsid w:val="003340C2"/>
    <w:rsid w:val="003342BA"/>
    <w:rsid w:val="0033701D"/>
    <w:rsid w:val="00337CCB"/>
    <w:rsid w:val="00340500"/>
    <w:rsid w:val="00341640"/>
    <w:rsid w:val="0034216B"/>
    <w:rsid w:val="003429ED"/>
    <w:rsid w:val="003430F2"/>
    <w:rsid w:val="00343123"/>
    <w:rsid w:val="00343729"/>
    <w:rsid w:val="00343D1C"/>
    <w:rsid w:val="00347592"/>
    <w:rsid w:val="003476B0"/>
    <w:rsid w:val="00350A37"/>
    <w:rsid w:val="00351D95"/>
    <w:rsid w:val="00352682"/>
    <w:rsid w:val="00354551"/>
    <w:rsid w:val="00354E77"/>
    <w:rsid w:val="00355721"/>
    <w:rsid w:val="0035617D"/>
    <w:rsid w:val="00356F2A"/>
    <w:rsid w:val="00356FF9"/>
    <w:rsid w:val="0035756F"/>
    <w:rsid w:val="0035760A"/>
    <w:rsid w:val="003611DF"/>
    <w:rsid w:val="0036138F"/>
    <w:rsid w:val="003616F6"/>
    <w:rsid w:val="00362BF3"/>
    <w:rsid w:val="00363BDA"/>
    <w:rsid w:val="003662E4"/>
    <w:rsid w:val="0036696C"/>
    <w:rsid w:val="00367022"/>
    <w:rsid w:val="00370D26"/>
    <w:rsid w:val="00371965"/>
    <w:rsid w:val="00372DE4"/>
    <w:rsid w:val="003734E6"/>
    <w:rsid w:val="00373C3A"/>
    <w:rsid w:val="00374AFA"/>
    <w:rsid w:val="00374E37"/>
    <w:rsid w:val="0037545F"/>
    <w:rsid w:val="003763FE"/>
    <w:rsid w:val="00376979"/>
    <w:rsid w:val="00377182"/>
    <w:rsid w:val="003801B3"/>
    <w:rsid w:val="0038091B"/>
    <w:rsid w:val="00385FE8"/>
    <w:rsid w:val="0038693A"/>
    <w:rsid w:val="00386B29"/>
    <w:rsid w:val="00386CC9"/>
    <w:rsid w:val="00386EF8"/>
    <w:rsid w:val="0039083C"/>
    <w:rsid w:val="00391A3B"/>
    <w:rsid w:val="00391EB0"/>
    <w:rsid w:val="003946EF"/>
    <w:rsid w:val="003954A2"/>
    <w:rsid w:val="003964F6"/>
    <w:rsid w:val="00396931"/>
    <w:rsid w:val="00397201"/>
    <w:rsid w:val="003974E3"/>
    <w:rsid w:val="00397550"/>
    <w:rsid w:val="003A02D3"/>
    <w:rsid w:val="003A170B"/>
    <w:rsid w:val="003A1FF7"/>
    <w:rsid w:val="003A2BA4"/>
    <w:rsid w:val="003A31F8"/>
    <w:rsid w:val="003A388A"/>
    <w:rsid w:val="003A394A"/>
    <w:rsid w:val="003A40A2"/>
    <w:rsid w:val="003A4966"/>
    <w:rsid w:val="003A6BB9"/>
    <w:rsid w:val="003A70F1"/>
    <w:rsid w:val="003A7147"/>
    <w:rsid w:val="003A7431"/>
    <w:rsid w:val="003B0980"/>
    <w:rsid w:val="003B1B8F"/>
    <w:rsid w:val="003B24EC"/>
    <w:rsid w:val="003B5037"/>
    <w:rsid w:val="003B5C38"/>
    <w:rsid w:val="003B6383"/>
    <w:rsid w:val="003B6451"/>
    <w:rsid w:val="003B65AD"/>
    <w:rsid w:val="003B6A77"/>
    <w:rsid w:val="003B6C51"/>
    <w:rsid w:val="003B6EB8"/>
    <w:rsid w:val="003B6FF3"/>
    <w:rsid w:val="003B75BC"/>
    <w:rsid w:val="003B7D35"/>
    <w:rsid w:val="003C0A71"/>
    <w:rsid w:val="003C0BD5"/>
    <w:rsid w:val="003C1316"/>
    <w:rsid w:val="003C1485"/>
    <w:rsid w:val="003C3C1B"/>
    <w:rsid w:val="003C4475"/>
    <w:rsid w:val="003C4B3C"/>
    <w:rsid w:val="003C4B45"/>
    <w:rsid w:val="003C4D67"/>
    <w:rsid w:val="003C6753"/>
    <w:rsid w:val="003C78B4"/>
    <w:rsid w:val="003D02FB"/>
    <w:rsid w:val="003D04ED"/>
    <w:rsid w:val="003D0CB2"/>
    <w:rsid w:val="003D2C3A"/>
    <w:rsid w:val="003D372A"/>
    <w:rsid w:val="003D4B3A"/>
    <w:rsid w:val="003D4EBB"/>
    <w:rsid w:val="003D5AFD"/>
    <w:rsid w:val="003D7B58"/>
    <w:rsid w:val="003D7EDA"/>
    <w:rsid w:val="003E01B3"/>
    <w:rsid w:val="003E0603"/>
    <w:rsid w:val="003E148E"/>
    <w:rsid w:val="003E1718"/>
    <w:rsid w:val="003E1BFD"/>
    <w:rsid w:val="003E3929"/>
    <w:rsid w:val="003E4569"/>
    <w:rsid w:val="003E4652"/>
    <w:rsid w:val="003E4935"/>
    <w:rsid w:val="003E4955"/>
    <w:rsid w:val="003E5028"/>
    <w:rsid w:val="003E52C1"/>
    <w:rsid w:val="003E6487"/>
    <w:rsid w:val="003E6E98"/>
    <w:rsid w:val="003F369E"/>
    <w:rsid w:val="003F3F4E"/>
    <w:rsid w:val="003F43CF"/>
    <w:rsid w:val="003F4C63"/>
    <w:rsid w:val="003F6650"/>
    <w:rsid w:val="003F6760"/>
    <w:rsid w:val="003F7CB6"/>
    <w:rsid w:val="004000D8"/>
    <w:rsid w:val="004015F5"/>
    <w:rsid w:val="00402DC1"/>
    <w:rsid w:val="00403D96"/>
    <w:rsid w:val="0040484C"/>
    <w:rsid w:val="00406237"/>
    <w:rsid w:val="00406346"/>
    <w:rsid w:val="004065A3"/>
    <w:rsid w:val="0040669A"/>
    <w:rsid w:val="00406A84"/>
    <w:rsid w:val="00407D48"/>
    <w:rsid w:val="00407D69"/>
    <w:rsid w:val="00407FC1"/>
    <w:rsid w:val="00411E16"/>
    <w:rsid w:val="00413048"/>
    <w:rsid w:val="00414169"/>
    <w:rsid w:val="0041433A"/>
    <w:rsid w:val="004150B3"/>
    <w:rsid w:val="004170DE"/>
    <w:rsid w:val="00417AA8"/>
    <w:rsid w:val="00421CB6"/>
    <w:rsid w:val="0042280D"/>
    <w:rsid w:val="004228B8"/>
    <w:rsid w:val="0042304D"/>
    <w:rsid w:val="00423311"/>
    <w:rsid w:val="00423EE8"/>
    <w:rsid w:val="004246B6"/>
    <w:rsid w:val="0042523E"/>
    <w:rsid w:val="00425465"/>
    <w:rsid w:val="0042653E"/>
    <w:rsid w:val="004302E5"/>
    <w:rsid w:val="00430867"/>
    <w:rsid w:val="00430B53"/>
    <w:rsid w:val="00431E63"/>
    <w:rsid w:val="004325EC"/>
    <w:rsid w:val="00434024"/>
    <w:rsid w:val="00434263"/>
    <w:rsid w:val="00434289"/>
    <w:rsid w:val="004357C6"/>
    <w:rsid w:val="0043669C"/>
    <w:rsid w:val="00436FE1"/>
    <w:rsid w:val="00437A61"/>
    <w:rsid w:val="00440CAD"/>
    <w:rsid w:val="004410A2"/>
    <w:rsid w:val="00442D61"/>
    <w:rsid w:val="004438A1"/>
    <w:rsid w:val="00443C09"/>
    <w:rsid w:val="00444018"/>
    <w:rsid w:val="00444BF9"/>
    <w:rsid w:val="00444E49"/>
    <w:rsid w:val="00446A8C"/>
    <w:rsid w:val="00452212"/>
    <w:rsid w:val="00452316"/>
    <w:rsid w:val="00454083"/>
    <w:rsid w:val="00454890"/>
    <w:rsid w:val="00455263"/>
    <w:rsid w:val="004558CF"/>
    <w:rsid w:val="004570EC"/>
    <w:rsid w:val="00457406"/>
    <w:rsid w:val="0045760B"/>
    <w:rsid w:val="00460104"/>
    <w:rsid w:val="004605A5"/>
    <w:rsid w:val="00460F54"/>
    <w:rsid w:val="0046103C"/>
    <w:rsid w:val="0046394A"/>
    <w:rsid w:val="00463D85"/>
    <w:rsid w:val="004648C4"/>
    <w:rsid w:val="00464986"/>
    <w:rsid w:val="00464AD4"/>
    <w:rsid w:val="004659BC"/>
    <w:rsid w:val="00465FE6"/>
    <w:rsid w:val="004661C5"/>
    <w:rsid w:val="00466505"/>
    <w:rsid w:val="00466CE1"/>
    <w:rsid w:val="00466F91"/>
    <w:rsid w:val="00467096"/>
    <w:rsid w:val="00467689"/>
    <w:rsid w:val="004677E4"/>
    <w:rsid w:val="00470E9F"/>
    <w:rsid w:val="00472265"/>
    <w:rsid w:val="004722FD"/>
    <w:rsid w:val="00472D9B"/>
    <w:rsid w:val="00473173"/>
    <w:rsid w:val="00475DE6"/>
    <w:rsid w:val="00477F29"/>
    <w:rsid w:val="00480338"/>
    <w:rsid w:val="00482271"/>
    <w:rsid w:val="0048274C"/>
    <w:rsid w:val="004841E9"/>
    <w:rsid w:val="00484A51"/>
    <w:rsid w:val="00484B75"/>
    <w:rsid w:val="004869FC"/>
    <w:rsid w:val="00487505"/>
    <w:rsid w:val="00493DC6"/>
    <w:rsid w:val="00495C9A"/>
    <w:rsid w:val="004965B0"/>
    <w:rsid w:val="004978E8"/>
    <w:rsid w:val="004A0557"/>
    <w:rsid w:val="004A1087"/>
    <w:rsid w:val="004A1465"/>
    <w:rsid w:val="004A22FD"/>
    <w:rsid w:val="004A3107"/>
    <w:rsid w:val="004A3481"/>
    <w:rsid w:val="004A5235"/>
    <w:rsid w:val="004A5434"/>
    <w:rsid w:val="004A5707"/>
    <w:rsid w:val="004A5766"/>
    <w:rsid w:val="004A5C7E"/>
    <w:rsid w:val="004A5D8A"/>
    <w:rsid w:val="004A670F"/>
    <w:rsid w:val="004A6BEC"/>
    <w:rsid w:val="004B03DB"/>
    <w:rsid w:val="004B13A8"/>
    <w:rsid w:val="004B1E99"/>
    <w:rsid w:val="004B2FDE"/>
    <w:rsid w:val="004B3B6C"/>
    <w:rsid w:val="004B45F1"/>
    <w:rsid w:val="004B4766"/>
    <w:rsid w:val="004B47C9"/>
    <w:rsid w:val="004B505E"/>
    <w:rsid w:val="004B53DC"/>
    <w:rsid w:val="004B6D5C"/>
    <w:rsid w:val="004B6F03"/>
    <w:rsid w:val="004C1818"/>
    <w:rsid w:val="004C2418"/>
    <w:rsid w:val="004C2A9B"/>
    <w:rsid w:val="004C4C84"/>
    <w:rsid w:val="004C5297"/>
    <w:rsid w:val="004C6A2C"/>
    <w:rsid w:val="004C7213"/>
    <w:rsid w:val="004D1639"/>
    <w:rsid w:val="004D2115"/>
    <w:rsid w:val="004D3704"/>
    <w:rsid w:val="004D4BEE"/>
    <w:rsid w:val="004D5B37"/>
    <w:rsid w:val="004D5B94"/>
    <w:rsid w:val="004D5D5B"/>
    <w:rsid w:val="004D6715"/>
    <w:rsid w:val="004E32B2"/>
    <w:rsid w:val="004E4508"/>
    <w:rsid w:val="004E4874"/>
    <w:rsid w:val="004E4C54"/>
    <w:rsid w:val="004E4F11"/>
    <w:rsid w:val="004E5096"/>
    <w:rsid w:val="004E50CB"/>
    <w:rsid w:val="004E554D"/>
    <w:rsid w:val="004E72B8"/>
    <w:rsid w:val="004E7D4E"/>
    <w:rsid w:val="004F01F8"/>
    <w:rsid w:val="004F0E63"/>
    <w:rsid w:val="004F11D0"/>
    <w:rsid w:val="004F2427"/>
    <w:rsid w:val="004F2891"/>
    <w:rsid w:val="004F3FD4"/>
    <w:rsid w:val="004F4267"/>
    <w:rsid w:val="004F5674"/>
    <w:rsid w:val="004F6744"/>
    <w:rsid w:val="004F6B94"/>
    <w:rsid w:val="004F6C89"/>
    <w:rsid w:val="004F76E2"/>
    <w:rsid w:val="004F7C42"/>
    <w:rsid w:val="00500D52"/>
    <w:rsid w:val="00501C98"/>
    <w:rsid w:val="00502699"/>
    <w:rsid w:val="00502FDD"/>
    <w:rsid w:val="005036AC"/>
    <w:rsid w:val="00503745"/>
    <w:rsid w:val="00505544"/>
    <w:rsid w:val="005064D0"/>
    <w:rsid w:val="0050736E"/>
    <w:rsid w:val="00507373"/>
    <w:rsid w:val="00507DF6"/>
    <w:rsid w:val="00510B56"/>
    <w:rsid w:val="00512F3B"/>
    <w:rsid w:val="0051437D"/>
    <w:rsid w:val="00514663"/>
    <w:rsid w:val="005157EB"/>
    <w:rsid w:val="00515F78"/>
    <w:rsid w:val="00516971"/>
    <w:rsid w:val="00516A28"/>
    <w:rsid w:val="00517534"/>
    <w:rsid w:val="00517B5C"/>
    <w:rsid w:val="005200E5"/>
    <w:rsid w:val="005202FA"/>
    <w:rsid w:val="00521058"/>
    <w:rsid w:val="0052264A"/>
    <w:rsid w:val="005227DB"/>
    <w:rsid w:val="005228E4"/>
    <w:rsid w:val="00522A13"/>
    <w:rsid w:val="00524F49"/>
    <w:rsid w:val="00526376"/>
    <w:rsid w:val="0052692A"/>
    <w:rsid w:val="00526E22"/>
    <w:rsid w:val="005271FE"/>
    <w:rsid w:val="0052758B"/>
    <w:rsid w:val="00527841"/>
    <w:rsid w:val="0053099C"/>
    <w:rsid w:val="00530A9D"/>
    <w:rsid w:val="00531872"/>
    <w:rsid w:val="00532EF4"/>
    <w:rsid w:val="005334CB"/>
    <w:rsid w:val="00533DFE"/>
    <w:rsid w:val="005346F5"/>
    <w:rsid w:val="00534C0C"/>
    <w:rsid w:val="00535B56"/>
    <w:rsid w:val="0053778C"/>
    <w:rsid w:val="00537EA0"/>
    <w:rsid w:val="00537EFE"/>
    <w:rsid w:val="00541497"/>
    <w:rsid w:val="0054240B"/>
    <w:rsid w:val="00542F09"/>
    <w:rsid w:val="00543084"/>
    <w:rsid w:val="0054399A"/>
    <w:rsid w:val="0054406B"/>
    <w:rsid w:val="00544831"/>
    <w:rsid w:val="00544EF9"/>
    <w:rsid w:val="005450F1"/>
    <w:rsid w:val="005451FC"/>
    <w:rsid w:val="00545205"/>
    <w:rsid w:val="00545DCA"/>
    <w:rsid w:val="00545EBE"/>
    <w:rsid w:val="005464AD"/>
    <w:rsid w:val="005475D3"/>
    <w:rsid w:val="00547E18"/>
    <w:rsid w:val="0055060D"/>
    <w:rsid w:val="0055081B"/>
    <w:rsid w:val="00552E66"/>
    <w:rsid w:val="00553111"/>
    <w:rsid w:val="005534C1"/>
    <w:rsid w:val="0055351E"/>
    <w:rsid w:val="00554782"/>
    <w:rsid w:val="0056008A"/>
    <w:rsid w:val="00560931"/>
    <w:rsid w:val="00561BB3"/>
    <w:rsid w:val="0056213B"/>
    <w:rsid w:val="00562187"/>
    <w:rsid w:val="0056427B"/>
    <w:rsid w:val="0056474C"/>
    <w:rsid w:val="00565290"/>
    <w:rsid w:val="005660C3"/>
    <w:rsid w:val="00566BE2"/>
    <w:rsid w:val="005707BE"/>
    <w:rsid w:val="005725BE"/>
    <w:rsid w:val="00575252"/>
    <w:rsid w:val="0057744C"/>
    <w:rsid w:val="0058267E"/>
    <w:rsid w:val="00582690"/>
    <w:rsid w:val="00584349"/>
    <w:rsid w:val="00584545"/>
    <w:rsid w:val="0058465B"/>
    <w:rsid w:val="005848FC"/>
    <w:rsid w:val="00584CBC"/>
    <w:rsid w:val="00584CFF"/>
    <w:rsid w:val="00585464"/>
    <w:rsid w:val="0058639B"/>
    <w:rsid w:val="0058695F"/>
    <w:rsid w:val="00586CE2"/>
    <w:rsid w:val="005871A1"/>
    <w:rsid w:val="0059097D"/>
    <w:rsid w:val="00591718"/>
    <w:rsid w:val="00592C1C"/>
    <w:rsid w:val="005936E0"/>
    <w:rsid w:val="00593C2B"/>
    <w:rsid w:val="0059422A"/>
    <w:rsid w:val="00594587"/>
    <w:rsid w:val="005954CF"/>
    <w:rsid w:val="00595618"/>
    <w:rsid w:val="005957D5"/>
    <w:rsid w:val="00595FC7"/>
    <w:rsid w:val="005960B4"/>
    <w:rsid w:val="005975EF"/>
    <w:rsid w:val="005979C0"/>
    <w:rsid w:val="00597C5B"/>
    <w:rsid w:val="00597E5B"/>
    <w:rsid w:val="005A0593"/>
    <w:rsid w:val="005A1112"/>
    <w:rsid w:val="005A1BF9"/>
    <w:rsid w:val="005A3DFC"/>
    <w:rsid w:val="005A4675"/>
    <w:rsid w:val="005A4C4D"/>
    <w:rsid w:val="005A4F3D"/>
    <w:rsid w:val="005A61DA"/>
    <w:rsid w:val="005A66F1"/>
    <w:rsid w:val="005B136B"/>
    <w:rsid w:val="005B17E4"/>
    <w:rsid w:val="005B2704"/>
    <w:rsid w:val="005B3454"/>
    <w:rsid w:val="005B42CF"/>
    <w:rsid w:val="005B5476"/>
    <w:rsid w:val="005B54AF"/>
    <w:rsid w:val="005B5CD5"/>
    <w:rsid w:val="005B6DE9"/>
    <w:rsid w:val="005C059E"/>
    <w:rsid w:val="005C103F"/>
    <w:rsid w:val="005C19A9"/>
    <w:rsid w:val="005C5456"/>
    <w:rsid w:val="005C67C5"/>
    <w:rsid w:val="005C7204"/>
    <w:rsid w:val="005C7540"/>
    <w:rsid w:val="005C75C8"/>
    <w:rsid w:val="005C7624"/>
    <w:rsid w:val="005C78BE"/>
    <w:rsid w:val="005C7DE8"/>
    <w:rsid w:val="005D295B"/>
    <w:rsid w:val="005D5422"/>
    <w:rsid w:val="005D5682"/>
    <w:rsid w:val="005D6F0A"/>
    <w:rsid w:val="005E06F1"/>
    <w:rsid w:val="005E1774"/>
    <w:rsid w:val="005E3A2D"/>
    <w:rsid w:val="005E3F8C"/>
    <w:rsid w:val="005E4AC6"/>
    <w:rsid w:val="005E69B0"/>
    <w:rsid w:val="005E7580"/>
    <w:rsid w:val="005F0224"/>
    <w:rsid w:val="005F15A4"/>
    <w:rsid w:val="005F16AC"/>
    <w:rsid w:val="005F2019"/>
    <w:rsid w:val="005F4321"/>
    <w:rsid w:val="005F44D0"/>
    <w:rsid w:val="005F58C6"/>
    <w:rsid w:val="005F68E3"/>
    <w:rsid w:val="00601BEB"/>
    <w:rsid w:val="00601FDE"/>
    <w:rsid w:val="0060259C"/>
    <w:rsid w:val="00602A46"/>
    <w:rsid w:val="00602DE6"/>
    <w:rsid w:val="00602E23"/>
    <w:rsid w:val="006037CE"/>
    <w:rsid w:val="00603C06"/>
    <w:rsid w:val="006050F4"/>
    <w:rsid w:val="00605FF5"/>
    <w:rsid w:val="00606494"/>
    <w:rsid w:val="00607F40"/>
    <w:rsid w:val="006100EC"/>
    <w:rsid w:val="00610BF4"/>
    <w:rsid w:val="0061350A"/>
    <w:rsid w:val="00615194"/>
    <w:rsid w:val="006153ED"/>
    <w:rsid w:val="00616137"/>
    <w:rsid w:val="00617429"/>
    <w:rsid w:val="00617AF3"/>
    <w:rsid w:val="00617C61"/>
    <w:rsid w:val="00617CCB"/>
    <w:rsid w:val="00621241"/>
    <w:rsid w:val="00621A17"/>
    <w:rsid w:val="006223C8"/>
    <w:rsid w:val="00622EC7"/>
    <w:rsid w:val="006238E5"/>
    <w:rsid w:val="006243EC"/>
    <w:rsid w:val="00625B37"/>
    <w:rsid w:val="00625DEC"/>
    <w:rsid w:val="00627B03"/>
    <w:rsid w:val="00627F1D"/>
    <w:rsid w:val="00630082"/>
    <w:rsid w:val="006308E6"/>
    <w:rsid w:val="00630A4F"/>
    <w:rsid w:val="00630B53"/>
    <w:rsid w:val="00631190"/>
    <w:rsid w:val="00631B7C"/>
    <w:rsid w:val="00633A34"/>
    <w:rsid w:val="00633B11"/>
    <w:rsid w:val="0063414E"/>
    <w:rsid w:val="00634F37"/>
    <w:rsid w:val="0063602D"/>
    <w:rsid w:val="00637DEC"/>
    <w:rsid w:val="006403DA"/>
    <w:rsid w:val="006406A7"/>
    <w:rsid w:val="00640990"/>
    <w:rsid w:val="00640CA9"/>
    <w:rsid w:val="00640D66"/>
    <w:rsid w:val="0064122B"/>
    <w:rsid w:val="006412A3"/>
    <w:rsid w:val="00641A72"/>
    <w:rsid w:val="0064258A"/>
    <w:rsid w:val="0064267F"/>
    <w:rsid w:val="00642DA1"/>
    <w:rsid w:val="00644AC6"/>
    <w:rsid w:val="006452D9"/>
    <w:rsid w:val="00645FAD"/>
    <w:rsid w:val="006504FC"/>
    <w:rsid w:val="00653421"/>
    <w:rsid w:val="00656340"/>
    <w:rsid w:val="00656617"/>
    <w:rsid w:val="0065777A"/>
    <w:rsid w:val="00657A0A"/>
    <w:rsid w:val="006608BE"/>
    <w:rsid w:val="00660A43"/>
    <w:rsid w:val="006611FD"/>
    <w:rsid w:val="006622DE"/>
    <w:rsid w:val="00662BF8"/>
    <w:rsid w:val="006634F6"/>
    <w:rsid w:val="00664D1A"/>
    <w:rsid w:val="006659EC"/>
    <w:rsid w:val="00666492"/>
    <w:rsid w:val="006667BD"/>
    <w:rsid w:val="00667C45"/>
    <w:rsid w:val="00670A0A"/>
    <w:rsid w:val="00672524"/>
    <w:rsid w:val="00672771"/>
    <w:rsid w:val="006736DF"/>
    <w:rsid w:val="00673F29"/>
    <w:rsid w:val="00674978"/>
    <w:rsid w:val="0067579A"/>
    <w:rsid w:val="00675C8E"/>
    <w:rsid w:val="00676720"/>
    <w:rsid w:val="006820ED"/>
    <w:rsid w:val="00683BF9"/>
    <w:rsid w:val="00683D1A"/>
    <w:rsid w:val="00685A39"/>
    <w:rsid w:val="00685B95"/>
    <w:rsid w:val="00687339"/>
    <w:rsid w:val="006874EB"/>
    <w:rsid w:val="006903C5"/>
    <w:rsid w:val="006908C6"/>
    <w:rsid w:val="00691613"/>
    <w:rsid w:val="00691F04"/>
    <w:rsid w:val="006947AD"/>
    <w:rsid w:val="00694AD9"/>
    <w:rsid w:val="00694EE8"/>
    <w:rsid w:val="00696B5A"/>
    <w:rsid w:val="006A0BC2"/>
    <w:rsid w:val="006A255F"/>
    <w:rsid w:val="006A3B06"/>
    <w:rsid w:val="006A3F94"/>
    <w:rsid w:val="006A4699"/>
    <w:rsid w:val="006A46B8"/>
    <w:rsid w:val="006A54D6"/>
    <w:rsid w:val="006A573C"/>
    <w:rsid w:val="006A5ED9"/>
    <w:rsid w:val="006A6354"/>
    <w:rsid w:val="006A6FE2"/>
    <w:rsid w:val="006A7940"/>
    <w:rsid w:val="006B0D05"/>
    <w:rsid w:val="006B0D98"/>
    <w:rsid w:val="006B1FFF"/>
    <w:rsid w:val="006B22EA"/>
    <w:rsid w:val="006B32C6"/>
    <w:rsid w:val="006B3661"/>
    <w:rsid w:val="006B3A58"/>
    <w:rsid w:val="006B4642"/>
    <w:rsid w:val="006B48F0"/>
    <w:rsid w:val="006B4A2C"/>
    <w:rsid w:val="006B6EA7"/>
    <w:rsid w:val="006B76F0"/>
    <w:rsid w:val="006B7A0A"/>
    <w:rsid w:val="006B7B54"/>
    <w:rsid w:val="006B7B5F"/>
    <w:rsid w:val="006C086B"/>
    <w:rsid w:val="006C21AB"/>
    <w:rsid w:val="006C28CA"/>
    <w:rsid w:val="006C2AFA"/>
    <w:rsid w:val="006C2DA0"/>
    <w:rsid w:val="006C3D67"/>
    <w:rsid w:val="006C40C4"/>
    <w:rsid w:val="006C4CCC"/>
    <w:rsid w:val="006C6CF8"/>
    <w:rsid w:val="006C7BA7"/>
    <w:rsid w:val="006D0559"/>
    <w:rsid w:val="006D1D0F"/>
    <w:rsid w:val="006D26DC"/>
    <w:rsid w:val="006D3318"/>
    <w:rsid w:val="006D341F"/>
    <w:rsid w:val="006D3430"/>
    <w:rsid w:val="006D3C65"/>
    <w:rsid w:val="006D6047"/>
    <w:rsid w:val="006E0ABB"/>
    <w:rsid w:val="006E0D61"/>
    <w:rsid w:val="006E1B63"/>
    <w:rsid w:val="006E1D98"/>
    <w:rsid w:val="006E1DEE"/>
    <w:rsid w:val="006E1EB4"/>
    <w:rsid w:val="006E1EF9"/>
    <w:rsid w:val="006E2C12"/>
    <w:rsid w:val="006E42B3"/>
    <w:rsid w:val="006E547D"/>
    <w:rsid w:val="006E6B03"/>
    <w:rsid w:val="006E6F59"/>
    <w:rsid w:val="006E7282"/>
    <w:rsid w:val="006E7F3F"/>
    <w:rsid w:val="006F0133"/>
    <w:rsid w:val="006F051F"/>
    <w:rsid w:val="006F1DFB"/>
    <w:rsid w:val="006F244F"/>
    <w:rsid w:val="006F2C67"/>
    <w:rsid w:val="006F3C0F"/>
    <w:rsid w:val="006F5321"/>
    <w:rsid w:val="006F5C52"/>
    <w:rsid w:val="00702114"/>
    <w:rsid w:val="0070374A"/>
    <w:rsid w:val="00704CE1"/>
    <w:rsid w:val="007066DE"/>
    <w:rsid w:val="00706A16"/>
    <w:rsid w:val="00706E80"/>
    <w:rsid w:val="0070798F"/>
    <w:rsid w:val="00707BCC"/>
    <w:rsid w:val="007133B0"/>
    <w:rsid w:val="00714D0C"/>
    <w:rsid w:val="00714F3D"/>
    <w:rsid w:val="00716376"/>
    <w:rsid w:val="0071656D"/>
    <w:rsid w:val="00716EBA"/>
    <w:rsid w:val="00717B91"/>
    <w:rsid w:val="00717F4A"/>
    <w:rsid w:val="007204C6"/>
    <w:rsid w:val="0072148A"/>
    <w:rsid w:val="007216C3"/>
    <w:rsid w:val="00722BF4"/>
    <w:rsid w:val="00722DF3"/>
    <w:rsid w:val="007231E4"/>
    <w:rsid w:val="007240A9"/>
    <w:rsid w:val="0072640A"/>
    <w:rsid w:val="00726D0B"/>
    <w:rsid w:val="007306B9"/>
    <w:rsid w:val="00730BA7"/>
    <w:rsid w:val="00730F7C"/>
    <w:rsid w:val="00731F6E"/>
    <w:rsid w:val="00732287"/>
    <w:rsid w:val="007337D4"/>
    <w:rsid w:val="0073381D"/>
    <w:rsid w:val="00733FC1"/>
    <w:rsid w:val="007376D2"/>
    <w:rsid w:val="0074039D"/>
    <w:rsid w:val="00740F29"/>
    <w:rsid w:val="00740F4A"/>
    <w:rsid w:val="00741AD1"/>
    <w:rsid w:val="007426B5"/>
    <w:rsid w:val="007430E7"/>
    <w:rsid w:val="0074327F"/>
    <w:rsid w:val="00743575"/>
    <w:rsid w:val="00744D74"/>
    <w:rsid w:val="00745793"/>
    <w:rsid w:val="007457FB"/>
    <w:rsid w:val="00745925"/>
    <w:rsid w:val="00745E8C"/>
    <w:rsid w:val="0074600D"/>
    <w:rsid w:val="007464FB"/>
    <w:rsid w:val="00746C8D"/>
    <w:rsid w:val="00747EA3"/>
    <w:rsid w:val="0075109B"/>
    <w:rsid w:val="00751E7F"/>
    <w:rsid w:val="007520BE"/>
    <w:rsid w:val="00753379"/>
    <w:rsid w:val="00754A77"/>
    <w:rsid w:val="0075613A"/>
    <w:rsid w:val="0075676B"/>
    <w:rsid w:val="0075748B"/>
    <w:rsid w:val="007609A4"/>
    <w:rsid w:val="00761AA6"/>
    <w:rsid w:val="00762830"/>
    <w:rsid w:val="00762CE0"/>
    <w:rsid w:val="00764BED"/>
    <w:rsid w:val="00765E78"/>
    <w:rsid w:val="007667B7"/>
    <w:rsid w:val="0076691D"/>
    <w:rsid w:val="00766FD9"/>
    <w:rsid w:val="007702FA"/>
    <w:rsid w:val="00770FD5"/>
    <w:rsid w:val="007713AE"/>
    <w:rsid w:val="00771DD2"/>
    <w:rsid w:val="00771F3C"/>
    <w:rsid w:val="00772A09"/>
    <w:rsid w:val="0077301C"/>
    <w:rsid w:val="007737FE"/>
    <w:rsid w:val="0077412E"/>
    <w:rsid w:val="00776162"/>
    <w:rsid w:val="00776533"/>
    <w:rsid w:val="00776881"/>
    <w:rsid w:val="00776C61"/>
    <w:rsid w:val="00777C93"/>
    <w:rsid w:val="0078140B"/>
    <w:rsid w:val="00781B2A"/>
    <w:rsid w:val="00782AD3"/>
    <w:rsid w:val="007837DC"/>
    <w:rsid w:val="00783A96"/>
    <w:rsid w:val="0078443F"/>
    <w:rsid w:val="00784797"/>
    <w:rsid w:val="00784D9E"/>
    <w:rsid w:val="00787037"/>
    <w:rsid w:val="00790863"/>
    <w:rsid w:val="00791507"/>
    <w:rsid w:val="00791E9E"/>
    <w:rsid w:val="00792649"/>
    <w:rsid w:val="00793517"/>
    <w:rsid w:val="00794F56"/>
    <w:rsid w:val="00794F73"/>
    <w:rsid w:val="007979A0"/>
    <w:rsid w:val="007A1790"/>
    <w:rsid w:val="007A2534"/>
    <w:rsid w:val="007A2544"/>
    <w:rsid w:val="007A2BFC"/>
    <w:rsid w:val="007A4452"/>
    <w:rsid w:val="007A4703"/>
    <w:rsid w:val="007A4756"/>
    <w:rsid w:val="007A5613"/>
    <w:rsid w:val="007A657F"/>
    <w:rsid w:val="007A6E79"/>
    <w:rsid w:val="007B0284"/>
    <w:rsid w:val="007B0FDA"/>
    <w:rsid w:val="007B1531"/>
    <w:rsid w:val="007B50A3"/>
    <w:rsid w:val="007B6571"/>
    <w:rsid w:val="007B66B2"/>
    <w:rsid w:val="007B6A97"/>
    <w:rsid w:val="007B796A"/>
    <w:rsid w:val="007C031E"/>
    <w:rsid w:val="007C16B9"/>
    <w:rsid w:val="007C1B10"/>
    <w:rsid w:val="007C1ED0"/>
    <w:rsid w:val="007C213E"/>
    <w:rsid w:val="007C3091"/>
    <w:rsid w:val="007C5D85"/>
    <w:rsid w:val="007C77C9"/>
    <w:rsid w:val="007D2287"/>
    <w:rsid w:val="007D34C8"/>
    <w:rsid w:val="007D4153"/>
    <w:rsid w:val="007D50C1"/>
    <w:rsid w:val="007D644E"/>
    <w:rsid w:val="007D7DC4"/>
    <w:rsid w:val="007E0AB4"/>
    <w:rsid w:val="007E1B8B"/>
    <w:rsid w:val="007E2A7F"/>
    <w:rsid w:val="007E2EE7"/>
    <w:rsid w:val="007E470E"/>
    <w:rsid w:val="007E5C16"/>
    <w:rsid w:val="007E62BC"/>
    <w:rsid w:val="007E6DF9"/>
    <w:rsid w:val="007F218C"/>
    <w:rsid w:val="007F51FC"/>
    <w:rsid w:val="007F5775"/>
    <w:rsid w:val="007F680F"/>
    <w:rsid w:val="007F6FC5"/>
    <w:rsid w:val="0080008E"/>
    <w:rsid w:val="00802CA7"/>
    <w:rsid w:val="008047DB"/>
    <w:rsid w:val="00805CB9"/>
    <w:rsid w:val="00806A41"/>
    <w:rsid w:val="00806EBD"/>
    <w:rsid w:val="008132D2"/>
    <w:rsid w:val="00813385"/>
    <w:rsid w:val="008133CB"/>
    <w:rsid w:val="00813C65"/>
    <w:rsid w:val="00814137"/>
    <w:rsid w:val="00816A18"/>
    <w:rsid w:val="00816AE3"/>
    <w:rsid w:val="00817B67"/>
    <w:rsid w:val="00820600"/>
    <w:rsid w:val="00820909"/>
    <w:rsid w:val="0082092A"/>
    <w:rsid w:val="008210DD"/>
    <w:rsid w:val="00821EFC"/>
    <w:rsid w:val="00821FB3"/>
    <w:rsid w:val="00822457"/>
    <w:rsid w:val="00823625"/>
    <w:rsid w:val="00823951"/>
    <w:rsid w:val="008239C8"/>
    <w:rsid w:val="00823C72"/>
    <w:rsid w:val="00825005"/>
    <w:rsid w:val="008259C4"/>
    <w:rsid w:val="00825BE8"/>
    <w:rsid w:val="008263AB"/>
    <w:rsid w:val="008269DA"/>
    <w:rsid w:val="00831318"/>
    <w:rsid w:val="00831451"/>
    <w:rsid w:val="00832B30"/>
    <w:rsid w:val="00832CE2"/>
    <w:rsid w:val="008337F9"/>
    <w:rsid w:val="00835F93"/>
    <w:rsid w:val="008365AE"/>
    <w:rsid w:val="00836BEB"/>
    <w:rsid w:val="00840EF9"/>
    <w:rsid w:val="008424DF"/>
    <w:rsid w:val="0084409A"/>
    <w:rsid w:val="008446E3"/>
    <w:rsid w:val="008458F8"/>
    <w:rsid w:val="00846367"/>
    <w:rsid w:val="00846C6D"/>
    <w:rsid w:val="008526AA"/>
    <w:rsid w:val="008529ED"/>
    <w:rsid w:val="008550BF"/>
    <w:rsid w:val="00856446"/>
    <w:rsid w:val="00857FC1"/>
    <w:rsid w:val="00861243"/>
    <w:rsid w:val="00861355"/>
    <w:rsid w:val="00862943"/>
    <w:rsid w:val="008629BB"/>
    <w:rsid w:val="00863B64"/>
    <w:rsid w:val="00866640"/>
    <w:rsid w:val="00866B59"/>
    <w:rsid w:val="00867101"/>
    <w:rsid w:val="00867583"/>
    <w:rsid w:val="00873342"/>
    <w:rsid w:val="00873A36"/>
    <w:rsid w:val="00874552"/>
    <w:rsid w:val="0087526A"/>
    <w:rsid w:val="00875A80"/>
    <w:rsid w:val="008761DD"/>
    <w:rsid w:val="008774D5"/>
    <w:rsid w:val="00877860"/>
    <w:rsid w:val="00877DAD"/>
    <w:rsid w:val="00880D86"/>
    <w:rsid w:val="008834E5"/>
    <w:rsid w:val="00883B79"/>
    <w:rsid w:val="008847EE"/>
    <w:rsid w:val="00884EDD"/>
    <w:rsid w:val="00884FC6"/>
    <w:rsid w:val="0088584E"/>
    <w:rsid w:val="00887B9F"/>
    <w:rsid w:val="00891868"/>
    <w:rsid w:val="00892184"/>
    <w:rsid w:val="00894E11"/>
    <w:rsid w:val="00895B6E"/>
    <w:rsid w:val="00896CD2"/>
    <w:rsid w:val="00896F4E"/>
    <w:rsid w:val="0089775B"/>
    <w:rsid w:val="008A0CD0"/>
    <w:rsid w:val="008A1E5D"/>
    <w:rsid w:val="008A51EA"/>
    <w:rsid w:val="008A57A4"/>
    <w:rsid w:val="008A5CD6"/>
    <w:rsid w:val="008A5D48"/>
    <w:rsid w:val="008A63B7"/>
    <w:rsid w:val="008A64DB"/>
    <w:rsid w:val="008A757D"/>
    <w:rsid w:val="008A75A9"/>
    <w:rsid w:val="008A79EC"/>
    <w:rsid w:val="008B0163"/>
    <w:rsid w:val="008B1E18"/>
    <w:rsid w:val="008B2B26"/>
    <w:rsid w:val="008B3AF0"/>
    <w:rsid w:val="008B5326"/>
    <w:rsid w:val="008B56AB"/>
    <w:rsid w:val="008B5BD2"/>
    <w:rsid w:val="008B620E"/>
    <w:rsid w:val="008B6ED5"/>
    <w:rsid w:val="008B7099"/>
    <w:rsid w:val="008B7494"/>
    <w:rsid w:val="008B7F10"/>
    <w:rsid w:val="008C07B0"/>
    <w:rsid w:val="008C0E90"/>
    <w:rsid w:val="008C17F9"/>
    <w:rsid w:val="008C19E8"/>
    <w:rsid w:val="008C66C0"/>
    <w:rsid w:val="008C66EE"/>
    <w:rsid w:val="008C720E"/>
    <w:rsid w:val="008C7E63"/>
    <w:rsid w:val="008D017D"/>
    <w:rsid w:val="008D0ECE"/>
    <w:rsid w:val="008D2304"/>
    <w:rsid w:val="008D46F2"/>
    <w:rsid w:val="008D4E08"/>
    <w:rsid w:val="008D519F"/>
    <w:rsid w:val="008D575E"/>
    <w:rsid w:val="008D5D99"/>
    <w:rsid w:val="008D70D5"/>
    <w:rsid w:val="008D7958"/>
    <w:rsid w:val="008E0278"/>
    <w:rsid w:val="008E303A"/>
    <w:rsid w:val="008E3306"/>
    <w:rsid w:val="008E3D88"/>
    <w:rsid w:val="008E5CF4"/>
    <w:rsid w:val="008E696F"/>
    <w:rsid w:val="008E6D56"/>
    <w:rsid w:val="008E7001"/>
    <w:rsid w:val="008E72D4"/>
    <w:rsid w:val="008E7C30"/>
    <w:rsid w:val="008F0F0E"/>
    <w:rsid w:val="008F147C"/>
    <w:rsid w:val="008F268F"/>
    <w:rsid w:val="008F2BEA"/>
    <w:rsid w:val="008F6CCE"/>
    <w:rsid w:val="00900FCF"/>
    <w:rsid w:val="009018F1"/>
    <w:rsid w:val="00904F2D"/>
    <w:rsid w:val="00905980"/>
    <w:rsid w:val="00905C8A"/>
    <w:rsid w:val="009064C3"/>
    <w:rsid w:val="00906B53"/>
    <w:rsid w:val="00906C7E"/>
    <w:rsid w:val="00906FFE"/>
    <w:rsid w:val="00907D73"/>
    <w:rsid w:val="009113ED"/>
    <w:rsid w:val="00911932"/>
    <w:rsid w:val="00912426"/>
    <w:rsid w:val="009137FD"/>
    <w:rsid w:val="00913865"/>
    <w:rsid w:val="00913D82"/>
    <w:rsid w:val="00914097"/>
    <w:rsid w:val="00917626"/>
    <w:rsid w:val="00917B59"/>
    <w:rsid w:val="00921299"/>
    <w:rsid w:val="0092170E"/>
    <w:rsid w:val="00921826"/>
    <w:rsid w:val="00921AD8"/>
    <w:rsid w:val="009266CD"/>
    <w:rsid w:val="0093014E"/>
    <w:rsid w:val="0093082F"/>
    <w:rsid w:val="00930CAA"/>
    <w:rsid w:val="00931557"/>
    <w:rsid w:val="009323C4"/>
    <w:rsid w:val="009327EE"/>
    <w:rsid w:val="00932950"/>
    <w:rsid w:val="00932B9B"/>
    <w:rsid w:val="009336E9"/>
    <w:rsid w:val="009341E1"/>
    <w:rsid w:val="00934C7D"/>
    <w:rsid w:val="00937032"/>
    <w:rsid w:val="00937135"/>
    <w:rsid w:val="00937BDD"/>
    <w:rsid w:val="009410E7"/>
    <w:rsid w:val="00942600"/>
    <w:rsid w:val="0094349A"/>
    <w:rsid w:val="009449CC"/>
    <w:rsid w:val="0094607C"/>
    <w:rsid w:val="009478A7"/>
    <w:rsid w:val="00950359"/>
    <w:rsid w:val="00951011"/>
    <w:rsid w:val="00951561"/>
    <w:rsid w:val="00952278"/>
    <w:rsid w:val="0095354D"/>
    <w:rsid w:val="00953722"/>
    <w:rsid w:val="00954203"/>
    <w:rsid w:val="00956290"/>
    <w:rsid w:val="00956D27"/>
    <w:rsid w:val="00956FB2"/>
    <w:rsid w:val="00960AF6"/>
    <w:rsid w:val="00963BF7"/>
    <w:rsid w:val="00963F43"/>
    <w:rsid w:val="00965B85"/>
    <w:rsid w:val="00965FA9"/>
    <w:rsid w:val="00966B0B"/>
    <w:rsid w:val="00966C6E"/>
    <w:rsid w:val="00967091"/>
    <w:rsid w:val="00967C5A"/>
    <w:rsid w:val="00967D6C"/>
    <w:rsid w:val="00972283"/>
    <w:rsid w:val="00972356"/>
    <w:rsid w:val="0097316B"/>
    <w:rsid w:val="009735BE"/>
    <w:rsid w:val="009741EF"/>
    <w:rsid w:val="0097434C"/>
    <w:rsid w:val="0097645A"/>
    <w:rsid w:val="00976769"/>
    <w:rsid w:val="00977DB0"/>
    <w:rsid w:val="00977EA4"/>
    <w:rsid w:val="00980248"/>
    <w:rsid w:val="0098195B"/>
    <w:rsid w:val="00982D31"/>
    <w:rsid w:val="00983CE1"/>
    <w:rsid w:val="00987CA3"/>
    <w:rsid w:val="00991022"/>
    <w:rsid w:val="0099141E"/>
    <w:rsid w:val="00991BC7"/>
    <w:rsid w:val="00992B0B"/>
    <w:rsid w:val="00992F1B"/>
    <w:rsid w:val="0099406A"/>
    <w:rsid w:val="009940AD"/>
    <w:rsid w:val="00994905"/>
    <w:rsid w:val="009978E5"/>
    <w:rsid w:val="009A1194"/>
    <w:rsid w:val="009A15A2"/>
    <w:rsid w:val="009A1673"/>
    <w:rsid w:val="009A1CD6"/>
    <w:rsid w:val="009A208B"/>
    <w:rsid w:val="009A25DB"/>
    <w:rsid w:val="009A2DDE"/>
    <w:rsid w:val="009A3CCD"/>
    <w:rsid w:val="009A4C42"/>
    <w:rsid w:val="009A4F3F"/>
    <w:rsid w:val="009A57C4"/>
    <w:rsid w:val="009A5D7D"/>
    <w:rsid w:val="009A6DE3"/>
    <w:rsid w:val="009A6E0C"/>
    <w:rsid w:val="009A767B"/>
    <w:rsid w:val="009B1D7A"/>
    <w:rsid w:val="009B2394"/>
    <w:rsid w:val="009B2A1A"/>
    <w:rsid w:val="009B324D"/>
    <w:rsid w:val="009B36E9"/>
    <w:rsid w:val="009B5C4F"/>
    <w:rsid w:val="009B5D5A"/>
    <w:rsid w:val="009B727D"/>
    <w:rsid w:val="009B7FAC"/>
    <w:rsid w:val="009C0167"/>
    <w:rsid w:val="009C0559"/>
    <w:rsid w:val="009C0738"/>
    <w:rsid w:val="009C0CAD"/>
    <w:rsid w:val="009C1E35"/>
    <w:rsid w:val="009C250B"/>
    <w:rsid w:val="009C25BB"/>
    <w:rsid w:val="009C2E0F"/>
    <w:rsid w:val="009C35F5"/>
    <w:rsid w:val="009C5223"/>
    <w:rsid w:val="009C52C5"/>
    <w:rsid w:val="009C56A7"/>
    <w:rsid w:val="009C6D52"/>
    <w:rsid w:val="009D05DD"/>
    <w:rsid w:val="009D0FF3"/>
    <w:rsid w:val="009D1921"/>
    <w:rsid w:val="009D2A6A"/>
    <w:rsid w:val="009D2C6E"/>
    <w:rsid w:val="009D30DA"/>
    <w:rsid w:val="009D4641"/>
    <w:rsid w:val="009E1A6A"/>
    <w:rsid w:val="009E263F"/>
    <w:rsid w:val="009E3C90"/>
    <w:rsid w:val="009E4A0C"/>
    <w:rsid w:val="009E4F5C"/>
    <w:rsid w:val="009E5EE9"/>
    <w:rsid w:val="009E747B"/>
    <w:rsid w:val="009F1201"/>
    <w:rsid w:val="009F23B3"/>
    <w:rsid w:val="009F2925"/>
    <w:rsid w:val="009F308D"/>
    <w:rsid w:val="009F3AB7"/>
    <w:rsid w:val="009F65EF"/>
    <w:rsid w:val="00A00342"/>
    <w:rsid w:val="00A0358E"/>
    <w:rsid w:val="00A03766"/>
    <w:rsid w:val="00A03935"/>
    <w:rsid w:val="00A040BF"/>
    <w:rsid w:val="00A042E1"/>
    <w:rsid w:val="00A054B4"/>
    <w:rsid w:val="00A06F7A"/>
    <w:rsid w:val="00A0743C"/>
    <w:rsid w:val="00A109EC"/>
    <w:rsid w:val="00A10BA7"/>
    <w:rsid w:val="00A117B9"/>
    <w:rsid w:val="00A11B14"/>
    <w:rsid w:val="00A1297B"/>
    <w:rsid w:val="00A12D5C"/>
    <w:rsid w:val="00A1407C"/>
    <w:rsid w:val="00A153D4"/>
    <w:rsid w:val="00A15BD1"/>
    <w:rsid w:val="00A16AFE"/>
    <w:rsid w:val="00A179A9"/>
    <w:rsid w:val="00A17BE6"/>
    <w:rsid w:val="00A20360"/>
    <w:rsid w:val="00A2046B"/>
    <w:rsid w:val="00A20F56"/>
    <w:rsid w:val="00A21ECD"/>
    <w:rsid w:val="00A21F2A"/>
    <w:rsid w:val="00A22231"/>
    <w:rsid w:val="00A223EA"/>
    <w:rsid w:val="00A230BA"/>
    <w:rsid w:val="00A236E6"/>
    <w:rsid w:val="00A249C4"/>
    <w:rsid w:val="00A25162"/>
    <w:rsid w:val="00A256C6"/>
    <w:rsid w:val="00A25E31"/>
    <w:rsid w:val="00A2633D"/>
    <w:rsid w:val="00A308BC"/>
    <w:rsid w:val="00A3098B"/>
    <w:rsid w:val="00A319CD"/>
    <w:rsid w:val="00A327DD"/>
    <w:rsid w:val="00A32D79"/>
    <w:rsid w:val="00A32F42"/>
    <w:rsid w:val="00A33814"/>
    <w:rsid w:val="00A33B97"/>
    <w:rsid w:val="00A33DF7"/>
    <w:rsid w:val="00A33F32"/>
    <w:rsid w:val="00A363ED"/>
    <w:rsid w:val="00A36FA3"/>
    <w:rsid w:val="00A37D15"/>
    <w:rsid w:val="00A43D77"/>
    <w:rsid w:val="00A4483F"/>
    <w:rsid w:val="00A44841"/>
    <w:rsid w:val="00A449C2"/>
    <w:rsid w:val="00A44B4B"/>
    <w:rsid w:val="00A44D77"/>
    <w:rsid w:val="00A462C3"/>
    <w:rsid w:val="00A469A0"/>
    <w:rsid w:val="00A475B8"/>
    <w:rsid w:val="00A47B0F"/>
    <w:rsid w:val="00A504DC"/>
    <w:rsid w:val="00A504DD"/>
    <w:rsid w:val="00A50C89"/>
    <w:rsid w:val="00A50F93"/>
    <w:rsid w:val="00A51845"/>
    <w:rsid w:val="00A52080"/>
    <w:rsid w:val="00A56397"/>
    <w:rsid w:val="00A602C2"/>
    <w:rsid w:val="00A608CB"/>
    <w:rsid w:val="00A60989"/>
    <w:rsid w:val="00A6190A"/>
    <w:rsid w:val="00A62A94"/>
    <w:rsid w:val="00A636EF"/>
    <w:rsid w:val="00A63907"/>
    <w:rsid w:val="00A63A25"/>
    <w:rsid w:val="00A64981"/>
    <w:rsid w:val="00A65AA0"/>
    <w:rsid w:val="00A65CBF"/>
    <w:rsid w:val="00A65E7F"/>
    <w:rsid w:val="00A71391"/>
    <w:rsid w:val="00A71FAC"/>
    <w:rsid w:val="00A72A1E"/>
    <w:rsid w:val="00A74327"/>
    <w:rsid w:val="00A76051"/>
    <w:rsid w:val="00A7675D"/>
    <w:rsid w:val="00A80465"/>
    <w:rsid w:val="00A81448"/>
    <w:rsid w:val="00A82040"/>
    <w:rsid w:val="00A82A3B"/>
    <w:rsid w:val="00A83A07"/>
    <w:rsid w:val="00A83A24"/>
    <w:rsid w:val="00A8622E"/>
    <w:rsid w:val="00A866C0"/>
    <w:rsid w:val="00A86EE7"/>
    <w:rsid w:val="00A905D7"/>
    <w:rsid w:val="00A90919"/>
    <w:rsid w:val="00A90B4C"/>
    <w:rsid w:val="00A90C37"/>
    <w:rsid w:val="00A90DDF"/>
    <w:rsid w:val="00A91BD9"/>
    <w:rsid w:val="00A92DC0"/>
    <w:rsid w:val="00A93D4F"/>
    <w:rsid w:val="00A93DE2"/>
    <w:rsid w:val="00A97531"/>
    <w:rsid w:val="00AA235C"/>
    <w:rsid w:val="00AA680D"/>
    <w:rsid w:val="00AA6AAB"/>
    <w:rsid w:val="00AA7BCE"/>
    <w:rsid w:val="00AB015F"/>
    <w:rsid w:val="00AB05D8"/>
    <w:rsid w:val="00AB1571"/>
    <w:rsid w:val="00AB24CF"/>
    <w:rsid w:val="00AB269D"/>
    <w:rsid w:val="00AB2873"/>
    <w:rsid w:val="00AB3150"/>
    <w:rsid w:val="00AB36E3"/>
    <w:rsid w:val="00AB4052"/>
    <w:rsid w:val="00AB5D4C"/>
    <w:rsid w:val="00AB601E"/>
    <w:rsid w:val="00AB68F8"/>
    <w:rsid w:val="00AB7202"/>
    <w:rsid w:val="00AB7E99"/>
    <w:rsid w:val="00AC00A0"/>
    <w:rsid w:val="00AC014D"/>
    <w:rsid w:val="00AC1BD9"/>
    <w:rsid w:val="00AC3859"/>
    <w:rsid w:val="00AC38C5"/>
    <w:rsid w:val="00AC4196"/>
    <w:rsid w:val="00AC419F"/>
    <w:rsid w:val="00AC4278"/>
    <w:rsid w:val="00AC5C02"/>
    <w:rsid w:val="00AC66F9"/>
    <w:rsid w:val="00AC72CE"/>
    <w:rsid w:val="00AC73A1"/>
    <w:rsid w:val="00AC7A1D"/>
    <w:rsid w:val="00AD17B0"/>
    <w:rsid w:val="00AD2306"/>
    <w:rsid w:val="00AD2543"/>
    <w:rsid w:val="00AD2927"/>
    <w:rsid w:val="00AD29CC"/>
    <w:rsid w:val="00AD31D6"/>
    <w:rsid w:val="00AD340A"/>
    <w:rsid w:val="00AD4B1B"/>
    <w:rsid w:val="00AD50F8"/>
    <w:rsid w:val="00AD5DA6"/>
    <w:rsid w:val="00AD6701"/>
    <w:rsid w:val="00AD69C8"/>
    <w:rsid w:val="00AD6BE1"/>
    <w:rsid w:val="00AD7B41"/>
    <w:rsid w:val="00AD7FED"/>
    <w:rsid w:val="00AE064F"/>
    <w:rsid w:val="00AE0E4F"/>
    <w:rsid w:val="00AE18B1"/>
    <w:rsid w:val="00AE2617"/>
    <w:rsid w:val="00AE27F5"/>
    <w:rsid w:val="00AE3F73"/>
    <w:rsid w:val="00AE41A1"/>
    <w:rsid w:val="00AE562C"/>
    <w:rsid w:val="00AE5781"/>
    <w:rsid w:val="00AE58DC"/>
    <w:rsid w:val="00AE5DD6"/>
    <w:rsid w:val="00AE5F2F"/>
    <w:rsid w:val="00AE6829"/>
    <w:rsid w:val="00AF084C"/>
    <w:rsid w:val="00AF2425"/>
    <w:rsid w:val="00AF26E9"/>
    <w:rsid w:val="00AF32C3"/>
    <w:rsid w:val="00AF5D09"/>
    <w:rsid w:val="00AF64D6"/>
    <w:rsid w:val="00AF73AA"/>
    <w:rsid w:val="00AF7E90"/>
    <w:rsid w:val="00B0014F"/>
    <w:rsid w:val="00B006D9"/>
    <w:rsid w:val="00B02237"/>
    <w:rsid w:val="00B02412"/>
    <w:rsid w:val="00B02E5C"/>
    <w:rsid w:val="00B03640"/>
    <w:rsid w:val="00B044C4"/>
    <w:rsid w:val="00B0475C"/>
    <w:rsid w:val="00B07253"/>
    <w:rsid w:val="00B07A7F"/>
    <w:rsid w:val="00B07F3E"/>
    <w:rsid w:val="00B11051"/>
    <w:rsid w:val="00B11116"/>
    <w:rsid w:val="00B12441"/>
    <w:rsid w:val="00B12A35"/>
    <w:rsid w:val="00B12A81"/>
    <w:rsid w:val="00B12E1C"/>
    <w:rsid w:val="00B13A30"/>
    <w:rsid w:val="00B14C86"/>
    <w:rsid w:val="00B17012"/>
    <w:rsid w:val="00B206E6"/>
    <w:rsid w:val="00B21058"/>
    <w:rsid w:val="00B21616"/>
    <w:rsid w:val="00B21664"/>
    <w:rsid w:val="00B21B35"/>
    <w:rsid w:val="00B22188"/>
    <w:rsid w:val="00B223DE"/>
    <w:rsid w:val="00B254A5"/>
    <w:rsid w:val="00B2623D"/>
    <w:rsid w:val="00B264C5"/>
    <w:rsid w:val="00B278F4"/>
    <w:rsid w:val="00B304B9"/>
    <w:rsid w:val="00B30D96"/>
    <w:rsid w:val="00B31918"/>
    <w:rsid w:val="00B3233D"/>
    <w:rsid w:val="00B3362C"/>
    <w:rsid w:val="00B35174"/>
    <w:rsid w:val="00B356A8"/>
    <w:rsid w:val="00B36021"/>
    <w:rsid w:val="00B410C0"/>
    <w:rsid w:val="00B41E21"/>
    <w:rsid w:val="00B41FC2"/>
    <w:rsid w:val="00B42F92"/>
    <w:rsid w:val="00B43375"/>
    <w:rsid w:val="00B43486"/>
    <w:rsid w:val="00B448DB"/>
    <w:rsid w:val="00B45385"/>
    <w:rsid w:val="00B45425"/>
    <w:rsid w:val="00B454D4"/>
    <w:rsid w:val="00B45673"/>
    <w:rsid w:val="00B46AB8"/>
    <w:rsid w:val="00B46D27"/>
    <w:rsid w:val="00B50A0F"/>
    <w:rsid w:val="00B50EFD"/>
    <w:rsid w:val="00B517F4"/>
    <w:rsid w:val="00B52DB4"/>
    <w:rsid w:val="00B53C82"/>
    <w:rsid w:val="00B54595"/>
    <w:rsid w:val="00B547F7"/>
    <w:rsid w:val="00B55C91"/>
    <w:rsid w:val="00B566BE"/>
    <w:rsid w:val="00B575C3"/>
    <w:rsid w:val="00B57EE5"/>
    <w:rsid w:val="00B607BE"/>
    <w:rsid w:val="00B613A3"/>
    <w:rsid w:val="00B61D63"/>
    <w:rsid w:val="00B62421"/>
    <w:rsid w:val="00B670B0"/>
    <w:rsid w:val="00B67A84"/>
    <w:rsid w:val="00B67B84"/>
    <w:rsid w:val="00B70552"/>
    <w:rsid w:val="00B70999"/>
    <w:rsid w:val="00B7222A"/>
    <w:rsid w:val="00B7290D"/>
    <w:rsid w:val="00B72B0F"/>
    <w:rsid w:val="00B74D97"/>
    <w:rsid w:val="00B758F9"/>
    <w:rsid w:val="00B75A50"/>
    <w:rsid w:val="00B76833"/>
    <w:rsid w:val="00B774AF"/>
    <w:rsid w:val="00B801D7"/>
    <w:rsid w:val="00B80539"/>
    <w:rsid w:val="00B8231A"/>
    <w:rsid w:val="00B82CAA"/>
    <w:rsid w:val="00B85A86"/>
    <w:rsid w:val="00B86C64"/>
    <w:rsid w:val="00B87B1B"/>
    <w:rsid w:val="00B9039D"/>
    <w:rsid w:val="00B93760"/>
    <w:rsid w:val="00B946AF"/>
    <w:rsid w:val="00B9687F"/>
    <w:rsid w:val="00B9729D"/>
    <w:rsid w:val="00BA00CF"/>
    <w:rsid w:val="00BA0393"/>
    <w:rsid w:val="00BA1048"/>
    <w:rsid w:val="00BA17CD"/>
    <w:rsid w:val="00BA26A0"/>
    <w:rsid w:val="00BA3091"/>
    <w:rsid w:val="00BA398D"/>
    <w:rsid w:val="00BA3A11"/>
    <w:rsid w:val="00BA631D"/>
    <w:rsid w:val="00BB04F7"/>
    <w:rsid w:val="00BB1BC7"/>
    <w:rsid w:val="00BB1CE9"/>
    <w:rsid w:val="00BB1FC5"/>
    <w:rsid w:val="00BB2589"/>
    <w:rsid w:val="00BB273E"/>
    <w:rsid w:val="00BB3EFE"/>
    <w:rsid w:val="00BB4D69"/>
    <w:rsid w:val="00BB6E34"/>
    <w:rsid w:val="00BC0199"/>
    <w:rsid w:val="00BC10F7"/>
    <w:rsid w:val="00BC31DB"/>
    <w:rsid w:val="00BC3804"/>
    <w:rsid w:val="00BC406B"/>
    <w:rsid w:val="00BC5117"/>
    <w:rsid w:val="00BC799E"/>
    <w:rsid w:val="00BC7A99"/>
    <w:rsid w:val="00BD0356"/>
    <w:rsid w:val="00BD276E"/>
    <w:rsid w:val="00BD2B0E"/>
    <w:rsid w:val="00BD3C4E"/>
    <w:rsid w:val="00BD411D"/>
    <w:rsid w:val="00BD4BB1"/>
    <w:rsid w:val="00BD5172"/>
    <w:rsid w:val="00BD5FAA"/>
    <w:rsid w:val="00BD6BB4"/>
    <w:rsid w:val="00BE1677"/>
    <w:rsid w:val="00BE16CE"/>
    <w:rsid w:val="00BE3D0A"/>
    <w:rsid w:val="00BE4561"/>
    <w:rsid w:val="00BE4A13"/>
    <w:rsid w:val="00BF0797"/>
    <w:rsid w:val="00BF08DC"/>
    <w:rsid w:val="00BF14A5"/>
    <w:rsid w:val="00BF2109"/>
    <w:rsid w:val="00BF2F78"/>
    <w:rsid w:val="00BF3827"/>
    <w:rsid w:val="00BF41C1"/>
    <w:rsid w:val="00BF4FFB"/>
    <w:rsid w:val="00BF5411"/>
    <w:rsid w:val="00BF5478"/>
    <w:rsid w:val="00BF558F"/>
    <w:rsid w:val="00BF5B05"/>
    <w:rsid w:val="00BF6799"/>
    <w:rsid w:val="00BF6834"/>
    <w:rsid w:val="00BF6854"/>
    <w:rsid w:val="00C01CCE"/>
    <w:rsid w:val="00C0231F"/>
    <w:rsid w:val="00C04040"/>
    <w:rsid w:val="00C04660"/>
    <w:rsid w:val="00C0516B"/>
    <w:rsid w:val="00C059F5"/>
    <w:rsid w:val="00C05B47"/>
    <w:rsid w:val="00C05C42"/>
    <w:rsid w:val="00C06197"/>
    <w:rsid w:val="00C06C26"/>
    <w:rsid w:val="00C079AA"/>
    <w:rsid w:val="00C07CE6"/>
    <w:rsid w:val="00C07EAF"/>
    <w:rsid w:val="00C10D97"/>
    <w:rsid w:val="00C10DAC"/>
    <w:rsid w:val="00C11009"/>
    <w:rsid w:val="00C11307"/>
    <w:rsid w:val="00C114D6"/>
    <w:rsid w:val="00C1182B"/>
    <w:rsid w:val="00C11DC9"/>
    <w:rsid w:val="00C12141"/>
    <w:rsid w:val="00C14C93"/>
    <w:rsid w:val="00C164D7"/>
    <w:rsid w:val="00C173CF"/>
    <w:rsid w:val="00C17A2A"/>
    <w:rsid w:val="00C205A4"/>
    <w:rsid w:val="00C20C3B"/>
    <w:rsid w:val="00C22A3C"/>
    <w:rsid w:val="00C23345"/>
    <w:rsid w:val="00C238BE"/>
    <w:rsid w:val="00C23EA7"/>
    <w:rsid w:val="00C245F8"/>
    <w:rsid w:val="00C2467B"/>
    <w:rsid w:val="00C25BBF"/>
    <w:rsid w:val="00C279EB"/>
    <w:rsid w:val="00C27DAE"/>
    <w:rsid w:val="00C30120"/>
    <w:rsid w:val="00C301D8"/>
    <w:rsid w:val="00C30210"/>
    <w:rsid w:val="00C32BA8"/>
    <w:rsid w:val="00C32BB0"/>
    <w:rsid w:val="00C33CFF"/>
    <w:rsid w:val="00C368FE"/>
    <w:rsid w:val="00C3694A"/>
    <w:rsid w:val="00C40155"/>
    <w:rsid w:val="00C415BA"/>
    <w:rsid w:val="00C43947"/>
    <w:rsid w:val="00C4479A"/>
    <w:rsid w:val="00C44B8F"/>
    <w:rsid w:val="00C45849"/>
    <w:rsid w:val="00C45A5B"/>
    <w:rsid w:val="00C4638E"/>
    <w:rsid w:val="00C46A15"/>
    <w:rsid w:val="00C46A35"/>
    <w:rsid w:val="00C47756"/>
    <w:rsid w:val="00C47CEA"/>
    <w:rsid w:val="00C50ED9"/>
    <w:rsid w:val="00C51EB6"/>
    <w:rsid w:val="00C53D50"/>
    <w:rsid w:val="00C556F1"/>
    <w:rsid w:val="00C55CA2"/>
    <w:rsid w:val="00C5679B"/>
    <w:rsid w:val="00C57A2F"/>
    <w:rsid w:val="00C57A91"/>
    <w:rsid w:val="00C60EBF"/>
    <w:rsid w:val="00C61A1C"/>
    <w:rsid w:val="00C622B1"/>
    <w:rsid w:val="00C64CA4"/>
    <w:rsid w:val="00C65BBA"/>
    <w:rsid w:val="00C66806"/>
    <w:rsid w:val="00C67531"/>
    <w:rsid w:val="00C67929"/>
    <w:rsid w:val="00C67C0B"/>
    <w:rsid w:val="00C67EEF"/>
    <w:rsid w:val="00C7225F"/>
    <w:rsid w:val="00C732C1"/>
    <w:rsid w:val="00C74616"/>
    <w:rsid w:val="00C76CFA"/>
    <w:rsid w:val="00C77E8E"/>
    <w:rsid w:val="00C77F6E"/>
    <w:rsid w:val="00C80E8B"/>
    <w:rsid w:val="00C81FAF"/>
    <w:rsid w:val="00C8289D"/>
    <w:rsid w:val="00C8351F"/>
    <w:rsid w:val="00C83A85"/>
    <w:rsid w:val="00C83B62"/>
    <w:rsid w:val="00C83D94"/>
    <w:rsid w:val="00C85461"/>
    <w:rsid w:val="00C8656E"/>
    <w:rsid w:val="00C86F00"/>
    <w:rsid w:val="00C87273"/>
    <w:rsid w:val="00C8789F"/>
    <w:rsid w:val="00C90376"/>
    <w:rsid w:val="00C90656"/>
    <w:rsid w:val="00C90995"/>
    <w:rsid w:val="00C91F4E"/>
    <w:rsid w:val="00C942F9"/>
    <w:rsid w:val="00C95B0A"/>
    <w:rsid w:val="00CA0348"/>
    <w:rsid w:val="00CA05A8"/>
    <w:rsid w:val="00CA14EE"/>
    <w:rsid w:val="00CA1E27"/>
    <w:rsid w:val="00CA3501"/>
    <w:rsid w:val="00CA3626"/>
    <w:rsid w:val="00CA4FBA"/>
    <w:rsid w:val="00CA5918"/>
    <w:rsid w:val="00CA6D63"/>
    <w:rsid w:val="00CB1692"/>
    <w:rsid w:val="00CB179D"/>
    <w:rsid w:val="00CB2D43"/>
    <w:rsid w:val="00CB2D66"/>
    <w:rsid w:val="00CB35FA"/>
    <w:rsid w:val="00CB433C"/>
    <w:rsid w:val="00CB4BFA"/>
    <w:rsid w:val="00CB6C80"/>
    <w:rsid w:val="00CB7535"/>
    <w:rsid w:val="00CB7641"/>
    <w:rsid w:val="00CB7D94"/>
    <w:rsid w:val="00CC073C"/>
    <w:rsid w:val="00CC2DD8"/>
    <w:rsid w:val="00CC3092"/>
    <w:rsid w:val="00CC30AF"/>
    <w:rsid w:val="00CC314F"/>
    <w:rsid w:val="00CC59D0"/>
    <w:rsid w:val="00CC5CE5"/>
    <w:rsid w:val="00CC604C"/>
    <w:rsid w:val="00CC7CB0"/>
    <w:rsid w:val="00CD116C"/>
    <w:rsid w:val="00CD1276"/>
    <w:rsid w:val="00CD133A"/>
    <w:rsid w:val="00CD1713"/>
    <w:rsid w:val="00CD18AA"/>
    <w:rsid w:val="00CD1C2A"/>
    <w:rsid w:val="00CD210D"/>
    <w:rsid w:val="00CD28ED"/>
    <w:rsid w:val="00CD36B6"/>
    <w:rsid w:val="00CD3B2E"/>
    <w:rsid w:val="00CD4F5E"/>
    <w:rsid w:val="00CD6879"/>
    <w:rsid w:val="00CD6B11"/>
    <w:rsid w:val="00CE04D1"/>
    <w:rsid w:val="00CE0FE2"/>
    <w:rsid w:val="00CE1135"/>
    <w:rsid w:val="00CE1FC2"/>
    <w:rsid w:val="00CE3C11"/>
    <w:rsid w:val="00CE3E2D"/>
    <w:rsid w:val="00CE522C"/>
    <w:rsid w:val="00CE52BB"/>
    <w:rsid w:val="00CE5A0C"/>
    <w:rsid w:val="00CE61FD"/>
    <w:rsid w:val="00CE6908"/>
    <w:rsid w:val="00CE6C89"/>
    <w:rsid w:val="00CE71FB"/>
    <w:rsid w:val="00CE7A07"/>
    <w:rsid w:val="00CE7A22"/>
    <w:rsid w:val="00CF00EC"/>
    <w:rsid w:val="00CF0946"/>
    <w:rsid w:val="00CF0D48"/>
    <w:rsid w:val="00CF2956"/>
    <w:rsid w:val="00CF325D"/>
    <w:rsid w:val="00CF3B7D"/>
    <w:rsid w:val="00CF3C82"/>
    <w:rsid w:val="00CF407D"/>
    <w:rsid w:val="00CF41B0"/>
    <w:rsid w:val="00CF470A"/>
    <w:rsid w:val="00CF54AB"/>
    <w:rsid w:val="00CF6634"/>
    <w:rsid w:val="00CF750D"/>
    <w:rsid w:val="00CF7C3C"/>
    <w:rsid w:val="00D05CF8"/>
    <w:rsid w:val="00D074F0"/>
    <w:rsid w:val="00D07D23"/>
    <w:rsid w:val="00D11761"/>
    <w:rsid w:val="00D1208A"/>
    <w:rsid w:val="00D12471"/>
    <w:rsid w:val="00D13D78"/>
    <w:rsid w:val="00D14BD1"/>
    <w:rsid w:val="00D1500E"/>
    <w:rsid w:val="00D16696"/>
    <w:rsid w:val="00D16C1F"/>
    <w:rsid w:val="00D17432"/>
    <w:rsid w:val="00D17D6F"/>
    <w:rsid w:val="00D17ED6"/>
    <w:rsid w:val="00D17F93"/>
    <w:rsid w:val="00D2009C"/>
    <w:rsid w:val="00D205A5"/>
    <w:rsid w:val="00D205B6"/>
    <w:rsid w:val="00D208D7"/>
    <w:rsid w:val="00D2178E"/>
    <w:rsid w:val="00D21D4D"/>
    <w:rsid w:val="00D220B5"/>
    <w:rsid w:val="00D2438E"/>
    <w:rsid w:val="00D24C80"/>
    <w:rsid w:val="00D24E22"/>
    <w:rsid w:val="00D24F4F"/>
    <w:rsid w:val="00D278EE"/>
    <w:rsid w:val="00D27AD1"/>
    <w:rsid w:val="00D322C7"/>
    <w:rsid w:val="00D3278F"/>
    <w:rsid w:val="00D3426E"/>
    <w:rsid w:val="00D34E76"/>
    <w:rsid w:val="00D3631D"/>
    <w:rsid w:val="00D37403"/>
    <w:rsid w:val="00D3797E"/>
    <w:rsid w:val="00D40926"/>
    <w:rsid w:val="00D4281D"/>
    <w:rsid w:val="00D43506"/>
    <w:rsid w:val="00D43B5F"/>
    <w:rsid w:val="00D446EE"/>
    <w:rsid w:val="00D456FF"/>
    <w:rsid w:val="00D45B52"/>
    <w:rsid w:val="00D45B8E"/>
    <w:rsid w:val="00D4625B"/>
    <w:rsid w:val="00D46A80"/>
    <w:rsid w:val="00D474AF"/>
    <w:rsid w:val="00D47566"/>
    <w:rsid w:val="00D477B3"/>
    <w:rsid w:val="00D50BB4"/>
    <w:rsid w:val="00D51550"/>
    <w:rsid w:val="00D5273B"/>
    <w:rsid w:val="00D52B18"/>
    <w:rsid w:val="00D54499"/>
    <w:rsid w:val="00D611B1"/>
    <w:rsid w:val="00D63823"/>
    <w:rsid w:val="00D63B87"/>
    <w:rsid w:val="00D649D7"/>
    <w:rsid w:val="00D65719"/>
    <w:rsid w:val="00D660D4"/>
    <w:rsid w:val="00D6614B"/>
    <w:rsid w:val="00D662BF"/>
    <w:rsid w:val="00D670BF"/>
    <w:rsid w:val="00D719B3"/>
    <w:rsid w:val="00D71D3D"/>
    <w:rsid w:val="00D72873"/>
    <w:rsid w:val="00D7302D"/>
    <w:rsid w:val="00D748A9"/>
    <w:rsid w:val="00D75E80"/>
    <w:rsid w:val="00D769DD"/>
    <w:rsid w:val="00D76F26"/>
    <w:rsid w:val="00D778B0"/>
    <w:rsid w:val="00D84CEA"/>
    <w:rsid w:val="00D86C4B"/>
    <w:rsid w:val="00D87683"/>
    <w:rsid w:val="00D9050D"/>
    <w:rsid w:val="00D9185E"/>
    <w:rsid w:val="00D924C9"/>
    <w:rsid w:val="00D926EA"/>
    <w:rsid w:val="00D93EB7"/>
    <w:rsid w:val="00D952C6"/>
    <w:rsid w:val="00D95CE1"/>
    <w:rsid w:val="00D96913"/>
    <w:rsid w:val="00D96F48"/>
    <w:rsid w:val="00D9719D"/>
    <w:rsid w:val="00D97654"/>
    <w:rsid w:val="00DA044C"/>
    <w:rsid w:val="00DA2CAB"/>
    <w:rsid w:val="00DA3203"/>
    <w:rsid w:val="00DA478B"/>
    <w:rsid w:val="00DA4894"/>
    <w:rsid w:val="00DA4E3F"/>
    <w:rsid w:val="00DA703D"/>
    <w:rsid w:val="00DA7946"/>
    <w:rsid w:val="00DA7F27"/>
    <w:rsid w:val="00DB0469"/>
    <w:rsid w:val="00DB0879"/>
    <w:rsid w:val="00DB2198"/>
    <w:rsid w:val="00DB22F2"/>
    <w:rsid w:val="00DB3475"/>
    <w:rsid w:val="00DB3B91"/>
    <w:rsid w:val="00DB3C7A"/>
    <w:rsid w:val="00DB45E4"/>
    <w:rsid w:val="00DB57CB"/>
    <w:rsid w:val="00DB62B4"/>
    <w:rsid w:val="00DB7FA9"/>
    <w:rsid w:val="00DC0759"/>
    <w:rsid w:val="00DC0EC4"/>
    <w:rsid w:val="00DC11BC"/>
    <w:rsid w:val="00DC376B"/>
    <w:rsid w:val="00DC4B0F"/>
    <w:rsid w:val="00DC4C5A"/>
    <w:rsid w:val="00DC4E27"/>
    <w:rsid w:val="00DC59C7"/>
    <w:rsid w:val="00DD2291"/>
    <w:rsid w:val="00DD538B"/>
    <w:rsid w:val="00DD6091"/>
    <w:rsid w:val="00DD689B"/>
    <w:rsid w:val="00DD6AC9"/>
    <w:rsid w:val="00DD6AF0"/>
    <w:rsid w:val="00DD72F3"/>
    <w:rsid w:val="00DD75EC"/>
    <w:rsid w:val="00DE02A3"/>
    <w:rsid w:val="00DE0CF3"/>
    <w:rsid w:val="00DE1CFD"/>
    <w:rsid w:val="00DE1E0A"/>
    <w:rsid w:val="00DE1FD8"/>
    <w:rsid w:val="00DE2834"/>
    <w:rsid w:val="00DE2E27"/>
    <w:rsid w:val="00DE5651"/>
    <w:rsid w:val="00DE7BA7"/>
    <w:rsid w:val="00DF2876"/>
    <w:rsid w:val="00DF2F16"/>
    <w:rsid w:val="00DF410D"/>
    <w:rsid w:val="00DF4DB7"/>
    <w:rsid w:val="00DF54E7"/>
    <w:rsid w:val="00DF5D7F"/>
    <w:rsid w:val="00DF7914"/>
    <w:rsid w:val="00E00F88"/>
    <w:rsid w:val="00E01332"/>
    <w:rsid w:val="00E013D3"/>
    <w:rsid w:val="00E025BA"/>
    <w:rsid w:val="00E028D8"/>
    <w:rsid w:val="00E033F0"/>
    <w:rsid w:val="00E05274"/>
    <w:rsid w:val="00E06057"/>
    <w:rsid w:val="00E066DA"/>
    <w:rsid w:val="00E1075B"/>
    <w:rsid w:val="00E108C7"/>
    <w:rsid w:val="00E11348"/>
    <w:rsid w:val="00E113F6"/>
    <w:rsid w:val="00E121ED"/>
    <w:rsid w:val="00E1268B"/>
    <w:rsid w:val="00E13772"/>
    <w:rsid w:val="00E14E84"/>
    <w:rsid w:val="00E16537"/>
    <w:rsid w:val="00E166E3"/>
    <w:rsid w:val="00E17C0A"/>
    <w:rsid w:val="00E20DC9"/>
    <w:rsid w:val="00E21A0D"/>
    <w:rsid w:val="00E221DF"/>
    <w:rsid w:val="00E242C4"/>
    <w:rsid w:val="00E24E73"/>
    <w:rsid w:val="00E24F09"/>
    <w:rsid w:val="00E308A1"/>
    <w:rsid w:val="00E3390F"/>
    <w:rsid w:val="00E33C44"/>
    <w:rsid w:val="00E33F4B"/>
    <w:rsid w:val="00E345AB"/>
    <w:rsid w:val="00E365E9"/>
    <w:rsid w:val="00E37F14"/>
    <w:rsid w:val="00E4232C"/>
    <w:rsid w:val="00E42752"/>
    <w:rsid w:val="00E431B6"/>
    <w:rsid w:val="00E43B3D"/>
    <w:rsid w:val="00E4520E"/>
    <w:rsid w:val="00E46AF2"/>
    <w:rsid w:val="00E46F2B"/>
    <w:rsid w:val="00E4732E"/>
    <w:rsid w:val="00E508AD"/>
    <w:rsid w:val="00E51870"/>
    <w:rsid w:val="00E528F8"/>
    <w:rsid w:val="00E53D66"/>
    <w:rsid w:val="00E5418B"/>
    <w:rsid w:val="00E544E6"/>
    <w:rsid w:val="00E5489C"/>
    <w:rsid w:val="00E56661"/>
    <w:rsid w:val="00E60813"/>
    <w:rsid w:val="00E614ED"/>
    <w:rsid w:val="00E6190B"/>
    <w:rsid w:val="00E61F9E"/>
    <w:rsid w:val="00E6354A"/>
    <w:rsid w:val="00E63E42"/>
    <w:rsid w:val="00E64750"/>
    <w:rsid w:val="00E659EA"/>
    <w:rsid w:val="00E6723F"/>
    <w:rsid w:val="00E701A1"/>
    <w:rsid w:val="00E72D92"/>
    <w:rsid w:val="00E736A4"/>
    <w:rsid w:val="00E73BD0"/>
    <w:rsid w:val="00E7433C"/>
    <w:rsid w:val="00E74801"/>
    <w:rsid w:val="00E74F8B"/>
    <w:rsid w:val="00E750DE"/>
    <w:rsid w:val="00E75401"/>
    <w:rsid w:val="00E764AE"/>
    <w:rsid w:val="00E769AE"/>
    <w:rsid w:val="00E779AD"/>
    <w:rsid w:val="00E804BE"/>
    <w:rsid w:val="00E81241"/>
    <w:rsid w:val="00E82501"/>
    <w:rsid w:val="00E83BE3"/>
    <w:rsid w:val="00E847DE"/>
    <w:rsid w:val="00E84D37"/>
    <w:rsid w:val="00E86C4C"/>
    <w:rsid w:val="00E87394"/>
    <w:rsid w:val="00E90388"/>
    <w:rsid w:val="00E90AD6"/>
    <w:rsid w:val="00E91625"/>
    <w:rsid w:val="00E93DB7"/>
    <w:rsid w:val="00E93FA2"/>
    <w:rsid w:val="00E94D59"/>
    <w:rsid w:val="00E950E9"/>
    <w:rsid w:val="00E9573B"/>
    <w:rsid w:val="00E95E51"/>
    <w:rsid w:val="00E960DA"/>
    <w:rsid w:val="00E9640B"/>
    <w:rsid w:val="00E9692F"/>
    <w:rsid w:val="00EA0263"/>
    <w:rsid w:val="00EA0B1D"/>
    <w:rsid w:val="00EA12FC"/>
    <w:rsid w:val="00EA1458"/>
    <w:rsid w:val="00EA172B"/>
    <w:rsid w:val="00EA369E"/>
    <w:rsid w:val="00EA4108"/>
    <w:rsid w:val="00EA4EEF"/>
    <w:rsid w:val="00EA5D33"/>
    <w:rsid w:val="00EA6240"/>
    <w:rsid w:val="00EA7B1A"/>
    <w:rsid w:val="00EA7B7C"/>
    <w:rsid w:val="00EB01A5"/>
    <w:rsid w:val="00EB02AF"/>
    <w:rsid w:val="00EB1F41"/>
    <w:rsid w:val="00EB3695"/>
    <w:rsid w:val="00EB36D4"/>
    <w:rsid w:val="00EB3D03"/>
    <w:rsid w:val="00EB4B32"/>
    <w:rsid w:val="00EB6893"/>
    <w:rsid w:val="00EB6B13"/>
    <w:rsid w:val="00EB79CE"/>
    <w:rsid w:val="00EB7C0D"/>
    <w:rsid w:val="00EC149F"/>
    <w:rsid w:val="00EC26F4"/>
    <w:rsid w:val="00EC3408"/>
    <w:rsid w:val="00EC448F"/>
    <w:rsid w:val="00EC6FB9"/>
    <w:rsid w:val="00EC755F"/>
    <w:rsid w:val="00ED0AA4"/>
    <w:rsid w:val="00ED11DF"/>
    <w:rsid w:val="00ED2534"/>
    <w:rsid w:val="00ED2B0F"/>
    <w:rsid w:val="00ED4588"/>
    <w:rsid w:val="00ED4A20"/>
    <w:rsid w:val="00ED54DE"/>
    <w:rsid w:val="00ED5571"/>
    <w:rsid w:val="00ED710D"/>
    <w:rsid w:val="00ED7F2C"/>
    <w:rsid w:val="00EE0F3B"/>
    <w:rsid w:val="00EE23F1"/>
    <w:rsid w:val="00EE29AC"/>
    <w:rsid w:val="00EE2C89"/>
    <w:rsid w:val="00EE2D93"/>
    <w:rsid w:val="00EE381B"/>
    <w:rsid w:val="00EE3AEE"/>
    <w:rsid w:val="00EE4A12"/>
    <w:rsid w:val="00EE5BD6"/>
    <w:rsid w:val="00EE6154"/>
    <w:rsid w:val="00EE64E0"/>
    <w:rsid w:val="00EE6785"/>
    <w:rsid w:val="00EE6BFE"/>
    <w:rsid w:val="00EE79EE"/>
    <w:rsid w:val="00EF0238"/>
    <w:rsid w:val="00EF0B6D"/>
    <w:rsid w:val="00EF1597"/>
    <w:rsid w:val="00EF37A9"/>
    <w:rsid w:val="00EF4ED9"/>
    <w:rsid w:val="00EF5033"/>
    <w:rsid w:val="00EF5440"/>
    <w:rsid w:val="00EF5F16"/>
    <w:rsid w:val="00EF6CEE"/>
    <w:rsid w:val="00EF7ABB"/>
    <w:rsid w:val="00F00350"/>
    <w:rsid w:val="00F02055"/>
    <w:rsid w:val="00F0262F"/>
    <w:rsid w:val="00F02946"/>
    <w:rsid w:val="00F043E5"/>
    <w:rsid w:val="00F0576A"/>
    <w:rsid w:val="00F0616A"/>
    <w:rsid w:val="00F062F8"/>
    <w:rsid w:val="00F06A30"/>
    <w:rsid w:val="00F07E5F"/>
    <w:rsid w:val="00F1101F"/>
    <w:rsid w:val="00F11D25"/>
    <w:rsid w:val="00F12994"/>
    <w:rsid w:val="00F14067"/>
    <w:rsid w:val="00F14882"/>
    <w:rsid w:val="00F14A0C"/>
    <w:rsid w:val="00F15E3A"/>
    <w:rsid w:val="00F16E12"/>
    <w:rsid w:val="00F179C0"/>
    <w:rsid w:val="00F20285"/>
    <w:rsid w:val="00F20CED"/>
    <w:rsid w:val="00F21F53"/>
    <w:rsid w:val="00F22308"/>
    <w:rsid w:val="00F22910"/>
    <w:rsid w:val="00F30940"/>
    <w:rsid w:val="00F30FB0"/>
    <w:rsid w:val="00F31C5E"/>
    <w:rsid w:val="00F3282F"/>
    <w:rsid w:val="00F3283F"/>
    <w:rsid w:val="00F337A7"/>
    <w:rsid w:val="00F33D28"/>
    <w:rsid w:val="00F341C9"/>
    <w:rsid w:val="00F34359"/>
    <w:rsid w:val="00F3521B"/>
    <w:rsid w:val="00F3562B"/>
    <w:rsid w:val="00F35B01"/>
    <w:rsid w:val="00F363BD"/>
    <w:rsid w:val="00F368B1"/>
    <w:rsid w:val="00F407DA"/>
    <w:rsid w:val="00F42644"/>
    <w:rsid w:val="00F4326A"/>
    <w:rsid w:val="00F4382A"/>
    <w:rsid w:val="00F43A3E"/>
    <w:rsid w:val="00F4416C"/>
    <w:rsid w:val="00F44E61"/>
    <w:rsid w:val="00F44EFC"/>
    <w:rsid w:val="00F472C6"/>
    <w:rsid w:val="00F47B9E"/>
    <w:rsid w:val="00F47E4F"/>
    <w:rsid w:val="00F50593"/>
    <w:rsid w:val="00F50EC2"/>
    <w:rsid w:val="00F511FD"/>
    <w:rsid w:val="00F51583"/>
    <w:rsid w:val="00F5188F"/>
    <w:rsid w:val="00F51E72"/>
    <w:rsid w:val="00F526FC"/>
    <w:rsid w:val="00F52C1D"/>
    <w:rsid w:val="00F52C28"/>
    <w:rsid w:val="00F55C89"/>
    <w:rsid w:val="00F56B0F"/>
    <w:rsid w:val="00F56EA1"/>
    <w:rsid w:val="00F5738C"/>
    <w:rsid w:val="00F574B8"/>
    <w:rsid w:val="00F614B0"/>
    <w:rsid w:val="00F62D11"/>
    <w:rsid w:val="00F639D0"/>
    <w:rsid w:val="00F668AA"/>
    <w:rsid w:val="00F7028E"/>
    <w:rsid w:val="00F744A2"/>
    <w:rsid w:val="00F74945"/>
    <w:rsid w:val="00F75DDC"/>
    <w:rsid w:val="00F75EA4"/>
    <w:rsid w:val="00F77332"/>
    <w:rsid w:val="00F81005"/>
    <w:rsid w:val="00F81ADF"/>
    <w:rsid w:val="00F82113"/>
    <w:rsid w:val="00F823D4"/>
    <w:rsid w:val="00F83280"/>
    <w:rsid w:val="00F851EB"/>
    <w:rsid w:val="00F85BFB"/>
    <w:rsid w:val="00F86097"/>
    <w:rsid w:val="00F86961"/>
    <w:rsid w:val="00F86AB1"/>
    <w:rsid w:val="00F86EFA"/>
    <w:rsid w:val="00F8727C"/>
    <w:rsid w:val="00F8788A"/>
    <w:rsid w:val="00F87FA0"/>
    <w:rsid w:val="00F90F23"/>
    <w:rsid w:val="00F92A1F"/>
    <w:rsid w:val="00F94C6A"/>
    <w:rsid w:val="00F954DF"/>
    <w:rsid w:val="00F9767B"/>
    <w:rsid w:val="00F97AE6"/>
    <w:rsid w:val="00FA1A5C"/>
    <w:rsid w:val="00FA1E23"/>
    <w:rsid w:val="00FA1E92"/>
    <w:rsid w:val="00FA24AE"/>
    <w:rsid w:val="00FA257C"/>
    <w:rsid w:val="00FA2B67"/>
    <w:rsid w:val="00FA2FDA"/>
    <w:rsid w:val="00FA6303"/>
    <w:rsid w:val="00FA6406"/>
    <w:rsid w:val="00FA6EDE"/>
    <w:rsid w:val="00FA7BDE"/>
    <w:rsid w:val="00FA7E2E"/>
    <w:rsid w:val="00FB12C1"/>
    <w:rsid w:val="00FB20EB"/>
    <w:rsid w:val="00FB219D"/>
    <w:rsid w:val="00FB4A70"/>
    <w:rsid w:val="00FB56E6"/>
    <w:rsid w:val="00FB5B69"/>
    <w:rsid w:val="00FB5EA2"/>
    <w:rsid w:val="00FB6666"/>
    <w:rsid w:val="00FB667A"/>
    <w:rsid w:val="00FB6861"/>
    <w:rsid w:val="00FB6BB0"/>
    <w:rsid w:val="00FB7517"/>
    <w:rsid w:val="00FB78EE"/>
    <w:rsid w:val="00FB7B98"/>
    <w:rsid w:val="00FC0548"/>
    <w:rsid w:val="00FC080A"/>
    <w:rsid w:val="00FC0F96"/>
    <w:rsid w:val="00FC14C0"/>
    <w:rsid w:val="00FC17DC"/>
    <w:rsid w:val="00FC2F6A"/>
    <w:rsid w:val="00FC3161"/>
    <w:rsid w:val="00FC4570"/>
    <w:rsid w:val="00FC54FD"/>
    <w:rsid w:val="00FC5675"/>
    <w:rsid w:val="00FC56C4"/>
    <w:rsid w:val="00FC6544"/>
    <w:rsid w:val="00FC6ED8"/>
    <w:rsid w:val="00FC77C2"/>
    <w:rsid w:val="00FD09FE"/>
    <w:rsid w:val="00FD1386"/>
    <w:rsid w:val="00FD1B9B"/>
    <w:rsid w:val="00FD4C9D"/>
    <w:rsid w:val="00FD5AB8"/>
    <w:rsid w:val="00FD5D19"/>
    <w:rsid w:val="00FD7243"/>
    <w:rsid w:val="00FD7947"/>
    <w:rsid w:val="00FE0A9D"/>
    <w:rsid w:val="00FE1929"/>
    <w:rsid w:val="00FE3109"/>
    <w:rsid w:val="00FE330E"/>
    <w:rsid w:val="00FE33CE"/>
    <w:rsid w:val="00FE3B00"/>
    <w:rsid w:val="00FE3CA9"/>
    <w:rsid w:val="00FE49BB"/>
    <w:rsid w:val="00FE63FD"/>
    <w:rsid w:val="00FE7953"/>
    <w:rsid w:val="00FF0499"/>
    <w:rsid w:val="00FF4E6D"/>
    <w:rsid w:val="00FF6282"/>
    <w:rsid w:val="00FF6E0C"/>
    <w:rsid w:val="00FF7249"/>
    <w:rsid w:val="00FF7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2" w:uiPriority="99"/>
    <w:lsdException w:name="List 3" w:uiPriority="99"/>
    <w:lsdException w:name="Title" w:qFormat="1"/>
    <w:lsdException w:name="Body Text Indent" w:uiPriority="99"/>
    <w:lsdException w:name="Subtitle" w:qFormat="1"/>
    <w:lsdException w:name="Body Text First Indent" w:uiPriority="99"/>
    <w:lsdException w:name="Body Text First Indent 2" w:uiPriority="99"/>
    <w:lsdException w:name="Body Text 2"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B45"/>
    <w:rPr>
      <w:sz w:val="24"/>
      <w:szCs w:val="24"/>
    </w:rPr>
  </w:style>
  <w:style w:type="paragraph" w:styleId="1">
    <w:name w:val="heading 1"/>
    <w:basedOn w:val="a"/>
    <w:next w:val="a"/>
    <w:link w:val="10"/>
    <w:uiPriority w:val="9"/>
    <w:qFormat/>
    <w:rsid w:val="003C4B4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9F65EF"/>
    <w:pPr>
      <w:keepNext/>
      <w:spacing w:before="240" w:after="60"/>
      <w:ind w:firstLine="709"/>
      <w:jc w:val="both"/>
      <w:outlineLvl w:val="1"/>
    </w:pPr>
    <w:rPr>
      <w:rFonts w:ascii="Cambria" w:hAnsi="Cambria"/>
      <w:b/>
      <w:bCs/>
      <w:i/>
      <w:iCs/>
      <w:sz w:val="28"/>
      <w:szCs w:val="28"/>
    </w:rPr>
  </w:style>
  <w:style w:type="paragraph" w:styleId="3">
    <w:name w:val="heading 3"/>
    <w:basedOn w:val="a"/>
    <w:next w:val="a"/>
    <w:link w:val="30"/>
    <w:uiPriority w:val="9"/>
    <w:qFormat/>
    <w:rsid w:val="009F65EF"/>
    <w:pPr>
      <w:keepNext/>
      <w:spacing w:before="240" w:after="60"/>
      <w:ind w:firstLine="709"/>
      <w:jc w:val="both"/>
      <w:outlineLvl w:val="2"/>
    </w:pPr>
    <w:rPr>
      <w:rFonts w:ascii="Cambria" w:hAnsi="Cambria"/>
      <w:b/>
      <w:bCs/>
      <w:sz w:val="26"/>
      <w:szCs w:val="26"/>
    </w:rPr>
  </w:style>
  <w:style w:type="paragraph" w:styleId="4">
    <w:name w:val="heading 4"/>
    <w:basedOn w:val="a"/>
    <w:next w:val="a"/>
    <w:link w:val="40"/>
    <w:uiPriority w:val="9"/>
    <w:qFormat/>
    <w:rsid w:val="009F65EF"/>
    <w:pPr>
      <w:keepNext/>
      <w:spacing w:before="240" w:after="60"/>
      <w:ind w:firstLine="709"/>
      <w:jc w:val="both"/>
      <w:outlineLvl w:val="3"/>
    </w:pPr>
    <w:rPr>
      <w:rFonts w:ascii="Calibri" w:hAnsi="Calibri"/>
      <w:b/>
      <w:bCs/>
      <w:sz w:val="28"/>
      <w:szCs w:val="28"/>
    </w:rPr>
  </w:style>
  <w:style w:type="paragraph" w:styleId="5">
    <w:name w:val="heading 5"/>
    <w:basedOn w:val="a"/>
    <w:next w:val="a"/>
    <w:link w:val="50"/>
    <w:uiPriority w:val="9"/>
    <w:qFormat/>
    <w:rsid w:val="009F65EF"/>
    <w:pPr>
      <w:spacing w:before="240" w:after="60"/>
      <w:ind w:firstLine="709"/>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C4B45"/>
    <w:pPr>
      <w:autoSpaceDE w:val="0"/>
      <w:autoSpaceDN w:val="0"/>
      <w:adjustRightInd w:val="0"/>
      <w:jc w:val="both"/>
    </w:pPr>
    <w:rPr>
      <w:rFonts w:ascii="Courier New" w:hAnsi="Courier New" w:cs="Courier New"/>
      <w:sz w:val="20"/>
      <w:szCs w:val="20"/>
    </w:rPr>
  </w:style>
  <w:style w:type="paragraph" w:customStyle="1" w:styleId="a4">
    <w:name w:val="Заголовок статьи"/>
    <w:basedOn w:val="a"/>
    <w:next w:val="a"/>
    <w:uiPriority w:val="99"/>
    <w:rsid w:val="003C4B45"/>
    <w:pPr>
      <w:autoSpaceDE w:val="0"/>
      <w:autoSpaceDN w:val="0"/>
      <w:adjustRightInd w:val="0"/>
      <w:ind w:left="1612" w:hanging="892"/>
      <w:jc w:val="both"/>
    </w:pPr>
    <w:rPr>
      <w:rFonts w:ascii="Arial" w:hAnsi="Arial"/>
      <w:sz w:val="20"/>
      <w:szCs w:val="20"/>
    </w:rPr>
  </w:style>
  <w:style w:type="paragraph" w:styleId="a5">
    <w:name w:val="header"/>
    <w:basedOn w:val="a"/>
    <w:link w:val="a6"/>
    <w:uiPriority w:val="99"/>
    <w:rsid w:val="003C4B45"/>
    <w:pPr>
      <w:tabs>
        <w:tab w:val="center" w:pos="4677"/>
        <w:tab w:val="right" w:pos="9355"/>
      </w:tabs>
    </w:pPr>
  </w:style>
  <w:style w:type="character" w:styleId="a7">
    <w:name w:val="page number"/>
    <w:basedOn w:val="a0"/>
    <w:rsid w:val="003C4B45"/>
  </w:style>
  <w:style w:type="paragraph" w:styleId="a8">
    <w:name w:val="Body Text"/>
    <w:aliases w:val="Основной текст Знак,Òàáë òåêñò"/>
    <w:basedOn w:val="a"/>
    <w:link w:val="11"/>
    <w:rsid w:val="003C4B45"/>
    <w:pPr>
      <w:spacing w:after="120"/>
    </w:pPr>
  </w:style>
  <w:style w:type="paragraph" w:styleId="a9">
    <w:name w:val="Title"/>
    <w:basedOn w:val="a"/>
    <w:link w:val="aa"/>
    <w:qFormat/>
    <w:rsid w:val="003C4B45"/>
    <w:pPr>
      <w:jc w:val="center"/>
    </w:pPr>
    <w:rPr>
      <w:b/>
      <w:szCs w:val="20"/>
    </w:rPr>
  </w:style>
  <w:style w:type="paragraph" w:styleId="ab">
    <w:name w:val="Body Text Indent"/>
    <w:aliases w:val="Надин стиль,Основной текст 1,Нумерованный список !!,Iniiaiie oaeno 1,Ioia?iaaiiue nienie !!,Iaaei noeeu"/>
    <w:basedOn w:val="a"/>
    <w:link w:val="ac"/>
    <w:uiPriority w:val="99"/>
    <w:rsid w:val="003C4B45"/>
    <w:pPr>
      <w:spacing w:after="120"/>
      <w:ind w:left="283"/>
    </w:pPr>
  </w:style>
  <w:style w:type="character" w:styleId="ad">
    <w:name w:val="Hyperlink"/>
    <w:basedOn w:val="a0"/>
    <w:rsid w:val="003C4B45"/>
    <w:rPr>
      <w:color w:val="1A6375"/>
      <w:u w:val="single"/>
    </w:rPr>
  </w:style>
  <w:style w:type="paragraph" w:styleId="ae">
    <w:name w:val="Normal (Web)"/>
    <w:basedOn w:val="a"/>
    <w:uiPriority w:val="99"/>
    <w:rsid w:val="003C4B45"/>
    <w:pPr>
      <w:spacing w:before="100" w:beforeAutospacing="1" w:after="100" w:afterAutospacing="1"/>
    </w:pPr>
  </w:style>
  <w:style w:type="paragraph" w:styleId="21">
    <w:name w:val="Body Text 2"/>
    <w:basedOn w:val="a"/>
    <w:link w:val="22"/>
    <w:uiPriority w:val="99"/>
    <w:rsid w:val="003B6A77"/>
    <w:pPr>
      <w:spacing w:after="120" w:line="480" w:lineRule="auto"/>
    </w:pPr>
  </w:style>
  <w:style w:type="character" w:customStyle="1" w:styleId="22">
    <w:name w:val="Основной текст 2 Знак"/>
    <w:basedOn w:val="a0"/>
    <w:link w:val="21"/>
    <w:uiPriority w:val="99"/>
    <w:rsid w:val="003B6A77"/>
    <w:rPr>
      <w:sz w:val="24"/>
      <w:szCs w:val="24"/>
      <w:lang w:eastAsia="ru-RU"/>
    </w:rPr>
  </w:style>
  <w:style w:type="paragraph" w:customStyle="1" w:styleId="ConsPlusNonformat">
    <w:name w:val="ConsPlusNonformat"/>
    <w:uiPriority w:val="99"/>
    <w:rsid w:val="003B6A77"/>
    <w:pPr>
      <w:autoSpaceDE w:val="0"/>
      <w:autoSpaceDN w:val="0"/>
      <w:adjustRightInd w:val="0"/>
    </w:pPr>
    <w:rPr>
      <w:rFonts w:ascii="Courier New" w:hAnsi="Courier New" w:cs="Courier New"/>
    </w:rPr>
  </w:style>
  <w:style w:type="character" w:customStyle="1" w:styleId="aa">
    <w:name w:val="Название Знак"/>
    <w:basedOn w:val="a0"/>
    <w:link w:val="a9"/>
    <w:rsid w:val="003335F5"/>
    <w:rPr>
      <w:b/>
      <w:sz w:val="24"/>
      <w:lang w:eastAsia="ru-RU"/>
    </w:rPr>
  </w:style>
  <w:style w:type="character" w:customStyle="1" w:styleId="ac">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b"/>
    <w:uiPriority w:val="99"/>
    <w:rsid w:val="003335F5"/>
    <w:rPr>
      <w:sz w:val="24"/>
      <w:szCs w:val="24"/>
      <w:lang w:eastAsia="ru-RU"/>
    </w:rPr>
  </w:style>
  <w:style w:type="paragraph" w:customStyle="1" w:styleId="af">
    <w:name w:val="Прижатый влево"/>
    <w:basedOn w:val="a"/>
    <w:next w:val="a"/>
    <w:uiPriority w:val="99"/>
    <w:rsid w:val="003335F5"/>
    <w:pPr>
      <w:autoSpaceDE w:val="0"/>
      <w:autoSpaceDN w:val="0"/>
      <w:adjustRightInd w:val="0"/>
    </w:pPr>
    <w:rPr>
      <w:rFonts w:ascii="Arial" w:eastAsia="Calibri" w:hAnsi="Arial" w:cs="Arial"/>
      <w:sz w:val="20"/>
      <w:szCs w:val="20"/>
      <w:lang w:eastAsia="en-US"/>
    </w:rPr>
  </w:style>
  <w:style w:type="character" w:customStyle="1" w:styleId="20">
    <w:name w:val="Заголовок 2 Знак"/>
    <w:basedOn w:val="a0"/>
    <w:link w:val="2"/>
    <w:uiPriority w:val="9"/>
    <w:rsid w:val="009F65EF"/>
    <w:rPr>
      <w:rFonts w:ascii="Cambria" w:hAnsi="Cambria"/>
      <w:b/>
      <w:bCs/>
      <w:i/>
      <w:iCs/>
      <w:sz w:val="28"/>
      <w:szCs w:val="28"/>
    </w:rPr>
  </w:style>
  <w:style w:type="character" w:customStyle="1" w:styleId="30">
    <w:name w:val="Заголовок 3 Знак"/>
    <w:basedOn w:val="a0"/>
    <w:link w:val="3"/>
    <w:uiPriority w:val="9"/>
    <w:rsid w:val="009F65EF"/>
    <w:rPr>
      <w:rFonts w:ascii="Cambria" w:hAnsi="Cambria"/>
      <w:b/>
      <w:bCs/>
      <w:sz w:val="26"/>
      <w:szCs w:val="26"/>
    </w:rPr>
  </w:style>
  <w:style w:type="character" w:customStyle="1" w:styleId="40">
    <w:name w:val="Заголовок 4 Знак"/>
    <w:basedOn w:val="a0"/>
    <w:link w:val="4"/>
    <w:uiPriority w:val="9"/>
    <w:rsid w:val="009F65EF"/>
    <w:rPr>
      <w:rFonts w:ascii="Calibri" w:hAnsi="Calibri"/>
      <w:b/>
      <w:bCs/>
      <w:sz w:val="28"/>
      <w:szCs w:val="28"/>
    </w:rPr>
  </w:style>
  <w:style w:type="character" w:customStyle="1" w:styleId="50">
    <w:name w:val="Заголовок 5 Знак"/>
    <w:basedOn w:val="a0"/>
    <w:link w:val="5"/>
    <w:uiPriority w:val="9"/>
    <w:rsid w:val="009F65EF"/>
    <w:rPr>
      <w:rFonts w:ascii="Calibri" w:hAnsi="Calibri"/>
      <w:b/>
      <w:bCs/>
      <w:i/>
      <w:iCs/>
      <w:sz w:val="26"/>
      <w:szCs w:val="26"/>
    </w:rPr>
  </w:style>
  <w:style w:type="character" w:customStyle="1" w:styleId="10">
    <w:name w:val="Заголовок 1 Знак"/>
    <w:basedOn w:val="a0"/>
    <w:link w:val="1"/>
    <w:uiPriority w:val="9"/>
    <w:rsid w:val="009F65EF"/>
    <w:rPr>
      <w:rFonts w:ascii="Arial" w:hAnsi="Arial"/>
      <w:b/>
      <w:bCs/>
      <w:color w:val="000080"/>
    </w:rPr>
  </w:style>
  <w:style w:type="paragraph" w:customStyle="1" w:styleId="af0">
    <w:name w:val="Комментарий"/>
    <w:basedOn w:val="a"/>
    <w:next w:val="a"/>
    <w:uiPriority w:val="99"/>
    <w:rsid w:val="009F65EF"/>
    <w:pPr>
      <w:autoSpaceDE w:val="0"/>
      <w:autoSpaceDN w:val="0"/>
      <w:adjustRightInd w:val="0"/>
      <w:ind w:left="170" w:firstLine="709"/>
      <w:jc w:val="both"/>
    </w:pPr>
    <w:rPr>
      <w:rFonts w:ascii="Arial" w:eastAsia="Calibri" w:hAnsi="Arial" w:cs="Arial"/>
      <w:i/>
      <w:iCs/>
      <w:color w:val="800080"/>
    </w:rPr>
  </w:style>
  <w:style w:type="paragraph" w:styleId="af1">
    <w:name w:val="List"/>
    <w:basedOn w:val="a"/>
    <w:uiPriority w:val="99"/>
    <w:unhideWhenUsed/>
    <w:rsid w:val="009F65EF"/>
    <w:pPr>
      <w:ind w:left="283" w:hanging="283"/>
      <w:contextualSpacing/>
      <w:jc w:val="both"/>
    </w:pPr>
  </w:style>
  <w:style w:type="paragraph" w:styleId="23">
    <w:name w:val="List 2"/>
    <w:basedOn w:val="a"/>
    <w:uiPriority w:val="99"/>
    <w:unhideWhenUsed/>
    <w:rsid w:val="009F65EF"/>
    <w:pPr>
      <w:ind w:left="566" w:hanging="283"/>
      <w:contextualSpacing/>
      <w:jc w:val="both"/>
    </w:pPr>
  </w:style>
  <w:style w:type="paragraph" w:styleId="31">
    <w:name w:val="List 3"/>
    <w:basedOn w:val="a"/>
    <w:uiPriority w:val="99"/>
    <w:unhideWhenUsed/>
    <w:rsid w:val="009F65EF"/>
    <w:pPr>
      <w:ind w:left="849" w:hanging="283"/>
      <w:contextualSpacing/>
      <w:jc w:val="both"/>
    </w:pPr>
  </w:style>
  <w:style w:type="paragraph" w:styleId="af2">
    <w:name w:val="Body Text First Indent"/>
    <w:basedOn w:val="a8"/>
    <w:link w:val="af3"/>
    <w:uiPriority w:val="99"/>
    <w:unhideWhenUsed/>
    <w:rsid w:val="009F65EF"/>
    <w:pPr>
      <w:ind w:firstLine="210"/>
      <w:jc w:val="both"/>
    </w:pPr>
  </w:style>
  <w:style w:type="character" w:customStyle="1" w:styleId="11">
    <w:name w:val="Основной текст Знак1"/>
    <w:aliases w:val="Основной текст Знак Знак,Òàáë òåêñò Знак"/>
    <w:basedOn w:val="a0"/>
    <w:link w:val="a8"/>
    <w:rsid w:val="009F65EF"/>
    <w:rPr>
      <w:sz w:val="24"/>
      <w:szCs w:val="24"/>
    </w:rPr>
  </w:style>
  <w:style w:type="character" w:customStyle="1" w:styleId="af3">
    <w:name w:val="Красная строка Знак"/>
    <w:basedOn w:val="11"/>
    <w:link w:val="af2"/>
    <w:uiPriority w:val="99"/>
    <w:rsid w:val="009F65EF"/>
  </w:style>
  <w:style w:type="paragraph" w:styleId="24">
    <w:name w:val="Body Text First Indent 2"/>
    <w:basedOn w:val="ab"/>
    <w:link w:val="25"/>
    <w:uiPriority w:val="99"/>
    <w:unhideWhenUsed/>
    <w:rsid w:val="009F65EF"/>
    <w:pPr>
      <w:ind w:firstLine="210"/>
      <w:jc w:val="both"/>
    </w:pPr>
  </w:style>
  <w:style w:type="character" w:customStyle="1" w:styleId="25">
    <w:name w:val="Красная строка 2 Знак"/>
    <w:basedOn w:val="ac"/>
    <w:link w:val="24"/>
    <w:uiPriority w:val="99"/>
    <w:rsid w:val="009F65EF"/>
  </w:style>
  <w:style w:type="character" w:customStyle="1" w:styleId="a6">
    <w:name w:val="Верхний колонтитул Знак"/>
    <w:basedOn w:val="a0"/>
    <w:link w:val="a5"/>
    <w:uiPriority w:val="99"/>
    <w:rsid w:val="009F65EF"/>
    <w:rPr>
      <w:sz w:val="24"/>
      <w:szCs w:val="24"/>
    </w:rPr>
  </w:style>
  <w:style w:type="paragraph" w:styleId="af4">
    <w:name w:val="footer"/>
    <w:basedOn w:val="a"/>
    <w:link w:val="af5"/>
    <w:uiPriority w:val="99"/>
    <w:unhideWhenUsed/>
    <w:rsid w:val="009F65EF"/>
    <w:pPr>
      <w:tabs>
        <w:tab w:val="center" w:pos="4677"/>
        <w:tab w:val="right" w:pos="9355"/>
      </w:tabs>
      <w:ind w:firstLine="709"/>
      <w:jc w:val="both"/>
    </w:pPr>
  </w:style>
  <w:style w:type="character" w:customStyle="1" w:styleId="af5">
    <w:name w:val="Нижний колонтитул Знак"/>
    <w:basedOn w:val="a0"/>
    <w:link w:val="af4"/>
    <w:uiPriority w:val="99"/>
    <w:rsid w:val="009F65EF"/>
    <w:rPr>
      <w:sz w:val="24"/>
      <w:szCs w:val="24"/>
    </w:rPr>
  </w:style>
  <w:style w:type="character" w:customStyle="1" w:styleId="af6">
    <w:name w:val="Гипертекстовая ссылка"/>
    <w:basedOn w:val="a0"/>
    <w:uiPriority w:val="99"/>
    <w:rsid w:val="00E166E3"/>
    <w:rPr>
      <w:rFonts w:cs="Times New Roman"/>
      <w:color w:val="008000"/>
    </w:rPr>
  </w:style>
  <w:style w:type="table" w:styleId="af7">
    <w:name w:val="Table Grid"/>
    <w:basedOn w:val="a1"/>
    <w:uiPriority w:val="59"/>
    <w:rsid w:val="00951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BA00CF"/>
    <w:pPr>
      <w:autoSpaceDE w:val="0"/>
      <w:autoSpaceDN w:val="0"/>
      <w:adjustRightInd w:val="0"/>
      <w:jc w:val="both"/>
    </w:pPr>
    <w:rPr>
      <w:rFonts w:ascii="Arial" w:hAnsi="Arial"/>
    </w:rPr>
  </w:style>
  <w:style w:type="paragraph" w:styleId="af9">
    <w:name w:val="Balloon Text"/>
    <w:basedOn w:val="a"/>
    <w:semiHidden/>
    <w:rsid w:val="002672F0"/>
    <w:rPr>
      <w:rFonts w:ascii="Tahoma" w:hAnsi="Tahoma" w:cs="Tahoma"/>
      <w:sz w:val="16"/>
      <w:szCs w:val="16"/>
    </w:rPr>
  </w:style>
  <w:style w:type="character" w:customStyle="1" w:styleId="afa">
    <w:name w:val="Цветовое выделение"/>
    <w:rsid w:val="006A6FE2"/>
    <w:rPr>
      <w:b/>
      <w:bCs/>
      <w:color w:val="000080"/>
    </w:rPr>
  </w:style>
  <w:style w:type="paragraph" w:styleId="afb">
    <w:name w:val="List Paragraph"/>
    <w:basedOn w:val="a"/>
    <w:uiPriority w:val="34"/>
    <w:qFormat/>
    <w:rsid w:val="006A6FE2"/>
    <w:pPr>
      <w:ind w:left="720"/>
      <w:contextualSpacing/>
    </w:pPr>
    <w:rPr>
      <w:rFonts w:eastAsia="Calibri"/>
    </w:rPr>
  </w:style>
  <w:style w:type="paragraph" w:customStyle="1" w:styleId="ConsPlusCell">
    <w:name w:val="ConsPlusCell"/>
    <w:uiPriority w:val="99"/>
    <w:rsid w:val="0041433A"/>
    <w:pPr>
      <w:autoSpaceDE w:val="0"/>
      <w:autoSpaceDN w:val="0"/>
      <w:adjustRightInd w:val="0"/>
    </w:pPr>
    <w:rPr>
      <w:sz w:val="24"/>
      <w:szCs w:val="24"/>
    </w:rPr>
  </w:style>
  <w:style w:type="character" w:customStyle="1" w:styleId="afc">
    <w:name w:val="Сравнение редакций. Добавленный фрагмент"/>
    <w:uiPriority w:val="99"/>
    <w:rsid w:val="00F77332"/>
    <w:rPr>
      <w:color w:val="000000"/>
      <w:shd w:val="clear" w:color="auto" w:fill="C1D7FF"/>
    </w:rPr>
  </w:style>
  <w:style w:type="paragraph" w:customStyle="1" w:styleId="ConsPlusNormal">
    <w:name w:val="ConsPlusNormal"/>
    <w:rsid w:val="00D47566"/>
    <w:pPr>
      <w:widowControl w:val="0"/>
      <w:autoSpaceDE w:val="0"/>
      <w:autoSpaceDN w:val="0"/>
      <w:adjustRightInd w:val="0"/>
      <w:ind w:firstLine="720"/>
    </w:pPr>
    <w:rPr>
      <w:rFonts w:ascii="Arial" w:hAnsi="Arial" w:cs="Arial"/>
    </w:rPr>
  </w:style>
  <w:style w:type="paragraph" w:styleId="afd">
    <w:name w:val="endnote text"/>
    <w:basedOn w:val="a"/>
    <w:link w:val="afe"/>
    <w:rsid w:val="004A5D8A"/>
    <w:rPr>
      <w:rFonts w:eastAsia="Calibri"/>
      <w:sz w:val="20"/>
      <w:szCs w:val="20"/>
    </w:rPr>
  </w:style>
  <w:style w:type="character" w:customStyle="1" w:styleId="afe">
    <w:name w:val="Текст концевой сноски Знак"/>
    <w:basedOn w:val="a0"/>
    <w:link w:val="afd"/>
    <w:rsid w:val="004A5D8A"/>
    <w:rPr>
      <w:rFonts w:eastAsia="Calibri"/>
    </w:rPr>
  </w:style>
  <w:style w:type="paragraph" w:customStyle="1" w:styleId="12">
    <w:name w:val="Абзац списка1"/>
    <w:basedOn w:val="a"/>
    <w:rsid w:val="00C86F00"/>
    <w:pPr>
      <w:ind w:left="720"/>
    </w:pPr>
    <w:rPr>
      <w:rFonts w:eastAsia="Calibri"/>
    </w:rPr>
  </w:style>
  <w:style w:type="paragraph" w:customStyle="1" w:styleId="26">
    <w:name w:val="Абзац списка2"/>
    <w:basedOn w:val="a"/>
    <w:rsid w:val="00AC38C5"/>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8745195">
      <w:bodyDiv w:val="1"/>
      <w:marLeft w:val="0"/>
      <w:marRight w:val="0"/>
      <w:marTop w:val="0"/>
      <w:marBottom w:val="0"/>
      <w:divBdr>
        <w:top w:val="none" w:sz="0" w:space="0" w:color="auto"/>
        <w:left w:val="none" w:sz="0" w:space="0" w:color="auto"/>
        <w:bottom w:val="none" w:sz="0" w:space="0" w:color="auto"/>
        <w:right w:val="none" w:sz="0" w:space="0" w:color="auto"/>
      </w:divBdr>
    </w:div>
    <w:div w:id="60099309">
      <w:bodyDiv w:val="1"/>
      <w:marLeft w:val="0"/>
      <w:marRight w:val="0"/>
      <w:marTop w:val="0"/>
      <w:marBottom w:val="0"/>
      <w:divBdr>
        <w:top w:val="none" w:sz="0" w:space="0" w:color="auto"/>
        <w:left w:val="none" w:sz="0" w:space="0" w:color="auto"/>
        <w:bottom w:val="none" w:sz="0" w:space="0" w:color="auto"/>
        <w:right w:val="none" w:sz="0" w:space="0" w:color="auto"/>
      </w:divBdr>
    </w:div>
    <w:div w:id="195318482">
      <w:bodyDiv w:val="1"/>
      <w:marLeft w:val="0"/>
      <w:marRight w:val="0"/>
      <w:marTop w:val="0"/>
      <w:marBottom w:val="0"/>
      <w:divBdr>
        <w:top w:val="none" w:sz="0" w:space="0" w:color="auto"/>
        <w:left w:val="none" w:sz="0" w:space="0" w:color="auto"/>
        <w:bottom w:val="none" w:sz="0" w:space="0" w:color="auto"/>
        <w:right w:val="none" w:sz="0" w:space="0" w:color="auto"/>
      </w:divBdr>
    </w:div>
    <w:div w:id="215044061">
      <w:bodyDiv w:val="1"/>
      <w:marLeft w:val="0"/>
      <w:marRight w:val="0"/>
      <w:marTop w:val="0"/>
      <w:marBottom w:val="0"/>
      <w:divBdr>
        <w:top w:val="none" w:sz="0" w:space="0" w:color="auto"/>
        <w:left w:val="none" w:sz="0" w:space="0" w:color="auto"/>
        <w:bottom w:val="none" w:sz="0" w:space="0" w:color="auto"/>
        <w:right w:val="none" w:sz="0" w:space="0" w:color="auto"/>
      </w:divBdr>
    </w:div>
    <w:div w:id="269944247">
      <w:bodyDiv w:val="1"/>
      <w:marLeft w:val="0"/>
      <w:marRight w:val="0"/>
      <w:marTop w:val="0"/>
      <w:marBottom w:val="0"/>
      <w:divBdr>
        <w:top w:val="none" w:sz="0" w:space="0" w:color="auto"/>
        <w:left w:val="none" w:sz="0" w:space="0" w:color="auto"/>
        <w:bottom w:val="none" w:sz="0" w:space="0" w:color="auto"/>
        <w:right w:val="none" w:sz="0" w:space="0" w:color="auto"/>
      </w:divBdr>
    </w:div>
    <w:div w:id="313460791">
      <w:bodyDiv w:val="1"/>
      <w:marLeft w:val="0"/>
      <w:marRight w:val="0"/>
      <w:marTop w:val="0"/>
      <w:marBottom w:val="0"/>
      <w:divBdr>
        <w:top w:val="none" w:sz="0" w:space="0" w:color="auto"/>
        <w:left w:val="none" w:sz="0" w:space="0" w:color="auto"/>
        <w:bottom w:val="none" w:sz="0" w:space="0" w:color="auto"/>
        <w:right w:val="none" w:sz="0" w:space="0" w:color="auto"/>
      </w:divBdr>
    </w:div>
    <w:div w:id="575283501">
      <w:bodyDiv w:val="1"/>
      <w:marLeft w:val="0"/>
      <w:marRight w:val="0"/>
      <w:marTop w:val="0"/>
      <w:marBottom w:val="0"/>
      <w:divBdr>
        <w:top w:val="none" w:sz="0" w:space="0" w:color="auto"/>
        <w:left w:val="none" w:sz="0" w:space="0" w:color="auto"/>
        <w:bottom w:val="none" w:sz="0" w:space="0" w:color="auto"/>
        <w:right w:val="none" w:sz="0" w:space="0" w:color="auto"/>
      </w:divBdr>
    </w:div>
    <w:div w:id="575554733">
      <w:bodyDiv w:val="1"/>
      <w:marLeft w:val="0"/>
      <w:marRight w:val="0"/>
      <w:marTop w:val="0"/>
      <w:marBottom w:val="0"/>
      <w:divBdr>
        <w:top w:val="none" w:sz="0" w:space="0" w:color="auto"/>
        <w:left w:val="none" w:sz="0" w:space="0" w:color="auto"/>
        <w:bottom w:val="none" w:sz="0" w:space="0" w:color="auto"/>
        <w:right w:val="none" w:sz="0" w:space="0" w:color="auto"/>
      </w:divBdr>
    </w:div>
    <w:div w:id="703560703">
      <w:bodyDiv w:val="1"/>
      <w:marLeft w:val="0"/>
      <w:marRight w:val="0"/>
      <w:marTop w:val="0"/>
      <w:marBottom w:val="0"/>
      <w:divBdr>
        <w:top w:val="none" w:sz="0" w:space="0" w:color="auto"/>
        <w:left w:val="none" w:sz="0" w:space="0" w:color="auto"/>
        <w:bottom w:val="none" w:sz="0" w:space="0" w:color="auto"/>
        <w:right w:val="none" w:sz="0" w:space="0" w:color="auto"/>
      </w:divBdr>
    </w:div>
    <w:div w:id="734813794">
      <w:bodyDiv w:val="1"/>
      <w:marLeft w:val="0"/>
      <w:marRight w:val="0"/>
      <w:marTop w:val="0"/>
      <w:marBottom w:val="0"/>
      <w:divBdr>
        <w:top w:val="none" w:sz="0" w:space="0" w:color="auto"/>
        <w:left w:val="none" w:sz="0" w:space="0" w:color="auto"/>
        <w:bottom w:val="none" w:sz="0" w:space="0" w:color="auto"/>
        <w:right w:val="none" w:sz="0" w:space="0" w:color="auto"/>
      </w:divBdr>
    </w:div>
    <w:div w:id="741173381">
      <w:bodyDiv w:val="1"/>
      <w:marLeft w:val="0"/>
      <w:marRight w:val="0"/>
      <w:marTop w:val="0"/>
      <w:marBottom w:val="0"/>
      <w:divBdr>
        <w:top w:val="none" w:sz="0" w:space="0" w:color="auto"/>
        <w:left w:val="none" w:sz="0" w:space="0" w:color="auto"/>
        <w:bottom w:val="none" w:sz="0" w:space="0" w:color="auto"/>
        <w:right w:val="none" w:sz="0" w:space="0" w:color="auto"/>
      </w:divBdr>
    </w:div>
    <w:div w:id="796722205">
      <w:bodyDiv w:val="1"/>
      <w:marLeft w:val="0"/>
      <w:marRight w:val="0"/>
      <w:marTop w:val="0"/>
      <w:marBottom w:val="0"/>
      <w:divBdr>
        <w:top w:val="none" w:sz="0" w:space="0" w:color="auto"/>
        <w:left w:val="none" w:sz="0" w:space="0" w:color="auto"/>
        <w:bottom w:val="none" w:sz="0" w:space="0" w:color="auto"/>
        <w:right w:val="none" w:sz="0" w:space="0" w:color="auto"/>
      </w:divBdr>
    </w:div>
    <w:div w:id="946427676">
      <w:bodyDiv w:val="1"/>
      <w:marLeft w:val="0"/>
      <w:marRight w:val="0"/>
      <w:marTop w:val="0"/>
      <w:marBottom w:val="0"/>
      <w:divBdr>
        <w:top w:val="none" w:sz="0" w:space="0" w:color="auto"/>
        <w:left w:val="none" w:sz="0" w:space="0" w:color="auto"/>
        <w:bottom w:val="none" w:sz="0" w:space="0" w:color="auto"/>
        <w:right w:val="none" w:sz="0" w:space="0" w:color="auto"/>
      </w:divBdr>
    </w:div>
    <w:div w:id="1049379216">
      <w:bodyDiv w:val="1"/>
      <w:marLeft w:val="0"/>
      <w:marRight w:val="0"/>
      <w:marTop w:val="0"/>
      <w:marBottom w:val="0"/>
      <w:divBdr>
        <w:top w:val="none" w:sz="0" w:space="0" w:color="auto"/>
        <w:left w:val="none" w:sz="0" w:space="0" w:color="auto"/>
        <w:bottom w:val="none" w:sz="0" w:space="0" w:color="auto"/>
        <w:right w:val="none" w:sz="0" w:space="0" w:color="auto"/>
      </w:divBdr>
    </w:div>
    <w:div w:id="1099326844">
      <w:bodyDiv w:val="1"/>
      <w:marLeft w:val="0"/>
      <w:marRight w:val="0"/>
      <w:marTop w:val="0"/>
      <w:marBottom w:val="0"/>
      <w:divBdr>
        <w:top w:val="none" w:sz="0" w:space="0" w:color="auto"/>
        <w:left w:val="none" w:sz="0" w:space="0" w:color="auto"/>
        <w:bottom w:val="none" w:sz="0" w:space="0" w:color="auto"/>
        <w:right w:val="none" w:sz="0" w:space="0" w:color="auto"/>
      </w:divBdr>
    </w:div>
    <w:div w:id="1122772755">
      <w:bodyDiv w:val="1"/>
      <w:marLeft w:val="0"/>
      <w:marRight w:val="0"/>
      <w:marTop w:val="0"/>
      <w:marBottom w:val="0"/>
      <w:divBdr>
        <w:top w:val="none" w:sz="0" w:space="0" w:color="auto"/>
        <w:left w:val="none" w:sz="0" w:space="0" w:color="auto"/>
        <w:bottom w:val="none" w:sz="0" w:space="0" w:color="auto"/>
        <w:right w:val="none" w:sz="0" w:space="0" w:color="auto"/>
      </w:divBdr>
    </w:div>
    <w:div w:id="1184444670">
      <w:bodyDiv w:val="1"/>
      <w:marLeft w:val="0"/>
      <w:marRight w:val="0"/>
      <w:marTop w:val="0"/>
      <w:marBottom w:val="0"/>
      <w:divBdr>
        <w:top w:val="none" w:sz="0" w:space="0" w:color="auto"/>
        <w:left w:val="none" w:sz="0" w:space="0" w:color="auto"/>
        <w:bottom w:val="none" w:sz="0" w:space="0" w:color="auto"/>
        <w:right w:val="none" w:sz="0" w:space="0" w:color="auto"/>
      </w:divBdr>
    </w:div>
    <w:div w:id="1214930792">
      <w:bodyDiv w:val="1"/>
      <w:marLeft w:val="0"/>
      <w:marRight w:val="0"/>
      <w:marTop w:val="0"/>
      <w:marBottom w:val="0"/>
      <w:divBdr>
        <w:top w:val="none" w:sz="0" w:space="0" w:color="auto"/>
        <w:left w:val="none" w:sz="0" w:space="0" w:color="auto"/>
        <w:bottom w:val="none" w:sz="0" w:space="0" w:color="auto"/>
        <w:right w:val="none" w:sz="0" w:space="0" w:color="auto"/>
      </w:divBdr>
    </w:div>
    <w:div w:id="1277715096">
      <w:bodyDiv w:val="1"/>
      <w:marLeft w:val="0"/>
      <w:marRight w:val="0"/>
      <w:marTop w:val="0"/>
      <w:marBottom w:val="0"/>
      <w:divBdr>
        <w:top w:val="none" w:sz="0" w:space="0" w:color="auto"/>
        <w:left w:val="none" w:sz="0" w:space="0" w:color="auto"/>
        <w:bottom w:val="none" w:sz="0" w:space="0" w:color="auto"/>
        <w:right w:val="none" w:sz="0" w:space="0" w:color="auto"/>
      </w:divBdr>
    </w:div>
    <w:div w:id="1304500433">
      <w:bodyDiv w:val="1"/>
      <w:marLeft w:val="0"/>
      <w:marRight w:val="0"/>
      <w:marTop w:val="0"/>
      <w:marBottom w:val="0"/>
      <w:divBdr>
        <w:top w:val="none" w:sz="0" w:space="0" w:color="auto"/>
        <w:left w:val="none" w:sz="0" w:space="0" w:color="auto"/>
        <w:bottom w:val="none" w:sz="0" w:space="0" w:color="auto"/>
        <w:right w:val="none" w:sz="0" w:space="0" w:color="auto"/>
      </w:divBdr>
    </w:div>
    <w:div w:id="1366295138">
      <w:bodyDiv w:val="1"/>
      <w:marLeft w:val="0"/>
      <w:marRight w:val="0"/>
      <w:marTop w:val="0"/>
      <w:marBottom w:val="0"/>
      <w:divBdr>
        <w:top w:val="none" w:sz="0" w:space="0" w:color="auto"/>
        <w:left w:val="none" w:sz="0" w:space="0" w:color="auto"/>
        <w:bottom w:val="none" w:sz="0" w:space="0" w:color="auto"/>
        <w:right w:val="none" w:sz="0" w:space="0" w:color="auto"/>
      </w:divBdr>
    </w:div>
    <w:div w:id="1374770218">
      <w:bodyDiv w:val="1"/>
      <w:marLeft w:val="0"/>
      <w:marRight w:val="0"/>
      <w:marTop w:val="0"/>
      <w:marBottom w:val="0"/>
      <w:divBdr>
        <w:top w:val="none" w:sz="0" w:space="0" w:color="auto"/>
        <w:left w:val="none" w:sz="0" w:space="0" w:color="auto"/>
        <w:bottom w:val="none" w:sz="0" w:space="0" w:color="auto"/>
        <w:right w:val="none" w:sz="0" w:space="0" w:color="auto"/>
      </w:divBdr>
    </w:div>
    <w:div w:id="1393576855">
      <w:bodyDiv w:val="1"/>
      <w:marLeft w:val="0"/>
      <w:marRight w:val="0"/>
      <w:marTop w:val="0"/>
      <w:marBottom w:val="0"/>
      <w:divBdr>
        <w:top w:val="none" w:sz="0" w:space="0" w:color="auto"/>
        <w:left w:val="none" w:sz="0" w:space="0" w:color="auto"/>
        <w:bottom w:val="none" w:sz="0" w:space="0" w:color="auto"/>
        <w:right w:val="none" w:sz="0" w:space="0" w:color="auto"/>
      </w:divBdr>
    </w:div>
    <w:div w:id="1428769614">
      <w:bodyDiv w:val="1"/>
      <w:marLeft w:val="0"/>
      <w:marRight w:val="0"/>
      <w:marTop w:val="0"/>
      <w:marBottom w:val="0"/>
      <w:divBdr>
        <w:top w:val="none" w:sz="0" w:space="0" w:color="auto"/>
        <w:left w:val="none" w:sz="0" w:space="0" w:color="auto"/>
        <w:bottom w:val="none" w:sz="0" w:space="0" w:color="auto"/>
        <w:right w:val="none" w:sz="0" w:space="0" w:color="auto"/>
      </w:divBdr>
    </w:div>
    <w:div w:id="1529640884">
      <w:bodyDiv w:val="1"/>
      <w:marLeft w:val="0"/>
      <w:marRight w:val="0"/>
      <w:marTop w:val="0"/>
      <w:marBottom w:val="0"/>
      <w:divBdr>
        <w:top w:val="none" w:sz="0" w:space="0" w:color="auto"/>
        <w:left w:val="none" w:sz="0" w:space="0" w:color="auto"/>
        <w:bottom w:val="none" w:sz="0" w:space="0" w:color="auto"/>
        <w:right w:val="none" w:sz="0" w:space="0" w:color="auto"/>
      </w:divBdr>
    </w:div>
    <w:div w:id="1615400688">
      <w:bodyDiv w:val="1"/>
      <w:marLeft w:val="0"/>
      <w:marRight w:val="0"/>
      <w:marTop w:val="0"/>
      <w:marBottom w:val="0"/>
      <w:divBdr>
        <w:top w:val="none" w:sz="0" w:space="0" w:color="auto"/>
        <w:left w:val="none" w:sz="0" w:space="0" w:color="auto"/>
        <w:bottom w:val="none" w:sz="0" w:space="0" w:color="auto"/>
        <w:right w:val="none" w:sz="0" w:space="0" w:color="auto"/>
      </w:divBdr>
    </w:div>
    <w:div w:id="1626812737">
      <w:bodyDiv w:val="1"/>
      <w:marLeft w:val="0"/>
      <w:marRight w:val="0"/>
      <w:marTop w:val="0"/>
      <w:marBottom w:val="0"/>
      <w:divBdr>
        <w:top w:val="none" w:sz="0" w:space="0" w:color="auto"/>
        <w:left w:val="none" w:sz="0" w:space="0" w:color="auto"/>
        <w:bottom w:val="none" w:sz="0" w:space="0" w:color="auto"/>
        <w:right w:val="none" w:sz="0" w:space="0" w:color="auto"/>
      </w:divBdr>
    </w:div>
    <w:div w:id="1646398880">
      <w:bodyDiv w:val="1"/>
      <w:marLeft w:val="0"/>
      <w:marRight w:val="0"/>
      <w:marTop w:val="0"/>
      <w:marBottom w:val="0"/>
      <w:divBdr>
        <w:top w:val="none" w:sz="0" w:space="0" w:color="auto"/>
        <w:left w:val="none" w:sz="0" w:space="0" w:color="auto"/>
        <w:bottom w:val="none" w:sz="0" w:space="0" w:color="auto"/>
        <w:right w:val="none" w:sz="0" w:space="0" w:color="auto"/>
      </w:divBdr>
    </w:div>
    <w:div w:id="1729037443">
      <w:bodyDiv w:val="1"/>
      <w:marLeft w:val="0"/>
      <w:marRight w:val="0"/>
      <w:marTop w:val="0"/>
      <w:marBottom w:val="0"/>
      <w:divBdr>
        <w:top w:val="none" w:sz="0" w:space="0" w:color="auto"/>
        <w:left w:val="none" w:sz="0" w:space="0" w:color="auto"/>
        <w:bottom w:val="none" w:sz="0" w:space="0" w:color="auto"/>
        <w:right w:val="none" w:sz="0" w:space="0" w:color="auto"/>
      </w:divBdr>
    </w:div>
    <w:div w:id="1738553883">
      <w:bodyDiv w:val="1"/>
      <w:marLeft w:val="0"/>
      <w:marRight w:val="0"/>
      <w:marTop w:val="0"/>
      <w:marBottom w:val="0"/>
      <w:divBdr>
        <w:top w:val="none" w:sz="0" w:space="0" w:color="auto"/>
        <w:left w:val="none" w:sz="0" w:space="0" w:color="auto"/>
        <w:bottom w:val="none" w:sz="0" w:space="0" w:color="auto"/>
        <w:right w:val="none" w:sz="0" w:space="0" w:color="auto"/>
      </w:divBdr>
    </w:div>
    <w:div w:id="1787626003">
      <w:bodyDiv w:val="1"/>
      <w:marLeft w:val="0"/>
      <w:marRight w:val="0"/>
      <w:marTop w:val="0"/>
      <w:marBottom w:val="0"/>
      <w:divBdr>
        <w:top w:val="none" w:sz="0" w:space="0" w:color="auto"/>
        <w:left w:val="none" w:sz="0" w:space="0" w:color="auto"/>
        <w:bottom w:val="none" w:sz="0" w:space="0" w:color="auto"/>
        <w:right w:val="none" w:sz="0" w:space="0" w:color="auto"/>
      </w:divBdr>
    </w:div>
    <w:div w:id="1973444396">
      <w:bodyDiv w:val="1"/>
      <w:marLeft w:val="0"/>
      <w:marRight w:val="0"/>
      <w:marTop w:val="0"/>
      <w:marBottom w:val="0"/>
      <w:divBdr>
        <w:top w:val="none" w:sz="0" w:space="0" w:color="auto"/>
        <w:left w:val="none" w:sz="0" w:space="0" w:color="auto"/>
        <w:bottom w:val="none" w:sz="0" w:space="0" w:color="auto"/>
        <w:right w:val="none" w:sz="0" w:space="0" w:color="auto"/>
      </w:divBdr>
    </w:div>
    <w:div w:id="2071607568">
      <w:bodyDiv w:val="1"/>
      <w:marLeft w:val="0"/>
      <w:marRight w:val="0"/>
      <w:marTop w:val="0"/>
      <w:marBottom w:val="0"/>
      <w:divBdr>
        <w:top w:val="none" w:sz="0" w:space="0" w:color="auto"/>
        <w:left w:val="none" w:sz="0" w:space="0" w:color="auto"/>
        <w:bottom w:val="none" w:sz="0" w:space="0" w:color="auto"/>
        <w:right w:val="none" w:sz="0" w:space="0" w:color="auto"/>
      </w:divBdr>
    </w:div>
    <w:div w:id="2103672818">
      <w:bodyDiv w:val="1"/>
      <w:marLeft w:val="0"/>
      <w:marRight w:val="0"/>
      <w:marTop w:val="0"/>
      <w:marBottom w:val="0"/>
      <w:divBdr>
        <w:top w:val="none" w:sz="0" w:space="0" w:color="auto"/>
        <w:left w:val="none" w:sz="0" w:space="0" w:color="auto"/>
        <w:bottom w:val="none" w:sz="0" w:space="0" w:color="auto"/>
        <w:right w:val="none" w:sz="0" w:space="0" w:color="auto"/>
      </w:divBdr>
    </w:div>
    <w:div w:id="2106001498">
      <w:bodyDiv w:val="1"/>
      <w:marLeft w:val="0"/>
      <w:marRight w:val="0"/>
      <w:marTop w:val="0"/>
      <w:marBottom w:val="0"/>
      <w:divBdr>
        <w:top w:val="none" w:sz="0" w:space="0" w:color="auto"/>
        <w:left w:val="none" w:sz="0" w:space="0" w:color="auto"/>
        <w:bottom w:val="none" w:sz="0" w:space="0" w:color="auto"/>
        <w:right w:val="none" w:sz="0" w:space="0" w:color="auto"/>
      </w:divBdr>
    </w:div>
    <w:div w:id="21303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E91623BF169627F1E9047ED626E2493436B2160B0D58DEF46C80FA4E509E67449041434EDA3C7823CD6FD30EC227B449F20B441346CU2R3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82DB216BDAE6AE2AA32577461969F310D8E46766B21FBCE572B018F88AF98296CD661666A692827CC1ECECDBF935969FC6498A3544FwFE7G" TargetMode="External"/><Relationship Id="rId4" Type="http://schemas.openxmlformats.org/officeDocument/2006/relationships/settings" Target="settings.xml"/><Relationship Id="rId9" Type="http://schemas.openxmlformats.org/officeDocument/2006/relationships/hyperlink" Target="consultantplus://offline/ref=C82DB216BDAE6AE2AA32577461969F310D8E46766B21FBCE572B018F88AF98296CD661666A692827CC1ECECDBF935969FC6498A3544FwFE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BD863-E9E1-46D2-8282-8C6B39DE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3862</Words>
  <Characters>22019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25830</CharactersWithSpaces>
  <SharedDoc>false</SharedDoc>
  <HLinks>
    <vt:vector size="30" baseType="variant">
      <vt:variant>
        <vt:i4>7733305</vt:i4>
      </vt:variant>
      <vt:variant>
        <vt:i4>12</vt:i4>
      </vt:variant>
      <vt:variant>
        <vt:i4>0</vt:i4>
      </vt:variant>
      <vt:variant>
        <vt:i4>5</vt:i4>
      </vt:variant>
      <vt:variant>
        <vt:lpwstr>garantf1://12012604.160215/</vt:lpwstr>
      </vt:variant>
      <vt:variant>
        <vt:lpwstr/>
      </vt:variant>
      <vt:variant>
        <vt:i4>2818069</vt:i4>
      </vt:variant>
      <vt:variant>
        <vt:i4>9</vt:i4>
      </vt:variant>
      <vt:variant>
        <vt:i4>0</vt:i4>
      </vt:variant>
      <vt:variant>
        <vt:i4>5</vt:i4>
      </vt:variant>
      <vt:variant>
        <vt:lpwstr/>
      </vt:variant>
      <vt:variant>
        <vt:lpwstr>sub_3776</vt:lpwstr>
      </vt:variant>
      <vt:variant>
        <vt:i4>3080213</vt:i4>
      </vt:variant>
      <vt:variant>
        <vt:i4>6</vt:i4>
      </vt:variant>
      <vt:variant>
        <vt:i4>0</vt:i4>
      </vt:variant>
      <vt:variant>
        <vt:i4>5</vt:i4>
      </vt:variant>
      <vt:variant>
        <vt:lpwstr/>
      </vt:variant>
      <vt:variant>
        <vt:lpwstr>sub_3772</vt:lpwstr>
      </vt:variant>
      <vt:variant>
        <vt:i4>2883605</vt:i4>
      </vt:variant>
      <vt:variant>
        <vt:i4>3</vt:i4>
      </vt:variant>
      <vt:variant>
        <vt:i4>0</vt:i4>
      </vt:variant>
      <vt:variant>
        <vt:i4>5</vt:i4>
      </vt:variant>
      <vt:variant>
        <vt:lpwstr/>
      </vt:variant>
      <vt:variant>
        <vt:lpwstr>sub_3771</vt:lpwstr>
      </vt:variant>
      <vt:variant>
        <vt:i4>8126560</vt:i4>
      </vt:variant>
      <vt:variant>
        <vt:i4>0</vt:i4>
      </vt:variant>
      <vt:variant>
        <vt:i4>0</vt:i4>
      </vt:variant>
      <vt:variant>
        <vt:i4>5</vt:i4>
      </vt:variant>
      <vt:variant>
        <vt:lpwstr>consultantplus://offline/ref=EF2B6400CB76C14F7761B4C2AE83EC9363E09908845EED09CF187A30978636CEA0C395061CFB95BA5537K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Горина_2</cp:lastModifiedBy>
  <cp:revision>20</cp:revision>
  <cp:lastPrinted>2020-03-17T07:48:00Z</cp:lastPrinted>
  <dcterms:created xsi:type="dcterms:W3CDTF">2020-03-11T09:51:00Z</dcterms:created>
  <dcterms:modified xsi:type="dcterms:W3CDTF">2020-03-17T08:13:00Z</dcterms:modified>
</cp:coreProperties>
</file>