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25" w:rsidRPr="00AF0E05" w:rsidRDefault="00E27625" w:rsidP="00E27625">
      <w:pPr>
        <w:pStyle w:val="a7"/>
        <w:tabs>
          <w:tab w:val="left" w:pos="180"/>
          <w:tab w:val="left" w:pos="360"/>
        </w:tabs>
        <w:spacing w:after="0"/>
        <w:ind w:left="6120"/>
        <w:rPr>
          <w:b/>
        </w:rPr>
      </w:pPr>
      <w:r w:rsidRPr="00AF0E05">
        <w:rPr>
          <w:b/>
        </w:rPr>
        <w:t>УТВЕРЖД</w:t>
      </w:r>
      <w:r>
        <w:rPr>
          <w:b/>
        </w:rPr>
        <w:t>АЮ</w:t>
      </w:r>
      <w:r w:rsidRPr="00AF0E05">
        <w:rPr>
          <w:b/>
        </w:rPr>
        <w:t xml:space="preserve"> </w:t>
      </w:r>
    </w:p>
    <w:p w:rsidR="00E27625" w:rsidRDefault="00E27625" w:rsidP="00E27625">
      <w:pPr>
        <w:pStyle w:val="a7"/>
        <w:tabs>
          <w:tab w:val="left" w:pos="5387"/>
        </w:tabs>
        <w:spacing w:after="0"/>
        <w:ind w:left="5387"/>
      </w:pPr>
      <w:r>
        <w:t>председатель</w:t>
      </w:r>
      <w:r w:rsidRPr="00AF0E05">
        <w:t xml:space="preserve"> контрольно</w:t>
      </w:r>
      <w:r>
        <w:t xml:space="preserve"> </w:t>
      </w:r>
      <w:r w:rsidRPr="00AF0E05">
        <w:t>-</w:t>
      </w:r>
      <w:r>
        <w:t xml:space="preserve"> </w:t>
      </w:r>
      <w:r w:rsidRPr="00AF0E05">
        <w:t>счетной палаты</w:t>
      </w:r>
      <w:r>
        <w:t xml:space="preserve"> </w:t>
      </w:r>
      <w:r w:rsidRPr="00AF0E05">
        <w:t>Волгоградской области</w:t>
      </w:r>
    </w:p>
    <w:p w:rsidR="00E27625" w:rsidRDefault="00E27625" w:rsidP="00E27625">
      <w:pPr>
        <w:pStyle w:val="a7"/>
        <w:tabs>
          <w:tab w:val="left" w:pos="5387"/>
        </w:tabs>
        <w:spacing w:after="0"/>
        <w:ind w:left="5387"/>
        <w:jc w:val="both"/>
      </w:pPr>
    </w:p>
    <w:p w:rsidR="00E27625" w:rsidRPr="00AF0E05" w:rsidRDefault="00E27625" w:rsidP="00E27625">
      <w:pPr>
        <w:pStyle w:val="a7"/>
        <w:tabs>
          <w:tab w:val="left" w:pos="5387"/>
        </w:tabs>
        <w:spacing w:after="0"/>
        <w:ind w:left="5387"/>
        <w:jc w:val="both"/>
      </w:pPr>
      <w:r>
        <w:t>_____________        И.А. Дьяченко</w:t>
      </w:r>
    </w:p>
    <w:p w:rsidR="00E27625" w:rsidRPr="00AF0E05" w:rsidRDefault="00D74C64" w:rsidP="00E27625">
      <w:pPr>
        <w:pStyle w:val="a7"/>
        <w:tabs>
          <w:tab w:val="left" w:pos="5387"/>
        </w:tabs>
        <w:spacing w:after="0"/>
        <w:ind w:left="5387"/>
        <w:jc w:val="both"/>
      </w:pPr>
      <w:r>
        <w:t>12</w:t>
      </w:r>
      <w:r w:rsidR="00E27625">
        <w:t xml:space="preserve"> мая 2016 года </w:t>
      </w:r>
    </w:p>
    <w:p w:rsidR="00E27625" w:rsidRPr="00AF0E05" w:rsidRDefault="00E27625" w:rsidP="00E27625">
      <w:pPr>
        <w:jc w:val="center"/>
        <w:rPr>
          <w:b/>
          <w:i/>
        </w:rPr>
      </w:pPr>
    </w:p>
    <w:p w:rsidR="00E27625" w:rsidRPr="00AF0E05" w:rsidRDefault="00E27625" w:rsidP="00E27625">
      <w:pPr>
        <w:jc w:val="center"/>
        <w:rPr>
          <w:b/>
          <w:i/>
        </w:rPr>
      </w:pPr>
      <w:r w:rsidRPr="00AF0E05">
        <w:rPr>
          <w:b/>
          <w:i/>
        </w:rPr>
        <w:t>ЗАКЛЮЧЕНИЕ</w:t>
      </w:r>
    </w:p>
    <w:p w:rsidR="00E27625" w:rsidRPr="00AF0E05" w:rsidRDefault="00E27625" w:rsidP="00E27625">
      <w:pPr>
        <w:pStyle w:val="3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>по результатам внешней проверки  бюджетной отчетности и</w:t>
      </w:r>
    </w:p>
    <w:p w:rsidR="00E27625" w:rsidRPr="00AF0E05" w:rsidRDefault="00E27625" w:rsidP="00E27625">
      <w:pPr>
        <w:pStyle w:val="3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>отдельных вопросов исполнения областного бюджета за 2015 год</w:t>
      </w:r>
    </w:p>
    <w:p w:rsidR="00E27625" w:rsidRPr="00AF0E05" w:rsidRDefault="00E27625" w:rsidP="00E27625">
      <w:pPr>
        <w:pStyle w:val="3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 xml:space="preserve">главным администратором средств областного бюджета – </w:t>
      </w:r>
    </w:p>
    <w:p w:rsidR="00E27625" w:rsidRPr="00AF0E05" w:rsidRDefault="00E27625" w:rsidP="00E27625">
      <w:pPr>
        <w:pStyle w:val="3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 xml:space="preserve">комитетом </w:t>
      </w:r>
      <w:r>
        <w:rPr>
          <w:b/>
          <w:i/>
          <w:sz w:val="24"/>
          <w:szCs w:val="24"/>
        </w:rPr>
        <w:t>финансов</w:t>
      </w:r>
      <w:r w:rsidRPr="00AF0E05">
        <w:rPr>
          <w:b/>
          <w:i/>
          <w:sz w:val="24"/>
          <w:szCs w:val="24"/>
        </w:rPr>
        <w:t xml:space="preserve"> Волгоградской области </w:t>
      </w:r>
    </w:p>
    <w:p w:rsidR="00E27625" w:rsidRPr="00AF0E05" w:rsidRDefault="00E27625" w:rsidP="00E27625"/>
    <w:p w:rsidR="00E27625" w:rsidRPr="00AF0E05" w:rsidRDefault="00E27625" w:rsidP="00E27625">
      <w:pPr>
        <w:pStyle w:val="2"/>
        <w:spacing w:after="0" w:line="240" w:lineRule="auto"/>
        <w:ind w:firstLine="567"/>
        <w:jc w:val="both"/>
      </w:pPr>
      <w:r w:rsidRPr="00AF0E05">
        <w:t>В соответствии с планом работы контрольно-счетной палаты Волгоградской области, утвержденным постановлением коллегии контрольно-счётной палаты Волгоградской области от  29.12.2015 № 34/1, в целях подготовки заключения на годовой отчет об исполнении областного бюджета за 2015 год</w:t>
      </w:r>
      <w:r>
        <w:t xml:space="preserve"> </w:t>
      </w:r>
      <w:r w:rsidRPr="00AF0E05">
        <w:t xml:space="preserve">проведена </w:t>
      </w:r>
      <w:r>
        <w:t xml:space="preserve">камеральная </w:t>
      </w:r>
      <w:r w:rsidRPr="00AF0E05">
        <w:t xml:space="preserve">внешняя проверка  бюджетной отчетности и отдельных вопросов исполнения областного бюджета за 2015 год главным администратором средств областного бюджета – комитетом </w:t>
      </w:r>
      <w:r>
        <w:t>финансов</w:t>
      </w:r>
      <w:r w:rsidRPr="00AF0E05">
        <w:t xml:space="preserve"> Волгоградской области (далее - </w:t>
      </w:r>
      <w:r>
        <w:t>Облфин</w:t>
      </w:r>
      <w:r w:rsidRPr="00AF0E05">
        <w:t>).</w:t>
      </w:r>
    </w:p>
    <w:p w:rsidR="00B95B99" w:rsidRDefault="00BD1676" w:rsidP="00B95B99">
      <w:pPr>
        <w:pStyle w:val="ConsPlusNormal"/>
        <w:ind w:firstLine="540"/>
        <w:jc w:val="both"/>
      </w:pPr>
      <w:r>
        <w:t>Облфин</w:t>
      </w:r>
      <w:r w:rsidR="0091692F">
        <w:t xml:space="preserve"> </w:t>
      </w:r>
      <w:r>
        <w:rPr>
          <w:lang w:eastAsia="en-US"/>
        </w:rPr>
        <w:t xml:space="preserve">является </w:t>
      </w:r>
      <w:r w:rsidR="00B95B99">
        <w:t>финансовым органом Волгоградской области, органом исполнительной власти Волгоградской области, осуществляющим проведение единой финансовой, бюджетной и налоговой политики, составление и организацию исполнения областного бюджета, управление государственным долгом, исполнение полномочий органа внутреннего государственного финансового контроля, общее руководство организацией финансов в Волгоградской области.</w:t>
      </w:r>
    </w:p>
    <w:p w:rsidR="008D70E6" w:rsidRPr="00171927" w:rsidRDefault="00FD1055" w:rsidP="0091692F">
      <w:pPr>
        <w:ind w:firstLine="708"/>
        <w:jc w:val="both"/>
      </w:pPr>
      <w:r>
        <w:t>На 01.01.2015 Облфин</w:t>
      </w:r>
      <w:r w:rsidR="0091692F">
        <w:t xml:space="preserve"> имел 7 подведомственных получателей средств областного бюджета – межрайонных территориальных управлений (далее – МТУ</w:t>
      </w:r>
      <w:r w:rsidR="00694AEE">
        <w:t>)</w:t>
      </w:r>
      <w:r w:rsidR="00B95B99">
        <w:t>.</w:t>
      </w:r>
      <w:r w:rsidR="008D70E6">
        <w:t xml:space="preserve"> </w:t>
      </w:r>
      <w:r w:rsidR="00852071">
        <w:t>В 2015 году проведены организационно-штатные мероприятия</w:t>
      </w:r>
      <w:r w:rsidR="00CC7890">
        <w:t xml:space="preserve">, МТУ ликвидированы </w:t>
      </w:r>
      <w:r w:rsidR="00CC7890" w:rsidRPr="00171927">
        <w:t>(</w:t>
      </w:r>
      <w:r w:rsidR="00694AEE">
        <w:t>на конец 2015 года 2 МТУ находятся в окончательной стадии процесса ликвидации</w:t>
      </w:r>
      <w:r w:rsidR="00CC7890" w:rsidRPr="00171927">
        <w:t>).</w:t>
      </w:r>
      <w:r w:rsidR="00171927" w:rsidRPr="00171927">
        <w:t xml:space="preserve"> Часть полномочий ликвидированных МТУ переданы Облфину.</w:t>
      </w:r>
    </w:p>
    <w:p w:rsidR="00CC7890" w:rsidRPr="008E4ECF" w:rsidRDefault="00A45291" w:rsidP="0091692F">
      <w:pPr>
        <w:ind w:firstLine="708"/>
        <w:jc w:val="both"/>
      </w:pPr>
      <w:r>
        <w:t xml:space="preserve">По состоянию </w:t>
      </w:r>
      <w:r w:rsidR="000A25A1">
        <w:t>н</w:t>
      </w:r>
      <w:r w:rsidR="008D70E6">
        <w:t xml:space="preserve">а 01.01.2016 </w:t>
      </w:r>
      <w:r w:rsidR="00694AEE">
        <w:t xml:space="preserve">у </w:t>
      </w:r>
      <w:r w:rsidR="008D70E6">
        <w:t>Облфин</w:t>
      </w:r>
      <w:r w:rsidR="00694AEE">
        <w:t>а</w:t>
      </w:r>
      <w:r w:rsidR="008D70E6">
        <w:t xml:space="preserve"> </w:t>
      </w:r>
      <w:r w:rsidR="00694AEE">
        <w:t xml:space="preserve">один  </w:t>
      </w:r>
      <w:r w:rsidR="008D70E6">
        <w:t>подведомственн</w:t>
      </w:r>
      <w:r w:rsidR="00694AEE">
        <w:t>ый</w:t>
      </w:r>
      <w:r w:rsidR="008D70E6">
        <w:t xml:space="preserve"> получател</w:t>
      </w:r>
      <w:r w:rsidR="00694AEE">
        <w:t>ь</w:t>
      </w:r>
      <w:r w:rsidR="008D70E6">
        <w:t xml:space="preserve"> бюджетных средств</w:t>
      </w:r>
      <w:r w:rsidR="00694AEE">
        <w:t xml:space="preserve"> (кроме 2 МТУ, находящихся в окончательной стадии процесса ликвидации) </w:t>
      </w:r>
      <w:r w:rsidR="000A25A1">
        <w:t>-</w:t>
      </w:r>
      <w:r w:rsidR="00694AEE">
        <w:t xml:space="preserve"> </w:t>
      </w:r>
      <w:r w:rsidR="008D70E6">
        <w:t>государственно</w:t>
      </w:r>
      <w:r w:rsidR="000A25A1">
        <w:t>е</w:t>
      </w:r>
      <w:r w:rsidR="008D70E6">
        <w:t xml:space="preserve"> казенно</w:t>
      </w:r>
      <w:r w:rsidR="000A25A1">
        <w:t>е</w:t>
      </w:r>
      <w:r w:rsidR="008D70E6">
        <w:t xml:space="preserve"> учреждени</w:t>
      </w:r>
      <w:r w:rsidR="000A25A1">
        <w:t>е</w:t>
      </w:r>
      <w:r w:rsidR="008D70E6">
        <w:t xml:space="preserve"> Волгоградской области «Центр бюджетного </w:t>
      </w:r>
      <w:r w:rsidR="008D70E6" w:rsidRPr="008E4ECF">
        <w:t>учета и отчетности»</w:t>
      </w:r>
      <w:r w:rsidR="00E27625">
        <w:t>, созданное в 2015 году</w:t>
      </w:r>
      <w:r w:rsidR="00CC7890" w:rsidRPr="008E4ECF">
        <w:t>.</w:t>
      </w:r>
    </w:p>
    <w:p w:rsidR="009C0091" w:rsidRDefault="00CA3D03" w:rsidP="00DB79E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E4ECF">
        <w:rPr>
          <w:rFonts w:ascii="Times New Roman" w:hAnsi="Times New Roman"/>
          <w:b w:val="0"/>
          <w:color w:val="auto"/>
          <w:sz w:val="24"/>
          <w:szCs w:val="24"/>
        </w:rPr>
        <w:t>Предельная штатная численность государственных гражданских служащих Волгоградской области</w:t>
      </w:r>
      <w:r w:rsidR="009C0091" w:rsidRPr="008E4ECF">
        <w:rPr>
          <w:rFonts w:ascii="Times New Roman" w:hAnsi="Times New Roman"/>
          <w:b w:val="0"/>
          <w:color w:val="auto"/>
          <w:sz w:val="24"/>
          <w:szCs w:val="24"/>
        </w:rPr>
        <w:t xml:space="preserve"> (далее – ГГС</w:t>
      </w:r>
      <w:r w:rsidR="00E27625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Pr="008E4ECF">
        <w:rPr>
          <w:rFonts w:ascii="Times New Roman" w:hAnsi="Times New Roman"/>
          <w:b w:val="0"/>
          <w:color w:val="auto"/>
          <w:sz w:val="24"/>
          <w:szCs w:val="24"/>
        </w:rPr>
        <w:t xml:space="preserve"> по аппарату Облфина утверждена </w:t>
      </w:r>
      <w:r w:rsidR="008E4ECF" w:rsidRPr="008E4ECF">
        <w:rPr>
          <w:rFonts w:ascii="Times New Roman" w:hAnsi="Times New Roman"/>
          <w:b w:val="0"/>
          <w:color w:val="auto"/>
          <w:sz w:val="24"/>
          <w:szCs w:val="24"/>
        </w:rPr>
        <w:t>Законом Волгоградской области от 20.11.2014 №151-ОД «Об областном бюджете на 2015год и на плановый период 2016 и 2017годов» (далее –</w:t>
      </w:r>
      <w:r w:rsidR="008E4EC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E4ECF">
        <w:rPr>
          <w:rFonts w:ascii="Times New Roman" w:hAnsi="Times New Roman"/>
          <w:b w:val="0"/>
          <w:color w:val="auto"/>
          <w:sz w:val="24"/>
          <w:szCs w:val="24"/>
        </w:rPr>
        <w:t xml:space="preserve">Закон </w:t>
      </w:r>
      <w:r w:rsidR="00CC7890" w:rsidRPr="008E4ECF">
        <w:rPr>
          <w:rFonts w:ascii="Times New Roman" w:hAnsi="Times New Roman"/>
          <w:b w:val="0"/>
          <w:color w:val="auto"/>
          <w:sz w:val="24"/>
          <w:szCs w:val="24"/>
        </w:rPr>
        <w:t>об областно</w:t>
      </w:r>
      <w:r w:rsidR="009C0091" w:rsidRPr="008E4ECF">
        <w:rPr>
          <w:rFonts w:ascii="Times New Roman" w:hAnsi="Times New Roman"/>
          <w:b w:val="0"/>
          <w:color w:val="auto"/>
          <w:sz w:val="24"/>
          <w:szCs w:val="24"/>
        </w:rPr>
        <w:t>м бюджете на 2015 год</w:t>
      </w:r>
      <w:r w:rsidR="008E4ECF" w:rsidRPr="008E4ECF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Pr="008E4ECF">
        <w:rPr>
          <w:rFonts w:ascii="Times New Roman" w:hAnsi="Times New Roman"/>
          <w:b w:val="0"/>
          <w:color w:val="auto"/>
          <w:sz w:val="24"/>
          <w:szCs w:val="24"/>
        </w:rPr>
        <w:t xml:space="preserve"> в количестве 220 ед., которая к уровню прошлого года увеличилась на 18 </w:t>
      </w:r>
      <w:r w:rsidR="000A25A1" w:rsidRPr="008E4ECF">
        <w:rPr>
          <w:rFonts w:ascii="Times New Roman" w:hAnsi="Times New Roman"/>
          <w:b w:val="0"/>
          <w:color w:val="auto"/>
          <w:sz w:val="24"/>
          <w:szCs w:val="24"/>
        </w:rPr>
        <w:t>ед</w:t>
      </w:r>
      <w:r w:rsidRPr="008E4ECF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A25A1" w:rsidRPr="008E4ECF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8E4ECF">
        <w:rPr>
          <w:rFonts w:ascii="Times New Roman" w:hAnsi="Times New Roman"/>
          <w:b w:val="0"/>
          <w:color w:val="auto"/>
          <w:sz w:val="24"/>
          <w:szCs w:val="24"/>
        </w:rPr>
        <w:t xml:space="preserve"> или 8,9 процента.</w:t>
      </w:r>
      <w:r w:rsidR="009C0091" w:rsidRPr="008E4EC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27625">
        <w:rPr>
          <w:rFonts w:ascii="Times New Roman" w:hAnsi="Times New Roman"/>
          <w:b w:val="0"/>
          <w:color w:val="auto"/>
          <w:sz w:val="24"/>
          <w:szCs w:val="24"/>
        </w:rPr>
        <w:t>Ч</w:t>
      </w:r>
      <w:r w:rsidR="009C0091" w:rsidRPr="008E4ECF">
        <w:rPr>
          <w:rFonts w:ascii="Times New Roman" w:hAnsi="Times New Roman"/>
          <w:b w:val="0"/>
          <w:color w:val="auto"/>
          <w:sz w:val="24"/>
          <w:szCs w:val="24"/>
        </w:rPr>
        <w:t>исленность ГГС</w:t>
      </w:r>
      <w:r w:rsidR="009C009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27625">
        <w:rPr>
          <w:rFonts w:ascii="Times New Roman" w:hAnsi="Times New Roman"/>
          <w:b w:val="0"/>
          <w:color w:val="auto"/>
          <w:sz w:val="24"/>
          <w:szCs w:val="24"/>
        </w:rPr>
        <w:t xml:space="preserve">МТУ, </w:t>
      </w:r>
      <w:r w:rsidR="009C0091">
        <w:rPr>
          <w:rFonts w:ascii="Times New Roman" w:hAnsi="Times New Roman"/>
          <w:b w:val="0"/>
          <w:color w:val="auto"/>
          <w:sz w:val="24"/>
          <w:szCs w:val="24"/>
        </w:rPr>
        <w:t>ликвидированных в 2015 году</w:t>
      </w:r>
      <w:r w:rsidR="00E27625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17192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27625">
        <w:rPr>
          <w:rFonts w:ascii="Times New Roman" w:hAnsi="Times New Roman"/>
          <w:b w:val="0"/>
          <w:color w:val="auto"/>
          <w:sz w:val="24"/>
          <w:szCs w:val="24"/>
        </w:rPr>
        <w:t>(</w:t>
      </w:r>
      <w:r w:rsidR="009C0091">
        <w:rPr>
          <w:rFonts w:ascii="Times New Roman" w:hAnsi="Times New Roman"/>
          <w:b w:val="0"/>
          <w:color w:val="auto"/>
          <w:sz w:val="24"/>
          <w:szCs w:val="24"/>
        </w:rPr>
        <w:t>64 единицы</w:t>
      </w:r>
      <w:r w:rsidR="00E27625">
        <w:rPr>
          <w:rFonts w:ascii="Times New Roman" w:hAnsi="Times New Roman"/>
          <w:b w:val="0"/>
          <w:color w:val="auto"/>
          <w:sz w:val="24"/>
          <w:szCs w:val="24"/>
        </w:rPr>
        <w:t>) сокращена</w:t>
      </w:r>
      <w:r w:rsidR="009C0091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FB1662" w:rsidRPr="00171927" w:rsidRDefault="00E27625" w:rsidP="00171927">
      <w:pPr>
        <w:pStyle w:val="ConsPlusNormal"/>
        <w:ind w:firstLine="540"/>
        <w:jc w:val="both"/>
      </w:pPr>
      <w:r>
        <w:t>Н</w:t>
      </w:r>
      <w:r w:rsidR="00DB79E5" w:rsidRPr="00171927">
        <w:t>а конец года у Облфина числи</w:t>
      </w:r>
      <w:r>
        <w:t>лось</w:t>
      </w:r>
      <w:r w:rsidR="00DB79E5" w:rsidRPr="00171927">
        <w:t xml:space="preserve"> 23 вакантных должности ГГС. Среднесписочная численность </w:t>
      </w:r>
      <w:r w:rsidR="00171927" w:rsidRPr="00171927">
        <w:t xml:space="preserve">ГГС </w:t>
      </w:r>
      <w:r w:rsidR="00DB79E5" w:rsidRPr="00171927">
        <w:t xml:space="preserve">за </w:t>
      </w:r>
      <w:r>
        <w:t>2015</w:t>
      </w:r>
      <w:r w:rsidR="00694AEE">
        <w:t xml:space="preserve"> </w:t>
      </w:r>
      <w:r>
        <w:t>год</w:t>
      </w:r>
      <w:r w:rsidR="00DB79E5" w:rsidRPr="00171927">
        <w:t xml:space="preserve"> – 185 ед., что на 35 ед. меньше утвержденной штатной численности.</w:t>
      </w:r>
      <w:r w:rsidR="005339DC" w:rsidRPr="00171927">
        <w:t xml:space="preserve"> </w:t>
      </w:r>
    </w:p>
    <w:p w:rsidR="00B8000E" w:rsidRPr="00E27625" w:rsidRDefault="00B8000E" w:rsidP="0091692F">
      <w:pPr>
        <w:ind w:firstLine="709"/>
        <w:jc w:val="both"/>
        <w:rPr>
          <w:i/>
        </w:rPr>
      </w:pPr>
    </w:p>
    <w:p w:rsidR="00B8000E" w:rsidRPr="00E27625" w:rsidRDefault="00E27625" w:rsidP="00E27625">
      <w:pPr>
        <w:jc w:val="center"/>
        <w:rPr>
          <w:b/>
          <w:i/>
        </w:rPr>
      </w:pPr>
      <w:r w:rsidRPr="00E27625">
        <w:rPr>
          <w:b/>
          <w:i/>
        </w:rPr>
        <w:t>Бюджетная отчётность</w:t>
      </w:r>
    </w:p>
    <w:p w:rsidR="00420E39" w:rsidRPr="00F222C4" w:rsidRDefault="00420E39" w:rsidP="00420E39">
      <w:pPr>
        <w:ind w:firstLine="709"/>
        <w:jc w:val="both"/>
      </w:pPr>
      <w:r w:rsidRPr="008E4ECF">
        <w:t xml:space="preserve">Сводная бюджетная отчетность Облфина представлена к проверке в составе, определенном ст. 264.1 БК РФ и </w:t>
      </w:r>
      <w:r w:rsidR="008E4ECF" w:rsidRPr="008E4ECF"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="00694AEE">
        <w:t>п</w:t>
      </w:r>
      <w:r w:rsidR="008E4ECF" w:rsidRPr="008E4ECF">
        <w:t>риказом Минфина РФ от 28.12.2010 №191н (далее - Инструкция №</w:t>
      </w:r>
      <w:r w:rsidR="009A3E54">
        <w:t xml:space="preserve"> </w:t>
      </w:r>
      <w:r w:rsidR="008E4ECF" w:rsidRPr="008E4ECF">
        <w:t>191н)</w:t>
      </w:r>
      <w:r w:rsidRPr="008E4ECF">
        <w:t>.</w:t>
      </w:r>
      <w:r w:rsidRPr="00F222C4">
        <w:t xml:space="preserve"> </w:t>
      </w:r>
    </w:p>
    <w:p w:rsidR="00420E39" w:rsidRPr="00393A5F" w:rsidRDefault="00420E39" w:rsidP="00420E3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2C4">
        <w:t xml:space="preserve">При проверке правильности заполнения форм бюджетной отчетности </w:t>
      </w:r>
      <w:r w:rsidRPr="00393A5F">
        <w:t>установлены следующие нарушения</w:t>
      </w:r>
      <w:r w:rsidRPr="00393A5F">
        <w:rPr>
          <w:color w:val="000000"/>
        </w:rPr>
        <w:t xml:space="preserve">: </w:t>
      </w:r>
    </w:p>
    <w:p w:rsidR="00420E39" w:rsidRDefault="00FC6E67" w:rsidP="00FC6E67">
      <w:pPr>
        <w:pStyle w:val="ConsPlusNormal"/>
        <w:numPr>
          <w:ilvl w:val="0"/>
          <w:numId w:val="3"/>
        </w:numPr>
        <w:ind w:left="0" w:firstLine="709"/>
        <w:jc w:val="both"/>
      </w:pPr>
      <w:r w:rsidRPr="00F222C4">
        <w:t>В нарушении п. 157 Инструкции №</w:t>
      </w:r>
      <w:r w:rsidR="009A3E54">
        <w:t xml:space="preserve"> </w:t>
      </w:r>
      <w:r w:rsidRPr="00F222C4">
        <w:t>191н</w:t>
      </w:r>
      <w:r w:rsidRPr="00F222C4">
        <w:rPr>
          <w:color w:val="000000"/>
        </w:rPr>
        <w:t xml:space="preserve"> в</w:t>
      </w:r>
      <w:r w:rsidR="00420E39" w:rsidRPr="00F222C4">
        <w:rPr>
          <w:color w:val="000000"/>
        </w:rPr>
        <w:t xml:space="preserve"> Таблице №5 «</w:t>
      </w:r>
      <w:r w:rsidR="00420E39" w:rsidRPr="00F222C4">
        <w:t>Сведения о результатах мероприятий внутреннего государственного (муниципального) финансового контроля» перечислены контрольные мероприятия, которые проведены Облфином (органом финансового контроля) в 2015 году</w:t>
      </w:r>
      <w:r w:rsidRPr="00F222C4">
        <w:t xml:space="preserve"> в отношении муниципальных образований </w:t>
      </w:r>
      <w:r w:rsidRPr="00F222C4">
        <w:lastRenderedPageBreak/>
        <w:t>Волгоградской области</w:t>
      </w:r>
      <w:r w:rsidR="00420E39" w:rsidRPr="00F222C4">
        <w:t xml:space="preserve">. </w:t>
      </w:r>
      <w:r w:rsidRPr="00F222C4">
        <w:t>В</w:t>
      </w:r>
      <w:r w:rsidR="00420E39" w:rsidRPr="00F222C4">
        <w:t xml:space="preserve"> таблице №</w:t>
      </w:r>
      <w:r w:rsidRPr="00F222C4">
        <w:t xml:space="preserve"> </w:t>
      </w:r>
      <w:r w:rsidR="00420E39" w:rsidRPr="00F222C4">
        <w:t xml:space="preserve">5 </w:t>
      </w:r>
      <w:r w:rsidRPr="00F222C4">
        <w:t>подлежит отражению</w:t>
      </w:r>
      <w:r w:rsidR="00420E39" w:rsidRPr="00F222C4">
        <w:t xml:space="preserve"> информаци</w:t>
      </w:r>
      <w:r w:rsidRPr="00F222C4">
        <w:t>я</w:t>
      </w:r>
      <w:r w:rsidR="00420E39" w:rsidRPr="00F222C4">
        <w:t xml:space="preserve">, которая характеризует результаты </w:t>
      </w:r>
      <w:r>
        <w:t xml:space="preserve">мероприятий по внутреннему контролю за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 </w:t>
      </w:r>
      <w:r w:rsidRPr="009A3E54">
        <w:t>субъектом бюджетной отчетности.</w:t>
      </w:r>
    </w:p>
    <w:p w:rsidR="00AE3548" w:rsidRDefault="00AE3548" w:rsidP="00525130">
      <w:pPr>
        <w:pStyle w:val="ConsPlusNormal"/>
        <w:numPr>
          <w:ilvl w:val="0"/>
          <w:numId w:val="3"/>
        </w:numPr>
        <w:ind w:left="0" w:firstLine="709"/>
        <w:jc w:val="both"/>
      </w:pPr>
      <w:r w:rsidRPr="00E1253E">
        <w:rPr>
          <w:lang w:eastAsia="en-US"/>
        </w:rPr>
        <w:t>Д</w:t>
      </w:r>
      <w:r w:rsidRPr="00E1253E">
        <w:t xml:space="preserve">анные Сведений о движении нефинансовых активов </w:t>
      </w:r>
      <w:hyperlink r:id="rId8" w:history="1">
        <w:r w:rsidRPr="00E1253E">
          <w:t>(ф. 0503168)</w:t>
        </w:r>
      </w:hyperlink>
      <w:r w:rsidRPr="00E1253E">
        <w:t xml:space="preserve">  не соответствовали данным бухгалтерских регистров и Справки о наличии имущества и обязательств на забалансовых счетах ф.0503130 в части стоимости лицензий на программные продукты, что не отвечает требованиям п.166 Инструкции № 191н. По пояснениям Комитета выявленные расхождения связаны с некорректными настройками программы «Парус». В ходе проверки внесены соответствующие изменения </w:t>
      </w:r>
      <w:r w:rsidR="009A3E54">
        <w:t xml:space="preserve"> в отчётность</w:t>
      </w:r>
      <w:r w:rsidRPr="00E1253E">
        <w:t>.</w:t>
      </w:r>
    </w:p>
    <w:p w:rsidR="004B6A9F" w:rsidRPr="00C97FC5" w:rsidRDefault="004B6A9F" w:rsidP="0052513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>
        <w:rPr>
          <w:lang w:eastAsia="en-US"/>
        </w:rPr>
        <w:t>В нарушени</w:t>
      </w:r>
      <w:r w:rsidR="0001009C">
        <w:rPr>
          <w:lang w:eastAsia="en-US"/>
        </w:rPr>
        <w:t>е</w:t>
      </w:r>
      <w:r>
        <w:rPr>
          <w:lang w:eastAsia="en-US"/>
        </w:rPr>
        <w:t xml:space="preserve"> </w:t>
      </w:r>
      <w:r w:rsidRPr="0043598A">
        <w:rPr>
          <w:lang w:eastAsia="en-US"/>
        </w:rPr>
        <w:t>п.</w:t>
      </w:r>
      <w:r w:rsidR="009A3E54">
        <w:rPr>
          <w:lang w:eastAsia="en-US"/>
        </w:rPr>
        <w:t xml:space="preserve"> </w:t>
      </w:r>
      <w:r w:rsidRPr="0043598A">
        <w:rPr>
          <w:lang w:eastAsia="en-US"/>
        </w:rPr>
        <w:t>164 Инструкции № 191н</w:t>
      </w:r>
      <w:r>
        <w:rPr>
          <w:lang w:eastAsia="en-US"/>
        </w:rPr>
        <w:t xml:space="preserve"> </w:t>
      </w:r>
      <w:r w:rsidRPr="0043598A">
        <w:rPr>
          <w:lang w:eastAsia="en-US"/>
        </w:rPr>
        <w:t>в</w:t>
      </w:r>
      <w:r>
        <w:rPr>
          <w:lang w:eastAsia="en-US"/>
        </w:rPr>
        <w:t xml:space="preserve"> форме 0503166 «Сведения об исполнении</w:t>
      </w:r>
      <w:r w:rsidRPr="0043598A">
        <w:rPr>
          <w:lang w:eastAsia="en-US"/>
        </w:rPr>
        <w:t xml:space="preserve"> </w:t>
      </w:r>
      <w:r>
        <w:rPr>
          <w:lang w:eastAsia="en-US"/>
        </w:rPr>
        <w:t xml:space="preserve">мероприятий в рамках целевых программ» информация представлена не в разрезе </w:t>
      </w:r>
      <w:r w:rsidRPr="00C97FC5">
        <w:rPr>
          <w:lang w:eastAsia="en-US"/>
        </w:rPr>
        <w:t>перечн</w:t>
      </w:r>
      <w:r>
        <w:rPr>
          <w:lang w:eastAsia="en-US"/>
        </w:rPr>
        <w:t>я</w:t>
      </w:r>
      <w:r w:rsidRPr="00C97FC5">
        <w:rPr>
          <w:lang w:eastAsia="en-US"/>
        </w:rPr>
        <w:t xml:space="preserve"> установленных </w:t>
      </w:r>
      <w:r w:rsidRPr="009A3E54">
        <w:rPr>
          <w:lang w:eastAsia="en-US"/>
        </w:rPr>
        <w:t>соответствующими нормативными правовыми документами</w:t>
      </w:r>
      <w:r w:rsidRPr="00C97FC5">
        <w:rPr>
          <w:lang w:eastAsia="en-US"/>
        </w:rPr>
        <w:t xml:space="preserve"> мероприятий, обес</w:t>
      </w:r>
      <w:r>
        <w:rPr>
          <w:lang w:eastAsia="en-US"/>
        </w:rPr>
        <w:t>печивающих реализацию программы, а в разрезе целевых статей, по которым осуществлялось финансирование государственной программы «Управление государственными финансами Волгоградской области». В результате в форме отчётности объёмы финансирования не взаимоувязаны с мероприятиями, предусмотренными программой.</w:t>
      </w:r>
    </w:p>
    <w:p w:rsidR="009E1B72" w:rsidRPr="004C3E00" w:rsidRDefault="009E1B72" w:rsidP="00D6065B">
      <w:pPr>
        <w:spacing w:line="240" w:lineRule="atLeast"/>
        <w:ind w:firstLine="709"/>
        <w:jc w:val="both"/>
      </w:pPr>
    </w:p>
    <w:p w:rsidR="002D6F3F" w:rsidRPr="00525130" w:rsidRDefault="009A3E54" w:rsidP="002D6F3F">
      <w:pPr>
        <w:autoSpaceDE w:val="0"/>
        <w:autoSpaceDN w:val="0"/>
        <w:adjustRightInd w:val="0"/>
        <w:ind w:firstLine="360"/>
        <w:jc w:val="center"/>
        <w:rPr>
          <w:b/>
          <w:i/>
        </w:rPr>
      </w:pPr>
      <w:r>
        <w:rPr>
          <w:b/>
          <w:i/>
        </w:rPr>
        <w:t>Администрирование доходов</w:t>
      </w:r>
    </w:p>
    <w:p w:rsidR="00F31A32" w:rsidRPr="00F31A32" w:rsidRDefault="002D6F3F" w:rsidP="00F31A32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0C327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 </w:t>
      </w:r>
      <w:r w:rsidR="000723B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поступивших в 2015 году </w:t>
      </w:r>
      <w:r w:rsidRPr="000C327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доходах</w:t>
      </w:r>
      <w:r w:rsidR="004E7E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, администр</w:t>
      </w:r>
      <w:r w:rsidR="000723B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атором которых являлся</w:t>
      </w:r>
      <w:r w:rsidR="004E7E6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Облф</w:t>
      </w:r>
      <w:r w:rsidR="000723B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ин,</w:t>
      </w:r>
      <w:r w:rsidRPr="000C327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отражены в </w:t>
      </w:r>
      <w:r w:rsidR="00400CB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следующей </w:t>
      </w:r>
      <w:r w:rsidRPr="000C327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таблице.</w:t>
      </w:r>
    </w:p>
    <w:p w:rsidR="00154B87" w:rsidRPr="00A07B43" w:rsidRDefault="002D6F3F" w:rsidP="00400CB1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400CB1">
        <w:rPr>
          <w:i/>
          <w:sz w:val="20"/>
          <w:szCs w:val="20"/>
        </w:rPr>
        <w:t>тыс. руб</w:t>
      </w:r>
      <w:r w:rsidR="00AF4244" w:rsidRPr="00400CB1">
        <w:rPr>
          <w:i/>
          <w:sz w:val="20"/>
          <w:szCs w:val="20"/>
        </w:rPr>
        <w:t>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7"/>
        <w:gridCol w:w="1560"/>
        <w:gridCol w:w="1275"/>
        <w:gridCol w:w="992"/>
        <w:gridCol w:w="992"/>
      </w:tblGrid>
      <w:tr w:rsidR="002D6F3F" w:rsidRPr="003D05A5" w:rsidTr="003D05A5">
        <w:trPr>
          <w:trHeight w:val="255"/>
        </w:trPr>
        <w:tc>
          <w:tcPr>
            <w:tcW w:w="4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6F3F" w:rsidRPr="003D05A5" w:rsidRDefault="002D6F3F" w:rsidP="002D6F3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05A5">
              <w:rPr>
                <w:rFonts w:eastAsia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D6F3F" w:rsidRPr="003D05A5" w:rsidRDefault="002D6F3F" w:rsidP="002D6F3F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05A5">
              <w:rPr>
                <w:rFonts w:eastAsia="Times New Roman"/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D6F3F" w:rsidRPr="003D05A5" w:rsidRDefault="002D6F3F" w:rsidP="002D6F3F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05A5">
              <w:rPr>
                <w:rFonts w:eastAsia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6F3F" w:rsidRPr="003D05A5" w:rsidRDefault="002D6F3F" w:rsidP="003D05A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05A5">
              <w:rPr>
                <w:rFonts w:eastAsia="Times New Roman"/>
                <w:b/>
                <w:sz w:val="18"/>
                <w:szCs w:val="18"/>
              </w:rPr>
              <w:t>Отклонение</w:t>
            </w:r>
            <w:r w:rsidR="003D05A5" w:rsidRPr="003D05A5">
              <w:rPr>
                <w:rFonts w:eastAsia="Times New Roman"/>
                <w:b/>
                <w:sz w:val="18"/>
                <w:szCs w:val="18"/>
              </w:rPr>
              <w:t xml:space="preserve"> от прогнозных показателей</w:t>
            </w:r>
          </w:p>
        </w:tc>
      </w:tr>
      <w:tr w:rsidR="002D6F3F" w:rsidRPr="003D05A5" w:rsidTr="003D05A5">
        <w:trPr>
          <w:trHeight w:val="206"/>
        </w:trPr>
        <w:tc>
          <w:tcPr>
            <w:tcW w:w="4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F3F" w:rsidRPr="003D05A5" w:rsidRDefault="002D6F3F" w:rsidP="002D6F3F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6F3F" w:rsidRPr="003D05A5" w:rsidRDefault="002D6F3F" w:rsidP="002D6F3F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F3F" w:rsidRPr="003D05A5" w:rsidRDefault="002D6F3F" w:rsidP="002D6F3F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F3F" w:rsidRPr="003D05A5" w:rsidRDefault="00635789" w:rsidP="00635789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а</w:t>
            </w:r>
            <w:r w:rsidR="003D05A5" w:rsidRPr="003D05A5">
              <w:rPr>
                <w:rFonts w:eastAsia="Times New Roman"/>
                <w:b/>
                <w:sz w:val="18"/>
                <w:szCs w:val="18"/>
              </w:rPr>
              <w:t>бс</w:t>
            </w:r>
            <w:r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F3F" w:rsidRPr="003D05A5" w:rsidRDefault="003D05A5" w:rsidP="00635789">
            <w:pPr>
              <w:ind w:left="-108" w:right="-8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05A5">
              <w:rPr>
                <w:rFonts w:eastAsia="Times New Roman"/>
                <w:b/>
                <w:sz w:val="18"/>
                <w:szCs w:val="18"/>
              </w:rPr>
              <w:t>относит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. </w:t>
            </w:r>
          </w:p>
        </w:tc>
      </w:tr>
      <w:tr w:rsidR="00E674CA" w:rsidRPr="003D05A5" w:rsidTr="003D05A5">
        <w:trPr>
          <w:trHeight w:val="36"/>
        </w:trPr>
        <w:tc>
          <w:tcPr>
            <w:tcW w:w="4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b/>
                <w:sz w:val="18"/>
                <w:szCs w:val="18"/>
              </w:rPr>
            </w:pPr>
            <w:r w:rsidRPr="003D05A5">
              <w:rPr>
                <w:b/>
                <w:sz w:val="18"/>
                <w:szCs w:val="18"/>
              </w:rPr>
              <w:t>Доходы бюджета – всего, в т.ч.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6 610 396,9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7 393 423,7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783 026,8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11,8</w:t>
            </w:r>
          </w:p>
        </w:tc>
      </w:tr>
      <w:tr w:rsidR="00E674CA" w:rsidRPr="003D05A5" w:rsidTr="003D05A5">
        <w:trPr>
          <w:trHeight w:val="64"/>
        </w:trPr>
        <w:tc>
          <w:tcPr>
            <w:tcW w:w="4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3 804,1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4 460,5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17,3</w:t>
            </w:r>
          </w:p>
        </w:tc>
      </w:tr>
      <w:tr w:rsidR="00E674CA" w:rsidRPr="003D05A5" w:rsidTr="003D05A5">
        <w:trPr>
          <w:trHeight w:val="64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Проценты</w:t>
            </w:r>
            <w:r w:rsidR="009A3E54">
              <w:rPr>
                <w:sz w:val="18"/>
                <w:szCs w:val="18"/>
              </w:rPr>
              <w:t>,</w:t>
            </w:r>
            <w:r w:rsidRPr="003D05A5">
              <w:rPr>
                <w:sz w:val="18"/>
                <w:szCs w:val="18"/>
              </w:rPr>
              <w:t xml:space="preserve"> полученные от предоставления бюджетных кредитов внутри страны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7,5 раза</w:t>
            </w:r>
          </w:p>
        </w:tc>
      </w:tr>
      <w:tr w:rsidR="00E674CA" w:rsidRPr="003D05A5" w:rsidTr="003D05A5">
        <w:trPr>
          <w:trHeight w:val="64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Прочие доходы от компенсации затрат  бюджетов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1 712,6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1 695,5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-17,1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-1,0</w:t>
            </w:r>
          </w:p>
        </w:tc>
      </w:tr>
      <w:tr w:rsidR="00E674CA" w:rsidRPr="003D05A5" w:rsidTr="003D05A5">
        <w:trPr>
          <w:trHeight w:val="64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Денежные взыскания (штрафы) за нарушение бюджетного законодательства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1 007,8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2,0 раза</w:t>
            </w:r>
          </w:p>
        </w:tc>
      </w:tr>
      <w:tr w:rsidR="00E674CA" w:rsidRPr="003D05A5" w:rsidTr="003D05A5">
        <w:trPr>
          <w:trHeight w:val="307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-81,5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-100,0</w:t>
            </w:r>
          </w:p>
        </w:tc>
      </w:tr>
      <w:tr w:rsidR="00E674CA" w:rsidRPr="003D05A5" w:rsidTr="003D05A5">
        <w:trPr>
          <w:trHeight w:val="104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Денежные взыскания (штрафы) за нарушение законодательства о размещении заказов на поставки товаров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1 689,4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12,6</w:t>
            </w:r>
          </w:p>
        </w:tc>
      </w:tr>
      <w:tr w:rsidR="00E674CA" w:rsidRPr="003D05A5" w:rsidTr="003D05A5">
        <w:trPr>
          <w:trHeight w:val="170"/>
        </w:trPr>
        <w:tc>
          <w:tcPr>
            <w:tcW w:w="4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3E7F12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-</w:t>
            </w:r>
            <w:r w:rsidR="00E674CA" w:rsidRPr="003D05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-7,0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-7,0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3E7F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E674CA" w:rsidRPr="003D05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674CA" w:rsidRPr="003D05A5" w:rsidTr="003D05A5">
        <w:trPr>
          <w:trHeight w:val="56"/>
        </w:trPr>
        <w:tc>
          <w:tcPr>
            <w:tcW w:w="4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6 606 592,8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7 388 963,1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782 370,3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11,8</w:t>
            </w:r>
          </w:p>
        </w:tc>
      </w:tr>
      <w:tr w:rsidR="00E674CA" w:rsidRPr="003D05A5" w:rsidTr="003D05A5">
        <w:trPr>
          <w:trHeight w:val="162"/>
        </w:trPr>
        <w:tc>
          <w:tcPr>
            <w:tcW w:w="4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5 361 294,7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5 361 294,7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74CA" w:rsidRPr="003D05A5" w:rsidTr="003D05A5">
        <w:trPr>
          <w:trHeight w:val="93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1 086 316,0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1 870 850,0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784 534,0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72,2</w:t>
            </w:r>
          </w:p>
        </w:tc>
      </w:tr>
      <w:tr w:rsidR="00E674CA" w:rsidRPr="003D05A5" w:rsidTr="003D05A5">
        <w:trPr>
          <w:trHeight w:val="86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Субвенции на осуществление первичного воинского учета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33 583,8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33 583,8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74CA" w:rsidRPr="003D05A5" w:rsidTr="003D05A5">
        <w:trPr>
          <w:trHeight w:val="86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2D6F3F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>Единые субвенции бюджетам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125 398,3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123 846,7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-1 551,6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-1,2</w:t>
            </w:r>
          </w:p>
        </w:tc>
      </w:tr>
      <w:tr w:rsidR="00E674CA" w:rsidRPr="003D05A5" w:rsidTr="003D05A5">
        <w:trPr>
          <w:trHeight w:val="151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BA6203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 xml:space="preserve">Доходы от возврата остатков </w:t>
            </w:r>
            <w:r w:rsidR="00BA6203">
              <w:rPr>
                <w:sz w:val="18"/>
                <w:szCs w:val="18"/>
              </w:rPr>
              <w:t>…</w:t>
            </w:r>
            <w:r w:rsidRPr="003D05A5">
              <w:rPr>
                <w:sz w:val="18"/>
                <w:szCs w:val="18"/>
              </w:rPr>
              <w:t xml:space="preserve"> из бюджетов </w:t>
            </w:r>
            <w:r w:rsidR="00BA6203">
              <w:rPr>
                <w:sz w:val="18"/>
                <w:szCs w:val="18"/>
              </w:rPr>
              <w:t>ГО</w:t>
            </w:r>
            <w:r w:rsidRPr="003D05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0723BE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204,1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3E7F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E674CA" w:rsidRPr="003D05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674CA" w:rsidRPr="003D05A5" w:rsidTr="003D05A5">
        <w:trPr>
          <w:trHeight w:val="158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BA6203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 xml:space="preserve">Доходы от возврата остатков </w:t>
            </w:r>
            <w:r w:rsidR="00BA6203">
              <w:rPr>
                <w:sz w:val="18"/>
                <w:szCs w:val="18"/>
              </w:rPr>
              <w:t>…</w:t>
            </w:r>
            <w:r w:rsidRPr="003D05A5">
              <w:rPr>
                <w:sz w:val="18"/>
                <w:szCs w:val="18"/>
              </w:rPr>
              <w:t xml:space="preserve"> из бюджетов </w:t>
            </w:r>
            <w:r w:rsidR="00BA6203">
              <w:rPr>
                <w:sz w:val="18"/>
                <w:szCs w:val="18"/>
              </w:rPr>
              <w:t>МР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0723BE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3 859,4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3 859,4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3E7F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E674CA" w:rsidRPr="003D05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674CA" w:rsidRPr="003D05A5" w:rsidTr="003D05A5">
        <w:trPr>
          <w:trHeight w:val="96"/>
        </w:trPr>
        <w:tc>
          <w:tcPr>
            <w:tcW w:w="4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BA6203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 xml:space="preserve">Доходы от возврата остатков </w:t>
            </w:r>
            <w:r w:rsidR="00BA6203">
              <w:rPr>
                <w:sz w:val="18"/>
                <w:szCs w:val="18"/>
              </w:rPr>
              <w:t>…</w:t>
            </w:r>
            <w:r w:rsidRPr="003D05A5">
              <w:rPr>
                <w:sz w:val="18"/>
                <w:szCs w:val="18"/>
              </w:rPr>
              <w:t xml:space="preserve"> из бюджетов поселений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0723BE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449,0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449,0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3E7F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E674CA" w:rsidRPr="003D05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674CA" w:rsidRPr="003D05A5" w:rsidTr="003D05A5">
        <w:trPr>
          <w:trHeight w:val="88"/>
        </w:trPr>
        <w:tc>
          <w:tcPr>
            <w:tcW w:w="4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674CA" w:rsidRPr="003D05A5" w:rsidRDefault="00E674CA" w:rsidP="00BA6203">
            <w:pPr>
              <w:rPr>
                <w:sz w:val="18"/>
                <w:szCs w:val="18"/>
              </w:rPr>
            </w:pPr>
            <w:r w:rsidRPr="003D05A5">
              <w:rPr>
                <w:sz w:val="18"/>
                <w:szCs w:val="18"/>
              </w:rPr>
              <w:t xml:space="preserve">Возврат остатков </w:t>
            </w:r>
            <w:r w:rsidR="00BA6203">
              <w:rPr>
                <w:sz w:val="18"/>
                <w:szCs w:val="18"/>
              </w:rPr>
              <w:t>…</w:t>
            </w:r>
            <w:r w:rsidRPr="003D05A5">
              <w:rPr>
                <w:sz w:val="18"/>
                <w:szCs w:val="18"/>
              </w:rPr>
              <w:t xml:space="preserve"> из бюджетов субъектов РФ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0723BE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color w:val="000000"/>
                <w:sz w:val="18"/>
                <w:szCs w:val="18"/>
              </w:rPr>
            </w:pPr>
            <w:r w:rsidRPr="003D05A5">
              <w:rPr>
                <w:color w:val="000000"/>
                <w:sz w:val="18"/>
                <w:szCs w:val="18"/>
              </w:rPr>
              <w:t>-5 124,6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E674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-5 124,6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674CA" w:rsidRPr="003D05A5" w:rsidRDefault="003E7F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5A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E674CA" w:rsidRPr="003D05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A6203" w:rsidRDefault="00BA6203" w:rsidP="00AD584F">
      <w:pPr>
        <w:ind w:firstLine="709"/>
        <w:jc w:val="both"/>
      </w:pPr>
    </w:p>
    <w:p w:rsidR="00FE4EB5" w:rsidRDefault="00AD584F" w:rsidP="00AD584F">
      <w:pPr>
        <w:ind w:firstLine="709"/>
        <w:jc w:val="both"/>
      </w:pPr>
      <w:r w:rsidRPr="00AD584F">
        <w:t>Всего доходы в 201</w:t>
      </w:r>
      <w:r w:rsidR="003D05A5">
        <w:t>5</w:t>
      </w:r>
      <w:r w:rsidRPr="00AD584F">
        <w:t xml:space="preserve"> году исполнены на </w:t>
      </w:r>
      <w:r w:rsidR="003D05A5">
        <w:t>7</w:t>
      </w:r>
      <w:r w:rsidR="00491929">
        <w:t> </w:t>
      </w:r>
      <w:r w:rsidR="003D05A5">
        <w:t>393</w:t>
      </w:r>
      <w:r w:rsidR="00491929">
        <w:t> </w:t>
      </w:r>
      <w:r w:rsidR="003D05A5">
        <w:t>423,7</w:t>
      </w:r>
      <w:r>
        <w:rPr>
          <w:color w:val="000000"/>
        </w:rPr>
        <w:t xml:space="preserve"> тыс. руб.</w:t>
      </w:r>
      <w:r w:rsidR="00491929">
        <w:rPr>
          <w:color w:val="000000"/>
        </w:rPr>
        <w:t>,</w:t>
      </w:r>
      <w:r>
        <w:rPr>
          <w:color w:val="000000"/>
        </w:rPr>
        <w:t xml:space="preserve"> или на </w:t>
      </w:r>
      <w:r w:rsidRPr="00AD584F">
        <w:t>1</w:t>
      </w:r>
      <w:r w:rsidR="003D05A5">
        <w:t>11,8</w:t>
      </w:r>
      <w:r w:rsidR="00491929">
        <w:t xml:space="preserve"> процента.</w:t>
      </w:r>
      <w:r w:rsidR="00FE4EB5">
        <w:t xml:space="preserve"> </w:t>
      </w:r>
      <w:r w:rsidR="00491929">
        <w:t>В</w:t>
      </w:r>
      <w:r w:rsidR="00FE4EB5">
        <w:t xml:space="preserve"> основном перевыполнение сложилось по безвозмездным поступлениям, а именно дотациям на поддержку мер по обеспечению сбалансированности бюджетов</w:t>
      </w:r>
      <w:r w:rsidR="009A3E54">
        <w:t xml:space="preserve">, которые </w:t>
      </w:r>
      <w:r w:rsidR="00FE4EB5">
        <w:t xml:space="preserve">поступили в декабре </w:t>
      </w:r>
      <w:r w:rsidR="00437995">
        <w:t xml:space="preserve">2015 года в соответствии с </w:t>
      </w:r>
      <w:r w:rsidR="00437995" w:rsidRPr="00437995">
        <w:t>Федеральны</w:t>
      </w:r>
      <w:r w:rsidR="00437995">
        <w:t>м</w:t>
      </w:r>
      <w:r w:rsidR="00437995" w:rsidRPr="00437995">
        <w:t xml:space="preserve"> закон</w:t>
      </w:r>
      <w:r w:rsidR="00437995">
        <w:t>ом</w:t>
      </w:r>
      <w:r w:rsidR="00437995" w:rsidRPr="00437995">
        <w:t xml:space="preserve"> от 28</w:t>
      </w:r>
      <w:r w:rsidR="00437995">
        <w:t>.11.2015</w:t>
      </w:r>
      <w:r w:rsidR="00437995" w:rsidRPr="00437995">
        <w:t xml:space="preserve"> </w:t>
      </w:r>
      <w:r w:rsidR="00437995">
        <w:t>№</w:t>
      </w:r>
      <w:r w:rsidR="00437995" w:rsidRPr="00437995">
        <w:t xml:space="preserve">329-ФЗ </w:t>
      </w:r>
      <w:r w:rsidR="00437995">
        <w:t>«</w:t>
      </w:r>
      <w:r w:rsidR="00437995" w:rsidRPr="00437995">
        <w:t xml:space="preserve">О внесении изменений в Федеральный закон </w:t>
      </w:r>
      <w:r w:rsidR="00437995">
        <w:t>«</w:t>
      </w:r>
      <w:r w:rsidR="00437995" w:rsidRPr="00437995">
        <w:t>О федеральном бюджете на 2015 год и на плановый период 2016 и 2017 годов</w:t>
      </w:r>
      <w:r w:rsidR="00437995">
        <w:t xml:space="preserve">». В Закон </w:t>
      </w:r>
      <w:r w:rsidR="00491929" w:rsidRPr="0086129D">
        <w:rPr>
          <w:bCs/>
        </w:rPr>
        <w:t xml:space="preserve">об областном бюджете на 2015 год </w:t>
      </w:r>
      <w:r w:rsidR="001A7C36">
        <w:t xml:space="preserve">указанные </w:t>
      </w:r>
      <w:r w:rsidR="00437995">
        <w:t>изменения не вносились.</w:t>
      </w:r>
    </w:p>
    <w:p w:rsidR="004C3E92" w:rsidRDefault="004C3E92" w:rsidP="00AD584F">
      <w:pPr>
        <w:ind w:firstLine="709"/>
        <w:jc w:val="both"/>
      </w:pPr>
    </w:p>
    <w:p w:rsidR="00BA6203" w:rsidRDefault="00BA6203" w:rsidP="00AD584F">
      <w:pPr>
        <w:ind w:firstLine="709"/>
        <w:jc w:val="both"/>
      </w:pPr>
    </w:p>
    <w:p w:rsidR="003549E9" w:rsidRPr="00525130" w:rsidRDefault="003549E9" w:rsidP="003549E9">
      <w:pPr>
        <w:autoSpaceDE w:val="0"/>
        <w:autoSpaceDN w:val="0"/>
        <w:adjustRightInd w:val="0"/>
        <w:jc w:val="center"/>
        <w:rPr>
          <w:b/>
          <w:i/>
        </w:rPr>
      </w:pPr>
      <w:r w:rsidRPr="00525130">
        <w:rPr>
          <w:b/>
          <w:i/>
        </w:rPr>
        <w:lastRenderedPageBreak/>
        <w:t>Исполнение расходов</w:t>
      </w:r>
    </w:p>
    <w:p w:rsidR="0086129D" w:rsidRPr="006D38E2" w:rsidRDefault="00E84A8A" w:rsidP="0086129D">
      <w:pPr>
        <w:ind w:firstLine="708"/>
        <w:jc w:val="both"/>
        <w:rPr>
          <w:bCs/>
        </w:rPr>
      </w:pPr>
      <w:r w:rsidRPr="0086129D">
        <w:rPr>
          <w:bCs/>
        </w:rPr>
        <w:t>Законом об областном бюджете на 201</w:t>
      </w:r>
      <w:r w:rsidR="00637286" w:rsidRPr="0086129D">
        <w:rPr>
          <w:bCs/>
        </w:rPr>
        <w:t>5</w:t>
      </w:r>
      <w:r w:rsidRPr="0086129D">
        <w:rPr>
          <w:bCs/>
        </w:rPr>
        <w:t xml:space="preserve"> год объем бюджетных ассигнований утвержден </w:t>
      </w:r>
      <w:r w:rsidR="00491929">
        <w:rPr>
          <w:bCs/>
        </w:rPr>
        <w:t>Обл</w:t>
      </w:r>
      <w:r w:rsidR="00FD1055" w:rsidRPr="0086129D">
        <w:rPr>
          <w:bCs/>
        </w:rPr>
        <w:t>фин</w:t>
      </w:r>
      <w:r w:rsidRPr="0086129D">
        <w:rPr>
          <w:bCs/>
        </w:rPr>
        <w:t>у в сумме 7 </w:t>
      </w:r>
      <w:r w:rsidR="00890D2C" w:rsidRPr="0086129D">
        <w:rPr>
          <w:bCs/>
        </w:rPr>
        <w:t>145346,8</w:t>
      </w:r>
      <w:r w:rsidRPr="0086129D">
        <w:rPr>
          <w:bCs/>
        </w:rPr>
        <w:t xml:space="preserve"> тыс. руб., что превышает утвержденный объем бюджетных назначений отчета об исполнении бюджета (ф.0503127) на </w:t>
      </w:r>
      <w:r w:rsidR="00890D2C" w:rsidRPr="0086129D">
        <w:rPr>
          <w:bCs/>
        </w:rPr>
        <w:t>689</w:t>
      </w:r>
      <w:r w:rsidR="00491929">
        <w:rPr>
          <w:bCs/>
        </w:rPr>
        <w:t> </w:t>
      </w:r>
      <w:r w:rsidR="00890D2C" w:rsidRPr="0086129D">
        <w:rPr>
          <w:bCs/>
        </w:rPr>
        <w:t>904,3</w:t>
      </w:r>
      <w:r w:rsidR="00563AA2">
        <w:rPr>
          <w:bCs/>
        </w:rPr>
        <w:t xml:space="preserve"> тыс. руб., </w:t>
      </w:r>
      <w:r w:rsidRPr="0086129D">
        <w:rPr>
          <w:bCs/>
        </w:rPr>
        <w:t xml:space="preserve">в </w:t>
      </w:r>
      <w:r w:rsidR="00637286" w:rsidRPr="006D38E2">
        <w:rPr>
          <w:bCs/>
        </w:rPr>
        <w:t>основном</w:t>
      </w:r>
      <w:r w:rsidR="00563AA2" w:rsidRPr="006D38E2">
        <w:rPr>
          <w:bCs/>
        </w:rPr>
        <w:t>,</w:t>
      </w:r>
      <w:r w:rsidR="00637286" w:rsidRPr="006D38E2">
        <w:rPr>
          <w:bCs/>
        </w:rPr>
        <w:t xml:space="preserve"> в </w:t>
      </w:r>
      <w:r w:rsidRPr="006D38E2">
        <w:rPr>
          <w:bCs/>
        </w:rPr>
        <w:t xml:space="preserve">связи с </w:t>
      </w:r>
      <w:r w:rsidR="00F559D3" w:rsidRPr="006D38E2">
        <w:rPr>
          <w:bCs/>
        </w:rPr>
        <w:t>уменьшением</w:t>
      </w:r>
      <w:r w:rsidRPr="006D38E2">
        <w:t xml:space="preserve"> </w:t>
      </w:r>
      <w:r w:rsidRPr="006D38E2">
        <w:rPr>
          <w:bCs/>
        </w:rPr>
        <w:t>ассигнований</w:t>
      </w:r>
      <w:r w:rsidR="0086129D" w:rsidRPr="006D38E2">
        <w:rPr>
          <w:bCs/>
        </w:rPr>
        <w:t>:</w:t>
      </w:r>
    </w:p>
    <w:p w:rsidR="006D38E2" w:rsidRPr="006D38E2" w:rsidRDefault="006D38E2" w:rsidP="0086129D">
      <w:pPr>
        <w:ind w:firstLine="708"/>
        <w:jc w:val="both"/>
        <w:rPr>
          <w:bCs/>
        </w:rPr>
      </w:pPr>
      <w:r w:rsidRPr="006D38E2">
        <w:rPr>
          <w:bCs/>
        </w:rPr>
        <w:t>-на обеспечение деятельности Облфина – 20 245,0 тыс. руб.;</w:t>
      </w:r>
    </w:p>
    <w:p w:rsidR="0086129D" w:rsidRPr="006D38E2" w:rsidRDefault="0086129D" w:rsidP="0086129D">
      <w:pPr>
        <w:ind w:firstLine="708"/>
        <w:jc w:val="both"/>
      </w:pPr>
      <w:r w:rsidRPr="006D38E2">
        <w:rPr>
          <w:bCs/>
        </w:rPr>
        <w:t>-</w:t>
      </w:r>
      <w:r w:rsidR="00E84A8A" w:rsidRPr="006D38E2">
        <w:rPr>
          <w:bCs/>
        </w:rPr>
        <w:t>р</w:t>
      </w:r>
      <w:r w:rsidR="00E84A8A" w:rsidRPr="006D38E2">
        <w:t xml:space="preserve">езервного фонда </w:t>
      </w:r>
      <w:r w:rsidR="00637286" w:rsidRPr="006D38E2">
        <w:t>Администрации</w:t>
      </w:r>
      <w:r w:rsidR="00E84A8A" w:rsidRPr="006D38E2">
        <w:t xml:space="preserve"> Волгоградской области </w:t>
      </w:r>
      <w:r w:rsidR="00491929" w:rsidRPr="006D38E2">
        <w:t>–</w:t>
      </w:r>
      <w:r w:rsidRPr="006D38E2">
        <w:t xml:space="preserve"> </w:t>
      </w:r>
      <w:r w:rsidR="00580A65" w:rsidRPr="006D38E2">
        <w:t>76 791,9</w:t>
      </w:r>
      <w:r w:rsidR="00E84A8A" w:rsidRPr="006D38E2">
        <w:t xml:space="preserve"> тыс. руб.</w:t>
      </w:r>
      <w:r w:rsidRPr="006D38E2">
        <w:t xml:space="preserve">, </w:t>
      </w:r>
    </w:p>
    <w:p w:rsidR="0086129D" w:rsidRPr="006D38E2" w:rsidRDefault="0086129D" w:rsidP="0086129D">
      <w:pPr>
        <w:ind w:firstLine="708"/>
        <w:jc w:val="both"/>
      </w:pPr>
      <w:r w:rsidRPr="006D38E2">
        <w:t>-</w:t>
      </w:r>
      <w:r w:rsidR="00E84A8A" w:rsidRPr="006D38E2">
        <w:t xml:space="preserve">на </w:t>
      </w:r>
      <w:r w:rsidRPr="006D38E2">
        <w:t xml:space="preserve">исполнение судебных актов </w:t>
      </w:r>
      <w:r w:rsidR="00491929" w:rsidRPr="006D38E2">
        <w:t>–</w:t>
      </w:r>
      <w:r w:rsidRPr="006D38E2">
        <w:t xml:space="preserve"> 150</w:t>
      </w:r>
      <w:r w:rsidR="00491929" w:rsidRPr="006D38E2">
        <w:t> </w:t>
      </w:r>
      <w:r w:rsidRPr="006D38E2">
        <w:t>0</w:t>
      </w:r>
      <w:r w:rsidR="00B60B3B" w:rsidRPr="006D38E2">
        <w:t>1</w:t>
      </w:r>
      <w:r w:rsidRPr="006D38E2">
        <w:t>5,4 тыс.</w:t>
      </w:r>
      <w:r w:rsidR="00491929" w:rsidRPr="006D38E2">
        <w:t xml:space="preserve"> </w:t>
      </w:r>
      <w:r w:rsidRPr="006D38E2">
        <w:t xml:space="preserve">руб., </w:t>
      </w:r>
    </w:p>
    <w:p w:rsidR="0086129D" w:rsidRPr="006D38E2" w:rsidRDefault="0086129D" w:rsidP="0086129D">
      <w:pPr>
        <w:ind w:firstLine="708"/>
        <w:jc w:val="both"/>
        <w:rPr>
          <w:rFonts w:eastAsia="Times New Roman"/>
          <w:color w:val="000000"/>
        </w:rPr>
      </w:pPr>
      <w:r w:rsidRPr="006D38E2">
        <w:t>-на обслуживание государственного долга</w:t>
      </w:r>
      <w:r w:rsidR="00E84A8A" w:rsidRPr="006D38E2">
        <w:rPr>
          <w:bCs/>
        </w:rPr>
        <w:t xml:space="preserve"> </w:t>
      </w:r>
      <w:r w:rsidRPr="006D38E2">
        <w:rPr>
          <w:bCs/>
        </w:rPr>
        <w:t xml:space="preserve">- </w:t>
      </w:r>
      <w:r w:rsidRPr="006D38E2">
        <w:rPr>
          <w:rFonts w:eastAsia="Times New Roman"/>
          <w:color w:val="000000"/>
        </w:rPr>
        <w:t>428 137,0 тыс.</w:t>
      </w:r>
      <w:r w:rsidR="00491929" w:rsidRPr="006D38E2">
        <w:rPr>
          <w:rFonts w:eastAsia="Times New Roman"/>
          <w:color w:val="000000"/>
        </w:rPr>
        <w:t xml:space="preserve"> </w:t>
      </w:r>
      <w:r w:rsidRPr="006D38E2">
        <w:rPr>
          <w:rFonts w:eastAsia="Times New Roman"/>
          <w:color w:val="000000"/>
        </w:rPr>
        <w:t>рублей.</w:t>
      </w:r>
    </w:p>
    <w:p w:rsidR="003549E9" w:rsidRDefault="003549E9" w:rsidP="003549E9">
      <w:pPr>
        <w:autoSpaceDE w:val="0"/>
        <w:autoSpaceDN w:val="0"/>
        <w:adjustRightInd w:val="0"/>
        <w:ind w:firstLine="709"/>
        <w:jc w:val="both"/>
      </w:pPr>
      <w:r w:rsidRPr="006D38E2">
        <w:t>Исполнение бюджетных назначений за 201</w:t>
      </w:r>
      <w:r w:rsidR="003F462A" w:rsidRPr="006D38E2">
        <w:t>5</w:t>
      </w:r>
      <w:r w:rsidRPr="006D38E2">
        <w:t xml:space="preserve"> год с детализацией до целевой статьи бюджетной классификации отражено в </w:t>
      </w:r>
      <w:r w:rsidR="00400CB1" w:rsidRPr="006D38E2">
        <w:t xml:space="preserve">следующей </w:t>
      </w:r>
      <w:r w:rsidRPr="006D38E2">
        <w:t>таблице.</w:t>
      </w:r>
      <w:r w:rsidRPr="0066198B">
        <w:t xml:space="preserve"> </w:t>
      </w:r>
    </w:p>
    <w:p w:rsidR="003549E9" w:rsidRDefault="003549E9" w:rsidP="003549E9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  <w:r w:rsidRPr="00400CB1">
        <w:rPr>
          <w:i/>
          <w:sz w:val="20"/>
          <w:szCs w:val="20"/>
        </w:rPr>
        <w:t>тыс. руб.</w:t>
      </w:r>
    </w:p>
    <w:tbl>
      <w:tblPr>
        <w:tblW w:w="10915" w:type="dxa"/>
        <w:tblInd w:w="-1026" w:type="dxa"/>
        <w:tblLayout w:type="fixed"/>
        <w:tblLook w:val="04A0"/>
      </w:tblPr>
      <w:tblGrid>
        <w:gridCol w:w="5246"/>
        <w:gridCol w:w="851"/>
        <w:gridCol w:w="991"/>
        <w:gridCol w:w="992"/>
        <w:gridCol w:w="992"/>
        <w:gridCol w:w="993"/>
        <w:gridCol w:w="850"/>
      </w:tblGrid>
      <w:tr w:rsidR="00707093" w:rsidRPr="007B2224" w:rsidTr="00F31A32">
        <w:trPr>
          <w:trHeight w:val="161"/>
          <w:tblHeader/>
        </w:trPr>
        <w:tc>
          <w:tcPr>
            <w:tcW w:w="52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93" w:rsidRPr="0088632E" w:rsidRDefault="00707093" w:rsidP="0070709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32E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93" w:rsidRPr="0088632E" w:rsidRDefault="00707093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632E">
              <w:rPr>
                <w:rFonts w:eastAsia="Times New Roman"/>
                <w:sz w:val="16"/>
                <w:szCs w:val="16"/>
              </w:rPr>
              <w:t>КБК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93" w:rsidRPr="0088632E" w:rsidRDefault="00707093" w:rsidP="0070709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632E">
              <w:rPr>
                <w:rFonts w:eastAsia="Times New Roman"/>
                <w:sz w:val="16"/>
                <w:szCs w:val="16"/>
              </w:rPr>
              <w:t>Утв. законом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93" w:rsidRPr="0088632E" w:rsidRDefault="00707093" w:rsidP="0070709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632E">
              <w:rPr>
                <w:rFonts w:eastAsia="Times New Roman"/>
                <w:sz w:val="16"/>
                <w:szCs w:val="16"/>
              </w:rPr>
              <w:t>Бюдж. роспись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93" w:rsidRPr="0088632E" w:rsidRDefault="00707093" w:rsidP="0070709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632E">
              <w:rPr>
                <w:rFonts w:eastAsia="Times New Roman"/>
                <w:sz w:val="16"/>
                <w:szCs w:val="16"/>
              </w:rPr>
              <w:t>Исполн.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7093" w:rsidRPr="0088632E" w:rsidRDefault="00707093" w:rsidP="0070709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632E">
              <w:rPr>
                <w:rFonts w:eastAsia="Times New Roman"/>
                <w:sz w:val="16"/>
                <w:szCs w:val="16"/>
              </w:rPr>
              <w:t>К бюджетной росписи</w:t>
            </w:r>
          </w:p>
        </w:tc>
      </w:tr>
      <w:tr w:rsidR="00707093" w:rsidRPr="007B2224" w:rsidTr="00F31A32">
        <w:trPr>
          <w:trHeight w:val="301"/>
          <w:tblHeader/>
        </w:trPr>
        <w:tc>
          <w:tcPr>
            <w:tcW w:w="524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7093" w:rsidRPr="0088632E" w:rsidRDefault="00707093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7093" w:rsidRPr="0088632E" w:rsidRDefault="00707093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093" w:rsidRPr="0088632E" w:rsidRDefault="00707093" w:rsidP="0070709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7093" w:rsidRPr="0088632E" w:rsidRDefault="00707093" w:rsidP="0070709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7093" w:rsidRPr="0088632E" w:rsidRDefault="00707093" w:rsidP="0070709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93" w:rsidRPr="0088632E" w:rsidRDefault="00707093" w:rsidP="0070709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632E">
              <w:rPr>
                <w:rFonts w:eastAsia="Times New Roman"/>
                <w:sz w:val="16"/>
                <w:szCs w:val="16"/>
              </w:rPr>
              <w:t>Отклон.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7093" w:rsidRPr="0088632E" w:rsidRDefault="00707093" w:rsidP="0070709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632E">
              <w:rPr>
                <w:rFonts w:eastAsia="Times New Roman"/>
                <w:sz w:val="16"/>
                <w:szCs w:val="16"/>
              </w:rPr>
              <w:t>% исполн.</w:t>
            </w:r>
          </w:p>
        </w:tc>
      </w:tr>
      <w:tr w:rsidR="00E605C4" w:rsidRPr="00560EAA" w:rsidTr="00F31A32">
        <w:trPr>
          <w:trHeight w:val="36"/>
        </w:trPr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60EAA" w:rsidRDefault="00E605C4" w:rsidP="007070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60EA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 в т.ч.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60EAA" w:rsidRDefault="00E605C4" w:rsidP="00D534C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4919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145</w:t>
            </w:r>
            <w:r w:rsidR="004919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346,8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6 455 442,5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6 332 608,2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-122 834,3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98,1</w:t>
            </w:r>
          </w:p>
        </w:tc>
      </w:tr>
      <w:tr w:rsidR="00E605C4" w:rsidRPr="00560EAA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60EAA" w:rsidRDefault="00E605C4" w:rsidP="007070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41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60EAA" w:rsidRDefault="00E605C4" w:rsidP="00D534C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4187">
              <w:rPr>
                <w:rFonts w:eastAsia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</w:t>
            </w:r>
            <w:r w:rsidR="004919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660 285,0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557 814,0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-102 471,0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84,5</w:t>
            </w:r>
          </w:p>
        </w:tc>
      </w:tr>
      <w:tr w:rsidR="00E605C4" w:rsidRPr="00560EAA" w:rsidTr="00F31A32">
        <w:trPr>
          <w:trHeight w:val="88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60EAA" w:rsidRDefault="00E605C4" w:rsidP="00F31A3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54187">
              <w:rPr>
                <w:rFonts w:eastAsia="Times New Roman"/>
                <w:color w:val="000000"/>
                <w:sz w:val="16"/>
                <w:szCs w:val="16"/>
              </w:rPr>
              <w:t xml:space="preserve">Функционирование </w:t>
            </w:r>
            <w:r w:rsidR="00F31A32">
              <w:rPr>
                <w:rFonts w:eastAsia="Times New Roman"/>
                <w:color w:val="000000"/>
                <w:sz w:val="16"/>
                <w:szCs w:val="16"/>
              </w:rPr>
              <w:t>…</w:t>
            </w:r>
            <w:r w:rsidRPr="00554187">
              <w:rPr>
                <w:rFonts w:eastAsia="Times New Roman"/>
                <w:color w:val="000000"/>
                <w:sz w:val="16"/>
                <w:szCs w:val="16"/>
              </w:rPr>
              <w:t xml:space="preserve"> высших исполорганов госвласти субъектов </w:t>
            </w:r>
            <w:r w:rsidR="00F31A32">
              <w:rPr>
                <w:rFonts w:eastAsia="Times New Roman"/>
                <w:color w:val="000000"/>
                <w:sz w:val="16"/>
                <w:szCs w:val="16"/>
              </w:rPr>
              <w:t>РФ…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60EAA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9192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242,9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96,7</w:t>
            </w:r>
          </w:p>
        </w:tc>
      </w:tr>
      <w:tr w:rsidR="00E605C4" w:rsidRPr="00560EAA" w:rsidTr="00F31A32">
        <w:trPr>
          <w:trHeight w:val="205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54187" w:rsidRDefault="00E605C4" w:rsidP="00707093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554187">
              <w:rPr>
                <w:rFonts w:eastAsia="Times New Roman"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54187" w:rsidRDefault="00E605C4" w:rsidP="00D534CA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554187">
              <w:rPr>
                <w:rFonts w:eastAsia="Times New Roman"/>
                <w:bCs/>
                <w:sz w:val="16"/>
                <w:szCs w:val="16"/>
              </w:rPr>
              <w:t>0106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  <w:r w:rsidR="0049192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660,8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190 406,8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184 482,8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-5 924,0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96,9</w:t>
            </w:r>
          </w:p>
        </w:tc>
      </w:tr>
      <w:tr w:rsidR="00BC2C7C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7C" w:rsidRPr="00400CB1" w:rsidRDefault="00BC2C7C" w:rsidP="00580A6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Обеспечение деятельности госорганов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7C" w:rsidRPr="00400CB1" w:rsidRDefault="00BC2C7C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9000001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  <w:r w:rsidR="0049192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160 401,4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154 486,2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-5 915,2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</w:t>
            </w:r>
          </w:p>
        </w:tc>
      </w:tr>
      <w:tr w:rsidR="00BC2C7C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7C" w:rsidRPr="00400CB1" w:rsidRDefault="00BC2C7C" w:rsidP="00F31A3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14A0E">
              <w:rPr>
                <w:rFonts w:eastAsia="Times New Roman"/>
                <w:color w:val="000000"/>
                <w:sz w:val="16"/>
                <w:szCs w:val="16"/>
              </w:rPr>
              <w:t>Обеспечение деятельности терорганов госорганов В</w:t>
            </w:r>
            <w:r w:rsidR="00F31A32">
              <w:rPr>
                <w:rFonts w:eastAsia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7C" w:rsidRPr="00400CB1" w:rsidRDefault="00BC2C7C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9000002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29 961,2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2C7C" w:rsidRDefault="00BC2C7C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9908014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80,1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49192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-86 193,4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605C4" w:rsidRPr="00400CB1" w:rsidTr="00F31A32">
        <w:trPr>
          <w:trHeight w:val="12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  <w:r w:rsidR="0049192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380 341,9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370 097,2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-10 244,7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E605C4" w:rsidRPr="00400CB1" w:rsidTr="00F31A32">
        <w:trPr>
          <w:trHeight w:val="314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Выполнение других обязательств государства по выплате агентских комиссий и вознаграждения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2212043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49192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0417A" w:rsidRPr="00400CB1" w:rsidTr="00F31A32">
        <w:trPr>
          <w:trHeight w:val="27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00CB1" w:rsidRDefault="0020417A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605C4">
              <w:rPr>
                <w:rFonts w:eastAsia="Times New Roman"/>
                <w:color w:val="000000"/>
                <w:sz w:val="16"/>
                <w:szCs w:val="16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00CB1" w:rsidRDefault="0020417A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605C4">
              <w:rPr>
                <w:rFonts w:eastAsia="Times New Roman"/>
                <w:sz w:val="16"/>
                <w:szCs w:val="16"/>
              </w:rPr>
              <w:t>9900059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17A" w:rsidRPr="004A1278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 w:rsidRPr="004A1278">
              <w:rPr>
                <w:color w:val="000000"/>
                <w:sz w:val="16"/>
                <w:szCs w:val="16"/>
              </w:rPr>
              <w:t>20044,5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Pr="004A1278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 w:rsidRPr="004A1278">
              <w:rPr>
                <w:color w:val="000000"/>
                <w:sz w:val="16"/>
                <w:szCs w:val="16"/>
              </w:rPr>
              <w:t>18 627,4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-2 148,3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88,5</w:t>
            </w:r>
          </w:p>
        </w:tc>
      </w:tr>
      <w:tr w:rsidR="0020417A" w:rsidRPr="00400CB1" w:rsidTr="00F31A32">
        <w:trPr>
          <w:trHeight w:val="27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00CB1" w:rsidRDefault="0020417A" w:rsidP="00580A6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Мероприятия, направленные на повышение финграмотности населения и развитие финобразования в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00CB1" w:rsidRDefault="0020417A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9908061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17A" w:rsidRPr="004A1278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Pr="004A1278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 w:rsidRPr="004A1278">
              <w:rPr>
                <w:color w:val="000000"/>
                <w:sz w:val="16"/>
                <w:szCs w:val="16"/>
              </w:rPr>
              <w:t>4 105,0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0417A" w:rsidRPr="00400CB1" w:rsidTr="00F31A32">
        <w:trPr>
          <w:trHeight w:val="155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00CB1" w:rsidRDefault="0020417A" w:rsidP="00707093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color w:val="000000"/>
                <w:sz w:val="16"/>
                <w:szCs w:val="16"/>
              </w:rPr>
              <w:t>Размещение информации в сети интернет о реализации бюджетной политики «Бюджет для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00CB1" w:rsidRDefault="0020417A" w:rsidP="00D534CA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sz w:val="16"/>
                <w:szCs w:val="16"/>
              </w:rPr>
              <w:t>9908063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17A" w:rsidRPr="004A1278" w:rsidRDefault="0020417A" w:rsidP="00D534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A1278" w:rsidRDefault="0020417A" w:rsidP="00D534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A1278">
              <w:rPr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A" w:rsidRPr="00400CB1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Pr="00400CB1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0417A" w:rsidRPr="00400CB1" w:rsidRDefault="0020417A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400CB1" w:rsidTr="00F31A32">
        <w:trPr>
          <w:trHeight w:val="155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580A65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color w:val="000000"/>
                <w:sz w:val="16"/>
                <w:szCs w:val="16"/>
              </w:rPr>
              <w:t>Субвенции на реализацию согарантий, установленных Законом Волгоградской области от 26.11.2004 № 964-ОД «О госсоцгарантиях молодым специалистам, работающим … в сельских поселениях …»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sz w:val="16"/>
                <w:szCs w:val="16"/>
              </w:rPr>
              <w:t>9907052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85,1</w:t>
            </w:r>
          </w:p>
        </w:tc>
      </w:tr>
      <w:tr w:rsidR="007D6B92" w:rsidRPr="00400CB1" w:rsidTr="00F31A32">
        <w:trPr>
          <w:trHeight w:val="315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580A6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605C4">
              <w:rPr>
                <w:rFonts w:eastAsia="Times New Roman"/>
                <w:color w:val="000000"/>
                <w:sz w:val="16"/>
                <w:szCs w:val="16"/>
              </w:rPr>
              <w:t>Уплата налогов и сборов органами госвласти и казенными учр</w:t>
            </w:r>
            <w:r w:rsidR="00580A65"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 w:rsidRPr="00E605C4">
              <w:rPr>
                <w:rFonts w:eastAsia="Times New Roman"/>
                <w:color w:val="000000"/>
                <w:sz w:val="16"/>
                <w:szCs w:val="16"/>
              </w:rPr>
              <w:t>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9908014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B92" w:rsidRDefault="007D6B92" w:rsidP="00580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7D6B92" w:rsidRPr="00400CB1" w:rsidTr="00F31A32">
        <w:trPr>
          <w:trHeight w:val="227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580A65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color w:val="000000"/>
                <w:sz w:val="16"/>
                <w:szCs w:val="16"/>
              </w:rPr>
              <w:t>Исполнение судебных актов 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D534CA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sz w:val="16"/>
                <w:szCs w:val="16"/>
              </w:rPr>
              <w:t>9908087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B92" w:rsidRPr="00400CB1" w:rsidRDefault="007D6B92" w:rsidP="00D534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 w:rsidRPr="008E4ECF">
              <w:rPr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342 655,8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-7 344,2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97,9</w:t>
            </w:r>
          </w:p>
        </w:tc>
      </w:tr>
      <w:tr w:rsidR="007D6B92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Прочие выплаты по обязательствам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9908099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6B92" w:rsidRPr="00400CB1" w:rsidRDefault="007D6B92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00CB1">
              <w:rPr>
                <w:rFonts w:eastAsia="Times New Roman"/>
                <w:b/>
                <w:sz w:val="16"/>
                <w:szCs w:val="16"/>
              </w:rPr>
              <w:t>0200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</w:t>
            </w:r>
            <w:r w:rsidR="004A127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680,9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37 395,1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33 663,2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-3 731,9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583,8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33 583,8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-3 731,5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E605C4" w:rsidRPr="00400CB1" w:rsidTr="00F31A32">
        <w:trPr>
          <w:trHeight w:val="170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4A127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</w:t>
            </w:r>
            <w:r w:rsidR="004A1278">
              <w:rPr>
                <w:rFonts w:eastAsia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9905118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583,8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33 583,8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-3 731,5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0204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9908004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00CB1">
              <w:rPr>
                <w:rFonts w:eastAsia="Times New Roman"/>
                <w:b/>
                <w:sz w:val="16"/>
                <w:szCs w:val="16"/>
              </w:rPr>
              <w:t>0400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</w:t>
            </w:r>
            <w:r w:rsidR="004A127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89 038,2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89 038,2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70709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0CB1">
              <w:rPr>
                <w:rFonts w:eastAsia="Times New Roman"/>
                <w:sz w:val="16"/>
                <w:szCs w:val="16"/>
              </w:rPr>
              <w:t>0410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560EAA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1157A3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color w:val="000000"/>
                <w:sz w:val="16"/>
                <w:szCs w:val="16"/>
              </w:rPr>
              <w:t>Развитие и модернизация информационных систем для формирования и организации бюджетного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400CB1">
              <w:rPr>
                <w:rFonts w:eastAsia="Times New Roman"/>
                <w:bCs/>
                <w:sz w:val="16"/>
                <w:szCs w:val="16"/>
              </w:rPr>
              <w:t>2232044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560EAA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703909" w:rsidRDefault="00E605C4" w:rsidP="00707093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703909">
              <w:rPr>
                <w:rFonts w:eastAsia="Times New Roman"/>
                <w:b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703909" w:rsidRDefault="00E605C4" w:rsidP="00D534C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0700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605C4" w:rsidRPr="002E0FA7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2E0FA7" w:rsidRDefault="00E605C4" w:rsidP="00E366ED">
            <w:pPr>
              <w:rPr>
                <w:rFonts w:eastAsia="Times New Roman"/>
                <w:b/>
                <w:sz w:val="16"/>
                <w:szCs w:val="16"/>
              </w:rPr>
            </w:pPr>
            <w:r w:rsidRPr="002E0FA7">
              <w:rPr>
                <w:rFonts w:eastAsia="Times New Roman"/>
                <w:b/>
                <w:sz w:val="16"/>
                <w:szCs w:val="16"/>
              </w:rPr>
              <w:t>Обслуживание государственного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2E0FA7" w:rsidRDefault="00E605C4" w:rsidP="00D534CA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2E0FA7">
              <w:rPr>
                <w:rFonts w:eastAsia="Times New Roman"/>
                <w:b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4A127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847</w:t>
            </w:r>
            <w:r w:rsidR="004A127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2 419 137,0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2 412 283,2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-6 853,8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99,7</w:t>
            </w:r>
          </w:p>
        </w:tc>
      </w:tr>
      <w:tr w:rsidR="00E605C4" w:rsidRPr="0078783E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78783E" w:rsidRDefault="00E605C4" w:rsidP="005C2D5F">
            <w:pPr>
              <w:ind w:right="-108"/>
              <w:rPr>
                <w:rFonts w:eastAsia="Times New Roman"/>
                <w:b/>
                <w:sz w:val="16"/>
                <w:szCs w:val="18"/>
              </w:rPr>
            </w:pPr>
            <w:r w:rsidRPr="0078783E">
              <w:rPr>
                <w:rFonts w:eastAsia="Times New Roman"/>
                <w:b/>
                <w:sz w:val="16"/>
                <w:szCs w:val="18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78783E" w:rsidRDefault="00E605C4" w:rsidP="00D534CA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4A127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214</w:t>
            </w:r>
            <w:r w:rsidR="004A127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074,0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3 249 587,3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3 239 809,2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-9 778,1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99,7</w:t>
            </w:r>
          </w:p>
        </w:tc>
      </w:tr>
      <w:tr w:rsidR="00E605C4" w:rsidRPr="005E7B1D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C2D5F" w:rsidRDefault="00E605C4" w:rsidP="005C2D5F">
            <w:pPr>
              <w:rPr>
                <w:rFonts w:eastAsia="Times New Roman"/>
                <w:sz w:val="16"/>
                <w:szCs w:val="18"/>
              </w:rPr>
            </w:pPr>
            <w:r w:rsidRPr="005C2D5F">
              <w:rPr>
                <w:rFonts w:eastAsia="Times New Roman"/>
                <w:sz w:val="16"/>
                <w:szCs w:val="18"/>
              </w:rPr>
              <w:t>Дотации на выравнивание бюджетной обеспеч.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030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1 028 653,2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1 028 116,0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E605C4" w:rsidRPr="005E7B1D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C2D5F" w:rsidRDefault="00E605C4" w:rsidP="005C2D5F">
            <w:pPr>
              <w:outlineLvl w:val="0"/>
              <w:rPr>
                <w:rFonts w:eastAsia="Times New Roman"/>
                <w:sz w:val="16"/>
                <w:szCs w:val="18"/>
              </w:rPr>
            </w:pPr>
            <w:r w:rsidRPr="005C2D5F">
              <w:rPr>
                <w:rFonts w:eastAsia="Times New Roman"/>
                <w:sz w:val="16"/>
                <w:szCs w:val="18"/>
              </w:rPr>
              <w:t xml:space="preserve">Дотация на выравнивание бюджетной обеспеченности </w:t>
            </w:r>
            <w:r w:rsidRPr="00CD04E0">
              <w:rPr>
                <w:rFonts w:eastAsia="Times New Roman"/>
                <w:sz w:val="16"/>
                <w:szCs w:val="18"/>
              </w:rPr>
              <w:t>МР (ГО)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2227019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030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86 910,5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605C4" w:rsidRPr="005E7B1D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5C2D5F" w:rsidRDefault="00E605C4" w:rsidP="00CD04E0">
            <w:pPr>
              <w:outlineLvl w:val="0"/>
              <w:rPr>
                <w:rFonts w:eastAsia="Times New Roman"/>
                <w:sz w:val="16"/>
                <w:szCs w:val="18"/>
              </w:rPr>
            </w:pPr>
            <w:r w:rsidRPr="005C2D5F">
              <w:rPr>
                <w:rFonts w:eastAsia="Times New Roman"/>
                <w:sz w:val="16"/>
                <w:szCs w:val="18"/>
              </w:rPr>
              <w:t xml:space="preserve">Дотация на выравнивание бюджетной обеспеченности </w:t>
            </w:r>
            <w:r w:rsidRPr="00CD04E0">
              <w:rPr>
                <w:rFonts w:eastAsia="Times New Roman"/>
                <w:sz w:val="16"/>
                <w:szCs w:val="18"/>
              </w:rPr>
              <w:t>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2227020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Pr="004531D1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941 742,7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941 205,5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Pr="00DC413B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Pr="00DC413B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E605C4" w:rsidRPr="00CD04E0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CD04E0" w:rsidRDefault="00E605C4" w:rsidP="00CD04E0">
            <w:pPr>
              <w:rPr>
                <w:rFonts w:eastAsia="Times New Roman"/>
                <w:sz w:val="16"/>
                <w:szCs w:val="18"/>
              </w:rPr>
            </w:pPr>
            <w:r w:rsidRPr="00CD04E0">
              <w:rPr>
                <w:rFonts w:eastAsia="Times New Roman"/>
                <w:sz w:val="16"/>
                <w:szCs w:val="18"/>
              </w:rPr>
              <w:t>Иные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CD04E0" w:rsidRDefault="00E605C4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-5 735,0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CD04E0">
            <w:pPr>
              <w:outlineLvl w:val="0"/>
              <w:rPr>
                <w:rFonts w:eastAsia="Times New Roman"/>
                <w:sz w:val="16"/>
                <w:szCs w:val="18"/>
              </w:rPr>
            </w:pPr>
            <w:r w:rsidRPr="00400CB1">
              <w:rPr>
                <w:rFonts w:eastAsia="Times New Roman"/>
                <w:sz w:val="16"/>
                <w:szCs w:val="18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2227022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-5 735,0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E605C4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5E7B1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400CB1" w:rsidRDefault="00E605C4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618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1 655 934,0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1 652 428,2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-3 505,8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E74978" w:rsidRPr="00400CB1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78" w:rsidRPr="00400CB1" w:rsidRDefault="00E74978" w:rsidP="005E7B1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Субсидия на обеспечение сбалансированности местных бюджетов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78" w:rsidRPr="00400CB1" w:rsidRDefault="00E74978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0CB1">
              <w:rPr>
                <w:rFonts w:eastAsia="Times New Roman"/>
                <w:color w:val="000000"/>
                <w:sz w:val="16"/>
                <w:szCs w:val="16"/>
              </w:rPr>
              <w:t>2227023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618</w:t>
            </w:r>
            <w:r w:rsidR="004A12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1 267 172,0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1 267 172,0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74978" w:rsidRPr="005E7B1D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78" w:rsidRPr="00400CB1" w:rsidRDefault="00E74978" w:rsidP="005E7B1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605C4">
              <w:rPr>
                <w:rFonts w:eastAsia="Times New Roman"/>
                <w:color w:val="000000"/>
                <w:sz w:val="16"/>
                <w:szCs w:val="16"/>
              </w:rPr>
              <w:t>Субсидия на обеспечение сбалансированности местных бюджетов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E605C4">
              <w:rPr>
                <w:rFonts w:eastAsia="Times New Roman"/>
                <w:color w:val="000000"/>
                <w:sz w:val="16"/>
                <w:szCs w:val="16"/>
              </w:rPr>
              <w:t>муниципальных районов (городских округов)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78" w:rsidRPr="00400CB1" w:rsidRDefault="00E74978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2227024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349 590,6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346 784,9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-2 805,7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4978" w:rsidRDefault="00E74978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</w:t>
            </w:r>
          </w:p>
        </w:tc>
      </w:tr>
      <w:tr w:rsidR="00E605C4" w:rsidRPr="005E7B1D" w:rsidTr="00F31A32">
        <w:trPr>
          <w:trHeight w:val="56"/>
        </w:trPr>
        <w:tc>
          <w:tcPr>
            <w:tcW w:w="524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Pr="00CD04E0" w:rsidRDefault="00E605C4" w:rsidP="00890D2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D04E0">
              <w:rPr>
                <w:rFonts w:eastAsia="Times New Roman"/>
                <w:color w:val="000000"/>
                <w:sz w:val="16"/>
                <w:szCs w:val="16"/>
              </w:rPr>
              <w:t xml:space="preserve">Резервный фонд </w:t>
            </w:r>
            <w:r w:rsidR="00890D2C">
              <w:rPr>
                <w:rFonts w:eastAsia="Times New Roman"/>
                <w:color w:val="000000"/>
                <w:sz w:val="16"/>
                <w:szCs w:val="16"/>
              </w:rPr>
              <w:t>Администрации</w:t>
            </w:r>
            <w:r w:rsidRPr="00CD04E0">
              <w:rPr>
                <w:rFonts w:eastAsia="Times New Roman"/>
                <w:color w:val="000000"/>
                <w:sz w:val="16"/>
                <w:szCs w:val="16"/>
              </w:rPr>
              <w:t xml:space="preserve">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9908067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39 171,4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38 471,4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-700,0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5C4" w:rsidRDefault="00E605C4" w:rsidP="00D534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</w:t>
            </w:r>
          </w:p>
        </w:tc>
      </w:tr>
    </w:tbl>
    <w:p w:rsidR="00707093" w:rsidRPr="00271ACC" w:rsidRDefault="00707093" w:rsidP="003549E9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</w:p>
    <w:p w:rsidR="00E6456A" w:rsidRPr="003207B6" w:rsidRDefault="00672DB1" w:rsidP="00672DB1">
      <w:pPr>
        <w:autoSpaceDE w:val="0"/>
        <w:autoSpaceDN w:val="0"/>
        <w:adjustRightInd w:val="0"/>
        <w:ind w:firstLine="709"/>
        <w:jc w:val="both"/>
      </w:pPr>
      <w:r w:rsidRPr="003207B6">
        <w:t xml:space="preserve">Расходы, утверждённые </w:t>
      </w:r>
      <w:r w:rsidR="00FD1055" w:rsidRPr="003207B6">
        <w:t>Облфин</w:t>
      </w:r>
      <w:r w:rsidRPr="003207B6">
        <w:t>у, исполнены на 9</w:t>
      </w:r>
      <w:r w:rsidR="00B60B3B" w:rsidRPr="003207B6">
        <w:t>8,1</w:t>
      </w:r>
      <w:r w:rsidRPr="003207B6">
        <w:t>%, объём неисполненных назначений составил 1</w:t>
      </w:r>
      <w:r w:rsidR="00B60B3B" w:rsidRPr="003207B6">
        <w:t>22</w:t>
      </w:r>
      <w:r w:rsidR="004A1278" w:rsidRPr="003207B6">
        <w:t xml:space="preserve"> </w:t>
      </w:r>
      <w:r w:rsidR="00B60B3B" w:rsidRPr="003207B6">
        <w:t xml:space="preserve">834,3 </w:t>
      </w:r>
      <w:r w:rsidRPr="003207B6">
        <w:t xml:space="preserve">тыс. рублей. </w:t>
      </w:r>
      <w:r w:rsidR="00E6456A" w:rsidRPr="003207B6">
        <w:t>Основны</w:t>
      </w:r>
      <w:r w:rsidR="005656AE" w:rsidRPr="003207B6">
        <w:t>ми</w:t>
      </w:r>
      <w:r w:rsidR="00E6456A" w:rsidRPr="003207B6">
        <w:t xml:space="preserve"> причин</w:t>
      </w:r>
      <w:r w:rsidR="005656AE" w:rsidRPr="003207B6">
        <w:t>ами</w:t>
      </w:r>
      <w:r w:rsidR="00E6456A" w:rsidRPr="003207B6">
        <w:t xml:space="preserve"> неисполнения </w:t>
      </w:r>
      <w:r w:rsidR="005656AE" w:rsidRPr="003207B6">
        <w:t>явились</w:t>
      </w:r>
      <w:r w:rsidR="00E6456A" w:rsidRPr="003207B6">
        <w:t>:</w:t>
      </w:r>
    </w:p>
    <w:p w:rsidR="00D2676B" w:rsidRPr="003207B6" w:rsidRDefault="00E6456A" w:rsidP="003207B6">
      <w:pPr>
        <w:autoSpaceDE w:val="0"/>
        <w:autoSpaceDN w:val="0"/>
        <w:adjustRightInd w:val="0"/>
        <w:ind w:firstLine="709"/>
        <w:jc w:val="both"/>
      </w:pPr>
      <w:r w:rsidRPr="003207B6">
        <w:t>-</w:t>
      </w:r>
      <w:r w:rsidR="00B96A07" w:rsidRPr="003207B6">
        <w:t>отсутствие потребности в средствах резервного фонда – 86</w:t>
      </w:r>
      <w:r w:rsidR="004A1278" w:rsidRPr="003207B6">
        <w:t xml:space="preserve"> </w:t>
      </w:r>
      <w:r w:rsidR="002223D7" w:rsidRPr="003207B6">
        <w:t>193,3</w:t>
      </w:r>
      <w:r w:rsidR="00B96A07" w:rsidRPr="003207B6">
        <w:t xml:space="preserve"> тыс. руб.;</w:t>
      </w:r>
    </w:p>
    <w:p w:rsidR="00666AF3" w:rsidRPr="003207B6" w:rsidRDefault="00666AF3" w:rsidP="00672DB1">
      <w:pPr>
        <w:autoSpaceDE w:val="0"/>
        <w:autoSpaceDN w:val="0"/>
        <w:adjustRightInd w:val="0"/>
        <w:ind w:firstLine="709"/>
        <w:jc w:val="both"/>
      </w:pPr>
      <w:r w:rsidRPr="003207B6">
        <w:t>-</w:t>
      </w:r>
      <w:r w:rsidR="00BE5538" w:rsidRPr="003207B6">
        <w:t>нераспределенная часть</w:t>
      </w:r>
      <w:r w:rsidRPr="003207B6">
        <w:t xml:space="preserve"> </w:t>
      </w:r>
      <w:r w:rsidR="00C330B1" w:rsidRPr="003207B6">
        <w:t xml:space="preserve">субвенции на осуществление первичного воинского учета </w:t>
      </w:r>
      <w:r w:rsidR="004A1278" w:rsidRPr="003207B6">
        <w:t>–</w:t>
      </w:r>
      <w:r w:rsidR="00C330B1" w:rsidRPr="003207B6">
        <w:t xml:space="preserve"> 3</w:t>
      </w:r>
      <w:r w:rsidR="004A1278" w:rsidRPr="003207B6">
        <w:t> </w:t>
      </w:r>
      <w:r w:rsidR="00C330B1" w:rsidRPr="003207B6">
        <w:t>731,5 тыс.</w:t>
      </w:r>
      <w:r w:rsidR="004A1278" w:rsidRPr="003207B6">
        <w:t xml:space="preserve"> </w:t>
      </w:r>
      <w:r w:rsidR="00C330B1" w:rsidRPr="003207B6">
        <w:t>руб.</w:t>
      </w:r>
      <w:r w:rsidRPr="003207B6">
        <w:t>;</w:t>
      </w:r>
    </w:p>
    <w:p w:rsidR="008E4ECF" w:rsidRPr="003207B6" w:rsidRDefault="00E6456A" w:rsidP="00672DB1">
      <w:pPr>
        <w:autoSpaceDE w:val="0"/>
        <w:autoSpaceDN w:val="0"/>
        <w:adjustRightInd w:val="0"/>
        <w:ind w:firstLine="709"/>
        <w:jc w:val="both"/>
      </w:pPr>
      <w:r w:rsidRPr="003207B6">
        <w:lastRenderedPageBreak/>
        <w:t>-несвоевременность представления исполнителями работ (поставщиками, подрядчиками) документов для расчетов – 2</w:t>
      </w:r>
      <w:r w:rsidR="004A1278" w:rsidRPr="003207B6">
        <w:t xml:space="preserve"> </w:t>
      </w:r>
      <w:r w:rsidRPr="003207B6">
        <w:t>148,3 тыс.руб</w:t>
      </w:r>
      <w:r w:rsidR="008E4ECF" w:rsidRPr="003207B6">
        <w:t>.</w:t>
      </w:r>
    </w:p>
    <w:p w:rsidR="00C330B1" w:rsidRPr="006D38E2" w:rsidRDefault="008E4ECF" w:rsidP="00672DB1">
      <w:pPr>
        <w:autoSpaceDE w:val="0"/>
        <w:autoSpaceDN w:val="0"/>
        <w:adjustRightInd w:val="0"/>
        <w:ind w:firstLine="709"/>
        <w:jc w:val="both"/>
      </w:pPr>
      <w:r w:rsidRPr="003207B6">
        <w:t>и прочее (см. ниже)</w:t>
      </w:r>
      <w:r w:rsidR="00E6456A" w:rsidRPr="003207B6">
        <w:t>.</w:t>
      </w:r>
    </w:p>
    <w:p w:rsidR="005656AE" w:rsidRDefault="005656AE" w:rsidP="00E73B6F">
      <w:pPr>
        <w:jc w:val="center"/>
        <w:rPr>
          <w:i/>
          <w:szCs w:val="18"/>
        </w:rPr>
      </w:pPr>
    </w:p>
    <w:p w:rsidR="00E73B6F" w:rsidRPr="004C3E92" w:rsidRDefault="00E73B6F" w:rsidP="00E73B6F">
      <w:pPr>
        <w:jc w:val="center"/>
        <w:rPr>
          <w:i/>
          <w:szCs w:val="18"/>
        </w:rPr>
      </w:pPr>
      <w:r w:rsidRPr="004C3E92">
        <w:rPr>
          <w:i/>
          <w:szCs w:val="18"/>
        </w:rPr>
        <w:t xml:space="preserve">Сравнительный анализ показателей исполнения </w:t>
      </w:r>
    </w:p>
    <w:p w:rsidR="00E73B6F" w:rsidRPr="004C3E92" w:rsidRDefault="00E73B6F" w:rsidP="00E73B6F">
      <w:pPr>
        <w:jc w:val="center"/>
        <w:rPr>
          <w:i/>
          <w:szCs w:val="18"/>
        </w:rPr>
      </w:pPr>
      <w:r w:rsidRPr="004C3E92">
        <w:rPr>
          <w:i/>
          <w:szCs w:val="18"/>
        </w:rPr>
        <w:t>расходов областного бюджета за отчетный год и предыдущий год</w:t>
      </w:r>
    </w:p>
    <w:p w:rsidR="00E73B6F" w:rsidRPr="003D77F0" w:rsidRDefault="00E73B6F" w:rsidP="00E73B6F">
      <w:pPr>
        <w:tabs>
          <w:tab w:val="left" w:pos="0"/>
        </w:tabs>
        <w:ind w:firstLine="709"/>
        <w:jc w:val="both"/>
        <w:rPr>
          <w:szCs w:val="18"/>
        </w:rPr>
      </w:pPr>
      <w:r w:rsidRPr="003D77F0">
        <w:rPr>
          <w:szCs w:val="18"/>
        </w:rPr>
        <w:t xml:space="preserve">Анализ показателей исполнения расходов </w:t>
      </w:r>
      <w:r w:rsidR="00F51F5F">
        <w:rPr>
          <w:szCs w:val="18"/>
        </w:rPr>
        <w:t>Обл</w:t>
      </w:r>
      <w:r w:rsidR="00FD1055" w:rsidRPr="003D77F0">
        <w:rPr>
          <w:szCs w:val="18"/>
        </w:rPr>
        <w:t>фин</w:t>
      </w:r>
      <w:r w:rsidRPr="003D77F0">
        <w:rPr>
          <w:szCs w:val="18"/>
        </w:rPr>
        <w:t>а за 201</w:t>
      </w:r>
      <w:r w:rsidR="00A53BD3" w:rsidRPr="003D77F0">
        <w:rPr>
          <w:szCs w:val="18"/>
        </w:rPr>
        <w:t>5</w:t>
      </w:r>
      <w:r w:rsidRPr="003D77F0">
        <w:rPr>
          <w:szCs w:val="18"/>
        </w:rPr>
        <w:t xml:space="preserve"> год в сравнении с 201</w:t>
      </w:r>
      <w:r w:rsidR="00A53BD3" w:rsidRPr="003D77F0">
        <w:rPr>
          <w:szCs w:val="18"/>
        </w:rPr>
        <w:t>4</w:t>
      </w:r>
      <w:r w:rsidRPr="003D77F0">
        <w:rPr>
          <w:szCs w:val="18"/>
        </w:rPr>
        <w:t xml:space="preserve"> годом приведен в </w:t>
      </w:r>
      <w:r w:rsidR="00400CB1" w:rsidRPr="003D77F0">
        <w:rPr>
          <w:szCs w:val="18"/>
        </w:rPr>
        <w:t xml:space="preserve">следующей </w:t>
      </w:r>
      <w:r w:rsidRPr="003D77F0">
        <w:rPr>
          <w:szCs w:val="18"/>
        </w:rPr>
        <w:t>таблице.</w:t>
      </w:r>
    </w:p>
    <w:p w:rsidR="00E73B6F" w:rsidRPr="003D77F0" w:rsidRDefault="00E73B6F" w:rsidP="00E73B6F">
      <w:pPr>
        <w:ind w:right="-1"/>
        <w:jc w:val="right"/>
        <w:rPr>
          <w:i/>
          <w:sz w:val="18"/>
          <w:szCs w:val="18"/>
          <w:lang w:val="en-US"/>
        </w:rPr>
      </w:pPr>
      <w:r w:rsidRPr="003D77F0">
        <w:rPr>
          <w:i/>
          <w:sz w:val="18"/>
          <w:szCs w:val="18"/>
        </w:rPr>
        <w:t xml:space="preserve"> тыс. руб.</w:t>
      </w:r>
    </w:p>
    <w:tbl>
      <w:tblPr>
        <w:tblW w:w="9923" w:type="dxa"/>
        <w:tblInd w:w="-176" w:type="dxa"/>
        <w:tblLayout w:type="fixed"/>
        <w:tblLook w:val="04A0"/>
      </w:tblPr>
      <w:tblGrid>
        <w:gridCol w:w="993"/>
        <w:gridCol w:w="4536"/>
        <w:gridCol w:w="1134"/>
        <w:gridCol w:w="1134"/>
        <w:gridCol w:w="1134"/>
        <w:gridCol w:w="992"/>
      </w:tblGrid>
      <w:tr w:rsidR="00E73B6F" w:rsidRPr="003D77F0" w:rsidTr="00C948D5">
        <w:trPr>
          <w:trHeight w:val="166"/>
          <w:tblHeader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6F" w:rsidRPr="003D77F0" w:rsidRDefault="00E73B6F" w:rsidP="00E73B6F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Раздел, подраздел,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6F" w:rsidRPr="003D77F0" w:rsidRDefault="00E73B6F" w:rsidP="00E73B6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B6F" w:rsidRPr="003D77F0" w:rsidRDefault="00E73B6F" w:rsidP="00E73B6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73B6F" w:rsidRPr="003D77F0" w:rsidRDefault="00E73B6F" w:rsidP="00E73B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  <w:p w:rsidR="00E73B6F" w:rsidRPr="003D77F0" w:rsidRDefault="00E73B6F" w:rsidP="008870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8870BE"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/ 201</w:t>
            </w:r>
            <w:r w:rsidR="008870BE"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3B6F" w:rsidRPr="003D77F0" w:rsidTr="00C948D5">
        <w:trPr>
          <w:trHeight w:val="153"/>
          <w:tblHeader/>
        </w:trPr>
        <w:tc>
          <w:tcPr>
            <w:tcW w:w="993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B6F" w:rsidRPr="003D77F0" w:rsidRDefault="00E73B6F" w:rsidP="00E73B6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B6F" w:rsidRPr="003D77F0" w:rsidRDefault="00E73B6F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6F" w:rsidRPr="003D77F0" w:rsidRDefault="00E73B6F" w:rsidP="003D77F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201</w:t>
            </w:r>
            <w:r w:rsidR="003D77F0" w:rsidRPr="003D77F0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6F" w:rsidRPr="003D77F0" w:rsidRDefault="00E73B6F" w:rsidP="003D77F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201</w:t>
            </w:r>
            <w:r w:rsidR="003D77F0" w:rsidRPr="003D77F0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6F" w:rsidRPr="003D77F0" w:rsidRDefault="00E73B6F" w:rsidP="00E73B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73B6F" w:rsidRPr="003D77F0" w:rsidRDefault="00E73B6F" w:rsidP="00E73B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%%</w:t>
            </w:r>
          </w:p>
        </w:tc>
      </w:tr>
      <w:tr w:rsidR="003D77F0" w:rsidRPr="003D77F0" w:rsidTr="003D77F0">
        <w:trPr>
          <w:trHeight w:val="23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7F0" w:rsidRPr="003D77F0" w:rsidRDefault="003D77F0" w:rsidP="00E73B6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Расходы бюджета всего,</w:t>
            </w:r>
            <w:r w:rsidRPr="003D77F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3D77F0">
              <w:rPr>
                <w:rFonts w:eastAsia="Times New Roman"/>
                <w:b/>
                <w:i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6944739,7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6332608,2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-612131,5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-8,8</w:t>
            </w:r>
          </w:p>
        </w:tc>
      </w:tr>
      <w:tr w:rsidR="003D77F0" w:rsidRPr="003D77F0" w:rsidTr="003D77F0">
        <w:trPr>
          <w:trHeight w:val="197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595757,4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557814,0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-37943,4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-6,4</w:t>
            </w:r>
          </w:p>
        </w:tc>
      </w:tr>
      <w:tr w:rsidR="003D77F0" w:rsidRPr="003D77F0" w:rsidTr="003D77F0">
        <w:trPr>
          <w:trHeight w:val="116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2096,2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3234,0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1137,8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54,3</w:t>
            </w:r>
          </w:p>
        </w:tc>
      </w:tr>
      <w:tr w:rsidR="003D77F0" w:rsidRPr="003D77F0" w:rsidTr="003D77F0">
        <w:trPr>
          <w:trHeight w:val="127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194086,7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184482,8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-9603,9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-4,9</w:t>
            </w:r>
          </w:p>
        </w:tc>
      </w:tr>
      <w:tr w:rsidR="003D77F0" w:rsidRPr="003D77F0" w:rsidTr="003D77F0">
        <w:trPr>
          <w:trHeight w:val="138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399574,5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370097,2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-29477,3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-7,4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F31A32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38727,2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33663,6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-5063,6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-13,1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38521,0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33583,8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-4937,2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-12,8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02 04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-61,3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F31A32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78938,4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89038,2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10099,8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12,8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04 10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78938,4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89038,2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10099,8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12,8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F31A32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-100,0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F31A32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-100,0</w:t>
            </w:r>
          </w:p>
        </w:tc>
      </w:tr>
      <w:tr w:rsidR="003D77F0" w:rsidRPr="003D77F0" w:rsidTr="003D77F0">
        <w:trPr>
          <w:trHeight w:val="106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F31A32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3056274,3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2412283,2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-643991,1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-21,1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F31A32" w:rsidP="00E73B6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/>
                <w:bCs/>
                <w:sz w:val="18"/>
                <w:szCs w:val="18"/>
              </w:rPr>
              <w:t>3174914,6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3239809,2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64894,6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b/>
                <w:sz w:val="18"/>
                <w:szCs w:val="18"/>
              </w:rPr>
            </w:pPr>
            <w:r w:rsidRPr="003D77F0">
              <w:rPr>
                <w:b/>
                <w:sz w:val="18"/>
                <w:szCs w:val="18"/>
              </w:rPr>
              <w:t>2,0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1129544,3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1028116,0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-101428,3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-9,0</w:t>
            </w:r>
          </w:p>
        </w:tc>
      </w:tr>
      <w:tr w:rsidR="003D77F0" w:rsidRPr="003D77F0" w:rsidTr="003D77F0">
        <w:trPr>
          <w:trHeight w:val="60"/>
        </w:trPr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14 02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903319,0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559265,0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-344054,0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-38,1</w:t>
            </w:r>
          </w:p>
        </w:tc>
      </w:tr>
      <w:tr w:rsidR="003D77F0" w:rsidRPr="003D77F0" w:rsidTr="003D77F0">
        <w:trPr>
          <w:trHeight w:val="202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E73B6F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F0" w:rsidRPr="003D77F0" w:rsidRDefault="003D77F0" w:rsidP="00E73B6F">
            <w:pPr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 w:rsidRPr="003D77F0">
              <w:rPr>
                <w:rFonts w:eastAsia="Times New Roman"/>
                <w:bCs/>
                <w:sz w:val="18"/>
                <w:szCs w:val="18"/>
              </w:rPr>
              <w:t>1142051,3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1652428,2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510376,9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D77F0" w:rsidRPr="003D77F0" w:rsidRDefault="003D77F0" w:rsidP="003D77F0">
            <w:pPr>
              <w:jc w:val="right"/>
              <w:rPr>
                <w:sz w:val="18"/>
                <w:szCs w:val="18"/>
              </w:rPr>
            </w:pPr>
            <w:r w:rsidRPr="003D77F0">
              <w:rPr>
                <w:sz w:val="18"/>
                <w:szCs w:val="18"/>
              </w:rPr>
              <w:t>44,7</w:t>
            </w:r>
          </w:p>
        </w:tc>
      </w:tr>
    </w:tbl>
    <w:p w:rsidR="00E73B6F" w:rsidRPr="009F2C52" w:rsidRDefault="00E73B6F" w:rsidP="00E73B6F">
      <w:pPr>
        <w:ind w:right="278"/>
        <w:jc w:val="right"/>
        <w:rPr>
          <w:i/>
          <w:sz w:val="18"/>
          <w:szCs w:val="18"/>
          <w:lang w:val="en-US"/>
        </w:rPr>
      </w:pPr>
    </w:p>
    <w:p w:rsidR="002D4227" w:rsidRPr="009F2C52" w:rsidRDefault="009F2C52" w:rsidP="009F2C52">
      <w:pPr>
        <w:ind w:firstLine="708"/>
        <w:jc w:val="both"/>
      </w:pPr>
      <w:r w:rsidRPr="009F2C52">
        <w:t xml:space="preserve">По данным таблицы видно, что к уровню 2014 года </w:t>
      </w:r>
      <w:r w:rsidR="00B33FE0" w:rsidRPr="009F2C52">
        <w:t>расход</w:t>
      </w:r>
      <w:r w:rsidRPr="009F2C52">
        <w:t>ы</w:t>
      </w:r>
      <w:r w:rsidR="00B33FE0" w:rsidRPr="009F2C52">
        <w:t xml:space="preserve"> </w:t>
      </w:r>
      <w:r w:rsidR="00FD1055" w:rsidRPr="009F2C52">
        <w:t>Облфин</w:t>
      </w:r>
      <w:r w:rsidR="00B33FE0" w:rsidRPr="009F2C52">
        <w:t xml:space="preserve">а </w:t>
      </w:r>
      <w:r w:rsidRPr="009F2C52">
        <w:t xml:space="preserve">сократились </w:t>
      </w:r>
      <w:r w:rsidR="00B33FE0" w:rsidRPr="009F2C52">
        <w:t xml:space="preserve">на </w:t>
      </w:r>
      <w:r w:rsidRPr="009F2C52">
        <w:t>612</w:t>
      </w:r>
      <w:r w:rsidR="00F51F5F">
        <w:t> </w:t>
      </w:r>
      <w:r w:rsidRPr="009F2C52">
        <w:t>131,5</w:t>
      </w:r>
      <w:r w:rsidR="00B33FE0" w:rsidRPr="009F2C52">
        <w:t xml:space="preserve"> тыс. руб., или на </w:t>
      </w:r>
      <w:r w:rsidRPr="009F2C52">
        <w:t>8,8%, что, в основном, связано с сокращением расходов на обслуживание государственного долга.</w:t>
      </w:r>
    </w:p>
    <w:p w:rsidR="004C3E92" w:rsidRDefault="004C3E92" w:rsidP="004C3E92">
      <w:pPr>
        <w:tabs>
          <w:tab w:val="left" w:pos="851"/>
        </w:tabs>
        <w:ind w:firstLine="567"/>
        <w:jc w:val="both"/>
      </w:pPr>
    </w:p>
    <w:p w:rsidR="004C3E92" w:rsidRPr="004C3E92" w:rsidRDefault="004C3E92" w:rsidP="004C3E92">
      <w:pPr>
        <w:autoSpaceDE w:val="0"/>
        <w:autoSpaceDN w:val="0"/>
        <w:adjustRightInd w:val="0"/>
        <w:jc w:val="center"/>
        <w:rPr>
          <w:i/>
        </w:rPr>
      </w:pPr>
      <w:r w:rsidRPr="004C3E92">
        <w:rPr>
          <w:i/>
        </w:rPr>
        <w:t>Содержание центрального аппарата Облфина</w:t>
      </w:r>
    </w:p>
    <w:p w:rsidR="004C3E92" w:rsidRDefault="004C3E92" w:rsidP="004C3E92">
      <w:pPr>
        <w:ind w:firstLine="680"/>
        <w:jc w:val="both"/>
      </w:pPr>
      <w:r>
        <w:t xml:space="preserve">Расходы на содержание центрального аппарата Облфина составили 154 486,2 тыс. руб., из которых </w:t>
      </w:r>
      <w:r w:rsidRPr="00AC26C2">
        <w:t>149</w:t>
      </w:r>
      <w:r>
        <w:t> </w:t>
      </w:r>
      <w:r w:rsidRPr="00AC26C2">
        <w:t>025</w:t>
      </w:r>
      <w:r>
        <w:t>,7 тыс. руб. (96,5%) приходится на оплату труда с начислен</w:t>
      </w:r>
      <w:r w:rsidR="006B7086">
        <w:t>иями.</w:t>
      </w:r>
    </w:p>
    <w:p w:rsidR="004C3E92" w:rsidRPr="00D105F4" w:rsidRDefault="004C3E92" w:rsidP="004C3E92">
      <w:pPr>
        <w:ind w:firstLine="680"/>
        <w:jc w:val="both"/>
      </w:pPr>
      <w:r>
        <w:t>Ф</w:t>
      </w:r>
      <w:r w:rsidRPr="00D105F4">
        <w:t xml:space="preserve">онд оплаты труда </w:t>
      </w:r>
      <w:r>
        <w:t>ГГС</w:t>
      </w:r>
      <w:r w:rsidRPr="00D105F4">
        <w:t xml:space="preserve"> сформирован в размере 122 144,6 </w:t>
      </w:r>
      <w:r w:rsidR="006B7086">
        <w:t>тыс. руб. на 220 штатных единиц</w:t>
      </w:r>
      <w:r w:rsidRPr="00D105F4">
        <w:t>. Фактическая численность ГГ</w:t>
      </w:r>
      <w:r w:rsidR="00694AEE">
        <w:t xml:space="preserve">С на конец 2015 года составила </w:t>
      </w:r>
      <w:r w:rsidRPr="00D105F4">
        <w:t xml:space="preserve"> 197 единиц</w:t>
      </w:r>
      <w:r>
        <w:t>, вакантны 23 должности ГГС</w:t>
      </w:r>
      <w:r w:rsidRPr="00D105F4">
        <w:t>. Фонд оплаты труда</w:t>
      </w:r>
      <w:r>
        <w:t xml:space="preserve"> по вакантным ставкам</w:t>
      </w:r>
      <w:r w:rsidRPr="00D105F4">
        <w:t xml:space="preserve"> </w:t>
      </w:r>
      <w:r>
        <w:t xml:space="preserve">- </w:t>
      </w:r>
      <w:r w:rsidRPr="00D105F4">
        <w:t>11 099,1 тыс.</w:t>
      </w:r>
      <w:r>
        <w:t xml:space="preserve"> </w:t>
      </w:r>
      <w:r w:rsidRPr="00D105F4">
        <w:t xml:space="preserve">рублей. </w:t>
      </w:r>
    </w:p>
    <w:p w:rsidR="004C3E92" w:rsidRPr="00F51F5F" w:rsidRDefault="004C3E92" w:rsidP="004C3E92">
      <w:pPr>
        <w:ind w:firstLine="680"/>
        <w:jc w:val="both"/>
      </w:pPr>
      <w:r w:rsidRPr="00D105F4">
        <w:t>Расходы на оплату труда ГГС составили 114</w:t>
      </w:r>
      <w:r>
        <w:t> </w:t>
      </w:r>
      <w:r w:rsidRPr="00D105F4">
        <w:t xml:space="preserve">637,6 тыс. руб., </w:t>
      </w:r>
      <w:r>
        <w:t>из них</w:t>
      </w:r>
      <w:r w:rsidRPr="00D105F4">
        <w:t xml:space="preserve"> 12 852,6 тыс. руб.</w:t>
      </w:r>
      <w:r>
        <w:t xml:space="preserve"> - </w:t>
      </w:r>
      <w:r w:rsidRPr="00D105F4">
        <w:t>выплат</w:t>
      </w:r>
      <w:r>
        <w:t>ы</w:t>
      </w:r>
      <w:r w:rsidRPr="00D105F4">
        <w:t xml:space="preserve"> денежного поощрения по итогам службы за год </w:t>
      </w:r>
      <w:r>
        <w:t>и за безупречную и эффективную государственную службу</w:t>
      </w:r>
      <w:r w:rsidR="0001009C">
        <w:t>,</w:t>
      </w:r>
      <w:r>
        <w:t xml:space="preserve"> а также </w:t>
      </w:r>
      <w:r w:rsidRPr="00D105F4">
        <w:t>надбавки за правовое обеспечение деятельности</w:t>
      </w:r>
      <w:r w:rsidRPr="00F51F5F">
        <w:t xml:space="preserve">. </w:t>
      </w:r>
    </w:p>
    <w:p w:rsidR="004C3E92" w:rsidRPr="00F51F5F" w:rsidRDefault="00694AEE" w:rsidP="004C3E92">
      <w:pPr>
        <w:ind w:firstLine="680"/>
        <w:jc w:val="both"/>
      </w:pPr>
      <w:r>
        <w:t>Из экономии фонда оплаты труда выплачены п</w:t>
      </w:r>
      <w:r w:rsidR="004C3E92" w:rsidRPr="00F51F5F">
        <w:t xml:space="preserve">ремии за </w:t>
      </w:r>
      <w:r w:rsidR="004C3E92" w:rsidRPr="00F51F5F">
        <w:rPr>
          <w:lang w:eastAsia="en-US"/>
        </w:rPr>
        <w:t xml:space="preserve">выполнение особо важных и сложных заданий в размере </w:t>
      </w:r>
      <w:r w:rsidR="004C3E92" w:rsidRPr="00F51F5F">
        <w:t xml:space="preserve">6 503,9 тыс. рублей. </w:t>
      </w:r>
    </w:p>
    <w:p w:rsidR="00A85D20" w:rsidRDefault="00A85D20" w:rsidP="008B3215">
      <w:pPr>
        <w:ind w:right="-108" w:firstLine="709"/>
        <w:jc w:val="both"/>
      </w:pPr>
    </w:p>
    <w:p w:rsidR="008B3215" w:rsidRPr="008B3215" w:rsidRDefault="008B3215" w:rsidP="008B3215">
      <w:pPr>
        <w:ind w:firstLine="720"/>
        <w:jc w:val="center"/>
        <w:rPr>
          <w:i/>
        </w:rPr>
      </w:pPr>
      <w:r w:rsidRPr="008B3215">
        <w:rPr>
          <w:i/>
        </w:rPr>
        <w:t>Расходы по исполнению судебных актов по искам к казне Волгоградской области о взыскании  средств областного бюджета</w:t>
      </w:r>
    </w:p>
    <w:p w:rsidR="008B3215" w:rsidRPr="00723E23" w:rsidRDefault="008B3215" w:rsidP="00723E23">
      <w:pPr>
        <w:ind w:firstLine="720"/>
        <w:jc w:val="both"/>
      </w:pPr>
      <w:r w:rsidRPr="00411D73">
        <w:t>Законом об областном бюджете на 201</w:t>
      </w:r>
      <w:r>
        <w:t>5</w:t>
      </w:r>
      <w:r w:rsidRPr="00411D73">
        <w:t xml:space="preserve"> год </w:t>
      </w:r>
      <w:r w:rsidRPr="00557358">
        <w:t xml:space="preserve">расходы на исполнение судебных актов по искам к казне Волгоградской области </w:t>
      </w:r>
      <w:r w:rsidR="009B646E">
        <w:t xml:space="preserve">утверждены </w:t>
      </w:r>
      <w:r w:rsidRPr="00557358">
        <w:t xml:space="preserve">в объёме 500 055,4 тыс. рублей.   Согласно бюджетной росписи утверждено 350 000,0 тыс. рублей. По пояснениям </w:t>
      </w:r>
      <w:r>
        <w:t>Об</w:t>
      </w:r>
      <w:r w:rsidR="00292555">
        <w:t>л</w:t>
      </w:r>
      <w:r>
        <w:t>фина</w:t>
      </w:r>
      <w:r w:rsidRPr="00557358">
        <w:t>, уменьше</w:t>
      </w:r>
      <w:r w:rsidR="00694AEE">
        <w:t>ние ассигнований обусловлено не</w:t>
      </w:r>
      <w:r w:rsidRPr="00557358">
        <w:t>предъявлением истцом исполнительного листа по судебному реш</w:t>
      </w:r>
      <w:r w:rsidR="00694AEE">
        <w:t>ению до 31.12.2015, не</w:t>
      </w:r>
      <w:r w:rsidRPr="00557358">
        <w:t xml:space="preserve">вынесением судебных решений по ранее </w:t>
      </w:r>
      <w:r w:rsidR="00B068AC">
        <w:t>предъявленным исковым заявлениям</w:t>
      </w:r>
      <w:r w:rsidRPr="00557358">
        <w:t xml:space="preserve"> к казне Волгоградской области</w:t>
      </w:r>
      <w:r w:rsidR="00730B2D">
        <w:t>, отменой Верховным Судом РФ судебных решений, вступивших в силу,</w:t>
      </w:r>
      <w:r w:rsidRPr="00557358">
        <w:t xml:space="preserve"> заключением мировых соглашений, </w:t>
      </w:r>
      <w:r w:rsidRPr="00557358">
        <w:lastRenderedPageBreak/>
        <w:t xml:space="preserve">самостоятельной уплатой долга получателем  </w:t>
      </w:r>
      <w:r w:rsidRPr="00723E23">
        <w:t xml:space="preserve">бюджетных средств до вынесения судебного решения. </w:t>
      </w:r>
    </w:p>
    <w:p w:rsidR="008B3215" w:rsidRDefault="009B646E" w:rsidP="008B3215">
      <w:pPr>
        <w:ind w:firstLine="720"/>
        <w:jc w:val="both"/>
      </w:pPr>
      <w:r>
        <w:t>В</w:t>
      </w:r>
      <w:r w:rsidR="008B3215" w:rsidRPr="00723E23">
        <w:t xml:space="preserve"> 2013</w:t>
      </w:r>
      <w:r w:rsidR="00723E23" w:rsidRPr="00723E23">
        <w:t xml:space="preserve"> – 2014 годах </w:t>
      </w:r>
      <w:r w:rsidR="008B3215" w:rsidRPr="00723E23">
        <w:t xml:space="preserve">наблюдается резкое увеличение расходов областного бюджета на исполнение судебных актов. </w:t>
      </w:r>
      <w:r w:rsidR="00723E23" w:rsidRPr="00723E23">
        <w:t>В 2015 году объём этих</w:t>
      </w:r>
      <w:r w:rsidR="00723E23">
        <w:t xml:space="preserve"> расходов снизился. </w:t>
      </w:r>
      <w:r w:rsidR="008B3215">
        <w:t>Динамика расходов бюджета на исполнение судебных актов с 2011 по 2015 годы  представлена в таблице.</w:t>
      </w:r>
    </w:p>
    <w:p w:rsidR="008B3215" w:rsidRDefault="008B3215" w:rsidP="008B3215">
      <w:pPr>
        <w:jc w:val="right"/>
      </w:pPr>
      <w:r>
        <w:t>тыс. руб.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7"/>
        <w:gridCol w:w="968"/>
        <w:gridCol w:w="1054"/>
        <w:gridCol w:w="1336"/>
        <w:gridCol w:w="1160"/>
        <w:gridCol w:w="1212"/>
        <w:gridCol w:w="1049"/>
        <w:gridCol w:w="1019"/>
        <w:gridCol w:w="1049"/>
      </w:tblGrid>
      <w:tr w:rsidR="008B3215" w:rsidRPr="00F31A32" w:rsidTr="00BA6203">
        <w:tc>
          <w:tcPr>
            <w:tcW w:w="977" w:type="dxa"/>
            <w:vMerge w:val="restart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68" w:type="dxa"/>
            <w:vMerge w:val="restart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054" w:type="dxa"/>
            <w:vMerge w:val="restart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2496" w:type="dxa"/>
            <w:gridSpan w:val="2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261" w:type="dxa"/>
            <w:gridSpan w:val="2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068" w:type="dxa"/>
            <w:gridSpan w:val="2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2015</w:t>
            </w:r>
          </w:p>
        </w:tc>
      </w:tr>
      <w:tr w:rsidR="008B3215" w:rsidRPr="00F31A32" w:rsidTr="00BA6203">
        <w:tc>
          <w:tcPr>
            <w:tcW w:w="977" w:type="dxa"/>
            <w:vMerge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160" w:type="dxa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% к 2012</w:t>
            </w:r>
          </w:p>
        </w:tc>
        <w:tc>
          <w:tcPr>
            <w:tcW w:w="1212" w:type="dxa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049" w:type="dxa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% к 2013</w:t>
            </w:r>
          </w:p>
        </w:tc>
        <w:tc>
          <w:tcPr>
            <w:tcW w:w="1019" w:type="dxa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Сум</w:t>
            </w:r>
            <w:r w:rsidR="00F31A32">
              <w:rPr>
                <w:b/>
                <w:sz w:val="20"/>
                <w:szCs w:val="20"/>
              </w:rPr>
              <w:t>м</w:t>
            </w:r>
            <w:r w:rsidRPr="00F31A3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049" w:type="dxa"/>
            <w:vAlign w:val="center"/>
          </w:tcPr>
          <w:p w:rsidR="008B3215" w:rsidRPr="00F31A32" w:rsidRDefault="008B3215" w:rsidP="008B3215">
            <w:pPr>
              <w:jc w:val="center"/>
              <w:rPr>
                <w:b/>
                <w:sz w:val="20"/>
                <w:szCs w:val="20"/>
              </w:rPr>
            </w:pPr>
            <w:r w:rsidRPr="00F31A32">
              <w:rPr>
                <w:b/>
                <w:sz w:val="20"/>
                <w:szCs w:val="20"/>
              </w:rPr>
              <w:t>% к 2014</w:t>
            </w:r>
          </w:p>
        </w:tc>
      </w:tr>
      <w:tr w:rsidR="008B3215" w:rsidRPr="00525130" w:rsidTr="00BA6203">
        <w:tc>
          <w:tcPr>
            <w:tcW w:w="977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2812,5</w:t>
            </w:r>
          </w:p>
        </w:tc>
        <w:tc>
          <w:tcPr>
            <w:tcW w:w="968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1988,4</w:t>
            </w:r>
          </w:p>
        </w:tc>
        <w:tc>
          <w:tcPr>
            <w:tcW w:w="1054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1871,0</w:t>
            </w:r>
          </w:p>
        </w:tc>
        <w:tc>
          <w:tcPr>
            <w:tcW w:w="1336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50267,9</w:t>
            </w:r>
          </w:p>
        </w:tc>
        <w:tc>
          <w:tcPr>
            <w:tcW w:w="1160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в 26,9 раз</w:t>
            </w:r>
          </w:p>
        </w:tc>
        <w:tc>
          <w:tcPr>
            <w:tcW w:w="1212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381 791,0</w:t>
            </w:r>
          </w:p>
        </w:tc>
        <w:tc>
          <w:tcPr>
            <w:tcW w:w="1049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в 7,6 раз</w:t>
            </w:r>
          </w:p>
        </w:tc>
        <w:tc>
          <w:tcPr>
            <w:tcW w:w="1019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342 655,8</w:t>
            </w:r>
          </w:p>
        </w:tc>
        <w:tc>
          <w:tcPr>
            <w:tcW w:w="1049" w:type="dxa"/>
            <w:vAlign w:val="center"/>
          </w:tcPr>
          <w:p w:rsidR="008B3215" w:rsidRPr="00525130" w:rsidRDefault="008B3215" w:rsidP="008B3215">
            <w:pPr>
              <w:jc w:val="center"/>
              <w:rPr>
                <w:sz w:val="20"/>
                <w:szCs w:val="20"/>
              </w:rPr>
            </w:pPr>
            <w:r w:rsidRPr="00525130">
              <w:rPr>
                <w:sz w:val="20"/>
                <w:szCs w:val="20"/>
              </w:rPr>
              <w:t>90%</w:t>
            </w:r>
          </w:p>
        </w:tc>
      </w:tr>
    </w:tbl>
    <w:p w:rsidR="00525130" w:rsidRDefault="00525130" w:rsidP="008B3215">
      <w:pPr>
        <w:ind w:firstLine="708"/>
        <w:jc w:val="both"/>
      </w:pPr>
    </w:p>
    <w:p w:rsidR="008B3215" w:rsidRDefault="009B646E" w:rsidP="008B3215">
      <w:pPr>
        <w:ind w:firstLine="708"/>
        <w:jc w:val="both"/>
      </w:pPr>
      <w:r>
        <w:t>Р</w:t>
      </w:r>
      <w:r w:rsidR="008B3215">
        <w:t>асходы на исполнение судебных актов в 2010 -2012 годах склад</w:t>
      </w:r>
      <w:r>
        <w:t>ывались в размере 2-3 млн. руб.</w:t>
      </w:r>
      <w:r w:rsidR="008B3215">
        <w:t xml:space="preserve"> и</w:t>
      </w:r>
      <w:r>
        <w:t>,</w:t>
      </w:r>
      <w:r w:rsidR="008B3215">
        <w:t xml:space="preserve"> в основном, были связаны с возмещением материального вреда физическим лицам за незаконное привлечение их к административной ответственности.</w:t>
      </w:r>
    </w:p>
    <w:p w:rsidR="008B3215" w:rsidRDefault="008B3215" w:rsidP="009B646E">
      <w:pPr>
        <w:ind w:firstLine="708"/>
        <w:jc w:val="both"/>
      </w:pPr>
      <w:r>
        <w:t xml:space="preserve">Увеличение расходов с 2013 года связано с обращением юридических лиц в суд о взыскании с казны Волгоградской области долгов бюджетополучателей по исполненным, но неоплаченным контрактам (договорам) за прошлые периоды. </w:t>
      </w:r>
      <w:r w:rsidR="009B646E">
        <w:t>В</w:t>
      </w:r>
      <w:r>
        <w:t xml:space="preserve"> состав общей суммы исполнения судебных актов в 2015 году (342 655,8 тыс. руб.)</w:t>
      </w:r>
      <w:r w:rsidR="00186EFD">
        <w:t>, в основном,</w:t>
      </w:r>
      <w:r>
        <w:t xml:space="preserve"> входит сумма долга по неоплаченным расходам за прошлые периоды – </w:t>
      </w:r>
      <w:r w:rsidRPr="00557358">
        <w:t>334 340,6</w:t>
      </w:r>
      <w:r>
        <w:t xml:space="preserve"> тыс. руб. и сумма дополнительных издержек, указанная в исполнительных листах (% за пользование чужими денежными средствами, компенсация судебных издержек, госпошлина) – </w:t>
      </w:r>
      <w:r w:rsidRPr="00557358">
        <w:t>7541,1</w:t>
      </w:r>
      <w:r>
        <w:t xml:space="preserve"> тыс. рублей. </w:t>
      </w:r>
    </w:p>
    <w:p w:rsidR="008B3215" w:rsidRDefault="008B3215" w:rsidP="008B3215">
      <w:pPr>
        <w:autoSpaceDE w:val="0"/>
        <w:autoSpaceDN w:val="0"/>
        <w:adjustRightInd w:val="0"/>
        <w:ind w:firstLine="709"/>
        <w:jc w:val="both"/>
      </w:pPr>
      <w:r w:rsidRPr="00BB4D71">
        <w:t>Резкое увеличение исков к казне Волгоградской области указывает на нереалистичность и несбалансированность планируемого бюджета</w:t>
      </w:r>
      <w:r>
        <w:t xml:space="preserve"> Волгог</w:t>
      </w:r>
      <w:r w:rsidR="00B310D2">
        <w:t xml:space="preserve">радской области 2012-2014 годов, что привело к дополнительным (неэффективным) расходам областного бюджета на исполнение судебных решений (помимо основного долга) в 2015 году в сумме </w:t>
      </w:r>
      <w:r w:rsidR="00B310D2" w:rsidRPr="00557358">
        <w:t>7541,1</w:t>
      </w:r>
      <w:r w:rsidR="00B310D2">
        <w:t xml:space="preserve"> тыс. рублей.</w:t>
      </w:r>
    </w:p>
    <w:p w:rsidR="002A7D9C" w:rsidRPr="00A770D5" w:rsidRDefault="002A7D9C" w:rsidP="002B2D3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B3215" w:rsidRPr="00A770D5" w:rsidRDefault="008B3215" w:rsidP="008B3215">
      <w:pPr>
        <w:tabs>
          <w:tab w:val="left" w:pos="851"/>
        </w:tabs>
        <w:jc w:val="center"/>
        <w:rPr>
          <w:i/>
        </w:rPr>
      </w:pPr>
      <w:r w:rsidRPr="00A770D5">
        <w:rPr>
          <w:i/>
        </w:rPr>
        <w:t>ГКУ «Центр бюджетного учёта»</w:t>
      </w:r>
    </w:p>
    <w:p w:rsidR="008B3215" w:rsidRPr="00723E23" w:rsidRDefault="004B6A9F" w:rsidP="008B3215">
      <w:pPr>
        <w:ind w:firstLine="708"/>
        <w:jc w:val="both"/>
      </w:pPr>
      <w:r w:rsidRPr="00A770D5">
        <w:t>Г</w:t>
      </w:r>
      <w:r w:rsidR="008B3215" w:rsidRPr="00A770D5">
        <w:t xml:space="preserve">осударственное казенное учреждение Волгоградской области «Центр бюджетного учета и отчетности» (далее - ГКУ ЦБУ) </w:t>
      </w:r>
      <w:r w:rsidRPr="00A770D5">
        <w:t>созда</w:t>
      </w:r>
      <w:r w:rsidR="008B3215" w:rsidRPr="00A770D5">
        <w:t xml:space="preserve">но </w:t>
      </w:r>
      <w:r w:rsidRPr="00A770D5">
        <w:t>в соответствии с</w:t>
      </w:r>
      <w:r w:rsidR="008B3215" w:rsidRPr="00A770D5">
        <w:t xml:space="preserve"> постановлени</w:t>
      </w:r>
      <w:r w:rsidRPr="00A770D5">
        <w:t>ем</w:t>
      </w:r>
      <w:r w:rsidR="008B3215" w:rsidRPr="00A770D5">
        <w:t xml:space="preserve"> Администрации Волгоградской области от 09.02.2015 № 49-п. По состоянию на 31.12.2015 </w:t>
      </w:r>
      <w:r w:rsidR="008B3215" w:rsidRPr="00723E23">
        <w:t>утвержденная штатная численность ГКУ ЦБУ 27,5 ед., среднесписочная численность работников за отчетный период - 22 ед.</w:t>
      </w:r>
    </w:p>
    <w:p w:rsidR="008B3215" w:rsidRPr="00723E23" w:rsidRDefault="00DA00D1" w:rsidP="008B3215">
      <w:pPr>
        <w:ind w:firstLine="708"/>
        <w:jc w:val="both"/>
      </w:pPr>
      <w:r w:rsidRPr="00723E23">
        <w:t>Облфин обосновывает необходимость создания ГКУ ЦБУ следующим.</w:t>
      </w:r>
    </w:p>
    <w:p w:rsidR="00525130" w:rsidRPr="00A770D5" w:rsidRDefault="00525130" w:rsidP="00DA00D1">
      <w:pPr>
        <w:shd w:val="clear" w:color="auto" w:fill="FFFFFF"/>
        <w:ind w:right="22" w:firstLine="709"/>
        <w:jc w:val="both"/>
      </w:pPr>
      <w:r w:rsidRPr="00723E23">
        <w:rPr>
          <w:rFonts w:eastAsia="Times New Roman"/>
          <w:spacing w:val="-3"/>
        </w:rPr>
        <w:t xml:space="preserve">Письмом </w:t>
      </w:r>
      <w:r w:rsidR="00DA00D1" w:rsidRPr="00723E23">
        <w:rPr>
          <w:rFonts w:eastAsia="Times New Roman"/>
          <w:spacing w:val="-3"/>
        </w:rPr>
        <w:t xml:space="preserve">Минфина РФ </w:t>
      </w:r>
      <w:r w:rsidRPr="00723E23">
        <w:rPr>
          <w:rFonts w:eastAsia="Times New Roman"/>
          <w:spacing w:val="-3"/>
        </w:rPr>
        <w:t xml:space="preserve">от 01.12.2014 г. № 06-03-05/61507 </w:t>
      </w:r>
      <w:r w:rsidR="00DA00D1" w:rsidRPr="00723E23">
        <w:rPr>
          <w:rFonts w:eastAsia="Times New Roman"/>
          <w:spacing w:val="-3"/>
        </w:rPr>
        <w:t>«</w:t>
      </w:r>
      <w:r w:rsidR="00DA00D1" w:rsidRPr="00723E23">
        <w:t>О направлении</w:t>
      </w:r>
      <w:r w:rsidR="00DA00D1" w:rsidRPr="00A770D5">
        <w:t xml:space="preserve"> рекомендаций по направлениям роста доходов и оптимизации расходов при формировании бюджетов субъектов Российской Федерации на 2015 - 2017 годы»</w:t>
      </w:r>
      <w:r w:rsidR="00DA00D1" w:rsidRPr="00A770D5">
        <w:rPr>
          <w:rFonts w:eastAsia="Times New Roman"/>
          <w:spacing w:val="-3"/>
        </w:rPr>
        <w:t xml:space="preserve"> субъектам </w:t>
      </w:r>
      <w:r w:rsidR="00DA00D1" w:rsidRPr="00A770D5">
        <w:rPr>
          <w:rFonts w:eastAsia="Times New Roman"/>
          <w:spacing w:val="-4"/>
        </w:rPr>
        <w:t xml:space="preserve">РФ </w:t>
      </w:r>
      <w:r w:rsidR="009D6FE1" w:rsidRPr="00A770D5">
        <w:rPr>
          <w:rFonts w:eastAsia="Times New Roman"/>
          <w:spacing w:val="-4"/>
        </w:rPr>
        <w:t xml:space="preserve">указаны </w:t>
      </w:r>
      <w:r w:rsidRPr="00A770D5">
        <w:rPr>
          <w:rFonts w:eastAsia="Times New Roman"/>
        </w:rPr>
        <w:t xml:space="preserve">основные </w:t>
      </w:r>
      <w:r w:rsidR="009D6FE1" w:rsidRPr="00A770D5">
        <w:rPr>
          <w:rFonts w:eastAsia="Times New Roman"/>
        </w:rPr>
        <w:t>направления</w:t>
      </w:r>
      <w:r w:rsidRPr="00A770D5">
        <w:rPr>
          <w:rFonts w:eastAsia="Times New Roman"/>
          <w:spacing w:val="-2"/>
        </w:rPr>
        <w:t xml:space="preserve"> по оптимизации расходов бюджета</w:t>
      </w:r>
      <w:r w:rsidR="00DA00D1" w:rsidRPr="00A770D5">
        <w:rPr>
          <w:rFonts w:eastAsia="Times New Roman"/>
          <w:spacing w:val="-4"/>
        </w:rPr>
        <w:t>, в том числе путём</w:t>
      </w:r>
      <w:r w:rsidRPr="00A770D5">
        <w:rPr>
          <w:rFonts w:eastAsia="Times New Roman"/>
          <w:spacing w:val="-4"/>
        </w:rPr>
        <w:t xml:space="preserve"> оптимизации бюджетной сети и </w:t>
      </w:r>
      <w:r w:rsidRPr="00A770D5">
        <w:rPr>
          <w:rFonts w:eastAsia="Times New Roman"/>
        </w:rPr>
        <w:t>органов управления.</w:t>
      </w:r>
    </w:p>
    <w:p w:rsidR="00525130" w:rsidRPr="00A770D5" w:rsidRDefault="009D6FE1" w:rsidP="00730B2D">
      <w:pPr>
        <w:shd w:val="clear" w:color="auto" w:fill="FFFFFF"/>
        <w:ind w:right="22" w:firstLine="709"/>
        <w:jc w:val="both"/>
      </w:pPr>
      <w:r w:rsidRPr="00A770D5">
        <w:rPr>
          <w:rFonts w:eastAsia="Times New Roman"/>
        </w:rPr>
        <w:t>С начала 2015 года</w:t>
      </w:r>
      <w:r w:rsidR="00525130" w:rsidRPr="00A770D5">
        <w:rPr>
          <w:rFonts w:eastAsia="Times New Roman"/>
        </w:rPr>
        <w:t xml:space="preserve"> </w:t>
      </w:r>
      <w:r w:rsidRPr="00A770D5">
        <w:rPr>
          <w:rFonts w:eastAsia="Times New Roman"/>
        </w:rPr>
        <w:t>Облфином</w:t>
      </w:r>
      <w:r w:rsidR="00525130" w:rsidRPr="00A770D5">
        <w:rPr>
          <w:rFonts w:eastAsia="Times New Roman"/>
        </w:rPr>
        <w:t xml:space="preserve"> проводятся мероприятия по оптимизации расходов в части ведения </w:t>
      </w:r>
      <w:r w:rsidR="00525130" w:rsidRPr="00A770D5">
        <w:rPr>
          <w:rFonts w:eastAsia="Times New Roman"/>
          <w:spacing w:val="-4"/>
        </w:rPr>
        <w:t>бюджетного учета органов государственной власти Волгоградской области.</w:t>
      </w:r>
      <w:r w:rsidR="00730B2D">
        <w:rPr>
          <w:rFonts w:eastAsia="Times New Roman"/>
          <w:spacing w:val="-4"/>
        </w:rPr>
        <w:t xml:space="preserve"> </w:t>
      </w:r>
      <w:r w:rsidR="00525130" w:rsidRPr="00A770D5">
        <w:rPr>
          <w:rFonts w:eastAsia="Times New Roman"/>
          <w:spacing w:val="-2"/>
        </w:rPr>
        <w:t xml:space="preserve">С этой целью </w:t>
      </w:r>
      <w:r w:rsidRPr="00A770D5">
        <w:rPr>
          <w:rFonts w:eastAsia="Times New Roman"/>
          <w:spacing w:val="-2"/>
        </w:rPr>
        <w:t xml:space="preserve">и </w:t>
      </w:r>
      <w:r w:rsidR="00525130" w:rsidRPr="00A770D5">
        <w:rPr>
          <w:rFonts w:eastAsia="Times New Roman"/>
          <w:spacing w:val="-2"/>
        </w:rPr>
        <w:t xml:space="preserve">создано </w:t>
      </w:r>
      <w:r w:rsidR="00525130" w:rsidRPr="00A770D5">
        <w:rPr>
          <w:rFonts w:eastAsia="Times New Roman"/>
          <w:spacing w:val="-4"/>
        </w:rPr>
        <w:t xml:space="preserve"> ГКУ ЦБУ. В числе первоочередных задач на 2015 год, поставленных перед ГКУ </w:t>
      </w:r>
      <w:r w:rsidR="00525130" w:rsidRPr="00A770D5">
        <w:rPr>
          <w:rFonts w:eastAsia="Times New Roman"/>
        </w:rPr>
        <w:t>ЦБУ</w:t>
      </w:r>
      <w:r w:rsidRPr="00A770D5">
        <w:rPr>
          <w:rFonts w:eastAsia="Times New Roman"/>
        </w:rPr>
        <w:t>,</w:t>
      </w:r>
      <w:r w:rsidR="00525130" w:rsidRPr="00A770D5">
        <w:rPr>
          <w:rFonts w:eastAsia="Times New Roman"/>
        </w:rPr>
        <w:t xml:space="preserve"> явились следующие:</w:t>
      </w:r>
    </w:p>
    <w:p w:rsidR="00525130" w:rsidRPr="00A770D5" w:rsidRDefault="00525130" w:rsidP="00C410C1">
      <w:pPr>
        <w:widowControl w:val="0"/>
        <w:numPr>
          <w:ilvl w:val="0"/>
          <w:numId w:val="5"/>
        </w:numPr>
        <w:shd w:val="clear" w:color="auto" w:fill="FFFFFF"/>
        <w:tabs>
          <w:tab w:val="left" w:pos="1908"/>
        </w:tabs>
        <w:autoSpaceDE w:val="0"/>
        <w:autoSpaceDN w:val="0"/>
        <w:adjustRightInd w:val="0"/>
        <w:ind w:right="22" w:firstLine="709"/>
        <w:jc w:val="both"/>
        <w:rPr>
          <w:rFonts w:eastAsia="Times New Roman"/>
        </w:rPr>
      </w:pPr>
      <w:r w:rsidRPr="00A770D5">
        <w:rPr>
          <w:rFonts w:eastAsia="Times New Roman"/>
        </w:rPr>
        <w:t xml:space="preserve">повышение качества ведения бюджетного учета и составления </w:t>
      </w:r>
      <w:r w:rsidRPr="00A770D5">
        <w:rPr>
          <w:rFonts w:eastAsia="Times New Roman"/>
          <w:spacing w:val="-4"/>
        </w:rPr>
        <w:t xml:space="preserve">бюджетной отчетности 10 </w:t>
      </w:r>
      <w:r w:rsidR="00730B2D">
        <w:rPr>
          <w:rFonts w:eastAsia="Times New Roman"/>
          <w:spacing w:val="-4"/>
        </w:rPr>
        <w:t xml:space="preserve">органов исполнительной власти (далее – </w:t>
      </w:r>
      <w:r w:rsidRPr="00A770D5">
        <w:rPr>
          <w:rFonts w:eastAsia="Times New Roman"/>
          <w:spacing w:val="-4"/>
        </w:rPr>
        <w:t>ОИВ</w:t>
      </w:r>
      <w:r w:rsidR="00730B2D">
        <w:rPr>
          <w:rFonts w:eastAsia="Times New Roman"/>
          <w:spacing w:val="-4"/>
        </w:rPr>
        <w:t>)</w:t>
      </w:r>
      <w:r w:rsidRPr="00A770D5">
        <w:rPr>
          <w:rFonts w:eastAsia="Times New Roman"/>
          <w:spacing w:val="-4"/>
        </w:rPr>
        <w:t xml:space="preserve"> на основе единой методологии;</w:t>
      </w:r>
    </w:p>
    <w:p w:rsidR="00525130" w:rsidRPr="00A770D5" w:rsidRDefault="00525130" w:rsidP="00C410C1">
      <w:pPr>
        <w:widowControl w:val="0"/>
        <w:numPr>
          <w:ilvl w:val="0"/>
          <w:numId w:val="5"/>
        </w:numPr>
        <w:shd w:val="clear" w:color="auto" w:fill="FFFFFF"/>
        <w:tabs>
          <w:tab w:val="left" w:pos="1908"/>
        </w:tabs>
        <w:autoSpaceDE w:val="0"/>
        <w:autoSpaceDN w:val="0"/>
        <w:adjustRightInd w:val="0"/>
        <w:ind w:firstLine="709"/>
        <w:rPr>
          <w:rFonts w:eastAsia="Times New Roman"/>
        </w:rPr>
      </w:pPr>
      <w:r w:rsidRPr="00A770D5">
        <w:rPr>
          <w:rFonts w:eastAsia="Times New Roman"/>
          <w:spacing w:val="-5"/>
        </w:rPr>
        <w:t>поддержка процессов реформирования бюджетного учета и отчетности;</w:t>
      </w:r>
    </w:p>
    <w:p w:rsidR="00525130" w:rsidRPr="00A770D5" w:rsidRDefault="00525130" w:rsidP="00C410C1">
      <w:pPr>
        <w:widowControl w:val="0"/>
        <w:numPr>
          <w:ilvl w:val="0"/>
          <w:numId w:val="5"/>
        </w:numPr>
        <w:shd w:val="clear" w:color="auto" w:fill="FFFFFF"/>
        <w:tabs>
          <w:tab w:val="left" w:pos="1908"/>
        </w:tabs>
        <w:autoSpaceDE w:val="0"/>
        <w:autoSpaceDN w:val="0"/>
        <w:adjustRightInd w:val="0"/>
        <w:ind w:right="7" w:firstLine="709"/>
        <w:jc w:val="both"/>
        <w:rPr>
          <w:rFonts w:eastAsia="Times New Roman"/>
        </w:rPr>
      </w:pPr>
      <w:r w:rsidRPr="00A770D5">
        <w:rPr>
          <w:rFonts w:eastAsia="Times New Roman"/>
        </w:rPr>
        <w:t>автоматизация ведения бюджетного учета 10 ОИВ на основе современных программ и технологий, унификация требований к программному обеспечению;</w:t>
      </w:r>
    </w:p>
    <w:p w:rsidR="00525130" w:rsidRPr="00A770D5" w:rsidRDefault="00525130" w:rsidP="00C410C1">
      <w:pPr>
        <w:widowControl w:val="0"/>
        <w:numPr>
          <w:ilvl w:val="0"/>
          <w:numId w:val="5"/>
        </w:numPr>
        <w:shd w:val="clear" w:color="auto" w:fill="FFFFFF"/>
        <w:tabs>
          <w:tab w:val="left" w:pos="1908"/>
        </w:tabs>
        <w:autoSpaceDE w:val="0"/>
        <w:autoSpaceDN w:val="0"/>
        <w:adjustRightInd w:val="0"/>
        <w:ind w:firstLine="709"/>
        <w:rPr>
          <w:rFonts w:eastAsia="Times New Roman"/>
        </w:rPr>
      </w:pPr>
      <w:r w:rsidRPr="00A770D5">
        <w:rPr>
          <w:rFonts w:eastAsia="Times New Roman"/>
          <w:spacing w:val="-3"/>
        </w:rPr>
        <w:t>сокращение затрат на ведение учета;</w:t>
      </w:r>
    </w:p>
    <w:p w:rsidR="00525130" w:rsidRPr="00A770D5" w:rsidRDefault="00525130" w:rsidP="00C410C1">
      <w:pPr>
        <w:widowControl w:val="0"/>
        <w:numPr>
          <w:ilvl w:val="0"/>
          <w:numId w:val="5"/>
        </w:numPr>
        <w:shd w:val="clear" w:color="auto" w:fill="FFFFFF"/>
        <w:tabs>
          <w:tab w:val="left" w:pos="1908"/>
        </w:tabs>
        <w:autoSpaceDE w:val="0"/>
        <w:autoSpaceDN w:val="0"/>
        <w:adjustRightInd w:val="0"/>
        <w:ind w:firstLine="709"/>
        <w:rPr>
          <w:rFonts w:eastAsia="Times New Roman"/>
        </w:rPr>
      </w:pPr>
      <w:r w:rsidRPr="00A770D5">
        <w:rPr>
          <w:rFonts w:eastAsia="Times New Roman"/>
          <w:spacing w:val="-4"/>
        </w:rPr>
        <w:t>повышение прозрачности учетных процессов;</w:t>
      </w:r>
    </w:p>
    <w:p w:rsidR="00525130" w:rsidRPr="00A770D5" w:rsidRDefault="00525130" w:rsidP="00C410C1">
      <w:pPr>
        <w:widowControl w:val="0"/>
        <w:numPr>
          <w:ilvl w:val="0"/>
          <w:numId w:val="5"/>
        </w:numPr>
        <w:shd w:val="clear" w:color="auto" w:fill="FFFFFF"/>
        <w:tabs>
          <w:tab w:val="left" w:pos="1908"/>
        </w:tabs>
        <w:autoSpaceDE w:val="0"/>
        <w:autoSpaceDN w:val="0"/>
        <w:adjustRightInd w:val="0"/>
        <w:ind w:right="7" w:firstLine="709"/>
        <w:jc w:val="both"/>
        <w:rPr>
          <w:rFonts w:eastAsia="Times New Roman"/>
        </w:rPr>
      </w:pPr>
      <w:r w:rsidRPr="00A770D5">
        <w:rPr>
          <w:rFonts w:eastAsia="Times New Roman"/>
        </w:rPr>
        <w:t>повышение скорости выполнения учетных функций путем формализации документооборота.</w:t>
      </w:r>
    </w:p>
    <w:p w:rsidR="00525130" w:rsidRPr="00A770D5" w:rsidRDefault="00525130" w:rsidP="009D6FE1">
      <w:pPr>
        <w:shd w:val="clear" w:color="auto" w:fill="FFFFFF"/>
        <w:ind w:firstLine="709"/>
        <w:jc w:val="both"/>
      </w:pPr>
      <w:r w:rsidRPr="00A770D5">
        <w:rPr>
          <w:rFonts w:eastAsia="Times New Roman"/>
        </w:rPr>
        <w:t>Для того</w:t>
      </w:r>
      <w:r w:rsidR="00B310D2">
        <w:rPr>
          <w:rFonts w:eastAsia="Times New Roman"/>
        </w:rPr>
        <w:t>,</w:t>
      </w:r>
      <w:r w:rsidRPr="00A770D5">
        <w:rPr>
          <w:rFonts w:eastAsia="Times New Roman"/>
        </w:rPr>
        <w:t xml:space="preserve"> чтобы </w:t>
      </w:r>
      <w:r w:rsidR="00B310D2">
        <w:rPr>
          <w:rFonts w:eastAsia="Times New Roman"/>
        </w:rPr>
        <w:t>«</w:t>
      </w:r>
      <w:r w:rsidRPr="00A770D5">
        <w:rPr>
          <w:rFonts w:eastAsia="Times New Roman"/>
        </w:rPr>
        <w:t>замкнуть</w:t>
      </w:r>
      <w:r w:rsidR="00B310D2">
        <w:rPr>
          <w:rFonts w:eastAsia="Times New Roman"/>
        </w:rPr>
        <w:t>»</w:t>
      </w:r>
      <w:r w:rsidRPr="00A770D5">
        <w:rPr>
          <w:rFonts w:eastAsia="Times New Roman"/>
        </w:rPr>
        <w:t xml:space="preserve"> информационный контур бюджетного процесса Волгоградской области, включающий в себя автоматизацию процессов планирования</w:t>
      </w:r>
      <w:r w:rsidR="009E264F">
        <w:rPr>
          <w:rFonts w:eastAsia="Times New Roman"/>
        </w:rPr>
        <w:t xml:space="preserve"> бюджета</w:t>
      </w:r>
      <w:r w:rsidRPr="00A770D5">
        <w:rPr>
          <w:rFonts w:eastAsia="Times New Roman"/>
        </w:rPr>
        <w:t>, управления</w:t>
      </w:r>
      <w:r w:rsidR="009D6FE1" w:rsidRPr="00A770D5">
        <w:rPr>
          <w:rFonts w:eastAsia="Times New Roman"/>
        </w:rPr>
        <w:t xml:space="preserve"> </w:t>
      </w:r>
      <w:r w:rsidRPr="00A770D5">
        <w:rPr>
          <w:rFonts w:eastAsia="Times New Roman"/>
          <w:spacing w:val="-13"/>
        </w:rPr>
        <w:t xml:space="preserve">закупками, </w:t>
      </w:r>
      <w:r w:rsidR="009E264F">
        <w:rPr>
          <w:rFonts w:eastAsia="Times New Roman"/>
          <w:spacing w:val="-13"/>
        </w:rPr>
        <w:t>исполнения бюджета</w:t>
      </w:r>
      <w:r w:rsidRPr="00A770D5">
        <w:rPr>
          <w:rFonts w:eastAsia="Times New Roman"/>
          <w:spacing w:val="-13"/>
        </w:rPr>
        <w:t xml:space="preserve"> и дру</w:t>
      </w:r>
      <w:r w:rsidR="009D6FE1" w:rsidRPr="00A770D5">
        <w:rPr>
          <w:rFonts w:eastAsia="Times New Roman"/>
          <w:spacing w:val="-13"/>
        </w:rPr>
        <w:t xml:space="preserve">гие механизмы, в 2015 году ГКУ </w:t>
      </w:r>
      <w:r w:rsidRPr="00A770D5">
        <w:rPr>
          <w:rFonts w:eastAsia="Times New Roman"/>
          <w:spacing w:val="-13"/>
        </w:rPr>
        <w:t xml:space="preserve">ЦБУ </w:t>
      </w:r>
      <w:r w:rsidRPr="00A770D5">
        <w:rPr>
          <w:rFonts w:eastAsia="Times New Roman"/>
          <w:spacing w:val="-13"/>
        </w:rPr>
        <w:lastRenderedPageBreak/>
        <w:t xml:space="preserve">осуществляется </w:t>
      </w:r>
      <w:r w:rsidRPr="00A770D5">
        <w:rPr>
          <w:rFonts w:eastAsia="Times New Roman"/>
          <w:spacing w:val="-9"/>
        </w:rPr>
        <w:t xml:space="preserve">автоматизация бюджетного учета на основе централизованной </w:t>
      </w:r>
      <w:r w:rsidRPr="00A770D5">
        <w:rPr>
          <w:rFonts w:eastAsia="Times New Roman"/>
        </w:rPr>
        <w:t xml:space="preserve">системы </w:t>
      </w:r>
      <w:r w:rsidR="00B310D2">
        <w:rPr>
          <w:rFonts w:eastAsia="Times New Roman"/>
        </w:rPr>
        <w:t>«АЦК - Бюджетный учет»</w:t>
      </w:r>
      <w:r w:rsidRPr="00A770D5">
        <w:rPr>
          <w:rFonts w:eastAsia="Times New Roman"/>
        </w:rPr>
        <w:t>.</w:t>
      </w:r>
    </w:p>
    <w:p w:rsidR="00525130" w:rsidRPr="00A770D5" w:rsidRDefault="00525130" w:rsidP="00C410C1">
      <w:pPr>
        <w:shd w:val="clear" w:color="auto" w:fill="FFFFFF"/>
        <w:ind w:right="25" w:firstLine="709"/>
        <w:jc w:val="both"/>
      </w:pPr>
      <w:r w:rsidRPr="00A770D5">
        <w:rPr>
          <w:rFonts w:eastAsia="Times New Roman"/>
          <w:spacing w:val="-5"/>
        </w:rPr>
        <w:t xml:space="preserve">Ведение бюджетного учета смет </w:t>
      </w:r>
      <w:r w:rsidR="009D6FE1" w:rsidRPr="00A770D5">
        <w:rPr>
          <w:rFonts w:eastAsia="Times New Roman"/>
          <w:spacing w:val="-5"/>
        </w:rPr>
        <w:t xml:space="preserve">10 </w:t>
      </w:r>
      <w:r w:rsidRPr="00A770D5">
        <w:rPr>
          <w:rFonts w:eastAsia="Times New Roman"/>
          <w:spacing w:val="-5"/>
        </w:rPr>
        <w:t xml:space="preserve">централизуемых ведомств </w:t>
      </w:r>
      <w:r w:rsidRPr="00A770D5">
        <w:rPr>
          <w:rFonts w:eastAsia="Times New Roman"/>
          <w:spacing w:val="-12"/>
        </w:rPr>
        <w:t xml:space="preserve">осуществляется на основании соглашения </w:t>
      </w:r>
      <w:r w:rsidR="00730B2D" w:rsidRPr="00A770D5">
        <w:rPr>
          <w:rFonts w:eastAsia="Times New Roman"/>
          <w:spacing w:val="-12"/>
        </w:rPr>
        <w:t xml:space="preserve">о передаче </w:t>
      </w:r>
      <w:r w:rsidR="00730B2D" w:rsidRPr="00A770D5">
        <w:rPr>
          <w:rFonts w:eastAsia="Times New Roman"/>
          <w:spacing w:val="-13"/>
        </w:rPr>
        <w:t xml:space="preserve">полномочий </w:t>
      </w:r>
      <w:r w:rsidRPr="00A770D5">
        <w:rPr>
          <w:rFonts w:eastAsia="Times New Roman"/>
          <w:spacing w:val="-12"/>
        </w:rPr>
        <w:t xml:space="preserve">на ведение бюджетного учета и </w:t>
      </w:r>
      <w:r w:rsidR="00730B2D" w:rsidRPr="00A770D5">
        <w:rPr>
          <w:rFonts w:eastAsia="Times New Roman"/>
          <w:spacing w:val="-13"/>
        </w:rPr>
        <w:t>формировани</w:t>
      </w:r>
      <w:r w:rsidR="00B310D2">
        <w:rPr>
          <w:rFonts w:eastAsia="Times New Roman"/>
          <w:spacing w:val="-13"/>
        </w:rPr>
        <w:t>е</w:t>
      </w:r>
      <w:r w:rsidR="00730B2D" w:rsidRPr="00A770D5">
        <w:rPr>
          <w:rFonts w:eastAsia="Times New Roman"/>
          <w:spacing w:val="-13"/>
        </w:rPr>
        <w:t xml:space="preserve"> бюджетной </w:t>
      </w:r>
      <w:r w:rsidRPr="00A770D5">
        <w:rPr>
          <w:rFonts w:eastAsia="Times New Roman"/>
          <w:spacing w:val="-12"/>
        </w:rPr>
        <w:t>отчетности (бухгалтерское обслуживание)</w:t>
      </w:r>
      <w:r w:rsidR="00730B2D">
        <w:rPr>
          <w:rFonts w:eastAsia="Times New Roman"/>
          <w:spacing w:val="-12"/>
        </w:rPr>
        <w:t>,</w:t>
      </w:r>
      <w:r w:rsidRPr="00A770D5">
        <w:rPr>
          <w:rFonts w:eastAsia="Times New Roman"/>
          <w:spacing w:val="-12"/>
        </w:rPr>
        <w:t xml:space="preserve"> </w:t>
      </w:r>
      <w:r w:rsidR="00730B2D">
        <w:rPr>
          <w:rFonts w:eastAsia="Times New Roman"/>
          <w:spacing w:val="-12"/>
        </w:rPr>
        <w:t>ф</w:t>
      </w:r>
      <w:r w:rsidRPr="00A770D5">
        <w:rPr>
          <w:rFonts w:eastAsia="Times New Roman"/>
          <w:spacing w:val="-12"/>
        </w:rPr>
        <w:t xml:space="preserve">орма </w:t>
      </w:r>
      <w:r w:rsidR="00730B2D">
        <w:rPr>
          <w:rFonts w:eastAsia="Times New Roman"/>
          <w:spacing w:val="-12"/>
        </w:rPr>
        <w:t>которого</w:t>
      </w:r>
      <w:r w:rsidR="009D6FE1" w:rsidRPr="00A770D5">
        <w:rPr>
          <w:rFonts w:eastAsia="Times New Roman"/>
          <w:spacing w:val="-1"/>
        </w:rPr>
        <w:t xml:space="preserve"> утверждена приказом ГКУ ЦБУ</w:t>
      </w:r>
      <w:r w:rsidRPr="00A770D5">
        <w:rPr>
          <w:rFonts w:eastAsia="Times New Roman"/>
        </w:rPr>
        <w:t>.</w:t>
      </w:r>
    </w:p>
    <w:p w:rsidR="00525130" w:rsidRPr="00A770D5" w:rsidRDefault="009D6FE1" w:rsidP="00C410C1">
      <w:pPr>
        <w:shd w:val="clear" w:color="auto" w:fill="FFFFFF"/>
        <w:ind w:right="4" w:firstLine="709"/>
        <w:jc w:val="both"/>
      </w:pPr>
      <w:r w:rsidRPr="00A770D5">
        <w:rPr>
          <w:spacing w:val="-14"/>
        </w:rPr>
        <w:t>Согласно данным, представленным Облфином, е</w:t>
      </w:r>
      <w:r w:rsidRPr="00A770D5">
        <w:rPr>
          <w:rFonts w:eastAsia="Times New Roman"/>
          <w:spacing w:val="-14"/>
        </w:rPr>
        <w:t>жегодная экономия от</w:t>
      </w:r>
      <w:r w:rsidR="00525130" w:rsidRPr="00A770D5">
        <w:rPr>
          <w:rFonts w:eastAsia="Times New Roman"/>
          <w:spacing w:val="-14"/>
        </w:rPr>
        <w:t xml:space="preserve"> деятельности </w:t>
      </w:r>
      <w:r w:rsidRPr="00A770D5">
        <w:rPr>
          <w:rFonts w:eastAsia="Times New Roman"/>
          <w:spacing w:val="-14"/>
        </w:rPr>
        <w:t>у</w:t>
      </w:r>
      <w:r w:rsidR="00525130" w:rsidRPr="00A770D5">
        <w:rPr>
          <w:rFonts w:eastAsia="Times New Roman"/>
          <w:spacing w:val="-14"/>
        </w:rPr>
        <w:t xml:space="preserve">чреждения, при централизации </w:t>
      </w:r>
      <w:r w:rsidR="00525130" w:rsidRPr="00A770D5">
        <w:rPr>
          <w:rFonts w:eastAsia="Times New Roman"/>
          <w:spacing w:val="-12"/>
        </w:rPr>
        <w:t xml:space="preserve">собственных полномочий деятельности 10 органов государственной власти </w:t>
      </w:r>
      <w:r w:rsidR="00525130" w:rsidRPr="00A770D5">
        <w:rPr>
          <w:rFonts w:eastAsia="Times New Roman"/>
          <w:spacing w:val="-13"/>
        </w:rPr>
        <w:t>Волгоградской области, как получателей бюджетных средств, состав</w:t>
      </w:r>
      <w:r w:rsidR="008E4ECF">
        <w:rPr>
          <w:rFonts w:eastAsia="Times New Roman"/>
          <w:spacing w:val="-13"/>
        </w:rPr>
        <w:t>ит</w:t>
      </w:r>
      <w:r w:rsidR="00525130" w:rsidRPr="00A770D5">
        <w:rPr>
          <w:rFonts w:eastAsia="Times New Roman"/>
          <w:spacing w:val="-13"/>
        </w:rPr>
        <w:t xml:space="preserve"> 16</w:t>
      </w:r>
      <w:r w:rsidRPr="00A770D5">
        <w:rPr>
          <w:rFonts w:eastAsia="Times New Roman"/>
          <w:spacing w:val="-13"/>
        </w:rPr>
        <w:t> 664,0</w:t>
      </w:r>
      <w:r w:rsidR="00525130" w:rsidRPr="00A770D5">
        <w:rPr>
          <w:rFonts w:eastAsia="Times New Roman"/>
          <w:spacing w:val="-13"/>
        </w:rPr>
        <w:t xml:space="preserve"> </w:t>
      </w:r>
      <w:r w:rsidRPr="00A770D5">
        <w:rPr>
          <w:rFonts w:eastAsia="Times New Roman"/>
          <w:spacing w:val="-13"/>
        </w:rPr>
        <w:t>тыс</w:t>
      </w:r>
      <w:r w:rsidR="00525130" w:rsidRPr="00A770D5">
        <w:rPr>
          <w:rFonts w:eastAsia="Times New Roman"/>
          <w:spacing w:val="-11"/>
        </w:rPr>
        <w:t>. руб</w:t>
      </w:r>
      <w:r w:rsidR="006D2B03" w:rsidRPr="00A770D5">
        <w:rPr>
          <w:rFonts w:eastAsia="Times New Roman"/>
          <w:spacing w:val="-11"/>
        </w:rPr>
        <w:t>., в том числе фонд оплаты труда с начислениями 14 039,3 тыс. рублей</w:t>
      </w:r>
      <w:r w:rsidR="00525130" w:rsidRPr="00A770D5">
        <w:rPr>
          <w:rFonts w:eastAsia="Times New Roman"/>
          <w:spacing w:val="-11"/>
        </w:rPr>
        <w:t xml:space="preserve">. </w:t>
      </w:r>
      <w:r w:rsidRPr="00A770D5">
        <w:rPr>
          <w:rFonts w:eastAsia="Times New Roman"/>
          <w:spacing w:val="-11"/>
        </w:rPr>
        <w:t>В 2015 году с</w:t>
      </w:r>
      <w:r w:rsidR="00525130" w:rsidRPr="00A770D5">
        <w:rPr>
          <w:rFonts w:eastAsia="Times New Roman"/>
          <w:spacing w:val="-11"/>
        </w:rPr>
        <w:t xml:space="preserve">окращены 19 должностей </w:t>
      </w:r>
      <w:r w:rsidRPr="00A770D5">
        <w:rPr>
          <w:rFonts w:eastAsia="Times New Roman"/>
          <w:spacing w:val="-11"/>
        </w:rPr>
        <w:t>ГГС</w:t>
      </w:r>
      <w:r w:rsidR="00525130" w:rsidRPr="00A770D5">
        <w:rPr>
          <w:rFonts w:eastAsia="Times New Roman"/>
          <w:spacing w:val="-11"/>
        </w:rPr>
        <w:t xml:space="preserve"> и 2 </w:t>
      </w:r>
      <w:r w:rsidR="00525130" w:rsidRPr="00A770D5">
        <w:rPr>
          <w:rFonts w:eastAsia="Times New Roman"/>
          <w:spacing w:val="-13"/>
        </w:rPr>
        <w:t xml:space="preserve">должности специалистов 1 категории. </w:t>
      </w:r>
    </w:p>
    <w:p w:rsidR="00525130" w:rsidRDefault="00525130" w:rsidP="00730B2D">
      <w:pPr>
        <w:shd w:val="clear" w:color="auto" w:fill="FFFFFF"/>
        <w:ind w:firstLine="709"/>
        <w:jc w:val="both"/>
        <w:rPr>
          <w:rFonts w:eastAsia="Times New Roman"/>
          <w:spacing w:val="-11"/>
        </w:rPr>
      </w:pPr>
      <w:r w:rsidRPr="00A770D5">
        <w:rPr>
          <w:rFonts w:eastAsia="Times New Roman"/>
          <w:spacing w:val="-15"/>
        </w:rPr>
        <w:t xml:space="preserve">Планируемые мероприятия по централизации бюджетного учета предполагают передачу </w:t>
      </w:r>
      <w:r w:rsidR="00730B2D" w:rsidRPr="00A770D5">
        <w:rPr>
          <w:rFonts w:eastAsia="Times New Roman"/>
          <w:spacing w:val="-15"/>
        </w:rPr>
        <w:t xml:space="preserve">с 2017 года </w:t>
      </w:r>
      <w:r w:rsidRPr="00A770D5">
        <w:rPr>
          <w:rFonts w:eastAsia="Times New Roman"/>
          <w:spacing w:val="-15"/>
        </w:rPr>
        <w:t xml:space="preserve">полномочий по ведению бюджетного учета </w:t>
      </w:r>
      <w:r w:rsidR="008E4ECF">
        <w:rPr>
          <w:rFonts w:eastAsia="Times New Roman"/>
          <w:spacing w:val="-15"/>
        </w:rPr>
        <w:t xml:space="preserve">ещё </w:t>
      </w:r>
      <w:r w:rsidRPr="00A770D5">
        <w:rPr>
          <w:rFonts w:eastAsia="Times New Roman"/>
          <w:spacing w:val="-15"/>
        </w:rPr>
        <w:t xml:space="preserve">у 13 ОИВ. </w:t>
      </w:r>
      <w:r w:rsidR="00730B2D">
        <w:rPr>
          <w:rFonts w:eastAsia="Times New Roman"/>
          <w:spacing w:val="-2"/>
        </w:rPr>
        <w:t>При</w:t>
      </w:r>
      <w:r w:rsidRPr="00A770D5">
        <w:rPr>
          <w:rFonts w:eastAsia="Times New Roman"/>
          <w:spacing w:val="-2"/>
        </w:rPr>
        <w:t xml:space="preserve"> проведени</w:t>
      </w:r>
      <w:r w:rsidR="00B310D2">
        <w:rPr>
          <w:rFonts w:eastAsia="Times New Roman"/>
          <w:spacing w:val="-2"/>
        </w:rPr>
        <w:t>и</w:t>
      </w:r>
      <w:r w:rsidRPr="00A770D5">
        <w:rPr>
          <w:rFonts w:eastAsia="Times New Roman"/>
          <w:spacing w:val="-2"/>
        </w:rPr>
        <w:t xml:space="preserve"> </w:t>
      </w:r>
      <w:r w:rsidRPr="00A770D5">
        <w:rPr>
          <w:rFonts w:eastAsia="Times New Roman"/>
          <w:spacing w:val="-11"/>
        </w:rPr>
        <w:t>организационно - штатных мероприятий, связанных с централиз</w:t>
      </w:r>
      <w:r w:rsidR="00730B2D">
        <w:rPr>
          <w:rFonts w:eastAsia="Times New Roman"/>
          <w:spacing w:val="-11"/>
        </w:rPr>
        <w:t>ацией</w:t>
      </w:r>
      <w:r w:rsidRPr="00A770D5">
        <w:rPr>
          <w:rFonts w:eastAsia="Times New Roman"/>
          <w:spacing w:val="-11"/>
        </w:rPr>
        <w:t xml:space="preserve"> </w:t>
      </w:r>
      <w:r w:rsidRPr="00A770D5">
        <w:rPr>
          <w:rFonts w:eastAsia="Times New Roman"/>
          <w:spacing w:val="-13"/>
        </w:rPr>
        <w:t xml:space="preserve">бюджетного </w:t>
      </w:r>
      <w:r w:rsidR="00730B2D">
        <w:rPr>
          <w:rFonts w:eastAsia="Times New Roman"/>
          <w:spacing w:val="-13"/>
        </w:rPr>
        <w:t xml:space="preserve">учёта, </w:t>
      </w:r>
      <w:r w:rsidRPr="00A770D5">
        <w:rPr>
          <w:rFonts w:eastAsia="Times New Roman"/>
          <w:spacing w:val="-13"/>
        </w:rPr>
        <w:t xml:space="preserve">предполагается </w:t>
      </w:r>
      <w:r w:rsidR="00730B2D">
        <w:rPr>
          <w:rFonts w:eastAsia="Times New Roman"/>
          <w:spacing w:val="-13"/>
        </w:rPr>
        <w:t xml:space="preserve">сократить </w:t>
      </w:r>
      <w:r w:rsidRPr="00A770D5">
        <w:rPr>
          <w:rFonts w:eastAsia="Times New Roman"/>
        </w:rPr>
        <w:t xml:space="preserve">на 27 </w:t>
      </w:r>
      <w:r w:rsidR="00730B2D">
        <w:rPr>
          <w:rFonts w:eastAsia="Times New Roman"/>
        </w:rPr>
        <w:t xml:space="preserve">штатных единиц 13 ОИВ с фондом оплаты труда с начислениями </w:t>
      </w:r>
      <w:r w:rsidR="006D2B03" w:rsidRPr="00A770D5">
        <w:rPr>
          <w:rFonts w:eastAsia="Times New Roman"/>
          <w:spacing w:val="-11"/>
        </w:rPr>
        <w:t>на 20 516,4</w:t>
      </w:r>
      <w:r w:rsidRPr="00A770D5">
        <w:rPr>
          <w:rFonts w:eastAsia="Times New Roman"/>
          <w:spacing w:val="-11"/>
        </w:rPr>
        <w:t xml:space="preserve"> млн. руб.</w:t>
      </w:r>
    </w:p>
    <w:p w:rsidR="004B6A9F" w:rsidRPr="00A770D5" w:rsidRDefault="006D2B03" w:rsidP="00C410C1">
      <w:pPr>
        <w:ind w:firstLine="709"/>
        <w:jc w:val="both"/>
      </w:pPr>
      <w:r w:rsidRPr="00A770D5">
        <w:t xml:space="preserve">Согласно данным бюджетной отчётности Облфина расходы на содержание и обеспечение деятельности </w:t>
      </w:r>
      <w:r w:rsidRPr="00A770D5">
        <w:rPr>
          <w:rFonts w:eastAsia="Times New Roman"/>
          <w:spacing w:val="-1"/>
        </w:rPr>
        <w:t xml:space="preserve">ГКУ ЦБУ </w:t>
      </w:r>
      <w:r w:rsidR="002F763C">
        <w:rPr>
          <w:rFonts w:eastAsia="Times New Roman"/>
          <w:spacing w:val="-1"/>
        </w:rPr>
        <w:t xml:space="preserve"> в 2015 году </w:t>
      </w:r>
      <w:r w:rsidRPr="00A770D5">
        <w:rPr>
          <w:rFonts w:eastAsia="Times New Roman"/>
          <w:spacing w:val="-1"/>
        </w:rPr>
        <w:t xml:space="preserve">составили </w:t>
      </w:r>
      <w:r w:rsidR="00454FB6" w:rsidRPr="00A770D5">
        <w:rPr>
          <w:rFonts w:eastAsia="Times New Roman"/>
          <w:spacing w:val="-1"/>
        </w:rPr>
        <w:t xml:space="preserve">16 481,7 </w:t>
      </w:r>
      <w:r w:rsidRPr="00A770D5">
        <w:rPr>
          <w:rFonts w:eastAsia="Times New Roman"/>
          <w:spacing w:val="-1"/>
        </w:rPr>
        <w:t>тыс. рублей.</w:t>
      </w:r>
    </w:p>
    <w:p w:rsidR="00454FB6" w:rsidRPr="00A770D5" w:rsidRDefault="00454FB6" w:rsidP="00454FB6">
      <w:pPr>
        <w:jc w:val="right"/>
      </w:pPr>
      <w:r w:rsidRPr="00A770D5">
        <w:t>тыс.</w:t>
      </w:r>
      <w:r w:rsidR="002F763C">
        <w:t xml:space="preserve"> </w:t>
      </w:r>
      <w:r w:rsidRPr="00A770D5">
        <w:t>руб.</w:t>
      </w:r>
    </w:p>
    <w:tbl>
      <w:tblPr>
        <w:tblW w:w="9723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93"/>
        <w:gridCol w:w="1403"/>
        <w:gridCol w:w="1188"/>
        <w:gridCol w:w="1256"/>
        <w:gridCol w:w="1183"/>
      </w:tblGrid>
      <w:tr w:rsidR="00454FB6" w:rsidRPr="002F763C" w:rsidTr="002F763C">
        <w:trPr>
          <w:trHeight w:val="207"/>
        </w:trPr>
        <w:tc>
          <w:tcPr>
            <w:tcW w:w="46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54FB6" w:rsidRPr="002F763C" w:rsidRDefault="00454FB6" w:rsidP="00454FB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54FB6" w:rsidRPr="002F763C" w:rsidRDefault="00454FB6" w:rsidP="00454FB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Утв. бюджетные назначения</w:t>
            </w:r>
          </w:p>
        </w:tc>
        <w:tc>
          <w:tcPr>
            <w:tcW w:w="118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54FB6" w:rsidRPr="002F763C" w:rsidRDefault="00454FB6" w:rsidP="00454FB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54FB6" w:rsidRPr="002F763C" w:rsidRDefault="00A770D5" w:rsidP="00454FB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  <w:r w:rsidR="00454FB6" w:rsidRPr="002F76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54FB6" w:rsidRPr="002F763C" w:rsidRDefault="00454FB6" w:rsidP="00454FB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454FB6" w:rsidRPr="00A770D5" w:rsidTr="002F763C">
        <w:trPr>
          <w:trHeight w:val="207"/>
        </w:trPr>
        <w:tc>
          <w:tcPr>
            <w:tcW w:w="4693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="00454FB6" w:rsidRPr="00A770D5" w:rsidTr="002F763C">
        <w:trPr>
          <w:trHeight w:val="20"/>
        </w:trPr>
        <w:tc>
          <w:tcPr>
            <w:tcW w:w="46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bCs/>
                <w:color w:val="000000"/>
                <w:sz w:val="18"/>
                <w:szCs w:val="18"/>
              </w:rPr>
              <w:t>18630,3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bCs/>
                <w:color w:val="000000"/>
                <w:sz w:val="18"/>
                <w:szCs w:val="18"/>
              </w:rPr>
              <w:t>16481,7</w:t>
            </w: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bCs/>
                <w:color w:val="000000"/>
                <w:sz w:val="18"/>
                <w:szCs w:val="18"/>
              </w:rPr>
              <w:t>2 148,6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bCs/>
                <w:color w:val="000000"/>
                <w:sz w:val="18"/>
                <w:szCs w:val="18"/>
              </w:rPr>
              <w:t>88,5</w:t>
            </w:r>
          </w:p>
        </w:tc>
      </w:tr>
      <w:tr w:rsidR="00454FB6" w:rsidRPr="00A770D5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454FB6" w:rsidRPr="00A770D5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7099,7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7091,7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99,9</w:t>
            </w:r>
          </w:p>
        </w:tc>
      </w:tr>
      <w:tr w:rsidR="00454FB6" w:rsidRPr="00A770D5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Иные выплаты персоналу (командировочные расходы)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69,2</w:t>
            </w:r>
          </w:p>
        </w:tc>
      </w:tr>
      <w:tr w:rsidR="00454FB6" w:rsidRPr="00A770D5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технологий, из них: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10499,4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8453,2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2046,2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80,5</w:t>
            </w:r>
          </w:p>
        </w:tc>
      </w:tr>
      <w:tr w:rsidR="00454FB6" w:rsidRPr="002F763C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2F763C" w:rsidRDefault="00A770D5" w:rsidP="00A770D5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 </w:t>
            </w:r>
            <w:r w:rsidR="00454FB6"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п</w:t>
            </w:r>
            <w:r w:rsidR="00454FB6"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рочие услуги (КОСГУ 226)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9199,1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7212,1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1987,0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78,4</w:t>
            </w:r>
          </w:p>
        </w:tc>
      </w:tr>
      <w:tr w:rsidR="00454FB6" w:rsidRPr="002F763C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2F763C" w:rsidRDefault="00A770D5" w:rsidP="00A770D5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 </w:t>
            </w:r>
            <w:r w:rsidR="00454FB6"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у</w:t>
            </w:r>
            <w:r w:rsidR="00454FB6"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величение стоимости основных средств (КОСГУ 310)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1195,4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1164,6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54FB6" w:rsidRPr="002F763C" w:rsidRDefault="00454FB6" w:rsidP="00A770D5">
            <w:pPr>
              <w:jc w:val="righ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F763C">
              <w:rPr>
                <w:rFonts w:eastAsia="Times New Roman"/>
                <w:i/>
                <w:color w:val="000000"/>
                <w:sz w:val="18"/>
                <w:szCs w:val="18"/>
              </w:rPr>
              <w:t>97,4</w:t>
            </w:r>
          </w:p>
        </w:tc>
      </w:tr>
      <w:tr w:rsidR="00454FB6" w:rsidRPr="00A770D5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Прочая закупка товаров, работ, услуг для государственных нужд (текущее содержание)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982,5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902,5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91,9</w:t>
            </w:r>
          </w:p>
        </w:tc>
      </w:tr>
      <w:tr w:rsidR="00454FB6" w:rsidRPr="00A770D5" w:rsidTr="002F763C">
        <w:trPr>
          <w:trHeight w:val="20"/>
        </w:trPr>
        <w:tc>
          <w:tcPr>
            <w:tcW w:w="4693" w:type="dxa"/>
            <w:shd w:val="clear" w:color="auto" w:fill="auto"/>
            <w:vAlign w:val="center"/>
            <w:hideMark/>
          </w:tcPr>
          <w:p w:rsidR="00454FB6" w:rsidRPr="00A770D5" w:rsidRDefault="00454FB6" w:rsidP="00454FB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454FB6" w:rsidRPr="00A770D5" w:rsidRDefault="00454FB6" w:rsidP="00A770D5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70D5">
              <w:rPr>
                <w:rFonts w:eastAsia="Times New Roman"/>
                <w:color w:val="000000"/>
                <w:sz w:val="18"/>
                <w:szCs w:val="18"/>
              </w:rPr>
              <w:t>89,7</w:t>
            </w:r>
          </w:p>
        </w:tc>
      </w:tr>
    </w:tbl>
    <w:p w:rsidR="00454FB6" w:rsidRPr="00A770D5" w:rsidRDefault="00454FB6" w:rsidP="00454FB6"/>
    <w:p w:rsidR="0051054D" w:rsidRPr="00A770D5" w:rsidRDefault="00A770D5" w:rsidP="00A770D5">
      <w:pPr>
        <w:ind w:firstLine="708"/>
        <w:jc w:val="both"/>
      </w:pPr>
      <w:r w:rsidRPr="00A770D5">
        <w:t>Более половины расходов</w:t>
      </w:r>
      <w:r w:rsidR="006D2B03" w:rsidRPr="00A770D5">
        <w:t xml:space="preserve"> ГКУ ЦБУ </w:t>
      </w:r>
      <w:r w:rsidRPr="00A770D5">
        <w:t>составили расходы по з</w:t>
      </w:r>
      <w:r w:rsidRPr="00A770D5">
        <w:rPr>
          <w:rFonts w:eastAsia="Times New Roman"/>
          <w:color w:val="000000"/>
        </w:rPr>
        <w:t>акупке товаров, работ, услуг в сфере информационно-коммуникационных технологий</w:t>
      </w:r>
      <w:r w:rsidRPr="00A770D5">
        <w:t xml:space="preserve">  (8 453,2 тыс. руб., или 51,3%), в том числе расходы по </w:t>
      </w:r>
      <w:r w:rsidR="00791503" w:rsidRPr="00A770D5">
        <w:t>оплат</w:t>
      </w:r>
      <w:r w:rsidRPr="00A770D5">
        <w:t>е</w:t>
      </w:r>
      <w:r w:rsidR="00791503" w:rsidRPr="00A770D5">
        <w:t xml:space="preserve"> работ по созданию централизованной информационной системы для ведения бюджетного учёта и отчётности</w:t>
      </w:r>
      <w:r w:rsidR="0051054D" w:rsidRPr="00A770D5">
        <w:t xml:space="preserve"> </w:t>
      </w:r>
      <w:r w:rsidR="002F763C">
        <w:t>(ц</w:t>
      </w:r>
      <w:r w:rsidR="0051054D" w:rsidRPr="00A770D5">
        <w:t>ена контракта 9 000,0 тыс. руб., в том числе:</w:t>
      </w:r>
      <w:r w:rsidR="002F763C">
        <w:t xml:space="preserve"> </w:t>
      </w:r>
      <w:r w:rsidR="0051054D" w:rsidRPr="00A770D5">
        <w:t>стоимость работ – 3 600,0 тыс. руб.</w:t>
      </w:r>
      <w:r w:rsidR="002F763C">
        <w:t xml:space="preserve"> и </w:t>
      </w:r>
      <w:r w:rsidR="0051054D" w:rsidRPr="00A770D5">
        <w:t>лицензи</w:t>
      </w:r>
      <w:r w:rsidR="002F763C">
        <w:t>я</w:t>
      </w:r>
      <w:r w:rsidR="0051054D" w:rsidRPr="00A770D5">
        <w:t xml:space="preserve"> – 5 400,0 тыс. руб</w:t>
      </w:r>
      <w:r w:rsidR="002F763C">
        <w:t>.)</w:t>
      </w:r>
      <w:r w:rsidR="0051054D" w:rsidRPr="00A770D5">
        <w:t>.</w:t>
      </w:r>
      <w:r w:rsidR="002F763C">
        <w:t xml:space="preserve"> </w:t>
      </w:r>
      <w:r w:rsidR="0051054D" w:rsidRPr="00A770D5">
        <w:t>В 2015 году принят</w:t>
      </w:r>
      <w:r w:rsidR="0001009C">
        <w:t>ы</w:t>
      </w:r>
      <w:r w:rsidR="0051054D" w:rsidRPr="00A770D5">
        <w:t xml:space="preserve"> работ</w:t>
      </w:r>
      <w:r w:rsidR="0001009C">
        <w:t>ы</w:t>
      </w:r>
      <w:r w:rsidR="0051054D" w:rsidRPr="00A770D5">
        <w:t xml:space="preserve"> и </w:t>
      </w:r>
      <w:r w:rsidR="0001009C">
        <w:t xml:space="preserve">получена </w:t>
      </w:r>
      <w:r w:rsidR="0051054D" w:rsidRPr="00A770D5">
        <w:t xml:space="preserve">лицензия на сумму, предусмотренную контрактом. Работы оплачены в размере </w:t>
      </w:r>
      <w:r w:rsidRPr="00A770D5">
        <w:t xml:space="preserve">1620,0 </w:t>
      </w:r>
      <w:r w:rsidR="0051054D" w:rsidRPr="00A770D5">
        <w:t>тыс. руб., на 1980,0 тыс. руб. числится кредиторская задолженность. Оплата в полном объёме не осуществлена по причине сдачи-приемки окончательного этапа работ 31.12.2015, то есть после окончания финансового года.</w:t>
      </w:r>
    </w:p>
    <w:p w:rsidR="008B3215" w:rsidRPr="00A770D5" w:rsidRDefault="002F763C" w:rsidP="002F763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В нарушение </w:t>
      </w:r>
      <w:r w:rsidR="008B3215" w:rsidRPr="00A770D5">
        <w:rPr>
          <w:lang w:eastAsia="en-US"/>
        </w:rPr>
        <w:t xml:space="preserve">п.66 </w:t>
      </w:r>
      <w:r w:rsidR="00454FB6" w:rsidRPr="00A770D5">
        <w:rPr>
          <w:lang w:eastAsia="en-US"/>
        </w:rPr>
        <w:t xml:space="preserve">Инструкции по применению Единого плана счетов бухгалтерского учета для органов государственной власти (государственных органов), утверждённой приказом Минфина России от 01.12.2010 №157н (далее – Инструкция №157н), </w:t>
      </w:r>
      <w:r>
        <w:rPr>
          <w:lang w:eastAsia="en-US"/>
        </w:rPr>
        <w:t>п</w:t>
      </w:r>
      <w:r w:rsidRPr="00A770D5">
        <w:rPr>
          <w:lang w:eastAsia="en-US"/>
        </w:rPr>
        <w:t xml:space="preserve">олученная </w:t>
      </w:r>
      <w:r>
        <w:rPr>
          <w:lang w:eastAsia="en-US"/>
        </w:rPr>
        <w:t>лицензия стоимостью 5400,</w:t>
      </w:r>
      <w:r w:rsidRPr="00A770D5">
        <w:rPr>
          <w:lang w:eastAsia="en-US"/>
        </w:rPr>
        <w:t>0 тыс.</w:t>
      </w:r>
      <w:r>
        <w:rPr>
          <w:lang w:eastAsia="en-US"/>
        </w:rPr>
        <w:t xml:space="preserve"> </w:t>
      </w:r>
      <w:r w:rsidRPr="00A770D5">
        <w:rPr>
          <w:lang w:eastAsia="en-US"/>
        </w:rPr>
        <w:t>руб. не учтена на забалансовом счете 01 «</w:t>
      </w:r>
      <w:r w:rsidRPr="00A770D5">
        <w:t>Имущество, полученное в пользование»</w:t>
      </w:r>
      <w:r>
        <w:t xml:space="preserve">, что </w:t>
      </w:r>
      <w:r w:rsidR="008B3215" w:rsidRPr="00A770D5">
        <w:rPr>
          <w:lang w:eastAsia="en-US"/>
        </w:rPr>
        <w:t>привело к искажению бюджетной отчетности учреждения и сводной отчетности Облфина на конец года</w:t>
      </w:r>
      <w:r w:rsidR="00454FB6" w:rsidRPr="00A770D5">
        <w:rPr>
          <w:lang w:eastAsia="en-US"/>
        </w:rPr>
        <w:t xml:space="preserve">. </w:t>
      </w:r>
      <w:r>
        <w:rPr>
          <w:lang w:eastAsia="en-US"/>
        </w:rPr>
        <w:t xml:space="preserve">Искажены </w:t>
      </w:r>
      <w:r w:rsidR="008B3215" w:rsidRPr="00A770D5">
        <w:rPr>
          <w:lang w:eastAsia="en-US"/>
        </w:rPr>
        <w:t xml:space="preserve">показатели </w:t>
      </w:r>
      <w:r w:rsidR="00454FB6" w:rsidRPr="00A770D5">
        <w:t>Справки о наличии имущества и обязат</w:t>
      </w:r>
      <w:r>
        <w:t>ельств на забалансовых счетах (</w:t>
      </w:r>
      <w:r w:rsidR="00454FB6" w:rsidRPr="00A770D5">
        <w:t>Справка в составе Баланса (ф. 0503130)) и</w:t>
      </w:r>
      <w:r w:rsidR="008B3215" w:rsidRPr="00A770D5">
        <w:rPr>
          <w:lang w:eastAsia="en-US"/>
        </w:rPr>
        <w:t xml:space="preserve"> </w:t>
      </w:r>
      <w:r w:rsidR="00454FB6" w:rsidRPr="00A770D5">
        <w:t xml:space="preserve">Сведений о движении нефинансовых активов </w:t>
      </w:r>
      <w:hyperlink r:id="rId9" w:history="1">
        <w:r w:rsidR="00454FB6" w:rsidRPr="00A770D5">
          <w:t>(ф. 0503168)</w:t>
        </w:r>
      </w:hyperlink>
      <w:r w:rsidR="00454FB6" w:rsidRPr="00A770D5">
        <w:t xml:space="preserve">. </w:t>
      </w:r>
      <w:r w:rsidR="008B3215" w:rsidRPr="00A770D5">
        <w:rPr>
          <w:lang w:eastAsia="en-US"/>
        </w:rPr>
        <w:t xml:space="preserve">В ходе проверки </w:t>
      </w:r>
      <w:r>
        <w:rPr>
          <w:lang w:eastAsia="en-US"/>
        </w:rPr>
        <w:t xml:space="preserve">нарушение устранено, </w:t>
      </w:r>
      <w:r w:rsidR="008B3215" w:rsidRPr="00A770D5">
        <w:rPr>
          <w:lang w:eastAsia="en-US"/>
        </w:rPr>
        <w:t>ГКУ ЦБУ и Облфином составлены и представлены исправленные формы бюджетной отчетности.</w:t>
      </w:r>
    </w:p>
    <w:p w:rsidR="00A770D5" w:rsidRPr="00A770D5" w:rsidRDefault="00A770D5" w:rsidP="00A770D5">
      <w:pPr>
        <w:pStyle w:val="ConsPlusNormal"/>
        <w:ind w:firstLine="708"/>
        <w:jc w:val="both"/>
        <w:rPr>
          <w:lang w:eastAsia="en-US"/>
        </w:rPr>
      </w:pPr>
    </w:p>
    <w:p w:rsidR="002E59A8" w:rsidRDefault="00A770D5" w:rsidP="002514B3">
      <w:pPr>
        <w:pStyle w:val="ConsPlusNormal"/>
        <w:ind w:firstLine="708"/>
        <w:jc w:val="both"/>
      </w:pPr>
      <w:r w:rsidRPr="00310DA5">
        <w:rPr>
          <w:lang w:eastAsia="en-US"/>
        </w:rPr>
        <w:t>Проверкой проведена оценка заявленной Облфином экономии бюджетных средств от создания ГКУ ЦБУ.</w:t>
      </w:r>
      <w:r w:rsidR="002514B3">
        <w:rPr>
          <w:lang w:eastAsia="en-US"/>
        </w:rPr>
        <w:t xml:space="preserve"> </w:t>
      </w:r>
      <w:r w:rsidR="002E59A8">
        <w:t>Агрегированный р</w:t>
      </w:r>
      <w:r w:rsidR="00EC5B97" w:rsidRPr="002C71A1">
        <w:t xml:space="preserve">асчет </w:t>
      </w:r>
      <w:r w:rsidR="002E59A8">
        <w:t xml:space="preserve">затрат на осуществление </w:t>
      </w:r>
      <w:r w:rsidR="002E59A8" w:rsidRPr="002C71A1">
        <w:t xml:space="preserve">полномочий по ведению бюджетного учета и формированию бюджетной отчетности </w:t>
      </w:r>
      <w:r w:rsidR="002E59A8">
        <w:t xml:space="preserve">и </w:t>
      </w:r>
      <w:r w:rsidR="00EC5B97" w:rsidRPr="002C71A1">
        <w:t>экономии</w:t>
      </w:r>
      <w:r w:rsidR="002F763C">
        <w:t xml:space="preserve"> (дополнительных затрат)</w:t>
      </w:r>
      <w:r w:rsidR="00EC5B97" w:rsidRPr="002C71A1">
        <w:t xml:space="preserve"> </w:t>
      </w:r>
      <w:r w:rsidR="002E59A8">
        <w:t>в</w:t>
      </w:r>
      <w:r w:rsidR="00EC5B97" w:rsidRPr="002C71A1">
        <w:t xml:space="preserve"> связи с передачей </w:t>
      </w:r>
      <w:r w:rsidR="002E59A8">
        <w:t xml:space="preserve">этих полномочий от </w:t>
      </w:r>
      <w:r w:rsidR="002F763C">
        <w:t>ОИВ</w:t>
      </w:r>
      <w:r w:rsidR="002E59A8">
        <w:t xml:space="preserve"> </w:t>
      </w:r>
      <w:r w:rsidR="00E87E6B">
        <w:t>в</w:t>
      </w:r>
      <w:r w:rsidR="002E59A8">
        <w:t xml:space="preserve"> ГБУ ЦБУ представлен в таблице.</w:t>
      </w:r>
    </w:p>
    <w:p w:rsidR="002514B3" w:rsidRDefault="002514B3" w:rsidP="002514B3">
      <w:pPr>
        <w:pStyle w:val="ConsPlusNormal"/>
        <w:ind w:firstLine="708"/>
        <w:jc w:val="both"/>
      </w:pPr>
    </w:p>
    <w:p w:rsidR="002514B3" w:rsidRDefault="002514B3" w:rsidP="002514B3">
      <w:pPr>
        <w:pStyle w:val="ConsPlusNormal"/>
        <w:ind w:firstLine="708"/>
        <w:jc w:val="right"/>
      </w:pPr>
      <w:r w:rsidRPr="00BA6203">
        <w:rPr>
          <w:i/>
        </w:rPr>
        <w:lastRenderedPageBreak/>
        <w:t>тыс. руб</w:t>
      </w:r>
      <w:r>
        <w:t>.</w:t>
      </w:r>
    </w:p>
    <w:tbl>
      <w:tblPr>
        <w:tblW w:w="96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1"/>
        <w:gridCol w:w="1120"/>
        <w:gridCol w:w="956"/>
        <w:gridCol w:w="916"/>
        <w:gridCol w:w="1043"/>
        <w:gridCol w:w="943"/>
      </w:tblGrid>
      <w:tr w:rsidR="005A5E4A" w:rsidRPr="00443006" w:rsidTr="00BA6203">
        <w:trPr>
          <w:trHeight w:val="20"/>
        </w:trPr>
        <w:tc>
          <w:tcPr>
            <w:tcW w:w="4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A5E4A" w:rsidRPr="00443006" w:rsidRDefault="005A5E4A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A5E4A" w:rsidRPr="00443006" w:rsidRDefault="005A5E4A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A5E4A" w:rsidRPr="00443006" w:rsidRDefault="005A5E4A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A5E4A" w:rsidRPr="00443006" w:rsidRDefault="005A5E4A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A5E4A" w:rsidRPr="00443006" w:rsidRDefault="005A5E4A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A5E4A" w:rsidRPr="00443006" w:rsidRDefault="005A5E4A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5A5E4A" w:rsidRPr="00443006" w:rsidTr="00BA6203">
        <w:trPr>
          <w:trHeight w:val="20"/>
        </w:trPr>
        <w:tc>
          <w:tcPr>
            <w:tcW w:w="47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5E4A" w:rsidRPr="00443006" w:rsidRDefault="005A5E4A" w:rsidP="00723E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ОИВ, передающих полномочия 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E4A" w:rsidRPr="00443006" w:rsidRDefault="005A5E4A" w:rsidP="00723E2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E4A" w:rsidRPr="00443006" w:rsidRDefault="005A5E4A" w:rsidP="00723E2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5E4A" w:rsidRPr="00443006" w:rsidRDefault="005A5E4A" w:rsidP="00723E2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E4A" w:rsidRPr="00443006" w:rsidRDefault="005A5E4A" w:rsidP="00723E2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10+13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A5E4A" w:rsidRPr="00443006" w:rsidRDefault="005A5E4A" w:rsidP="00723E2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</w:tr>
      <w:tr w:rsidR="00A36806" w:rsidRPr="00443006" w:rsidTr="002514B3">
        <w:trPr>
          <w:trHeight w:val="20"/>
        </w:trPr>
        <w:tc>
          <w:tcPr>
            <w:tcW w:w="4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36806" w:rsidRPr="00443006" w:rsidRDefault="00A36806" w:rsidP="00723E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Расходы на содержание ОИВ в части переданных (планируемых к передаче) полномочий, в том числе: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23990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36806" w:rsidRPr="00443006" w:rsidTr="002514B3">
        <w:trPr>
          <w:trHeight w:val="20"/>
        </w:trPr>
        <w:tc>
          <w:tcPr>
            <w:tcW w:w="4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36806" w:rsidRPr="00443006" w:rsidRDefault="00A36806" w:rsidP="00723E23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-10 переданных в 2015 году (2014 – расчёт Облфина, 2015 – факт)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16664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17730*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6806" w:rsidRPr="00443006" w:rsidTr="002514B3">
        <w:trPr>
          <w:trHeight w:val="20"/>
        </w:trPr>
        <w:tc>
          <w:tcPr>
            <w:tcW w:w="4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36806" w:rsidRPr="00443006" w:rsidRDefault="00A36806" w:rsidP="00723E23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-13 планируемых к передаче в 2017году (расчёт Облфина)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23990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23990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23990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5149</w:t>
            </w:r>
            <w:r w:rsidR="00D204C5">
              <w:rPr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6806" w:rsidRPr="00443006" w:rsidTr="002514B3">
        <w:trPr>
          <w:trHeight w:val="20"/>
        </w:trPr>
        <w:tc>
          <w:tcPr>
            <w:tcW w:w="4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6806" w:rsidRPr="00443006" w:rsidRDefault="00A36806" w:rsidP="00723E2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Расходы на содержание ГКУ ЦБУ (2015 – факт+кредит. задолж., 2016 - бюджет, 2017-2018 – на уровне 2016)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18548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6806" w:rsidRDefault="00A36806" w:rsidP="00723E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25221</w:t>
            </w:r>
          </w:p>
        </w:tc>
      </w:tr>
      <w:tr w:rsidR="00A36806" w:rsidRPr="00443006" w:rsidTr="002514B3">
        <w:trPr>
          <w:trHeight w:val="20"/>
        </w:trPr>
        <w:tc>
          <w:tcPr>
            <w:tcW w:w="4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6806" w:rsidRPr="00443006" w:rsidRDefault="00A36806" w:rsidP="00723E2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 расходов на исполнение полномочий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6806" w:rsidRDefault="00A36806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40654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6806" w:rsidRDefault="00A36806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60268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6806" w:rsidRDefault="00A36806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49211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6806" w:rsidRDefault="00A36806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A36806" w:rsidRDefault="00A36806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25221</w:t>
            </w:r>
          </w:p>
        </w:tc>
      </w:tr>
      <w:tr w:rsidR="002514B3" w:rsidRPr="00443006" w:rsidTr="002514B3">
        <w:trPr>
          <w:trHeight w:val="20"/>
        </w:trPr>
        <w:tc>
          <w:tcPr>
            <w:tcW w:w="470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Pr="00443006" w:rsidRDefault="002514B3" w:rsidP="00723E23">
            <w:pPr>
              <w:rPr>
                <w:b/>
                <w:sz w:val="20"/>
                <w:szCs w:val="20"/>
              </w:rPr>
            </w:pPr>
            <w:r w:rsidRPr="00443006">
              <w:rPr>
                <w:b/>
                <w:sz w:val="20"/>
                <w:szCs w:val="20"/>
              </w:rPr>
              <w:t>Доп.расходы (+)/</w:t>
            </w:r>
          </w:p>
          <w:p w:rsidR="002514B3" w:rsidRPr="00443006" w:rsidRDefault="002514B3" w:rsidP="00723E2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b/>
                <w:sz w:val="20"/>
                <w:szCs w:val="20"/>
              </w:rPr>
              <w:t xml:space="preserve">Экономия (-) </w:t>
            </w:r>
            <w:r w:rsidRPr="00443006">
              <w:rPr>
                <w:sz w:val="20"/>
                <w:szCs w:val="20"/>
              </w:rPr>
              <w:t>(по отношению к 2014 году)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Default="002514B3" w:rsidP="00251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исходное состояние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Default="002514B3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+19614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Default="002514B3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+8557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Default="002514B3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-10284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2514B3" w:rsidRDefault="002514B3" w:rsidP="00723E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-15433</w:t>
            </w:r>
          </w:p>
        </w:tc>
      </w:tr>
      <w:tr w:rsidR="002514B3" w:rsidRPr="00443006" w:rsidTr="002514B3">
        <w:trPr>
          <w:trHeight w:val="20"/>
        </w:trPr>
        <w:tc>
          <w:tcPr>
            <w:tcW w:w="4701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Pr="00443006" w:rsidRDefault="002514B3" w:rsidP="00723E2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Pr="00443006" w:rsidRDefault="002514B3" w:rsidP="00723E2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514B3" w:rsidRPr="00443006" w:rsidRDefault="002514B3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28171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14B3" w:rsidRPr="00443006" w:rsidRDefault="002514B3" w:rsidP="00723E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25717</w:t>
            </w:r>
          </w:p>
        </w:tc>
      </w:tr>
      <w:tr w:rsidR="005A5E4A" w:rsidRPr="00443006" w:rsidTr="002514B3">
        <w:trPr>
          <w:trHeight w:val="20"/>
        </w:trPr>
        <w:tc>
          <w:tcPr>
            <w:tcW w:w="9679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E4A" w:rsidRPr="00443006" w:rsidRDefault="005A5E4A" w:rsidP="00723E2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*- фактические расходы по данным ОИВ (оплата труда с начислениями + компенсационные выплаты при увольнении;</w:t>
            </w:r>
          </w:p>
        </w:tc>
      </w:tr>
      <w:tr w:rsidR="005A5E4A" w:rsidRPr="005A5E4A" w:rsidTr="002514B3">
        <w:trPr>
          <w:trHeight w:val="20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E4A" w:rsidRPr="005A5E4A" w:rsidRDefault="005A5E4A" w:rsidP="00723E2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43006">
              <w:rPr>
                <w:rFonts w:eastAsia="Times New Roman"/>
                <w:color w:val="000000"/>
                <w:sz w:val="20"/>
                <w:szCs w:val="20"/>
              </w:rPr>
              <w:t>**- оценка</w:t>
            </w:r>
            <w:r w:rsidR="00A36806">
              <w:rPr>
                <w:rFonts w:eastAsia="Times New Roman"/>
                <w:color w:val="000000"/>
                <w:sz w:val="20"/>
                <w:szCs w:val="20"/>
              </w:rPr>
              <w:t xml:space="preserve"> объёма компенсационных выплат</w:t>
            </w:r>
            <w:r w:rsidRPr="0044300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A36806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443006">
              <w:rPr>
                <w:rFonts w:eastAsia="Times New Roman"/>
                <w:color w:val="000000"/>
                <w:sz w:val="20"/>
                <w:szCs w:val="20"/>
              </w:rPr>
              <w:t xml:space="preserve">ри оптимистичном прогнозе </w:t>
            </w:r>
            <w:r w:rsidR="00A36806">
              <w:rPr>
                <w:rFonts w:eastAsia="Times New Roman"/>
                <w:color w:val="000000"/>
                <w:sz w:val="20"/>
                <w:szCs w:val="20"/>
              </w:rPr>
              <w:t>сокращения 27 единиц с 01.01.</w:t>
            </w:r>
            <w:r w:rsidRPr="00443006">
              <w:rPr>
                <w:rFonts w:eastAsia="Times New Roman"/>
                <w:color w:val="000000"/>
                <w:sz w:val="20"/>
                <w:szCs w:val="20"/>
              </w:rPr>
              <w:t>2017 года.</w:t>
            </w:r>
            <w:r w:rsidRPr="005A5E4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46662" w:rsidRDefault="002E59A8" w:rsidP="00A770D5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t>Таким образом</w:t>
      </w:r>
      <w:r w:rsidR="00146662">
        <w:rPr>
          <w:lang w:eastAsia="en-US"/>
        </w:rPr>
        <w:t>,</w:t>
      </w:r>
      <w:r>
        <w:rPr>
          <w:lang w:eastAsia="en-US"/>
        </w:rPr>
        <w:t xml:space="preserve"> </w:t>
      </w:r>
      <w:r w:rsidR="00146662">
        <w:t xml:space="preserve">передача </w:t>
      </w:r>
      <w:r w:rsidR="00146662" w:rsidRPr="002C71A1">
        <w:t>полномочий по ведению бюджетного учета и формированию бюджетной отчетности</w:t>
      </w:r>
      <w:r w:rsidR="00146662" w:rsidRPr="002E59A8">
        <w:t xml:space="preserve"> </w:t>
      </w:r>
      <w:r w:rsidR="00146662">
        <w:t xml:space="preserve">от 10 главных распорядителей бюджетных средств </w:t>
      </w:r>
      <w:r w:rsidR="002E07C2">
        <w:t>в</w:t>
      </w:r>
      <w:r w:rsidR="00146662">
        <w:t xml:space="preserve"> ГБУ ЦБУ привела в 2015 году к дополнительным расходам областного бюджета в </w:t>
      </w:r>
      <w:r w:rsidR="00752511">
        <w:t>сумме</w:t>
      </w:r>
      <w:r w:rsidR="00146662">
        <w:t xml:space="preserve"> 19</w:t>
      </w:r>
      <w:r w:rsidR="00752511">
        <w:t> 614,0 тыс. рублей.</w:t>
      </w:r>
      <w:r w:rsidR="00443006">
        <w:t xml:space="preserve"> По итогам </w:t>
      </w:r>
      <w:r w:rsidR="00443006" w:rsidRPr="00723E23">
        <w:t xml:space="preserve">2016 </w:t>
      </w:r>
      <w:r w:rsidR="002E07C2" w:rsidRPr="00723E23">
        <w:t>год</w:t>
      </w:r>
      <w:r w:rsidR="00A36806" w:rsidRPr="00723E23">
        <w:t>а</w:t>
      </w:r>
      <w:r w:rsidR="002E07C2">
        <w:t xml:space="preserve"> дополнительные расходы </w:t>
      </w:r>
      <w:r w:rsidR="00AD732F">
        <w:t xml:space="preserve">увеличатся до </w:t>
      </w:r>
      <w:r w:rsidR="00A36806">
        <w:t>28 171,0</w:t>
      </w:r>
      <w:r w:rsidR="002E07C2">
        <w:t xml:space="preserve"> тыс. рублей.</w:t>
      </w:r>
    </w:p>
    <w:p w:rsidR="00A770D5" w:rsidRDefault="002E59A8" w:rsidP="00A770D5">
      <w:pPr>
        <w:pStyle w:val="ConsPlusNormal"/>
        <w:ind w:firstLine="708"/>
        <w:jc w:val="both"/>
        <w:rPr>
          <w:lang w:eastAsia="en-US"/>
        </w:rPr>
      </w:pPr>
      <w:r>
        <w:t>В случае сохранения расходов на содержание ГКУ ЦБУ на уровне</w:t>
      </w:r>
      <w:r w:rsidR="00AD732F">
        <w:t>,</w:t>
      </w:r>
      <w:r>
        <w:t xml:space="preserve"> запланированн</w:t>
      </w:r>
      <w:r w:rsidR="00AD732F">
        <w:t>ом</w:t>
      </w:r>
      <w:r>
        <w:t xml:space="preserve"> на 2016 год</w:t>
      </w:r>
      <w:r w:rsidR="00540CD7">
        <w:t xml:space="preserve"> (</w:t>
      </w:r>
      <w:r w:rsidR="00443006">
        <w:t xml:space="preserve">не более </w:t>
      </w:r>
      <w:r w:rsidR="00A36806">
        <w:t>25 221</w:t>
      </w:r>
      <w:r w:rsidR="00540CD7">
        <w:t xml:space="preserve"> тыс. руб.</w:t>
      </w:r>
      <w:r w:rsidR="002514B3">
        <w:t>, при неувеличении штатной численности и отсутствии дополнительных расходов на информационные системы</w:t>
      </w:r>
      <w:r w:rsidR="00540CD7">
        <w:t>)</w:t>
      </w:r>
      <w:r w:rsidR="00AD732F">
        <w:t>,</w:t>
      </w:r>
      <w:r>
        <w:t xml:space="preserve"> </w:t>
      </w:r>
      <w:r w:rsidR="00AD732F">
        <w:t>дополнительные затраты 2015-201</w:t>
      </w:r>
      <w:r w:rsidR="00A36806">
        <w:t>6</w:t>
      </w:r>
      <w:r w:rsidR="00AD732F">
        <w:t xml:space="preserve"> годов будут компенсированы и </w:t>
      </w:r>
      <w:r>
        <w:t xml:space="preserve">экономический эффект </w:t>
      </w:r>
      <w:r w:rsidR="00AD732F">
        <w:t xml:space="preserve">в виде экономии бюджетных средств по отношению к расходам на исполнение полномочий в 2014 году </w:t>
      </w:r>
      <w:r w:rsidR="00A36806">
        <w:t>начнёт</w:t>
      </w:r>
      <w:r w:rsidR="002514B3">
        <w:t xml:space="preserve"> проявляться</w:t>
      </w:r>
      <w:r w:rsidR="00A36806">
        <w:t xml:space="preserve"> в 2017 году </w:t>
      </w:r>
      <w:r w:rsidR="002514B3">
        <w:t>п</w:t>
      </w:r>
      <w:r w:rsidR="00A36806">
        <w:t>осле передачи полномочий ещё 13 главных распорядителей</w:t>
      </w:r>
      <w:r w:rsidR="00723E23">
        <w:t xml:space="preserve">. </w:t>
      </w:r>
      <w:r w:rsidR="002514B3">
        <w:t>По оптимистичн</w:t>
      </w:r>
      <w:r w:rsidR="00D204C5">
        <w:t>ым</w:t>
      </w:r>
      <w:r w:rsidR="002514B3">
        <w:t xml:space="preserve"> </w:t>
      </w:r>
      <w:r w:rsidR="00D204C5">
        <w:t>расчётам</w:t>
      </w:r>
      <w:r w:rsidR="002514B3">
        <w:t xml:space="preserve"> д</w:t>
      </w:r>
      <w:r w:rsidR="00723E23">
        <w:t>ополнительные расходы будут полностью компенсированы по итогам</w:t>
      </w:r>
      <w:r w:rsidR="00A36806">
        <w:t xml:space="preserve"> </w:t>
      </w:r>
      <w:r w:rsidR="00723E23">
        <w:t>2019</w:t>
      </w:r>
      <w:r>
        <w:t xml:space="preserve"> года.</w:t>
      </w:r>
    </w:p>
    <w:p w:rsidR="008E4ECF" w:rsidRDefault="00310DA5" w:rsidP="00A770D5">
      <w:pPr>
        <w:pStyle w:val="ConsPlusNormal"/>
        <w:ind w:firstLine="708"/>
        <w:jc w:val="both"/>
        <w:rPr>
          <w:rFonts w:eastAsia="Times New Roman"/>
          <w:spacing w:val="-4"/>
        </w:rPr>
      </w:pPr>
      <w:r>
        <w:rPr>
          <w:rFonts w:eastAsia="Times New Roman"/>
        </w:rPr>
        <w:t xml:space="preserve">В части решения возложенной на ГБУ ЦБУ </w:t>
      </w:r>
      <w:r w:rsidR="000613A9">
        <w:rPr>
          <w:rFonts w:eastAsia="Times New Roman"/>
        </w:rPr>
        <w:t xml:space="preserve">задачи по </w:t>
      </w:r>
      <w:r w:rsidRPr="00A770D5">
        <w:rPr>
          <w:rFonts w:eastAsia="Times New Roman"/>
        </w:rPr>
        <w:t>повышени</w:t>
      </w:r>
      <w:r w:rsidR="000613A9">
        <w:rPr>
          <w:rFonts w:eastAsia="Times New Roman"/>
        </w:rPr>
        <w:t>ю</w:t>
      </w:r>
      <w:r w:rsidRPr="00A770D5">
        <w:rPr>
          <w:rFonts w:eastAsia="Times New Roman"/>
        </w:rPr>
        <w:t xml:space="preserve"> качества ведени</w:t>
      </w:r>
      <w:r w:rsidR="000613A9">
        <w:rPr>
          <w:rFonts w:eastAsia="Times New Roman"/>
        </w:rPr>
        <w:t>я</w:t>
      </w:r>
      <w:r w:rsidRPr="00A770D5">
        <w:rPr>
          <w:rFonts w:eastAsia="Times New Roman"/>
        </w:rPr>
        <w:t xml:space="preserve"> бюджетного учета и составления </w:t>
      </w:r>
      <w:r w:rsidRPr="00A770D5">
        <w:rPr>
          <w:rFonts w:eastAsia="Times New Roman"/>
          <w:spacing w:val="-4"/>
        </w:rPr>
        <w:t>бюджетной отчетности</w:t>
      </w:r>
      <w:r w:rsidR="000613A9">
        <w:rPr>
          <w:rFonts w:eastAsia="Times New Roman"/>
          <w:spacing w:val="-4"/>
        </w:rPr>
        <w:t xml:space="preserve"> необходимо отметить следующее.</w:t>
      </w:r>
    </w:p>
    <w:p w:rsidR="000613A9" w:rsidRDefault="000613A9" w:rsidP="00146662">
      <w:pPr>
        <w:pStyle w:val="ConsPlusNormal"/>
        <w:ind w:firstLine="708"/>
        <w:jc w:val="both"/>
        <w:rPr>
          <w:rFonts w:eastAsia="Times New Roman"/>
          <w:spacing w:val="-4"/>
        </w:rPr>
      </w:pPr>
      <w:r>
        <w:rPr>
          <w:rFonts w:eastAsia="Times New Roman"/>
          <w:spacing w:val="-4"/>
        </w:rPr>
        <w:t xml:space="preserve">Внешней проверкой бюджетной отчётности  9 главных распорядителей областного бюджета за 2015 год, передавших полномочия </w:t>
      </w:r>
      <w:r>
        <w:rPr>
          <w:rFonts w:eastAsia="Times New Roman"/>
        </w:rPr>
        <w:t xml:space="preserve">ГБУ ЦБУ в 2015 году, выявлено 9 нарушений правил </w:t>
      </w:r>
      <w:r w:rsidR="00752511">
        <w:rPr>
          <w:rFonts w:eastAsia="Times New Roman"/>
        </w:rPr>
        <w:t xml:space="preserve">ведения </w:t>
      </w:r>
      <w:r>
        <w:rPr>
          <w:rFonts w:eastAsia="Times New Roman"/>
        </w:rPr>
        <w:t xml:space="preserve">бухгалтерского учёта, 58 нарушений правил составления бюджетной отчётности, искажены  54 формы бюджетной отчётности. </w:t>
      </w:r>
    </w:p>
    <w:p w:rsidR="000613A9" w:rsidRDefault="000613A9" w:rsidP="00146662">
      <w:pPr>
        <w:ind w:firstLine="708"/>
        <w:jc w:val="both"/>
      </w:pPr>
      <w:r w:rsidRPr="005701C4">
        <w:t xml:space="preserve">ГКУ ЦБУ не в полной мере обеспечено </w:t>
      </w:r>
      <w:r w:rsidRPr="002C0593">
        <w:t>квалифицированное и своевременное ведение бюджетного учета,</w:t>
      </w:r>
      <w:r w:rsidRPr="00114860">
        <w:rPr>
          <w:color w:val="FF0000"/>
        </w:rPr>
        <w:t xml:space="preserve"> </w:t>
      </w:r>
      <w:r w:rsidRPr="005701C4">
        <w:t>формировани</w:t>
      </w:r>
      <w:r>
        <w:t>е</w:t>
      </w:r>
      <w:r w:rsidRPr="005701C4">
        <w:t xml:space="preserve"> отчетности в соответствии с требованиями законодательства, а также осуществление контроля качества формирования бюджетной </w:t>
      </w:r>
      <w:r>
        <w:t>отчетности.</w:t>
      </w:r>
      <w:r w:rsidR="002514B3">
        <w:t xml:space="preserve"> </w:t>
      </w:r>
      <w:r w:rsidR="00146662">
        <w:t>В связи с передачей полномочий возник и в настоящее время не в полной мере урегулирован вопрос об ответственности за нарушение правил ведения бухгалтерского учёта и составления бюджетной отчётности.</w:t>
      </w:r>
    </w:p>
    <w:p w:rsidR="00146662" w:rsidRDefault="002514B3" w:rsidP="002514B3">
      <w:pPr>
        <w:tabs>
          <w:tab w:val="left" w:pos="851"/>
        </w:tabs>
        <w:ind w:firstLine="851"/>
        <w:jc w:val="both"/>
      </w:pPr>
      <w:r>
        <w:t>ГКУ ЦБУ и Облфин</w:t>
      </w:r>
      <w:r w:rsidR="00146662">
        <w:t xml:space="preserve"> </w:t>
      </w:r>
      <w:r>
        <w:t>объясняет эти</w:t>
      </w:r>
      <w:r w:rsidR="00146662">
        <w:t xml:space="preserve"> нарушения и недостатки следствием переходного периода, технических проблем при передаче баз данных, недостаточной регламентацией процессов передачи полномочий и дальнейшего взаимодействия главных распорядителей и ГКУ ЦБУ.</w:t>
      </w:r>
    </w:p>
    <w:p w:rsidR="002514B3" w:rsidRDefault="002514B3" w:rsidP="00146662">
      <w:pPr>
        <w:tabs>
          <w:tab w:val="left" w:pos="851"/>
        </w:tabs>
        <w:ind w:firstLine="708"/>
        <w:jc w:val="both"/>
      </w:pPr>
      <w:r>
        <w:t xml:space="preserve">Вместе с тем, приведённая выше информация свидетельствует о том, что </w:t>
      </w:r>
      <w:r w:rsidRPr="00A770D5">
        <w:rPr>
          <w:rFonts w:eastAsia="Times New Roman"/>
          <w:spacing w:val="-4"/>
        </w:rPr>
        <w:t>первоочередны</w:t>
      </w:r>
      <w:r>
        <w:rPr>
          <w:rFonts w:eastAsia="Times New Roman"/>
          <w:spacing w:val="-4"/>
        </w:rPr>
        <w:t>е</w:t>
      </w:r>
      <w:r w:rsidRPr="00A770D5">
        <w:rPr>
          <w:rFonts w:eastAsia="Times New Roman"/>
          <w:spacing w:val="-4"/>
        </w:rPr>
        <w:t xml:space="preserve"> задач</w:t>
      </w:r>
      <w:r>
        <w:rPr>
          <w:rFonts w:eastAsia="Times New Roman"/>
          <w:spacing w:val="-4"/>
        </w:rPr>
        <w:t>и,</w:t>
      </w:r>
      <w:r w:rsidRPr="00A770D5">
        <w:rPr>
          <w:rFonts w:eastAsia="Times New Roman"/>
          <w:spacing w:val="-4"/>
        </w:rPr>
        <w:t xml:space="preserve"> поставленны</w:t>
      </w:r>
      <w:r>
        <w:rPr>
          <w:rFonts w:eastAsia="Times New Roman"/>
          <w:spacing w:val="-4"/>
        </w:rPr>
        <w:t>е</w:t>
      </w:r>
      <w:r w:rsidRPr="00A770D5">
        <w:rPr>
          <w:rFonts w:eastAsia="Times New Roman"/>
          <w:spacing w:val="-4"/>
        </w:rPr>
        <w:t xml:space="preserve"> перед ГКУ </w:t>
      </w:r>
      <w:r w:rsidRPr="00A770D5">
        <w:rPr>
          <w:rFonts w:eastAsia="Times New Roman"/>
        </w:rPr>
        <w:t>ЦБУ</w:t>
      </w:r>
      <w:r w:rsidRPr="00A770D5">
        <w:rPr>
          <w:rFonts w:eastAsia="Times New Roman"/>
          <w:spacing w:val="-4"/>
        </w:rPr>
        <w:t xml:space="preserve"> на 2015 год, </w:t>
      </w:r>
      <w:r w:rsidRPr="00A770D5">
        <w:rPr>
          <w:rFonts w:eastAsia="Times New Roman"/>
        </w:rPr>
        <w:t xml:space="preserve"> </w:t>
      </w:r>
      <w:r>
        <w:rPr>
          <w:rFonts w:eastAsia="Times New Roman"/>
        </w:rPr>
        <w:t xml:space="preserve">ни в части сокращения расходов областного бюджета, ни в части </w:t>
      </w:r>
      <w:r w:rsidRPr="00A770D5">
        <w:rPr>
          <w:rFonts w:eastAsia="Times New Roman"/>
        </w:rPr>
        <w:t>повышени</w:t>
      </w:r>
      <w:r w:rsidR="00B310D2">
        <w:rPr>
          <w:rFonts w:eastAsia="Times New Roman"/>
        </w:rPr>
        <w:t>я</w:t>
      </w:r>
      <w:r w:rsidRPr="00A770D5">
        <w:rPr>
          <w:rFonts w:eastAsia="Times New Roman"/>
        </w:rPr>
        <w:t xml:space="preserve"> качества ведения бюджетного учета и составления </w:t>
      </w:r>
      <w:r w:rsidRPr="00A770D5">
        <w:rPr>
          <w:rFonts w:eastAsia="Times New Roman"/>
          <w:spacing w:val="-4"/>
        </w:rPr>
        <w:t xml:space="preserve">бюджетной отчетности </w:t>
      </w:r>
      <w:r>
        <w:rPr>
          <w:rFonts w:eastAsia="Times New Roman"/>
          <w:spacing w:val="-4"/>
        </w:rPr>
        <w:t>не решены.</w:t>
      </w:r>
    </w:p>
    <w:p w:rsidR="00146662" w:rsidRDefault="00146662" w:rsidP="008B3215">
      <w:pPr>
        <w:tabs>
          <w:tab w:val="left" w:pos="851"/>
        </w:tabs>
        <w:ind w:firstLine="567"/>
        <w:jc w:val="both"/>
      </w:pPr>
    </w:p>
    <w:p w:rsidR="00C134E6" w:rsidRPr="00561AA7" w:rsidRDefault="00C134E6" w:rsidP="00C134E6">
      <w:pPr>
        <w:jc w:val="center"/>
        <w:rPr>
          <w:b/>
          <w:bCs/>
          <w:i/>
        </w:rPr>
      </w:pPr>
      <w:r w:rsidRPr="00561AA7">
        <w:rPr>
          <w:b/>
          <w:bCs/>
          <w:i/>
        </w:rPr>
        <w:t xml:space="preserve">Исполнение бюджетных назначений </w:t>
      </w:r>
    </w:p>
    <w:p w:rsidR="00C134E6" w:rsidRPr="00561AA7" w:rsidRDefault="00C134E6" w:rsidP="00C134E6">
      <w:pPr>
        <w:jc w:val="center"/>
        <w:rPr>
          <w:b/>
          <w:bCs/>
          <w:i/>
        </w:rPr>
      </w:pPr>
      <w:r w:rsidRPr="00561AA7">
        <w:rPr>
          <w:b/>
          <w:bCs/>
          <w:i/>
        </w:rPr>
        <w:t>по источникам финансирования дефицита бюджета</w:t>
      </w:r>
    </w:p>
    <w:p w:rsidR="00561AA7" w:rsidRDefault="00C134E6" w:rsidP="00561AA7">
      <w:pPr>
        <w:ind w:firstLine="708"/>
        <w:jc w:val="both"/>
      </w:pPr>
      <w:r w:rsidRPr="008E7EC6">
        <w:t>Законом об областном бюджете на 201</w:t>
      </w:r>
      <w:r w:rsidR="009D68D5">
        <w:t>5</w:t>
      </w:r>
      <w:r w:rsidRPr="008E7EC6">
        <w:t xml:space="preserve"> год источники внутреннего финансирования дефицита областного бюджета утверждены в сумме </w:t>
      </w:r>
      <w:r w:rsidRPr="008E7EC6">
        <w:rPr>
          <w:rFonts w:eastAsia="Times New Roman"/>
        </w:rPr>
        <w:t>8</w:t>
      </w:r>
      <w:r w:rsidR="001C6C24" w:rsidRPr="008E7EC6">
        <w:t> </w:t>
      </w:r>
      <w:r w:rsidR="001C6C24" w:rsidRPr="008E7EC6">
        <w:rPr>
          <w:rFonts w:eastAsia="Times New Roman"/>
        </w:rPr>
        <w:t>100</w:t>
      </w:r>
      <w:r w:rsidR="001C6C24" w:rsidRPr="008E7EC6">
        <w:t> </w:t>
      </w:r>
      <w:r w:rsidR="001C6C24" w:rsidRPr="008E7EC6">
        <w:rPr>
          <w:rFonts w:eastAsia="Times New Roman"/>
        </w:rPr>
        <w:t>927,2</w:t>
      </w:r>
      <w:r w:rsidRPr="008E7EC6">
        <w:rPr>
          <w:rFonts w:eastAsia="Times New Roman"/>
        </w:rPr>
        <w:t xml:space="preserve"> </w:t>
      </w:r>
      <w:r w:rsidRPr="008E7EC6">
        <w:t>тыс. руб</w:t>
      </w:r>
      <w:r w:rsidR="00561AA7">
        <w:t>лей</w:t>
      </w:r>
      <w:r w:rsidRPr="008E7EC6">
        <w:t>.</w:t>
      </w:r>
    </w:p>
    <w:p w:rsidR="00561AA7" w:rsidRDefault="00561AA7" w:rsidP="00561AA7">
      <w:pPr>
        <w:ind w:firstLine="708"/>
        <w:jc w:val="both"/>
      </w:pPr>
      <w:r>
        <w:lastRenderedPageBreak/>
        <w:t>В</w:t>
      </w:r>
      <w:r w:rsidR="00C134E6" w:rsidRPr="009F63AC">
        <w:t xml:space="preserve"> 201</w:t>
      </w:r>
      <w:r w:rsidR="001C6C24" w:rsidRPr="009F63AC">
        <w:t>5</w:t>
      </w:r>
      <w:r w:rsidR="00C134E6" w:rsidRPr="009F63AC">
        <w:t xml:space="preserve"> год</w:t>
      </w:r>
      <w:r>
        <w:t>у</w:t>
      </w:r>
      <w:r w:rsidR="00C134E6" w:rsidRPr="009F63AC">
        <w:t xml:space="preserve"> бюджетные назначения по источникам финансирования бюджета (без учета изменения остатка на счетах) исполнены в сумме </w:t>
      </w:r>
      <w:r w:rsidR="00065A07" w:rsidRPr="009F63AC">
        <w:t>6</w:t>
      </w:r>
      <w:r w:rsidR="009D68D5">
        <w:t> </w:t>
      </w:r>
      <w:r w:rsidR="00065A07" w:rsidRPr="009F63AC">
        <w:t>202</w:t>
      </w:r>
      <w:r w:rsidR="009D68D5">
        <w:t> </w:t>
      </w:r>
      <w:r w:rsidR="00065A07" w:rsidRPr="009F63AC">
        <w:t>403,3</w:t>
      </w:r>
      <w:r w:rsidR="00C134E6" w:rsidRPr="009F63AC">
        <w:t xml:space="preserve"> тыс. руб., или на </w:t>
      </w:r>
      <w:r w:rsidR="009F63AC" w:rsidRPr="009F63AC">
        <w:t>79,8</w:t>
      </w:r>
      <w:r w:rsidR="00C134E6" w:rsidRPr="009F63AC">
        <w:t xml:space="preserve"> процента.</w:t>
      </w:r>
    </w:p>
    <w:p w:rsidR="00C134E6" w:rsidRPr="00853EE7" w:rsidRDefault="00C134E6" w:rsidP="00561AA7">
      <w:pPr>
        <w:ind w:firstLine="708"/>
        <w:jc w:val="right"/>
        <w:rPr>
          <w:sz w:val="22"/>
          <w:szCs w:val="22"/>
        </w:rPr>
      </w:pPr>
      <w:r w:rsidRPr="00853EE7">
        <w:rPr>
          <w:i/>
          <w:iCs/>
          <w:sz w:val="20"/>
          <w:szCs w:val="20"/>
        </w:rPr>
        <w:t>тыс. руб</w:t>
      </w:r>
      <w:r w:rsidRPr="00853EE7">
        <w:t>.</w:t>
      </w:r>
    </w:p>
    <w:tbl>
      <w:tblPr>
        <w:tblW w:w="9634" w:type="dxa"/>
        <w:tblInd w:w="85" w:type="dxa"/>
        <w:tblLook w:val="04A0"/>
      </w:tblPr>
      <w:tblGrid>
        <w:gridCol w:w="951"/>
        <w:gridCol w:w="4742"/>
        <w:gridCol w:w="1586"/>
        <w:gridCol w:w="1134"/>
        <w:gridCol w:w="1221"/>
      </w:tblGrid>
      <w:tr w:rsidR="00C134E6" w:rsidRPr="007D3193" w:rsidTr="00561AA7">
        <w:trPr>
          <w:trHeight w:val="20"/>
        </w:trPr>
        <w:tc>
          <w:tcPr>
            <w:tcW w:w="9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134E6" w:rsidRPr="007D3193" w:rsidRDefault="00C134E6" w:rsidP="00561AA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C134E6" w:rsidRPr="007D3193" w:rsidRDefault="00C134E6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источника </w:t>
            </w:r>
          </w:p>
        </w:tc>
        <w:tc>
          <w:tcPr>
            <w:tcW w:w="1586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C134E6" w:rsidRPr="007D3193" w:rsidRDefault="00C134E6" w:rsidP="00561AA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 xml:space="preserve">Утвержденные назначения </w:t>
            </w:r>
          </w:p>
        </w:tc>
        <w:tc>
          <w:tcPr>
            <w:tcW w:w="235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2F2"/>
            <w:vAlign w:val="bottom"/>
            <w:hideMark/>
          </w:tcPr>
          <w:p w:rsidR="00C134E6" w:rsidRPr="007D3193" w:rsidRDefault="00C134E6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C134E6" w:rsidRPr="007D3193" w:rsidTr="009D68D5">
        <w:trPr>
          <w:trHeight w:val="2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134E6" w:rsidRPr="007D3193" w:rsidRDefault="00C134E6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C134E6" w:rsidRPr="007D3193" w:rsidRDefault="00C134E6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134E6" w:rsidRPr="007D3193" w:rsidRDefault="00C134E6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C134E6" w:rsidRPr="007D3193" w:rsidRDefault="00C134E6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vAlign w:val="bottom"/>
            <w:hideMark/>
          </w:tcPr>
          <w:p w:rsidR="00C134E6" w:rsidRPr="007D3193" w:rsidRDefault="00C134E6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%%</w:t>
            </w:r>
          </w:p>
        </w:tc>
      </w:tr>
      <w:tr w:rsidR="00B13949" w:rsidRPr="00B13949" w:rsidTr="009D68D5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13949" w:rsidRPr="00B13949" w:rsidRDefault="00B13949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B13949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Государственные ценные бумаги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1 400 000,0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1 400 000,0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3949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Размещение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5 000 000,0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5 000 000,0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  <w:r w:rsidRPr="00B13949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Погашение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3 600 000,0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3 600 000,0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  <w:r w:rsidRPr="00B13949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13949" w:rsidRPr="007D3193" w:rsidTr="009D68D5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13949" w:rsidRPr="007D3193" w:rsidRDefault="00B13949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 xml:space="preserve">Кредиты кредитных организаций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1 570 000,0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-100 000,0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  <w:r w:rsidRPr="00B13949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получение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5 070 000,0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3 400 000,0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B13949">
              <w:rPr>
                <w:color w:val="000000"/>
                <w:sz w:val="18"/>
                <w:szCs w:val="18"/>
              </w:rPr>
              <w:t>67,1</w:t>
            </w: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погашение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-3 500 000,0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-3 500 000,0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  <w:r w:rsidRPr="00B13949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13949" w:rsidRPr="00B13949" w:rsidTr="009D68D5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3949" w:rsidRPr="00B13949" w:rsidRDefault="00B13949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B13949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Бюджетные кредиты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4 902 379,8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4 902 379,8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3949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получение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10 995 570,0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13 195 570,0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B13949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погашение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-6 093 190,2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-8 293 190,2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B13949">
              <w:rPr>
                <w:color w:val="000000"/>
                <w:sz w:val="18"/>
                <w:szCs w:val="18"/>
              </w:rPr>
              <w:t>136,1</w:t>
            </w:r>
          </w:p>
        </w:tc>
      </w:tr>
      <w:tr w:rsidR="00B13949" w:rsidRPr="00B13949" w:rsidTr="009D68D5">
        <w:trPr>
          <w:trHeight w:val="20"/>
        </w:trPr>
        <w:tc>
          <w:tcPr>
            <w:tcW w:w="569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F2F2F2"/>
            <w:noWrap/>
            <w:vAlign w:val="bottom"/>
            <w:hideMark/>
          </w:tcPr>
          <w:p w:rsidR="00B13949" w:rsidRPr="00B13949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Итого заимствования</w:t>
            </w:r>
          </w:p>
        </w:tc>
        <w:tc>
          <w:tcPr>
            <w:tcW w:w="158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B13949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7 872 379,8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B13949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6 202 379,8</w:t>
            </w:r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B13949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13949">
              <w:rPr>
                <w:rFonts w:eastAsia="Times New Roman"/>
                <w:b/>
                <w:bCs/>
                <w:sz w:val="18"/>
                <w:szCs w:val="18"/>
              </w:rPr>
              <w:t>78,8</w:t>
            </w:r>
          </w:p>
        </w:tc>
      </w:tr>
      <w:tr w:rsidR="00B13949" w:rsidRPr="007D3193" w:rsidTr="009D68D5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13949" w:rsidRPr="007D3193" w:rsidRDefault="00B13949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Разница по бюджетным кредитам, предоставленным другим бюджетам и юридическим лицам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предоставление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-40 000,0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  <w:r w:rsidRPr="00B13949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3949" w:rsidRPr="007D3193" w:rsidTr="009D68D5">
        <w:trPr>
          <w:trHeight w:val="2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949" w:rsidRPr="007D3193" w:rsidRDefault="00B13949" w:rsidP="00065A0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 xml:space="preserve">возврат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B13949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B13949" w:rsidRPr="007D3193" w:rsidTr="009D68D5">
        <w:trPr>
          <w:trHeight w:val="20"/>
        </w:trPr>
        <w:tc>
          <w:tcPr>
            <w:tcW w:w="95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3949" w:rsidRPr="007D3193" w:rsidRDefault="00B13949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Исполнение государственных гарантий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-100 760,5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sz w:val="18"/>
                <w:szCs w:val="18"/>
              </w:rPr>
            </w:pPr>
            <w:r w:rsidRPr="007D3193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  <w:r w:rsidRPr="00B13949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3949" w:rsidRPr="007D3193" w:rsidTr="009D68D5">
        <w:trPr>
          <w:trHeight w:val="20"/>
        </w:trPr>
        <w:tc>
          <w:tcPr>
            <w:tcW w:w="569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F2F2F2"/>
            <w:noWrap/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Итого иные источники</w:t>
            </w:r>
          </w:p>
        </w:tc>
        <w:tc>
          <w:tcPr>
            <w:tcW w:w="158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-100 760,5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B13949" w:rsidRDefault="00B13949" w:rsidP="00B13949">
            <w:pPr>
              <w:ind w:left="142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B13949" w:rsidRPr="00646290" w:rsidTr="009D68D5">
        <w:trPr>
          <w:trHeight w:val="20"/>
        </w:trPr>
        <w:tc>
          <w:tcPr>
            <w:tcW w:w="569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F2F2F2"/>
            <w:noWrap/>
            <w:vAlign w:val="bottom"/>
            <w:hideMark/>
          </w:tcPr>
          <w:p w:rsidR="00B13949" w:rsidRPr="00646290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290">
              <w:rPr>
                <w:rFonts w:eastAsia="Times New Roman"/>
                <w:b/>
                <w:bCs/>
                <w:sz w:val="18"/>
                <w:szCs w:val="18"/>
              </w:rPr>
              <w:t>Итого заимствования и иные источники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646290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290">
              <w:rPr>
                <w:rFonts w:eastAsia="Times New Roman"/>
                <w:b/>
                <w:bCs/>
                <w:sz w:val="18"/>
                <w:szCs w:val="18"/>
              </w:rPr>
              <w:t>7 771 619,3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646290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290">
              <w:rPr>
                <w:rFonts w:eastAsia="Times New Roman"/>
                <w:b/>
                <w:bCs/>
                <w:sz w:val="18"/>
                <w:szCs w:val="18"/>
              </w:rPr>
              <w:t>6 202 403,3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noWrap/>
            <w:vAlign w:val="center"/>
            <w:hideMark/>
          </w:tcPr>
          <w:p w:rsidR="00B13949" w:rsidRPr="00646290" w:rsidRDefault="00646290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290">
              <w:rPr>
                <w:rFonts w:eastAsia="Times New Roman"/>
                <w:b/>
                <w:bCs/>
                <w:sz w:val="18"/>
                <w:szCs w:val="18"/>
              </w:rPr>
              <w:t>79,8</w:t>
            </w:r>
          </w:p>
        </w:tc>
      </w:tr>
      <w:tr w:rsidR="00B13949" w:rsidRPr="007D3193" w:rsidTr="009D68D5">
        <w:trPr>
          <w:trHeight w:val="20"/>
        </w:trPr>
        <w:tc>
          <w:tcPr>
            <w:tcW w:w="95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B13949" w:rsidRPr="007D3193" w:rsidRDefault="00B13949" w:rsidP="00065A07">
            <w:pPr>
              <w:ind w:left="14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  <w:hideMark/>
          </w:tcPr>
          <w:p w:rsidR="00B13949" w:rsidRPr="007D3193" w:rsidRDefault="00B13949" w:rsidP="00065A07">
            <w:pPr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 xml:space="preserve">Изменение остатков на счетах 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142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329 282,8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B13949" w:rsidRPr="007D3193" w:rsidRDefault="00B13949" w:rsidP="00B13949">
            <w:pPr>
              <w:ind w:left="-134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D3193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:rsidR="00B13949" w:rsidRPr="00B13949" w:rsidRDefault="00B13949" w:rsidP="00B13949">
            <w:pPr>
              <w:ind w:firstLineChars="100" w:firstLine="180"/>
              <w:jc w:val="right"/>
              <w:rPr>
                <w:bCs/>
                <w:color w:val="000000"/>
                <w:sz w:val="18"/>
                <w:szCs w:val="18"/>
              </w:rPr>
            </w:pPr>
            <w:r w:rsidRPr="00B13949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C134E6" w:rsidRPr="00AA3AD4" w:rsidRDefault="00561AA7" w:rsidP="00C134E6">
      <w:pPr>
        <w:ind w:firstLine="720"/>
        <w:jc w:val="both"/>
      </w:pPr>
      <w:r>
        <w:t>Б</w:t>
      </w:r>
      <w:r w:rsidR="00C134E6" w:rsidRPr="00AA3AD4">
        <w:t>юджетны</w:t>
      </w:r>
      <w:r w:rsidR="009F63AC" w:rsidRPr="00AA3AD4">
        <w:t>е</w:t>
      </w:r>
      <w:r w:rsidR="00C134E6" w:rsidRPr="00AA3AD4">
        <w:t xml:space="preserve"> назначени</w:t>
      </w:r>
      <w:r w:rsidR="009F63AC" w:rsidRPr="00AA3AD4">
        <w:t>я</w:t>
      </w:r>
      <w:r w:rsidR="00C134E6" w:rsidRPr="00AA3AD4">
        <w:t xml:space="preserve"> </w:t>
      </w:r>
      <w:r w:rsidR="00802106" w:rsidRPr="004B6A9F">
        <w:t xml:space="preserve">не исполнены </w:t>
      </w:r>
      <w:r w:rsidR="008B3215" w:rsidRPr="004B6A9F">
        <w:t xml:space="preserve">в части привлечения кредитов кредитных организаций на 1 670 000,0 тыс. руб., или на 32,9%, </w:t>
      </w:r>
      <w:r w:rsidR="00853EE7" w:rsidRPr="004B6A9F">
        <w:t xml:space="preserve">что обусловлено </w:t>
      </w:r>
      <w:r w:rsidR="008B3215" w:rsidRPr="004B6A9F">
        <w:t xml:space="preserve">необходимостью </w:t>
      </w:r>
      <w:r w:rsidR="00853EE7" w:rsidRPr="004B6A9F">
        <w:t>соблюдени</w:t>
      </w:r>
      <w:r w:rsidR="00B310D2">
        <w:t>я</w:t>
      </w:r>
      <w:r w:rsidR="00853EE7" w:rsidRPr="004B6A9F">
        <w:t xml:space="preserve"> условий заключенных соглашений по бюджетным кредитам с Министерством финансов РФ</w:t>
      </w:r>
      <w:r w:rsidR="008B3215" w:rsidRPr="004B6A9F">
        <w:t xml:space="preserve"> в части ограничений размера государственного долга Волгоградской области </w:t>
      </w:r>
      <w:r w:rsidR="004B6A9F" w:rsidRPr="004B6A9F">
        <w:t>по отношению к доходам</w:t>
      </w:r>
      <w:r w:rsidR="004B6A9F">
        <w:t xml:space="preserve"> областного бюджета без учёта безвозмездных поступлений</w:t>
      </w:r>
      <w:r w:rsidR="0001009C">
        <w:t xml:space="preserve"> (факт на 01.01.2016 - 83,3%)</w:t>
      </w:r>
      <w:r w:rsidR="004B6A9F">
        <w:t>. В случае нарушения этих условий возникает угроза досрочного возврата бюджетных кредитов, предоставленных из федерального бюджета.</w:t>
      </w:r>
    </w:p>
    <w:p w:rsidR="001B03CC" w:rsidRDefault="00561AA7" w:rsidP="009D68D5">
      <w:pPr>
        <w:ind w:right="-108" w:firstLine="709"/>
        <w:jc w:val="both"/>
      </w:pPr>
      <w:r>
        <w:t>В</w:t>
      </w:r>
      <w:r w:rsidR="00C134E6" w:rsidRPr="00AA3AD4">
        <w:t xml:space="preserve"> 201</w:t>
      </w:r>
      <w:r w:rsidR="00AA3AD4" w:rsidRPr="00AA3AD4">
        <w:t>5</w:t>
      </w:r>
      <w:r w:rsidR="00C134E6" w:rsidRPr="00AA3AD4">
        <w:t xml:space="preserve"> году бюджетные кредиты </w:t>
      </w:r>
      <w:r w:rsidRPr="00AA3AD4">
        <w:t xml:space="preserve">муниципальным образованиям </w:t>
      </w:r>
      <w:r w:rsidR="00C134E6" w:rsidRPr="00AA3AD4">
        <w:t xml:space="preserve">не предоставлялись, </w:t>
      </w:r>
      <w:r>
        <w:t>Ю</w:t>
      </w:r>
      <w:r w:rsidR="00C134E6" w:rsidRPr="00AA3AD4">
        <w:t xml:space="preserve">ридическими лицами </w:t>
      </w:r>
      <w:r w:rsidRPr="00AA3AD4">
        <w:t xml:space="preserve">произведен возврат </w:t>
      </w:r>
      <w:r w:rsidR="00C134E6" w:rsidRPr="00AA3AD4">
        <w:t xml:space="preserve">в сумме </w:t>
      </w:r>
      <w:r w:rsidR="00AA3AD4" w:rsidRPr="00AA3AD4">
        <w:t>23,5</w:t>
      </w:r>
      <w:r w:rsidR="00C134E6" w:rsidRPr="00AA3AD4">
        <w:t xml:space="preserve"> тыс. руб</w:t>
      </w:r>
      <w:r w:rsidR="00B310D2">
        <w:t>лей</w:t>
      </w:r>
      <w:r w:rsidR="009D68D5">
        <w:t>.</w:t>
      </w:r>
      <w:r w:rsidR="00C134E6" w:rsidRPr="00AA3AD4">
        <w:t xml:space="preserve"> </w:t>
      </w:r>
    </w:p>
    <w:p w:rsidR="00561AA7" w:rsidRDefault="00561AA7" w:rsidP="009D68D5">
      <w:pPr>
        <w:ind w:right="-108" w:firstLine="709"/>
        <w:jc w:val="both"/>
      </w:pPr>
    </w:p>
    <w:p w:rsidR="008F0522" w:rsidRPr="00561AA7" w:rsidRDefault="008F0522" w:rsidP="008F0522">
      <w:pPr>
        <w:jc w:val="center"/>
        <w:rPr>
          <w:b/>
          <w:i/>
        </w:rPr>
      </w:pPr>
      <w:r w:rsidRPr="00561AA7">
        <w:rPr>
          <w:b/>
          <w:i/>
        </w:rPr>
        <w:t>Государственный долг</w:t>
      </w:r>
    </w:p>
    <w:p w:rsidR="008F0522" w:rsidRPr="00227639" w:rsidRDefault="008F0522" w:rsidP="008F0522">
      <w:pPr>
        <w:autoSpaceDE w:val="0"/>
        <w:autoSpaceDN w:val="0"/>
        <w:adjustRightInd w:val="0"/>
        <w:ind w:firstLine="540"/>
        <w:jc w:val="both"/>
        <w:rPr>
          <w:color w:val="0070C0"/>
        </w:rPr>
      </w:pPr>
      <w:r w:rsidRPr="00227639">
        <w:rPr>
          <w:rFonts w:eastAsia="Times New Roman"/>
          <w:bCs/>
        </w:rPr>
        <w:t>Законом об областном бюджете на 2015 год установлен верхний предел государственного внутреннего долга Волгоградской области по состоянию на 01.01.2016 в сумме 49 442 626,5 тыс. руб., в том числе предел косвенного долга по государственным гарантиям – 802 957</w:t>
      </w:r>
      <w:r w:rsidRPr="00227639">
        <w:rPr>
          <w:rFonts w:eastAsia="Times New Roman"/>
        </w:rPr>
        <w:t>,5 тыс. рублей.</w:t>
      </w:r>
    </w:p>
    <w:p w:rsidR="008F0522" w:rsidRPr="00227639" w:rsidRDefault="008F0522" w:rsidP="008F0522">
      <w:pPr>
        <w:ind w:firstLine="708"/>
        <w:jc w:val="both"/>
      </w:pPr>
      <w:r w:rsidRPr="00227639">
        <w:t xml:space="preserve">Согласно </w:t>
      </w:r>
      <w:r w:rsidR="00561AA7">
        <w:t>отчётности</w:t>
      </w:r>
      <w:r w:rsidRPr="00227639">
        <w:t xml:space="preserve"> задолженность по долговым обязательствам на 31.12.2015 </w:t>
      </w:r>
      <w:r w:rsidR="00561AA7">
        <w:t>составила</w:t>
      </w:r>
      <w:r w:rsidRPr="00227639">
        <w:t xml:space="preserve"> 46</w:t>
      </w:r>
      <w:r w:rsidR="00227639" w:rsidRPr="00227639">
        <w:t> </w:t>
      </w:r>
      <w:r w:rsidRPr="00227639">
        <w:t>969</w:t>
      </w:r>
      <w:r w:rsidR="00227639" w:rsidRPr="00227639">
        <w:t> </w:t>
      </w:r>
      <w:r w:rsidRPr="00227639">
        <w:t>669,0 тыс. рублей. Косвенный долг (государственные гарантии) – 839</w:t>
      </w:r>
      <w:r w:rsidR="00227639" w:rsidRPr="00227639">
        <w:t> </w:t>
      </w:r>
      <w:r w:rsidRPr="00227639">
        <w:t xml:space="preserve">047,2 тыс. рублей. </w:t>
      </w:r>
    </w:p>
    <w:p w:rsidR="008F0522" w:rsidRPr="00227639" w:rsidRDefault="008F0522" w:rsidP="008F0522">
      <w:pPr>
        <w:ind w:firstLine="708"/>
        <w:jc w:val="both"/>
      </w:pPr>
      <w:r w:rsidRPr="00227639">
        <w:t>Структура долга представлена в следующей таблице.</w:t>
      </w:r>
    </w:p>
    <w:p w:rsidR="008F0522" w:rsidRPr="00227639" w:rsidRDefault="008F0522" w:rsidP="008F0522">
      <w:pPr>
        <w:ind w:right="-143" w:firstLine="708"/>
        <w:jc w:val="right"/>
        <w:rPr>
          <w:i/>
          <w:sz w:val="18"/>
          <w:szCs w:val="18"/>
        </w:rPr>
      </w:pPr>
      <w:r w:rsidRPr="00227639">
        <w:rPr>
          <w:i/>
          <w:sz w:val="18"/>
          <w:szCs w:val="18"/>
        </w:rPr>
        <w:t>тыс. руб.</w:t>
      </w:r>
    </w:p>
    <w:tbl>
      <w:tblPr>
        <w:tblW w:w="9762" w:type="dxa"/>
        <w:tblInd w:w="85" w:type="dxa"/>
        <w:tblLook w:val="04A0"/>
      </w:tblPr>
      <w:tblGrid>
        <w:gridCol w:w="3142"/>
        <w:gridCol w:w="1180"/>
        <w:gridCol w:w="1140"/>
        <w:gridCol w:w="1240"/>
        <w:gridCol w:w="960"/>
        <w:gridCol w:w="1140"/>
        <w:gridCol w:w="960"/>
      </w:tblGrid>
      <w:tr w:rsidR="008F0522" w:rsidRPr="00227639" w:rsidTr="00227639">
        <w:trPr>
          <w:trHeight w:val="20"/>
        </w:trPr>
        <w:tc>
          <w:tcPr>
            <w:tcW w:w="31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Вид обязательств</w:t>
            </w:r>
          </w:p>
        </w:tc>
        <w:tc>
          <w:tcPr>
            <w:tcW w:w="232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01.01.2015</w:t>
            </w:r>
          </w:p>
        </w:tc>
        <w:tc>
          <w:tcPr>
            <w:tcW w:w="22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01.01.2016</w:t>
            </w:r>
          </w:p>
        </w:tc>
        <w:tc>
          <w:tcPr>
            <w:tcW w:w="21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Увеличение (+), снижение (-) долга</w:t>
            </w:r>
          </w:p>
        </w:tc>
      </w:tr>
      <w:tr w:rsidR="008F0522" w:rsidRPr="00227639" w:rsidTr="00227639">
        <w:trPr>
          <w:trHeight w:val="2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сумма,       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доля, %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сумма,      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доля, %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F0522" w:rsidRPr="00227639" w:rsidTr="00227639">
        <w:trPr>
          <w:trHeight w:val="20"/>
        </w:trPr>
        <w:tc>
          <w:tcPr>
            <w:tcW w:w="31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Государственные ценные бумаги по номинальной стоимости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15 550 000,0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16 950 000,0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1 400 000,0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9,0</w:t>
            </w:r>
          </w:p>
        </w:tc>
      </w:tr>
      <w:tr w:rsidR="008F0522" w:rsidRPr="00227639" w:rsidTr="00227639">
        <w:trPr>
          <w:trHeight w:val="20"/>
        </w:trPr>
        <w:tc>
          <w:tcPr>
            <w:tcW w:w="31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Кредиты коммерческих банков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12 993 248,0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12 893 248,0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-100 000,0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-0,8</w:t>
            </w:r>
          </w:p>
        </w:tc>
      </w:tr>
      <w:tr w:rsidR="008F0522" w:rsidRPr="00227639" w:rsidTr="00227639">
        <w:trPr>
          <w:trHeight w:val="20"/>
        </w:trPr>
        <w:tc>
          <w:tcPr>
            <w:tcW w:w="31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227639">
            <w:pPr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Бюджетные кредиты из фед</w:t>
            </w:r>
            <w:r w:rsidR="00227639" w:rsidRPr="00227639">
              <w:rPr>
                <w:rFonts w:eastAsia="Times New Roman"/>
                <w:sz w:val="18"/>
                <w:szCs w:val="18"/>
              </w:rPr>
              <w:t>.</w:t>
            </w:r>
            <w:r w:rsidRPr="00227639">
              <w:rPr>
                <w:rFonts w:eastAsia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12 211 911,4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17 126 421,0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35,8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4 914 509,6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40,2</w:t>
            </w:r>
          </w:p>
        </w:tc>
      </w:tr>
      <w:tr w:rsidR="008F0522" w:rsidRPr="00227639" w:rsidTr="00227639">
        <w:trPr>
          <w:trHeight w:val="20"/>
        </w:trPr>
        <w:tc>
          <w:tcPr>
            <w:tcW w:w="314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895 196,5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839 047,2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1,8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-56 149,3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-6,3</w:t>
            </w:r>
          </w:p>
        </w:tc>
      </w:tr>
      <w:tr w:rsidR="008F0522" w:rsidRPr="00227639" w:rsidTr="00227639">
        <w:trPr>
          <w:trHeight w:val="20"/>
        </w:trPr>
        <w:tc>
          <w:tcPr>
            <w:tcW w:w="31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Итого государственный долг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41 650 355,9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7639">
              <w:rPr>
                <w:rFonts w:eastAsia="Times New Roman"/>
                <w:b/>
                <w:bCs/>
                <w:sz w:val="18"/>
                <w:szCs w:val="18"/>
              </w:rPr>
              <w:t>47 808 716,2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b/>
                <w:sz w:val="18"/>
                <w:szCs w:val="18"/>
              </w:rPr>
            </w:pPr>
            <w:r w:rsidRPr="0022763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b/>
                <w:sz w:val="18"/>
                <w:szCs w:val="18"/>
              </w:rPr>
            </w:pPr>
            <w:r w:rsidRPr="00227639">
              <w:rPr>
                <w:b/>
                <w:sz w:val="18"/>
                <w:szCs w:val="18"/>
              </w:rPr>
              <w:t>6 158 360,3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b/>
                <w:sz w:val="18"/>
                <w:szCs w:val="18"/>
              </w:rPr>
            </w:pPr>
            <w:r w:rsidRPr="00227639">
              <w:rPr>
                <w:b/>
                <w:sz w:val="18"/>
                <w:szCs w:val="18"/>
              </w:rPr>
              <w:t>14,8</w:t>
            </w:r>
          </w:p>
        </w:tc>
      </w:tr>
      <w:tr w:rsidR="008F0522" w:rsidRPr="00227639" w:rsidTr="00227639">
        <w:trPr>
          <w:trHeight w:val="20"/>
        </w:trPr>
        <w:tc>
          <w:tcPr>
            <w:tcW w:w="314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в т.ч. прямой долг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40 755 159,4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97,9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7639">
              <w:rPr>
                <w:rFonts w:eastAsia="Times New Roman"/>
                <w:sz w:val="18"/>
                <w:szCs w:val="18"/>
              </w:rPr>
              <w:t>46 969 669,0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98,2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6 214 509,6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F0522" w:rsidRPr="00227639" w:rsidRDefault="008F0522" w:rsidP="00DA784C">
            <w:pPr>
              <w:jc w:val="right"/>
              <w:rPr>
                <w:sz w:val="18"/>
                <w:szCs w:val="18"/>
              </w:rPr>
            </w:pPr>
            <w:r w:rsidRPr="00227639">
              <w:rPr>
                <w:sz w:val="18"/>
                <w:szCs w:val="18"/>
              </w:rPr>
              <w:t>15,2</w:t>
            </w:r>
          </w:p>
        </w:tc>
      </w:tr>
    </w:tbl>
    <w:p w:rsidR="008F0522" w:rsidRPr="00227639" w:rsidRDefault="008F0522" w:rsidP="008F0522">
      <w:pPr>
        <w:ind w:firstLine="708"/>
        <w:jc w:val="both"/>
      </w:pPr>
      <w:r w:rsidRPr="00227639">
        <w:t xml:space="preserve">Увеличение </w:t>
      </w:r>
      <w:r w:rsidR="009717D3">
        <w:t xml:space="preserve">прямого </w:t>
      </w:r>
      <w:r w:rsidRPr="00227639">
        <w:t>государственного долга Волгоградской области в течение 2015 года на 6 214 509,6 тыс. руб., или на 1</w:t>
      </w:r>
      <w:r w:rsidR="009717D3">
        <w:t>5</w:t>
      </w:r>
      <w:r w:rsidRPr="00227639">
        <w:t>,</w:t>
      </w:r>
      <w:r w:rsidR="009717D3">
        <w:t>2</w:t>
      </w:r>
      <w:r w:rsidRPr="00227639">
        <w:t>% сложилось за счет увеличения всех видов заимствований, за исключением кредитов коммерческих банков, задолженность по которым снизилась на 100 000,0 тыс. руб., или на 0,8 процента.</w:t>
      </w:r>
    </w:p>
    <w:p w:rsidR="008F0522" w:rsidRPr="00227639" w:rsidRDefault="008F0522" w:rsidP="008F0522">
      <w:pPr>
        <w:ind w:firstLine="708"/>
        <w:jc w:val="both"/>
      </w:pPr>
      <w:r w:rsidRPr="00227639">
        <w:lastRenderedPageBreak/>
        <w:t xml:space="preserve">Основная доля в общем объеме государственного долга на начало 2015 года приходится на долг по непогашенным областным облигациям – 37,3% и кредитам коммерческих банков. – 31,2 процента. В связи с получением в 2015 году значительного объема бюджетных кредитов структура государственного долга изменилась – доля рыночных заимствований уменьшилась с </w:t>
      </w:r>
      <w:r w:rsidR="009717D3" w:rsidRPr="00227639">
        <w:t>68,5</w:t>
      </w:r>
      <w:r w:rsidRPr="00227639">
        <w:t>% до 6</w:t>
      </w:r>
      <w:r w:rsidR="009717D3">
        <w:t>2</w:t>
      </w:r>
      <w:r w:rsidRPr="00227639">
        <w:t>,</w:t>
      </w:r>
      <w:r w:rsidR="009717D3">
        <w:t>5</w:t>
      </w:r>
      <w:r w:rsidRPr="00227639">
        <w:t xml:space="preserve">%, доля бюджетных кредитов выросла с 29,3% до 35,8%, или на </w:t>
      </w:r>
      <w:r w:rsidR="00D66AD0">
        <w:t>6,5</w:t>
      </w:r>
      <w:r w:rsidRPr="00227639">
        <w:t xml:space="preserve"> процент</w:t>
      </w:r>
      <w:r w:rsidR="00D66AD0">
        <w:t>ных пункта.</w:t>
      </w:r>
    </w:p>
    <w:p w:rsidR="008F0522" w:rsidRPr="00227639" w:rsidRDefault="008F0522" w:rsidP="008F0522">
      <w:pPr>
        <w:ind w:firstLine="708"/>
        <w:jc w:val="both"/>
      </w:pPr>
      <w:r w:rsidRPr="00227639">
        <w:t>По состоянию на 01.01.2016 превы</w:t>
      </w:r>
      <w:r w:rsidR="00D66AD0">
        <w:t>шен</w:t>
      </w:r>
      <w:r w:rsidRPr="00227639">
        <w:t xml:space="preserve"> верхний предел долга по государственным гарантиям Волгоградской области, утвержденный Законом об областном бюджете на 2015 год</w:t>
      </w:r>
      <w:r w:rsidR="00D66AD0">
        <w:t>,</w:t>
      </w:r>
      <w:r w:rsidRPr="00227639">
        <w:t xml:space="preserve"> </w:t>
      </w:r>
      <w:r w:rsidRPr="00227639">
        <w:rPr>
          <w:rFonts w:eastAsia="Times New Roman"/>
          <w:bCs/>
        </w:rPr>
        <w:t xml:space="preserve">на </w:t>
      </w:r>
      <w:r w:rsidRPr="00227639">
        <w:rPr>
          <w:color w:val="000000"/>
        </w:rPr>
        <w:t xml:space="preserve">36089,7 </w:t>
      </w:r>
      <w:r w:rsidRPr="00227639">
        <w:t>тыс. руб</w:t>
      </w:r>
      <w:r w:rsidR="00561AA7">
        <w:t xml:space="preserve">., </w:t>
      </w:r>
      <w:r w:rsidRPr="00227639">
        <w:rPr>
          <w:rFonts w:eastAsia="Times New Roman"/>
        </w:rPr>
        <w:t xml:space="preserve">что </w:t>
      </w:r>
      <w:r w:rsidRPr="00227639">
        <w:t>обусловлено переносом сроков платежей по кредитам ООО «ТопАгро» за пределы 2015 года, а также ростом курса доллара и, как следствие, курсовой разницы по государственной гарантии Администрации г. Волгограда.</w:t>
      </w:r>
    </w:p>
    <w:p w:rsidR="008B3215" w:rsidRPr="003F462A" w:rsidRDefault="008B3215" w:rsidP="008B321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B3215" w:rsidRPr="00561AA7" w:rsidRDefault="008B3215" w:rsidP="008B3215">
      <w:pPr>
        <w:jc w:val="center"/>
        <w:rPr>
          <w:b/>
          <w:i/>
        </w:rPr>
      </w:pPr>
      <w:r w:rsidRPr="00561AA7">
        <w:rPr>
          <w:b/>
          <w:i/>
        </w:rPr>
        <w:t>Состояние дебиторской и кредиторской задолженностей</w:t>
      </w:r>
    </w:p>
    <w:p w:rsidR="008B3215" w:rsidRPr="00F911BB" w:rsidRDefault="008B3215" w:rsidP="008B3215">
      <w:pPr>
        <w:ind w:firstLine="709"/>
        <w:jc w:val="both"/>
      </w:pPr>
      <w:r w:rsidRPr="00F911BB">
        <w:t>Информация о динамике дебиторской и кредиторской задолженностей по состоянию на начало и на конец 2015 года представлена в таблице.</w:t>
      </w:r>
    </w:p>
    <w:p w:rsidR="008B3215" w:rsidRPr="00F911BB" w:rsidRDefault="008B3215" w:rsidP="008B3215">
      <w:pPr>
        <w:ind w:right="278"/>
        <w:jc w:val="right"/>
        <w:rPr>
          <w:i/>
          <w:sz w:val="20"/>
          <w:szCs w:val="20"/>
        </w:rPr>
      </w:pPr>
      <w:r w:rsidRPr="00F911BB">
        <w:rPr>
          <w:i/>
          <w:sz w:val="20"/>
          <w:szCs w:val="20"/>
        </w:rPr>
        <w:t>тыс. руб.</w:t>
      </w:r>
    </w:p>
    <w:tbl>
      <w:tblPr>
        <w:tblW w:w="9298" w:type="dxa"/>
        <w:jc w:val="center"/>
        <w:tblLook w:val="0000"/>
      </w:tblPr>
      <w:tblGrid>
        <w:gridCol w:w="4335"/>
        <w:gridCol w:w="1181"/>
        <w:gridCol w:w="1163"/>
        <w:gridCol w:w="1182"/>
        <w:gridCol w:w="1437"/>
      </w:tblGrid>
      <w:tr w:rsidR="008B3215" w:rsidRPr="00F911BB" w:rsidTr="008B3215">
        <w:trPr>
          <w:trHeight w:val="255"/>
          <w:jc w:val="center"/>
        </w:trPr>
        <w:tc>
          <w:tcPr>
            <w:tcW w:w="43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F911BB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6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F911BB">
              <w:rPr>
                <w:b/>
                <w:bCs/>
                <w:sz w:val="18"/>
                <w:szCs w:val="18"/>
              </w:rPr>
              <w:t>Бюджетная деятельность</w:t>
            </w:r>
          </w:p>
        </w:tc>
      </w:tr>
      <w:tr w:rsidR="008B3215" w:rsidRPr="00F911BB" w:rsidTr="008B3215">
        <w:trPr>
          <w:trHeight w:val="255"/>
          <w:jc w:val="center"/>
        </w:trPr>
        <w:tc>
          <w:tcPr>
            <w:tcW w:w="433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215" w:rsidRPr="00F911BB" w:rsidRDefault="008B3215" w:rsidP="008B32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jc w:val="center"/>
              <w:rPr>
                <w:b/>
                <w:bCs/>
                <w:sz w:val="16"/>
                <w:szCs w:val="16"/>
              </w:rPr>
            </w:pPr>
            <w:r w:rsidRPr="00F911BB">
              <w:rPr>
                <w:b/>
                <w:bCs/>
                <w:sz w:val="16"/>
                <w:szCs w:val="16"/>
              </w:rPr>
              <w:t>на 01.01.2015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jc w:val="center"/>
              <w:rPr>
                <w:b/>
                <w:bCs/>
                <w:sz w:val="16"/>
                <w:szCs w:val="16"/>
              </w:rPr>
            </w:pPr>
            <w:r w:rsidRPr="00F911BB">
              <w:rPr>
                <w:b/>
                <w:bCs/>
                <w:sz w:val="16"/>
                <w:szCs w:val="16"/>
              </w:rPr>
              <w:t>на 31.12.2015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F911BB">
              <w:rPr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8B3215" w:rsidRPr="00F911BB" w:rsidTr="008B3215">
        <w:trPr>
          <w:trHeight w:val="255"/>
          <w:jc w:val="center"/>
        </w:trPr>
        <w:tc>
          <w:tcPr>
            <w:tcW w:w="43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215" w:rsidRPr="00F911BB" w:rsidRDefault="008B3215" w:rsidP="008B32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215" w:rsidRPr="00F911BB" w:rsidRDefault="008B3215" w:rsidP="008B32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215" w:rsidRPr="00F911BB" w:rsidRDefault="008B3215" w:rsidP="008B32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jc w:val="center"/>
              <w:rPr>
                <w:b/>
                <w:bCs/>
                <w:sz w:val="16"/>
                <w:szCs w:val="16"/>
              </w:rPr>
            </w:pPr>
            <w:r w:rsidRPr="00F911BB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3215" w:rsidRPr="00F911BB" w:rsidRDefault="008B3215" w:rsidP="008B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F911BB">
              <w:rPr>
                <w:b/>
                <w:bCs/>
                <w:sz w:val="18"/>
                <w:szCs w:val="18"/>
              </w:rPr>
              <w:t>%%</w:t>
            </w:r>
          </w:p>
        </w:tc>
      </w:tr>
      <w:tr w:rsidR="008B3215" w:rsidRPr="00F51F5F" w:rsidTr="008B3215">
        <w:trPr>
          <w:trHeight w:val="20"/>
          <w:jc w:val="center"/>
        </w:trPr>
        <w:tc>
          <w:tcPr>
            <w:tcW w:w="4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51F5F" w:rsidRDefault="008B3215" w:rsidP="008B3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51F5F">
              <w:rPr>
                <w:b/>
                <w:bCs/>
                <w:i/>
                <w:iCs/>
                <w:sz w:val="20"/>
                <w:szCs w:val="20"/>
              </w:rPr>
              <w:t>Дебит. задолженность ИТОГО:</w:t>
            </w:r>
            <w:r w:rsidRPr="00F51F5F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F51F5F">
              <w:rPr>
                <w:b/>
                <w:i/>
                <w:sz w:val="18"/>
                <w:szCs w:val="18"/>
              </w:rPr>
              <w:t>в том числе:</w:t>
            </w: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F51F5F">
              <w:rPr>
                <w:b/>
                <w:i/>
                <w:sz w:val="18"/>
                <w:szCs w:val="18"/>
              </w:rPr>
              <w:t>225,9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F51F5F">
              <w:rPr>
                <w:b/>
                <w:i/>
                <w:sz w:val="18"/>
                <w:szCs w:val="18"/>
              </w:rPr>
              <w:t>185,6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959,7</w:t>
            </w:r>
          </w:p>
        </w:tc>
        <w:tc>
          <w:tcPr>
            <w:tcW w:w="14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43,1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561AA7" w:rsidP="008B3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B3215" w:rsidRPr="00F911BB">
              <w:rPr>
                <w:sz w:val="18"/>
                <w:szCs w:val="18"/>
              </w:rPr>
              <w:t>асчеты по доходам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911BB">
              <w:rPr>
                <w:sz w:val="18"/>
                <w:szCs w:val="18"/>
              </w:rPr>
              <w:t>713,2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911BB">
              <w:rPr>
                <w:sz w:val="18"/>
                <w:szCs w:val="18"/>
              </w:rPr>
              <w:t>880,1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1166,9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68,1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171,5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14,1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-157,4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-91,8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-15,4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-100,0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расчеты по ущербу и иным доходам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276,8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276,8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0,0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14,6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-34,4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-70,2</w:t>
            </w:r>
          </w:p>
        </w:tc>
      </w:tr>
      <w:tr w:rsidR="008B3215" w:rsidRPr="00F51F5F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51F5F" w:rsidRDefault="008B3215" w:rsidP="008B3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51F5F">
              <w:rPr>
                <w:b/>
                <w:bCs/>
                <w:i/>
                <w:iCs/>
                <w:sz w:val="20"/>
                <w:szCs w:val="20"/>
              </w:rPr>
              <w:t xml:space="preserve">Кредит. задолженность ИТОГО: </w:t>
            </w:r>
            <w:r w:rsidRPr="00F51F5F">
              <w:rPr>
                <w:b/>
                <w:i/>
                <w:sz w:val="20"/>
                <w:szCs w:val="20"/>
              </w:rPr>
              <w:t>в</w:t>
            </w:r>
            <w:r w:rsidRPr="00F51F5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F51F5F">
              <w:rPr>
                <w:b/>
                <w:i/>
                <w:sz w:val="18"/>
                <w:szCs w:val="18"/>
              </w:rPr>
              <w:t>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5 922,4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5 505,10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-417,3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51F5F" w:rsidRDefault="008B3215" w:rsidP="008B3215">
            <w:pPr>
              <w:jc w:val="right"/>
              <w:rPr>
                <w:b/>
                <w:i/>
                <w:sz w:val="18"/>
                <w:szCs w:val="18"/>
              </w:rPr>
            </w:pPr>
            <w:r w:rsidRPr="00F51F5F">
              <w:rPr>
                <w:b/>
                <w:i/>
                <w:sz w:val="18"/>
                <w:szCs w:val="18"/>
              </w:rPr>
              <w:t>-7,0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2 629,30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F911BB">
              <w:rPr>
                <w:sz w:val="18"/>
                <w:szCs w:val="18"/>
              </w:rPr>
              <w:t>483,1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2853,8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108,5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11,7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11,7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100,0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-100,0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8B3215" w:rsidP="008B3215">
            <w:pPr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7,8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19,5 раза</w:t>
            </w:r>
          </w:p>
        </w:tc>
      </w:tr>
      <w:tr w:rsidR="008B3215" w:rsidRPr="00F911BB" w:rsidTr="008B3215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15" w:rsidRPr="00F911BB" w:rsidRDefault="00561AA7" w:rsidP="008B3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B3215" w:rsidRPr="00F911BB">
              <w:rPr>
                <w:sz w:val="18"/>
                <w:szCs w:val="18"/>
              </w:rPr>
              <w:t>асчеты по доходам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F911BB">
              <w:rPr>
                <w:sz w:val="18"/>
                <w:szCs w:val="18"/>
              </w:rPr>
              <w:t>291,5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 xml:space="preserve"> </w:t>
            </w:r>
            <w:r w:rsidRPr="00F911BB">
              <w:rPr>
                <w:sz w:val="18"/>
                <w:szCs w:val="18"/>
              </w:rPr>
              <w:t>289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B3215" w:rsidRPr="00F911BB" w:rsidRDefault="008B3215" w:rsidP="008B3215">
            <w:pPr>
              <w:jc w:val="right"/>
              <w:rPr>
                <w:sz w:val="18"/>
                <w:szCs w:val="18"/>
              </w:rPr>
            </w:pPr>
            <w:r w:rsidRPr="00F911BB">
              <w:rPr>
                <w:sz w:val="18"/>
                <w:szCs w:val="18"/>
              </w:rPr>
              <w:t>-99,9</w:t>
            </w:r>
          </w:p>
        </w:tc>
      </w:tr>
    </w:tbl>
    <w:p w:rsidR="008B3215" w:rsidRPr="00EB6C6A" w:rsidRDefault="008B3215" w:rsidP="008B3215">
      <w:pPr>
        <w:ind w:firstLine="720"/>
        <w:jc w:val="both"/>
        <w:rPr>
          <w:i/>
          <w:u w:val="single"/>
        </w:rPr>
      </w:pPr>
      <w:r w:rsidRPr="00EB6C6A">
        <w:rPr>
          <w:i/>
          <w:u w:val="single"/>
        </w:rPr>
        <w:t>Сост</w:t>
      </w:r>
      <w:r>
        <w:rPr>
          <w:i/>
          <w:u w:val="single"/>
        </w:rPr>
        <w:t>ояние дебиторской задолженности</w:t>
      </w:r>
    </w:p>
    <w:p w:rsidR="008B3215" w:rsidRDefault="008B3215" w:rsidP="008B3215">
      <w:pPr>
        <w:autoSpaceDE w:val="0"/>
        <w:autoSpaceDN w:val="0"/>
        <w:adjustRightInd w:val="0"/>
        <w:ind w:firstLine="720"/>
        <w:jc w:val="both"/>
      </w:pPr>
      <w:r>
        <w:t>В целом д</w:t>
      </w:r>
      <w:r w:rsidRPr="00C046E5">
        <w:t xml:space="preserve">ебиторская задолженность </w:t>
      </w:r>
      <w:r>
        <w:t>увеличилась к уровню прошлого года на 959,7 тыс.</w:t>
      </w:r>
      <w:r w:rsidR="00C849F8">
        <w:t xml:space="preserve"> </w:t>
      </w:r>
      <w:r>
        <w:t xml:space="preserve">руб., или на 43,1% и </w:t>
      </w:r>
      <w:r w:rsidRPr="00C046E5">
        <w:t>с</w:t>
      </w:r>
      <w:r>
        <w:t>ос</w:t>
      </w:r>
      <w:r w:rsidRPr="00C046E5">
        <w:t xml:space="preserve">тавила </w:t>
      </w:r>
      <w:r>
        <w:t>на 31.12.2015 – 3185,6</w:t>
      </w:r>
      <w:r w:rsidRPr="00C046E5">
        <w:t xml:space="preserve"> тыс. руб</w:t>
      </w:r>
      <w:r>
        <w:t>лей.</w:t>
      </w:r>
    </w:p>
    <w:p w:rsidR="0059296C" w:rsidRDefault="00EB1614" w:rsidP="0059296C">
      <w:pPr>
        <w:autoSpaceDE w:val="0"/>
        <w:autoSpaceDN w:val="0"/>
        <w:adjustRightInd w:val="0"/>
        <w:ind w:firstLine="720"/>
        <w:jc w:val="both"/>
      </w:pPr>
      <w:r>
        <w:t>Более 75</w:t>
      </w:r>
      <w:r w:rsidR="008B3215" w:rsidRPr="001C138C">
        <w:t xml:space="preserve">% </w:t>
      </w:r>
      <w:r w:rsidR="0059296C">
        <w:t xml:space="preserve">дебиторской задолженности представляет собой задолженность по штрафам </w:t>
      </w:r>
      <w:r w:rsidR="0059296C" w:rsidRPr="00A85D20">
        <w:t xml:space="preserve">за нарушение бюджетного законодательства </w:t>
      </w:r>
      <w:r w:rsidR="0059296C">
        <w:t>(</w:t>
      </w:r>
      <w:r w:rsidR="0059296C" w:rsidRPr="00A85D20">
        <w:t>951,9 тыс.</w:t>
      </w:r>
      <w:r w:rsidR="0059296C">
        <w:t xml:space="preserve"> </w:t>
      </w:r>
      <w:r w:rsidR="0059296C" w:rsidRPr="00A85D20">
        <w:t>руб.</w:t>
      </w:r>
      <w:r w:rsidR="0059296C">
        <w:t>)</w:t>
      </w:r>
      <w:r w:rsidR="0059296C" w:rsidRPr="0059296C">
        <w:t xml:space="preserve"> </w:t>
      </w:r>
      <w:r w:rsidR="0059296C">
        <w:t xml:space="preserve">и штрафам </w:t>
      </w:r>
      <w:r w:rsidR="0059296C" w:rsidRPr="00A85D20">
        <w:t xml:space="preserve">за нарушение законодательства о размещении заказов </w:t>
      </w:r>
      <w:r w:rsidR="0059296C">
        <w:t xml:space="preserve">(1443,8 тыс. руб.). </w:t>
      </w:r>
    </w:p>
    <w:p w:rsidR="0059296C" w:rsidRDefault="00EB1614" w:rsidP="008B3215">
      <w:pPr>
        <w:autoSpaceDE w:val="0"/>
        <w:autoSpaceDN w:val="0"/>
        <w:adjustRightInd w:val="0"/>
        <w:ind w:firstLine="720"/>
        <w:jc w:val="both"/>
      </w:pPr>
      <w:r>
        <w:t xml:space="preserve">Основная сумма задолженности по штрафам </w:t>
      </w:r>
      <w:r w:rsidRPr="00A85D20">
        <w:t>за нарушение бюджетного законодательства</w:t>
      </w:r>
      <w:r>
        <w:t xml:space="preserve"> </w:t>
      </w:r>
      <w:r w:rsidR="008E1F00" w:rsidRPr="00A85D20">
        <w:t>в размере 609,5 тыс.</w:t>
      </w:r>
      <w:r w:rsidR="008E1F00">
        <w:t xml:space="preserve"> </w:t>
      </w:r>
      <w:r w:rsidR="008E1F00" w:rsidRPr="00A85D20">
        <w:t xml:space="preserve">руб. </w:t>
      </w:r>
      <w:r>
        <w:t xml:space="preserve">числится </w:t>
      </w:r>
      <w:r w:rsidRPr="00A85D20">
        <w:t>за ООО «Овощевод»</w:t>
      </w:r>
      <w:r>
        <w:t xml:space="preserve">, постановление о привлечении которого </w:t>
      </w:r>
      <w:r w:rsidRPr="00A85D20">
        <w:t>к административной ответственности по ч.</w:t>
      </w:r>
      <w:r>
        <w:t xml:space="preserve"> </w:t>
      </w:r>
      <w:r w:rsidRPr="00A85D20">
        <w:t>2 ст.</w:t>
      </w:r>
      <w:r>
        <w:t xml:space="preserve"> </w:t>
      </w:r>
      <w:r w:rsidRPr="00A85D20">
        <w:t>15.15.5 КоАП РФ</w:t>
      </w:r>
      <w:r>
        <w:t xml:space="preserve"> признано судом незаконным и отменено </w:t>
      </w:r>
      <w:r w:rsidRPr="00A85D20">
        <w:t xml:space="preserve">10.12.2015. </w:t>
      </w:r>
    </w:p>
    <w:p w:rsidR="00422372" w:rsidRDefault="00422372" w:rsidP="00422372">
      <w:pPr>
        <w:ind w:firstLine="708"/>
        <w:jc w:val="both"/>
      </w:pPr>
      <w:r>
        <w:t>Указанная задолженность не списана с учёта по причине неурегулированности вопроса списания задолженности свыше 500,0 тыс. рублей. В соответствии с Порядком списания и восстановления в учете задолженности по денежным обязательствам перед областным бюджетом,</w:t>
      </w:r>
      <w:r w:rsidRPr="00A85D20">
        <w:t xml:space="preserve"> утвержденн</w:t>
      </w:r>
      <w:r>
        <w:t>ым</w:t>
      </w:r>
      <w:r w:rsidRPr="00A85D20">
        <w:t xml:space="preserve"> постановлением Правительства Волгоградской области от 27.04.2012 № 32-п</w:t>
      </w:r>
      <w:r>
        <w:t xml:space="preserve">, решение о списании задолженности по обязательствам, признанным судом невозникшими, недействительными, </w:t>
      </w:r>
      <w:r w:rsidRPr="00A85D20">
        <w:t>в сумме свыше 500 тыс. руб. принимается комиссией по обеспечению поступлений налоговых и неналоговых доходов в консолидированный бюджет Волгоградской области, обязательных взносов в государственные внебюджетные фонды и повышению результативности бюджетных</w:t>
      </w:r>
      <w:r>
        <w:t xml:space="preserve"> расходов</w:t>
      </w:r>
      <w:r w:rsidRPr="00A85D20">
        <w:t>.</w:t>
      </w:r>
      <w:r>
        <w:t xml:space="preserve"> </w:t>
      </w:r>
      <w:r w:rsidR="00487E57">
        <w:t>Названная</w:t>
      </w:r>
      <w:r w:rsidRPr="00A85D20">
        <w:t xml:space="preserve"> комиссия прекратила свои полномочия</w:t>
      </w:r>
      <w:r>
        <w:t xml:space="preserve"> </w:t>
      </w:r>
      <w:r w:rsidRPr="00A85D20">
        <w:t>с даты образова</w:t>
      </w:r>
      <w:r w:rsidR="0001272F">
        <w:t>ния новой комиссии - 12.09.2014</w:t>
      </w:r>
      <w:r w:rsidRPr="00A85D20">
        <w:t>. Действующая в настоящее время межведомственная комиссия по мобилизации доходов в консолидированный бюджет Волгоградской области и вопросам неформальной занятости населения, образованная постановлением Губернатора Волгоградской области от 15.06.2015 № 526</w:t>
      </w:r>
      <w:r w:rsidR="00487E57">
        <w:t>,</w:t>
      </w:r>
      <w:r w:rsidRPr="00A85D20">
        <w:t xml:space="preserve"> не наделена полномочиями</w:t>
      </w:r>
      <w:r>
        <w:t xml:space="preserve"> по принятию решений о списании задолженности.</w:t>
      </w:r>
    </w:p>
    <w:p w:rsidR="0059296C" w:rsidRDefault="00FA442A" w:rsidP="00422372">
      <w:pPr>
        <w:pStyle w:val="ConsPlusNormal"/>
        <w:ind w:firstLine="540"/>
        <w:jc w:val="both"/>
      </w:pPr>
      <w:r>
        <w:lastRenderedPageBreak/>
        <w:t xml:space="preserve">Также в бюджетной отчётности Облфина необоснованно числится дебиторская задолженность двух физических лиц в размере 90,0 тыс. руб., постановления о привлечении </w:t>
      </w:r>
      <w:r w:rsidR="00C849F8">
        <w:t xml:space="preserve"> которых </w:t>
      </w:r>
      <w:r>
        <w:t xml:space="preserve">к административной ответственности </w:t>
      </w:r>
      <w:r w:rsidRPr="00A85D20">
        <w:t>за нарушение законодательства о размещении заказов</w:t>
      </w:r>
      <w:r>
        <w:t xml:space="preserve"> отменены судом. В нарушение п. 4 Правил списания и восстановления в учёте задолженности по денежным обязательствам перед областным бюджетом, утверждённых приказом министерства финансов Волгоградской области от 25.12.2012 № 451, отдел-администратор этих доходов </w:t>
      </w:r>
      <w:r w:rsidR="00C849F8">
        <w:t>не произвёл необходимые операции для списания задолженности.</w:t>
      </w:r>
      <w:r w:rsidR="00C849F8" w:rsidRPr="00C849F8">
        <w:t xml:space="preserve"> </w:t>
      </w:r>
      <w:r w:rsidR="00C849F8">
        <w:t>В ходе проверки нарушение устранено, задолженность списана.</w:t>
      </w:r>
    </w:p>
    <w:p w:rsidR="006B68E9" w:rsidRDefault="008B3215" w:rsidP="008B3215">
      <w:pPr>
        <w:ind w:firstLine="708"/>
        <w:jc w:val="both"/>
      </w:pPr>
      <w:r>
        <w:t xml:space="preserve">Таким образом, </w:t>
      </w:r>
      <w:r w:rsidR="006B68E9">
        <w:t xml:space="preserve">бюджетная отчётность Облфина содержит информацию о </w:t>
      </w:r>
      <w:r>
        <w:t>дебиторской задолженности в сумме 699,5 тыс.</w:t>
      </w:r>
      <w:r w:rsidR="006B68E9">
        <w:t xml:space="preserve"> </w:t>
      </w:r>
      <w:r>
        <w:t>руб.</w:t>
      </w:r>
      <w:r w:rsidR="006B68E9">
        <w:t>, которая фактически отсутствует, подлежит списанию, но не списана по причине нормативной неурегулированности (609,5</w:t>
      </w:r>
      <w:r w:rsidR="00EC6FB2">
        <w:t> </w:t>
      </w:r>
      <w:r w:rsidR="006B68E9">
        <w:t>тыс. руб.) и нарушения правил списания (90,0 тыс. руб.).</w:t>
      </w:r>
    </w:p>
    <w:p w:rsidR="008B3215" w:rsidRPr="001B2C5F" w:rsidRDefault="008B3215" w:rsidP="008B3215">
      <w:pPr>
        <w:ind w:firstLine="720"/>
        <w:jc w:val="both"/>
        <w:rPr>
          <w:i/>
          <w:u w:val="single"/>
        </w:rPr>
      </w:pPr>
      <w:r w:rsidRPr="001B2C5F">
        <w:rPr>
          <w:i/>
          <w:u w:val="single"/>
        </w:rPr>
        <w:t>Состо</w:t>
      </w:r>
      <w:r>
        <w:rPr>
          <w:i/>
          <w:u w:val="single"/>
        </w:rPr>
        <w:t>яние кредиторской задолженности</w:t>
      </w:r>
    </w:p>
    <w:p w:rsidR="006B68E9" w:rsidRDefault="006B68E9" w:rsidP="008B3215">
      <w:pPr>
        <w:autoSpaceDE w:val="0"/>
        <w:autoSpaceDN w:val="0"/>
        <w:adjustRightInd w:val="0"/>
        <w:ind w:firstLine="720"/>
        <w:jc w:val="both"/>
      </w:pPr>
      <w:r>
        <w:t>К</w:t>
      </w:r>
      <w:r w:rsidR="008B3215">
        <w:t>редиторская</w:t>
      </w:r>
      <w:r w:rsidR="008B3215" w:rsidRPr="00C046E5">
        <w:t xml:space="preserve"> задолженность </w:t>
      </w:r>
      <w:r>
        <w:t xml:space="preserve">Облфина за 2015 год </w:t>
      </w:r>
      <w:r w:rsidR="008B3215">
        <w:t xml:space="preserve">снизилась на 417,3 тыс. руб. (-7,0%) и </w:t>
      </w:r>
      <w:r w:rsidR="008B3215" w:rsidRPr="00E65CB6">
        <w:t>составила 5</w:t>
      </w:r>
      <w:r>
        <w:t xml:space="preserve"> </w:t>
      </w:r>
      <w:r w:rsidR="008B3215" w:rsidRPr="00E65CB6">
        <w:t>505,1 тыс</w:t>
      </w:r>
      <w:r w:rsidR="008B3215" w:rsidRPr="00C046E5">
        <w:t>. руб</w:t>
      </w:r>
      <w:r>
        <w:t>., в том числе, в основном:</w:t>
      </w:r>
    </w:p>
    <w:p w:rsidR="00EC6FB2" w:rsidRDefault="006B68E9" w:rsidP="008B3215">
      <w:pPr>
        <w:autoSpaceDE w:val="0"/>
        <w:autoSpaceDN w:val="0"/>
        <w:adjustRightInd w:val="0"/>
        <w:ind w:firstLine="720"/>
        <w:jc w:val="both"/>
      </w:pPr>
      <w:r>
        <w:t>-</w:t>
      </w:r>
      <w:r w:rsidR="00EC6FB2" w:rsidRPr="00227639">
        <w:t>3</w:t>
      </w:r>
      <w:r w:rsidR="00EC6FB2">
        <w:t> </w:t>
      </w:r>
      <w:r w:rsidR="00EC6FB2" w:rsidRPr="00227639">
        <w:t>388,8 тыс.</w:t>
      </w:r>
      <w:r w:rsidR="00EC6FB2">
        <w:t xml:space="preserve"> </w:t>
      </w:r>
      <w:r w:rsidR="00EC6FB2" w:rsidRPr="00227639">
        <w:t>руб.</w:t>
      </w:r>
      <w:r w:rsidR="00EC6FB2">
        <w:t xml:space="preserve"> - </w:t>
      </w:r>
      <w:r w:rsidR="00EC6FB2" w:rsidRPr="00227639">
        <w:t>задолженность по заработной плат</w:t>
      </w:r>
      <w:r w:rsidR="00EC6FB2">
        <w:t xml:space="preserve">е с начислениями </w:t>
      </w:r>
      <w:r w:rsidR="00EC6FB2" w:rsidRPr="00227639">
        <w:t>за вторую половину декабря 2015 года</w:t>
      </w:r>
      <w:r w:rsidR="00EC6FB2">
        <w:t>;</w:t>
      </w:r>
    </w:p>
    <w:p w:rsidR="00EC6FB2" w:rsidRDefault="00EC6FB2" w:rsidP="008B3215">
      <w:pPr>
        <w:autoSpaceDE w:val="0"/>
        <w:autoSpaceDN w:val="0"/>
        <w:adjustRightInd w:val="0"/>
        <w:ind w:firstLine="720"/>
        <w:jc w:val="both"/>
      </w:pPr>
      <w:r>
        <w:t>-</w:t>
      </w:r>
      <w:r w:rsidRPr="00227639">
        <w:t>1</w:t>
      </w:r>
      <w:r>
        <w:t> </w:t>
      </w:r>
      <w:r w:rsidRPr="00227639">
        <w:t>980,0 тыс.</w:t>
      </w:r>
      <w:r>
        <w:t xml:space="preserve"> </w:t>
      </w:r>
      <w:r w:rsidRPr="00227639">
        <w:t>руб.</w:t>
      </w:r>
      <w:r>
        <w:t xml:space="preserve"> – задолженность ГКУ ЦБУ по оплате работ</w:t>
      </w:r>
      <w:r w:rsidR="00977E91" w:rsidRPr="00977E91">
        <w:t xml:space="preserve"> </w:t>
      </w:r>
      <w:r w:rsidR="00977E91" w:rsidRPr="00A770D5">
        <w:t>по созданию централизованной информационной системы для ведения бюджетного учёта и отчётности</w:t>
      </w:r>
      <w:r w:rsidR="00977E91">
        <w:t>.</w:t>
      </w:r>
    </w:p>
    <w:p w:rsidR="008B3215" w:rsidRDefault="008B3215" w:rsidP="008B3215">
      <w:pPr>
        <w:tabs>
          <w:tab w:val="left" w:pos="851"/>
        </w:tabs>
        <w:ind w:firstLine="567"/>
        <w:jc w:val="both"/>
      </w:pPr>
      <w:r w:rsidRPr="00DE6858">
        <w:t xml:space="preserve">Просроченная </w:t>
      </w:r>
      <w:r>
        <w:t xml:space="preserve">дебиторская и </w:t>
      </w:r>
      <w:r w:rsidRPr="00DE6858">
        <w:t xml:space="preserve">кредиторская задолженность на </w:t>
      </w:r>
      <w:r>
        <w:t>31</w:t>
      </w:r>
      <w:r w:rsidRPr="00DE6858">
        <w:t>.</w:t>
      </w:r>
      <w:r>
        <w:t>12</w:t>
      </w:r>
      <w:r w:rsidRPr="00DE6858">
        <w:t>.201</w:t>
      </w:r>
      <w:r>
        <w:t>5 у Облфина отсутствует</w:t>
      </w:r>
      <w:r w:rsidRPr="00DE6858">
        <w:t xml:space="preserve">. </w:t>
      </w:r>
    </w:p>
    <w:p w:rsidR="00A85D20" w:rsidRDefault="00A85D20" w:rsidP="008B3215">
      <w:pPr>
        <w:rPr>
          <w:lang w:eastAsia="en-US"/>
        </w:rPr>
      </w:pPr>
    </w:p>
    <w:p w:rsidR="008B3215" w:rsidRPr="00977E91" w:rsidRDefault="008B3215" w:rsidP="008B3215">
      <w:pPr>
        <w:autoSpaceDE w:val="0"/>
        <w:autoSpaceDN w:val="0"/>
        <w:adjustRightInd w:val="0"/>
        <w:jc w:val="center"/>
        <w:rPr>
          <w:b/>
          <w:i/>
        </w:rPr>
      </w:pPr>
      <w:r w:rsidRPr="00977E91">
        <w:rPr>
          <w:b/>
          <w:i/>
        </w:rPr>
        <w:t>Анализ достижения поставленных целей и ожидаемых результатов</w:t>
      </w:r>
    </w:p>
    <w:p w:rsidR="008B3215" w:rsidRDefault="008B3215" w:rsidP="008B3215">
      <w:pPr>
        <w:ind w:firstLine="708"/>
        <w:jc w:val="both"/>
      </w:pPr>
      <w:r>
        <w:t xml:space="preserve">Облфин является ответственным исполнителем </w:t>
      </w:r>
      <w:r w:rsidRPr="00EE6DA8">
        <w:t xml:space="preserve">государственной программы Волгоградской области </w:t>
      </w:r>
      <w:r w:rsidR="00977E91">
        <w:t>«</w:t>
      </w:r>
      <w:r w:rsidRPr="00EE6DA8">
        <w:t>Управление государственными финансами Волгоградской области</w:t>
      </w:r>
      <w:r w:rsidR="00977E91">
        <w:t>» на 2014-2020 годы»</w:t>
      </w:r>
      <w:r>
        <w:t>, утверждённой п</w:t>
      </w:r>
      <w:r w:rsidRPr="00EE6DA8">
        <w:t>остановление</w:t>
      </w:r>
      <w:r>
        <w:t>м</w:t>
      </w:r>
      <w:r w:rsidRPr="00EE6DA8">
        <w:t xml:space="preserve"> Правительства Волгоградской области от 30</w:t>
      </w:r>
      <w:r w:rsidR="00977E91">
        <w:t>.12.</w:t>
      </w:r>
      <w:r w:rsidRPr="00EE6DA8">
        <w:t xml:space="preserve">2013 </w:t>
      </w:r>
      <w:r w:rsidR="00977E91">
        <w:t>№</w:t>
      </w:r>
      <w:r w:rsidRPr="00EE6DA8">
        <w:t xml:space="preserve"> 806-п </w:t>
      </w:r>
      <w:r>
        <w:t>(далее - ГП «Управление го</w:t>
      </w:r>
      <w:r w:rsidR="00977E91">
        <w:t>с</w:t>
      </w:r>
      <w:r>
        <w:t xml:space="preserve">финансами»), а также государственным заказчиком </w:t>
      </w:r>
      <w:r w:rsidR="00977E91">
        <w:t>региональной программы «</w:t>
      </w:r>
      <w:r>
        <w:t>Повышение уровня финансовой грамотности населения в Волг</w:t>
      </w:r>
      <w:r w:rsidR="00977E91">
        <w:t>оградской области»</w:t>
      </w:r>
      <w:r>
        <w:t xml:space="preserve"> на 2014-2016 годы, утверждённой постановлением Правительства Волгоградской области от 24.03.2014 № 118-п (далее – РП «Финансовая грамотность»).</w:t>
      </w:r>
    </w:p>
    <w:p w:rsidR="008B3215" w:rsidRDefault="008B3215" w:rsidP="008B3215">
      <w:pPr>
        <w:ind w:firstLine="708"/>
        <w:jc w:val="center"/>
        <w:rPr>
          <w:i/>
        </w:rPr>
      </w:pPr>
    </w:p>
    <w:p w:rsidR="008B3215" w:rsidRPr="0094591D" w:rsidRDefault="008B3215" w:rsidP="008B3215">
      <w:pPr>
        <w:ind w:firstLine="708"/>
        <w:jc w:val="center"/>
        <w:rPr>
          <w:i/>
        </w:rPr>
      </w:pPr>
      <w:r>
        <w:rPr>
          <w:i/>
        </w:rPr>
        <w:t xml:space="preserve">ГП </w:t>
      </w:r>
      <w:r w:rsidR="00977E91">
        <w:rPr>
          <w:i/>
        </w:rPr>
        <w:t xml:space="preserve"> «</w:t>
      </w:r>
      <w:r w:rsidRPr="0094591D">
        <w:rPr>
          <w:i/>
        </w:rPr>
        <w:t>Управл</w:t>
      </w:r>
      <w:r>
        <w:rPr>
          <w:i/>
        </w:rPr>
        <w:t>ение госфинансами</w:t>
      </w:r>
      <w:r w:rsidR="00B310D2">
        <w:rPr>
          <w:i/>
        </w:rPr>
        <w:t>»</w:t>
      </w:r>
    </w:p>
    <w:p w:rsidR="008B3215" w:rsidRPr="005F0BD9" w:rsidRDefault="008B3215" w:rsidP="008B3215">
      <w:pPr>
        <w:ind w:firstLine="708"/>
        <w:jc w:val="both"/>
        <w:rPr>
          <w:color w:val="FF0000"/>
        </w:rPr>
      </w:pPr>
      <w:r>
        <w:rPr>
          <w:bCs/>
        </w:rPr>
        <w:t>О</w:t>
      </w:r>
      <w:r w:rsidRPr="00297AE0">
        <w:rPr>
          <w:bCs/>
        </w:rPr>
        <w:t>бъем финансирования</w:t>
      </w:r>
      <w:r w:rsidRPr="00D87122">
        <w:rPr>
          <w:bCs/>
        </w:rPr>
        <w:t xml:space="preserve"> </w:t>
      </w:r>
      <w:r w:rsidR="00977E91">
        <w:rPr>
          <w:bCs/>
        </w:rPr>
        <w:t>программы</w:t>
      </w:r>
      <w:r>
        <w:rPr>
          <w:bCs/>
        </w:rPr>
        <w:t xml:space="preserve"> на 2015 год предусмотрен в объёме 6 170 398,0 тыс. руб., что соответствует объёму ассигнований, утверждённых Законом об областном бюджете на 2015 год. В соответствии со ст. 217 БК РФ по решению руководителя Комитета в бюджетную роспись были внесены изменения, предусматривающие сокращение расходов на государственную программу до 5 720 921,1 тыс. руб., или на 7,2 процента. </w:t>
      </w:r>
      <w:r>
        <w:t>Б</w:t>
      </w:r>
      <w:r w:rsidRPr="003D118F">
        <w:t xml:space="preserve">юджетные назначения исполнены на </w:t>
      </w:r>
      <w:r>
        <w:t>5 704 988,4</w:t>
      </w:r>
      <w:r w:rsidRPr="003D118F">
        <w:t xml:space="preserve"> тыс. руб., или на 99,</w:t>
      </w:r>
      <w:r>
        <w:t>7</w:t>
      </w:r>
      <w:r w:rsidRPr="003D118F">
        <w:t xml:space="preserve">% от утвержденных </w:t>
      </w:r>
      <w:r>
        <w:t>бюджетной росписью ассигнований, и на 92,4% предусмотренных программой</w:t>
      </w:r>
      <w:r w:rsidRPr="003D118F">
        <w:t>.</w:t>
      </w:r>
      <w:r>
        <w:t xml:space="preserve"> </w:t>
      </w:r>
    </w:p>
    <w:p w:rsidR="008B3215" w:rsidRDefault="008B3215" w:rsidP="008B321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Информация о плановых и фактических расходах областного бюджета</w:t>
      </w:r>
      <w:r w:rsidR="00977E91">
        <w:rPr>
          <w:lang w:eastAsia="en-US"/>
        </w:rPr>
        <w:t>,</w:t>
      </w:r>
      <w:r>
        <w:rPr>
          <w:lang w:eastAsia="en-US"/>
        </w:rPr>
        <w:t xml:space="preserve"> направленных на реализацию программы в разрезе подпрограмм представлен</w:t>
      </w:r>
      <w:r w:rsidR="00977E91">
        <w:rPr>
          <w:lang w:eastAsia="en-US"/>
        </w:rPr>
        <w:t>а</w:t>
      </w:r>
      <w:r>
        <w:rPr>
          <w:lang w:eastAsia="en-US"/>
        </w:rPr>
        <w:t xml:space="preserve"> в таблице.</w:t>
      </w:r>
    </w:p>
    <w:p w:rsidR="0001171D" w:rsidRPr="0001171D" w:rsidRDefault="0001171D" w:rsidP="0001171D">
      <w:pPr>
        <w:autoSpaceDE w:val="0"/>
        <w:autoSpaceDN w:val="0"/>
        <w:adjustRightInd w:val="0"/>
        <w:ind w:firstLine="851"/>
        <w:jc w:val="right"/>
        <w:rPr>
          <w:i/>
          <w:lang w:eastAsia="en-US"/>
        </w:rPr>
      </w:pPr>
      <w:r w:rsidRPr="0001171D">
        <w:rPr>
          <w:i/>
          <w:lang w:eastAsia="en-US"/>
        </w:rPr>
        <w:t>тыс. руб.</w:t>
      </w:r>
    </w:p>
    <w:tbl>
      <w:tblPr>
        <w:tblW w:w="9654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76"/>
        <w:gridCol w:w="1134"/>
        <w:gridCol w:w="1132"/>
        <w:gridCol w:w="1134"/>
        <w:gridCol w:w="992"/>
        <w:gridCol w:w="993"/>
        <w:gridCol w:w="993"/>
      </w:tblGrid>
      <w:tr w:rsidR="008B3215" w:rsidTr="0001171D">
        <w:trPr>
          <w:trHeight w:val="20"/>
          <w:tblHeader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8B3215" w:rsidRDefault="008B3215" w:rsidP="008F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  <w:hideMark/>
          </w:tcPr>
          <w:p w:rsidR="008B3215" w:rsidRDefault="008B3215" w:rsidP="00977E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исполнено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B3215" w:rsidRDefault="008B3215" w:rsidP="00977E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исполнения к </w:t>
            </w:r>
            <w:r w:rsidR="00977E91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осписи</w:t>
            </w:r>
          </w:p>
        </w:tc>
      </w:tr>
      <w:tr w:rsidR="008B3215" w:rsidTr="0001171D">
        <w:trPr>
          <w:trHeight w:val="230"/>
          <w:tblHeader/>
        </w:trPr>
        <w:tc>
          <w:tcPr>
            <w:tcW w:w="3276" w:type="dxa"/>
            <w:vMerge/>
            <w:vAlign w:val="center"/>
            <w:hideMark/>
          </w:tcPr>
          <w:p w:rsidR="008B3215" w:rsidRDefault="008B3215" w:rsidP="008B3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134" w:type="dxa"/>
            <w:vMerge/>
            <w:vAlign w:val="center"/>
            <w:hideMark/>
          </w:tcPr>
          <w:p w:rsidR="008B3215" w:rsidRDefault="008B3215" w:rsidP="008B3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215" w:rsidTr="0001171D">
        <w:trPr>
          <w:trHeight w:val="20"/>
          <w:tblHeader/>
        </w:trPr>
        <w:tc>
          <w:tcPr>
            <w:tcW w:w="327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8B3215" w:rsidRDefault="008B3215" w:rsidP="008B3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8B3215" w:rsidRDefault="008B3215" w:rsidP="008B3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  <w:hideMark/>
          </w:tcPr>
          <w:p w:rsidR="008B3215" w:rsidRDefault="00977E91" w:rsidP="008B3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</w:t>
            </w:r>
            <w:r w:rsidR="008B3215">
              <w:rPr>
                <w:color w:val="000000"/>
                <w:sz w:val="20"/>
                <w:szCs w:val="20"/>
              </w:rPr>
              <w:t xml:space="preserve"> ГП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B3215" w:rsidRDefault="00977E91" w:rsidP="008B3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</w:t>
            </w:r>
            <w:r w:rsidR="008B3215">
              <w:rPr>
                <w:color w:val="000000"/>
                <w:sz w:val="20"/>
                <w:szCs w:val="20"/>
              </w:rPr>
              <w:t xml:space="preserve"> росписи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8B3215" w:rsidRDefault="008B3215" w:rsidP="008B3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215" w:rsidTr="0001171D">
        <w:trPr>
          <w:trHeight w:val="20"/>
        </w:trPr>
        <w:tc>
          <w:tcPr>
            <w:tcW w:w="3276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3215" w:rsidRPr="00365B40" w:rsidRDefault="008B3215" w:rsidP="00977E91">
            <w:pPr>
              <w:rPr>
                <w:b/>
                <w:color w:val="000000"/>
                <w:sz w:val="20"/>
                <w:szCs w:val="20"/>
              </w:rPr>
            </w:pPr>
            <w:r w:rsidRPr="00365B40">
              <w:rPr>
                <w:b/>
                <w:color w:val="000000"/>
                <w:sz w:val="20"/>
                <w:szCs w:val="20"/>
              </w:rPr>
              <w:t>ГП «Управление госфинансами»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7E91">
              <w:rPr>
                <w:b/>
                <w:color w:val="000000"/>
                <w:sz w:val="18"/>
                <w:szCs w:val="18"/>
              </w:rPr>
              <w:t>6</w:t>
            </w:r>
            <w:r w:rsidR="00977E91" w:rsidRPr="00977E9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170</w:t>
            </w:r>
            <w:r w:rsidR="00977E91" w:rsidRPr="00977E9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113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7E91">
              <w:rPr>
                <w:b/>
                <w:color w:val="000000"/>
                <w:sz w:val="18"/>
                <w:szCs w:val="18"/>
              </w:rPr>
              <w:t>5</w:t>
            </w:r>
            <w:r w:rsidR="00977E91" w:rsidRPr="00977E9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720</w:t>
            </w:r>
            <w:r w:rsidR="00977E91" w:rsidRPr="00977E9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921,1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7E91">
              <w:rPr>
                <w:b/>
                <w:color w:val="000000"/>
                <w:sz w:val="18"/>
                <w:szCs w:val="18"/>
              </w:rPr>
              <w:t>5</w:t>
            </w:r>
            <w:r w:rsidR="008F02A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704</w:t>
            </w:r>
            <w:r w:rsidR="00977E91" w:rsidRPr="00977E9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988,4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7E91">
              <w:rPr>
                <w:b/>
                <w:color w:val="000000"/>
                <w:sz w:val="18"/>
                <w:szCs w:val="18"/>
              </w:rPr>
              <w:t>465</w:t>
            </w:r>
            <w:r w:rsidR="00977E91" w:rsidRPr="00977E9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409,6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3215" w:rsidRPr="00977E91" w:rsidRDefault="008B3215" w:rsidP="00977E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7E91">
              <w:rPr>
                <w:b/>
                <w:color w:val="000000"/>
                <w:sz w:val="18"/>
                <w:szCs w:val="18"/>
              </w:rPr>
              <w:t>15</w:t>
            </w:r>
            <w:r w:rsidR="00977E91" w:rsidRPr="00977E9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b/>
                <w:color w:val="000000"/>
                <w:sz w:val="18"/>
                <w:szCs w:val="18"/>
              </w:rPr>
              <w:t>932,7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7E91">
              <w:rPr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8B3215" w:rsidRPr="00977E91" w:rsidTr="0001171D">
        <w:trPr>
          <w:trHeight w:val="20"/>
        </w:trPr>
        <w:tc>
          <w:tcPr>
            <w:tcW w:w="3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B3215" w:rsidRPr="00977E91" w:rsidRDefault="00977E91" w:rsidP="00977E91">
            <w:pPr>
              <w:rPr>
                <w:color w:val="000000"/>
                <w:sz w:val="20"/>
                <w:szCs w:val="20"/>
              </w:rPr>
            </w:pPr>
            <w:r w:rsidRPr="00977E91">
              <w:rPr>
                <w:color w:val="000000"/>
                <w:sz w:val="20"/>
                <w:szCs w:val="20"/>
              </w:rPr>
              <w:t>ПП «Управление госдолгом»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2 862 274,0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2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421</w:t>
            </w:r>
            <w:r w:rsidR="008F02A2">
              <w:rPr>
                <w:color w:val="000000"/>
                <w:sz w:val="18"/>
                <w:szCs w:val="18"/>
              </w:rPr>
              <w:t> </w:t>
            </w:r>
            <w:r w:rsidRPr="00977E91">
              <w:rPr>
                <w:color w:val="000000"/>
                <w:sz w:val="18"/>
                <w:szCs w:val="18"/>
              </w:rPr>
              <w:t>467</w:t>
            </w:r>
            <w:r w:rsidR="008F02A2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2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414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612,3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447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661,7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6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854,7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8B3215" w:rsidRPr="00977E91" w:rsidTr="0001171D">
        <w:trPr>
          <w:trHeight w:val="20"/>
        </w:trPr>
        <w:tc>
          <w:tcPr>
            <w:tcW w:w="3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B3215" w:rsidRPr="00977E91" w:rsidRDefault="00977E91" w:rsidP="00977E91">
            <w:pPr>
              <w:rPr>
                <w:color w:val="000000"/>
                <w:sz w:val="20"/>
                <w:szCs w:val="20"/>
              </w:rPr>
            </w:pPr>
            <w:r w:rsidRPr="00977E91">
              <w:rPr>
                <w:color w:val="000000"/>
                <w:sz w:val="20"/>
                <w:szCs w:val="20"/>
              </w:rPr>
              <w:t>ПП «</w:t>
            </w:r>
            <w:r w:rsidR="008B3215" w:rsidRPr="00977E91">
              <w:rPr>
                <w:color w:val="000000"/>
                <w:sz w:val="20"/>
                <w:szCs w:val="20"/>
              </w:rPr>
              <w:t>Обеспечение финансовой поддержки местных бюджетов</w:t>
            </w:r>
            <w:r w:rsidRPr="00977E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3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214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074,0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3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210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415,9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3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201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12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736,1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9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078,0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8B3215" w:rsidRPr="00977E91" w:rsidTr="0001171D">
        <w:trPr>
          <w:trHeight w:val="20"/>
        </w:trPr>
        <w:tc>
          <w:tcPr>
            <w:tcW w:w="3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8B3215" w:rsidRPr="00977E91" w:rsidRDefault="00977E91" w:rsidP="00977E91">
            <w:pPr>
              <w:rPr>
                <w:color w:val="000000"/>
                <w:sz w:val="20"/>
                <w:szCs w:val="20"/>
              </w:rPr>
            </w:pPr>
            <w:r w:rsidRPr="00977E91">
              <w:rPr>
                <w:color w:val="000000"/>
                <w:sz w:val="20"/>
                <w:szCs w:val="20"/>
              </w:rPr>
              <w:t>ПП «</w:t>
            </w:r>
            <w:r w:rsidR="008B3215" w:rsidRPr="00977E91">
              <w:rPr>
                <w:color w:val="000000"/>
                <w:sz w:val="20"/>
                <w:szCs w:val="20"/>
              </w:rPr>
              <w:t>Развитие современных информтехнологий в упр</w:t>
            </w:r>
            <w:r w:rsidRPr="00977E91">
              <w:rPr>
                <w:color w:val="000000"/>
                <w:sz w:val="20"/>
                <w:szCs w:val="20"/>
              </w:rPr>
              <w:t>авлении общественными финансами»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94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113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89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038,2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89</w:t>
            </w:r>
            <w:r w:rsidR="00977E91" w:rsidRPr="00977E91">
              <w:rPr>
                <w:color w:val="000000"/>
                <w:sz w:val="18"/>
                <w:szCs w:val="18"/>
              </w:rPr>
              <w:t xml:space="preserve"> </w:t>
            </w:r>
            <w:r w:rsidRPr="00977E91">
              <w:rPr>
                <w:color w:val="000000"/>
                <w:sz w:val="18"/>
                <w:szCs w:val="18"/>
              </w:rPr>
              <w:t>038,2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5 01</w:t>
            </w:r>
            <w:r w:rsidR="007257F2" w:rsidRPr="00977E91">
              <w:rPr>
                <w:color w:val="000000"/>
                <w:sz w:val="18"/>
                <w:szCs w:val="18"/>
              </w:rPr>
              <w:t>1</w:t>
            </w:r>
            <w:r w:rsidRPr="00977E91">
              <w:rPr>
                <w:color w:val="000000"/>
                <w:sz w:val="18"/>
                <w:szCs w:val="18"/>
              </w:rPr>
              <w:t>,</w:t>
            </w:r>
            <w:r w:rsidR="007257F2" w:rsidRPr="00977E9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3215" w:rsidRPr="00977E91" w:rsidRDefault="008B3215" w:rsidP="00977E91">
            <w:pPr>
              <w:jc w:val="right"/>
              <w:rPr>
                <w:color w:val="000000"/>
                <w:sz w:val="18"/>
                <w:szCs w:val="18"/>
              </w:rPr>
            </w:pPr>
            <w:r w:rsidRPr="00977E91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BA6203" w:rsidRDefault="00BA6203" w:rsidP="008B321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8B3215" w:rsidRDefault="008B3215" w:rsidP="008B32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lang w:eastAsia="en-US"/>
        </w:rPr>
        <w:lastRenderedPageBreak/>
        <w:t xml:space="preserve">Отклонение фактических расходов от предусмотренных программой составило   </w:t>
      </w:r>
      <w:r w:rsidR="00B059FB">
        <w:rPr>
          <w:lang w:eastAsia="en-US"/>
        </w:rPr>
        <w:t xml:space="preserve">  </w:t>
      </w:r>
      <w:r>
        <w:rPr>
          <w:lang w:eastAsia="en-US"/>
        </w:rPr>
        <w:t xml:space="preserve">  </w:t>
      </w:r>
      <w:r w:rsidRPr="00365B40">
        <w:rPr>
          <w:color w:val="000000"/>
        </w:rPr>
        <w:t>465 409,6 тыс. руб. и обусловлено следующими причинами</w:t>
      </w:r>
      <w:r>
        <w:rPr>
          <w:color w:val="000000"/>
        </w:rPr>
        <w:t>:</w:t>
      </w:r>
    </w:p>
    <w:p w:rsidR="008B3215" w:rsidRPr="00365B40" w:rsidRDefault="008B3215" w:rsidP="008B321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color w:val="000000"/>
        </w:rPr>
        <w:t>-447 661,7 тыс. руб.</w:t>
      </w:r>
      <w:r w:rsidR="008F02A2">
        <w:rPr>
          <w:color w:val="000000"/>
        </w:rPr>
        <w:t>,</w:t>
      </w:r>
      <w:r>
        <w:t xml:space="preserve"> в основном, обусловлено снижением стоимости обслуживания коммерческих кредитов по результатам проведённых аукционов, более поздним привлечением кредитных средств и привлечением средств в меньшем объёме, чем предусмотрено программой заимствования (245 887,1 тыс. руб.), а также связано с размещением облигаций только в сентябре 2015 год</w:t>
      </w:r>
      <w:r w:rsidR="00B310D2">
        <w:t>а</w:t>
      </w:r>
      <w:r>
        <w:t xml:space="preserve"> и переносом в связи с этим выплат купонного дохода на 2016 год (174 500 тыс. руб.)</w:t>
      </w:r>
      <w:r>
        <w:rPr>
          <w:color w:val="000000"/>
        </w:rPr>
        <w:t>;</w:t>
      </w:r>
    </w:p>
    <w:p w:rsidR="008B3215" w:rsidRDefault="008B3215" w:rsidP="008B321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-12 736,1 тыс. руб. в связи с применением мер бюджетного принуждения в отношении муниципальных образований (7 001,1 тыс. руб.) и отсутствием потребности в выделении сумм дотации на поддержку мер  по сбалансированности местных бюджетов (5 735,0 тыс. руб</w:t>
      </w:r>
      <w:r w:rsidR="008F02A2">
        <w:rPr>
          <w:lang w:eastAsia="en-US"/>
        </w:rPr>
        <w:t>.</w:t>
      </w:r>
      <w:r>
        <w:rPr>
          <w:lang w:eastAsia="en-US"/>
        </w:rPr>
        <w:t>);</w:t>
      </w:r>
    </w:p>
    <w:p w:rsidR="008B3215" w:rsidRPr="00310DA5" w:rsidRDefault="008F02A2" w:rsidP="008B321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8B3215" w:rsidRPr="00310DA5">
        <w:rPr>
          <w:lang w:eastAsia="en-US"/>
        </w:rPr>
        <w:t>5 01</w:t>
      </w:r>
      <w:r w:rsidR="007257F2">
        <w:rPr>
          <w:lang w:eastAsia="en-US"/>
        </w:rPr>
        <w:t>1</w:t>
      </w:r>
      <w:r w:rsidR="008B3215" w:rsidRPr="00310DA5">
        <w:rPr>
          <w:lang w:eastAsia="en-US"/>
        </w:rPr>
        <w:t>,</w:t>
      </w:r>
      <w:r w:rsidR="007257F2">
        <w:rPr>
          <w:lang w:eastAsia="en-US"/>
        </w:rPr>
        <w:t>8</w:t>
      </w:r>
      <w:r w:rsidR="008B3215" w:rsidRPr="00310DA5">
        <w:rPr>
          <w:lang w:eastAsia="en-US"/>
        </w:rPr>
        <w:t xml:space="preserve"> тыс. руб. в связи экономией в результате проведения конкурсных процедур (</w:t>
      </w:r>
      <w:r w:rsidR="006C0F7B" w:rsidRPr="00310DA5">
        <w:rPr>
          <w:lang w:eastAsia="en-US"/>
        </w:rPr>
        <w:t>552,9</w:t>
      </w:r>
      <w:r w:rsidR="008B3215" w:rsidRPr="00310DA5">
        <w:rPr>
          <w:lang w:eastAsia="en-US"/>
        </w:rPr>
        <w:t xml:space="preserve"> тыс. руб</w:t>
      </w:r>
      <w:r w:rsidR="008104DB">
        <w:rPr>
          <w:lang w:eastAsia="en-US"/>
        </w:rPr>
        <w:t>.</w:t>
      </w:r>
      <w:r w:rsidR="007257F2">
        <w:rPr>
          <w:lang w:eastAsia="en-US"/>
        </w:rPr>
        <w:t>)</w:t>
      </w:r>
      <w:r w:rsidR="008B3215" w:rsidRPr="00310DA5">
        <w:rPr>
          <w:lang w:eastAsia="en-US"/>
        </w:rPr>
        <w:t>.</w:t>
      </w:r>
      <w:r w:rsidR="00310DA5" w:rsidRPr="00310DA5">
        <w:rPr>
          <w:lang w:eastAsia="en-US"/>
        </w:rPr>
        <w:t xml:space="preserve"> </w:t>
      </w:r>
      <w:r w:rsidR="00B059FB">
        <w:rPr>
          <w:lang w:eastAsia="en-US"/>
        </w:rPr>
        <w:t>А</w:t>
      </w:r>
      <w:r w:rsidR="00310DA5" w:rsidRPr="00310DA5">
        <w:rPr>
          <w:lang w:eastAsia="en-US"/>
        </w:rPr>
        <w:t xml:space="preserve">ссигнования в размере </w:t>
      </w:r>
      <w:r w:rsidR="007257F2">
        <w:rPr>
          <w:lang w:eastAsia="en-US"/>
        </w:rPr>
        <w:t>4 458,9</w:t>
      </w:r>
      <w:r w:rsidR="00310DA5" w:rsidRPr="00310DA5">
        <w:rPr>
          <w:lang w:eastAsia="en-US"/>
        </w:rPr>
        <w:t xml:space="preserve"> тыс. руб. перераспределены на расходы по оказанию мер соцподдержки другим распорядителям бюджетных средств.</w:t>
      </w:r>
    </w:p>
    <w:p w:rsidR="0016756C" w:rsidRPr="00E3285A" w:rsidRDefault="008B3215" w:rsidP="008B3215">
      <w:pPr>
        <w:ind w:firstLine="708"/>
        <w:jc w:val="both"/>
        <w:rPr>
          <w:bCs/>
        </w:rPr>
      </w:pPr>
      <w:r w:rsidRPr="008F02A2">
        <w:rPr>
          <w:bCs/>
          <w:lang w:eastAsia="en-US"/>
        </w:rPr>
        <w:t xml:space="preserve">В рамках </w:t>
      </w:r>
      <w:r w:rsidR="008F02A2" w:rsidRPr="008F02A2">
        <w:rPr>
          <w:bCs/>
          <w:lang w:eastAsia="en-US"/>
        </w:rPr>
        <w:t xml:space="preserve">подпрограммы </w:t>
      </w:r>
      <w:r w:rsidR="008F02A2" w:rsidRPr="008F02A2">
        <w:rPr>
          <w:color w:val="000000"/>
        </w:rPr>
        <w:t xml:space="preserve">«Обеспечение финансовой поддержки местных бюджетов» </w:t>
      </w:r>
      <w:r w:rsidRPr="008F02A2">
        <w:rPr>
          <w:bCs/>
          <w:lang w:eastAsia="en-US"/>
        </w:rPr>
        <w:t xml:space="preserve">на основании постановления Администрации Волгоградской области от </w:t>
      </w:r>
      <w:r w:rsidR="00A85D20" w:rsidRPr="008F02A2">
        <w:rPr>
          <w:bCs/>
          <w:lang w:eastAsia="en-US"/>
        </w:rPr>
        <w:t>14</w:t>
      </w:r>
      <w:r w:rsidRPr="008F02A2">
        <w:rPr>
          <w:bCs/>
          <w:lang w:eastAsia="en-US"/>
        </w:rPr>
        <w:t>.0</w:t>
      </w:r>
      <w:r w:rsidR="00A85D20" w:rsidRPr="008F02A2">
        <w:rPr>
          <w:bCs/>
          <w:lang w:eastAsia="en-US"/>
        </w:rPr>
        <w:t>5.</w:t>
      </w:r>
      <w:r w:rsidRPr="008F02A2">
        <w:rPr>
          <w:bCs/>
          <w:lang w:eastAsia="en-US"/>
        </w:rPr>
        <w:t xml:space="preserve">2015 № </w:t>
      </w:r>
      <w:r w:rsidR="00A85D20" w:rsidRPr="008F02A2">
        <w:rPr>
          <w:bCs/>
          <w:lang w:eastAsia="en-US"/>
        </w:rPr>
        <w:t>224</w:t>
      </w:r>
      <w:r w:rsidRPr="008F02A2">
        <w:rPr>
          <w:bCs/>
          <w:lang w:eastAsia="en-US"/>
        </w:rPr>
        <w:t>-п муниципальным районам и городским округам предоставлена дотация на поддержку мер по обеспечению сбалансированности местных бюджетов для решения отдельных вопросов местного значения в сфере дополнительного образования детей</w:t>
      </w:r>
      <w:r w:rsidR="00E87E6B" w:rsidRPr="008F02A2">
        <w:rPr>
          <w:bCs/>
          <w:lang w:eastAsia="en-US"/>
        </w:rPr>
        <w:t xml:space="preserve"> в сумме 5 897,0 тыс. рублей</w:t>
      </w:r>
      <w:r w:rsidRPr="008F02A2">
        <w:rPr>
          <w:bCs/>
          <w:lang w:eastAsia="en-US"/>
        </w:rPr>
        <w:t>.</w:t>
      </w:r>
      <w:r w:rsidR="004C6BDC">
        <w:rPr>
          <w:bCs/>
          <w:lang w:eastAsia="en-US"/>
        </w:rPr>
        <w:t xml:space="preserve"> На средства дотации </w:t>
      </w:r>
      <w:r w:rsidRPr="00E3285A">
        <w:rPr>
          <w:bCs/>
          <w:lang w:eastAsia="en-US"/>
        </w:rPr>
        <w:t>организова</w:t>
      </w:r>
      <w:r w:rsidR="004C6BDC">
        <w:rPr>
          <w:bCs/>
          <w:lang w:eastAsia="en-US"/>
        </w:rPr>
        <w:t>но</w:t>
      </w:r>
      <w:r w:rsidRPr="00E3285A">
        <w:rPr>
          <w:bCs/>
          <w:lang w:eastAsia="en-US"/>
        </w:rPr>
        <w:t xml:space="preserve"> обучение детей по модульной дополнительной образовательной программе по финансовой грамотности в рамках вариативного или факультативного курса продолжительностью 32 часа.</w:t>
      </w:r>
      <w:r w:rsidR="004C6BDC" w:rsidRPr="004C6BDC">
        <w:rPr>
          <w:bCs/>
        </w:rPr>
        <w:t xml:space="preserve"> </w:t>
      </w:r>
      <w:r w:rsidR="004C6BDC">
        <w:rPr>
          <w:bCs/>
        </w:rPr>
        <w:t>Образовательными мероприятиями охвачено 4000 детей по всей территории Волгоградской области.</w:t>
      </w:r>
      <w:r w:rsidR="004C6BDC">
        <w:rPr>
          <w:bCs/>
          <w:lang w:eastAsia="en-US"/>
        </w:rPr>
        <w:t xml:space="preserve"> </w:t>
      </w:r>
      <w:r w:rsidR="0016756C" w:rsidRPr="00E3285A">
        <w:rPr>
          <w:bCs/>
        </w:rPr>
        <w:t xml:space="preserve">Информация о результатах предоставления этой дотации содержится в докладе о реализации мероприятий РП «Финансовая грамотность» (см. ниже). По своей сути </w:t>
      </w:r>
      <w:r w:rsidR="0016756C" w:rsidRPr="00E3285A">
        <w:rPr>
          <w:bCs/>
          <w:lang w:eastAsia="en-US"/>
        </w:rPr>
        <w:t>дотация на финансирование мероприятий по повышению финансовой грамотности служит достижению целей и решени</w:t>
      </w:r>
      <w:r w:rsidR="00E3285A" w:rsidRPr="00E3285A">
        <w:rPr>
          <w:bCs/>
          <w:lang w:eastAsia="en-US"/>
        </w:rPr>
        <w:t>ю</w:t>
      </w:r>
      <w:r w:rsidR="0016756C" w:rsidRPr="00E3285A">
        <w:rPr>
          <w:bCs/>
          <w:lang w:eastAsia="en-US"/>
        </w:rPr>
        <w:t xml:space="preserve"> задач </w:t>
      </w:r>
      <w:r w:rsidR="00E3285A" w:rsidRPr="00E3285A">
        <w:rPr>
          <w:bCs/>
          <w:lang w:eastAsia="en-US"/>
        </w:rPr>
        <w:t xml:space="preserve">в большей степени </w:t>
      </w:r>
      <w:r w:rsidR="0016756C" w:rsidRPr="00E3285A">
        <w:rPr>
          <w:bCs/>
        </w:rPr>
        <w:t>РП «Финансовая грамотность»</w:t>
      </w:r>
      <w:r w:rsidR="00E3285A" w:rsidRPr="00E3285A">
        <w:rPr>
          <w:bCs/>
        </w:rPr>
        <w:t>, чем ГП «Управление госфинансами</w:t>
      </w:r>
      <w:r w:rsidR="0001171D">
        <w:rPr>
          <w:bCs/>
        </w:rPr>
        <w:t>»</w:t>
      </w:r>
      <w:r w:rsidR="0016756C" w:rsidRPr="00E3285A">
        <w:rPr>
          <w:bCs/>
        </w:rPr>
        <w:t>.</w:t>
      </w:r>
    </w:p>
    <w:p w:rsidR="00E3285A" w:rsidRPr="00E3285A" w:rsidRDefault="00E3285A" w:rsidP="008B3215">
      <w:pPr>
        <w:ind w:firstLine="708"/>
        <w:jc w:val="both"/>
      </w:pPr>
      <w:r w:rsidRPr="00E3285A">
        <w:rPr>
          <w:bCs/>
        </w:rPr>
        <w:t>Представляется некорректным и</w:t>
      </w:r>
      <w:r w:rsidR="008B3215" w:rsidRPr="00E3285A">
        <w:t xml:space="preserve">спользование в рамках одной программы бюджетных средств на осуществление мероприятий, имеющих </w:t>
      </w:r>
      <w:r w:rsidRPr="00E3285A">
        <w:t>отношение к другой программе.</w:t>
      </w:r>
    </w:p>
    <w:p w:rsidR="004C6BDC" w:rsidRDefault="004C6BDC" w:rsidP="008B3215">
      <w:pPr>
        <w:ind w:firstLine="708"/>
        <w:jc w:val="both"/>
      </w:pPr>
      <w:r>
        <w:rPr>
          <w:bCs/>
          <w:lang w:eastAsia="en-US"/>
        </w:rPr>
        <w:t>Согласно</w:t>
      </w:r>
      <w:r w:rsidR="008B3215" w:rsidRPr="00E3285A">
        <w:t xml:space="preserve"> годово</w:t>
      </w:r>
      <w:r>
        <w:t>му</w:t>
      </w:r>
      <w:r w:rsidR="008B3215" w:rsidRPr="00E3285A">
        <w:t xml:space="preserve"> доклад</w:t>
      </w:r>
      <w:r>
        <w:t>у</w:t>
      </w:r>
      <w:r w:rsidR="008B3215" w:rsidRPr="00E3285A">
        <w:t xml:space="preserve"> о ходе реализации государственной программы в 2015 году все значения целевых показателей её реализации</w:t>
      </w:r>
      <w:r w:rsidR="008B3215">
        <w:t xml:space="preserve"> достигнуты. </w:t>
      </w:r>
    </w:p>
    <w:p w:rsidR="004C6BDC" w:rsidRDefault="004C6BDC" w:rsidP="008B3215">
      <w:pPr>
        <w:ind w:firstLine="708"/>
        <w:jc w:val="center"/>
        <w:rPr>
          <w:i/>
        </w:rPr>
      </w:pPr>
    </w:p>
    <w:p w:rsidR="008B3215" w:rsidRPr="0094591D" w:rsidRDefault="008B3215" w:rsidP="008B3215">
      <w:pPr>
        <w:ind w:firstLine="708"/>
        <w:jc w:val="center"/>
        <w:rPr>
          <w:bCs/>
          <w:i/>
        </w:rPr>
      </w:pPr>
      <w:r>
        <w:rPr>
          <w:i/>
        </w:rPr>
        <w:t>РП «Финансовая грамотность»</w:t>
      </w:r>
    </w:p>
    <w:p w:rsidR="004C6BDC" w:rsidRDefault="008B3215" w:rsidP="008B3215">
      <w:pPr>
        <w:ind w:firstLine="708"/>
        <w:jc w:val="both"/>
        <w:rPr>
          <w:bCs/>
        </w:rPr>
      </w:pPr>
      <w:r>
        <w:rPr>
          <w:bCs/>
        </w:rPr>
        <w:t>О</w:t>
      </w:r>
      <w:r w:rsidRPr="00297AE0">
        <w:rPr>
          <w:bCs/>
        </w:rPr>
        <w:t>бъем финансирования</w:t>
      </w:r>
      <w:r>
        <w:rPr>
          <w:bCs/>
        </w:rPr>
        <w:t xml:space="preserve"> </w:t>
      </w:r>
      <w:r w:rsidR="004C6BDC">
        <w:t>программы</w:t>
      </w:r>
      <w:r>
        <w:t xml:space="preserve"> </w:t>
      </w:r>
      <w:r>
        <w:rPr>
          <w:bCs/>
        </w:rPr>
        <w:t>на 2015 год предусмотрен программой в объёме 7 500,0 тыс. руб., Законом о бюджете на 2015 год – 6 000,0 тыс. руб., фактически профинансировано 4 105,0 тыс. руб. (или 54,7 % от программных значений). Все средства направлены на оплату работ, проведённых в первом полугодии 2015 года Фондом «Институт экономических и социальных исследований»</w:t>
      </w:r>
      <w:r w:rsidR="004C6BDC">
        <w:rPr>
          <w:bCs/>
        </w:rPr>
        <w:t>:</w:t>
      </w:r>
    </w:p>
    <w:p w:rsidR="008B3215" w:rsidRDefault="008B3215" w:rsidP="008B3215">
      <w:pPr>
        <w:ind w:firstLine="708"/>
        <w:jc w:val="both"/>
        <w:rPr>
          <w:bCs/>
        </w:rPr>
      </w:pPr>
      <w:r>
        <w:rPr>
          <w:bCs/>
        </w:rPr>
        <w:t>-11 семинаров в библиотеках для сотрудников библиотек г. Волгограда и области;</w:t>
      </w:r>
    </w:p>
    <w:p w:rsidR="008B3215" w:rsidRDefault="008B3215" w:rsidP="008B3215">
      <w:pPr>
        <w:ind w:firstLine="708"/>
        <w:jc w:val="both"/>
        <w:rPr>
          <w:bCs/>
        </w:rPr>
      </w:pPr>
      <w:r>
        <w:rPr>
          <w:bCs/>
        </w:rPr>
        <w:t>-межрегиональная научно-практическая конференция по обмену опытом реализации проектов в сфере повышения финансовой грамотности населения;</w:t>
      </w:r>
    </w:p>
    <w:p w:rsidR="008B3215" w:rsidRDefault="008B3215" w:rsidP="008B3215">
      <w:pPr>
        <w:ind w:firstLine="708"/>
        <w:jc w:val="both"/>
        <w:rPr>
          <w:bCs/>
        </w:rPr>
      </w:pPr>
      <w:r>
        <w:rPr>
          <w:bCs/>
        </w:rPr>
        <w:t>-информационно-развлекательные мероприятия в четырёх торгово-развлекательных центрах  «Европа Сити Молл»,  «Парк Хаус», «Комсомол», «Волгамол»;</w:t>
      </w:r>
    </w:p>
    <w:p w:rsidR="008B3215" w:rsidRDefault="008B3215" w:rsidP="008B3215">
      <w:pPr>
        <w:ind w:firstLine="708"/>
        <w:jc w:val="both"/>
        <w:rPr>
          <w:bCs/>
        </w:rPr>
      </w:pPr>
      <w:r>
        <w:rPr>
          <w:bCs/>
        </w:rPr>
        <w:t xml:space="preserve">-обеспечено поддержание функционирования и совершенствование Регионального электронного ресурса по повышению финансовой грамотности для жителей Волгоградской области </w:t>
      </w:r>
      <w:r>
        <w:rPr>
          <w:bCs/>
          <w:lang w:val="en-US"/>
        </w:rPr>
        <w:t>http</w:t>
      </w:r>
      <w:r w:rsidRPr="00FE255E">
        <w:rPr>
          <w:bCs/>
        </w:rPr>
        <w:t>/</w:t>
      </w:r>
      <w:r>
        <w:rPr>
          <w:bCs/>
          <w:lang w:val="en-US"/>
        </w:rPr>
        <w:t>fingram</w:t>
      </w:r>
      <w:r w:rsidRPr="00FE255E">
        <w:rPr>
          <w:bCs/>
        </w:rPr>
        <w:t>34.</w:t>
      </w:r>
      <w:r>
        <w:rPr>
          <w:bCs/>
          <w:lang w:val="en-US"/>
        </w:rPr>
        <w:t>ru</w:t>
      </w:r>
      <w:r w:rsidRPr="00FE255E">
        <w:rPr>
          <w:bCs/>
        </w:rPr>
        <w:t>/</w:t>
      </w:r>
      <w:r>
        <w:rPr>
          <w:bCs/>
        </w:rPr>
        <w:t>.</w:t>
      </w:r>
    </w:p>
    <w:p w:rsidR="004C6BDC" w:rsidRDefault="008B3215" w:rsidP="004C6BDC">
      <w:pPr>
        <w:ind w:firstLine="708"/>
        <w:jc w:val="both"/>
        <w:rPr>
          <w:bCs/>
        </w:rPr>
      </w:pPr>
      <w:r>
        <w:rPr>
          <w:bCs/>
        </w:rPr>
        <w:t>Для оценки эффективности реализации РП «Финансовая грамотность» предусмотрено 6 показателей</w:t>
      </w:r>
      <w:r w:rsidR="004C6BDC">
        <w:rPr>
          <w:bCs/>
        </w:rPr>
        <w:t>, информация о достижении которых отсутствует, так как в связи с сокращением расходов</w:t>
      </w:r>
      <w:r>
        <w:rPr>
          <w:bCs/>
        </w:rPr>
        <w:t xml:space="preserve"> </w:t>
      </w:r>
      <w:r w:rsidR="004C6BDC">
        <w:rPr>
          <w:bCs/>
        </w:rPr>
        <w:t>не</w:t>
      </w:r>
      <w:r>
        <w:rPr>
          <w:bCs/>
        </w:rPr>
        <w:t xml:space="preserve"> прове</w:t>
      </w:r>
      <w:r w:rsidR="004C6BDC">
        <w:rPr>
          <w:bCs/>
        </w:rPr>
        <w:t>дены</w:t>
      </w:r>
      <w:r>
        <w:rPr>
          <w:bCs/>
        </w:rPr>
        <w:t xml:space="preserve"> социологические опросы населения</w:t>
      </w:r>
      <w:r w:rsidR="004C6BDC">
        <w:rPr>
          <w:bCs/>
        </w:rPr>
        <w:t>.</w:t>
      </w:r>
    </w:p>
    <w:p w:rsidR="002E07C2" w:rsidRDefault="008B3215" w:rsidP="003B06BD">
      <w:pPr>
        <w:ind w:firstLine="708"/>
        <w:jc w:val="both"/>
      </w:pPr>
      <w:r>
        <w:rPr>
          <w:bCs/>
        </w:rPr>
        <w:t>Необходимо отметить, что РП «Финансовая грамотность» не содержит информации о комплексе мероприятий, взаимоувязанных по задачам, ресурсам, объёмам финансирования, что</w:t>
      </w:r>
      <w:r>
        <w:t xml:space="preserve"> не позволят реализовать принцип эффективности использования бюджетных средств, установленный ст. 34 БК РФ.</w:t>
      </w:r>
    </w:p>
    <w:p w:rsidR="00366072" w:rsidRPr="004C6BDC" w:rsidRDefault="00366072" w:rsidP="00366072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4C6BDC">
        <w:rPr>
          <w:b/>
          <w:i/>
        </w:rPr>
        <w:lastRenderedPageBreak/>
        <w:t>Организация</w:t>
      </w:r>
      <w:r w:rsidRPr="004C6BDC">
        <w:rPr>
          <w:i/>
        </w:rPr>
        <w:t xml:space="preserve"> </w:t>
      </w:r>
      <w:r w:rsidRPr="004C6BDC">
        <w:rPr>
          <w:b/>
          <w:i/>
        </w:rPr>
        <w:t>внутреннего финансового контроля</w:t>
      </w:r>
    </w:p>
    <w:p w:rsidR="00366072" w:rsidRPr="004C6BDC" w:rsidRDefault="00366072" w:rsidP="00366072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4C6BDC">
        <w:rPr>
          <w:b/>
          <w:i/>
        </w:rPr>
        <w:t xml:space="preserve"> и внутреннего финансового аудита </w:t>
      </w:r>
    </w:p>
    <w:p w:rsidR="004C6BDC" w:rsidRDefault="004C6BDC" w:rsidP="00366072">
      <w:pPr>
        <w:ind w:firstLine="709"/>
        <w:jc w:val="both"/>
      </w:pPr>
      <w:r>
        <w:t>В</w:t>
      </w:r>
      <w:r w:rsidRPr="00297AE0">
        <w:t>нутренн</w:t>
      </w:r>
      <w:r>
        <w:t>ий</w:t>
      </w:r>
      <w:r w:rsidRPr="00297AE0">
        <w:t xml:space="preserve"> финансов</w:t>
      </w:r>
      <w:r>
        <w:t>ый</w:t>
      </w:r>
      <w:r w:rsidRPr="00297AE0">
        <w:t xml:space="preserve"> контрол</w:t>
      </w:r>
      <w:r>
        <w:t>ь</w:t>
      </w:r>
      <w:r w:rsidRPr="00297AE0">
        <w:t xml:space="preserve"> и внутренн</w:t>
      </w:r>
      <w:r>
        <w:t>ий</w:t>
      </w:r>
      <w:r w:rsidRPr="00297AE0">
        <w:t xml:space="preserve"> финансов</w:t>
      </w:r>
      <w:r>
        <w:t>ый аудит</w:t>
      </w:r>
      <w:r w:rsidR="00B310D2">
        <w:t xml:space="preserve"> в</w:t>
      </w:r>
      <w:r>
        <w:t xml:space="preserve"> Облфине организован </w:t>
      </w:r>
      <w:r w:rsidRPr="00297AE0">
        <w:t xml:space="preserve"> </w:t>
      </w:r>
      <w:r>
        <w:t>п</w:t>
      </w:r>
      <w:r w:rsidR="00366072" w:rsidRPr="00297AE0">
        <w:t xml:space="preserve">риказом от </w:t>
      </w:r>
      <w:r w:rsidR="00366072">
        <w:t>10</w:t>
      </w:r>
      <w:r w:rsidR="00366072" w:rsidRPr="00297AE0">
        <w:t>.</w:t>
      </w:r>
      <w:r w:rsidR="00366072">
        <w:t>02</w:t>
      </w:r>
      <w:r w:rsidR="00366072" w:rsidRPr="00297AE0">
        <w:t>.201</w:t>
      </w:r>
      <w:r w:rsidR="00366072">
        <w:t>5</w:t>
      </w:r>
      <w:r w:rsidR="00366072" w:rsidRPr="00297AE0">
        <w:t xml:space="preserve"> №</w:t>
      </w:r>
      <w:r>
        <w:t xml:space="preserve"> </w:t>
      </w:r>
      <w:r w:rsidR="00366072">
        <w:t>54</w:t>
      </w:r>
      <w:r>
        <w:t>.</w:t>
      </w:r>
    </w:p>
    <w:p w:rsidR="00366072" w:rsidRDefault="004C6BDC" w:rsidP="00366072">
      <w:pPr>
        <w:ind w:firstLine="709"/>
        <w:jc w:val="both"/>
      </w:pPr>
      <w:r>
        <w:t>П</w:t>
      </w:r>
      <w:r w:rsidR="00366072" w:rsidRPr="00297AE0">
        <w:t xml:space="preserve">олномочия по осуществлению внутреннего финансового аудита возложены на </w:t>
      </w:r>
      <w:r w:rsidR="00366072">
        <w:t>контрольное управление общей численностью - 43 штатные единицы</w:t>
      </w:r>
      <w:r w:rsidR="00366072" w:rsidRPr="00297AE0">
        <w:t>, котор</w:t>
      </w:r>
      <w:r w:rsidR="00366072">
        <w:t>ое</w:t>
      </w:r>
      <w:r w:rsidR="00366072" w:rsidRPr="00297AE0">
        <w:t xml:space="preserve"> подчиняется председателю </w:t>
      </w:r>
      <w:r w:rsidR="00366072">
        <w:t>Облфина</w:t>
      </w:r>
      <w:r w:rsidR="00366072" w:rsidRPr="00297AE0">
        <w:t>.</w:t>
      </w:r>
      <w:r w:rsidR="00366072">
        <w:t xml:space="preserve"> Организация внутреннего финансового контроля возложена на руководителей структурных подразделений комитета. </w:t>
      </w:r>
    </w:p>
    <w:p w:rsidR="00366072" w:rsidRDefault="00366072" w:rsidP="003207B6">
      <w:pPr>
        <w:ind w:firstLine="709"/>
        <w:jc w:val="both"/>
      </w:pPr>
      <w:r>
        <w:t xml:space="preserve">Согласно отчету административного управления </w:t>
      </w:r>
      <w:r w:rsidR="006C0F7B">
        <w:t xml:space="preserve">Облфина </w:t>
      </w:r>
      <w:r>
        <w:t>о результатах внутреннего финансового контроля за 2015 год выявлено 12 случаев нарушений (недостатков), выразившихся, в основном, в выявлении несоответствия КОСГУ текстовому назначению платежа и несоответствия оформления заявки на оплату расходов установленным требования</w:t>
      </w:r>
      <w:r w:rsidR="00B310D2">
        <w:t>м</w:t>
      </w:r>
      <w:r>
        <w:t xml:space="preserve">, которые были устранены </w:t>
      </w:r>
      <w:r w:rsidR="006C0F7B">
        <w:t>в текущем порядке</w:t>
      </w:r>
      <w:r>
        <w:t>.</w:t>
      </w:r>
      <w:r w:rsidR="006C0F7B" w:rsidRPr="006C0F7B">
        <w:t xml:space="preserve"> </w:t>
      </w:r>
      <w:r w:rsidR="006C0F7B">
        <w:t>В других подразделениях Облфина в рамках осуществления внутреннего финансового контроля нарушения не выявлены.</w:t>
      </w:r>
    </w:p>
    <w:p w:rsidR="00366072" w:rsidRDefault="00366072" w:rsidP="003207B6">
      <w:pPr>
        <w:ind w:firstLine="709"/>
        <w:jc w:val="both"/>
      </w:pPr>
      <w:r>
        <w:t xml:space="preserve">В </w:t>
      </w:r>
      <w:r w:rsidR="003207B6">
        <w:t xml:space="preserve">соответствии с </w:t>
      </w:r>
      <w:r>
        <w:t>план</w:t>
      </w:r>
      <w:r w:rsidR="003207B6">
        <w:t>ом</w:t>
      </w:r>
      <w:r>
        <w:t xml:space="preserve"> </w:t>
      </w:r>
      <w:r w:rsidR="003207B6" w:rsidRPr="006C5133">
        <w:t xml:space="preserve">проведения аудиторских проверок </w:t>
      </w:r>
      <w:r w:rsidR="003207B6">
        <w:t xml:space="preserve">на 2015 год проведены две </w:t>
      </w:r>
      <w:r w:rsidRPr="006C5133">
        <w:t>проверк</w:t>
      </w:r>
      <w:r>
        <w:t>и:</w:t>
      </w:r>
    </w:p>
    <w:p w:rsidR="00366072" w:rsidRDefault="003207B6" w:rsidP="003207B6">
      <w:pPr>
        <w:ind w:firstLine="709"/>
        <w:jc w:val="both"/>
      </w:pPr>
      <w:r>
        <w:t>-п</w:t>
      </w:r>
      <w:r w:rsidR="00366072">
        <w:t>роверка составления и представления бюджетной отчетности и сводной бюджетной отчетности за 6 мес</w:t>
      </w:r>
      <w:r>
        <w:t>яцев</w:t>
      </w:r>
      <w:r w:rsidR="00366072">
        <w:t xml:space="preserve"> 2015 года</w:t>
      </w:r>
      <w:r>
        <w:t xml:space="preserve"> (</w:t>
      </w:r>
      <w:r w:rsidR="00366072">
        <w:t>установлены случаи нарушения п.6.3 Указаний ЦБ РФ от 11.03.2014 №</w:t>
      </w:r>
      <w:r w:rsidR="006C0F7B">
        <w:t xml:space="preserve"> </w:t>
      </w:r>
      <w:r w:rsidR="00366072">
        <w:t xml:space="preserve">3210-У, выразившиеся в выдаче </w:t>
      </w:r>
      <w:r w:rsidR="00366072" w:rsidRPr="002E07C2">
        <w:t xml:space="preserve">из кассы </w:t>
      </w:r>
      <w:r w:rsidR="006C0F7B" w:rsidRPr="002E07C2">
        <w:t>Облфина</w:t>
      </w:r>
      <w:r w:rsidR="006C0F7B">
        <w:t xml:space="preserve"> </w:t>
      </w:r>
      <w:r w:rsidR="00366072">
        <w:t>подотчетному лицу денежных средств при неполном погашении им задолженности по ранее полученной под отчет сумме наличных денег, ответственным должностным лицам предложено в целях исключения нарушений усилить конт</w:t>
      </w:r>
      <w:r>
        <w:t>роль за выдачей денег под отчет);</w:t>
      </w:r>
    </w:p>
    <w:p w:rsidR="00366072" w:rsidRDefault="003207B6" w:rsidP="003207B6">
      <w:pPr>
        <w:ind w:firstLine="709"/>
        <w:jc w:val="both"/>
      </w:pPr>
      <w:r>
        <w:t>-о</w:t>
      </w:r>
      <w:r w:rsidR="00366072">
        <w:t xml:space="preserve">ценка надежности внутреннего финансового контроля в отношении </w:t>
      </w:r>
      <w:r>
        <w:t>ряда</w:t>
      </w:r>
      <w:r w:rsidR="00366072">
        <w:t xml:space="preserve"> бюджетных процедур</w:t>
      </w:r>
      <w:r>
        <w:t xml:space="preserve"> (проверка показала</w:t>
      </w:r>
      <w:r w:rsidR="00366072">
        <w:t>, что действующая система внутреннего финансового контроля позволяет обеспечить соблюдение требова</w:t>
      </w:r>
      <w:r>
        <w:t>ний бюджетного законодательства).</w:t>
      </w:r>
    </w:p>
    <w:p w:rsidR="003207B6" w:rsidRDefault="003207B6" w:rsidP="003207B6">
      <w:pPr>
        <w:ind w:firstLine="709"/>
        <w:jc w:val="both"/>
      </w:pPr>
    </w:p>
    <w:p w:rsidR="003207B6" w:rsidRPr="003207B6" w:rsidRDefault="003207B6" w:rsidP="00C6162B">
      <w:pPr>
        <w:ind w:firstLine="709"/>
        <w:jc w:val="both"/>
        <w:rPr>
          <w:b/>
          <w:i/>
        </w:rPr>
      </w:pPr>
      <w:r w:rsidRPr="003207B6">
        <w:rPr>
          <w:b/>
          <w:i/>
        </w:rPr>
        <w:t>Выводы:</w:t>
      </w:r>
    </w:p>
    <w:p w:rsidR="004940D7" w:rsidRPr="00C6162B" w:rsidRDefault="003207B6" w:rsidP="002B20A8">
      <w:pPr>
        <w:pStyle w:val="ac"/>
        <w:numPr>
          <w:ilvl w:val="0"/>
          <w:numId w:val="7"/>
        </w:numPr>
        <w:ind w:left="0" w:firstLine="709"/>
        <w:jc w:val="both"/>
      </w:pPr>
      <w:r w:rsidRPr="00C6162B">
        <w:t xml:space="preserve">Сводная бюджетная отчетность Облфина представлена к проверке в </w:t>
      </w:r>
      <w:r w:rsidR="004940D7" w:rsidRPr="00C6162B">
        <w:t xml:space="preserve">установленном </w:t>
      </w:r>
      <w:r w:rsidRPr="00C6162B">
        <w:t>составе</w:t>
      </w:r>
      <w:r w:rsidR="004940D7" w:rsidRPr="00C6162B">
        <w:t>. Три формы бюджетной отчетности составлены с нарушениями положений Инструкции № 191н.</w:t>
      </w:r>
    </w:p>
    <w:p w:rsidR="002B20A8" w:rsidRDefault="004940D7" w:rsidP="002B20A8">
      <w:pPr>
        <w:pStyle w:val="ac"/>
        <w:numPr>
          <w:ilvl w:val="0"/>
          <w:numId w:val="7"/>
        </w:numPr>
        <w:ind w:left="0" w:firstLine="709"/>
        <w:jc w:val="both"/>
      </w:pPr>
      <w:r w:rsidRPr="00C6162B">
        <w:t xml:space="preserve">Бюджетные назначения </w:t>
      </w:r>
      <w:r w:rsidR="002B20A8">
        <w:t>на 2015 год исполнены Облфином следующим образом:</w:t>
      </w:r>
    </w:p>
    <w:p w:rsidR="002B20A8" w:rsidRPr="00C6162B" w:rsidRDefault="002B20A8" w:rsidP="001371FC">
      <w:pPr>
        <w:pStyle w:val="ac"/>
        <w:numPr>
          <w:ilvl w:val="1"/>
          <w:numId w:val="7"/>
        </w:numPr>
        <w:ind w:left="0" w:firstLine="709"/>
        <w:jc w:val="both"/>
      </w:pPr>
      <w:r>
        <w:t>П</w:t>
      </w:r>
      <w:r w:rsidRPr="00C6162B">
        <w:t>о доходам в сумме 7 393 423,7</w:t>
      </w:r>
      <w:r w:rsidRPr="00C6162B">
        <w:rPr>
          <w:color w:val="000000"/>
        </w:rPr>
        <w:t xml:space="preserve"> тыс. руб., или на </w:t>
      </w:r>
      <w:r w:rsidRPr="00C6162B">
        <w:t xml:space="preserve">111,8%, что, в основном, связано с незапланированным </w:t>
      </w:r>
      <w:r>
        <w:t xml:space="preserve">в бюджете </w:t>
      </w:r>
      <w:r w:rsidRPr="00C6162B">
        <w:t>поступлением из федерального бюджета дотаци</w:t>
      </w:r>
      <w:r>
        <w:t>и</w:t>
      </w:r>
      <w:r w:rsidRPr="00C6162B">
        <w:t xml:space="preserve"> на поддержку мер по обеспечению сбалансированности бюджетов</w:t>
      </w:r>
      <w:r w:rsidRPr="00C6162B">
        <w:rPr>
          <w:bCs/>
          <w:color w:val="000000"/>
        </w:rPr>
        <w:t xml:space="preserve"> в размере 784 534,0 рублей.</w:t>
      </w:r>
    </w:p>
    <w:p w:rsidR="002B20A8" w:rsidRDefault="001371FC" w:rsidP="001371FC">
      <w:pPr>
        <w:pStyle w:val="ac"/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</w:pPr>
      <w:r>
        <w:tab/>
      </w:r>
      <w:r w:rsidR="002B20A8" w:rsidRPr="00C6162B">
        <w:t xml:space="preserve">Расходы исполнены на </w:t>
      </w:r>
      <w:r w:rsidR="002B20A8" w:rsidRPr="00C6162B">
        <w:rPr>
          <w:bCs/>
          <w:color w:val="000000"/>
        </w:rPr>
        <w:t>6</w:t>
      </w:r>
      <w:r w:rsidR="002B20A8">
        <w:rPr>
          <w:bCs/>
          <w:color w:val="000000"/>
        </w:rPr>
        <w:t> </w:t>
      </w:r>
      <w:r w:rsidR="002B20A8" w:rsidRPr="00C6162B">
        <w:rPr>
          <w:bCs/>
          <w:color w:val="000000"/>
        </w:rPr>
        <w:t>332</w:t>
      </w:r>
      <w:r w:rsidR="002B20A8">
        <w:rPr>
          <w:bCs/>
          <w:color w:val="000000"/>
        </w:rPr>
        <w:t> </w:t>
      </w:r>
      <w:r w:rsidR="002B20A8" w:rsidRPr="00C6162B">
        <w:rPr>
          <w:bCs/>
          <w:color w:val="000000"/>
        </w:rPr>
        <w:t xml:space="preserve">608,2 </w:t>
      </w:r>
      <w:r w:rsidR="002B20A8" w:rsidRPr="00C6162B">
        <w:t>тыс. руб., что составляет 88,6% от объёма ассигнований, утверждённых бюджетом, и 98,1% от бюджетных назначений, утверждённых в сводной бюджетной росписи.</w:t>
      </w:r>
      <w:r w:rsidR="002B20A8">
        <w:t xml:space="preserve"> По отношению к бюджету, в основном, не исполнены:</w:t>
      </w:r>
    </w:p>
    <w:p w:rsidR="002B20A8" w:rsidRDefault="002B20A8" w:rsidP="001371FC">
      <w:pPr>
        <w:tabs>
          <w:tab w:val="left" w:pos="142"/>
          <w:tab w:val="left" w:pos="1134"/>
        </w:tabs>
        <w:ind w:firstLine="709"/>
        <w:jc w:val="both"/>
      </w:pPr>
      <w:r>
        <w:t>-</w:t>
      </w:r>
      <w:r w:rsidRPr="003207B6">
        <w:t>86</w:t>
      </w:r>
      <w:r>
        <w:t> </w:t>
      </w:r>
      <w:r w:rsidRPr="003207B6">
        <w:t>193,3 тыс. руб.</w:t>
      </w:r>
      <w:r>
        <w:t xml:space="preserve"> (42,6% от плана) – резервный фонд Администрации Волгоградской области в связи с </w:t>
      </w:r>
      <w:r w:rsidRPr="003207B6">
        <w:t>отсутствие</w:t>
      </w:r>
      <w:r>
        <w:t>м</w:t>
      </w:r>
      <w:r w:rsidRPr="003207B6">
        <w:t xml:space="preserve"> потребности</w:t>
      </w:r>
      <w:r>
        <w:t>;</w:t>
      </w:r>
    </w:p>
    <w:p w:rsidR="002B20A8" w:rsidRDefault="002B20A8" w:rsidP="001371FC">
      <w:pPr>
        <w:tabs>
          <w:tab w:val="left" w:pos="142"/>
          <w:tab w:val="left" w:pos="1134"/>
        </w:tabs>
        <w:ind w:firstLine="709"/>
        <w:jc w:val="both"/>
      </w:pPr>
      <w:r>
        <w:t xml:space="preserve">-157 359,6 тыс. руб. (31,5%) </w:t>
      </w:r>
      <w:r w:rsidRPr="003207B6">
        <w:t>–</w:t>
      </w:r>
      <w:r>
        <w:t xml:space="preserve"> на </w:t>
      </w:r>
      <w:r w:rsidRPr="006D38E2">
        <w:t>исполнение судебных актов</w:t>
      </w:r>
      <w:r>
        <w:t xml:space="preserve"> в связи с непредъявлением исполнительных листов, отменой судебных решений, заключением мировых соглашений и пр.;</w:t>
      </w:r>
    </w:p>
    <w:p w:rsidR="002B20A8" w:rsidRDefault="002B20A8" w:rsidP="001371FC">
      <w:pPr>
        <w:pStyle w:val="ac"/>
        <w:ind w:left="0" w:firstLine="709"/>
        <w:jc w:val="both"/>
      </w:pPr>
      <w:r>
        <w:t>-434 990,8 тыс. руб. (15,3%) – на обслуживание государственного долга Волгоградской области в связи с сокращением стоимости, сроков и объёмов кредитов и поздним размещением облигаций.</w:t>
      </w:r>
    </w:p>
    <w:p w:rsidR="002B20A8" w:rsidRDefault="002B20A8" w:rsidP="002B20A8">
      <w:pPr>
        <w:pStyle w:val="ac"/>
        <w:ind w:left="0" w:firstLine="709"/>
        <w:jc w:val="both"/>
      </w:pPr>
      <w:r>
        <w:t xml:space="preserve">2.3. </w:t>
      </w:r>
      <w:r>
        <w:tab/>
        <w:t xml:space="preserve">По </w:t>
      </w:r>
      <w:r w:rsidRPr="008E7EC6">
        <w:t>источник</w:t>
      </w:r>
      <w:r>
        <w:t>ам</w:t>
      </w:r>
      <w:r w:rsidRPr="008E7EC6">
        <w:t xml:space="preserve"> внутреннего финансирования дефицита областного бюджета</w:t>
      </w:r>
      <w:r w:rsidRPr="00956883">
        <w:t xml:space="preserve"> </w:t>
      </w:r>
      <w:r>
        <w:t xml:space="preserve">назначения </w:t>
      </w:r>
      <w:r w:rsidRPr="009F63AC">
        <w:t>исполнены в сумме 6</w:t>
      </w:r>
      <w:r>
        <w:t> </w:t>
      </w:r>
      <w:r w:rsidRPr="009F63AC">
        <w:t>202</w:t>
      </w:r>
      <w:r>
        <w:t> </w:t>
      </w:r>
      <w:r w:rsidRPr="009F63AC">
        <w:t>403,3 тыс. руб., или на 79,8 процента</w:t>
      </w:r>
      <w:r>
        <w:t>. Н</w:t>
      </w:r>
      <w:r w:rsidRPr="004B6A9F">
        <w:t xml:space="preserve">е исполнены </w:t>
      </w:r>
      <w:r>
        <w:t xml:space="preserve">назначения </w:t>
      </w:r>
      <w:r w:rsidRPr="004B6A9F">
        <w:t>в части привлечения кредитов кредитных организаций на 1 670 000,0 тыс. руб., или на 32,9%, что обусловлено необходимостью соблюдением условий заключенных соглашений с Министерством финансов РФ по бюджетным кредитам</w:t>
      </w:r>
      <w:r>
        <w:t>.</w:t>
      </w:r>
    </w:p>
    <w:p w:rsidR="002B20A8" w:rsidRDefault="002B20A8" w:rsidP="00624262">
      <w:pPr>
        <w:pStyle w:val="ac"/>
        <w:numPr>
          <w:ilvl w:val="0"/>
          <w:numId w:val="7"/>
        </w:numPr>
        <w:ind w:left="0" w:firstLine="709"/>
        <w:jc w:val="both"/>
      </w:pPr>
      <w:r>
        <w:lastRenderedPageBreak/>
        <w:t xml:space="preserve">Прямой государственный долг Волгоградской области </w:t>
      </w:r>
      <w:r w:rsidR="00624262">
        <w:t>по итогам 2015 года</w:t>
      </w:r>
      <w:r w:rsidRPr="00227639">
        <w:t xml:space="preserve"> </w:t>
      </w:r>
      <w:r>
        <w:t>составил</w:t>
      </w:r>
      <w:r w:rsidRPr="00227639">
        <w:t xml:space="preserve"> 46 969 669,0 тыс. рублей. Косвенный долг (государственные гарантии) – 839 047,2 тыс. рублей. </w:t>
      </w:r>
      <w:r w:rsidR="009717D3">
        <w:t>На 01.01.2016 г</w:t>
      </w:r>
      <w:r w:rsidR="009717D3" w:rsidRPr="004B6A9F">
        <w:t>осударственн</w:t>
      </w:r>
      <w:r w:rsidR="009717D3">
        <w:t>ый</w:t>
      </w:r>
      <w:r w:rsidR="009717D3" w:rsidRPr="004B6A9F">
        <w:t xml:space="preserve"> долг Волгоградской области по отношению к доходам</w:t>
      </w:r>
      <w:r w:rsidR="009717D3">
        <w:t xml:space="preserve"> областного бюджета без учёта безвозмездных поступлений составил 83,3 процента.</w:t>
      </w:r>
    </w:p>
    <w:p w:rsidR="002B20A8" w:rsidRDefault="002B20A8" w:rsidP="00624262">
      <w:pPr>
        <w:pStyle w:val="ac"/>
        <w:ind w:left="0" w:firstLine="709"/>
        <w:jc w:val="both"/>
      </w:pPr>
      <w:r>
        <w:t xml:space="preserve">Установленный </w:t>
      </w:r>
      <w:r w:rsidRPr="00227639">
        <w:rPr>
          <w:rFonts w:eastAsia="Times New Roman"/>
          <w:bCs/>
        </w:rPr>
        <w:t>Законом об областном бюджете на 2015 год верхний предел государственного внутреннего долга Волгоградской области</w:t>
      </w:r>
      <w:r>
        <w:rPr>
          <w:rFonts w:eastAsia="Times New Roman"/>
          <w:bCs/>
        </w:rPr>
        <w:t xml:space="preserve"> не превышен.</w:t>
      </w:r>
    </w:p>
    <w:p w:rsidR="002B20A8" w:rsidRDefault="002B20A8" w:rsidP="00624262">
      <w:pPr>
        <w:pStyle w:val="ac"/>
        <w:ind w:left="0" w:firstLine="709"/>
        <w:jc w:val="both"/>
      </w:pPr>
      <w:r>
        <w:t>П</w:t>
      </w:r>
      <w:r w:rsidRPr="00227639">
        <w:t>ревы</w:t>
      </w:r>
      <w:r>
        <w:t>шен</w:t>
      </w:r>
      <w:r w:rsidRPr="00227639">
        <w:t xml:space="preserve"> верхний предел долга по государственным гарантиям Волгоградской области</w:t>
      </w:r>
      <w:r>
        <w:t xml:space="preserve"> </w:t>
      </w:r>
      <w:r w:rsidRPr="00227639">
        <w:rPr>
          <w:rFonts w:eastAsia="Times New Roman"/>
          <w:bCs/>
        </w:rPr>
        <w:t xml:space="preserve">на </w:t>
      </w:r>
      <w:r w:rsidRPr="00227639">
        <w:rPr>
          <w:color w:val="000000"/>
        </w:rPr>
        <w:t>36</w:t>
      </w:r>
      <w:r w:rsidR="00624262">
        <w:rPr>
          <w:color w:val="000000"/>
        </w:rPr>
        <w:t> </w:t>
      </w:r>
      <w:r w:rsidRPr="00227639">
        <w:rPr>
          <w:color w:val="000000"/>
        </w:rPr>
        <w:t xml:space="preserve">089,7 </w:t>
      </w:r>
      <w:r w:rsidRPr="00227639">
        <w:t>тыс. руб</w:t>
      </w:r>
      <w:r>
        <w:t xml:space="preserve">., </w:t>
      </w:r>
      <w:r w:rsidRPr="00227639">
        <w:rPr>
          <w:rFonts w:eastAsia="Times New Roman"/>
        </w:rPr>
        <w:t xml:space="preserve">что </w:t>
      </w:r>
      <w:r w:rsidRPr="00227639">
        <w:t>обусловлено переносом сроков платежей по кредитам ООО «ТопАгро» за пределы 2015 года, а также ростом курса доллара и, как следствие, курсовой разницы по государственной гарантии Администрации г. Волгограда.</w:t>
      </w:r>
    </w:p>
    <w:p w:rsidR="00C6162B" w:rsidRPr="00967BC4" w:rsidRDefault="00624262" w:rsidP="00967BC4">
      <w:pPr>
        <w:pStyle w:val="ac"/>
        <w:numPr>
          <w:ilvl w:val="0"/>
          <w:numId w:val="7"/>
        </w:numPr>
        <w:tabs>
          <w:tab w:val="left" w:pos="0"/>
          <w:tab w:val="left" w:pos="142"/>
        </w:tabs>
        <w:ind w:left="0" w:firstLine="709"/>
        <w:jc w:val="both"/>
      </w:pPr>
      <w:r>
        <w:t>В</w:t>
      </w:r>
      <w:r w:rsidR="000744D1">
        <w:t xml:space="preserve"> 2015 году </w:t>
      </w:r>
      <w:r>
        <w:t xml:space="preserve">создано </w:t>
      </w:r>
      <w:r w:rsidR="000744D1">
        <w:t xml:space="preserve">ГКУ </w:t>
      </w:r>
      <w:r w:rsidR="000744D1" w:rsidRPr="00A770D5">
        <w:t>«Центр бюджетного учета и отчетности»</w:t>
      </w:r>
      <w:r w:rsidR="005719FD">
        <w:t>, подведомственное Облфину</w:t>
      </w:r>
      <w:r>
        <w:t xml:space="preserve">. Цель создания учреждения – централизация </w:t>
      </w:r>
      <w:r w:rsidRPr="00A770D5">
        <w:rPr>
          <w:rFonts w:eastAsia="Times New Roman"/>
        </w:rPr>
        <w:t xml:space="preserve">ведения бюджетного учета и составления </w:t>
      </w:r>
      <w:r w:rsidRPr="00A770D5">
        <w:rPr>
          <w:rFonts w:eastAsia="Times New Roman"/>
          <w:spacing w:val="-4"/>
        </w:rPr>
        <w:t>бюджетной</w:t>
      </w:r>
      <w:r>
        <w:rPr>
          <w:rFonts w:eastAsia="Times New Roman"/>
          <w:spacing w:val="-4"/>
        </w:rPr>
        <w:t xml:space="preserve"> отчётности органов исполнительной власти Волгоградской области для </w:t>
      </w:r>
      <w:r w:rsidR="000744D1">
        <w:t>повы</w:t>
      </w:r>
      <w:r>
        <w:t xml:space="preserve">шения их качества </w:t>
      </w:r>
      <w:r w:rsidR="000744D1">
        <w:rPr>
          <w:rFonts w:eastAsia="Times New Roman"/>
          <w:spacing w:val="-4"/>
        </w:rPr>
        <w:t>и сокра</w:t>
      </w:r>
      <w:r>
        <w:rPr>
          <w:rFonts w:eastAsia="Times New Roman"/>
          <w:spacing w:val="-4"/>
        </w:rPr>
        <w:t>щения</w:t>
      </w:r>
      <w:r w:rsidR="000744D1">
        <w:rPr>
          <w:rFonts w:eastAsia="Times New Roman"/>
          <w:spacing w:val="-4"/>
        </w:rPr>
        <w:t xml:space="preserve"> </w:t>
      </w:r>
      <w:r>
        <w:rPr>
          <w:rFonts w:eastAsia="Times New Roman"/>
          <w:spacing w:val="-4"/>
        </w:rPr>
        <w:t>расходов</w:t>
      </w:r>
      <w:r w:rsidR="005719FD">
        <w:rPr>
          <w:rFonts w:eastAsia="Times New Roman"/>
          <w:spacing w:val="-4"/>
        </w:rPr>
        <w:t>. В 2015 году 10 органов исполнительной власти Волгоградской области передали учреждению указанные полномочия. В 2017 году планируется передача полномочий ещё от 13 органов.</w:t>
      </w:r>
    </w:p>
    <w:p w:rsidR="00967BC4" w:rsidRDefault="00967BC4" w:rsidP="00967BC4">
      <w:pPr>
        <w:pStyle w:val="ac"/>
        <w:tabs>
          <w:tab w:val="left" w:pos="0"/>
          <w:tab w:val="left" w:pos="142"/>
        </w:tabs>
        <w:ind w:left="0" w:firstLine="709"/>
        <w:jc w:val="both"/>
      </w:pPr>
      <w:r>
        <w:t xml:space="preserve">Создание учреждения привело в 2015 году к дополнительным расходам областного бюджета </w:t>
      </w:r>
      <w:r w:rsidR="001371FC">
        <w:t xml:space="preserve">в 2015 году </w:t>
      </w:r>
      <w:r>
        <w:t xml:space="preserve">в сумме 19 614,0 тыс. рублей. По итогам </w:t>
      </w:r>
      <w:r w:rsidRPr="00723E23">
        <w:t>2016 года</w:t>
      </w:r>
      <w:r>
        <w:t xml:space="preserve"> дополнительные расходы увеличатся до 28 171,0 тыс. рублей.</w:t>
      </w:r>
      <w:r w:rsidRPr="00967BC4">
        <w:t xml:space="preserve"> </w:t>
      </w:r>
      <w:r>
        <w:t xml:space="preserve">По </w:t>
      </w:r>
      <w:r w:rsidR="00624262">
        <w:t xml:space="preserve">самым </w:t>
      </w:r>
      <w:r>
        <w:t xml:space="preserve">оптимистичным расчётам дополнительные расходы будут полностью компенсированы и </w:t>
      </w:r>
      <w:r w:rsidR="001371FC">
        <w:t xml:space="preserve">возможен </w:t>
      </w:r>
      <w:r>
        <w:t xml:space="preserve">экономический эффект в виде экономии бюджетных средств </w:t>
      </w:r>
      <w:r w:rsidR="001371FC">
        <w:t xml:space="preserve">только </w:t>
      </w:r>
      <w:r>
        <w:t>по итогам 2019 года.</w:t>
      </w:r>
    </w:p>
    <w:p w:rsidR="00967BC4" w:rsidRDefault="00967BC4" w:rsidP="00967BC4">
      <w:pPr>
        <w:pStyle w:val="ac"/>
        <w:tabs>
          <w:tab w:val="left" w:pos="0"/>
          <w:tab w:val="left" w:pos="142"/>
        </w:tabs>
        <w:ind w:left="0" w:firstLine="709"/>
        <w:jc w:val="both"/>
      </w:pPr>
      <w:r>
        <w:rPr>
          <w:rFonts w:eastAsia="Times New Roman"/>
        </w:rPr>
        <w:t xml:space="preserve">Задача по </w:t>
      </w:r>
      <w:r w:rsidRPr="00A770D5">
        <w:rPr>
          <w:rFonts w:eastAsia="Times New Roman"/>
        </w:rPr>
        <w:t>повышени</w:t>
      </w:r>
      <w:r>
        <w:rPr>
          <w:rFonts w:eastAsia="Times New Roman"/>
        </w:rPr>
        <w:t>ю</w:t>
      </w:r>
      <w:r w:rsidRPr="00A770D5">
        <w:rPr>
          <w:rFonts w:eastAsia="Times New Roman"/>
        </w:rPr>
        <w:t xml:space="preserve"> качества ведени</w:t>
      </w:r>
      <w:r>
        <w:rPr>
          <w:rFonts w:eastAsia="Times New Roman"/>
        </w:rPr>
        <w:t>я</w:t>
      </w:r>
      <w:r w:rsidRPr="00A770D5">
        <w:rPr>
          <w:rFonts w:eastAsia="Times New Roman"/>
        </w:rPr>
        <w:t xml:space="preserve"> бюджетного учета и составления </w:t>
      </w:r>
      <w:r w:rsidRPr="00A770D5">
        <w:rPr>
          <w:rFonts w:eastAsia="Times New Roman"/>
          <w:spacing w:val="-4"/>
        </w:rPr>
        <w:t>бюджетной отчетности</w:t>
      </w:r>
      <w:r>
        <w:rPr>
          <w:rFonts w:eastAsia="Times New Roman"/>
          <w:spacing w:val="-4"/>
        </w:rPr>
        <w:t xml:space="preserve"> в 2015 году не решена.</w:t>
      </w:r>
    </w:p>
    <w:p w:rsidR="003207B6" w:rsidRPr="00A770D5" w:rsidRDefault="003207B6" w:rsidP="00624262">
      <w:pPr>
        <w:pStyle w:val="ac"/>
        <w:numPr>
          <w:ilvl w:val="0"/>
          <w:numId w:val="7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В нарушение </w:t>
      </w:r>
      <w:r w:rsidRPr="00A770D5">
        <w:rPr>
          <w:lang w:eastAsia="en-US"/>
        </w:rPr>
        <w:t>п.</w:t>
      </w:r>
      <w:r w:rsidR="001371FC">
        <w:rPr>
          <w:lang w:eastAsia="en-US"/>
        </w:rPr>
        <w:t xml:space="preserve"> </w:t>
      </w:r>
      <w:r w:rsidRPr="00A770D5">
        <w:rPr>
          <w:lang w:eastAsia="en-US"/>
        </w:rPr>
        <w:t>66 Инструкци</w:t>
      </w:r>
      <w:r w:rsidR="00967BC4">
        <w:rPr>
          <w:lang w:eastAsia="en-US"/>
        </w:rPr>
        <w:t>и</w:t>
      </w:r>
      <w:r w:rsidRPr="00A770D5">
        <w:rPr>
          <w:lang w:eastAsia="en-US"/>
        </w:rPr>
        <w:t xml:space="preserve"> №</w:t>
      </w:r>
      <w:r w:rsidR="00967BC4">
        <w:rPr>
          <w:lang w:eastAsia="en-US"/>
        </w:rPr>
        <w:t xml:space="preserve"> </w:t>
      </w:r>
      <w:r w:rsidRPr="00A770D5">
        <w:rPr>
          <w:lang w:eastAsia="en-US"/>
        </w:rPr>
        <w:t xml:space="preserve">157н </w:t>
      </w:r>
      <w:r w:rsidR="00624262">
        <w:rPr>
          <w:lang w:eastAsia="en-US"/>
        </w:rPr>
        <w:t>приобретённая</w:t>
      </w:r>
      <w:r w:rsidRPr="00A770D5">
        <w:rPr>
          <w:lang w:eastAsia="en-US"/>
        </w:rPr>
        <w:t xml:space="preserve"> </w:t>
      </w:r>
      <w:r w:rsidR="00967BC4">
        <w:rPr>
          <w:lang w:eastAsia="en-US"/>
        </w:rPr>
        <w:t xml:space="preserve">ГКУ ЦБУ </w:t>
      </w:r>
      <w:r>
        <w:rPr>
          <w:lang w:eastAsia="en-US"/>
        </w:rPr>
        <w:t xml:space="preserve">лицензия </w:t>
      </w:r>
      <w:r w:rsidR="00967BC4">
        <w:rPr>
          <w:lang w:eastAsia="en-US"/>
        </w:rPr>
        <w:t xml:space="preserve">на использование программного обеспечения «АЦК-Бюджетный учет» </w:t>
      </w:r>
      <w:r>
        <w:rPr>
          <w:lang w:eastAsia="en-US"/>
        </w:rPr>
        <w:t>стоимостью 5400,</w:t>
      </w:r>
      <w:r w:rsidRPr="00A770D5">
        <w:rPr>
          <w:lang w:eastAsia="en-US"/>
        </w:rPr>
        <w:t>0 тыс.</w:t>
      </w:r>
      <w:r>
        <w:rPr>
          <w:lang w:eastAsia="en-US"/>
        </w:rPr>
        <w:t xml:space="preserve"> </w:t>
      </w:r>
      <w:r w:rsidRPr="00A770D5">
        <w:rPr>
          <w:lang w:eastAsia="en-US"/>
        </w:rPr>
        <w:t>руб. не учтена на забалансовом счете</w:t>
      </w:r>
      <w:r>
        <w:t xml:space="preserve">, что </w:t>
      </w:r>
      <w:r w:rsidRPr="00A770D5">
        <w:rPr>
          <w:lang w:eastAsia="en-US"/>
        </w:rPr>
        <w:t xml:space="preserve">привело к искажению бюджетной отчетности учреждения и сводной отчетности Облфина. В ходе проверки </w:t>
      </w:r>
      <w:r>
        <w:rPr>
          <w:lang w:eastAsia="en-US"/>
        </w:rPr>
        <w:t xml:space="preserve">нарушение устранено, </w:t>
      </w:r>
      <w:r w:rsidRPr="00A770D5">
        <w:rPr>
          <w:lang w:eastAsia="en-US"/>
        </w:rPr>
        <w:t>составлены исправленные формы бюджетной отчетности.</w:t>
      </w:r>
    </w:p>
    <w:p w:rsidR="00956883" w:rsidRDefault="001371FC" w:rsidP="0001171D">
      <w:pPr>
        <w:pStyle w:val="ac"/>
        <w:numPr>
          <w:ilvl w:val="0"/>
          <w:numId w:val="7"/>
        </w:numPr>
        <w:ind w:left="0" w:firstLine="709"/>
        <w:jc w:val="both"/>
      </w:pPr>
      <w:r>
        <w:t>Б</w:t>
      </w:r>
      <w:r w:rsidR="00624262">
        <w:t xml:space="preserve">юджетная отчётность Облфина содержит информацию о дебиторской задолженности </w:t>
      </w:r>
      <w:r>
        <w:t xml:space="preserve">по штрафам за нарушения бюджетного законодательства и законодательства о закупках </w:t>
      </w:r>
      <w:r w:rsidR="00624262">
        <w:t>в сумме 699,5 тыс. руб., которая фактически отсутствует</w:t>
      </w:r>
      <w:r>
        <w:t xml:space="preserve"> в связи с отменой судом постановлений о привлечении к административной ответственности. Задолженность подлежала</w:t>
      </w:r>
      <w:r w:rsidR="00624262">
        <w:t xml:space="preserve"> списанию, но не списана по причине нормативной неурегулированности (609,5 тыс. руб.) и нарушения правил списания (90,0 тыс. руб.).</w:t>
      </w:r>
    </w:p>
    <w:p w:rsidR="0001171D" w:rsidRPr="0001171D" w:rsidRDefault="003207B6" w:rsidP="0001171D">
      <w:pPr>
        <w:pStyle w:val="ac"/>
        <w:numPr>
          <w:ilvl w:val="0"/>
          <w:numId w:val="7"/>
        </w:numPr>
        <w:ind w:left="0" w:firstLine="709"/>
        <w:jc w:val="both"/>
        <w:rPr>
          <w:bCs/>
          <w:lang w:eastAsia="en-US"/>
        </w:rPr>
      </w:pPr>
      <w:r w:rsidRPr="0001171D">
        <w:rPr>
          <w:bCs/>
          <w:lang w:eastAsia="en-US"/>
        </w:rPr>
        <w:t xml:space="preserve">В рамках подпрограммы </w:t>
      </w:r>
      <w:r w:rsidRPr="0001171D">
        <w:rPr>
          <w:color w:val="000000"/>
        </w:rPr>
        <w:t xml:space="preserve">«Обеспечение финансовой поддержки местных бюджетов» </w:t>
      </w:r>
      <w:r w:rsidR="001371FC" w:rsidRPr="0001171D">
        <w:rPr>
          <w:color w:val="000000"/>
        </w:rPr>
        <w:t xml:space="preserve">государственной программы Волгоградской области «Управление государственными финансами» </w:t>
      </w:r>
      <w:r w:rsidR="0001171D" w:rsidRPr="0001171D">
        <w:rPr>
          <w:color w:val="000000"/>
        </w:rPr>
        <w:t xml:space="preserve">местным бюджетам </w:t>
      </w:r>
      <w:r w:rsidRPr="0001171D">
        <w:rPr>
          <w:bCs/>
          <w:lang w:eastAsia="en-US"/>
        </w:rPr>
        <w:t>предоставлена дотация на поддержку мер по обеспечению сбалансированности местных бюджетов для решения отдельных вопросов местного значения в сфере дополнительного образования детей в сумме 5 897,0 тыс. рублей. На средства дотации организовано обучение детей по дополнительной образовательной программе по финансовой грамотности</w:t>
      </w:r>
      <w:r w:rsidR="0001171D" w:rsidRPr="0001171D">
        <w:rPr>
          <w:bCs/>
          <w:lang w:eastAsia="en-US"/>
        </w:rPr>
        <w:t>.</w:t>
      </w:r>
    </w:p>
    <w:p w:rsidR="003207B6" w:rsidRPr="00E3285A" w:rsidRDefault="0001171D" w:rsidP="0001171D">
      <w:pPr>
        <w:ind w:firstLine="709"/>
        <w:jc w:val="both"/>
        <w:rPr>
          <w:bCs/>
        </w:rPr>
      </w:pPr>
      <w:r>
        <w:rPr>
          <w:bCs/>
          <w:lang w:eastAsia="en-US"/>
        </w:rPr>
        <w:t>Д</w:t>
      </w:r>
      <w:r w:rsidR="003207B6" w:rsidRPr="00E3285A">
        <w:rPr>
          <w:bCs/>
          <w:lang w:eastAsia="en-US"/>
        </w:rPr>
        <w:t xml:space="preserve">отация на финансирование мероприятий по повышению финансовой грамотности служит достижению целей и решению задач в большей степени </w:t>
      </w:r>
      <w:r w:rsidR="003207B6" w:rsidRPr="00E3285A">
        <w:rPr>
          <w:bCs/>
        </w:rPr>
        <w:t>РП «Финансовая грамотность», чем ГП «Управление госфинансами</w:t>
      </w:r>
      <w:r>
        <w:rPr>
          <w:bCs/>
        </w:rPr>
        <w:t>»</w:t>
      </w:r>
      <w:r w:rsidR="003207B6" w:rsidRPr="00E3285A">
        <w:rPr>
          <w:bCs/>
        </w:rPr>
        <w:t>.</w:t>
      </w:r>
    </w:p>
    <w:p w:rsidR="003207B6" w:rsidRPr="00E3285A" w:rsidRDefault="0001171D" w:rsidP="0001171D">
      <w:pPr>
        <w:ind w:firstLine="709"/>
        <w:jc w:val="both"/>
      </w:pPr>
      <w:r>
        <w:rPr>
          <w:bCs/>
        </w:rPr>
        <w:t>И</w:t>
      </w:r>
      <w:r w:rsidR="003207B6" w:rsidRPr="00E3285A">
        <w:t>спользование в рамках одной программы бюджетных средств на осуществление мероприятий, имеющих отношение к другой программе</w:t>
      </w:r>
      <w:r>
        <w:t>, некорректно</w:t>
      </w:r>
      <w:r w:rsidR="003207B6" w:rsidRPr="00E3285A">
        <w:t>.</w:t>
      </w:r>
    </w:p>
    <w:p w:rsidR="003207B6" w:rsidRDefault="003207B6" w:rsidP="0001171D">
      <w:pPr>
        <w:pStyle w:val="ac"/>
        <w:numPr>
          <w:ilvl w:val="0"/>
          <w:numId w:val="7"/>
        </w:numPr>
        <w:ind w:left="0" w:firstLine="709"/>
        <w:jc w:val="both"/>
      </w:pPr>
      <w:r w:rsidRPr="0001171D">
        <w:rPr>
          <w:bCs/>
        </w:rPr>
        <w:t>РП «Финансовая грамотность» не содержит информации о комплексе мероприятий, взаимоувязанных по задачам, ресурсам, объёмам финансирования, что</w:t>
      </w:r>
      <w:r>
        <w:t xml:space="preserve"> не позволят реализовать принцип эффективности использования бюджетных средств, установленный ст. 34 БК РФ.</w:t>
      </w:r>
    </w:p>
    <w:p w:rsidR="0001171D" w:rsidRDefault="0001171D" w:rsidP="00074689">
      <w:pPr>
        <w:pStyle w:val="ConsPlusNormal"/>
        <w:ind w:firstLine="709"/>
        <w:jc w:val="both"/>
      </w:pPr>
    </w:p>
    <w:p w:rsidR="00074689" w:rsidRPr="00074689" w:rsidRDefault="00074689" w:rsidP="00074689">
      <w:pPr>
        <w:pStyle w:val="ConsPlusNormal"/>
        <w:ind w:firstLine="709"/>
        <w:jc w:val="both"/>
        <w:rPr>
          <w:b/>
          <w:i/>
        </w:rPr>
      </w:pPr>
      <w:r w:rsidRPr="00074689">
        <w:rPr>
          <w:b/>
          <w:i/>
        </w:rPr>
        <w:t>Предложения</w:t>
      </w:r>
      <w:r w:rsidR="00D74C64">
        <w:rPr>
          <w:b/>
          <w:i/>
        </w:rPr>
        <w:t xml:space="preserve"> Облфину</w:t>
      </w:r>
      <w:r w:rsidRPr="00074689">
        <w:rPr>
          <w:b/>
          <w:i/>
        </w:rPr>
        <w:t>:</w:t>
      </w:r>
    </w:p>
    <w:p w:rsidR="00074689" w:rsidRPr="00A66C36" w:rsidRDefault="00074689" w:rsidP="00074689">
      <w:pPr>
        <w:pStyle w:val="ac"/>
        <w:widowControl w:val="0"/>
        <w:numPr>
          <w:ilvl w:val="0"/>
          <w:numId w:val="8"/>
        </w:numPr>
        <w:tabs>
          <w:tab w:val="left" w:pos="0"/>
        </w:tabs>
        <w:autoSpaceDN w:val="0"/>
        <w:adjustRightInd w:val="0"/>
        <w:spacing w:line="240" w:lineRule="atLeast"/>
        <w:ind w:left="0" w:firstLine="709"/>
        <w:jc w:val="both"/>
      </w:pPr>
      <w:r w:rsidRPr="00A66C36">
        <w:t xml:space="preserve">Инициировать нормативное определение органа, уполномоченного на принятие решений о списании задолженности по обязательствам перед областным бюджетом, в том числе признанным судом невозникшими, недействительными, в сумме </w:t>
      </w:r>
      <w:r w:rsidRPr="00A66C36">
        <w:lastRenderedPageBreak/>
        <w:t>свыше 500 тыс. рублей.</w:t>
      </w:r>
    </w:p>
    <w:p w:rsidR="00074689" w:rsidRPr="00A66C36" w:rsidRDefault="00074689" w:rsidP="00074689">
      <w:pPr>
        <w:pStyle w:val="ac"/>
        <w:widowControl w:val="0"/>
        <w:numPr>
          <w:ilvl w:val="0"/>
          <w:numId w:val="8"/>
        </w:numPr>
        <w:tabs>
          <w:tab w:val="left" w:pos="0"/>
        </w:tabs>
        <w:autoSpaceDN w:val="0"/>
        <w:adjustRightInd w:val="0"/>
        <w:spacing w:line="240" w:lineRule="atLeast"/>
        <w:ind w:left="0" w:firstLine="709"/>
        <w:jc w:val="both"/>
      </w:pPr>
      <w:r w:rsidRPr="00A66C36">
        <w:t>Планировать и осуществлять расходы по предоставлению финансовой помощи местным бюджетам Волгоградской области на осуществление мероприятий  по повышению финансовой грамотности в рамках соответствующего программного документа.</w:t>
      </w:r>
    </w:p>
    <w:p w:rsidR="00074689" w:rsidRPr="00A66C36" w:rsidRDefault="00074689" w:rsidP="00074689">
      <w:pPr>
        <w:pStyle w:val="ac"/>
        <w:widowControl w:val="0"/>
        <w:numPr>
          <w:ilvl w:val="0"/>
          <w:numId w:val="8"/>
        </w:numPr>
        <w:tabs>
          <w:tab w:val="left" w:pos="0"/>
        </w:tabs>
        <w:autoSpaceDN w:val="0"/>
        <w:adjustRightInd w:val="0"/>
        <w:spacing w:line="240" w:lineRule="atLeast"/>
        <w:ind w:left="0" w:firstLine="709"/>
        <w:jc w:val="both"/>
      </w:pPr>
      <w:r w:rsidRPr="00A66C36">
        <w:t xml:space="preserve">Обеспечить планирование и осуществление расходов областного бюджета на повышение финансовой грамотности на основании программного документа, </w:t>
      </w:r>
      <w:r w:rsidRPr="0073753D">
        <w:rPr>
          <w:bCs/>
        </w:rPr>
        <w:t>содерж</w:t>
      </w:r>
      <w:r w:rsidRPr="00A66C36">
        <w:rPr>
          <w:bCs/>
        </w:rPr>
        <w:t>ащего</w:t>
      </w:r>
      <w:r w:rsidRPr="0073753D">
        <w:rPr>
          <w:bCs/>
        </w:rPr>
        <w:t xml:space="preserve"> информаци</w:t>
      </w:r>
      <w:r w:rsidRPr="00A66C36">
        <w:rPr>
          <w:bCs/>
        </w:rPr>
        <w:t>ю</w:t>
      </w:r>
      <w:r w:rsidRPr="0073753D">
        <w:rPr>
          <w:bCs/>
        </w:rPr>
        <w:t xml:space="preserve"> о комплексе мероприятий, взаимоувязанных по задачам, ресурсам</w:t>
      </w:r>
      <w:r w:rsidRPr="00A66C36">
        <w:rPr>
          <w:bCs/>
        </w:rPr>
        <w:t xml:space="preserve"> и</w:t>
      </w:r>
      <w:r w:rsidRPr="0073753D">
        <w:rPr>
          <w:bCs/>
        </w:rPr>
        <w:t xml:space="preserve"> объёмам финансирования</w:t>
      </w:r>
      <w:r w:rsidRPr="00A66C36">
        <w:rPr>
          <w:bCs/>
        </w:rPr>
        <w:t>.</w:t>
      </w:r>
    </w:p>
    <w:p w:rsidR="00074689" w:rsidRPr="003B06BD" w:rsidRDefault="009717D3" w:rsidP="009717D3">
      <w:pPr>
        <w:pStyle w:val="ac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Обеспечить </w:t>
      </w:r>
      <w:r w:rsidR="003B06BD">
        <w:rPr>
          <w:rFonts w:eastAsiaTheme="minorHAnsi"/>
          <w:lang w:eastAsia="en-US"/>
        </w:rPr>
        <w:t xml:space="preserve">решение </w:t>
      </w:r>
      <w:r w:rsidR="003B06BD" w:rsidRPr="00A770D5">
        <w:rPr>
          <w:rFonts w:eastAsia="Times New Roman"/>
          <w:spacing w:val="-4"/>
        </w:rPr>
        <w:t xml:space="preserve">ГКУ </w:t>
      </w:r>
      <w:r w:rsidR="003B06BD" w:rsidRPr="00A770D5">
        <w:rPr>
          <w:rFonts w:eastAsia="Times New Roman"/>
        </w:rPr>
        <w:t>ЦБУ</w:t>
      </w:r>
      <w:r w:rsidR="003B06BD">
        <w:rPr>
          <w:rFonts w:eastAsia="Times New Roman"/>
        </w:rPr>
        <w:t xml:space="preserve"> поставленных перед ним задач, в том числе:</w:t>
      </w:r>
    </w:p>
    <w:p w:rsidR="003B06BD" w:rsidRDefault="003B06BD" w:rsidP="003B06BD">
      <w:pPr>
        <w:pStyle w:val="ac"/>
        <w:tabs>
          <w:tab w:val="left" w:pos="142"/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Times New Roman"/>
          <w:spacing w:val="-4"/>
        </w:rPr>
      </w:pPr>
      <w:r w:rsidRPr="003B06BD">
        <w:rPr>
          <w:rFonts w:eastAsia="Times New Roman"/>
        </w:rPr>
        <w:t xml:space="preserve">-повышение качества ведения бюджетного учета и составления </w:t>
      </w:r>
      <w:r w:rsidRPr="003B06BD">
        <w:rPr>
          <w:rFonts w:eastAsia="Times New Roman"/>
          <w:spacing w:val="-4"/>
        </w:rPr>
        <w:t>бюджетной отчетности</w:t>
      </w:r>
      <w:r>
        <w:rPr>
          <w:rFonts w:eastAsia="Times New Roman"/>
          <w:spacing w:val="-4"/>
        </w:rPr>
        <w:t>;</w:t>
      </w:r>
    </w:p>
    <w:p w:rsidR="003B06BD" w:rsidRDefault="003B06BD" w:rsidP="003B06BD">
      <w:pPr>
        <w:pStyle w:val="ac"/>
        <w:tabs>
          <w:tab w:val="left" w:pos="142"/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-сокращение расходов областного бюджета на ведение учёта.</w:t>
      </w:r>
    </w:p>
    <w:p w:rsidR="003B06BD" w:rsidRDefault="003B06BD" w:rsidP="003B06BD">
      <w:pPr>
        <w:pStyle w:val="ac"/>
        <w:tabs>
          <w:tab w:val="left" w:pos="142"/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Theme="minorHAnsi"/>
          <w:lang w:eastAsia="en-US"/>
        </w:rPr>
      </w:pPr>
    </w:p>
    <w:p w:rsidR="00D74C64" w:rsidRDefault="00D74C64" w:rsidP="003B06BD">
      <w:pPr>
        <w:pStyle w:val="ac"/>
        <w:tabs>
          <w:tab w:val="left" w:pos="142"/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Theme="minorHAnsi"/>
          <w:lang w:eastAsia="en-US"/>
        </w:rPr>
      </w:pPr>
    </w:p>
    <w:p w:rsidR="00D74C64" w:rsidRDefault="00D74C64" w:rsidP="003B06BD">
      <w:pPr>
        <w:pStyle w:val="ac"/>
        <w:tabs>
          <w:tab w:val="left" w:pos="142"/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Theme="minorHAnsi"/>
          <w:lang w:eastAsia="en-US"/>
        </w:rPr>
      </w:pPr>
    </w:p>
    <w:p w:rsidR="00D74C64" w:rsidRPr="009717D3" w:rsidRDefault="00D74C64" w:rsidP="003B06BD">
      <w:pPr>
        <w:pStyle w:val="ac"/>
        <w:tabs>
          <w:tab w:val="left" w:pos="142"/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Theme="minorHAnsi"/>
          <w:lang w:eastAsia="en-US"/>
        </w:rPr>
      </w:pPr>
    </w:p>
    <w:p w:rsidR="0001171D" w:rsidRDefault="0001171D" w:rsidP="00074689">
      <w:pPr>
        <w:pStyle w:val="ConsPlusNormal"/>
        <w:ind w:firstLine="709"/>
        <w:jc w:val="both"/>
      </w:pPr>
    </w:p>
    <w:p w:rsidR="0001171D" w:rsidRDefault="0001171D" w:rsidP="003207B6">
      <w:pPr>
        <w:pStyle w:val="ConsPlusNormal"/>
        <w:ind w:firstLine="709"/>
        <w:jc w:val="both"/>
      </w:pPr>
    </w:p>
    <w:p w:rsidR="0001171D" w:rsidRPr="0001171D" w:rsidRDefault="0001171D" w:rsidP="003207B6">
      <w:pPr>
        <w:pStyle w:val="ConsPlusNormal"/>
        <w:ind w:firstLine="709"/>
        <w:jc w:val="both"/>
        <w:rPr>
          <w:b/>
          <w:i/>
        </w:rPr>
      </w:pPr>
      <w:r w:rsidRPr="0001171D">
        <w:rPr>
          <w:b/>
          <w:i/>
        </w:rPr>
        <w:t xml:space="preserve">Аудитор </w:t>
      </w:r>
      <w:r w:rsidRPr="0001171D">
        <w:rPr>
          <w:b/>
          <w:i/>
        </w:rPr>
        <w:tab/>
      </w:r>
      <w:r w:rsidRPr="0001171D">
        <w:rPr>
          <w:b/>
          <w:i/>
        </w:rPr>
        <w:tab/>
      </w:r>
      <w:r w:rsidRPr="0001171D">
        <w:rPr>
          <w:b/>
          <w:i/>
        </w:rPr>
        <w:tab/>
      </w:r>
      <w:r w:rsidRPr="0001171D">
        <w:rPr>
          <w:b/>
          <w:i/>
        </w:rPr>
        <w:tab/>
      </w:r>
      <w:r w:rsidRPr="0001171D">
        <w:rPr>
          <w:b/>
          <w:i/>
        </w:rPr>
        <w:tab/>
      </w:r>
      <w:r w:rsidRPr="0001171D">
        <w:rPr>
          <w:b/>
          <w:i/>
        </w:rPr>
        <w:tab/>
      </w:r>
      <w:r w:rsidRPr="0001171D">
        <w:rPr>
          <w:b/>
          <w:i/>
        </w:rPr>
        <w:tab/>
      </w:r>
      <w:r w:rsidRPr="0001171D">
        <w:rPr>
          <w:b/>
          <w:i/>
        </w:rPr>
        <w:tab/>
        <w:t>Н.Л.Ноздрюхина</w:t>
      </w:r>
    </w:p>
    <w:sectPr w:rsidR="0001171D" w:rsidRPr="0001171D" w:rsidSect="000E1FA0">
      <w:headerReference w:type="default" r:id="rId10"/>
      <w:pgSz w:w="11906" w:h="16838"/>
      <w:pgMar w:top="680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50" w:rsidRDefault="00016F50" w:rsidP="00DA2527">
      <w:r>
        <w:separator/>
      </w:r>
    </w:p>
  </w:endnote>
  <w:endnote w:type="continuationSeparator" w:id="1">
    <w:p w:rsidR="00016F50" w:rsidRDefault="00016F50" w:rsidP="00DA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50" w:rsidRDefault="00016F50" w:rsidP="00DA2527">
      <w:r>
        <w:separator/>
      </w:r>
    </w:p>
  </w:footnote>
  <w:footnote w:type="continuationSeparator" w:id="1">
    <w:p w:rsidR="00016F50" w:rsidRDefault="00016F50" w:rsidP="00DA2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9C" w:rsidRDefault="0001009C" w:rsidP="00DA2527">
    <w:pPr>
      <w:pStyle w:val="ae"/>
      <w:tabs>
        <w:tab w:val="left" w:pos="5660"/>
      </w:tabs>
    </w:pPr>
    <w:r>
      <w:tab/>
    </w:r>
    <w:fldSimple w:instr=" PAGE   \* MERGEFORMAT ">
      <w:r w:rsidR="00D74C64">
        <w:rPr>
          <w:noProof/>
        </w:rPr>
        <w:t>13</w:t>
      </w:r>
    </w:fldSimple>
  </w:p>
  <w:p w:rsidR="0001009C" w:rsidRDefault="0001009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FC82C8"/>
    <w:lvl w:ilvl="0">
      <w:numFmt w:val="bullet"/>
      <w:lvlText w:val="*"/>
      <w:lvlJc w:val="left"/>
    </w:lvl>
  </w:abstractNum>
  <w:abstractNum w:abstractNumId="1">
    <w:nsid w:val="0DBA40E6"/>
    <w:multiLevelType w:val="hybridMultilevel"/>
    <w:tmpl w:val="9FC86788"/>
    <w:lvl w:ilvl="0" w:tplc="5F98A8E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616FC"/>
    <w:multiLevelType w:val="hybridMultilevel"/>
    <w:tmpl w:val="DD8CF0F6"/>
    <w:lvl w:ilvl="0" w:tplc="BB6238D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971CA"/>
    <w:multiLevelType w:val="multilevel"/>
    <w:tmpl w:val="131A50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9C67C64"/>
    <w:multiLevelType w:val="hybridMultilevel"/>
    <w:tmpl w:val="EE864174"/>
    <w:lvl w:ilvl="0" w:tplc="0C50CB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A73B13"/>
    <w:multiLevelType w:val="hybridMultilevel"/>
    <w:tmpl w:val="A2D0898A"/>
    <w:lvl w:ilvl="0" w:tplc="FC36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22163C"/>
    <w:multiLevelType w:val="hybridMultilevel"/>
    <w:tmpl w:val="EFAE7B5A"/>
    <w:lvl w:ilvl="0" w:tplc="A7FC15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246BFA"/>
    <w:multiLevelType w:val="multilevel"/>
    <w:tmpl w:val="A68491BC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B6F"/>
    <w:rsid w:val="000017CC"/>
    <w:rsid w:val="00005CAE"/>
    <w:rsid w:val="0001009C"/>
    <w:rsid w:val="0001171D"/>
    <w:rsid w:val="0001272F"/>
    <w:rsid w:val="00015E45"/>
    <w:rsid w:val="00016F50"/>
    <w:rsid w:val="00021346"/>
    <w:rsid w:val="0002304D"/>
    <w:rsid w:val="00026CA0"/>
    <w:rsid w:val="000364EB"/>
    <w:rsid w:val="0003688A"/>
    <w:rsid w:val="000532CF"/>
    <w:rsid w:val="000572A6"/>
    <w:rsid w:val="000613A9"/>
    <w:rsid w:val="00065A07"/>
    <w:rsid w:val="0006745C"/>
    <w:rsid w:val="000723BE"/>
    <w:rsid w:val="000744D1"/>
    <w:rsid w:val="00074689"/>
    <w:rsid w:val="000760AB"/>
    <w:rsid w:val="00082BE7"/>
    <w:rsid w:val="00091BC6"/>
    <w:rsid w:val="000A25A1"/>
    <w:rsid w:val="000A277E"/>
    <w:rsid w:val="000B278B"/>
    <w:rsid w:val="000B6287"/>
    <w:rsid w:val="000C0F17"/>
    <w:rsid w:val="000C4AE0"/>
    <w:rsid w:val="000D07BD"/>
    <w:rsid w:val="000D239B"/>
    <w:rsid w:val="000D5F6B"/>
    <w:rsid w:val="000D6474"/>
    <w:rsid w:val="000E10E7"/>
    <w:rsid w:val="000E1FA0"/>
    <w:rsid w:val="000E2AC9"/>
    <w:rsid w:val="000F1D90"/>
    <w:rsid w:val="00100CF1"/>
    <w:rsid w:val="0010217B"/>
    <w:rsid w:val="001042B8"/>
    <w:rsid w:val="00105E7E"/>
    <w:rsid w:val="00110EF1"/>
    <w:rsid w:val="00112FD1"/>
    <w:rsid w:val="001157A3"/>
    <w:rsid w:val="00126E38"/>
    <w:rsid w:val="001359E7"/>
    <w:rsid w:val="001371FC"/>
    <w:rsid w:val="00145D24"/>
    <w:rsid w:val="00146662"/>
    <w:rsid w:val="00154B87"/>
    <w:rsid w:val="0016756C"/>
    <w:rsid w:val="00171927"/>
    <w:rsid w:val="001754DD"/>
    <w:rsid w:val="00185D18"/>
    <w:rsid w:val="00186EFD"/>
    <w:rsid w:val="0018739F"/>
    <w:rsid w:val="00191144"/>
    <w:rsid w:val="001A0593"/>
    <w:rsid w:val="001A56A6"/>
    <w:rsid w:val="001A7C36"/>
    <w:rsid w:val="001B03CC"/>
    <w:rsid w:val="001B2492"/>
    <w:rsid w:val="001C6C24"/>
    <w:rsid w:val="001E78DC"/>
    <w:rsid w:val="001F4F99"/>
    <w:rsid w:val="0020417A"/>
    <w:rsid w:val="00210CCB"/>
    <w:rsid w:val="00221026"/>
    <w:rsid w:val="002223D7"/>
    <w:rsid w:val="00227639"/>
    <w:rsid w:val="00242FCF"/>
    <w:rsid w:val="002474A9"/>
    <w:rsid w:val="002514B3"/>
    <w:rsid w:val="00255CC7"/>
    <w:rsid w:val="002658A5"/>
    <w:rsid w:val="00267C75"/>
    <w:rsid w:val="00275E44"/>
    <w:rsid w:val="00283973"/>
    <w:rsid w:val="00286933"/>
    <w:rsid w:val="00292555"/>
    <w:rsid w:val="002929AF"/>
    <w:rsid w:val="002A690B"/>
    <w:rsid w:val="002A7D9C"/>
    <w:rsid w:val="002B20A8"/>
    <w:rsid w:val="002B2D3C"/>
    <w:rsid w:val="002B5C1C"/>
    <w:rsid w:val="002B6378"/>
    <w:rsid w:val="002C0D7D"/>
    <w:rsid w:val="002D0533"/>
    <w:rsid w:val="002D0FB8"/>
    <w:rsid w:val="002D1A58"/>
    <w:rsid w:val="002D3541"/>
    <w:rsid w:val="002D4227"/>
    <w:rsid w:val="002D6F15"/>
    <w:rsid w:val="002D6F3F"/>
    <w:rsid w:val="002E07C2"/>
    <w:rsid w:val="002E0FA7"/>
    <w:rsid w:val="002E1AD0"/>
    <w:rsid w:val="002E32A3"/>
    <w:rsid w:val="002E59A8"/>
    <w:rsid w:val="002F1B4F"/>
    <w:rsid w:val="002F54E7"/>
    <w:rsid w:val="002F586C"/>
    <w:rsid w:val="002F763C"/>
    <w:rsid w:val="00302D05"/>
    <w:rsid w:val="003047E5"/>
    <w:rsid w:val="00310DA5"/>
    <w:rsid w:val="00315AFA"/>
    <w:rsid w:val="003207B6"/>
    <w:rsid w:val="00336A74"/>
    <w:rsid w:val="003472A5"/>
    <w:rsid w:val="003504DD"/>
    <w:rsid w:val="00351B1E"/>
    <w:rsid w:val="00352300"/>
    <w:rsid w:val="003549E9"/>
    <w:rsid w:val="00355FEC"/>
    <w:rsid w:val="00356091"/>
    <w:rsid w:val="00366072"/>
    <w:rsid w:val="00370C56"/>
    <w:rsid w:val="00372905"/>
    <w:rsid w:val="00372EB6"/>
    <w:rsid w:val="00375FCE"/>
    <w:rsid w:val="00386A5E"/>
    <w:rsid w:val="00392E35"/>
    <w:rsid w:val="00393A5F"/>
    <w:rsid w:val="003A02CC"/>
    <w:rsid w:val="003B06BD"/>
    <w:rsid w:val="003B77A6"/>
    <w:rsid w:val="003C1B97"/>
    <w:rsid w:val="003C202F"/>
    <w:rsid w:val="003C380F"/>
    <w:rsid w:val="003D05A5"/>
    <w:rsid w:val="003D118F"/>
    <w:rsid w:val="003D77F0"/>
    <w:rsid w:val="003E1A2B"/>
    <w:rsid w:val="003E315A"/>
    <w:rsid w:val="003E7F12"/>
    <w:rsid w:val="003F3A94"/>
    <w:rsid w:val="003F462A"/>
    <w:rsid w:val="00400CB1"/>
    <w:rsid w:val="00420E39"/>
    <w:rsid w:val="00422372"/>
    <w:rsid w:val="00425F32"/>
    <w:rsid w:val="00427B9B"/>
    <w:rsid w:val="004333F7"/>
    <w:rsid w:val="00437995"/>
    <w:rsid w:val="00443006"/>
    <w:rsid w:val="00450327"/>
    <w:rsid w:val="004531D1"/>
    <w:rsid w:val="0045481A"/>
    <w:rsid w:val="00454FB6"/>
    <w:rsid w:val="00460B55"/>
    <w:rsid w:val="004715A7"/>
    <w:rsid w:val="00472FD7"/>
    <w:rsid w:val="00473F10"/>
    <w:rsid w:val="00474647"/>
    <w:rsid w:val="0048529C"/>
    <w:rsid w:val="00487E57"/>
    <w:rsid w:val="00491929"/>
    <w:rsid w:val="004940D7"/>
    <w:rsid w:val="004A1278"/>
    <w:rsid w:val="004A697C"/>
    <w:rsid w:val="004B434E"/>
    <w:rsid w:val="004B6A9F"/>
    <w:rsid w:val="004C3E00"/>
    <w:rsid w:val="004C3E92"/>
    <w:rsid w:val="004C411B"/>
    <w:rsid w:val="004C4D95"/>
    <w:rsid w:val="004C6BDC"/>
    <w:rsid w:val="004D1B12"/>
    <w:rsid w:val="004D4B41"/>
    <w:rsid w:val="004E7E60"/>
    <w:rsid w:val="005049B9"/>
    <w:rsid w:val="00507C2E"/>
    <w:rsid w:val="0051054D"/>
    <w:rsid w:val="00525130"/>
    <w:rsid w:val="00525704"/>
    <w:rsid w:val="00532D78"/>
    <w:rsid w:val="005339DC"/>
    <w:rsid w:val="005400A5"/>
    <w:rsid w:val="00540CD7"/>
    <w:rsid w:val="00546328"/>
    <w:rsid w:val="00554187"/>
    <w:rsid w:val="00561AA7"/>
    <w:rsid w:val="00563AA2"/>
    <w:rsid w:val="005656AE"/>
    <w:rsid w:val="005719FD"/>
    <w:rsid w:val="00577082"/>
    <w:rsid w:val="00580A65"/>
    <w:rsid w:val="00585663"/>
    <w:rsid w:val="00587A1F"/>
    <w:rsid w:val="0059296C"/>
    <w:rsid w:val="00596F18"/>
    <w:rsid w:val="005A5E4A"/>
    <w:rsid w:val="005C2D5F"/>
    <w:rsid w:val="005D2907"/>
    <w:rsid w:val="005D3D39"/>
    <w:rsid w:val="005E2985"/>
    <w:rsid w:val="005E7B1D"/>
    <w:rsid w:val="005F62C0"/>
    <w:rsid w:val="005F7917"/>
    <w:rsid w:val="00607D5F"/>
    <w:rsid w:val="00611E97"/>
    <w:rsid w:val="00624262"/>
    <w:rsid w:val="00635789"/>
    <w:rsid w:val="00637286"/>
    <w:rsid w:val="00643D01"/>
    <w:rsid w:val="00646290"/>
    <w:rsid w:val="00650351"/>
    <w:rsid w:val="00651073"/>
    <w:rsid w:val="0065528E"/>
    <w:rsid w:val="00655E19"/>
    <w:rsid w:val="00666AF3"/>
    <w:rsid w:val="00672DB1"/>
    <w:rsid w:val="00681E6D"/>
    <w:rsid w:val="006827DB"/>
    <w:rsid w:val="00685E6F"/>
    <w:rsid w:val="006870E1"/>
    <w:rsid w:val="0069300D"/>
    <w:rsid w:val="00694AEE"/>
    <w:rsid w:val="006A06AB"/>
    <w:rsid w:val="006B68E9"/>
    <w:rsid w:val="006B7086"/>
    <w:rsid w:val="006C0F7B"/>
    <w:rsid w:val="006C5133"/>
    <w:rsid w:val="006D2B03"/>
    <w:rsid w:val="006D38E2"/>
    <w:rsid w:val="006D45C8"/>
    <w:rsid w:val="006E06B0"/>
    <w:rsid w:val="006E642C"/>
    <w:rsid w:val="006F2758"/>
    <w:rsid w:val="00701448"/>
    <w:rsid w:val="00703909"/>
    <w:rsid w:val="00705D31"/>
    <w:rsid w:val="00707093"/>
    <w:rsid w:val="00712BC3"/>
    <w:rsid w:val="00714A0E"/>
    <w:rsid w:val="00723E23"/>
    <w:rsid w:val="007257F2"/>
    <w:rsid w:val="00730B2D"/>
    <w:rsid w:val="00732044"/>
    <w:rsid w:val="00733BD7"/>
    <w:rsid w:val="00744265"/>
    <w:rsid w:val="00752511"/>
    <w:rsid w:val="0078783E"/>
    <w:rsid w:val="00791503"/>
    <w:rsid w:val="00795A0C"/>
    <w:rsid w:val="007966CE"/>
    <w:rsid w:val="00796968"/>
    <w:rsid w:val="007B32FE"/>
    <w:rsid w:val="007C1A60"/>
    <w:rsid w:val="007C541B"/>
    <w:rsid w:val="007D0E68"/>
    <w:rsid w:val="007D3193"/>
    <w:rsid w:val="007D6B92"/>
    <w:rsid w:val="007F2757"/>
    <w:rsid w:val="008013D6"/>
    <w:rsid w:val="00802106"/>
    <w:rsid w:val="008104DB"/>
    <w:rsid w:val="00810BE6"/>
    <w:rsid w:val="0081454D"/>
    <w:rsid w:val="0082258F"/>
    <w:rsid w:val="00836F46"/>
    <w:rsid w:val="008375FB"/>
    <w:rsid w:val="00851A2D"/>
    <w:rsid w:val="00852071"/>
    <w:rsid w:val="00853EE7"/>
    <w:rsid w:val="0086129D"/>
    <w:rsid w:val="0086130A"/>
    <w:rsid w:val="008625F5"/>
    <w:rsid w:val="0088307B"/>
    <w:rsid w:val="0088389E"/>
    <w:rsid w:val="0088632E"/>
    <w:rsid w:val="00886F4C"/>
    <w:rsid w:val="008870BE"/>
    <w:rsid w:val="00890D2C"/>
    <w:rsid w:val="0089626A"/>
    <w:rsid w:val="008B050A"/>
    <w:rsid w:val="008B3215"/>
    <w:rsid w:val="008B60E5"/>
    <w:rsid w:val="008D70E6"/>
    <w:rsid w:val="008E1F00"/>
    <w:rsid w:val="008E4ECF"/>
    <w:rsid w:val="008E7EC6"/>
    <w:rsid w:val="008F02A2"/>
    <w:rsid w:val="008F0522"/>
    <w:rsid w:val="008F4C7A"/>
    <w:rsid w:val="008F55C8"/>
    <w:rsid w:val="009132EA"/>
    <w:rsid w:val="0091692F"/>
    <w:rsid w:val="00920EBC"/>
    <w:rsid w:val="00956883"/>
    <w:rsid w:val="009652DD"/>
    <w:rsid w:val="009672CF"/>
    <w:rsid w:val="00967BC4"/>
    <w:rsid w:val="00970EB5"/>
    <w:rsid w:val="009717D3"/>
    <w:rsid w:val="00977E91"/>
    <w:rsid w:val="00983BDF"/>
    <w:rsid w:val="009A1168"/>
    <w:rsid w:val="009A3E54"/>
    <w:rsid w:val="009A5A61"/>
    <w:rsid w:val="009B646E"/>
    <w:rsid w:val="009C0091"/>
    <w:rsid w:val="009D68D5"/>
    <w:rsid w:val="009D6FE1"/>
    <w:rsid w:val="009E1B72"/>
    <w:rsid w:val="009E2203"/>
    <w:rsid w:val="009E264F"/>
    <w:rsid w:val="009E7D43"/>
    <w:rsid w:val="009F2C52"/>
    <w:rsid w:val="009F63AC"/>
    <w:rsid w:val="00A01458"/>
    <w:rsid w:val="00A054B0"/>
    <w:rsid w:val="00A06B73"/>
    <w:rsid w:val="00A12039"/>
    <w:rsid w:val="00A23313"/>
    <w:rsid w:val="00A25CBE"/>
    <w:rsid w:val="00A325F7"/>
    <w:rsid w:val="00A36806"/>
    <w:rsid w:val="00A36F81"/>
    <w:rsid w:val="00A418DD"/>
    <w:rsid w:val="00A44E09"/>
    <w:rsid w:val="00A45291"/>
    <w:rsid w:val="00A529B5"/>
    <w:rsid w:val="00A53BD3"/>
    <w:rsid w:val="00A57D64"/>
    <w:rsid w:val="00A61338"/>
    <w:rsid w:val="00A66506"/>
    <w:rsid w:val="00A709EE"/>
    <w:rsid w:val="00A770D5"/>
    <w:rsid w:val="00A85D20"/>
    <w:rsid w:val="00AA0C15"/>
    <w:rsid w:val="00AA24D2"/>
    <w:rsid w:val="00AA3AD4"/>
    <w:rsid w:val="00AA545A"/>
    <w:rsid w:val="00AA5BF6"/>
    <w:rsid w:val="00AB0EF9"/>
    <w:rsid w:val="00AB5BFC"/>
    <w:rsid w:val="00AC26C2"/>
    <w:rsid w:val="00AD41D9"/>
    <w:rsid w:val="00AD584F"/>
    <w:rsid w:val="00AD5B97"/>
    <w:rsid w:val="00AD732F"/>
    <w:rsid w:val="00AE1366"/>
    <w:rsid w:val="00AE3548"/>
    <w:rsid w:val="00AE59C1"/>
    <w:rsid w:val="00AF4244"/>
    <w:rsid w:val="00AF46C3"/>
    <w:rsid w:val="00AF7BA8"/>
    <w:rsid w:val="00AF7CA9"/>
    <w:rsid w:val="00B004FE"/>
    <w:rsid w:val="00B01492"/>
    <w:rsid w:val="00B04512"/>
    <w:rsid w:val="00B059FB"/>
    <w:rsid w:val="00B068AC"/>
    <w:rsid w:val="00B10FB8"/>
    <w:rsid w:val="00B115CB"/>
    <w:rsid w:val="00B13949"/>
    <w:rsid w:val="00B1444C"/>
    <w:rsid w:val="00B24D24"/>
    <w:rsid w:val="00B24E6D"/>
    <w:rsid w:val="00B310D2"/>
    <w:rsid w:val="00B33FE0"/>
    <w:rsid w:val="00B37916"/>
    <w:rsid w:val="00B47DB8"/>
    <w:rsid w:val="00B60B3B"/>
    <w:rsid w:val="00B77A04"/>
    <w:rsid w:val="00B8000E"/>
    <w:rsid w:val="00B9474F"/>
    <w:rsid w:val="00B95B99"/>
    <w:rsid w:val="00B96A07"/>
    <w:rsid w:val="00BA49C6"/>
    <w:rsid w:val="00BA6203"/>
    <w:rsid w:val="00BA75A1"/>
    <w:rsid w:val="00BA7F1E"/>
    <w:rsid w:val="00BB4CF0"/>
    <w:rsid w:val="00BB5D48"/>
    <w:rsid w:val="00BC263B"/>
    <w:rsid w:val="00BC274D"/>
    <w:rsid w:val="00BC2C7C"/>
    <w:rsid w:val="00BC7764"/>
    <w:rsid w:val="00BD1676"/>
    <w:rsid w:val="00BD402C"/>
    <w:rsid w:val="00BD52CE"/>
    <w:rsid w:val="00BE00FF"/>
    <w:rsid w:val="00BE2486"/>
    <w:rsid w:val="00BE5538"/>
    <w:rsid w:val="00C05457"/>
    <w:rsid w:val="00C10287"/>
    <w:rsid w:val="00C12BDA"/>
    <w:rsid w:val="00C134E6"/>
    <w:rsid w:val="00C330B1"/>
    <w:rsid w:val="00C410C1"/>
    <w:rsid w:val="00C46096"/>
    <w:rsid w:val="00C6162B"/>
    <w:rsid w:val="00C6525B"/>
    <w:rsid w:val="00C750CA"/>
    <w:rsid w:val="00C838A4"/>
    <w:rsid w:val="00C849F8"/>
    <w:rsid w:val="00C93344"/>
    <w:rsid w:val="00C948D5"/>
    <w:rsid w:val="00CA3D03"/>
    <w:rsid w:val="00CA3EC6"/>
    <w:rsid w:val="00CC1A9E"/>
    <w:rsid w:val="00CC7890"/>
    <w:rsid w:val="00CD04E0"/>
    <w:rsid w:val="00CE37D5"/>
    <w:rsid w:val="00CE5B3A"/>
    <w:rsid w:val="00CF05CA"/>
    <w:rsid w:val="00CF2639"/>
    <w:rsid w:val="00D02FBA"/>
    <w:rsid w:val="00D031D8"/>
    <w:rsid w:val="00D105F4"/>
    <w:rsid w:val="00D1187B"/>
    <w:rsid w:val="00D1709C"/>
    <w:rsid w:val="00D204C5"/>
    <w:rsid w:val="00D2402B"/>
    <w:rsid w:val="00D2676B"/>
    <w:rsid w:val="00D26DC0"/>
    <w:rsid w:val="00D277F0"/>
    <w:rsid w:val="00D320CE"/>
    <w:rsid w:val="00D37D07"/>
    <w:rsid w:val="00D533C4"/>
    <w:rsid w:val="00D534CA"/>
    <w:rsid w:val="00D6065B"/>
    <w:rsid w:val="00D66AD0"/>
    <w:rsid w:val="00D66D16"/>
    <w:rsid w:val="00D7050A"/>
    <w:rsid w:val="00D74C64"/>
    <w:rsid w:val="00D74CFD"/>
    <w:rsid w:val="00D77E9A"/>
    <w:rsid w:val="00D80425"/>
    <w:rsid w:val="00D9624E"/>
    <w:rsid w:val="00DA00D1"/>
    <w:rsid w:val="00DA2527"/>
    <w:rsid w:val="00DA784C"/>
    <w:rsid w:val="00DB66B0"/>
    <w:rsid w:val="00DB7366"/>
    <w:rsid w:val="00DB79E5"/>
    <w:rsid w:val="00DC0D47"/>
    <w:rsid w:val="00DC413B"/>
    <w:rsid w:val="00DD794F"/>
    <w:rsid w:val="00DE592B"/>
    <w:rsid w:val="00DE7F8E"/>
    <w:rsid w:val="00DF76E0"/>
    <w:rsid w:val="00E06D1A"/>
    <w:rsid w:val="00E1253E"/>
    <w:rsid w:val="00E12CC9"/>
    <w:rsid w:val="00E1590D"/>
    <w:rsid w:val="00E22E3C"/>
    <w:rsid w:val="00E27625"/>
    <w:rsid w:val="00E31D0E"/>
    <w:rsid w:val="00E3285A"/>
    <w:rsid w:val="00E35FF2"/>
    <w:rsid w:val="00E366ED"/>
    <w:rsid w:val="00E40010"/>
    <w:rsid w:val="00E4232D"/>
    <w:rsid w:val="00E44BAA"/>
    <w:rsid w:val="00E5245A"/>
    <w:rsid w:val="00E605C4"/>
    <w:rsid w:val="00E61F30"/>
    <w:rsid w:val="00E64495"/>
    <w:rsid w:val="00E6456A"/>
    <w:rsid w:val="00E65CB6"/>
    <w:rsid w:val="00E674CA"/>
    <w:rsid w:val="00E70BEB"/>
    <w:rsid w:val="00E726D6"/>
    <w:rsid w:val="00E73B6F"/>
    <w:rsid w:val="00E744BC"/>
    <w:rsid w:val="00E74978"/>
    <w:rsid w:val="00E84A8A"/>
    <w:rsid w:val="00E85722"/>
    <w:rsid w:val="00E863C4"/>
    <w:rsid w:val="00E877C7"/>
    <w:rsid w:val="00E87E6B"/>
    <w:rsid w:val="00E93ECA"/>
    <w:rsid w:val="00EA0D59"/>
    <w:rsid w:val="00EB1614"/>
    <w:rsid w:val="00EB2509"/>
    <w:rsid w:val="00EC5B97"/>
    <w:rsid w:val="00EC64D2"/>
    <w:rsid w:val="00EC6FB2"/>
    <w:rsid w:val="00ED3F4D"/>
    <w:rsid w:val="00ED403F"/>
    <w:rsid w:val="00ED706E"/>
    <w:rsid w:val="00EE1323"/>
    <w:rsid w:val="00EE4C57"/>
    <w:rsid w:val="00EF274F"/>
    <w:rsid w:val="00F222C4"/>
    <w:rsid w:val="00F25E57"/>
    <w:rsid w:val="00F31A32"/>
    <w:rsid w:val="00F343A5"/>
    <w:rsid w:val="00F3686E"/>
    <w:rsid w:val="00F51F5F"/>
    <w:rsid w:val="00F559D3"/>
    <w:rsid w:val="00F60CF3"/>
    <w:rsid w:val="00F6503F"/>
    <w:rsid w:val="00F668C2"/>
    <w:rsid w:val="00F67B70"/>
    <w:rsid w:val="00F80D06"/>
    <w:rsid w:val="00F80FD3"/>
    <w:rsid w:val="00F855FD"/>
    <w:rsid w:val="00F911BB"/>
    <w:rsid w:val="00FA30E5"/>
    <w:rsid w:val="00FA442A"/>
    <w:rsid w:val="00FB1662"/>
    <w:rsid w:val="00FB4032"/>
    <w:rsid w:val="00FC18D5"/>
    <w:rsid w:val="00FC2442"/>
    <w:rsid w:val="00FC5FBC"/>
    <w:rsid w:val="00FC6E67"/>
    <w:rsid w:val="00FD1055"/>
    <w:rsid w:val="00FD2E24"/>
    <w:rsid w:val="00FD4899"/>
    <w:rsid w:val="00FE3315"/>
    <w:rsid w:val="00FE4EB5"/>
    <w:rsid w:val="00FF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6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D6F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F3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1692F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rsid w:val="0091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1692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uiPriority w:val="99"/>
    <w:rsid w:val="009169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1692F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91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9169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Заголовок статьи"/>
    <w:basedOn w:val="a"/>
    <w:next w:val="a"/>
    <w:uiPriority w:val="99"/>
    <w:rsid w:val="008013D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en-US"/>
    </w:rPr>
  </w:style>
  <w:style w:type="table" w:styleId="ab">
    <w:name w:val="Table Grid"/>
    <w:basedOn w:val="a1"/>
    <w:uiPriority w:val="59"/>
    <w:rsid w:val="009E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F424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BE2486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A25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25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A25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A25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9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719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00">
    <w:name w:val="a0"/>
    <w:basedOn w:val="a0"/>
    <w:rsid w:val="00C93344"/>
  </w:style>
  <w:style w:type="paragraph" w:styleId="2">
    <w:name w:val="Body Text 2"/>
    <w:basedOn w:val="a"/>
    <w:link w:val="20"/>
    <w:rsid w:val="00E27625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E27625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E2762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762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A963EB7C1BA28477498194109FEC920850A5A7C421BFED31256CCAC14B59F4775920F826E9B4AVEc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D3C30121056511FCF07FADD8A90AAC12F73BBFFF1D8C2CE573CD5B58A3FA9B4F5F97439649133x7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DCED-B912-446C-91E2-163D1D53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14</Pages>
  <Words>7272</Words>
  <Characters>41453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48628</CharactersWithSpaces>
  <SharedDoc>false</SharedDoc>
  <HLinks>
    <vt:vector size="24" baseType="variant"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7077990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consultantplus://offline/ref=8C3D3C30121056511FCF07FADD8A90AAC12F73BBFFF1D8C2CE573CD5B58A3FA9B4F5F97439649133x7E4N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consultantplus://offline/ref=47EA963EB7C1BA28477498194109FEC920850A5A7C421BFED31256CCAC14B59F4775920F826E9B4AVEc3G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consultantplus://offline/ref=28E4F650ECA5376C5BC3F557E3855FBF88C318F93D19AB347A7BEFADC15FAB445FB87AA455CA21E9G051F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</dc:creator>
  <cp:keywords/>
  <cp:lastModifiedBy>Горина</cp:lastModifiedBy>
  <cp:revision>21</cp:revision>
  <cp:lastPrinted>2016-05-05T11:11:00Z</cp:lastPrinted>
  <dcterms:created xsi:type="dcterms:W3CDTF">2016-04-26T07:27:00Z</dcterms:created>
  <dcterms:modified xsi:type="dcterms:W3CDTF">2016-05-12T04:40:00Z</dcterms:modified>
</cp:coreProperties>
</file>