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84C" w:rsidRPr="00B96DAA" w:rsidRDefault="001174F9" w:rsidP="00B96DAA">
      <w:pPr>
        <w:spacing w:after="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74F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Pr="00B96D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</w:t>
      </w:r>
    </w:p>
    <w:p w:rsidR="00B96DAA" w:rsidRPr="00B96DAA" w:rsidRDefault="00B96DAA" w:rsidP="00B96DAA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174F9" w:rsidRPr="00B96DAA" w:rsidRDefault="001174F9" w:rsidP="001174F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Сведения о целевых показателях государственной программы Волгоградской области "Развитие здравоохранения Волгоградской области на 2014 - 2016 годы и на период до 2020 года" </w:t>
      </w:r>
      <w:proofErr w:type="gramStart"/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значения</w:t>
      </w:r>
      <w:proofErr w:type="gramEnd"/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которым в 2015 году</w:t>
      </w:r>
      <w:r w:rsidRPr="00B96D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 достигнут</w:t>
      </w:r>
      <w:r w:rsidRPr="00B96D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ы</w:t>
      </w:r>
    </w:p>
    <w:p w:rsidR="00B96DAA" w:rsidRPr="00B96DAA" w:rsidRDefault="00B96DAA" w:rsidP="001174F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128" w:type="dxa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2486"/>
        <w:gridCol w:w="981"/>
        <w:gridCol w:w="1559"/>
        <w:gridCol w:w="709"/>
        <w:gridCol w:w="786"/>
        <w:gridCol w:w="3181"/>
      </w:tblGrid>
      <w:tr w:rsidR="001174F9" w:rsidRPr="001174F9" w:rsidTr="00B96DAA">
        <w:trPr>
          <w:trHeight w:val="2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117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B9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Целевой показатель</w:t>
            </w:r>
            <w:r w:rsidR="00B96D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(наименование)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B9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Значения целевых показателей государственной программы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117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Обоснование отклонений значений целевого показателя на конец отчетного года (при наличии)</w:t>
            </w:r>
          </w:p>
        </w:tc>
      </w:tr>
      <w:tr w:rsidR="001174F9" w:rsidRPr="001174F9" w:rsidTr="00B96DAA">
        <w:trPr>
          <w:trHeight w:val="25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117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год, предшествующий</w:t>
            </w:r>
            <w:r w:rsidR="00B96D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отчетному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отчетный период</w:t>
            </w: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174F9" w:rsidRPr="001174F9" w:rsidTr="00B96DAA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174F9" w:rsidRPr="001174F9" w:rsidTr="00B96DAA">
        <w:trPr>
          <w:trHeight w:val="2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Смертность от всех причин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1000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связи с увеличением смертности среди населения старше трудоспособного возраста.</w:t>
            </w:r>
          </w:p>
        </w:tc>
      </w:tr>
      <w:tr w:rsidR="001174F9" w:rsidRPr="001174F9" w:rsidTr="00B96DAA">
        <w:trPr>
          <w:trHeight w:val="42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Смертность от болезней системы кровообращения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100 тыс.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738,7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 2015 год количество умерших от болезней системы кровообращения в области составило 18 869 чел. (738,7 на 100 тыс. населения), что меньше, чем за январь-декабрь 2014 г. (19 134 чел. - 745,6 на 100 тыс.) на 265 чел. (- 1,4 %)</w:t>
            </w:r>
          </w:p>
        </w:tc>
      </w:tr>
      <w:tr w:rsidR="001174F9" w:rsidRPr="001174F9" w:rsidTr="00B96DAA">
        <w:trPr>
          <w:trHeight w:val="4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Смертность от новообразований (в  том числе </w:t>
            </w:r>
            <w:proofErr w:type="gramStart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злокачественных)  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100 тыс.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Обусловлено ростом фактов активного выявления больных ЗНО, который вырос с 6,9% до 15,7% в 2015 году, то есть в 2,3 раза.</w:t>
            </w:r>
          </w:p>
        </w:tc>
      </w:tr>
      <w:tr w:rsidR="001174F9" w:rsidRPr="001174F9" w:rsidTr="00B96DAA">
        <w:trPr>
          <w:trHeight w:val="7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Зарегистрировано больных с диагнозом, установленным впервые в жизни, активный туберкулез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100 тыс.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Показатель заболеваемости туберкулезом снизился на 9,8 % по сравнению с 2014 годом</w:t>
            </w:r>
          </w:p>
        </w:tc>
      </w:tr>
      <w:tr w:rsidR="001174F9" w:rsidRPr="001174F9" w:rsidTr="00B96DAA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Обеспеченность врачами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 тыс.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Показатель </w:t>
            </w: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рассчитывается</w:t>
            </w: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по среднесписочной численности врачей в субъекте с учетом других ведомств.</w:t>
            </w:r>
          </w:p>
        </w:tc>
      </w:tr>
      <w:tr w:rsidR="001174F9" w:rsidRPr="001174F9" w:rsidTr="00B96DAA">
        <w:trPr>
          <w:trHeight w:val="2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Предварительные данные за 2014 год</w:t>
            </w:r>
          </w:p>
        </w:tc>
      </w:tr>
      <w:tr w:rsidR="001174F9" w:rsidRPr="001174F9" w:rsidTr="00B96DAA">
        <w:trPr>
          <w:trHeight w:val="7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Охват диспансеризацией взрослого населения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 Данная услуга оказывается только лицам, прикрепленным к поликлиникам по месту регистрации. В связи с миграционными процессами диспансеризация части граждан становится недоступна.</w:t>
            </w: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2. Показатель не учитывает частичную диспансеризацию.</w:t>
            </w:r>
          </w:p>
        </w:tc>
      </w:tr>
      <w:tr w:rsidR="001174F9" w:rsidRPr="001174F9" w:rsidTr="00B96DAA">
        <w:trPr>
          <w:trHeight w:val="2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Больничная летальность пострадавших в результате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–транспортных происшествий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 достигнут в связи с высокой больничной летальностью в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травмацентрах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2 уровня.</w:t>
            </w:r>
          </w:p>
        </w:tc>
      </w:tr>
      <w:tr w:rsidR="001174F9" w:rsidRPr="001174F9" w:rsidTr="00B96DAA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Обеспеченность койками для оказания паллиативной помощи взрослым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коек/100 тыс. взрослого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причине реструктуризации коечного фонда стационаров Волгоградской области.</w:t>
            </w:r>
          </w:p>
        </w:tc>
      </w:tr>
      <w:tr w:rsidR="001174F9" w:rsidRPr="001174F9" w:rsidTr="00B96DAA">
        <w:trPr>
          <w:trHeight w:val="12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Удовлетворение потребности отдельных категорий граждан в необходимых лекарственных препаратах для медицинского применения, обеспечение которыми осуществляется за счет средств федерального бюджета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По причине  недостаточного финансирования </w:t>
            </w:r>
          </w:p>
        </w:tc>
      </w:tr>
      <w:tr w:rsidR="001174F9" w:rsidRPr="001174F9" w:rsidTr="00B96DAA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Функции койки  круглосуточного стационара (среднегодовая занятость койки)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дней в году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причине  недостаточного финансирования из средств ТФОМС.</w:t>
            </w:r>
          </w:p>
        </w:tc>
      </w:tr>
      <w:tr w:rsidR="001174F9" w:rsidRPr="001174F9" w:rsidTr="00B96DAA">
        <w:trPr>
          <w:trHeight w:val="5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Динамика средней стоимости основных услуг и работ оказываемых в рамках государственных заданий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 к предыдущему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Показатель предоставлен в сравнении с соответствующим периодом прошлого года</w:t>
            </w:r>
          </w:p>
        </w:tc>
      </w:tr>
      <w:tr w:rsidR="00B96DAA" w:rsidRPr="001174F9" w:rsidTr="00B96DAA">
        <w:trPr>
          <w:trHeight w:val="5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AA" w:rsidRPr="001174F9" w:rsidRDefault="00B96DAA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AA" w:rsidRPr="001174F9" w:rsidRDefault="00B96DAA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Прирост 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алога на доходы физических лиц </w:t>
            </w: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услуг), среднего медицинского (фармацевтического) персонала (персонала, обеспечивающего условия для предоставления медицинских услуг) и младшего медицинского персонала (персонала, обеспечивающего условия для пре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доставления медицинских услуг)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]</w:t>
            </w: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 прироста фонда оплаты труда с начислениями к 2013 году (за счет всех источников финансирования)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AA" w:rsidRPr="001174F9" w:rsidRDefault="00B96DAA" w:rsidP="0016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AA" w:rsidRPr="001174F9" w:rsidRDefault="00B96DAA" w:rsidP="0016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120718,4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AA" w:rsidRPr="001174F9" w:rsidRDefault="00B96DAA" w:rsidP="0016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AA" w:rsidRPr="001174F9" w:rsidRDefault="00B96DAA" w:rsidP="0016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140998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AA" w:rsidRPr="001174F9" w:rsidRDefault="00B96DAA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декабре 2015 года разработан, согласован с КЭ ВО, КФ ВО и КСП ВО и направлен на рассмотрение в ГПУ АВО проект постановления АВО "О внесении изменений в постановление ПВО от 25.11.2013 № 666-п "Об утверждении ГП "Развитие здравоохранения Волгоградской области на 2014–2016 годы и на период до 2020 год", предусматривающий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значение данного целевого показателя на 2015 год на 130876,6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тыс</w:t>
            </w:r>
            <w:proofErr w:type="gram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.р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уб. Изменение расчетного значения обусловлено реализацией постановления Правительства РФ от 14.09.2015 № 973 ", предусматривающего начиная с итогов за 2015 год, расчет отношения средней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 платы по категориям работников к новому показателю - среднемесячной начисленной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 плате наемных работников в организациях,  у ИП и физических лиц (среднемесячному доходу от трудовой деятельности). В соответствии с оценочными данными комитета экономики </w:t>
            </w:r>
            <w:proofErr w:type="gram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номинальный размер показателя "среднемесячный доход от трудовой деятельности" на 2015 год прогнозируется на уровне 21370,0 руб. при уточненной прогнозной средней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 плате по полному кругу организаций ВО на 2015 год  23850,0 руб. Расчетные данные по пункту 82 ГП утверждены исходя из прогнозных значений средней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 плате  по полному кругу организаций ВО на 2015 год   в размере 25560,0 руб.  </w:t>
            </w: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u w:val="single"/>
                <w:lang w:eastAsia="ru-RU"/>
              </w:rPr>
              <w:t>В сравнении с измененным плановым значением - показатель за 2015 год достигнут и исполнен на 107,7%.</w:t>
            </w:r>
          </w:p>
        </w:tc>
      </w:tr>
    </w:tbl>
    <w:p w:rsidR="001174F9" w:rsidRPr="001174F9" w:rsidRDefault="001174F9" w:rsidP="001174F9">
      <w:pPr>
        <w:spacing w:after="0"/>
        <w:rPr>
          <w:rFonts w:ascii="Times New Roman" w:hAnsi="Times New Roman" w:cs="Times New Roman"/>
        </w:rPr>
      </w:pPr>
    </w:p>
    <w:p w:rsidR="001174F9" w:rsidRPr="001174F9" w:rsidRDefault="001174F9" w:rsidP="001174F9">
      <w:pPr>
        <w:spacing w:after="0"/>
        <w:rPr>
          <w:rFonts w:ascii="Times New Roman" w:hAnsi="Times New Roman" w:cs="Times New Roman"/>
        </w:rPr>
      </w:pPr>
    </w:p>
    <w:p w:rsidR="001174F9" w:rsidRPr="001174F9" w:rsidRDefault="001174F9" w:rsidP="00B96DAA">
      <w:pPr>
        <w:spacing w:after="0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Ведущий инспектор </w:t>
      </w:r>
    </w:p>
    <w:p w:rsidR="001174F9" w:rsidRPr="001174F9" w:rsidRDefault="001174F9" w:rsidP="001174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контрольно-счетной палаты Волгоградской области</w:t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Р.И. Слезин</w:t>
      </w:r>
    </w:p>
    <w:sectPr w:rsidR="001174F9" w:rsidRPr="001174F9" w:rsidSect="00B96DA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174F9"/>
    <w:rsid w:val="001174F9"/>
    <w:rsid w:val="00317CDD"/>
    <w:rsid w:val="00AE0C4C"/>
    <w:rsid w:val="00B96DAA"/>
    <w:rsid w:val="00D9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96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96D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CFB0-EEA9-456C-A61D-E2A4A87A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1</cp:revision>
  <cp:lastPrinted>2016-04-01T13:09:00Z</cp:lastPrinted>
  <dcterms:created xsi:type="dcterms:W3CDTF">2016-04-01T12:54:00Z</dcterms:created>
  <dcterms:modified xsi:type="dcterms:W3CDTF">2016-04-01T13:10:00Z</dcterms:modified>
</cp:coreProperties>
</file>