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3"/>
        <w:gridCol w:w="4975"/>
      </w:tblGrid>
      <w:tr w:rsidR="007D7A0A" w:rsidTr="00641466">
        <w:trPr>
          <w:cantSplit/>
        </w:trPr>
        <w:tc>
          <w:tcPr>
            <w:tcW w:w="9648" w:type="dxa"/>
            <w:gridSpan w:val="2"/>
            <w:tcBorders>
              <w:top w:val="nil"/>
              <w:left w:val="nil"/>
              <w:bottom w:val="nil"/>
              <w:right w:val="nil"/>
            </w:tcBorders>
          </w:tcPr>
          <w:p w:rsidR="007D7A0A" w:rsidRDefault="007D7A0A" w:rsidP="00641466">
            <w:pPr>
              <w:jc w:val="center"/>
            </w:pPr>
            <w:r>
              <w:rPr>
                <w:noProof/>
              </w:rPr>
              <w:drawing>
                <wp:inline distT="0" distB="0" distL="0" distR="0">
                  <wp:extent cx="560705" cy="724535"/>
                  <wp:effectExtent l="19050" t="0" r="0" b="0"/>
                  <wp:docPr id="5" name="Рисунок 1" descr="Изображение Герба Волгоградской области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Герба Волгоградской области для бланков"/>
                          <pic:cNvPicPr>
                            <a:picLocks noChangeAspect="1" noChangeArrowheads="1"/>
                          </pic:cNvPicPr>
                        </pic:nvPicPr>
                        <pic:blipFill>
                          <a:blip r:embed="rId8" cstate="print"/>
                          <a:srcRect/>
                          <a:stretch>
                            <a:fillRect/>
                          </a:stretch>
                        </pic:blipFill>
                        <pic:spPr bwMode="auto">
                          <a:xfrm>
                            <a:off x="0" y="0"/>
                            <a:ext cx="560705" cy="724535"/>
                          </a:xfrm>
                          <a:prstGeom prst="rect">
                            <a:avLst/>
                          </a:prstGeom>
                          <a:noFill/>
                          <a:ln w="9525">
                            <a:noFill/>
                            <a:miter lim="800000"/>
                            <a:headEnd/>
                            <a:tailEnd/>
                          </a:ln>
                        </pic:spPr>
                      </pic:pic>
                    </a:graphicData>
                  </a:graphic>
                </wp:inline>
              </w:drawing>
            </w:r>
          </w:p>
        </w:tc>
      </w:tr>
      <w:tr w:rsidR="007D7A0A" w:rsidTr="00641466">
        <w:trPr>
          <w:cantSplit/>
          <w:trHeight w:val="401"/>
        </w:trPr>
        <w:tc>
          <w:tcPr>
            <w:tcW w:w="9648" w:type="dxa"/>
            <w:gridSpan w:val="2"/>
            <w:tcBorders>
              <w:top w:val="nil"/>
              <w:left w:val="nil"/>
              <w:bottom w:val="nil"/>
              <w:right w:val="nil"/>
            </w:tcBorders>
          </w:tcPr>
          <w:p w:rsidR="007D7A0A" w:rsidRDefault="007D7A0A" w:rsidP="00641466">
            <w:pPr>
              <w:pStyle w:val="21"/>
              <w:rPr>
                <w:sz w:val="28"/>
              </w:rPr>
            </w:pPr>
            <w:r>
              <w:rPr>
                <w:sz w:val="28"/>
              </w:rPr>
              <w:t>КОНТРОЛЬНО-СЧЕТНАЯ ПАЛАТА ВОЛГОГРАДСКОЙ ОБЛАСТИ</w:t>
            </w:r>
          </w:p>
        </w:tc>
      </w:tr>
      <w:tr w:rsidR="007D7A0A" w:rsidRPr="002F595D" w:rsidTr="00641466">
        <w:trPr>
          <w:cantSplit/>
        </w:trPr>
        <w:tc>
          <w:tcPr>
            <w:tcW w:w="9648" w:type="dxa"/>
            <w:gridSpan w:val="2"/>
            <w:tcBorders>
              <w:top w:val="nil"/>
              <w:left w:val="nil"/>
              <w:bottom w:val="thinThickSmallGap" w:sz="18" w:space="0" w:color="auto"/>
              <w:right w:val="nil"/>
            </w:tcBorders>
          </w:tcPr>
          <w:p w:rsidR="007D7A0A" w:rsidRPr="002F595D" w:rsidRDefault="007D7A0A" w:rsidP="00641466">
            <w:pPr>
              <w:jc w:val="both"/>
            </w:pPr>
            <w:smartTag w:uri="urn:schemas-microsoft-com:office:smarttags" w:element="metricconverter">
              <w:smartTagPr>
                <w:attr w:name="ProductID" w:val="400074, г"/>
              </w:smartTagPr>
              <w:r w:rsidRPr="002F595D">
                <w:rPr>
                  <w:sz w:val="22"/>
                  <w:szCs w:val="22"/>
                </w:rPr>
                <w:t>400074, г</w:t>
              </w:r>
            </w:smartTag>
            <w:r w:rsidRPr="002F595D">
              <w:rPr>
                <w:sz w:val="22"/>
                <w:szCs w:val="22"/>
              </w:rPr>
              <w:t xml:space="preserve">. Волгоград, ул. Рабоче-Крестьянская,30         </w:t>
            </w:r>
            <w:r>
              <w:rPr>
                <w:sz w:val="22"/>
                <w:szCs w:val="22"/>
              </w:rPr>
              <w:t xml:space="preserve">                 </w:t>
            </w:r>
            <w:r w:rsidRPr="002F595D">
              <w:rPr>
                <w:sz w:val="22"/>
                <w:szCs w:val="22"/>
              </w:rPr>
              <w:t>тел./факс (8442) 30-87-01; 30-87-37</w:t>
            </w:r>
          </w:p>
        </w:tc>
      </w:tr>
      <w:tr w:rsidR="007D7A0A" w:rsidRPr="00B574B8" w:rsidTr="00641466">
        <w:tc>
          <w:tcPr>
            <w:tcW w:w="4673" w:type="dxa"/>
            <w:tcBorders>
              <w:top w:val="thinThickSmallGap" w:sz="18" w:space="0" w:color="auto"/>
              <w:left w:val="nil"/>
              <w:bottom w:val="nil"/>
              <w:right w:val="nil"/>
            </w:tcBorders>
          </w:tcPr>
          <w:p w:rsidR="007D7A0A" w:rsidRPr="00B574B8" w:rsidRDefault="007D7A0A" w:rsidP="007D7A0A">
            <w:pPr>
              <w:pStyle w:val="10"/>
              <w:rPr>
                <w:sz w:val="22"/>
                <w:szCs w:val="22"/>
              </w:rPr>
            </w:pPr>
            <w:r w:rsidRPr="00B574B8">
              <w:rPr>
                <w:sz w:val="22"/>
                <w:szCs w:val="22"/>
              </w:rPr>
              <w:t xml:space="preserve">№ 01КСП- 02-02/ </w:t>
            </w:r>
            <w:r w:rsidR="00E56399">
              <w:rPr>
                <w:sz w:val="22"/>
                <w:szCs w:val="22"/>
              </w:rPr>
              <w:t>153</w:t>
            </w:r>
          </w:p>
        </w:tc>
        <w:tc>
          <w:tcPr>
            <w:tcW w:w="4975" w:type="dxa"/>
            <w:tcBorders>
              <w:top w:val="thinThickSmallGap" w:sz="18" w:space="0" w:color="auto"/>
              <w:left w:val="nil"/>
              <w:bottom w:val="nil"/>
              <w:right w:val="nil"/>
            </w:tcBorders>
          </w:tcPr>
          <w:p w:rsidR="007D7A0A" w:rsidRPr="00B574B8" w:rsidRDefault="007D7A0A" w:rsidP="007D7A0A">
            <w:pPr>
              <w:jc w:val="right"/>
            </w:pPr>
            <w:r w:rsidRPr="00B574B8">
              <w:rPr>
                <w:sz w:val="22"/>
                <w:szCs w:val="22"/>
              </w:rPr>
              <w:t>«</w:t>
            </w:r>
            <w:r>
              <w:rPr>
                <w:sz w:val="22"/>
                <w:szCs w:val="22"/>
              </w:rPr>
              <w:t>11</w:t>
            </w:r>
            <w:r w:rsidRPr="00B574B8">
              <w:rPr>
                <w:sz w:val="22"/>
                <w:szCs w:val="22"/>
              </w:rPr>
              <w:t xml:space="preserve"> » </w:t>
            </w:r>
            <w:r>
              <w:rPr>
                <w:sz w:val="22"/>
                <w:szCs w:val="22"/>
              </w:rPr>
              <w:t>ноября</w:t>
            </w:r>
            <w:r w:rsidRPr="00B574B8">
              <w:rPr>
                <w:sz w:val="22"/>
                <w:szCs w:val="22"/>
              </w:rPr>
              <w:t xml:space="preserve"> 201</w:t>
            </w:r>
            <w:r>
              <w:rPr>
                <w:sz w:val="22"/>
                <w:szCs w:val="22"/>
              </w:rPr>
              <w:t>9</w:t>
            </w:r>
            <w:r w:rsidRPr="00B574B8">
              <w:rPr>
                <w:sz w:val="22"/>
                <w:szCs w:val="22"/>
              </w:rPr>
              <w:t xml:space="preserve"> года</w:t>
            </w:r>
          </w:p>
        </w:tc>
      </w:tr>
    </w:tbl>
    <w:p w:rsidR="002F7D5F" w:rsidRDefault="002F7D5F" w:rsidP="002F7D5F">
      <w:pPr>
        <w:pStyle w:val="1"/>
        <w:jc w:val="center"/>
        <w:outlineLvl w:val="0"/>
        <w:rPr>
          <w:caps/>
          <w:sz w:val="24"/>
          <w:szCs w:val="24"/>
        </w:rPr>
      </w:pPr>
    </w:p>
    <w:p w:rsidR="002F7D5F" w:rsidRPr="00A27310" w:rsidRDefault="002F7D5F" w:rsidP="002F7D5F">
      <w:pPr>
        <w:pStyle w:val="1"/>
        <w:jc w:val="center"/>
        <w:outlineLvl w:val="0"/>
        <w:rPr>
          <w:b/>
          <w:i/>
          <w:caps/>
          <w:sz w:val="24"/>
          <w:szCs w:val="24"/>
        </w:rPr>
      </w:pPr>
      <w:bookmarkStart w:id="0" w:name="OLE_LINK2"/>
      <w:r w:rsidRPr="00A27310">
        <w:rPr>
          <w:b/>
          <w:i/>
          <w:caps/>
          <w:sz w:val="24"/>
          <w:szCs w:val="24"/>
        </w:rPr>
        <w:t>ЭКСПЕРТНОЕ заКЛЮЧЕНИЕ</w:t>
      </w:r>
    </w:p>
    <w:p w:rsidR="002F7D5F" w:rsidRPr="00A27310" w:rsidRDefault="002F7D5F" w:rsidP="002F7D5F">
      <w:pPr>
        <w:pStyle w:val="1"/>
        <w:jc w:val="center"/>
        <w:rPr>
          <w:b/>
          <w:i/>
          <w:sz w:val="24"/>
          <w:szCs w:val="24"/>
        </w:rPr>
      </w:pPr>
      <w:r w:rsidRPr="00A27310">
        <w:rPr>
          <w:b/>
          <w:i/>
          <w:sz w:val="24"/>
          <w:szCs w:val="24"/>
        </w:rPr>
        <w:t>к проекту закона Волгоградской области «Об областном бюджете на 20</w:t>
      </w:r>
      <w:r w:rsidR="00AA4CBF">
        <w:rPr>
          <w:b/>
          <w:i/>
          <w:sz w:val="24"/>
          <w:szCs w:val="24"/>
        </w:rPr>
        <w:t>20</w:t>
      </w:r>
      <w:r w:rsidRPr="00A27310">
        <w:rPr>
          <w:b/>
          <w:i/>
          <w:sz w:val="24"/>
          <w:szCs w:val="24"/>
        </w:rPr>
        <w:t xml:space="preserve"> год и на плановый период 20</w:t>
      </w:r>
      <w:r>
        <w:rPr>
          <w:b/>
          <w:i/>
          <w:sz w:val="24"/>
          <w:szCs w:val="24"/>
        </w:rPr>
        <w:t>2</w:t>
      </w:r>
      <w:r w:rsidR="00AA4CBF">
        <w:rPr>
          <w:b/>
          <w:i/>
          <w:sz w:val="24"/>
          <w:szCs w:val="24"/>
        </w:rPr>
        <w:t>1</w:t>
      </w:r>
      <w:r w:rsidRPr="00A27310">
        <w:rPr>
          <w:b/>
          <w:i/>
          <w:sz w:val="24"/>
          <w:szCs w:val="24"/>
        </w:rPr>
        <w:t xml:space="preserve"> и 20</w:t>
      </w:r>
      <w:r>
        <w:rPr>
          <w:b/>
          <w:i/>
          <w:sz w:val="24"/>
          <w:szCs w:val="24"/>
        </w:rPr>
        <w:t>2</w:t>
      </w:r>
      <w:r w:rsidR="00AA4CBF">
        <w:rPr>
          <w:b/>
          <w:i/>
          <w:sz w:val="24"/>
          <w:szCs w:val="24"/>
        </w:rPr>
        <w:t>2</w:t>
      </w:r>
      <w:r w:rsidRPr="00A27310">
        <w:rPr>
          <w:b/>
          <w:i/>
          <w:sz w:val="24"/>
          <w:szCs w:val="24"/>
        </w:rPr>
        <w:t xml:space="preserve"> годов», представленному в Волгоградскую областную Думу на первое чтение</w:t>
      </w:r>
      <w:bookmarkEnd w:id="0"/>
      <w:r w:rsidRPr="00A27310">
        <w:rPr>
          <w:b/>
          <w:i/>
          <w:sz w:val="24"/>
          <w:szCs w:val="24"/>
        </w:rPr>
        <w:t xml:space="preserve">. </w:t>
      </w:r>
    </w:p>
    <w:p w:rsidR="002F7D5F" w:rsidRPr="00A27310" w:rsidRDefault="002F7D5F" w:rsidP="002F7D5F">
      <w:pPr>
        <w:pStyle w:val="1"/>
        <w:jc w:val="center"/>
        <w:rPr>
          <w:b/>
          <w:sz w:val="24"/>
          <w:szCs w:val="24"/>
        </w:rPr>
      </w:pPr>
    </w:p>
    <w:p w:rsidR="002F7D5F" w:rsidRPr="00A27310" w:rsidRDefault="002F7D5F" w:rsidP="002F7D5F">
      <w:pPr>
        <w:pStyle w:val="3"/>
      </w:pPr>
      <w:r w:rsidRPr="00A27310">
        <w:t>Экспертное заключение на проект закона Волгоградской области «Об областном бюджете на 20</w:t>
      </w:r>
      <w:r w:rsidR="00AA4CBF">
        <w:t>20</w:t>
      </w:r>
      <w:r w:rsidRPr="00A27310">
        <w:t xml:space="preserve"> год и на плановый период 20</w:t>
      </w:r>
      <w:r>
        <w:t>2</w:t>
      </w:r>
      <w:r w:rsidR="00AA4CBF">
        <w:t>1</w:t>
      </w:r>
      <w:r w:rsidRPr="00A27310">
        <w:t xml:space="preserve"> и 20</w:t>
      </w:r>
      <w:r>
        <w:t>2</w:t>
      </w:r>
      <w:r w:rsidR="00AA4CBF">
        <w:t>2</w:t>
      </w:r>
      <w:r w:rsidRPr="00A27310">
        <w:t xml:space="preserve"> годов» подготовлено с учетом требований Бюджетного кодекса РФ, Законов Волгоградской области от 11.06.2008 №1694-ОД «О бюджетном процессе в Волгоградской области» и от 17.12.1999 №344-ОД «О контрольно-счетной палате Волгоградской области». </w:t>
      </w:r>
    </w:p>
    <w:p w:rsidR="002F7D5F" w:rsidRPr="00E93893" w:rsidRDefault="002F7D5F" w:rsidP="002F7D5F">
      <w:pPr>
        <w:pStyle w:val="1"/>
        <w:ind w:firstLine="708"/>
        <w:jc w:val="both"/>
        <w:rPr>
          <w:sz w:val="24"/>
          <w:szCs w:val="24"/>
        </w:rPr>
      </w:pPr>
      <w:proofErr w:type="gramStart"/>
      <w:r w:rsidRPr="00A27310">
        <w:rPr>
          <w:sz w:val="24"/>
          <w:szCs w:val="24"/>
        </w:rPr>
        <w:t xml:space="preserve">Согласно статье 24 Закона Волгоградской области «О бюджетном процессе в Волгоградской области» при рассмотрении Волгоградской областной Думой проекта закона об областном бюджете на очередной финансовый год и плановый период </w:t>
      </w:r>
      <w:r w:rsidRPr="00E93893">
        <w:rPr>
          <w:sz w:val="24"/>
          <w:szCs w:val="24"/>
          <w:u w:val="single"/>
        </w:rPr>
        <w:t>в первом чтении</w:t>
      </w:r>
      <w:r w:rsidRPr="00A27310">
        <w:rPr>
          <w:sz w:val="24"/>
          <w:szCs w:val="24"/>
        </w:rPr>
        <w:t xml:space="preserve"> обсуждаются его концепция</w:t>
      </w:r>
      <w:r>
        <w:rPr>
          <w:sz w:val="24"/>
          <w:szCs w:val="24"/>
        </w:rPr>
        <w:t>,</w:t>
      </w:r>
      <w:r w:rsidRPr="00A27310">
        <w:rPr>
          <w:sz w:val="24"/>
          <w:szCs w:val="24"/>
        </w:rPr>
        <w:t xml:space="preserve"> прогноз социально-экономического развития</w:t>
      </w:r>
      <w:r>
        <w:rPr>
          <w:sz w:val="24"/>
          <w:szCs w:val="24"/>
        </w:rPr>
        <w:t xml:space="preserve">, </w:t>
      </w:r>
      <w:r w:rsidRPr="007753D5">
        <w:rPr>
          <w:sz w:val="24"/>
          <w:szCs w:val="24"/>
        </w:rPr>
        <w:t>о</w:t>
      </w:r>
      <w:r w:rsidRPr="007753D5">
        <w:rPr>
          <w:color w:val="000000"/>
          <w:spacing w:val="1"/>
          <w:sz w:val="24"/>
          <w:szCs w:val="24"/>
        </w:rPr>
        <w:t>сновные направления бюджетной и налоговой политики</w:t>
      </w:r>
      <w:r>
        <w:rPr>
          <w:color w:val="000000"/>
          <w:spacing w:val="1"/>
          <w:sz w:val="24"/>
          <w:szCs w:val="24"/>
        </w:rPr>
        <w:t xml:space="preserve">, а также рассматриваются основные характеристики областного бюджета, </w:t>
      </w:r>
      <w:r w:rsidRPr="00E93893">
        <w:rPr>
          <w:sz w:val="24"/>
          <w:szCs w:val="24"/>
        </w:rPr>
        <w:t>верхний предел государственного внутреннего долга</w:t>
      </w:r>
      <w:r>
        <w:rPr>
          <w:sz w:val="24"/>
          <w:szCs w:val="24"/>
        </w:rPr>
        <w:t xml:space="preserve"> и некоторые другие вопросы.</w:t>
      </w:r>
      <w:proofErr w:type="gramEnd"/>
    </w:p>
    <w:p w:rsidR="002F7D5F" w:rsidRPr="00A27310" w:rsidRDefault="002F7D5F" w:rsidP="002F7D5F">
      <w:pPr>
        <w:pStyle w:val="3"/>
      </w:pPr>
    </w:p>
    <w:p w:rsidR="002F7D5F" w:rsidRPr="00A27310" w:rsidRDefault="002F7D5F" w:rsidP="002F7D5F">
      <w:pPr>
        <w:pStyle w:val="a3"/>
        <w:numPr>
          <w:ilvl w:val="0"/>
          <w:numId w:val="1"/>
        </w:numPr>
        <w:outlineLvl w:val="0"/>
        <w:rPr>
          <w:b/>
          <w:i/>
        </w:rPr>
      </w:pPr>
      <w:r w:rsidRPr="00A27310">
        <w:rPr>
          <w:b/>
          <w:i/>
        </w:rPr>
        <w:t>Концепция проекта закона Волгоградской области</w:t>
      </w:r>
    </w:p>
    <w:p w:rsidR="002F7D5F" w:rsidRPr="00A27310" w:rsidRDefault="002F7D5F" w:rsidP="002F7D5F">
      <w:pPr>
        <w:pStyle w:val="a3"/>
        <w:ind w:left="708"/>
        <w:outlineLvl w:val="0"/>
        <w:rPr>
          <w:b/>
          <w:i/>
        </w:rPr>
      </w:pPr>
      <w:r w:rsidRPr="00A27310">
        <w:rPr>
          <w:b/>
          <w:i/>
        </w:rPr>
        <w:t>об областном бюджете на 20</w:t>
      </w:r>
      <w:r w:rsidR="00DE381B">
        <w:rPr>
          <w:b/>
          <w:i/>
        </w:rPr>
        <w:t>20</w:t>
      </w:r>
      <w:r w:rsidRPr="00A27310">
        <w:rPr>
          <w:b/>
          <w:i/>
        </w:rPr>
        <w:t xml:space="preserve"> год и на плановый период 20</w:t>
      </w:r>
      <w:r>
        <w:rPr>
          <w:b/>
          <w:i/>
        </w:rPr>
        <w:t>2</w:t>
      </w:r>
      <w:r w:rsidR="00DE381B">
        <w:rPr>
          <w:b/>
          <w:i/>
        </w:rPr>
        <w:t>1</w:t>
      </w:r>
      <w:r w:rsidRPr="00A27310">
        <w:rPr>
          <w:b/>
          <w:i/>
        </w:rPr>
        <w:t xml:space="preserve"> и 20</w:t>
      </w:r>
      <w:r>
        <w:rPr>
          <w:b/>
          <w:i/>
        </w:rPr>
        <w:t>2</w:t>
      </w:r>
      <w:r w:rsidR="00DE381B">
        <w:rPr>
          <w:b/>
          <w:i/>
        </w:rPr>
        <w:t>2</w:t>
      </w:r>
      <w:r w:rsidRPr="00A27310">
        <w:rPr>
          <w:b/>
          <w:i/>
        </w:rPr>
        <w:t xml:space="preserve"> годов.</w:t>
      </w:r>
    </w:p>
    <w:p w:rsidR="003A67F2" w:rsidRPr="00EE6109" w:rsidRDefault="002F7D5F" w:rsidP="003A67F2">
      <w:pPr>
        <w:keepNext/>
        <w:keepLines/>
        <w:tabs>
          <w:tab w:val="left" w:pos="4620"/>
        </w:tabs>
        <w:autoSpaceDE w:val="0"/>
        <w:autoSpaceDN w:val="0"/>
        <w:adjustRightInd w:val="0"/>
        <w:rPr>
          <w:sz w:val="28"/>
          <w:szCs w:val="28"/>
          <w:highlight w:val="lightGray"/>
        </w:rPr>
      </w:pPr>
      <w:r>
        <w:tab/>
      </w:r>
    </w:p>
    <w:p w:rsidR="00F37740" w:rsidRDefault="00F37740" w:rsidP="00F37740">
      <w:pPr>
        <w:ind w:firstLine="709"/>
        <w:jc w:val="both"/>
        <w:rPr>
          <w:u w:val="single"/>
        </w:rPr>
      </w:pPr>
      <w:r w:rsidRPr="007F65B8">
        <w:rPr>
          <w:b/>
          <w:i/>
        </w:rPr>
        <w:t xml:space="preserve">Статьей </w:t>
      </w:r>
      <w:r>
        <w:rPr>
          <w:b/>
          <w:i/>
        </w:rPr>
        <w:t>40</w:t>
      </w:r>
      <w:r w:rsidRPr="007F65B8">
        <w:rPr>
          <w:b/>
          <w:i/>
        </w:rPr>
        <w:t xml:space="preserve"> законопроекта</w:t>
      </w:r>
      <w:r>
        <w:t xml:space="preserve"> объем бюджетных ассигнований дорожного фонда </w:t>
      </w:r>
      <w:r w:rsidR="00DC4EA1">
        <w:t xml:space="preserve">Волгоградской области </w:t>
      </w:r>
      <w:r>
        <w:t>на 2020 год предлагается к утверждению в сумме 12 313,2 млн. руб., что меньше прогнозируемого объема соответствующих доходов (13 313,2 млн. руб.) на 1 000,0 млн. руб. (7,5%) и является прямым нарушением п. 4 ст. 179.4 БК РФ. Согласно указанной статье объем бюджетных ассигнований дорожного фонда</w:t>
      </w:r>
      <w:r w:rsidRPr="00644916">
        <w:t xml:space="preserve"> утверждается законом субъекта </w:t>
      </w:r>
      <w:r>
        <w:t>РФ</w:t>
      </w:r>
      <w:r w:rsidRPr="00644916">
        <w:t xml:space="preserve"> о бюджете на очередной финансовый год и плановый период </w:t>
      </w:r>
      <w:r w:rsidRPr="00E81328">
        <w:rPr>
          <w:u w:val="single"/>
        </w:rPr>
        <w:t>в размере не менее прогнозируемого объема установленных законом субъекта РФ</w:t>
      </w:r>
      <w:r>
        <w:rPr>
          <w:u w:val="single"/>
        </w:rPr>
        <w:t xml:space="preserve"> доходов дорожного фонда. </w:t>
      </w:r>
    </w:p>
    <w:p w:rsidR="00F37740" w:rsidRDefault="00F37740" w:rsidP="00F37740">
      <w:pPr>
        <w:ind w:firstLine="709"/>
        <w:jc w:val="both"/>
      </w:pPr>
      <w:r w:rsidRPr="000366E7">
        <w:t>Практика нарушения бюджетного законодательства РФ при формировании дорожного фонда Волгоградской области продолжается и</w:t>
      </w:r>
      <w:r>
        <w:t>з</w:t>
      </w:r>
      <w:r w:rsidRPr="000366E7">
        <w:t xml:space="preserve"> года в год. </w:t>
      </w:r>
    </w:p>
    <w:p w:rsidR="00F37740" w:rsidRDefault="00F37740" w:rsidP="00F37740">
      <w:pPr>
        <w:ind w:firstLine="709"/>
        <w:jc w:val="both"/>
      </w:pPr>
      <w:r w:rsidRPr="000366E7">
        <w:t>Так, объем бюджетных ассигнований дорожного фонда Волгоградской области на 2018 год был утвержд</w:t>
      </w:r>
      <w:r>
        <w:t>ён</w:t>
      </w:r>
      <w:r w:rsidRPr="000366E7">
        <w:t xml:space="preserve"> в объёме, меньше объёма формируемого в соответствии со ст. 179.4 БК РФ, на 2</w:t>
      </w:r>
      <w:r>
        <w:t> </w:t>
      </w:r>
      <w:r w:rsidRPr="000366E7">
        <w:t>300</w:t>
      </w:r>
      <w:r>
        <w:t>,0</w:t>
      </w:r>
      <w:r w:rsidRPr="000366E7">
        <w:t xml:space="preserve"> млн. руб., на 2019 год </w:t>
      </w:r>
      <w:r>
        <w:t>–</w:t>
      </w:r>
      <w:r w:rsidRPr="000366E7">
        <w:t xml:space="preserve"> </w:t>
      </w:r>
      <w:r>
        <w:t xml:space="preserve">на </w:t>
      </w:r>
      <w:r w:rsidRPr="000366E7">
        <w:t>600</w:t>
      </w:r>
      <w:r>
        <w:t>,0</w:t>
      </w:r>
      <w:r w:rsidRPr="000366E7">
        <w:t xml:space="preserve"> млн. рублей.</w:t>
      </w:r>
    </w:p>
    <w:p w:rsidR="00F37740" w:rsidRDefault="00F37740" w:rsidP="00F37740">
      <w:pPr>
        <w:autoSpaceDE w:val="0"/>
        <w:autoSpaceDN w:val="0"/>
        <w:adjustRightInd w:val="0"/>
        <w:ind w:firstLine="709"/>
        <w:jc w:val="both"/>
      </w:pPr>
      <w:r>
        <w:t xml:space="preserve">В предыдущие годы разница объёмов «перераспределялась» на последующие годы как «неиспользованные </w:t>
      </w:r>
      <w:r>
        <w:rPr>
          <w:rFonts w:eastAsiaTheme="minorHAnsi"/>
          <w:lang w:eastAsia="en-US"/>
        </w:rPr>
        <w:t xml:space="preserve">бюджетные ассигнования дорожного фонда текущего года». </w:t>
      </w:r>
      <w:r>
        <w:t xml:space="preserve">Законом об областном бюджете на 2018 год (также в нарушение требований статьи 179.4 БК РФ) неиспользованные в 2018 году бюджетные ассигнования дорожного фонда Волгоградской области в сумме 2 300 млн. руб. предусмотрено направить на увеличение бюджетных ассигнований дорожного фонда на 2019 год. </w:t>
      </w:r>
      <w:r>
        <w:rPr>
          <w:rFonts w:eastAsiaTheme="minorHAnsi"/>
          <w:lang w:eastAsia="en-US"/>
        </w:rPr>
        <w:t xml:space="preserve">Законом об областном бюджете на 2019 год </w:t>
      </w:r>
      <w:r>
        <w:t>(также в нарушение требований статьи 179.4 БК РФ)</w:t>
      </w:r>
      <w:r>
        <w:rPr>
          <w:rFonts w:eastAsiaTheme="minorHAnsi"/>
          <w:lang w:eastAsia="en-US"/>
        </w:rPr>
        <w:t xml:space="preserve"> </w:t>
      </w:r>
      <w:r>
        <w:t xml:space="preserve">бюджетные ассигнования дорожного фонда Волгоградской области, неиспользованные в 2019 году, в сумме 600 млн. руб. направлены на увеличение бюджетных ассигнований дорожного фонда на 2020 год, неиспользованные в 2018 году в сумме 2300 млн. руб. - </w:t>
      </w:r>
      <w:r w:rsidRPr="00FE3327">
        <w:t xml:space="preserve">на увеличение ассигнований </w:t>
      </w:r>
      <w:r>
        <w:t>на</w:t>
      </w:r>
      <w:r w:rsidRPr="00FE3327">
        <w:t xml:space="preserve"> 2021 год</w:t>
      </w:r>
      <w:r>
        <w:t>.</w:t>
      </w:r>
    </w:p>
    <w:p w:rsidR="00F37740" w:rsidRDefault="00F37740" w:rsidP="00F37740">
      <w:pPr>
        <w:autoSpaceDE w:val="0"/>
        <w:autoSpaceDN w:val="0"/>
        <w:adjustRightInd w:val="0"/>
        <w:ind w:firstLine="709"/>
        <w:jc w:val="both"/>
        <w:rPr>
          <w:rFonts w:eastAsiaTheme="minorHAnsi"/>
          <w:lang w:eastAsia="en-US"/>
        </w:rPr>
      </w:pPr>
      <w:r>
        <w:rPr>
          <w:rFonts w:eastAsiaTheme="minorHAnsi"/>
          <w:lang w:eastAsia="en-US"/>
        </w:rPr>
        <w:lastRenderedPageBreak/>
        <w:t xml:space="preserve">Рассматриваемым законопроектом </w:t>
      </w:r>
      <w:r>
        <w:t>не предусмотрено</w:t>
      </w:r>
      <w:r>
        <w:rPr>
          <w:rFonts w:eastAsiaTheme="minorHAnsi"/>
          <w:lang w:eastAsia="en-US"/>
        </w:rPr>
        <w:t xml:space="preserve"> увеличение </w:t>
      </w:r>
      <w:r>
        <w:t>ассигнований дорожного фонда на 2021-2022 годы на объёмы занижения ассигнований дорожного фонда как в 2018 – 2019 годах (2 900,0 млн. руб.), так и в 2020 году (1 000,0 млн. руб.).</w:t>
      </w:r>
    </w:p>
    <w:p w:rsidR="00F37740" w:rsidRPr="006D371C" w:rsidRDefault="00F37740" w:rsidP="00F37740">
      <w:pPr>
        <w:ind w:firstLine="709"/>
        <w:jc w:val="both"/>
      </w:pPr>
      <w:r>
        <w:t>Согласно п. </w:t>
      </w:r>
      <w:r w:rsidRPr="00DC523C">
        <w:t xml:space="preserve">4 </w:t>
      </w:r>
      <w:r>
        <w:t>ст. </w:t>
      </w:r>
      <w:r w:rsidRPr="00DC523C">
        <w:t xml:space="preserve">179.4 БК РФ объем бюджетных ассигнований дорожного фонда подлежит увеличению в текущем финансовом году и (или) очередном финансовом </w:t>
      </w:r>
      <w:r w:rsidRPr="006D7DD9">
        <w:t xml:space="preserve">году на положительную разницу между фактически поступившим и прогнозировавшимся объемом доходов бюджета, учитываемых при формировании дорожного фонда. </w:t>
      </w:r>
      <w:proofErr w:type="gramStart"/>
      <w:r>
        <w:t xml:space="preserve">Учитывая занижение </w:t>
      </w:r>
      <w:r w:rsidRPr="006D371C">
        <w:t>ассигнований дорожного фонда в 2019 году на 600,0 млн. руб.</w:t>
      </w:r>
      <w:r>
        <w:t>,</w:t>
      </w:r>
      <w:r w:rsidRPr="006D371C">
        <w:t xml:space="preserve"> указанная положительная разница между ассигнованиями и доходами 2019 года будет составлять минимум 600,0 млн. руб. и в соответствии с п. 4 ст. 179.4 БК РФ должна быть направлена на увеличение объема бюджетных ассигнований дорожного фонда на 2019 или на 2020 год.</w:t>
      </w:r>
      <w:proofErr w:type="gramEnd"/>
      <w:r w:rsidRPr="006D371C">
        <w:t xml:space="preserve"> На дату подготовки настоящего заключения такое увеличение не предусмотрено ни областным бюджетом на 2019 год, ни внесенным законопроектом на 2020 год.</w:t>
      </w:r>
    </w:p>
    <w:p w:rsidR="00F37740" w:rsidRDefault="00F37740" w:rsidP="00F37740">
      <w:pPr>
        <w:ind w:firstLine="709"/>
        <w:jc w:val="both"/>
        <w:rPr>
          <w:b/>
          <w:i/>
        </w:rPr>
      </w:pPr>
      <w:r w:rsidRPr="006D371C">
        <w:t xml:space="preserve">Обобщая вышеизложенное, в соответствии с положениями бюджетного законодательства </w:t>
      </w:r>
      <w:r w:rsidRPr="006D371C">
        <w:rPr>
          <w:b/>
          <w:i/>
        </w:rPr>
        <w:t>объем бюджетных ассигнований дорожного фонда на 2020 год должен составлять</w:t>
      </w:r>
      <w:r w:rsidRPr="00605686">
        <w:rPr>
          <w:b/>
          <w:i/>
        </w:rPr>
        <w:t xml:space="preserve"> не менее </w:t>
      </w:r>
      <w:r>
        <w:rPr>
          <w:b/>
          <w:i/>
        </w:rPr>
        <w:t>13 913,2</w:t>
      </w:r>
      <w:r w:rsidRPr="00605686">
        <w:rPr>
          <w:b/>
          <w:i/>
        </w:rPr>
        <w:t xml:space="preserve"> млн. руб., </w:t>
      </w:r>
      <w:r w:rsidRPr="006D371C">
        <w:rPr>
          <w:b/>
          <w:i/>
        </w:rPr>
        <w:t>что на 1600,0 млн. руб., или на 13,0% больше объема, предлагаемого к утверждению (12 313,2 млн. руб.).</w:t>
      </w:r>
    </w:p>
    <w:p w:rsidR="009631CE" w:rsidRPr="00F37740" w:rsidRDefault="001925E2" w:rsidP="009631CE">
      <w:pPr>
        <w:ind w:firstLine="709"/>
        <w:jc w:val="both"/>
      </w:pPr>
      <w:r>
        <w:t xml:space="preserve"> </w:t>
      </w:r>
      <w:proofErr w:type="spellStart"/>
      <w:proofErr w:type="gramStart"/>
      <w:r w:rsidR="009631CE" w:rsidRPr="00674AA4">
        <w:rPr>
          <w:b/>
          <w:i/>
        </w:rPr>
        <w:t>риложением</w:t>
      </w:r>
      <w:proofErr w:type="spellEnd"/>
      <w:r w:rsidR="009631CE" w:rsidRPr="00674AA4">
        <w:rPr>
          <w:b/>
          <w:i/>
        </w:rPr>
        <w:t xml:space="preserve"> 10 к проекту закона</w:t>
      </w:r>
      <w:r w:rsidR="009631CE" w:rsidRPr="00F37740">
        <w:t xml:space="preserve"> Волгоградской области «Об областном бюджете на 2020 год и на плановый период 2021 и 2022 годов» (далее – Законопроект) предусмотрено распределение бюджетных ассигнований на реализацию 39 региональных проектов из </w:t>
      </w:r>
      <w:r w:rsidR="009631CE" w:rsidRPr="004545FE">
        <w:t>5</w:t>
      </w:r>
      <w:r w:rsidR="004545FE" w:rsidRPr="004545FE">
        <w:t>1</w:t>
      </w:r>
      <w:r w:rsidR="009631CE" w:rsidRPr="00F37740">
        <w:t xml:space="preserve"> в рамках реализации 11 национальных проектов (программы) Российской Федерации на территории Волгоградской области на 2020 год и на плановый период 2021 и 2022 годов.</w:t>
      </w:r>
      <w:proofErr w:type="gramEnd"/>
      <w:r w:rsidR="009631CE" w:rsidRPr="00F37740">
        <w:t xml:space="preserve">  Всего на эти цели на 2020 год предусмотрено 20285</w:t>
      </w:r>
      <w:r w:rsidR="00635DC0">
        <w:t>,0</w:t>
      </w:r>
      <w:r w:rsidR="009631CE" w:rsidRPr="00F37740">
        <w:t xml:space="preserve"> млн. руб., или 18,7% к расходам областного бюджета на 2020 год. Наибольшая доля расходов предусматривается на реализацию региональных проектов в рамках реализации нацпроектов «Демография»</w:t>
      </w:r>
      <w:r w:rsidR="00635DC0">
        <w:t xml:space="preserve"> 5762,9 млн. руб., «Безопасные </w:t>
      </w:r>
      <w:r w:rsidR="009631CE" w:rsidRPr="00F37740">
        <w:t>и качественные автомобильные дороги» 4541,3 млн. руб., «Экология» 3189,5 млн. руб., «Здравоохранение» 3514,3 млн. руб. Реализация региональных проектов предусматривается в структуре нескольких государственных программ Волгоградской области.</w:t>
      </w:r>
    </w:p>
    <w:p w:rsidR="009631CE" w:rsidRPr="00EE0CE8" w:rsidRDefault="009D7785" w:rsidP="009631CE">
      <w:pPr>
        <w:ind w:firstLine="708"/>
        <w:jc w:val="both"/>
      </w:pPr>
      <w:proofErr w:type="gramStart"/>
      <w:r>
        <w:t>Приложения к З</w:t>
      </w:r>
      <w:r w:rsidR="009631CE" w:rsidRPr="004545FE">
        <w:t xml:space="preserve">аконопроекту 15 «Перечень объектов строительства (реконструкции, в том числе с элементами реставрации, технического перевооружения) для областных государственных нужд», 16 «Перечень объектов строительства (реконструкции) объектов недвижимого имущества, приобретаемых в муниципальную собственность, финансируемых за счет субсидии местным бюджетам на </w:t>
      </w:r>
      <w:proofErr w:type="spellStart"/>
      <w:r w:rsidR="009631CE" w:rsidRPr="004545FE">
        <w:t>софинансирование</w:t>
      </w:r>
      <w:proofErr w:type="spellEnd"/>
      <w:r w:rsidR="009631CE" w:rsidRPr="004545FE">
        <w:t xml:space="preserve"> капитальных вложений в объекты муниципальной собственности» и 17 «Перечень объектов строительства (реконструкции) для областных государственных нужд, строительство которых начато в</w:t>
      </w:r>
      <w:proofErr w:type="gramEnd"/>
      <w:r w:rsidR="009631CE" w:rsidRPr="004545FE">
        <w:t xml:space="preserve"> </w:t>
      </w:r>
      <w:proofErr w:type="gramStart"/>
      <w:r w:rsidR="009631CE" w:rsidRPr="004545FE">
        <w:t xml:space="preserve">целях ликвидации последствий природных пожаров 2-3 сентября 2010 года» на 2020 год включают, в том числе проектирование, строительство и реконструкцию 87 объектов на 870 тыс. руб., </w:t>
      </w:r>
      <w:r w:rsidR="009631CE" w:rsidRPr="004545FE">
        <w:rPr>
          <w:u w:val="single"/>
        </w:rPr>
        <w:t>то есть расходы на проектирование и строительство одного объекта запланированы всего лишь в размере 10 тыс. руб., что свидетельствует о недостатке бюджетных средств на финансирование капитальных вложений.</w:t>
      </w:r>
      <w:proofErr w:type="gramEnd"/>
      <w:r w:rsidR="009631CE" w:rsidRPr="004545FE">
        <w:t xml:space="preserve"> Основную долю в этих объектах составляют объекты газоснабжения (строительство и перевооружение 25 объектов, газоснабжение зданий 14 фельдшерско-акушерских пунктов), а также фельдшерско-акушерские пункты (31 объект).</w:t>
      </w:r>
    </w:p>
    <w:p w:rsidR="009631CE" w:rsidRDefault="009631CE" w:rsidP="009631CE">
      <w:pPr>
        <w:ind w:firstLine="708"/>
        <w:jc w:val="both"/>
      </w:pPr>
    </w:p>
    <w:p w:rsidR="008330B5" w:rsidRPr="00DC1B04" w:rsidRDefault="008330B5" w:rsidP="008330B5">
      <w:pPr>
        <w:pStyle w:val="a3"/>
        <w:numPr>
          <w:ilvl w:val="0"/>
          <w:numId w:val="1"/>
        </w:numPr>
        <w:tabs>
          <w:tab w:val="clear" w:pos="1070"/>
          <w:tab w:val="num" w:pos="928"/>
        </w:tabs>
        <w:ind w:left="708"/>
        <w:outlineLvl w:val="0"/>
        <w:rPr>
          <w:b/>
          <w:i/>
        </w:rPr>
      </w:pPr>
      <w:r w:rsidRPr="00DC1B04">
        <w:rPr>
          <w:b/>
          <w:i/>
        </w:rPr>
        <w:t>Прогноз социально-экономического развития Волгоградской области на 2020-2022 годы.</w:t>
      </w:r>
    </w:p>
    <w:p w:rsidR="008330B5" w:rsidRPr="00275F57" w:rsidRDefault="008330B5" w:rsidP="008330B5">
      <w:pPr>
        <w:ind w:firstLine="680"/>
        <w:jc w:val="both"/>
      </w:pPr>
      <w:r w:rsidRPr="00275F57">
        <w:t>Прогноз социально-экономического развития Волгоградской области на 2020 год и на плановый период 2021 и 2022 годов, одобренный постановлением Администрации Волгоградской области от 28.10.2019 № 529-п (далее – Прогноз СЭР), разработан по двум вариантам: первому (консервативному) и второму (базовому).</w:t>
      </w:r>
    </w:p>
    <w:p w:rsidR="008330B5" w:rsidRPr="00275F57" w:rsidRDefault="008330B5" w:rsidP="008330B5">
      <w:pPr>
        <w:autoSpaceDE w:val="0"/>
        <w:autoSpaceDN w:val="0"/>
        <w:adjustRightInd w:val="0"/>
        <w:ind w:firstLine="709"/>
        <w:jc w:val="both"/>
      </w:pPr>
      <w:r w:rsidRPr="00275F57">
        <w:lastRenderedPageBreak/>
        <w:t xml:space="preserve">Разработка прогноза на среднесрочный период по двум вариантам (консервативному и базовому) произведена в соответствии с изменениями, внесенными </w:t>
      </w:r>
      <w:proofErr w:type="gramStart"/>
      <w:r>
        <w:t>п</w:t>
      </w:r>
      <w:proofErr w:type="gramEnd"/>
      <w:r w:rsidR="00C96D97" w:rsidRPr="00275F57">
        <w:fldChar w:fldCharType="begin"/>
      </w:r>
      <w:r w:rsidRPr="00275F57">
        <w:instrText>HYPERLINK "consultantplus://offline/ref=4D5C67708743EEF8E2846F804612CA409AD56F0368A3764D91773BC5F263F2860D9B6476310B3C687ED20DA2C6F84364397241653210EF8ET9R7K"</w:instrText>
      </w:r>
      <w:r w:rsidR="00C96D97" w:rsidRPr="00275F57">
        <w:fldChar w:fldCharType="separate"/>
      </w:r>
      <w:r w:rsidRPr="00275F57">
        <w:rPr>
          <w:rFonts w:eastAsiaTheme="minorHAnsi"/>
          <w:lang w:eastAsia="en-US"/>
        </w:rPr>
        <w:t>остановлением</w:t>
      </w:r>
      <w:r w:rsidR="00C96D97" w:rsidRPr="00275F57">
        <w:fldChar w:fldCharType="end"/>
      </w:r>
      <w:r w:rsidRPr="00275F57">
        <w:rPr>
          <w:rFonts w:eastAsiaTheme="minorHAnsi"/>
          <w:lang w:eastAsia="en-US"/>
        </w:rPr>
        <w:t xml:space="preserve"> Правительства РФ от 18.05.2019 </w:t>
      </w:r>
      <w:r>
        <w:rPr>
          <w:rFonts w:eastAsiaTheme="minorHAnsi"/>
          <w:lang w:eastAsia="en-US"/>
        </w:rPr>
        <w:t>№</w:t>
      </w:r>
      <w:r w:rsidRPr="00275F57">
        <w:rPr>
          <w:rFonts w:eastAsiaTheme="minorHAnsi"/>
          <w:lang w:eastAsia="en-US"/>
        </w:rPr>
        <w:t xml:space="preserve"> 615 «О внесении изменений в некоторые акты Правительства Российской Федерации» </w:t>
      </w:r>
      <w:r w:rsidRPr="00275F57">
        <w:t xml:space="preserve">в постановление Правительства Российской Федерации от 14.11.2015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w:t>
      </w:r>
      <w:proofErr w:type="gramStart"/>
      <w:r w:rsidRPr="00275F57">
        <w:t>ут</w:t>
      </w:r>
      <w:r>
        <w:t>ратившими</w:t>
      </w:r>
      <w:proofErr w:type="gramEnd"/>
      <w:r>
        <w:t xml:space="preserve"> силу некоторых актов П</w:t>
      </w:r>
      <w:r w:rsidRPr="00275F57">
        <w:t>равительства Российской Федерации», исключившими целевой вариант прогноза.</w:t>
      </w:r>
    </w:p>
    <w:p w:rsidR="008330B5" w:rsidRDefault="008330B5" w:rsidP="008330B5">
      <w:pPr>
        <w:ind w:firstLine="709"/>
        <w:jc w:val="both"/>
        <w:rPr>
          <w:rFonts w:eastAsia="Calibri"/>
          <w:lang w:eastAsia="en-US"/>
        </w:rPr>
      </w:pPr>
      <w:r w:rsidRPr="00275F57">
        <w:t xml:space="preserve">Согласно </w:t>
      </w:r>
      <w:r>
        <w:t>П</w:t>
      </w:r>
      <w:r w:rsidRPr="00275F57">
        <w:t xml:space="preserve">ояснительной записке к Законопроекту </w:t>
      </w:r>
      <w:r>
        <w:t>р</w:t>
      </w:r>
      <w:r w:rsidRPr="00275F57">
        <w:rPr>
          <w:rFonts w:eastAsia="Calibri"/>
        </w:rPr>
        <w:t>асчет прогнозных показателей поступления налоговых и неналоговых доходов в областной бюджет осуществлен исходя из основных макроэкономических показателей социально–экономического развития Волгоградской области на 2020 год и на плановый период 2021 и 2022 годов</w:t>
      </w:r>
      <w:r>
        <w:rPr>
          <w:rFonts w:eastAsia="Calibri"/>
        </w:rPr>
        <w:t xml:space="preserve"> по базовому варианту (валовой региональный продукт, прибыль прибыльных организаций, индекс промышленного производства, с</w:t>
      </w:r>
      <w:r w:rsidRPr="00AF2EC2">
        <w:rPr>
          <w:rFonts w:eastAsia="Calibri"/>
          <w:lang w:eastAsia="en-US"/>
        </w:rPr>
        <w:t>тоимость основных фондов по полной учетной стоимости на конец года</w:t>
      </w:r>
      <w:r>
        <w:rPr>
          <w:rFonts w:eastAsia="Calibri"/>
          <w:lang w:eastAsia="en-US"/>
        </w:rPr>
        <w:t>, ф</w:t>
      </w:r>
      <w:r w:rsidRPr="00AF2EC2">
        <w:rPr>
          <w:rFonts w:eastAsia="Calibri"/>
          <w:lang w:eastAsia="en-US"/>
        </w:rPr>
        <w:t>онд заработной платы работников организаций</w:t>
      </w:r>
      <w:r>
        <w:rPr>
          <w:rFonts w:eastAsia="Calibri"/>
          <w:lang w:eastAsia="en-US"/>
        </w:rPr>
        <w:t>, индекс потребительских цен).</w:t>
      </w:r>
    </w:p>
    <w:p w:rsidR="00047BD4" w:rsidRDefault="00047BD4" w:rsidP="00047BD4">
      <w:pPr>
        <w:pStyle w:val="Style20"/>
        <w:widowControl/>
        <w:ind w:firstLine="680"/>
        <w:jc w:val="both"/>
      </w:pPr>
      <w:r w:rsidRPr="00047BD4">
        <w:t xml:space="preserve">Прогноз </w:t>
      </w:r>
      <w:r>
        <w:t>СЭР</w:t>
      </w:r>
      <w:r w:rsidRPr="00047BD4">
        <w:t xml:space="preserve"> на среднесрочный период </w:t>
      </w:r>
      <w:r w:rsidR="00B9355D">
        <w:t>формируется на основании положений</w:t>
      </w:r>
      <w:r w:rsidRPr="00047BD4">
        <w:t xml:space="preserve"> ст. 35 Федерального закона от 28.06.2014 № 172-ФЗ </w:t>
      </w:r>
      <w:r w:rsidRPr="00047BD4">
        <w:rPr>
          <w:rFonts w:eastAsia="Calibri"/>
          <w:lang w:eastAsia="en-US"/>
        </w:rPr>
        <w:t>«О стратегическом планировании в Российской Федерации»</w:t>
      </w:r>
      <w:r w:rsidR="00B435AF">
        <w:rPr>
          <w:rFonts w:eastAsia="Calibri"/>
          <w:lang w:eastAsia="en-US"/>
        </w:rPr>
        <w:t xml:space="preserve"> (далее – Закон № 172 ФЗ)</w:t>
      </w:r>
      <w:r w:rsidRPr="00047BD4">
        <w:rPr>
          <w:rFonts w:eastAsia="Calibri"/>
          <w:lang w:eastAsia="en-US"/>
        </w:rPr>
        <w:t>, ст.</w:t>
      </w:r>
      <w:r w:rsidRPr="00047BD4">
        <w:t xml:space="preserve"> 12 Закона </w:t>
      </w:r>
      <w:r w:rsidRPr="00047BD4">
        <w:rPr>
          <w:bCs/>
        </w:rPr>
        <w:t>Волгоградской области от 31.12.2015 № 247-ОД «О стратегическом планировании в Волгоградской области»</w:t>
      </w:r>
      <w:r w:rsidR="00B435AF">
        <w:rPr>
          <w:bCs/>
        </w:rPr>
        <w:t xml:space="preserve"> (далее – Закон №247-ОД)</w:t>
      </w:r>
      <w:r w:rsidRPr="00047BD4">
        <w:rPr>
          <w:bCs/>
        </w:rPr>
        <w:t>, а также п. 2.2 Порядка разработки, корректировки, осуществления мониторинга и контроля реализации Прогноза социально-экономического развития Волгоградской области на среднесрочный период, утвержденного постановлением Администрации Волгоградской области от 30.12.2015 № 829-п</w:t>
      </w:r>
      <w:r w:rsidR="00B435AF">
        <w:rPr>
          <w:bCs/>
        </w:rPr>
        <w:t xml:space="preserve"> (далее – постановление №829-п)</w:t>
      </w:r>
      <w:r w:rsidRPr="00047BD4">
        <w:rPr>
          <w:bCs/>
        </w:rPr>
        <w:t xml:space="preserve">, согласно которым в </w:t>
      </w:r>
      <w:r w:rsidR="00B9355D">
        <w:rPr>
          <w:bCs/>
        </w:rPr>
        <w:t xml:space="preserve">его </w:t>
      </w:r>
      <w:r w:rsidRPr="00047BD4">
        <w:rPr>
          <w:bCs/>
        </w:rPr>
        <w:t xml:space="preserve">состав входит оценка факторов </w:t>
      </w:r>
      <w:r w:rsidRPr="00047BD4">
        <w:rPr>
          <w:rFonts w:eastAsiaTheme="minorHAnsi"/>
          <w:lang w:eastAsia="en-US"/>
        </w:rPr>
        <w:t xml:space="preserve">и ограничений экономического роста субъекта РФ на среднесрочный период. Вместе с тем в Прогнозе СЭР </w:t>
      </w:r>
      <w:r w:rsidRPr="00047BD4">
        <w:t xml:space="preserve">отсутствует оценка факторов и ограничений экономического роста Волгоградской области (ограничения и риски приведены только в разделах </w:t>
      </w:r>
      <w:r w:rsidRPr="00047BD4">
        <w:rPr>
          <w:rFonts w:eastAsiaTheme="minorHAnsi"/>
          <w:lang w:eastAsia="en-US"/>
        </w:rPr>
        <w:t>«</w:t>
      </w:r>
      <w:r w:rsidRPr="00047BD4">
        <w:t>Развитие агропромышленного комплекса</w:t>
      </w:r>
      <w:r w:rsidRPr="00047BD4">
        <w:rPr>
          <w:rFonts w:eastAsiaTheme="minorHAnsi"/>
          <w:lang w:eastAsia="en-US"/>
        </w:rPr>
        <w:t>»</w:t>
      </w:r>
      <w:r w:rsidRPr="00047BD4">
        <w:t xml:space="preserve">, </w:t>
      </w:r>
      <w:r w:rsidRPr="00047BD4">
        <w:rPr>
          <w:rFonts w:eastAsiaTheme="minorHAnsi"/>
          <w:lang w:eastAsia="en-US"/>
        </w:rPr>
        <w:t>«</w:t>
      </w:r>
      <w:r w:rsidRPr="00047BD4">
        <w:t>Развитие здравоохранения</w:t>
      </w:r>
      <w:r w:rsidRPr="00047BD4">
        <w:rPr>
          <w:rFonts w:eastAsiaTheme="minorHAnsi"/>
          <w:lang w:eastAsia="en-US"/>
        </w:rPr>
        <w:t>»</w:t>
      </w:r>
      <w:r w:rsidRPr="00047BD4">
        <w:t xml:space="preserve">, </w:t>
      </w:r>
      <w:r w:rsidRPr="00047BD4">
        <w:rPr>
          <w:rFonts w:eastAsiaTheme="minorHAnsi"/>
          <w:lang w:eastAsia="en-US"/>
        </w:rPr>
        <w:t>«</w:t>
      </w:r>
      <w:r w:rsidRPr="00047BD4">
        <w:t>Развитие жилищно-коммунального хозяйства</w:t>
      </w:r>
      <w:r w:rsidRPr="00047BD4">
        <w:rPr>
          <w:rFonts w:eastAsiaTheme="minorHAnsi"/>
          <w:lang w:eastAsia="en-US"/>
        </w:rPr>
        <w:t>»</w:t>
      </w:r>
      <w:r w:rsidRPr="00047BD4">
        <w:t>).</w:t>
      </w:r>
    </w:p>
    <w:p w:rsidR="00D54A17" w:rsidRPr="00DC1B04" w:rsidRDefault="00D54A17" w:rsidP="00D54A17">
      <w:pPr>
        <w:pStyle w:val="2"/>
        <w:spacing w:after="0" w:line="240" w:lineRule="auto"/>
        <w:ind w:firstLine="680"/>
        <w:jc w:val="both"/>
      </w:pPr>
      <w:r w:rsidRPr="00DC1B04">
        <w:t xml:space="preserve">Динамика основных макроэкономических показателей СЭР Волгоградской области за 2018-2022 годы приведена </w:t>
      </w:r>
      <w:r w:rsidRPr="009D7785">
        <w:rPr>
          <w:color w:val="00B0F0"/>
        </w:rPr>
        <w:t xml:space="preserve">в </w:t>
      </w:r>
      <w:r w:rsidRPr="009D7785">
        <w:rPr>
          <w:i/>
          <w:color w:val="00B0F0"/>
        </w:rPr>
        <w:t>приложении № 1</w:t>
      </w:r>
      <w:r w:rsidRPr="00DC1B04">
        <w:t>, а также представлена на диаграмме.</w:t>
      </w:r>
    </w:p>
    <w:p w:rsidR="008330B5" w:rsidRDefault="008330B5" w:rsidP="008330B5">
      <w:pPr>
        <w:pStyle w:val="Style5"/>
        <w:spacing w:line="240" w:lineRule="auto"/>
        <w:ind w:left="-1418" w:firstLine="0"/>
        <w:jc w:val="both"/>
      </w:pPr>
      <w:r w:rsidRPr="002F6037">
        <w:rPr>
          <w:noProof/>
        </w:rPr>
        <w:drawing>
          <wp:inline distT="0" distB="0" distL="0" distR="0">
            <wp:extent cx="7428865" cy="2943225"/>
            <wp:effectExtent l="57150" t="19050" r="3873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30B5" w:rsidRDefault="008330B5" w:rsidP="008330B5">
      <w:pPr>
        <w:pStyle w:val="Style5"/>
        <w:spacing w:line="240" w:lineRule="auto"/>
        <w:ind w:firstLine="680"/>
        <w:jc w:val="both"/>
      </w:pPr>
      <w:r w:rsidRPr="00CA182D">
        <w:t xml:space="preserve">Из данных, приведенных в таблице и на диаграмме, видно, что </w:t>
      </w:r>
      <w:r>
        <w:t xml:space="preserve">по оценке </w:t>
      </w:r>
      <w:r w:rsidRPr="00CA182D">
        <w:t xml:space="preserve">в 2019 году в сравнении с предыдущим годом </w:t>
      </w:r>
      <w:r>
        <w:t>предполагается</w:t>
      </w:r>
      <w:r w:rsidRPr="00CA182D">
        <w:t xml:space="preserve"> положительная динамика практически по всем основным макроэкономическим показателям. Снижение прогнозируется </w:t>
      </w:r>
      <w:r>
        <w:t xml:space="preserve">по показателям </w:t>
      </w:r>
      <w:r w:rsidRPr="00CA182D">
        <w:t>объем</w:t>
      </w:r>
      <w:r>
        <w:t>а</w:t>
      </w:r>
      <w:r w:rsidRPr="00CA182D">
        <w:t xml:space="preserve"> работ, выполненных по виду деятельности «Строительство»</w:t>
      </w:r>
      <w:r>
        <w:t xml:space="preserve"> (как в действующих ценах </w:t>
      </w:r>
      <w:r w:rsidRPr="00CA182D">
        <w:t>на 0,9 млрд. руб</w:t>
      </w:r>
      <w:r>
        <w:t xml:space="preserve">., так и в сопоставимых ценах на 1,5%), и объема </w:t>
      </w:r>
      <w:r>
        <w:lastRenderedPageBreak/>
        <w:t>инвестиций в основной капитал в сопоставимых ценах на 3,8 процента.</w:t>
      </w:r>
      <w:r w:rsidRPr="00CA182D">
        <w:t xml:space="preserve"> </w:t>
      </w:r>
    </w:p>
    <w:p w:rsidR="008330B5" w:rsidRDefault="008330B5" w:rsidP="008330B5">
      <w:pPr>
        <w:ind w:firstLine="680"/>
        <w:jc w:val="both"/>
      </w:pPr>
      <w:r w:rsidRPr="00543C19">
        <w:t xml:space="preserve">Согласно </w:t>
      </w:r>
      <w:r>
        <w:t xml:space="preserve">базовому варианту </w:t>
      </w:r>
      <w:r w:rsidRPr="00543C19">
        <w:t>Прогноз</w:t>
      </w:r>
      <w:r>
        <w:t>а</w:t>
      </w:r>
      <w:r w:rsidRPr="00543C19">
        <w:t xml:space="preserve"> СЭР макроэкономические условия развития Волгоградской области характеризуются </w:t>
      </w:r>
      <w:r>
        <w:t xml:space="preserve">ростом в 2020-2022 годах практически всех основных макроэкономических показателей. </w:t>
      </w:r>
    </w:p>
    <w:p w:rsidR="008330B5" w:rsidRDefault="008330B5" w:rsidP="008330B5">
      <w:pPr>
        <w:ind w:firstLine="680"/>
        <w:jc w:val="both"/>
      </w:pPr>
      <w:r w:rsidRPr="006364FE">
        <w:t xml:space="preserve">По расчетам комитета экономической политики и развития Волгоградской области </w:t>
      </w:r>
      <w:r>
        <w:t xml:space="preserve"> (далее – </w:t>
      </w:r>
      <w:proofErr w:type="spellStart"/>
      <w:r>
        <w:t>Облкомэкономразвития</w:t>
      </w:r>
      <w:proofErr w:type="spellEnd"/>
      <w:r>
        <w:t xml:space="preserve">) </w:t>
      </w:r>
      <w:r w:rsidRPr="006364FE">
        <w:t xml:space="preserve">ожидается ежегодный рост обобщающего показателя экономической деятельности региона - валового регионального продукта (далее – ВРП), объем которого в номинальном выражении должен вырасти с 948,2 млрд. руб. в 2020 году до 1 051,6 млрд. руб. в 2022 году, или на 10,9 процента. </w:t>
      </w:r>
      <w:r>
        <w:t xml:space="preserve">Индекс физического объема ВРП (в сопоставимых ценах) </w:t>
      </w:r>
      <w:r w:rsidRPr="006364FE">
        <w:t xml:space="preserve">составит </w:t>
      </w:r>
      <w:r>
        <w:t xml:space="preserve">в 2020-2022 годах соответственно </w:t>
      </w:r>
      <w:r w:rsidRPr="006364FE">
        <w:t>101,7;</w:t>
      </w:r>
      <w:r>
        <w:t xml:space="preserve"> </w:t>
      </w:r>
      <w:r w:rsidRPr="006364FE">
        <w:t>102,6 и 102,6 процента.</w:t>
      </w:r>
    </w:p>
    <w:p w:rsidR="008330B5" w:rsidRPr="006364FE" w:rsidRDefault="008330B5" w:rsidP="008330B5">
      <w:pPr>
        <w:pStyle w:val="Style5"/>
        <w:spacing w:line="240" w:lineRule="auto"/>
        <w:ind w:firstLine="680"/>
        <w:jc w:val="both"/>
      </w:pPr>
      <w:r>
        <w:t xml:space="preserve">По другим основным показателям СЭР </w:t>
      </w:r>
      <w:r w:rsidRPr="006364FE">
        <w:t>Прогнозом СЭР на 2020-</w:t>
      </w:r>
      <w:r w:rsidRPr="004908E6">
        <w:t>2022 г</w:t>
      </w:r>
      <w:r w:rsidRPr="006364FE">
        <w:t>оды определены</w:t>
      </w:r>
      <w:r>
        <w:t xml:space="preserve"> </w:t>
      </w:r>
      <w:r w:rsidR="0090133D" w:rsidRPr="006364FE">
        <w:t xml:space="preserve">прогнозные показатели </w:t>
      </w:r>
      <w:r>
        <w:t>в следующих размерах</w:t>
      </w:r>
      <w:r w:rsidRPr="006364FE">
        <w:t>:</w:t>
      </w:r>
    </w:p>
    <w:p w:rsidR="008330B5" w:rsidRPr="006364FE" w:rsidRDefault="008330B5" w:rsidP="008330B5">
      <w:pPr>
        <w:ind w:firstLine="680"/>
        <w:jc w:val="both"/>
      </w:pPr>
      <w:r w:rsidRPr="006364FE">
        <w:rPr>
          <w:i/>
        </w:rPr>
        <w:t>-индекс промышленного производства</w:t>
      </w:r>
      <w:r w:rsidRPr="006364FE">
        <w:t xml:space="preserve"> - в границах от 102,5% в 2020 году до 103,0% в 2021 году; </w:t>
      </w:r>
    </w:p>
    <w:p w:rsidR="008330B5" w:rsidRPr="006364FE" w:rsidRDefault="008330B5" w:rsidP="008330B5">
      <w:pPr>
        <w:pStyle w:val="Style5"/>
        <w:spacing w:line="240" w:lineRule="auto"/>
        <w:ind w:firstLine="680"/>
        <w:jc w:val="both"/>
      </w:pPr>
      <w:r w:rsidRPr="006364FE">
        <w:rPr>
          <w:i/>
        </w:rPr>
        <w:t>-объем продукции сельского хозяйства</w:t>
      </w:r>
      <w:r w:rsidRPr="006364FE">
        <w:t xml:space="preserve"> - от 140,4 млрд. руб. в 2020 году до 153,3 млрд. руб. в 2022 году</w:t>
      </w:r>
      <w:r>
        <w:t>. И</w:t>
      </w:r>
      <w:r w:rsidRPr="006364FE">
        <w:t>ндекс производства продукции сельского хозяйства</w:t>
      </w:r>
      <w:r>
        <w:t xml:space="preserve"> (в сопоставимых ценах) на 2020 год запланирован на уровне 2019 года (100%) с последующим небольшим ростом в 2021-2022 годах (101%);</w:t>
      </w:r>
    </w:p>
    <w:p w:rsidR="008330B5" w:rsidRDefault="008330B5" w:rsidP="008330B5">
      <w:pPr>
        <w:pStyle w:val="Style5"/>
        <w:spacing w:line="240" w:lineRule="auto"/>
        <w:ind w:firstLine="680"/>
        <w:jc w:val="both"/>
      </w:pPr>
      <w:r w:rsidRPr="006364FE">
        <w:t xml:space="preserve">- </w:t>
      </w:r>
      <w:r w:rsidRPr="006364FE">
        <w:rPr>
          <w:i/>
        </w:rPr>
        <w:t>оборот розничной торговли</w:t>
      </w:r>
      <w:r w:rsidRPr="006364FE">
        <w:t xml:space="preserve"> </w:t>
      </w:r>
      <w:r w:rsidRPr="006364FE">
        <w:rPr>
          <w:i/>
        </w:rPr>
        <w:t>в действующих ценах</w:t>
      </w:r>
      <w:r w:rsidRPr="006364FE">
        <w:t xml:space="preserve"> </w:t>
      </w:r>
      <w:r>
        <w:t xml:space="preserve">– от </w:t>
      </w:r>
      <w:r w:rsidRPr="006364FE">
        <w:t>431,9 млрд. руб.</w:t>
      </w:r>
      <w:r>
        <w:t xml:space="preserve"> в 2020 году до</w:t>
      </w:r>
      <w:r w:rsidRPr="006364FE">
        <w:t xml:space="preserve"> 489,8 млрд. руб</w:t>
      </w:r>
      <w:r>
        <w:t>. в 2022 году, у</w:t>
      </w:r>
      <w:r w:rsidRPr="006364FE">
        <w:t xml:space="preserve">казанный показатель в сопоставимых ценах к предыдущему году </w:t>
      </w:r>
      <w:r>
        <w:t>составит 101,2</w:t>
      </w:r>
      <w:r w:rsidRPr="006364FE">
        <w:t>%, 102,</w:t>
      </w:r>
      <w:r>
        <w:t>5% и 102,5%</w:t>
      </w:r>
      <w:r w:rsidRPr="006364FE">
        <w:t>;</w:t>
      </w:r>
    </w:p>
    <w:p w:rsidR="008330B5" w:rsidRDefault="008330B5" w:rsidP="008330B5">
      <w:pPr>
        <w:pStyle w:val="Style5"/>
        <w:spacing w:line="240" w:lineRule="auto"/>
        <w:ind w:firstLine="680"/>
        <w:jc w:val="both"/>
      </w:pPr>
      <w:r>
        <w:t xml:space="preserve">- </w:t>
      </w:r>
      <w:r w:rsidRPr="005C3F47">
        <w:rPr>
          <w:i/>
        </w:rPr>
        <w:t>рост реальных располагаемых денежных доходов населения</w:t>
      </w:r>
      <w:r>
        <w:t xml:space="preserve">  (</w:t>
      </w:r>
      <w:proofErr w:type="gramStart"/>
      <w:r>
        <w:t>в</w:t>
      </w:r>
      <w:proofErr w:type="gramEnd"/>
      <w:r>
        <w:t xml:space="preserve"> % </w:t>
      </w:r>
      <w:proofErr w:type="gramStart"/>
      <w:r>
        <w:t>к</w:t>
      </w:r>
      <w:proofErr w:type="gramEnd"/>
      <w:r>
        <w:t xml:space="preserve"> предыдущему году) – от 101,4% в 2020 году до 102,2% в 2022 году);</w:t>
      </w:r>
    </w:p>
    <w:p w:rsidR="008330B5" w:rsidRDefault="008330B5" w:rsidP="008330B5">
      <w:pPr>
        <w:pStyle w:val="Style5"/>
        <w:spacing w:line="240" w:lineRule="auto"/>
        <w:ind w:firstLine="680"/>
        <w:jc w:val="both"/>
      </w:pPr>
      <w:r>
        <w:t xml:space="preserve">- </w:t>
      </w:r>
      <w:r w:rsidRPr="005C3F47">
        <w:rPr>
          <w:i/>
        </w:rPr>
        <w:t>фонд заработной платы</w:t>
      </w:r>
      <w:r>
        <w:t xml:space="preserve"> </w:t>
      </w:r>
      <w:r w:rsidRPr="00A924BF">
        <w:rPr>
          <w:i/>
        </w:rPr>
        <w:t>работников организаций</w:t>
      </w:r>
      <w:r>
        <w:t xml:space="preserve"> – от 243,2 млрд. руб. в 2020 году до 265,4 млрд. руб. в 2022 году;</w:t>
      </w:r>
    </w:p>
    <w:p w:rsidR="008330B5" w:rsidRPr="00CC5D59" w:rsidRDefault="008330B5" w:rsidP="008330B5">
      <w:pPr>
        <w:pStyle w:val="Style5"/>
        <w:spacing w:line="240" w:lineRule="auto"/>
        <w:ind w:firstLine="680"/>
        <w:jc w:val="both"/>
      </w:pPr>
      <w:r w:rsidRPr="00CC5D59">
        <w:t xml:space="preserve">- </w:t>
      </w:r>
      <w:r w:rsidRPr="00CC5D59">
        <w:rPr>
          <w:i/>
        </w:rPr>
        <w:t>индекс потребительских цен</w:t>
      </w:r>
      <w:r w:rsidRPr="00CC5D59">
        <w:t xml:space="preserve"> - в размере 103,3% в 2020 году, 104,0% в 2021 году и 103,8% в 2022 году. По оценке 2019 года индекс потребительских цен составит 104,7%, т.е. запланирован в одних периодах </w:t>
      </w:r>
      <w:r w:rsidR="004545FE">
        <w:t xml:space="preserve">с темпом </w:t>
      </w:r>
      <w:r w:rsidRPr="00CC5D59">
        <w:t>рост</w:t>
      </w:r>
      <w:r w:rsidR="004545FE">
        <w:t>а</w:t>
      </w:r>
      <w:r w:rsidRPr="00CC5D59">
        <w:t xml:space="preserve"> среднего уровня изменения цен на товары и услуги, а в других</w:t>
      </w:r>
      <w:r w:rsidR="004545FE">
        <w:t xml:space="preserve"> со</w:t>
      </w:r>
      <w:r w:rsidRPr="00CC5D59">
        <w:t xml:space="preserve"> снижение</w:t>
      </w:r>
      <w:r w:rsidR="004545FE">
        <w:t>м</w:t>
      </w:r>
      <w:r w:rsidRPr="00CC5D59">
        <w:t>. При этом причины такой динамики индекса в текстовой части Прогноза СЭР не приведены.</w:t>
      </w:r>
    </w:p>
    <w:p w:rsidR="008330B5" w:rsidRPr="00442BDB" w:rsidRDefault="008330B5" w:rsidP="008330B5">
      <w:pPr>
        <w:pStyle w:val="ae"/>
        <w:spacing w:before="0" w:beforeAutospacing="0" w:after="0" w:afterAutospacing="0"/>
        <w:ind w:firstLine="680"/>
        <w:jc w:val="both"/>
      </w:pPr>
      <w:r w:rsidRPr="00674AA4">
        <w:rPr>
          <w:b/>
          <w:i/>
        </w:rPr>
        <w:t>Анализ</w:t>
      </w:r>
      <w:r w:rsidRPr="00674AA4">
        <w:rPr>
          <w:i/>
        </w:rPr>
        <w:t xml:space="preserve"> </w:t>
      </w:r>
      <w:r w:rsidRPr="00674AA4">
        <w:rPr>
          <w:b/>
          <w:i/>
        </w:rPr>
        <w:t>достоверности основных параметров</w:t>
      </w:r>
      <w:r w:rsidRPr="00442BDB">
        <w:rPr>
          <w:b/>
        </w:rPr>
        <w:t xml:space="preserve"> </w:t>
      </w:r>
      <w:r w:rsidRPr="00674AA4">
        <w:t>Прогноза СЭР на 2020-2022 годы</w:t>
      </w:r>
      <w:r w:rsidRPr="00442BDB">
        <w:rPr>
          <w:b/>
          <w:i/>
        </w:rPr>
        <w:t xml:space="preserve"> </w:t>
      </w:r>
      <w:r w:rsidRPr="00442BDB">
        <w:t>показал следующее.</w:t>
      </w:r>
    </w:p>
    <w:p w:rsidR="008330B5" w:rsidRDefault="008330B5" w:rsidP="008330B5">
      <w:pPr>
        <w:pStyle w:val="Style5"/>
        <w:spacing w:line="240" w:lineRule="auto"/>
        <w:ind w:firstLine="680"/>
        <w:jc w:val="both"/>
      </w:pPr>
      <w:r>
        <w:t xml:space="preserve">По показателю </w:t>
      </w:r>
      <w:r w:rsidRPr="006364FE">
        <w:rPr>
          <w:i/>
        </w:rPr>
        <w:t>объем</w:t>
      </w:r>
      <w:r>
        <w:rPr>
          <w:i/>
        </w:rPr>
        <w:t>а</w:t>
      </w:r>
      <w:r w:rsidRPr="006364FE">
        <w:rPr>
          <w:i/>
        </w:rPr>
        <w:t xml:space="preserve"> работ, выполненных по виду деятельности </w:t>
      </w:r>
      <w:r w:rsidRPr="004932E4">
        <w:rPr>
          <w:b/>
          <w:i/>
        </w:rPr>
        <w:t>«Строительство»,</w:t>
      </w:r>
      <w:r w:rsidRPr="006364FE">
        <w:t xml:space="preserve"> </w:t>
      </w:r>
      <w:r>
        <w:t xml:space="preserve">предусмотрен рост с </w:t>
      </w:r>
      <w:r w:rsidRPr="006364FE">
        <w:t>69,1 млрд. руб.</w:t>
      </w:r>
      <w:r>
        <w:t xml:space="preserve"> (100,03% в сопоставимых ценах) в 2020 году до </w:t>
      </w:r>
      <w:r w:rsidRPr="006364FE">
        <w:t>75,6 млрд. руб</w:t>
      </w:r>
      <w:r>
        <w:t>. (100,05%) в 2022 году.</w:t>
      </w:r>
      <w:r w:rsidRPr="006364FE">
        <w:t xml:space="preserve"> </w:t>
      </w:r>
      <w:r>
        <w:t>При этом п</w:t>
      </w:r>
      <w:r w:rsidRPr="00C87EBB">
        <w:t xml:space="preserve">о оценке </w:t>
      </w:r>
      <w:r>
        <w:t xml:space="preserve">в </w:t>
      </w:r>
      <w:r w:rsidRPr="00C87EBB">
        <w:t>2019 год</w:t>
      </w:r>
      <w:r>
        <w:t>у</w:t>
      </w:r>
      <w:r w:rsidRPr="00C87EBB">
        <w:t xml:space="preserve"> </w:t>
      </w:r>
      <w:r>
        <w:t>планируется снижение указанного показателя по отношению к 2018 году на 0,8 млрд. руб. (он составит 66,1 млрд. руб., или 98,5% в сопоставимых ценах). В свою очередь</w:t>
      </w:r>
      <w:r w:rsidR="0090133D">
        <w:t>,</w:t>
      </w:r>
      <w:r>
        <w:t xml:space="preserve"> в 2018 году также произошло снижение указанного показателя по отношению к предыдущему году на 25 млрд. руб. (-34,7% к предыдущему году).</w:t>
      </w:r>
    </w:p>
    <w:p w:rsidR="008330B5" w:rsidRDefault="008330B5" w:rsidP="008330B5">
      <w:pPr>
        <w:pStyle w:val="Style5"/>
        <w:spacing w:line="240" w:lineRule="auto"/>
        <w:ind w:firstLine="680"/>
        <w:jc w:val="both"/>
      </w:pPr>
      <w:r w:rsidRPr="00C87EBB">
        <w:t xml:space="preserve">Согласно текстовой части Прогноза СЭР снижение показателя за 2018 год обусловлено завершением строительных работ на крупных объектах в рамках подготовки к проведению чемпионата мира по футболу </w:t>
      </w:r>
      <w:r w:rsidRPr="00C87EBB">
        <w:rPr>
          <w:lang w:val="en-US"/>
        </w:rPr>
        <w:t>FIFA</w:t>
      </w:r>
      <w:r w:rsidRPr="00C87EBB">
        <w:t xml:space="preserve">2018 года. </w:t>
      </w:r>
      <w:r>
        <w:t xml:space="preserve">Далее отражено, что </w:t>
      </w:r>
      <w:r w:rsidRPr="00C87EBB">
        <w:t xml:space="preserve">объем строительных работ в регионе в январе-августе 2019 года составил 31,8 млрд. руб., что соответствует аналогичным показателям лет, предшествующих периоду подготовки к проведению чемпионата мира по футболу (2013 год – 32,1 млрд. руб., 2014 год – 30,8 млрд. руб.). </w:t>
      </w:r>
    </w:p>
    <w:p w:rsidR="008330B5" w:rsidRDefault="008330B5" w:rsidP="008330B5">
      <w:pPr>
        <w:pStyle w:val="Style5"/>
        <w:spacing w:line="240" w:lineRule="auto"/>
        <w:ind w:firstLine="680"/>
        <w:jc w:val="both"/>
      </w:pPr>
      <w:r>
        <w:t xml:space="preserve">В связи с </w:t>
      </w:r>
      <w:proofErr w:type="gramStart"/>
      <w:r>
        <w:t>изложенным</w:t>
      </w:r>
      <w:proofErr w:type="gramEnd"/>
      <w:r>
        <w:t xml:space="preserve"> КСП проведен а</w:t>
      </w:r>
      <w:r w:rsidRPr="006364FE">
        <w:t xml:space="preserve">нализ изменения указанного показателя, </w:t>
      </w:r>
      <w:r>
        <w:t xml:space="preserve">начиная с 2013 года, </w:t>
      </w:r>
      <w:r w:rsidRPr="006364FE">
        <w:t>а также показателя ввод</w:t>
      </w:r>
      <w:r>
        <w:t>а</w:t>
      </w:r>
      <w:r w:rsidRPr="006364FE">
        <w:t xml:space="preserve"> в действие жилых домов, оказывающего непосредственное влияние на показатель</w:t>
      </w:r>
      <w:r>
        <w:t xml:space="preserve"> объема строительных работ, результаты которого приведены </w:t>
      </w:r>
      <w:r w:rsidRPr="006364FE">
        <w:t>в таблице.</w:t>
      </w:r>
    </w:p>
    <w:p w:rsidR="00D54A17" w:rsidRPr="006364FE" w:rsidRDefault="00D54A17" w:rsidP="008330B5">
      <w:pPr>
        <w:pStyle w:val="Style5"/>
        <w:spacing w:line="240" w:lineRule="auto"/>
        <w:ind w:firstLine="680"/>
        <w:jc w:val="both"/>
      </w:pPr>
    </w:p>
    <w:tbl>
      <w:tblPr>
        <w:tblW w:w="10987" w:type="dxa"/>
        <w:tblInd w:w="-1026" w:type="dxa"/>
        <w:tblLook w:val="04A0"/>
      </w:tblPr>
      <w:tblGrid>
        <w:gridCol w:w="1548"/>
        <w:gridCol w:w="796"/>
        <w:gridCol w:w="809"/>
        <w:gridCol w:w="839"/>
        <w:gridCol w:w="849"/>
        <w:gridCol w:w="834"/>
        <w:gridCol w:w="889"/>
        <w:gridCol w:w="911"/>
        <w:gridCol w:w="856"/>
        <w:gridCol w:w="854"/>
        <w:gridCol w:w="891"/>
        <w:gridCol w:w="911"/>
      </w:tblGrid>
      <w:tr w:rsidR="008330B5" w:rsidRPr="00E32B81" w:rsidTr="008330B5">
        <w:trPr>
          <w:trHeight w:val="300"/>
        </w:trPr>
        <w:tc>
          <w:tcPr>
            <w:tcW w:w="1548" w:type="dxa"/>
            <w:vMerge w:val="restart"/>
            <w:tcBorders>
              <w:top w:val="double" w:sz="4" w:space="0" w:color="auto"/>
              <w:left w:val="doub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lastRenderedPageBreak/>
              <w:t>Наименование показателей</w:t>
            </w:r>
          </w:p>
        </w:tc>
        <w:tc>
          <w:tcPr>
            <w:tcW w:w="796"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2013 год</w:t>
            </w:r>
          </w:p>
        </w:tc>
        <w:tc>
          <w:tcPr>
            <w:tcW w:w="809"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2014 год</w:t>
            </w:r>
          </w:p>
        </w:tc>
        <w:tc>
          <w:tcPr>
            <w:tcW w:w="839"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2015 год</w:t>
            </w:r>
          </w:p>
        </w:tc>
        <w:tc>
          <w:tcPr>
            <w:tcW w:w="849"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2016 год</w:t>
            </w:r>
          </w:p>
        </w:tc>
        <w:tc>
          <w:tcPr>
            <w:tcW w:w="834"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2017 год</w:t>
            </w:r>
          </w:p>
        </w:tc>
        <w:tc>
          <w:tcPr>
            <w:tcW w:w="889"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Отчет                 2018 год</w:t>
            </w:r>
          </w:p>
        </w:tc>
        <w:tc>
          <w:tcPr>
            <w:tcW w:w="911"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Факт за 9 мес. 2019 года</w:t>
            </w:r>
          </w:p>
        </w:tc>
        <w:tc>
          <w:tcPr>
            <w:tcW w:w="856"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Оценка                           2019 года</w:t>
            </w:r>
          </w:p>
        </w:tc>
        <w:tc>
          <w:tcPr>
            <w:tcW w:w="854"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Прогноз  2020 год (базовый вариант)</w:t>
            </w:r>
          </w:p>
        </w:tc>
        <w:tc>
          <w:tcPr>
            <w:tcW w:w="891" w:type="dxa"/>
            <w:vMerge w:val="restart"/>
            <w:tcBorders>
              <w:top w:val="double" w:sz="4" w:space="0" w:color="auto"/>
              <w:left w:val="single" w:sz="4" w:space="0" w:color="auto"/>
              <w:bottom w:val="double" w:sz="4" w:space="0" w:color="auto"/>
              <w:right w:val="sing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Прогноз  2021 год (базовый вариант)</w:t>
            </w:r>
          </w:p>
        </w:tc>
        <w:tc>
          <w:tcPr>
            <w:tcW w:w="911" w:type="dxa"/>
            <w:vMerge w:val="restart"/>
            <w:tcBorders>
              <w:top w:val="double" w:sz="4" w:space="0" w:color="auto"/>
              <w:left w:val="single" w:sz="4" w:space="0" w:color="auto"/>
              <w:bottom w:val="double" w:sz="4" w:space="0" w:color="auto"/>
              <w:right w:val="double" w:sz="4" w:space="0" w:color="auto"/>
            </w:tcBorders>
            <w:shd w:val="clear" w:color="000000" w:fill="EAF1DD"/>
            <w:vAlign w:val="center"/>
            <w:hideMark/>
          </w:tcPr>
          <w:p w:rsidR="008330B5" w:rsidRPr="00E32B81" w:rsidRDefault="008330B5" w:rsidP="008330B5">
            <w:pPr>
              <w:jc w:val="center"/>
              <w:rPr>
                <w:i/>
                <w:iCs/>
                <w:color w:val="000000"/>
                <w:sz w:val="16"/>
                <w:szCs w:val="16"/>
              </w:rPr>
            </w:pPr>
            <w:r w:rsidRPr="00E32B81">
              <w:rPr>
                <w:i/>
                <w:iCs/>
                <w:color w:val="000000"/>
                <w:sz w:val="16"/>
                <w:szCs w:val="16"/>
              </w:rPr>
              <w:t>Прогноз  2022 год (базовый вариант)</w:t>
            </w:r>
          </w:p>
        </w:tc>
      </w:tr>
      <w:tr w:rsidR="008330B5" w:rsidRPr="00E32B81" w:rsidTr="008330B5">
        <w:trPr>
          <w:trHeight w:val="660"/>
        </w:trPr>
        <w:tc>
          <w:tcPr>
            <w:tcW w:w="1548" w:type="dxa"/>
            <w:vMerge/>
            <w:tcBorders>
              <w:top w:val="single" w:sz="4" w:space="0" w:color="auto"/>
              <w:left w:val="doub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796"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09"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39"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49"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34"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89"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911"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56"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54"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891" w:type="dxa"/>
            <w:vMerge/>
            <w:tcBorders>
              <w:top w:val="single" w:sz="4" w:space="0" w:color="auto"/>
              <w:left w:val="single" w:sz="4" w:space="0" w:color="auto"/>
              <w:bottom w:val="double" w:sz="4" w:space="0" w:color="auto"/>
              <w:right w:val="single" w:sz="4" w:space="0" w:color="auto"/>
            </w:tcBorders>
            <w:vAlign w:val="center"/>
            <w:hideMark/>
          </w:tcPr>
          <w:p w:rsidR="008330B5" w:rsidRPr="00E32B81" w:rsidRDefault="008330B5" w:rsidP="008330B5">
            <w:pPr>
              <w:rPr>
                <w:i/>
                <w:iCs/>
                <w:color w:val="000000"/>
                <w:sz w:val="16"/>
                <w:szCs w:val="16"/>
              </w:rPr>
            </w:pPr>
          </w:p>
        </w:tc>
        <w:tc>
          <w:tcPr>
            <w:tcW w:w="911" w:type="dxa"/>
            <w:vMerge/>
            <w:tcBorders>
              <w:top w:val="single" w:sz="4" w:space="0" w:color="auto"/>
              <w:left w:val="single" w:sz="4" w:space="0" w:color="auto"/>
              <w:bottom w:val="double" w:sz="4" w:space="0" w:color="auto"/>
              <w:right w:val="double" w:sz="4" w:space="0" w:color="auto"/>
            </w:tcBorders>
            <w:vAlign w:val="center"/>
            <w:hideMark/>
          </w:tcPr>
          <w:p w:rsidR="008330B5" w:rsidRPr="00E32B81" w:rsidRDefault="008330B5" w:rsidP="008330B5">
            <w:pPr>
              <w:rPr>
                <w:i/>
                <w:iCs/>
                <w:color w:val="000000"/>
                <w:sz w:val="16"/>
                <w:szCs w:val="16"/>
              </w:rPr>
            </w:pPr>
          </w:p>
        </w:tc>
      </w:tr>
      <w:tr w:rsidR="008330B5" w:rsidRPr="00E32B81" w:rsidTr="008330B5">
        <w:trPr>
          <w:trHeight w:val="1215"/>
        </w:trPr>
        <w:tc>
          <w:tcPr>
            <w:tcW w:w="1548"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330B5" w:rsidRPr="00E32B81" w:rsidRDefault="008330B5" w:rsidP="008330B5">
            <w:pPr>
              <w:jc w:val="both"/>
              <w:rPr>
                <w:color w:val="000000"/>
                <w:sz w:val="18"/>
                <w:szCs w:val="18"/>
              </w:rPr>
            </w:pPr>
            <w:r w:rsidRPr="00E32B81">
              <w:rPr>
                <w:color w:val="000000"/>
                <w:sz w:val="18"/>
                <w:szCs w:val="18"/>
              </w:rPr>
              <w:t>Объем работ, выполненных по виду деятельности "Строительство"</w:t>
            </w:r>
            <w:r>
              <w:rPr>
                <w:color w:val="000000"/>
                <w:sz w:val="18"/>
                <w:szCs w:val="18"/>
              </w:rPr>
              <w:t xml:space="preserve">, млрд. руб. </w:t>
            </w:r>
          </w:p>
        </w:tc>
        <w:tc>
          <w:tcPr>
            <w:tcW w:w="796"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55</w:t>
            </w:r>
            <w:r>
              <w:rPr>
                <w:color w:val="000000"/>
                <w:sz w:val="18"/>
                <w:szCs w:val="18"/>
              </w:rPr>
              <w:t>,8</w:t>
            </w:r>
          </w:p>
        </w:tc>
        <w:tc>
          <w:tcPr>
            <w:tcW w:w="809"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62</w:t>
            </w:r>
            <w:r>
              <w:rPr>
                <w:color w:val="000000"/>
                <w:sz w:val="18"/>
                <w:szCs w:val="18"/>
              </w:rPr>
              <w:t>,</w:t>
            </w:r>
            <w:r w:rsidRPr="00E32B81">
              <w:rPr>
                <w:color w:val="000000"/>
                <w:sz w:val="18"/>
                <w:szCs w:val="18"/>
              </w:rPr>
              <w:t>3</w:t>
            </w:r>
          </w:p>
        </w:tc>
        <w:tc>
          <w:tcPr>
            <w:tcW w:w="839"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69</w:t>
            </w:r>
            <w:r>
              <w:rPr>
                <w:color w:val="000000"/>
                <w:sz w:val="18"/>
                <w:szCs w:val="18"/>
              </w:rPr>
              <w:t>,6</w:t>
            </w:r>
          </w:p>
        </w:tc>
        <w:tc>
          <w:tcPr>
            <w:tcW w:w="849"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77</w:t>
            </w:r>
            <w:r>
              <w:rPr>
                <w:color w:val="000000"/>
                <w:sz w:val="18"/>
                <w:szCs w:val="18"/>
              </w:rPr>
              <w:t>,</w:t>
            </w:r>
            <w:r w:rsidRPr="00E32B81">
              <w:rPr>
                <w:color w:val="000000"/>
                <w:sz w:val="18"/>
                <w:szCs w:val="18"/>
              </w:rPr>
              <w:t>0</w:t>
            </w:r>
          </w:p>
        </w:tc>
        <w:tc>
          <w:tcPr>
            <w:tcW w:w="834"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91</w:t>
            </w:r>
            <w:r>
              <w:rPr>
                <w:color w:val="000000"/>
                <w:sz w:val="18"/>
                <w:szCs w:val="18"/>
              </w:rPr>
              <w:t>,9</w:t>
            </w:r>
          </w:p>
        </w:tc>
        <w:tc>
          <w:tcPr>
            <w:tcW w:w="889" w:type="dxa"/>
            <w:tcBorders>
              <w:top w:val="double" w:sz="4" w:space="0" w:color="auto"/>
              <w:left w:val="nil"/>
              <w:bottom w:val="single" w:sz="4" w:space="0" w:color="auto"/>
              <w:right w:val="single" w:sz="4" w:space="0" w:color="auto"/>
            </w:tcBorders>
            <w:shd w:val="clear" w:color="auto" w:fill="auto"/>
            <w:noWrap/>
            <w:vAlign w:val="center"/>
            <w:hideMark/>
          </w:tcPr>
          <w:p w:rsidR="008330B5" w:rsidRPr="00E32B81" w:rsidRDefault="008330B5" w:rsidP="008330B5">
            <w:pPr>
              <w:jc w:val="center"/>
              <w:rPr>
                <w:sz w:val="18"/>
                <w:szCs w:val="18"/>
              </w:rPr>
            </w:pPr>
            <w:r w:rsidRPr="00E32B81">
              <w:rPr>
                <w:sz w:val="18"/>
                <w:szCs w:val="18"/>
              </w:rPr>
              <w:t>66</w:t>
            </w:r>
            <w:r>
              <w:rPr>
                <w:sz w:val="18"/>
                <w:szCs w:val="18"/>
              </w:rPr>
              <w:t>,</w:t>
            </w:r>
            <w:r w:rsidRPr="00E32B81">
              <w:rPr>
                <w:sz w:val="18"/>
                <w:szCs w:val="18"/>
              </w:rPr>
              <w:t>9</w:t>
            </w:r>
          </w:p>
        </w:tc>
        <w:tc>
          <w:tcPr>
            <w:tcW w:w="911" w:type="dxa"/>
            <w:tcBorders>
              <w:top w:val="double" w:sz="4" w:space="0" w:color="auto"/>
              <w:left w:val="nil"/>
              <w:bottom w:val="single" w:sz="4" w:space="0" w:color="auto"/>
              <w:right w:val="single" w:sz="4" w:space="0" w:color="auto"/>
            </w:tcBorders>
            <w:shd w:val="clear" w:color="auto" w:fill="auto"/>
            <w:vAlign w:val="center"/>
            <w:hideMark/>
          </w:tcPr>
          <w:p w:rsidR="008330B5" w:rsidRPr="00E32B81" w:rsidRDefault="008330B5" w:rsidP="008330B5">
            <w:pPr>
              <w:jc w:val="center"/>
              <w:rPr>
                <w:sz w:val="18"/>
                <w:szCs w:val="18"/>
              </w:rPr>
            </w:pPr>
            <w:r w:rsidRPr="00E32B81">
              <w:rPr>
                <w:sz w:val="18"/>
                <w:szCs w:val="18"/>
              </w:rPr>
              <w:t>36</w:t>
            </w:r>
            <w:r>
              <w:rPr>
                <w:sz w:val="18"/>
                <w:szCs w:val="18"/>
              </w:rPr>
              <w:t>,</w:t>
            </w:r>
            <w:r w:rsidRPr="00E32B81">
              <w:rPr>
                <w:sz w:val="18"/>
                <w:szCs w:val="18"/>
              </w:rPr>
              <w:t>4</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rsidR="008330B5" w:rsidRPr="00E32B81" w:rsidRDefault="008330B5" w:rsidP="008330B5">
            <w:pPr>
              <w:jc w:val="center"/>
              <w:rPr>
                <w:sz w:val="18"/>
                <w:szCs w:val="18"/>
              </w:rPr>
            </w:pPr>
            <w:r w:rsidRPr="00E32B81">
              <w:rPr>
                <w:sz w:val="18"/>
                <w:szCs w:val="18"/>
              </w:rPr>
              <w:t>66</w:t>
            </w:r>
            <w:r>
              <w:rPr>
                <w:sz w:val="18"/>
                <w:szCs w:val="18"/>
              </w:rPr>
              <w:t>,1</w:t>
            </w:r>
          </w:p>
        </w:tc>
        <w:tc>
          <w:tcPr>
            <w:tcW w:w="854" w:type="dxa"/>
            <w:tcBorders>
              <w:top w:val="double" w:sz="4" w:space="0" w:color="auto"/>
              <w:left w:val="nil"/>
              <w:bottom w:val="single" w:sz="4" w:space="0" w:color="auto"/>
              <w:right w:val="single" w:sz="4" w:space="0" w:color="auto"/>
            </w:tcBorders>
            <w:shd w:val="clear" w:color="auto" w:fill="auto"/>
            <w:noWrap/>
            <w:vAlign w:val="center"/>
            <w:hideMark/>
          </w:tcPr>
          <w:p w:rsidR="008330B5" w:rsidRPr="00E32B81" w:rsidRDefault="008330B5" w:rsidP="008330B5">
            <w:pPr>
              <w:jc w:val="center"/>
              <w:rPr>
                <w:sz w:val="18"/>
                <w:szCs w:val="18"/>
              </w:rPr>
            </w:pPr>
            <w:r w:rsidRPr="00E32B81">
              <w:rPr>
                <w:sz w:val="18"/>
                <w:szCs w:val="18"/>
              </w:rPr>
              <w:t>69</w:t>
            </w:r>
            <w:r>
              <w:rPr>
                <w:sz w:val="18"/>
                <w:szCs w:val="18"/>
              </w:rPr>
              <w:t>,1</w:t>
            </w:r>
          </w:p>
        </w:tc>
        <w:tc>
          <w:tcPr>
            <w:tcW w:w="891" w:type="dxa"/>
            <w:tcBorders>
              <w:top w:val="double" w:sz="4" w:space="0" w:color="auto"/>
              <w:left w:val="nil"/>
              <w:bottom w:val="single" w:sz="4" w:space="0" w:color="auto"/>
              <w:right w:val="single" w:sz="4" w:space="0" w:color="auto"/>
            </w:tcBorders>
            <w:shd w:val="clear" w:color="auto" w:fill="auto"/>
            <w:noWrap/>
            <w:vAlign w:val="center"/>
            <w:hideMark/>
          </w:tcPr>
          <w:p w:rsidR="008330B5" w:rsidRPr="00E32B81" w:rsidRDefault="008330B5" w:rsidP="008330B5">
            <w:pPr>
              <w:jc w:val="center"/>
              <w:rPr>
                <w:color w:val="000000"/>
                <w:sz w:val="18"/>
                <w:szCs w:val="18"/>
              </w:rPr>
            </w:pPr>
            <w:r w:rsidRPr="00E32B81">
              <w:rPr>
                <w:color w:val="000000"/>
                <w:sz w:val="18"/>
                <w:szCs w:val="18"/>
              </w:rPr>
              <w:t>71</w:t>
            </w:r>
            <w:r>
              <w:rPr>
                <w:color w:val="000000"/>
                <w:sz w:val="18"/>
                <w:szCs w:val="18"/>
              </w:rPr>
              <w:t>,</w:t>
            </w:r>
            <w:r w:rsidRPr="00E32B81">
              <w:rPr>
                <w:color w:val="000000"/>
                <w:sz w:val="18"/>
                <w:szCs w:val="18"/>
              </w:rPr>
              <w:t>9</w:t>
            </w:r>
          </w:p>
        </w:tc>
        <w:tc>
          <w:tcPr>
            <w:tcW w:w="911" w:type="dxa"/>
            <w:tcBorders>
              <w:top w:val="double" w:sz="4" w:space="0" w:color="auto"/>
              <w:left w:val="nil"/>
              <w:bottom w:val="single" w:sz="4" w:space="0" w:color="auto"/>
              <w:right w:val="double" w:sz="4" w:space="0" w:color="auto"/>
            </w:tcBorders>
            <w:shd w:val="clear" w:color="auto" w:fill="auto"/>
            <w:noWrap/>
            <w:vAlign w:val="center"/>
            <w:hideMark/>
          </w:tcPr>
          <w:p w:rsidR="008330B5" w:rsidRPr="00E32B81" w:rsidRDefault="008330B5" w:rsidP="008330B5">
            <w:pPr>
              <w:jc w:val="center"/>
              <w:rPr>
                <w:color w:val="000000"/>
                <w:sz w:val="18"/>
                <w:szCs w:val="18"/>
              </w:rPr>
            </w:pPr>
            <w:r w:rsidRPr="00E32B81">
              <w:rPr>
                <w:color w:val="000000"/>
                <w:sz w:val="18"/>
                <w:szCs w:val="18"/>
              </w:rPr>
              <w:t>75</w:t>
            </w:r>
            <w:r>
              <w:rPr>
                <w:color w:val="000000"/>
                <w:sz w:val="18"/>
                <w:szCs w:val="18"/>
              </w:rPr>
              <w:t>,</w:t>
            </w:r>
            <w:r w:rsidRPr="00E32B81">
              <w:rPr>
                <w:color w:val="000000"/>
                <w:sz w:val="18"/>
                <w:szCs w:val="18"/>
              </w:rPr>
              <w:t>6</w:t>
            </w:r>
          </w:p>
        </w:tc>
      </w:tr>
      <w:tr w:rsidR="008330B5" w:rsidRPr="00E32B81" w:rsidTr="008330B5">
        <w:trPr>
          <w:trHeight w:val="720"/>
        </w:trPr>
        <w:tc>
          <w:tcPr>
            <w:tcW w:w="1548" w:type="dxa"/>
            <w:tcBorders>
              <w:top w:val="single" w:sz="8" w:space="0" w:color="auto"/>
              <w:left w:val="double" w:sz="4" w:space="0" w:color="auto"/>
              <w:bottom w:val="double" w:sz="4" w:space="0" w:color="auto"/>
              <w:right w:val="single" w:sz="4" w:space="0" w:color="auto"/>
            </w:tcBorders>
            <w:shd w:val="clear" w:color="auto" w:fill="auto"/>
            <w:vAlign w:val="center"/>
            <w:hideMark/>
          </w:tcPr>
          <w:p w:rsidR="008330B5" w:rsidRPr="00E32B81" w:rsidRDefault="008330B5" w:rsidP="008330B5">
            <w:pPr>
              <w:jc w:val="both"/>
              <w:rPr>
                <w:color w:val="000000"/>
                <w:sz w:val="18"/>
                <w:szCs w:val="18"/>
              </w:rPr>
            </w:pPr>
            <w:r w:rsidRPr="00E32B81">
              <w:rPr>
                <w:color w:val="000000"/>
                <w:sz w:val="18"/>
                <w:szCs w:val="18"/>
              </w:rPr>
              <w:t>Ввод в действие жилых домов, т</w:t>
            </w:r>
            <w:r>
              <w:rPr>
                <w:color w:val="000000"/>
                <w:sz w:val="18"/>
                <w:szCs w:val="18"/>
              </w:rPr>
              <w:t>ыс</w:t>
            </w:r>
            <w:r w:rsidRPr="00E32B81">
              <w:rPr>
                <w:color w:val="000000"/>
                <w:sz w:val="18"/>
                <w:szCs w:val="18"/>
              </w:rPr>
              <w:t>.кв</w:t>
            </w:r>
            <w:proofErr w:type="gramStart"/>
            <w:r w:rsidRPr="00E32B81">
              <w:rPr>
                <w:color w:val="000000"/>
                <w:sz w:val="18"/>
                <w:szCs w:val="18"/>
              </w:rPr>
              <w:t>.</w:t>
            </w:r>
            <w:r>
              <w:rPr>
                <w:color w:val="000000"/>
                <w:sz w:val="18"/>
                <w:szCs w:val="18"/>
              </w:rPr>
              <w:t>м</w:t>
            </w:r>
            <w:proofErr w:type="gramEnd"/>
          </w:p>
        </w:tc>
        <w:tc>
          <w:tcPr>
            <w:tcW w:w="796"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810,3</w:t>
            </w:r>
          </w:p>
        </w:tc>
        <w:tc>
          <w:tcPr>
            <w:tcW w:w="809"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1115</w:t>
            </w:r>
          </w:p>
        </w:tc>
        <w:tc>
          <w:tcPr>
            <w:tcW w:w="839"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911,7</w:t>
            </w:r>
          </w:p>
        </w:tc>
        <w:tc>
          <w:tcPr>
            <w:tcW w:w="849"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754,0</w:t>
            </w:r>
          </w:p>
        </w:tc>
        <w:tc>
          <w:tcPr>
            <w:tcW w:w="834"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color w:val="000000"/>
                <w:sz w:val="18"/>
                <w:szCs w:val="18"/>
              </w:rPr>
            </w:pPr>
            <w:r w:rsidRPr="00E32B81">
              <w:rPr>
                <w:color w:val="000000"/>
                <w:sz w:val="18"/>
                <w:szCs w:val="18"/>
              </w:rPr>
              <w:t>727,6</w:t>
            </w:r>
          </w:p>
        </w:tc>
        <w:tc>
          <w:tcPr>
            <w:tcW w:w="889" w:type="dxa"/>
            <w:tcBorders>
              <w:top w:val="single" w:sz="8" w:space="0" w:color="auto"/>
              <w:left w:val="nil"/>
              <w:bottom w:val="double" w:sz="4" w:space="0" w:color="auto"/>
              <w:right w:val="single" w:sz="4" w:space="0" w:color="auto"/>
            </w:tcBorders>
            <w:shd w:val="clear" w:color="auto" w:fill="auto"/>
            <w:noWrap/>
            <w:vAlign w:val="center"/>
            <w:hideMark/>
          </w:tcPr>
          <w:p w:rsidR="008330B5" w:rsidRPr="00E32B81" w:rsidRDefault="008330B5" w:rsidP="008330B5">
            <w:pPr>
              <w:jc w:val="center"/>
              <w:rPr>
                <w:sz w:val="18"/>
                <w:szCs w:val="18"/>
              </w:rPr>
            </w:pPr>
            <w:r w:rsidRPr="00E32B81">
              <w:rPr>
                <w:sz w:val="18"/>
                <w:szCs w:val="18"/>
              </w:rPr>
              <w:t>610,2</w:t>
            </w:r>
          </w:p>
        </w:tc>
        <w:tc>
          <w:tcPr>
            <w:tcW w:w="911" w:type="dxa"/>
            <w:tcBorders>
              <w:top w:val="single" w:sz="8" w:space="0" w:color="auto"/>
              <w:left w:val="nil"/>
              <w:bottom w:val="double" w:sz="4" w:space="0" w:color="auto"/>
              <w:right w:val="single" w:sz="4" w:space="0" w:color="auto"/>
            </w:tcBorders>
            <w:shd w:val="clear" w:color="auto" w:fill="auto"/>
            <w:vAlign w:val="center"/>
            <w:hideMark/>
          </w:tcPr>
          <w:p w:rsidR="008330B5" w:rsidRPr="00E32B81" w:rsidRDefault="008330B5" w:rsidP="008330B5">
            <w:pPr>
              <w:jc w:val="center"/>
              <w:rPr>
                <w:sz w:val="18"/>
                <w:szCs w:val="18"/>
              </w:rPr>
            </w:pPr>
            <w:r w:rsidRPr="00E32B81">
              <w:rPr>
                <w:sz w:val="18"/>
                <w:szCs w:val="18"/>
              </w:rPr>
              <w:t>367,8</w:t>
            </w:r>
          </w:p>
        </w:tc>
        <w:tc>
          <w:tcPr>
            <w:tcW w:w="856" w:type="dxa"/>
            <w:tcBorders>
              <w:top w:val="single" w:sz="8" w:space="0" w:color="auto"/>
              <w:left w:val="nil"/>
              <w:bottom w:val="double" w:sz="4" w:space="0" w:color="auto"/>
              <w:right w:val="single" w:sz="4" w:space="0" w:color="auto"/>
            </w:tcBorders>
            <w:shd w:val="clear" w:color="000000" w:fill="FFFFFF"/>
            <w:noWrap/>
            <w:vAlign w:val="center"/>
            <w:hideMark/>
          </w:tcPr>
          <w:p w:rsidR="008330B5" w:rsidRPr="00E32B81" w:rsidRDefault="008330B5" w:rsidP="008330B5">
            <w:pPr>
              <w:jc w:val="center"/>
              <w:rPr>
                <w:sz w:val="18"/>
                <w:szCs w:val="18"/>
              </w:rPr>
            </w:pPr>
            <w:r w:rsidRPr="00E32B81">
              <w:rPr>
                <w:sz w:val="18"/>
                <w:szCs w:val="18"/>
              </w:rPr>
              <w:t>808,00</w:t>
            </w:r>
          </w:p>
        </w:tc>
        <w:tc>
          <w:tcPr>
            <w:tcW w:w="854" w:type="dxa"/>
            <w:tcBorders>
              <w:top w:val="single" w:sz="8" w:space="0" w:color="auto"/>
              <w:left w:val="nil"/>
              <w:bottom w:val="double" w:sz="4" w:space="0" w:color="auto"/>
              <w:right w:val="single" w:sz="4" w:space="0" w:color="auto"/>
            </w:tcBorders>
            <w:shd w:val="clear" w:color="auto" w:fill="auto"/>
            <w:noWrap/>
            <w:vAlign w:val="center"/>
            <w:hideMark/>
          </w:tcPr>
          <w:p w:rsidR="008330B5" w:rsidRPr="00E32B81" w:rsidRDefault="008330B5" w:rsidP="008330B5">
            <w:pPr>
              <w:jc w:val="center"/>
              <w:rPr>
                <w:sz w:val="18"/>
                <w:szCs w:val="18"/>
              </w:rPr>
            </w:pPr>
            <w:r w:rsidRPr="00E32B81">
              <w:rPr>
                <w:sz w:val="18"/>
                <w:szCs w:val="18"/>
              </w:rPr>
              <w:t>900,00</w:t>
            </w:r>
          </w:p>
        </w:tc>
        <w:tc>
          <w:tcPr>
            <w:tcW w:w="891" w:type="dxa"/>
            <w:tcBorders>
              <w:top w:val="single" w:sz="8" w:space="0" w:color="auto"/>
              <w:left w:val="nil"/>
              <w:bottom w:val="double" w:sz="4" w:space="0" w:color="auto"/>
              <w:right w:val="single" w:sz="4" w:space="0" w:color="auto"/>
            </w:tcBorders>
            <w:shd w:val="clear" w:color="auto" w:fill="auto"/>
            <w:noWrap/>
            <w:vAlign w:val="center"/>
            <w:hideMark/>
          </w:tcPr>
          <w:p w:rsidR="008330B5" w:rsidRPr="00E32B81" w:rsidRDefault="008330B5" w:rsidP="008330B5">
            <w:pPr>
              <w:jc w:val="center"/>
              <w:rPr>
                <w:color w:val="000000"/>
                <w:sz w:val="18"/>
                <w:szCs w:val="18"/>
              </w:rPr>
            </w:pPr>
            <w:r w:rsidRPr="00E32B81">
              <w:rPr>
                <w:color w:val="000000"/>
                <w:sz w:val="18"/>
                <w:szCs w:val="18"/>
              </w:rPr>
              <w:t>863,00</w:t>
            </w:r>
          </w:p>
        </w:tc>
        <w:tc>
          <w:tcPr>
            <w:tcW w:w="911" w:type="dxa"/>
            <w:tcBorders>
              <w:top w:val="single" w:sz="8" w:space="0" w:color="auto"/>
              <w:left w:val="nil"/>
              <w:bottom w:val="double" w:sz="4" w:space="0" w:color="auto"/>
              <w:right w:val="double" w:sz="4" w:space="0" w:color="auto"/>
            </w:tcBorders>
            <w:shd w:val="clear" w:color="auto" w:fill="auto"/>
            <w:noWrap/>
            <w:vAlign w:val="center"/>
            <w:hideMark/>
          </w:tcPr>
          <w:p w:rsidR="008330B5" w:rsidRPr="00E32B81" w:rsidRDefault="008330B5" w:rsidP="008330B5">
            <w:pPr>
              <w:jc w:val="center"/>
              <w:rPr>
                <w:color w:val="000000"/>
                <w:sz w:val="18"/>
                <w:szCs w:val="18"/>
              </w:rPr>
            </w:pPr>
            <w:r w:rsidRPr="00E32B81">
              <w:rPr>
                <w:color w:val="000000"/>
                <w:sz w:val="18"/>
                <w:szCs w:val="18"/>
              </w:rPr>
              <w:t>955,00</w:t>
            </w:r>
          </w:p>
        </w:tc>
      </w:tr>
    </w:tbl>
    <w:p w:rsidR="008330B5" w:rsidRDefault="008330B5" w:rsidP="008330B5">
      <w:pPr>
        <w:pStyle w:val="Style5"/>
        <w:spacing w:line="240" w:lineRule="auto"/>
        <w:ind w:firstLine="680"/>
        <w:jc w:val="both"/>
      </w:pPr>
    </w:p>
    <w:p w:rsidR="008330B5" w:rsidRDefault="008330B5" w:rsidP="008330B5">
      <w:pPr>
        <w:pStyle w:val="Style5"/>
        <w:spacing w:line="240" w:lineRule="auto"/>
        <w:ind w:firstLine="680"/>
        <w:jc w:val="both"/>
      </w:pPr>
      <w:r>
        <w:t xml:space="preserve">Как видно из приведенной таблицы, оценка показателя объема строительных работ в 2019 году спрогнозирована несколько выше годовых показателей 2013 и 2014 годов. Согласно данным статистики за </w:t>
      </w:r>
      <w:r w:rsidRPr="00C87EBB">
        <w:t xml:space="preserve">9 месяцев 2019 года </w:t>
      </w:r>
      <w:r>
        <w:t>показатель составил</w:t>
      </w:r>
      <w:r w:rsidRPr="00C87EBB">
        <w:t xml:space="preserve"> 36,4 млрд. руб</w:t>
      </w:r>
      <w:r>
        <w:t xml:space="preserve">. (или 77,6% к предыдущему году). </w:t>
      </w:r>
    </w:p>
    <w:p w:rsidR="008330B5" w:rsidRDefault="008330B5" w:rsidP="008330B5">
      <w:pPr>
        <w:pStyle w:val="Style5"/>
        <w:spacing w:line="240" w:lineRule="auto"/>
        <w:ind w:firstLine="680"/>
        <w:jc w:val="both"/>
      </w:pPr>
      <w:r>
        <w:t>Также наблюдается ежегодное снижение показателя ввода жилых домов, начиная с 2014 года. За 9 мес. 2019 года введено в действие 367,8 тыс. кв. м жилья, что составляет 97,2% к соответствующему периоду 2018 года. При этом оценочно указанный показатель на 2019 год запланирован с ростом на 32,4% по отношению к 2018 году.</w:t>
      </w:r>
    </w:p>
    <w:p w:rsidR="008330B5" w:rsidRDefault="008330B5" w:rsidP="008330B5">
      <w:pPr>
        <w:pStyle w:val="Style5"/>
        <w:spacing w:line="240" w:lineRule="auto"/>
        <w:ind w:firstLine="680"/>
        <w:jc w:val="both"/>
      </w:pPr>
      <w:proofErr w:type="gramStart"/>
      <w:r w:rsidRPr="00C87EBB">
        <w:t xml:space="preserve">Согласно </w:t>
      </w:r>
      <w:r>
        <w:t xml:space="preserve">текстовой части </w:t>
      </w:r>
      <w:r w:rsidRPr="00C87EBB">
        <w:t>Прогноз</w:t>
      </w:r>
      <w:r>
        <w:t>а</w:t>
      </w:r>
      <w:r w:rsidRPr="00C87EBB">
        <w:t xml:space="preserve"> СЭР </w:t>
      </w:r>
      <w:r>
        <w:t>существенное влияние на состояние строительной отрасли окажут изменения</w:t>
      </w:r>
      <w:r w:rsidRPr="00C87EBB">
        <w:t>, внесенные в 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вступивши</w:t>
      </w:r>
      <w:r>
        <w:t>е</w:t>
      </w:r>
      <w:r w:rsidRPr="00C87EBB">
        <w:t xml:space="preserve"> в силу с 01.07.2018</w:t>
      </w:r>
      <w:r>
        <w:t xml:space="preserve"> (усилены требования к</w:t>
      </w:r>
      <w:r w:rsidRPr="00C87EBB">
        <w:t xml:space="preserve"> застройщику и измен</w:t>
      </w:r>
      <w:r>
        <w:t>ен</w:t>
      </w:r>
      <w:r w:rsidRPr="00C87EBB">
        <w:t xml:space="preserve"> механизм привлечения денежных средств граждан на строительство жилых</w:t>
      </w:r>
      <w:proofErr w:type="gramEnd"/>
      <w:r w:rsidRPr="00C87EBB">
        <w:t xml:space="preserve"> домов, что приведет к удорожанию стоимости квадратного метра жилья на первичном рынке</w:t>
      </w:r>
      <w:r>
        <w:t>)</w:t>
      </w:r>
      <w:r w:rsidRPr="00C87EBB">
        <w:t>.</w:t>
      </w:r>
      <w:r>
        <w:t xml:space="preserve"> Полагаем, что указанные изменения могут негативно повлиять на показатель ввода в действие жилых домов.</w:t>
      </w:r>
    </w:p>
    <w:p w:rsidR="008330B5" w:rsidRDefault="008330B5" w:rsidP="008330B5">
      <w:pPr>
        <w:pStyle w:val="Style5"/>
        <w:spacing w:line="240" w:lineRule="auto"/>
        <w:ind w:firstLine="680"/>
        <w:jc w:val="both"/>
      </w:pPr>
      <w:r>
        <w:t>С учетом изложенного</w:t>
      </w:r>
      <w:r w:rsidR="004932E4">
        <w:t>,</w:t>
      </w:r>
      <w:r>
        <w:t xml:space="preserve"> </w:t>
      </w:r>
      <w:r w:rsidR="004932E4">
        <w:t>п</w:t>
      </w:r>
      <w:r w:rsidRPr="00C87EBB">
        <w:t>о оценке КСП</w:t>
      </w:r>
      <w:r w:rsidR="004932E4">
        <w:t>,</w:t>
      </w:r>
      <w:r w:rsidRPr="00C87EBB">
        <w:t xml:space="preserve"> существует риск не достижения </w:t>
      </w:r>
      <w:r>
        <w:t xml:space="preserve">указанного показателя в прогнозируемом периоде, что может негативно повлиять на исполнение показателя ВРП, в структуре </w:t>
      </w:r>
      <w:r w:rsidRPr="00B64373">
        <w:t xml:space="preserve">которого строительство занимает 9,5% </w:t>
      </w:r>
      <w:r>
        <w:t>(по данным 2017 года), а также отразится на показателе объема инвестиций в основной капитал.</w:t>
      </w:r>
    </w:p>
    <w:p w:rsidR="008330B5" w:rsidRDefault="008330B5" w:rsidP="008330B5">
      <w:pPr>
        <w:ind w:firstLine="680"/>
        <w:jc w:val="both"/>
      </w:pPr>
      <w:r w:rsidRPr="00E22E82">
        <w:t xml:space="preserve">Согласно Прогнозу СЭР предполагается рост </w:t>
      </w:r>
      <w:r w:rsidRPr="004932E4">
        <w:rPr>
          <w:b/>
          <w:i/>
        </w:rPr>
        <w:t>объема инвестиций в основной капитал</w:t>
      </w:r>
      <w:r w:rsidRPr="004932E4">
        <w:rPr>
          <w:b/>
        </w:rPr>
        <w:t xml:space="preserve"> </w:t>
      </w:r>
      <w:r w:rsidRPr="00E22E82">
        <w:t>с</w:t>
      </w:r>
      <w:r w:rsidR="004932E4">
        <w:t>о</w:t>
      </w:r>
      <w:r w:rsidRPr="00E22E82">
        <w:t xml:space="preserve"> 1</w:t>
      </w:r>
      <w:r>
        <w:t>98,9</w:t>
      </w:r>
      <w:r w:rsidRPr="00E22E82">
        <w:t xml:space="preserve"> млрд. руб. в 20</w:t>
      </w:r>
      <w:r>
        <w:t>20</w:t>
      </w:r>
      <w:r w:rsidRPr="00E22E82">
        <w:t xml:space="preserve"> году до </w:t>
      </w:r>
      <w:r>
        <w:t xml:space="preserve">241,5 млрд. руб. в 2022 году. Также запланирован рост индекса физического объема инвестиций (к предыдущему году в сопоставимых ценах) со 103,1% в 2020 году до 106,3% в 2022 году. </w:t>
      </w:r>
    </w:p>
    <w:p w:rsidR="008330B5" w:rsidRDefault="008330B5" w:rsidP="008330B5">
      <w:pPr>
        <w:ind w:firstLine="680"/>
        <w:jc w:val="both"/>
      </w:pPr>
      <w:r>
        <w:t xml:space="preserve">Вместе с тем согласно данным статистики за </w:t>
      </w:r>
      <w:r>
        <w:rPr>
          <w:lang w:val="en-US"/>
        </w:rPr>
        <w:t>I</w:t>
      </w:r>
      <w:r>
        <w:t xml:space="preserve"> полугодие 2019 года инвестиции в основной капитал (</w:t>
      </w:r>
      <w:r w:rsidRPr="00955BC5">
        <w:t>без субъектов малого предпринимательства и объема инвестиций, не наблюдаемых прямыми статистическими методами</w:t>
      </w:r>
      <w:r>
        <w:t>)</w:t>
      </w:r>
      <w:r w:rsidRPr="0002617A">
        <w:t xml:space="preserve"> </w:t>
      </w:r>
      <w:r>
        <w:t>составили 54,4 млрд. руб., что составляет 75,5% к предыдущему году, т.е. в текущем году наблюдается снижение показателя по отношению к 2018 году. Также наблюдается снижение объема инвестиций в 2018 году в сравнении с 2017 годом: 2018 год – 184,5 млрд. руб. (88,1% к предыдущему году), 2017 год – 191,7 млрд. руб. (105,6%), что представлено в таблице.</w:t>
      </w:r>
    </w:p>
    <w:p w:rsidR="00857740" w:rsidRDefault="00857740" w:rsidP="008330B5">
      <w:pPr>
        <w:ind w:firstLine="680"/>
        <w:jc w:val="both"/>
      </w:pPr>
    </w:p>
    <w:tbl>
      <w:tblPr>
        <w:tblW w:w="9460" w:type="dxa"/>
        <w:tblInd w:w="94" w:type="dxa"/>
        <w:tblBorders>
          <w:top w:val="double" w:sz="4" w:space="0" w:color="auto"/>
          <w:left w:val="double" w:sz="4" w:space="0" w:color="auto"/>
          <w:bottom w:val="double" w:sz="4" w:space="0" w:color="auto"/>
          <w:right w:val="double" w:sz="4" w:space="0" w:color="auto"/>
          <w:insideV w:val="single" w:sz="4" w:space="0" w:color="auto"/>
        </w:tblBorders>
        <w:tblLook w:val="04A0"/>
      </w:tblPr>
      <w:tblGrid>
        <w:gridCol w:w="2424"/>
        <w:gridCol w:w="902"/>
        <w:gridCol w:w="901"/>
        <w:gridCol w:w="1492"/>
        <w:gridCol w:w="902"/>
        <w:gridCol w:w="933"/>
        <w:gridCol w:w="953"/>
        <w:gridCol w:w="953"/>
      </w:tblGrid>
      <w:tr w:rsidR="008330B5" w:rsidRPr="00173DB5" w:rsidTr="008330B5">
        <w:trPr>
          <w:trHeight w:val="300"/>
        </w:trPr>
        <w:tc>
          <w:tcPr>
            <w:tcW w:w="2424"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Наименование показателей</w:t>
            </w:r>
          </w:p>
        </w:tc>
        <w:tc>
          <w:tcPr>
            <w:tcW w:w="902"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Отчет                 2017 год</w:t>
            </w:r>
          </w:p>
        </w:tc>
        <w:tc>
          <w:tcPr>
            <w:tcW w:w="901"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Отчет                 2018 год</w:t>
            </w:r>
          </w:p>
        </w:tc>
        <w:tc>
          <w:tcPr>
            <w:tcW w:w="1492"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Факт за 9 мес. 2019 года</w:t>
            </w:r>
          </w:p>
        </w:tc>
        <w:tc>
          <w:tcPr>
            <w:tcW w:w="902"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Оценка                           2019 года</w:t>
            </w:r>
          </w:p>
        </w:tc>
        <w:tc>
          <w:tcPr>
            <w:tcW w:w="933"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Прогноз  2020 год (базовый вариант)</w:t>
            </w:r>
          </w:p>
        </w:tc>
        <w:tc>
          <w:tcPr>
            <w:tcW w:w="953"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Прогноз  2021 год (базовый вариант)</w:t>
            </w:r>
          </w:p>
        </w:tc>
        <w:tc>
          <w:tcPr>
            <w:tcW w:w="953" w:type="dxa"/>
            <w:vMerge w:val="restart"/>
            <w:tcBorders>
              <w:top w:val="double" w:sz="4" w:space="0" w:color="auto"/>
              <w:bottom w:val="double" w:sz="4" w:space="0" w:color="auto"/>
            </w:tcBorders>
            <w:shd w:val="clear" w:color="000000" w:fill="EAF1DD"/>
            <w:vAlign w:val="center"/>
            <w:hideMark/>
          </w:tcPr>
          <w:p w:rsidR="008330B5" w:rsidRPr="00173DB5" w:rsidRDefault="008330B5" w:rsidP="008330B5">
            <w:pPr>
              <w:jc w:val="center"/>
              <w:rPr>
                <w:i/>
                <w:iCs/>
                <w:color w:val="000000"/>
                <w:sz w:val="16"/>
                <w:szCs w:val="16"/>
              </w:rPr>
            </w:pPr>
            <w:r w:rsidRPr="00173DB5">
              <w:rPr>
                <w:i/>
                <w:iCs/>
                <w:color w:val="000000"/>
                <w:sz w:val="16"/>
                <w:szCs w:val="16"/>
              </w:rPr>
              <w:t>Прогноз  2022 год (базовый вариант)</w:t>
            </w:r>
          </w:p>
        </w:tc>
      </w:tr>
      <w:tr w:rsidR="008330B5" w:rsidRPr="00173DB5" w:rsidTr="008330B5">
        <w:trPr>
          <w:trHeight w:val="615"/>
        </w:trPr>
        <w:tc>
          <w:tcPr>
            <w:tcW w:w="2424"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02"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01"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1492"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02"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33"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53"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c>
          <w:tcPr>
            <w:tcW w:w="953" w:type="dxa"/>
            <w:vMerge/>
            <w:tcBorders>
              <w:top w:val="single" w:sz="4" w:space="0" w:color="auto"/>
              <w:bottom w:val="double" w:sz="4" w:space="0" w:color="auto"/>
            </w:tcBorders>
            <w:vAlign w:val="center"/>
            <w:hideMark/>
          </w:tcPr>
          <w:p w:rsidR="008330B5" w:rsidRPr="00173DB5" w:rsidRDefault="008330B5" w:rsidP="008330B5">
            <w:pPr>
              <w:rPr>
                <w:i/>
                <w:iCs/>
                <w:color w:val="000000"/>
                <w:sz w:val="16"/>
                <w:szCs w:val="16"/>
              </w:rPr>
            </w:pPr>
          </w:p>
        </w:tc>
      </w:tr>
      <w:tr w:rsidR="008330B5" w:rsidRPr="00173DB5" w:rsidTr="008330B5">
        <w:trPr>
          <w:trHeight w:val="789"/>
        </w:trPr>
        <w:tc>
          <w:tcPr>
            <w:tcW w:w="2424" w:type="dxa"/>
            <w:tcBorders>
              <w:top w:val="double" w:sz="4" w:space="0" w:color="auto"/>
            </w:tcBorders>
            <w:shd w:val="clear" w:color="auto" w:fill="auto"/>
            <w:vAlign w:val="center"/>
            <w:hideMark/>
          </w:tcPr>
          <w:p w:rsidR="008330B5" w:rsidRPr="00173DB5" w:rsidRDefault="008330B5" w:rsidP="00B9355D">
            <w:pPr>
              <w:jc w:val="both"/>
              <w:rPr>
                <w:sz w:val="18"/>
                <w:szCs w:val="18"/>
              </w:rPr>
            </w:pPr>
            <w:r w:rsidRPr="00173DB5">
              <w:rPr>
                <w:sz w:val="18"/>
                <w:szCs w:val="18"/>
              </w:rPr>
              <w:t>Инвестиции в основной капитал,</w:t>
            </w:r>
            <w:r w:rsidR="00B9355D">
              <w:rPr>
                <w:sz w:val="18"/>
                <w:szCs w:val="18"/>
              </w:rPr>
              <w:t xml:space="preserve"> млрд. руб.</w:t>
            </w:r>
          </w:p>
        </w:tc>
        <w:tc>
          <w:tcPr>
            <w:tcW w:w="902" w:type="dxa"/>
            <w:tcBorders>
              <w:top w:val="double" w:sz="4" w:space="0" w:color="auto"/>
            </w:tcBorders>
            <w:shd w:val="clear" w:color="auto" w:fill="auto"/>
            <w:vAlign w:val="center"/>
            <w:hideMark/>
          </w:tcPr>
          <w:p w:rsidR="008330B5" w:rsidRPr="00173DB5" w:rsidRDefault="008330B5" w:rsidP="008330B5">
            <w:pPr>
              <w:jc w:val="center"/>
              <w:rPr>
                <w:sz w:val="18"/>
                <w:szCs w:val="18"/>
              </w:rPr>
            </w:pPr>
            <w:r w:rsidRPr="00173DB5">
              <w:rPr>
                <w:sz w:val="18"/>
                <w:szCs w:val="18"/>
              </w:rPr>
              <w:t>191,7</w:t>
            </w:r>
          </w:p>
        </w:tc>
        <w:tc>
          <w:tcPr>
            <w:tcW w:w="901" w:type="dxa"/>
            <w:tcBorders>
              <w:top w:val="double" w:sz="4" w:space="0" w:color="auto"/>
            </w:tcBorders>
            <w:shd w:val="clear" w:color="000000" w:fill="FFFFFF"/>
            <w:vAlign w:val="center"/>
            <w:hideMark/>
          </w:tcPr>
          <w:p w:rsidR="008330B5" w:rsidRPr="00173DB5" w:rsidRDefault="008330B5" w:rsidP="008330B5">
            <w:pPr>
              <w:jc w:val="center"/>
              <w:rPr>
                <w:sz w:val="18"/>
                <w:szCs w:val="18"/>
              </w:rPr>
            </w:pPr>
            <w:r w:rsidRPr="00173DB5">
              <w:rPr>
                <w:sz w:val="18"/>
                <w:szCs w:val="18"/>
              </w:rPr>
              <w:t>184,5</w:t>
            </w:r>
          </w:p>
        </w:tc>
        <w:tc>
          <w:tcPr>
            <w:tcW w:w="1492" w:type="dxa"/>
            <w:tcBorders>
              <w:top w:val="double" w:sz="4" w:space="0" w:color="auto"/>
            </w:tcBorders>
            <w:shd w:val="clear" w:color="auto" w:fill="auto"/>
            <w:vAlign w:val="center"/>
            <w:hideMark/>
          </w:tcPr>
          <w:p w:rsidR="008330B5" w:rsidRPr="00173DB5" w:rsidRDefault="008330B5" w:rsidP="008330B5">
            <w:pPr>
              <w:jc w:val="center"/>
              <w:rPr>
                <w:sz w:val="18"/>
                <w:szCs w:val="18"/>
              </w:rPr>
            </w:pPr>
            <w:r w:rsidRPr="00173DB5">
              <w:rPr>
                <w:sz w:val="18"/>
                <w:szCs w:val="18"/>
              </w:rPr>
              <w:t>54,4** (январь-июнь 2019г.)</w:t>
            </w:r>
          </w:p>
        </w:tc>
        <w:tc>
          <w:tcPr>
            <w:tcW w:w="902" w:type="dxa"/>
            <w:tcBorders>
              <w:top w:val="double" w:sz="4" w:space="0" w:color="auto"/>
            </w:tcBorders>
            <w:shd w:val="clear" w:color="000000" w:fill="FFFFFF"/>
            <w:vAlign w:val="center"/>
            <w:hideMark/>
          </w:tcPr>
          <w:p w:rsidR="008330B5" w:rsidRPr="00173DB5" w:rsidRDefault="008330B5" w:rsidP="008330B5">
            <w:pPr>
              <w:jc w:val="center"/>
              <w:rPr>
                <w:sz w:val="18"/>
                <w:szCs w:val="18"/>
              </w:rPr>
            </w:pPr>
            <w:r w:rsidRPr="00173DB5">
              <w:rPr>
                <w:sz w:val="18"/>
                <w:szCs w:val="18"/>
              </w:rPr>
              <w:t>185,5</w:t>
            </w:r>
          </w:p>
        </w:tc>
        <w:tc>
          <w:tcPr>
            <w:tcW w:w="933" w:type="dxa"/>
            <w:tcBorders>
              <w:top w:val="double" w:sz="4" w:space="0" w:color="auto"/>
            </w:tcBorders>
            <w:shd w:val="clear" w:color="000000" w:fill="FFFFFF"/>
            <w:vAlign w:val="center"/>
            <w:hideMark/>
          </w:tcPr>
          <w:p w:rsidR="008330B5" w:rsidRPr="00173DB5" w:rsidRDefault="008330B5" w:rsidP="008330B5">
            <w:pPr>
              <w:jc w:val="center"/>
              <w:rPr>
                <w:sz w:val="18"/>
                <w:szCs w:val="18"/>
              </w:rPr>
            </w:pPr>
            <w:r w:rsidRPr="00173DB5">
              <w:rPr>
                <w:sz w:val="18"/>
                <w:szCs w:val="18"/>
              </w:rPr>
              <w:t>198,9</w:t>
            </w:r>
          </w:p>
        </w:tc>
        <w:tc>
          <w:tcPr>
            <w:tcW w:w="953" w:type="dxa"/>
            <w:tcBorders>
              <w:top w:val="double" w:sz="4" w:space="0" w:color="auto"/>
            </w:tcBorders>
            <w:shd w:val="clear" w:color="auto" w:fill="auto"/>
            <w:noWrap/>
            <w:vAlign w:val="center"/>
            <w:hideMark/>
          </w:tcPr>
          <w:p w:rsidR="008330B5" w:rsidRPr="00173DB5" w:rsidRDefault="008330B5" w:rsidP="008330B5">
            <w:pPr>
              <w:jc w:val="center"/>
              <w:rPr>
                <w:color w:val="000000"/>
                <w:sz w:val="18"/>
                <w:szCs w:val="18"/>
              </w:rPr>
            </w:pPr>
            <w:r w:rsidRPr="00173DB5">
              <w:rPr>
                <w:color w:val="000000"/>
                <w:sz w:val="18"/>
                <w:szCs w:val="18"/>
              </w:rPr>
              <w:t>218,30</w:t>
            </w:r>
          </w:p>
        </w:tc>
        <w:tc>
          <w:tcPr>
            <w:tcW w:w="953" w:type="dxa"/>
            <w:tcBorders>
              <w:top w:val="double" w:sz="4" w:space="0" w:color="auto"/>
            </w:tcBorders>
            <w:shd w:val="clear" w:color="auto" w:fill="auto"/>
            <w:noWrap/>
            <w:vAlign w:val="center"/>
            <w:hideMark/>
          </w:tcPr>
          <w:p w:rsidR="008330B5" w:rsidRPr="00173DB5" w:rsidRDefault="008330B5" w:rsidP="008330B5">
            <w:pPr>
              <w:jc w:val="center"/>
              <w:rPr>
                <w:color w:val="000000"/>
                <w:sz w:val="18"/>
                <w:szCs w:val="18"/>
              </w:rPr>
            </w:pPr>
            <w:r w:rsidRPr="00173DB5">
              <w:rPr>
                <w:color w:val="000000"/>
                <w:sz w:val="18"/>
                <w:szCs w:val="18"/>
              </w:rPr>
              <w:t>241,50</w:t>
            </w:r>
          </w:p>
        </w:tc>
      </w:tr>
    </w:tbl>
    <w:p w:rsidR="008330B5" w:rsidRDefault="008330B5" w:rsidP="008330B5">
      <w:pPr>
        <w:ind w:firstLine="680"/>
        <w:jc w:val="both"/>
      </w:pPr>
      <w:r>
        <w:lastRenderedPageBreak/>
        <w:t>По оценке 2019 года указанный показатель составит 185,5 млрд. руб. (96,2% к предыдущему году в сопоставимых ценах), т.е. практически на уровне 2018 года. Таким образом, исходя из динамики значения этого показателя за 2017 год – текущий период 2019 года существует риск не</w:t>
      </w:r>
      <w:r w:rsidR="004932E4">
        <w:t xml:space="preserve"> </w:t>
      </w:r>
      <w:r>
        <w:t>достижения прогнозируемых значений на 2020-2022 годы.</w:t>
      </w:r>
    </w:p>
    <w:p w:rsidR="008330B5" w:rsidRDefault="008330B5" w:rsidP="008330B5">
      <w:pPr>
        <w:ind w:firstLine="680"/>
        <w:jc w:val="both"/>
      </w:pPr>
      <w:r>
        <w:t>Приведенная в тексто</w:t>
      </w:r>
      <w:r w:rsidR="004932E4">
        <w:t>вой части Прогноза СЭР (раздел «</w:t>
      </w:r>
      <w:r>
        <w:t>Привлечение инвестиций</w:t>
      </w:r>
      <w:r w:rsidR="004932E4">
        <w:t>»</w:t>
      </w:r>
      <w:r>
        <w:t>) информация о реализуемых инвестиционных проектах не дает четкого представления о сроках ввода в эксплуатацию инвестиционных объектов, объеме инвестиций и количестве создаваемых рабочих мест</w:t>
      </w:r>
      <w:r w:rsidRPr="00516BFA">
        <w:t xml:space="preserve"> </w:t>
      </w:r>
      <w:r>
        <w:t>в разрезе планируемых периодов, в связи с чем</w:t>
      </w:r>
      <w:r w:rsidR="004932E4">
        <w:t>,</w:t>
      </w:r>
      <w:r>
        <w:t xml:space="preserve"> невозможно определить влияние результатов реализации инвестиционных проектов на доходную часть бюджета. </w:t>
      </w:r>
    </w:p>
    <w:p w:rsidR="008330B5" w:rsidRDefault="004932E4" w:rsidP="008330B5">
      <w:pPr>
        <w:ind w:firstLine="680"/>
        <w:jc w:val="both"/>
      </w:pPr>
      <w:r>
        <w:t>В</w:t>
      </w:r>
      <w:r w:rsidR="008330B5">
        <w:t xml:space="preserve"> текстовой части Прогноза СЭР отражена информация о создании территории опережающего соц</w:t>
      </w:r>
      <w:r>
        <w:t>иально-экономического развития «</w:t>
      </w:r>
      <w:r w:rsidR="008330B5">
        <w:t>Михайловка</w:t>
      </w:r>
      <w:r>
        <w:t>»</w:t>
      </w:r>
      <w:r w:rsidR="008330B5">
        <w:t xml:space="preserve">, потенциальными резидентами ТОСЭР заявлены 7 инвесторов с 8 инвестиционными проектами. Общая сумма средств, планируемых инвесторами на внедрение перечисленных проектов в течение 10 лет, составит около 9,7 млрд. рублей. Вместе с тем по данным </w:t>
      </w:r>
      <w:proofErr w:type="spellStart"/>
      <w:r w:rsidR="008330B5">
        <w:t>Об</w:t>
      </w:r>
      <w:r w:rsidR="001925E2">
        <w:t>л</w:t>
      </w:r>
      <w:r w:rsidR="008330B5">
        <w:t>комэкономразвития</w:t>
      </w:r>
      <w:proofErr w:type="spellEnd"/>
      <w:r w:rsidR="008330B5">
        <w:t xml:space="preserve"> по состоянию на 01.10.2019 резиденты на территории ТОСЭР отсутствуют, в </w:t>
      </w:r>
      <w:proofErr w:type="gramStart"/>
      <w:r w:rsidR="008330B5">
        <w:t>связи</w:t>
      </w:r>
      <w:proofErr w:type="gramEnd"/>
      <w:r w:rsidR="008330B5">
        <w:t xml:space="preserve"> с чем можно предположить, что в среднесрочный период (3 года) развитие ТОСЭР может не оказать существенного влияния на рост показателя объема инвестиций.</w:t>
      </w:r>
    </w:p>
    <w:p w:rsidR="008330B5" w:rsidRPr="004A70AF" w:rsidRDefault="008330B5" w:rsidP="008330B5">
      <w:pPr>
        <w:ind w:firstLine="680"/>
        <w:jc w:val="both"/>
      </w:pPr>
      <w:r>
        <w:t xml:space="preserve">Показатель </w:t>
      </w:r>
      <w:r w:rsidRPr="004932E4">
        <w:rPr>
          <w:b/>
          <w:i/>
        </w:rPr>
        <w:t>среднегодовой численности занятых в экономике</w:t>
      </w:r>
      <w:r w:rsidRPr="004A70AF">
        <w:t xml:space="preserve"> прогнозируется на 2020 год в размере 1</w:t>
      </w:r>
      <w:r>
        <w:t> </w:t>
      </w:r>
      <w:r w:rsidRPr="004A70AF">
        <w:t>128,8 тыс. чел., или с ростом к 2018 году на 11,2 тыс. чел. и к оценке 2019 года - на 5 тыс. чел., на 2021 и 2022 год</w:t>
      </w:r>
      <w:r>
        <w:t xml:space="preserve"> – с ростом</w:t>
      </w:r>
      <w:r w:rsidRPr="004A70AF">
        <w:t xml:space="preserve"> на 5,6 тыс.</w:t>
      </w:r>
      <w:r>
        <w:t xml:space="preserve"> </w:t>
      </w:r>
      <w:r w:rsidRPr="004A70AF">
        <w:t xml:space="preserve">чел.  и 5,7 тыс. чел. соответственно. </w:t>
      </w:r>
    </w:p>
    <w:p w:rsidR="008330B5" w:rsidRDefault="008330B5" w:rsidP="008330B5">
      <w:pPr>
        <w:ind w:firstLine="680"/>
        <w:jc w:val="both"/>
      </w:pPr>
      <w:r w:rsidRPr="004A70AF">
        <w:t>Вместе с тем за 2016-2018 годы наблюдается снижение указанного показателя с 1</w:t>
      </w:r>
      <w:r>
        <w:t> </w:t>
      </w:r>
      <w:r w:rsidRPr="004A70AF">
        <w:t>147,7 тыс. чел. до 1</w:t>
      </w:r>
      <w:r>
        <w:t> </w:t>
      </w:r>
      <w:r w:rsidRPr="004A70AF">
        <w:t>117,6 тыс. человек.</w:t>
      </w:r>
      <w:r>
        <w:t xml:space="preserve"> С учетом того, что показатель определяется по итогам года, то по текущему году проанализирован показатель </w:t>
      </w:r>
      <w:r w:rsidRPr="004A70AF">
        <w:t>среднесписочной численности работающих в экономике по полному кругу организа</w:t>
      </w:r>
      <w:r>
        <w:t xml:space="preserve">ций (без внешних совместителей), который согласно данным статистики </w:t>
      </w:r>
      <w:r w:rsidRPr="004A70AF">
        <w:t>за 9 мес. 2019 года составил 593,5 тыс. чел. и снизился в сравнении с аналогичным периодом 2018 года на 2,3</w:t>
      </w:r>
      <w:r>
        <w:t xml:space="preserve"> процента. Также</w:t>
      </w:r>
      <w:r w:rsidRPr="004A70AF">
        <w:t xml:space="preserve"> наблюдается снижение указанного показателя за 2016-2018 годы, что приведено в таблице.</w:t>
      </w:r>
    </w:p>
    <w:p w:rsidR="00B9355D" w:rsidRPr="00B9355D" w:rsidRDefault="00B9355D" w:rsidP="00B9355D">
      <w:pPr>
        <w:ind w:firstLine="680"/>
        <w:jc w:val="right"/>
        <w:rPr>
          <w:sz w:val="20"/>
          <w:szCs w:val="20"/>
        </w:rPr>
      </w:pPr>
      <w:r w:rsidRPr="00B9355D">
        <w:rPr>
          <w:sz w:val="20"/>
          <w:szCs w:val="20"/>
        </w:rPr>
        <w:t>тыс. чел.</w:t>
      </w:r>
    </w:p>
    <w:tbl>
      <w:tblPr>
        <w:tblW w:w="10955" w:type="dxa"/>
        <w:tblInd w:w="-8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275"/>
        <w:gridCol w:w="960"/>
        <w:gridCol w:w="960"/>
        <w:gridCol w:w="960"/>
        <w:gridCol w:w="960"/>
        <w:gridCol w:w="960"/>
        <w:gridCol w:w="960"/>
        <w:gridCol w:w="960"/>
        <w:gridCol w:w="960"/>
      </w:tblGrid>
      <w:tr w:rsidR="008330B5" w:rsidRPr="0002582E" w:rsidTr="008330B5">
        <w:trPr>
          <w:trHeight w:val="630"/>
        </w:trPr>
        <w:tc>
          <w:tcPr>
            <w:tcW w:w="3275"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Наименование показателей</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Отчет                 2016 год</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Отчет                 2017 год</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Отчет                 2018 год</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Факт за 9 мес. 2019 года</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Оценка                           2019 года</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Прогноз  2020 год (базовый вариант)</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Прогноз  2021 год (базовый вариант)</w:t>
            </w:r>
          </w:p>
        </w:tc>
        <w:tc>
          <w:tcPr>
            <w:tcW w:w="960" w:type="dxa"/>
            <w:vMerge w:val="restart"/>
            <w:tcBorders>
              <w:top w:val="double" w:sz="4" w:space="0" w:color="auto"/>
              <w:bottom w:val="double" w:sz="4" w:space="0" w:color="auto"/>
            </w:tcBorders>
            <w:shd w:val="clear" w:color="000000" w:fill="EAF1DD"/>
            <w:vAlign w:val="center"/>
            <w:hideMark/>
          </w:tcPr>
          <w:p w:rsidR="008330B5" w:rsidRPr="0002582E" w:rsidRDefault="008330B5" w:rsidP="008330B5">
            <w:pPr>
              <w:jc w:val="center"/>
              <w:rPr>
                <w:i/>
                <w:iCs/>
                <w:color w:val="000000"/>
                <w:sz w:val="18"/>
                <w:szCs w:val="18"/>
              </w:rPr>
            </w:pPr>
            <w:r w:rsidRPr="0002582E">
              <w:rPr>
                <w:i/>
                <w:iCs/>
                <w:color w:val="000000"/>
                <w:sz w:val="18"/>
                <w:szCs w:val="18"/>
              </w:rPr>
              <w:t>Прогноз  2022 год (базовый вариант)</w:t>
            </w:r>
          </w:p>
        </w:tc>
      </w:tr>
      <w:tr w:rsidR="008330B5" w:rsidRPr="0002582E" w:rsidTr="008330B5">
        <w:trPr>
          <w:trHeight w:val="479"/>
        </w:trPr>
        <w:tc>
          <w:tcPr>
            <w:tcW w:w="3275"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c>
          <w:tcPr>
            <w:tcW w:w="960" w:type="dxa"/>
            <w:vMerge/>
            <w:tcBorders>
              <w:top w:val="single" w:sz="4" w:space="0" w:color="auto"/>
              <w:bottom w:val="double" w:sz="4" w:space="0" w:color="auto"/>
            </w:tcBorders>
            <w:vAlign w:val="center"/>
            <w:hideMark/>
          </w:tcPr>
          <w:p w:rsidR="008330B5" w:rsidRPr="0002582E" w:rsidRDefault="008330B5" w:rsidP="008330B5">
            <w:pPr>
              <w:rPr>
                <w:i/>
                <w:iCs/>
                <w:color w:val="000000"/>
                <w:sz w:val="18"/>
                <w:szCs w:val="18"/>
              </w:rPr>
            </w:pPr>
          </w:p>
        </w:tc>
      </w:tr>
      <w:tr w:rsidR="008330B5" w:rsidRPr="0002582E" w:rsidTr="008330B5">
        <w:trPr>
          <w:trHeight w:val="300"/>
        </w:trPr>
        <w:tc>
          <w:tcPr>
            <w:tcW w:w="3275" w:type="dxa"/>
            <w:tcBorders>
              <w:top w:val="double" w:sz="4" w:space="0" w:color="auto"/>
            </w:tcBorders>
            <w:shd w:val="clear" w:color="auto" w:fill="auto"/>
            <w:vAlign w:val="bottom"/>
            <w:hideMark/>
          </w:tcPr>
          <w:p w:rsidR="008330B5" w:rsidRPr="0002582E" w:rsidRDefault="008330B5" w:rsidP="008330B5">
            <w:pPr>
              <w:rPr>
                <w:color w:val="000000"/>
                <w:sz w:val="18"/>
                <w:szCs w:val="18"/>
              </w:rPr>
            </w:pPr>
            <w:r w:rsidRPr="0002582E">
              <w:rPr>
                <w:color w:val="000000"/>
                <w:sz w:val="18"/>
                <w:szCs w:val="18"/>
              </w:rPr>
              <w:t>Численность трудоспособного населения</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1419,2</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1396,2</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1376,7</w:t>
            </w:r>
          </w:p>
        </w:tc>
        <w:tc>
          <w:tcPr>
            <w:tcW w:w="960" w:type="dxa"/>
            <w:tcBorders>
              <w:top w:val="double" w:sz="4" w:space="0" w:color="auto"/>
            </w:tcBorders>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1356,4</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1337,2</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1321,6</w:t>
            </w:r>
          </w:p>
        </w:tc>
        <w:tc>
          <w:tcPr>
            <w:tcW w:w="960" w:type="dxa"/>
            <w:tcBorders>
              <w:top w:val="double" w:sz="4" w:space="0" w:color="auto"/>
            </w:tcBorders>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1308,1</w:t>
            </w:r>
          </w:p>
        </w:tc>
      </w:tr>
      <w:tr w:rsidR="008330B5" w:rsidRPr="0002582E" w:rsidTr="008330B5">
        <w:trPr>
          <w:trHeight w:val="441"/>
        </w:trPr>
        <w:tc>
          <w:tcPr>
            <w:tcW w:w="3275" w:type="dxa"/>
            <w:shd w:val="clear" w:color="auto" w:fill="auto"/>
            <w:vAlign w:val="bottom"/>
            <w:hideMark/>
          </w:tcPr>
          <w:p w:rsidR="008330B5" w:rsidRPr="0002582E" w:rsidRDefault="008330B5" w:rsidP="008330B5">
            <w:pPr>
              <w:rPr>
                <w:color w:val="000000"/>
                <w:sz w:val="18"/>
                <w:szCs w:val="18"/>
              </w:rPr>
            </w:pPr>
            <w:r w:rsidRPr="0002582E">
              <w:rPr>
                <w:color w:val="000000"/>
                <w:sz w:val="18"/>
                <w:szCs w:val="18"/>
              </w:rPr>
              <w:t xml:space="preserve">Среднегодовая численность </w:t>
            </w:r>
            <w:proofErr w:type="gramStart"/>
            <w:r w:rsidRPr="0002582E">
              <w:rPr>
                <w:color w:val="000000"/>
                <w:sz w:val="18"/>
                <w:szCs w:val="18"/>
              </w:rPr>
              <w:t>занятых</w:t>
            </w:r>
            <w:proofErr w:type="gramEnd"/>
            <w:r w:rsidRPr="0002582E">
              <w:rPr>
                <w:color w:val="000000"/>
                <w:sz w:val="18"/>
                <w:szCs w:val="18"/>
              </w:rPr>
              <w:t xml:space="preserve"> в экономике</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1147,6</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1124,6</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1117,6</w:t>
            </w:r>
          </w:p>
        </w:tc>
        <w:tc>
          <w:tcPr>
            <w:tcW w:w="960" w:type="dxa"/>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1123,2</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1128,8</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1134,4</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1140,1</w:t>
            </w:r>
          </w:p>
        </w:tc>
      </w:tr>
      <w:tr w:rsidR="008330B5" w:rsidRPr="0002582E" w:rsidTr="008330B5">
        <w:trPr>
          <w:trHeight w:val="747"/>
        </w:trPr>
        <w:tc>
          <w:tcPr>
            <w:tcW w:w="3275" w:type="dxa"/>
            <w:shd w:val="clear" w:color="auto" w:fill="auto"/>
            <w:vAlign w:val="bottom"/>
            <w:hideMark/>
          </w:tcPr>
          <w:p w:rsidR="008330B5" w:rsidRPr="0002582E" w:rsidRDefault="008330B5" w:rsidP="00B9355D">
            <w:pPr>
              <w:rPr>
                <w:color w:val="000000"/>
                <w:sz w:val="18"/>
                <w:szCs w:val="18"/>
              </w:rPr>
            </w:pPr>
            <w:r w:rsidRPr="0002582E">
              <w:rPr>
                <w:color w:val="000000"/>
                <w:sz w:val="18"/>
                <w:szCs w:val="18"/>
              </w:rPr>
              <w:t>Среднесписочная численность работающих в экономике по полному кругу организаций (без внешних совместителей)</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610,3</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605,7</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603</w:t>
            </w:r>
          </w:p>
        </w:tc>
        <w:tc>
          <w:tcPr>
            <w:tcW w:w="960" w:type="dxa"/>
            <w:shd w:val="clear" w:color="auto" w:fill="auto"/>
            <w:noWrap/>
            <w:vAlign w:val="bottom"/>
            <w:hideMark/>
          </w:tcPr>
          <w:p w:rsidR="008330B5" w:rsidRPr="0002582E" w:rsidRDefault="008330B5" w:rsidP="008330B5">
            <w:pPr>
              <w:jc w:val="right"/>
              <w:rPr>
                <w:color w:val="000000"/>
                <w:sz w:val="18"/>
                <w:szCs w:val="18"/>
              </w:rPr>
            </w:pPr>
            <w:r w:rsidRPr="0002582E">
              <w:rPr>
                <w:color w:val="000000"/>
                <w:sz w:val="18"/>
                <w:szCs w:val="18"/>
              </w:rPr>
              <w:t>590,2</w:t>
            </w:r>
          </w:p>
        </w:tc>
        <w:tc>
          <w:tcPr>
            <w:tcW w:w="960" w:type="dxa"/>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c>
          <w:tcPr>
            <w:tcW w:w="960" w:type="dxa"/>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c>
          <w:tcPr>
            <w:tcW w:w="960" w:type="dxa"/>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c>
          <w:tcPr>
            <w:tcW w:w="960" w:type="dxa"/>
            <w:shd w:val="clear" w:color="auto" w:fill="auto"/>
            <w:noWrap/>
            <w:vAlign w:val="bottom"/>
            <w:hideMark/>
          </w:tcPr>
          <w:p w:rsidR="008330B5" w:rsidRPr="0002582E" w:rsidRDefault="008330B5" w:rsidP="008330B5">
            <w:pPr>
              <w:rPr>
                <w:color w:val="000000"/>
                <w:sz w:val="18"/>
                <w:szCs w:val="18"/>
              </w:rPr>
            </w:pPr>
            <w:r w:rsidRPr="0002582E">
              <w:rPr>
                <w:color w:val="000000"/>
                <w:sz w:val="18"/>
                <w:szCs w:val="18"/>
              </w:rPr>
              <w:t> </w:t>
            </w:r>
          </w:p>
        </w:tc>
      </w:tr>
    </w:tbl>
    <w:p w:rsidR="008330B5" w:rsidRDefault="008330B5" w:rsidP="008330B5">
      <w:pPr>
        <w:ind w:firstLine="680"/>
        <w:jc w:val="both"/>
      </w:pPr>
    </w:p>
    <w:p w:rsidR="008330B5" w:rsidRDefault="00635DC0" w:rsidP="008330B5">
      <w:pPr>
        <w:ind w:firstLine="680"/>
        <w:jc w:val="both"/>
      </w:pPr>
      <w:r>
        <w:t>С</w:t>
      </w:r>
      <w:r w:rsidR="008330B5">
        <w:t xml:space="preserve">ледует отметить, что увеличение среднегодовой численности </w:t>
      </w:r>
      <w:proofErr w:type="gramStart"/>
      <w:r w:rsidR="008330B5">
        <w:t>занятых</w:t>
      </w:r>
      <w:proofErr w:type="gramEnd"/>
      <w:r w:rsidR="008330B5">
        <w:t xml:space="preserve"> в экономике прогнозируется на фоне снижения показателя численности трудоспособного населения. Так, на протяжении последних трех лет наблюдается снижение численности трудоспособного населения (с 1419,2 тыс. чел. в 2016 году до 1376,7 тыс. чел в 2019 году). Также Прогнозом СЭР запланировано снижение указанного показателя на 2020-2022 годы.</w:t>
      </w:r>
    </w:p>
    <w:p w:rsidR="008330B5" w:rsidRDefault="008330B5" w:rsidP="008330B5">
      <w:pPr>
        <w:ind w:firstLine="680"/>
        <w:jc w:val="both"/>
      </w:pPr>
      <w:r>
        <w:t>Полагаем, что на рост указанного показателя может оказать влияние создание новых рабочих мест.</w:t>
      </w:r>
      <w:r w:rsidR="004932E4">
        <w:t xml:space="preserve"> Согласно Прогнозу СЭР (раздел «</w:t>
      </w:r>
      <w:r>
        <w:t>Привлечение инвестиций</w:t>
      </w:r>
      <w:r w:rsidR="004932E4">
        <w:t>»</w:t>
      </w:r>
      <w:r>
        <w:t xml:space="preserve">) на основании  Закона № 2010-ОД в рамках реализации </w:t>
      </w:r>
      <w:proofErr w:type="spellStart"/>
      <w:r>
        <w:t>инвестпроектов</w:t>
      </w:r>
      <w:proofErr w:type="spellEnd"/>
      <w:r>
        <w:t xml:space="preserve"> будет создано 10,1 тыс. рабочих мест (при этом не указаны периоды, в течение которых планируется создание рабочих мест). Далее указано, что по состоянию на 01.07.2019 уже создано 9,4 тыс. рабочих мест</w:t>
      </w:r>
      <w:r w:rsidR="004932E4">
        <w:t xml:space="preserve"> (не </w:t>
      </w:r>
      <w:r w:rsidR="004932E4">
        <w:lastRenderedPageBreak/>
        <w:t>указаны периоды, в течение которых созданы эти рабочие места)</w:t>
      </w:r>
      <w:r>
        <w:t>, т.е. планируется к созданию 0,7 тыс. рабочих мест (при этом по оценке 2019 года планируется рост на 5,6 тыс. чел.).</w:t>
      </w:r>
    </w:p>
    <w:p w:rsidR="008330B5" w:rsidRDefault="008330B5" w:rsidP="008330B5">
      <w:pPr>
        <w:ind w:firstLine="680"/>
        <w:jc w:val="both"/>
      </w:pPr>
      <w:r>
        <w:t>Кроме того, создание новых рабочих мест предполагает, в том числе массовое перемещение людей на рынке труда. При этом Прогноз СЭР не содержит информации о предполагаемой ликвидации рабочих мест.</w:t>
      </w:r>
    </w:p>
    <w:p w:rsidR="008330B5" w:rsidRDefault="008330B5" w:rsidP="008330B5">
      <w:pPr>
        <w:ind w:firstLine="680"/>
        <w:jc w:val="both"/>
      </w:pPr>
      <w:r>
        <w:t>С учетом изложенного существует риск завышения показателя среднегодовой численности занятых в экономике на прогнозируемый период, что может оказать влияние на объем поступлений НДФЛ.</w:t>
      </w:r>
    </w:p>
    <w:p w:rsidR="008330B5" w:rsidRDefault="008330B5" w:rsidP="008330B5">
      <w:pPr>
        <w:ind w:firstLine="680"/>
        <w:jc w:val="both"/>
      </w:pPr>
    </w:p>
    <w:p w:rsidR="00F37740" w:rsidRPr="00A27310" w:rsidRDefault="00F37740" w:rsidP="00F37740">
      <w:pPr>
        <w:pStyle w:val="1"/>
        <w:ind w:firstLine="708"/>
        <w:jc w:val="center"/>
        <w:rPr>
          <w:b/>
          <w:i/>
          <w:sz w:val="24"/>
          <w:szCs w:val="24"/>
        </w:rPr>
      </w:pPr>
      <w:r w:rsidRPr="00A27310">
        <w:rPr>
          <w:b/>
          <w:i/>
          <w:sz w:val="24"/>
          <w:szCs w:val="24"/>
        </w:rPr>
        <w:t>3. Основные характеристики областного бюджета на 20</w:t>
      </w:r>
      <w:r>
        <w:rPr>
          <w:b/>
          <w:i/>
          <w:sz w:val="24"/>
          <w:szCs w:val="24"/>
        </w:rPr>
        <w:t>20</w:t>
      </w:r>
      <w:r w:rsidRPr="00A27310">
        <w:rPr>
          <w:b/>
          <w:i/>
          <w:sz w:val="24"/>
          <w:szCs w:val="24"/>
        </w:rPr>
        <w:t xml:space="preserve"> год</w:t>
      </w:r>
    </w:p>
    <w:p w:rsidR="00F37740" w:rsidRPr="00A27310" w:rsidRDefault="00F37740" w:rsidP="00F37740">
      <w:pPr>
        <w:pStyle w:val="1"/>
        <w:ind w:firstLine="708"/>
        <w:jc w:val="center"/>
        <w:rPr>
          <w:b/>
          <w:i/>
          <w:sz w:val="24"/>
          <w:szCs w:val="24"/>
        </w:rPr>
      </w:pPr>
      <w:r w:rsidRPr="00A27310">
        <w:rPr>
          <w:b/>
          <w:i/>
          <w:sz w:val="24"/>
          <w:szCs w:val="24"/>
        </w:rPr>
        <w:t>и на плановый период 20</w:t>
      </w:r>
      <w:r>
        <w:rPr>
          <w:b/>
          <w:i/>
          <w:sz w:val="24"/>
          <w:szCs w:val="24"/>
        </w:rPr>
        <w:t>21</w:t>
      </w:r>
      <w:r w:rsidRPr="00A27310">
        <w:rPr>
          <w:b/>
          <w:i/>
          <w:sz w:val="24"/>
          <w:szCs w:val="24"/>
        </w:rPr>
        <w:t xml:space="preserve"> и 20</w:t>
      </w:r>
      <w:r>
        <w:rPr>
          <w:b/>
          <w:i/>
          <w:sz w:val="24"/>
          <w:szCs w:val="24"/>
        </w:rPr>
        <w:t>22</w:t>
      </w:r>
      <w:r w:rsidRPr="00A27310">
        <w:rPr>
          <w:b/>
          <w:i/>
          <w:sz w:val="24"/>
          <w:szCs w:val="24"/>
        </w:rPr>
        <w:t xml:space="preserve"> годов.</w:t>
      </w:r>
    </w:p>
    <w:p w:rsidR="00F37740" w:rsidRDefault="00F37740" w:rsidP="00F37740"/>
    <w:p w:rsidR="00F37740" w:rsidRPr="00A27310" w:rsidRDefault="00F37740" w:rsidP="00F37740">
      <w:pPr>
        <w:pStyle w:val="1"/>
        <w:ind w:firstLine="708"/>
        <w:jc w:val="both"/>
        <w:rPr>
          <w:sz w:val="24"/>
          <w:szCs w:val="24"/>
        </w:rPr>
      </w:pPr>
      <w:r w:rsidRPr="00A27310">
        <w:rPr>
          <w:sz w:val="24"/>
          <w:szCs w:val="24"/>
        </w:rPr>
        <w:t>Предметом рассмотрения проекта закона об областном бюджете на очередной финансовый год и плановый период в первом чтении являются основные характеристики областного бюджета, к которым относятся:</w:t>
      </w:r>
    </w:p>
    <w:p w:rsidR="00F37740" w:rsidRPr="00A27310" w:rsidRDefault="00F37740" w:rsidP="00F37740">
      <w:pPr>
        <w:pStyle w:val="1"/>
        <w:ind w:firstLine="708"/>
        <w:jc w:val="both"/>
        <w:rPr>
          <w:sz w:val="24"/>
          <w:szCs w:val="24"/>
        </w:rPr>
      </w:pPr>
      <w:r w:rsidRPr="00A27310">
        <w:rPr>
          <w:sz w:val="24"/>
          <w:szCs w:val="24"/>
        </w:rPr>
        <w:t>-прогнозируемый общий объем доходов с указанием поступлений из других бюджетов бюджетной системы РФ;</w:t>
      </w:r>
    </w:p>
    <w:p w:rsidR="00F37740" w:rsidRPr="00A27310" w:rsidRDefault="00F37740" w:rsidP="00F37740">
      <w:pPr>
        <w:ind w:firstLine="708"/>
        <w:jc w:val="both"/>
      </w:pPr>
      <w:r w:rsidRPr="00A27310">
        <w:t>-общий объем расходов;</w:t>
      </w:r>
    </w:p>
    <w:p w:rsidR="00F37740" w:rsidRPr="00A27310" w:rsidRDefault="00F37740" w:rsidP="00F37740">
      <w:pPr>
        <w:ind w:firstLine="708"/>
        <w:jc w:val="both"/>
      </w:pPr>
      <w:r w:rsidRPr="00A27310">
        <w:t>-дефицит (</w:t>
      </w:r>
      <w:proofErr w:type="spellStart"/>
      <w:r w:rsidRPr="00A27310">
        <w:t>профицит</w:t>
      </w:r>
      <w:proofErr w:type="spellEnd"/>
      <w:r w:rsidRPr="00A27310">
        <w:t>) областного бюджета;</w:t>
      </w:r>
    </w:p>
    <w:p w:rsidR="00F37740" w:rsidRPr="00A27310" w:rsidRDefault="00F37740" w:rsidP="00F37740">
      <w:pPr>
        <w:ind w:firstLine="708"/>
        <w:jc w:val="both"/>
      </w:pPr>
      <w:r w:rsidRPr="00A27310">
        <w:t>а также:</w:t>
      </w:r>
    </w:p>
    <w:p w:rsidR="00F37740" w:rsidRPr="00A27310" w:rsidRDefault="00F37740" w:rsidP="00F37740">
      <w:pPr>
        <w:ind w:firstLine="708"/>
        <w:jc w:val="both"/>
      </w:pPr>
      <w:r w:rsidRPr="00A27310">
        <w:t>-нормативы распределения доходов между областным</w:t>
      </w:r>
      <w:r>
        <w:t>,</w:t>
      </w:r>
      <w:r w:rsidRPr="00A27310">
        <w:t xml:space="preserve"> местными бюджетами</w:t>
      </w:r>
      <w:r>
        <w:t xml:space="preserve"> и бюджетом территориального фонда обязательного медицинского страхования,</w:t>
      </w:r>
      <w:r w:rsidRPr="00A27310">
        <w:t xml:space="preserve"> не утвержденные бюджетным законодательством РФ;</w:t>
      </w:r>
    </w:p>
    <w:p w:rsidR="00F37740" w:rsidRPr="00A27310" w:rsidRDefault="00F37740" w:rsidP="00F37740">
      <w:pPr>
        <w:ind w:firstLine="708"/>
        <w:jc w:val="both"/>
      </w:pPr>
      <w:r w:rsidRPr="00A27310">
        <w:t>-дополнительные нормативы отчислений от налога на доходы физических лиц в местные бюджеты;</w:t>
      </w:r>
    </w:p>
    <w:p w:rsidR="00F37740" w:rsidRPr="00A27310" w:rsidRDefault="00F37740" w:rsidP="00F37740">
      <w:pPr>
        <w:ind w:firstLine="708"/>
        <w:jc w:val="both"/>
      </w:pPr>
      <w:r w:rsidRPr="00A27310">
        <w:t>-условно утверждаемые расходы в объеме не менее 2,5% общего объема расходов областного бюджета на первый год планового периода и не менее 5% общего объема расходов областного бюджета на второй год планового периода;</w:t>
      </w:r>
    </w:p>
    <w:p w:rsidR="00965BBA" w:rsidRPr="00965BBA" w:rsidRDefault="00965BBA" w:rsidP="00965BBA">
      <w:pPr>
        <w:autoSpaceDE w:val="0"/>
        <w:autoSpaceDN w:val="0"/>
        <w:adjustRightInd w:val="0"/>
        <w:ind w:firstLine="540"/>
        <w:jc w:val="both"/>
        <w:rPr>
          <w:rFonts w:eastAsiaTheme="minorHAnsi"/>
          <w:bCs/>
          <w:iCs/>
          <w:lang w:eastAsia="en-US"/>
        </w:rPr>
      </w:pPr>
      <w:r>
        <w:rPr>
          <w:rFonts w:eastAsiaTheme="minorHAnsi"/>
          <w:bCs/>
          <w:iCs/>
          <w:lang w:eastAsia="en-US"/>
        </w:rPr>
        <w:t>-к</w:t>
      </w:r>
      <w:r w:rsidRPr="00965BBA">
        <w:rPr>
          <w:rFonts w:eastAsiaTheme="minorHAnsi"/>
          <w:bCs/>
          <w:iCs/>
          <w:lang w:eastAsia="en-US"/>
        </w:rPr>
        <w:t>ритерий выравнивания расчетной бюджетной обеспеченности муниципальных районов (городских округов), критерии выравнивания финансовых возможностей городских и сельских поселений, размеры областного фонда финансовой поддержки поселений, областного фонда финансовой поддержки муниципальных районов (городских округов), иных дотаций, субвенций, субсидий и иных межбюджетных трансфертов из областного бюджета;</w:t>
      </w:r>
    </w:p>
    <w:p w:rsidR="00F37740" w:rsidRDefault="00F37740" w:rsidP="00F37740">
      <w:pPr>
        <w:ind w:firstLine="708"/>
        <w:jc w:val="both"/>
      </w:pPr>
      <w:r w:rsidRPr="00A27310">
        <w:t>-верхний предел государственного внутреннего долга по состоянию на первое января года, следующего за очередным финансовым годом и</w:t>
      </w:r>
      <w:r>
        <w:t xml:space="preserve"> каждым годом планового периода;</w:t>
      </w:r>
    </w:p>
    <w:p w:rsidR="00F37740" w:rsidRDefault="00F37740" w:rsidP="00F37740">
      <w:pPr>
        <w:ind w:firstLine="708"/>
        <w:jc w:val="both"/>
      </w:pPr>
      <w:r>
        <w:t>-прогноз поступлений по налогам, сборам, платежам и поступлений из других бюджетов бюджетной системы РФ.</w:t>
      </w:r>
    </w:p>
    <w:p w:rsidR="00F37740" w:rsidRDefault="00F37740" w:rsidP="00F37740">
      <w:pPr>
        <w:pStyle w:val="1"/>
        <w:ind w:firstLine="708"/>
        <w:jc w:val="center"/>
        <w:rPr>
          <w:b/>
          <w:i/>
          <w:sz w:val="24"/>
          <w:szCs w:val="24"/>
        </w:rPr>
      </w:pPr>
    </w:p>
    <w:p w:rsidR="00F37740" w:rsidRPr="00A27310" w:rsidRDefault="00F37740" w:rsidP="00F37740">
      <w:pPr>
        <w:pStyle w:val="1"/>
        <w:ind w:firstLine="708"/>
        <w:jc w:val="center"/>
        <w:rPr>
          <w:b/>
          <w:i/>
          <w:sz w:val="24"/>
          <w:szCs w:val="24"/>
        </w:rPr>
      </w:pPr>
      <w:r w:rsidRPr="00A27310">
        <w:rPr>
          <w:b/>
          <w:i/>
          <w:sz w:val="24"/>
          <w:szCs w:val="24"/>
        </w:rPr>
        <w:t>3.1. Прогнозируемый общий объем доходов</w:t>
      </w:r>
    </w:p>
    <w:p w:rsidR="00F37740" w:rsidRPr="00A27310" w:rsidRDefault="00F37740" w:rsidP="00F37740">
      <w:pPr>
        <w:pStyle w:val="1"/>
        <w:ind w:firstLine="708"/>
        <w:jc w:val="center"/>
        <w:rPr>
          <w:b/>
          <w:i/>
          <w:sz w:val="24"/>
          <w:szCs w:val="24"/>
        </w:rPr>
      </w:pPr>
      <w:r w:rsidRPr="00A27310">
        <w:rPr>
          <w:b/>
          <w:i/>
          <w:sz w:val="24"/>
          <w:szCs w:val="24"/>
        </w:rPr>
        <w:t xml:space="preserve"> с указанием поступлений из других бюджетов бюджетной системы РФ.</w:t>
      </w:r>
    </w:p>
    <w:p w:rsidR="00F37740" w:rsidRDefault="00F37740" w:rsidP="00F37740">
      <w:pPr>
        <w:pStyle w:val="a3"/>
        <w:tabs>
          <w:tab w:val="num" w:pos="0"/>
        </w:tabs>
        <w:ind w:firstLine="680"/>
        <w:jc w:val="both"/>
        <w:outlineLvl w:val="0"/>
      </w:pPr>
    </w:p>
    <w:p w:rsidR="00F37740" w:rsidRPr="00453858" w:rsidRDefault="00F37740" w:rsidP="00F37740">
      <w:pPr>
        <w:pStyle w:val="a3"/>
        <w:tabs>
          <w:tab w:val="num" w:pos="0"/>
        </w:tabs>
        <w:ind w:firstLine="680"/>
        <w:jc w:val="both"/>
        <w:outlineLvl w:val="0"/>
      </w:pPr>
      <w:r w:rsidRPr="00453858">
        <w:t>Доходы областного бюджета на 20</w:t>
      </w:r>
      <w:r>
        <w:t>20</w:t>
      </w:r>
      <w:r w:rsidRPr="00453858">
        <w:t xml:space="preserve"> год прогнозируются в сумме </w:t>
      </w:r>
      <w:r>
        <w:t>108 916,4 млн. руб.</w:t>
      </w:r>
      <w:r w:rsidRPr="00453858">
        <w:t xml:space="preserve">, что </w:t>
      </w:r>
      <w:r>
        <w:t>ниж</w:t>
      </w:r>
      <w:r w:rsidRPr="00453858">
        <w:t>е плана 201</w:t>
      </w:r>
      <w:r>
        <w:t>9</w:t>
      </w:r>
      <w:r w:rsidRPr="00453858">
        <w:t xml:space="preserve"> года на </w:t>
      </w:r>
      <w:r>
        <w:t>2 350,7</w:t>
      </w:r>
      <w:r w:rsidRPr="00453858">
        <w:t xml:space="preserve"> млн. руб., или на </w:t>
      </w:r>
      <w:r>
        <w:t>2,1</w:t>
      </w:r>
      <w:r w:rsidRPr="00453858">
        <w:t>%, на 20</w:t>
      </w:r>
      <w:r>
        <w:t>2</w:t>
      </w:r>
      <w:r w:rsidR="00D20DF3">
        <w:t>1</w:t>
      </w:r>
      <w:r w:rsidRPr="00453858">
        <w:t xml:space="preserve"> год </w:t>
      </w:r>
      <w:r>
        <w:t>–</w:t>
      </w:r>
      <w:r w:rsidRPr="00453858">
        <w:t xml:space="preserve"> </w:t>
      </w:r>
      <w:r>
        <w:t>116 520,8</w:t>
      </w:r>
      <w:r w:rsidRPr="00453858">
        <w:t xml:space="preserve"> млн. руб., на 202</w:t>
      </w:r>
      <w:r w:rsidR="00D20DF3">
        <w:t>2</w:t>
      </w:r>
      <w:r w:rsidRPr="00453858">
        <w:t xml:space="preserve"> год </w:t>
      </w:r>
      <w:r>
        <w:t>–</w:t>
      </w:r>
      <w:r w:rsidRPr="00453858">
        <w:t xml:space="preserve"> </w:t>
      </w:r>
      <w:r>
        <w:t>11</w:t>
      </w:r>
      <w:r w:rsidRPr="00453858">
        <w:t>9</w:t>
      </w:r>
      <w:r>
        <w:t> 189,2</w:t>
      </w:r>
      <w:r w:rsidRPr="00453858">
        <w:t xml:space="preserve"> млн. рублей. </w:t>
      </w:r>
    </w:p>
    <w:p w:rsidR="00F37740" w:rsidRPr="00453858" w:rsidRDefault="00F37740" w:rsidP="00F37740">
      <w:pPr>
        <w:pStyle w:val="a3"/>
        <w:tabs>
          <w:tab w:val="num" w:pos="0"/>
        </w:tabs>
        <w:ind w:firstLine="680"/>
        <w:jc w:val="both"/>
        <w:outlineLvl w:val="0"/>
      </w:pPr>
      <w:r w:rsidRPr="00846525">
        <w:t xml:space="preserve">В общем объеме доходов </w:t>
      </w:r>
      <w:r w:rsidRPr="003C7EFA">
        <w:t>консолидированного бюджета Волгоградской области на 2020 год доля доходов областного бюджета составит 84,0%, на 2021 год – 84,</w:t>
      </w:r>
      <w:r>
        <w:t>8</w:t>
      </w:r>
      <w:r w:rsidRPr="003C7EFA">
        <w:t>%, на 2022 год – 85</w:t>
      </w:r>
      <w:r>
        <w:t>,0</w:t>
      </w:r>
      <w:r w:rsidRPr="003C7EFA">
        <w:t xml:space="preserve"> процентов.</w:t>
      </w:r>
    </w:p>
    <w:p w:rsidR="00F37740" w:rsidRPr="00453858" w:rsidRDefault="00F37740" w:rsidP="00F37740">
      <w:pPr>
        <w:pStyle w:val="a3"/>
        <w:tabs>
          <w:tab w:val="num" w:pos="0"/>
        </w:tabs>
        <w:ind w:firstLine="680"/>
        <w:jc w:val="both"/>
        <w:outlineLvl w:val="0"/>
      </w:pPr>
      <w:r w:rsidRPr="00453858">
        <w:t>Структура доходной части областного бюджета на 20</w:t>
      </w:r>
      <w:r>
        <w:t>20</w:t>
      </w:r>
      <w:r w:rsidRPr="00453858">
        <w:t>-202</w:t>
      </w:r>
      <w:r>
        <w:t>2</w:t>
      </w:r>
      <w:r w:rsidRPr="00453858">
        <w:t xml:space="preserve"> годы выглядит следующим образом:</w:t>
      </w:r>
    </w:p>
    <w:p w:rsidR="00D54A17" w:rsidRDefault="00D54A17" w:rsidP="00F37740">
      <w:pPr>
        <w:pStyle w:val="a3"/>
        <w:tabs>
          <w:tab w:val="num" w:pos="0"/>
        </w:tabs>
        <w:ind w:firstLine="709"/>
        <w:jc w:val="right"/>
        <w:outlineLvl w:val="0"/>
        <w:rPr>
          <w:sz w:val="20"/>
          <w:szCs w:val="20"/>
        </w:rPr>
      </w:pPr>
    </w:p>
    <w:p w:rsidR="00F37740" w:rsidRDefault="00F37740" w:rsidP="00F37740">
      <w:pPr>
        <w:pStyle w:val="a3"/>
        <w:tabs>
          <w:tab w:val="num" w:pos="0"/>
        </w:tabs>
        <w:ind w:firstLine="709"/>
        <w:jc w:val="right"/>
        <w:outlineLvl w:val="0"/>
      </w:pPr>
      <w:r w:rsidRPr="00C237F6">
        <w:rPr>
          <w:sz w:val="20"/>
          <w:szCs w:val="20"/>
        </w:rPr>
        <w:lastRenderedPageBreak/>
        <w:t>млн. руб.</w:t>
      </w:r>
    </w:p>
    <w:tbl>
      <w:tblPr>
        <w:tblW w:w="9662" w:type="dxa"/>
        <w:tblInd w:w="85" w:type="dxa"/>
        <w:tblLook w:val="04A0"/>
      </w:tblPr>
      <w:tblGrid>
        <w:gridCol w:w="1724"/>
        <w:gridCol w:w="1134"/>
        <w:gridCol w:w="851"/>
        <w:gridCol w:w="1134"/>
        <w:gridCol w:w="850"/>
        <w:gridCol w:w="1134"/>
        <w:gridCol w:w="851"/>
        <w:gridCol w:w="1134"/>
        <w:gridCol w:w="850"/>
      </w:tblGrid>
      <w:tr w:rsidR="00F37740" w:rsidRPr="00FB4C46" w:rsidTr="004F6845">
        <w:trPr>
          <w:trHeight w:val="264"/>
        </w:trPr>
        <w:tc>
          <w:tcPr>
            <w:tcW w:w="1724" w:type="dxa"/>
            <w:vMerge w:val="restart"/>
            <w:tcBorders>
              <w:top w:val="double" w:sz="6" w:space="0" w:color="auto"/>
              <w:left w:val="double" w:sz="6" w:space="0" w:color="auto"/>
              <w:bottom w:val="single" w:sz="8" w:space="0" w:color="000000"/>
              <w:right w:val="single" w:sz="8" w:space="0" w:color="auto"/>
            </w:tcBorders>
            <w:shd w:val="clear" w:color="000000" w:fill="EAF1DD"/>
            <w:hideMark/>
          </w:tcPr>
          <w:p w:rsidR="00F37740" w:rsidRDefault="00F37740" w:rsidP="004F6845">
            <w:pPr>
              <w:jc w:val="center"/>
              <w:rPr>
                <w:b/>
                <w:bCs/>
                <w:color w:val="000000"/>
                <w:sz w:val="20"/>
                <w:szCs w:val="20"/>
              </w:rPr>
            </w:pPr>
          </w:p>
          <w:p w:rsidR="00F37740" w:rsidRPr="00FB4C46" w:rsidRDefault="00F37740" w:rsidP="004F6845">
            <w:pPr>
              <w:jc w:val="center"/>
              <w:rPr>
                <w:b/>
                <w:bCs/>
                <w:color w:val="000000"/>
                <w:sz w:val="20"/>
                <w:szCs w:val="20"/>
              </w:rPr>
            </w:pPr>
            <w:r w:rsidRPr="00FB4C46">
              <w:rPr>
                <w:b/>
                <w:bCs/>
                <w:color w:val="000000"/>
                <w:sz w:val="20"/>
                <w:szCs w:val="20"/>
              </w:rPr>
              <w:t>Показатели</w:t>
            </w:r>
          </w:p>
        </w:tc>
        <w:tc>
          <w:tcPr>
            <w:tcW w:w="1985" w:type="dxa"/>
            <w:gridSpan w:val="2"/>
            <w:tcBorders>
              <w:top w:val="double" w:sz="6" w:space="0" w:color="auto"/>
              <w:left w:val="nil"/>
              <w:bottom w:val="single" w:sz="8" w:space="0" w:color="auto"/>
              <w:right w:val="single" w:sz="8" w:space="0" w:color="000000"/>
            </w:tcBorders>
            <w:shd w:val="clear" w:color="000000" w:fill="EAF1DD"/>
            <w:hideMark/>
          </w:tcPr>
          <w:p w:rsidR="00F37740" w:rsidRPr="003C7EFA" w:rsidRDefault="00F37740" w:rsidP="004F6845">
            <w:pPr>
              <w:jc w:val="center"/>
              <w:rPr>
                <w:b/>
                <w:bCs/>
                <w:color w:val="000000"/>
                <w:sz w:val="20"/>
                <w:szCs w:val="20"/>
              </w:rPr>
            </w:pPr>
            <w:r w:rsidRPr="003C7EFA">
              <w:rPr>
                <w:b/>
                <w:bCs/>
                <w:color w:val="000000"/>
                <w:sz w:val="20"/>
                <w:szCs w:val="20"/>
              </w:rPr>
              <w:t>2019 год (оценка)</w:t>
            </w:r>
          </w:p>
        </w:tc>
        <w:tc>
          <w:tcPr>
            <w:tcW w:w="1984" w:type="dxa"/>
            <w:gridSpan w:val="2"/>
            <w:tcBorders>
              <w:top w:val="double" w:sz="6" w:space="0" w:color="auto"/>
              <w:left w:val="nil"/>
              <w:bottom w:val="single" w:sz="8" w:space="0" w:color="auto"/>
              <w:right w:val="single" w:sz="8" w:space="0" w:color="000000"/>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2020 год</w:t>
            </w:r>
          </w:p>
        </w:tc>
        <w:tc>
          <w:tcPr>
            <w:tcW w:w="1985" w:type="dxa"/>
            <w:gridSpan w:val="2"/>
            <w:tcBorders>
              <w:top w:val="double" w:sz="6" w:space="0" w:color="auto"/>
              <w:left w:val="nil"/>
              <w:bottom w:val="single" w:sz="8" w:space="0" w:color="auto"/>
              <w:right w:val="double" w:sz="6" w:space="0" w:color="000000"/>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2021 год</w:t>
            </w:r>
          </w:p>
        </w:tc>
        <w:tc>
          <w:tcPr>
            <w:tcW w:w="1984" w:type="dxa"/>
            <w:gridSpan w:val="2"/>
            <w:tcBorders>
              <w:top w:val="double" w:sz="6" w:space="0" w:color="auto"/>
              <w:left w:val="single" w:sz="8" w:space="0" w:color="000000"/>
              <w:bottom w:val="single" w:sz="8" w:space="0" w:color="auto"/>
              <w:right w:val="double" w:sz="6" w:space="0" w:color="000000"/>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2022 год</w:t>
            </w:r>
          </w:p>
        </w:tc>
      </w:tr>
      <w:tr w:rsidR="00F37740" w:rsidRPr="00FB4C46" w:rsidTr="004F6845">
        <w:trPr>
          <w:trHeight w:val="317"/>
        </w:trPr>
        <w:tc>
          <w:tcPr>
            <w:tcW w:w="1724" w:type="dxa"/>
            <w:vMerge/>
            <w:tcBorders>
              <w:top w:val="double" w:sz="6" w:space="0" w:color="auto"/>
              <w:left w:val="double" w:sz="6" w:space="0" w:color="auto"/>
              <w:bottom w:val="single" w:sz="8" w:space="0" w:color="000000"/>
              <w:right w:val="single" w:sz="8" w:space="0" w:color="auto"/>
            </w:tcBorders>
            <w:vAlign w:val="center"/>
            <w:hideMark/>
          </w:tcPr>
          <w:p w:rsidR="00F37740" w:rsidRPr="00FB4C46" w:rsidRDefault="00F37740" w:rsidP="004F6845">
            <w:pPr>
              <w:rPr>
                <w:b/>
                <w:bCs/>
                <w:color w:val="000000"/>
                <w:sz w:val="20"/>
                <w:szCs w:val="20"/>
              </w:rPr>
            </w:pPr>
          </w:p>
        </w:tc>
        <w:tc>
          <w:tcPr>
            <w:tcW w:w="1134" w:type="dxa"/>
            <w:tcBorders>
              <w:top w:val="nil"/>
              <w:left w:val="nil"/>
              <w:bottom w:val="single" w:sz="8" w:space="0" w:color="auto"/>
              <w:right w:val="single" w:sz="8" w:space="0" w:color="auto"/>
            </w:tcBorders>
            <w:shd w:val="clear" w:color="000000" w:fill="EAF1DD"/>
            <w:hideMark/>
          </w:tcPr>
          <w:p w:rsidR="00F37740" w:rsidRPr="003C7EFA" w:rsidRDefault="00F37740" w:rsidP="004F6845">
            <w:pPr>
              <w:jc w:val="center"/>
              <w:rPr>
                <w:b/>
                <w:bCs/>
                <w:color w:val="000000"/>
                <w:sz w:val="20"/>
                <w:szCs w:val="20"/>
              </w:rPr>
            </w:pPr>
            <w:r w:rsidRPr="003C7EFA">
              <w:rPr>
                <w:b/>
                <w:bCs/>
                <w:color w:val="000000"/>
                <w:sz w:val="20"/>
                <w:szCs w:val="20"/>
              </w:rPr>
              <w:t>сумма</w:t>
            </w:r>
          </w:p>
        </w:tc>
        <w:tc>
          <w:tcPr>
            <w:tcW w:w="851" w:type="dxa"/>
            <w:tcBorders>
              <w:top w:val="nil"/>
              <w:left w:val="nil"/>
              <w:bottom w:val="single" w:sz="8" w:space="0" w:color="auto"/>
              <w:right w:val="single" w:sz="8" w:space="0" w:color="auto"/>
            </w:tcBorders>
            <w:shd w:val="clear" w:color="000000" w:fill="EAF1DD"/>
            <w:hideMark/>
          </w:tcPr>
          <w:p w:rsidR="00F37740" w:rsidRPr="003C7EFA" w:rsidRDefault="00F37740" w:rsidP="004F6845">
            <w:pPr>
              <w:jc w:val="center"/>
              <w:rPr>
                <w:b/>
                <w:bCs/>
                <w:color w:val="000000"/>
                <w:sz w:val="20"/>
                <w:szCs w:val="20"/>
              </w:rPr>
            </w:pPr>
            <w:r w:rsidRPr="003C7EFA">
              <w:rPr>
                <w:b/>
                <w:bCs/>
                <w:color w:val="000000"/>
                <w:sz w:val="20"/>
                <w:szCs w:val="20"/>
              </w:rPr>
              <w:t>доля, %</w:t>
            </w:r>
          </w:p>
        </w:tc>
        <w:tc>
          <w:tcPr>
            <w:tcW w:w="1134" w:type="dxa"/>
            <w:tcBorders>
              <w:top w:val="nil"/>
              <w:left w:val="nil"/>
              <w:bottom w:val="single" w:sz="8" w:space="0" w:color="auto"/>
              <w:right w:val="single" w:sz="8"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сумма</w:t>
            </w:r>
          </w:p>
        </w:tc>
        <w:tc>
          <w:tcPr>
            <w:tcW w:w="850" w:type="dxa"/>
            <w:tcBorders>
              <w:top w:val="nil"/>
              <w:left w:val="nil"/>
              <w:bottom w:val="single" w:sz="8" w:space="0" w:color="auto"/>
              <w:right w:val="single" w:sz="8"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доля, %</w:t>
            </w:r>
          </w:p>
        </w:tc>
        <w:tc>
          <w:tcPr>
            <w:tcW w:w="1134" w:type="dxa"/>
            <w:tcBorders>
              <w:top w:val="nil"/>
              <w:left w:val="nil"/>
              <w:bottom w:val="single" w:sz="8" w:space="0" w:color="auto"/>
              <w:right w:val="single" w:sz="8"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сумма</w:t>
            </w:r>
          </w:p>
        </w:tc>
        <w:tc>
          <w:tcPr>
            <w:tcW w:w="851" w:type="dxa"/>
            <w:tcBorders>
              <w:top w:val="nil"/>
              <w:left w:val="nil"/>
              <w:bottom w:val="single" w:sz="8" w:space="0" w:color="auto"/>
              <w:right w:val="single" w:sz="8"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доля, %</w:t>
            </w:r>
          </w:p>
        </w:tc>
        <w:tc>
          <w:tcPr>
            <w:tcW w:w="1134" w:type="dxa"/>
            <w:tcBorders>
              <w:top w:val="nil"/>
              <w:left w:val="nil"/>
              <w:bottom w:val="single" w:sz="8" w:space="0" w:color="auto"/>
              <w:right w:val="single" w:sz="8"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сумма</w:t>
            </w:r>
          </w:p>
        </w:tc>
        <w:tc>
          <w:tcPr>
            <w:tcW w:w="850" w:type="dxa"/>
            <w:tcBorders>
              <w:top w:val="nil"/>
              <w:left w:val="nil"/>
              <w:bottom w:val="single" w:sz="8" w:space="0" w:color="auto"/>
              <w:right w:val="double" w:sz="6" w:space="0" w:color="auto"/>
            </w:tcBorders>
            <w:shd w:val="clear" w:color="000000" w:fill="EAF1DD"/>
            <w:hideMark/>
          </w:tcPr>
          <w:p w:rsidR="00F37740" w:rsidRPr="00FB4C46" w:rsidRDefault="00F37740" w:rsidP="004F6845">
            <w:pPr>
              <w:jc w:val="center"/>
              <w:rPr>
                <w:b/>
                <w:bCs/>
                <w:color w:val="000000"/>
                <w:sz w:val="20"/>
                <w:szCs w:val="20"/>
              </w:rPr>
            </w:pPr>
            <w:r w:rsidRPr="00FB4C46">
              <w:rPr>
                <w:b/>
                <w:bCs/>
                <w:color w:val="000000"/>
                <w:sz w:val="20"/>
                <w:szCs w:val="20"/>
              </w:rPr>
              <w:t>доля, %</w:t>
            </w:r>
          </w:p>
        </w:tc>
      </w:tr>
      <w:tr w:rsidR="00F37740" w:rsidRPr="00FB4C46" w:rsidTr="004F6845">
        <w:trPr>
          <w:trHeight w:val="525"/>
        </w:trPr>
        <w:tc>
          <w:tcPr>
            <w:tcW w:w="1724" w:type="dxa"/>
            <w:tcBorders>
              <w:top w:val="nil"/>
              <w:left w:val="double" w:sz="6" w:space="0" w:color="auto"/>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Налоговые доходы</w:t>
            </w:r>
          </w:p>
        </w:tc>
        <w:tc>
          <w:tcPr>
            <w:tcW w:w="1134"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71 937,7</w:t>
            </w:r>
          </w:p>
        </w:tc>
        <w:tc>
          <w:tcPr>
            <w:tcW w:w="851"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64,6</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75 561,1</w:t>
            </w:r>
          </w:p>
        </w:tc>
        <w:tc>
          <w:tcPr>
            <w:tcW w:w="850" w:type="dxa"/>
            <w:tcBorders>
              <w:top w:val="nil"/>
              <w:left w:val="nil"/>
              <w:bottom w:val="single" w:sz="8" w:space="0" w:color="auto"/>
              <w:right w:val="single" w:sz="8" w:space="0" w:color="auto"/>
            </w:tcBorders>
            <w:shd w:val="clear" w:color="auto" w:fill="auto"/>
            <w:hideMark/>
          </w:tcPr>
          <w:p w:rsidR="00F37740" w:rsidRDefault="00F37740" w:rsidP="004F6845">
            <w:pPr>
              <w:jc w:val="center"/>
              <w:rPr>
                <w:color w:val="4F6228"/>
                <w:sz w:val="20"/>
                <w:szCs w:val="20"/>
              </w:rPr>
            </w:pPr>
            <w:r>
              <w:rPr>
                <w:color w:val="4F6228"/>
                <w:sz w:val="20"/>
                <w:szCs w:val="20"/>
              </w:rPr>
              <w:t>69,4</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82 084,1</w:t>
            </w:r>
          </w:p>
        </w:tc>
        <w:tc>
          <w:tcPr>
            <w:tcW w:w="851" w:type="dxa"/>
            <w:tcBorders>
              <w:top w:val="nil"/>
              <w:left w:val="nil"/>
              <w:bottom w:val="single" w:sz="8" w:space="0" w:color="auto"/>
              <w:right w:val="single" w:sz="8" w:space="0" w:color="auto"/>
            </w:tcBorders>
            <w:shd w:val="clear" w:color="auto" w:fill="auto"/>
            <w:hideMark/>
          </w:tcPr>
          <w:p w:rsidR="00F37740" w:rsidRDefault="00F37740" w:rsidP="004F6845">
            <w:pPr>
              <w:jc w:val="center"/>
              <w:rPr>
                <w:color w:val="4F6228"/>
                <w:sz w:val="20"/>
                <w:szCs w:val="20"/>
              </w:rPr>
            </w:pPr>
            <w:r>
              <w:rPr>
                <w:color w:val="4F6228"/>
                <w:sz w:val="20"/>
                <w:szCs w:val="20"/>
              </w:rPr>
              <w:t>70,4</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85 596,9</w:t>
            </w:r>
          </w:p>
        </w:tc>
        <w:tc>
          <w:tcPr>
            <w:tcW w:w="850" w:type="dxa"/>
            <w:tcBorders>
              <w:top w:val="nil"/>
              <w:left w:val="nil"/>
              <w:bottom w:val="single" w:sz="8" w:space="0" w:color="auto"/>
              <w:right w:val="double" w:sz="6" w:space="0" w:color="auto"/>
            </w:tcBorders>
            <w:shd w:val="clear" w:color="auto" w:fill="auto"/>
            <w:hideMark/>
          </w:tcPr>
          <w:p w:rsidR="00F37740" w:rsidRDefault="00F37740" w:rsidP="004F6845">
            <w:pPr>
              <w:jc w:val="center"/>
              <w:rPr>
                <w:color w:val="4F6228"/>
                <w:sz w:val="20"/>
                <w:szCs w:val="20"/>
              </w:rPr>
            </w:pPr>
            <w:r>
              <w:rPr>
                <w:color w:val="4F6228"/>
                <w:sz w:val="20"/>
                <w:szCs w:val="20"/>
              </w:rPr>
              <w:t>71,8</w:t>
            </w:r>
          </w:p>
        </w:tc>
      </w:tr>
      <w:tr w:rsidR="00F37740" w:rsidRPr="00FB4C46" w:rsidTr="004F6845">
        <w:trPr>
          <w:trHeight w:val="525"/>
        </w:trPr>
        <w:tc>
          <w:tcPr>
            <w:tcW w:w="1724" w:type="dxa"/>
            <w:tcBorders>
              <w:top w:val="nil"/>
              <w:left w:val="double" w:sz="6" w:space="0" w:color="auto"/>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Неналоговые доходы</w:t>
            </w:r>
          </w:p>
        </w:tc>
        <w:tc>
          <w:tcPr>
            <w:tcW w:w="1134"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1 883,8</w:t>
            </w:r>
          </w:p>
        </w:tc>
        <w:tc>
          <w:tcPr>
            <w:tcW w:w="851"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1,7</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1 711,1</w:t>
            </w:r>
          </w:p>
        </w:tc>
        <w:tc>
          <w:tcPr>
            <w:tcW w:w="850" w:type="dxa"/>
            <w:tcBorders>
              <w:top w:val="nil"/>
              <w:left w:val="nil"/>
              <w:bottom w:val="single" w:sz="8" w:space="0" w:color="auto"/>
              <w:right w:val="single" w:sz="8" w:space="0" w:color="auto"/>
            </w:tcBorders>
            <w:shd w:val="clear" w:color="auto" w:fill="auto"/>
            <w:hideMark/>
          </w:tcPr>
          <w:p w:rsidR="00F37740" w:rsidRDefault="00F37740" w:rsidP="004F6845">
            <w:pPr>
              <w:jc w:val="center"/>
              <w:rPr>
                <w:color w:val="4F6228"/>
                <w:sz w:val="20"/>
                <w:szCs w:val="20"/>
              </w:rPr>
            </w:pPr>
            <w:r>
              <w:rPr>
                <w:color w:val="4F6228"/>
                <w:sz w:val="20"/>
                <w:szCs w:val="20"/>
              </w:rPr>
              <w:t>1,5</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1 722,3</w:t>
            </w:r>
          </w:p>
        </w:tc>
        <w:tc>
          <w:tcPr>
            <w:tcW w:w="851" w:type="dxa"/>
            <w:tcBorders>
              <w:top w:val="nil"/>
              <w:left w:val="nil"/>
              <w:bottom w:val="single" w:sz="8" w:space="0" w:color="auto"/>
              <w:right w:val="single" w:sz="8" w:space="0" w:color="auto"/>
            </w:tcBorders>
            <w:shd w:val="clear" w:color="auto" w:fill="auto"/>
            <w:hideMark/>
          </w:tcPr>
          <w:p w:rsidR="00F37740" w:rsidRDefault="00F37740" w:rsidP="004F6845">
            <w:pPr>
              <w:jc w:val="center"/>
              <w:rPr>
                <w:color w:val="4F6228"/>
                <w:sz w:val="20"/>
                <w:szCs w:val="20"/>
              </w:rPr>
            </w:pPr>
            <w:r>
              <w:rPr>
                <w:color w:val="4F6228"/>
                <w:sz w:val="20"/>
                <w:szCs w:val="20"/>
              </w:rPr>
              <w:t>1,5</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1 733,3</w:t>
            </w:r>
          </w:p>
        </w:tc>
        <w:tc>
          <w:tcPr>
            <w:tcW w:w="850" w:type="dxa"/>
            <w:tcBorders>
              <w:top w:val="nil"/>
              <w:left w:val="nil"/>
              <w:bottom w:val="single" w:sz="8" w:space="0" w:color="auto"/>
              <w:right w:val="double" w:sz="6" w:space="0" w:color="auto"/>
            </w:tcBorders>
            <w:shd w:val="clear" w:color="auto" w:fill="auto"/>
            <w:hideMark/>
          </w:tcPr>
          <w:p w:rsidR="00F37740" w:rsidRDefault="00F37740" w:rsidP="004F6845">
            <w:pPr>
              <w:jc w:val="center"/>
              <w:rPr>
                <w:color w:val="4F6228"/>
                <w:sz w:val="20"/>
                <w:szCs w:val="20"/>
              </w:rPr>
            </w:pPr>
            <w:r>
              <w:rPr>
                <w:color w:val="4F6228"/>
                <w:sz w:val="20"/>
                <w:szCs w:val="20"/>
              </w:rPr>
              <w:t>1,5</w:t>
            </w:r>
          </w:p>
        </w:tc>
      </w:tr>
      <w:tr w:rsidR="00F37740" w:rsidRPr="00FB4C46" w:rsidTr="004F6845">
        <w:trPr>
          <w:trHeight w:val="315"/>
        </w:trPr>
        <w:tc>
          <w:tcPr>
            <w:tcW w:w="1724" w:type="dxa"/>
            <w:tcBorders>
              <w:top w:val="nil"/>
              <w:left w:val="double" w:sz="6" w:space="0" w:color="auto"/>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Итого</w:t>
            </w:r>
          </w:p>
        </w:tc>
        <w:tc>
          <w:tcPr>
            <w:tcW w:w="1134"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b/>
                <w:bCs/>
                <w:color w:val="000000"/>
                <w:sz w:val="20"/>
                <w:szCs w:val="20"/>
              </w:rPr>
            </w:pPr>
            <w:r w:rsidRPr="003C7EFA">
              <w:rPr>
                <w:b/>
                <w:bCs/>
                <w:color w:val="000000"/>
                <w:sz w:val="20"/>
                <w:szCs w:val="20"/>
              </w:rPr>
              <w:t>73 821,5</w:t>
            </w:r>
          </w:p>
        </w:tc>
        <w:tc>
          <w:tcPr>
            <w:tcW w:w="851"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b/>
                <w:bCs/>
                <w:color w:val="000000"/>
                <w:sz w:val="20"/>
                <w:szCs w:val="20"/>
              </w:rPr>
            </w:pPr>
            <w:r w:rsidRPr="003C7EFA">
              <w:rPr>
                <w:b/>
                <w:bCs/>
                <w:color w:val="000000"/>
                <w:sz w:val="20"/>
                <w:szCs w:val="20"/>
              </w:rPr>
              <w:t>66,3</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77 272,2</w:t>
            </w:r>
          </w:p>
        </w:tc>
        <w:tc>
          <w:tcPr>
            <w:tcW w:w="850"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70,9</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83 806,4</w:t>
            </w:r>
          </w:p>
        </w:tc>
        <w:tc>
          <w:tcPr>
            <w:tcW w:w="851"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71,9</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87 330,2</w:t>
            </w:r>
          </w:p>
        </w:tc>
        <w:tc>
          <w:tcPr>
            <w:tcW w:w="850" w:type="dxa"/>
            <w:tcBorders>
              <w:top w:val="nil"/>
              <w:left w:val="nil"/>
              <w:bottom w:val="single" w:sz="8" w:space="0" w:color="auto"/>
              <w:right w:val="double" w:sz="6"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73,3</w:t>
            </w:r>
          </w:p>
        </w:tc>
      </w:tr>
      <w:tr w:rsidR="00F37740" w:rsidRPr="00FB4C46" w:rsidTr="004F6845">
        <w:trPr>
          <w:trHeight w:val="393"/>
        </w:trPr>
        <w:tc>
          <w:tcPr>
            <w:tcW w:w="1724" w:type="dxa"/>
            <w:tcBorders>
              <w:top w:val="nil"/>
              <w:left w:val="double" w:sz="6" w:space="0" w:color="auto"/>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Безвозмездные поступления</w:t>
            </w:r>
          </w:p>
        </w:tc>
        <w:tc>
          <w:tcPr>
            <w:tcW w:w="1134"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37 445,6</w:t>
            </w:r>
          </w:p>
        </w:tc>
        <w:tc>
          <w:tcPr>
            <w:tcW w:w="851" w:type="dxa"/>
            <w:tcBorders>
              <w:top w:val="nil"/>
              <w:left w:val="nil"/>
              <w:bottom w:val="single" w:sz="8" w:space="0" w:color="auto"/>
              <w:right w:val="single" w:sz="8" w:space="0" w:color="auto"/>
            </w:tcBorders>
            <w:shd w:val="clear" w:color="000000" w:fill="auto"/>
            <w:hideMark/>
          </w:tcPr>
          <w:p w:rsidR="00F37740" w:rsidRPr="003C7EFA" w:rsidRDefault="00F37740" w:rsidP="004F6845">
            <w:pPr>
              <w:jc w:val="center"/>
              <w:rPr>
                <w:color w:val="000000"/>
                <w:sz w:val="20"/>
                <w:szCs w:val="20"/>
              </w:rPr>
            </w:pPr>
            <w:r w:rsidRPr="003C7EFA">
              <w:rPr>
                <w:color w:val="000000"/>
                <w:sz w:val="20"/>
                <w:szCs w:val="20"/>
              </w:rPr>
              <w:t>33,7</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31 644,2</w:t>
            </w:r>
          </w:p>
        </w:tc>
        <w:tc>
          <w:tcPr>
            <w:tcW w:w="850"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29,1</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32 714,4</w:t>
            </w:r>
          </w:p>
        </w:tc>
        <w:tc>
          <w:tcPr>
            <w:tcW w:w="851"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28,1</w:t>
            </w:r>
          </w:p>
        </w:tc>
        <w:tc>
          <w:tcPr>
            <w:tcW w:w="1134" w:type="dxa"/>
            <w:tcBorders>
              <w:top w:val="nil"/>
              <w:left w:val="nil"/>
              <w:bottom w:val="single" w:sz="8" w:space="0" w:color="auto"/>
              <w:right w:val="single" w:sz="8"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31 859,0</w:t>
            </w:r>
          </w:p>
        </w:tc>
        <w:tc>
          <w:tcPr>
            <w:tcW w:w="850" w:type="dxa"/>
            <w:tcBorders>
              <w:top w:val="nil"/>
              <w:left w:val="nil"/>
              <w:bottom w:val="single" w:sz="8" w:space="0" w:color="auto"/>
              <w:right w:val="double" w:sz="6" w:space="0" w:color="auto"/>
            </w:tcBorders>
            <w:shd w:val="clear" w:color="auto" w:fill="auto"/>
            <w:hideMark/>
          </w:tcPr>
          <w:p w:rsidR="00F37740" w:rsidRPr="00FB4C46" w:rsidRDefault="00F37740" w:rsidP="004F6845">
            <w:pPr>
              <w:jc w:val="center"/>
              <w:rPr>
                <w:color w:val="000000"/>
                <w:sz w:val="20"/>
                <w:szCs w:val="20"/>
              </w:rPr>
            </w:pPr>
            <w:r w:rsidRPr="00FB4C46">
              <w:rPr>
                <w:color w:val="000000"/>
                <w:sz w:val="20"/>
                <w:szCs w:val="20"/>
              </w:rPr>
              <w:t>26,7</w:t>
            </w:r>
          </w:p>
        </w:tc>
      </w:tr>
      <w:tr w:rsidR="00F37740" w:rsidRPr="00FB4C46" w:rsidTr="004F6845">
        <w:trPr>
          <w:trHeight w:val="315"/>
        </w:trPr>
        <w:tc>
          <w:tcPr>
            <w:tcW w:w="1724" w:type="dxa"/>
            <w:tcBorders>
              <w:top w:val="nil"/>
              <w:left w:val="double" w:sz="6" w:space="0" w:color="auto"/>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Всего</w:t>
            </w:r>
          </w:p>
        </w:tc>
        <w:tc>
          <w:tcPr>
            <w:tcW w:w="1134" w:type="dxa"/>
            <w:tcBorders>
              <w:top w:val="nil"/>
              <w:left w:val="nil"/>
              <w:bottom w:val="double" w:sz="6" w:space="0" w:color="auto"/>
              <w:right w:val="single" w:sz="8" w:space="0" w:color="auto"/>
            </w:tcBorders>
            <w:shd w:val="clear" w:color="000000" w:fill="auto"/>
            <w:hideMark/>
          </w:tcPr>
          <w:p w:rsidR="00F37740" w:rsidRPr="003C7EFA" w:rsidRDefault="00F37740" w:rsidP="004F6845">
            <w:pPr>
              <w:jc w:val="center"/>
              <w:rPr>
                <w:b/>
                <w:bCs/>
                <w:color w:val="000000"/>
                <w:sz w:val="20"/>
                <w:szCs w:val="20"/>
              </w:rPr>
            </w:pPr>
            <w:r w:rsidRPr="003C7EFA">
              <w:rPr>
                <w:b/>
                <w:bCs/>
                <w:color w:val="000000"/>
                <w:sz w:val="20"/>
                <w:szCs w:val="20"/>
              </w:rPr>
              <w:t>111 267,1</w:t>
            </w:r>
          </w:p>
        </w:tc>
        <w:tc>
          <w:tcPr>
            <w:tcW w:w="851" w:type="dxa"/>
            <w:tcBorders>
              <w:top w:val="nil"/>
              <w:left w:val="nil"/>
              <w:bottom w:val="double" w:sz="6" w:space="0" w:color="auto"/>
              <w:right w:val="single" w:sz="8" w:space="0" w:color="auto"/>
            </w:tcBorders>
            <w:shd w:val="clear" w:color="000000" w:fill="auto"/>
            <w:hideMark/>
          </w:tcPr>
          <w:p w:rsidR="00F37740" w:rsidRPr="003C7EFA" w:rsidRDefault="00F37740" w:rsidP="004F6845">
            <w:pPr>
              <w:jc w:val="center"/>
              <w:rPr>
                <w:b/>
                <w:bCs/>
                <w:color w:val="000000"/>
                <w:sz w:val="20"/>
                <w:szCs w:val="20"/>
              </w:rPr>
            </w:pPr>
            <w:r w:rsidRPr="003C7EFA">
              <w:rPr>
                <w:b/>
                <w:bCs/>
                <w:color w:val="000000"/>
                <w:sz w:val="20"/>
                <w:szCs w:val="20"/>
              </w:rPr>
              <w:t>100</w:t>
            </w:r>
          </w:p>
        </w:tc>
        <w:tc>
          <w:tcPr>
            <w:tcW w:w="1134" w:type="dxa"/>
            <w:tcBorders>
              <w:top w:val="nil"/>
              <w:left w:val="nil"/>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108 916,4</w:t>
            </w:r>
          </w:p>
        </w:tc>
        <w:tc>
          <w:tcPr>
            <w:tcW w:w="850" w:type="dxa"/>
            <w:tcBorders>
              <w:top w:val="nil"/>
              <w:left w:val="nil"/>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100,0</w:t>
            </w:r>
          </w:p>
        </w:tc>
        <w:tc>
          <w:tcPr>
            <w:tcW w:w="1134" w:type="dxa"/>
            <w:tcBorders>
              <w:top w:val="nil"/>
              <w:left w:val="nil"/>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116 520,8</w:t>
            </w:r>
          </w:p>
        </w:tc>
        <w:tc>
          <w:tcPr>
            <w:tcW w:w="851" w:type="dxa"/>
            <w:tcBorders>
              <w:top w:val="nil"/>
              <w:left w:val="nil"/>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100,0</w:t>
            </w:r>
          </w:p>
        </w:tc>
        <w:tc>
          <w:tcPr>
            <w:tcW w:w="1134" w:type="dxa"/>
            <w:tcBorders>
              <w:top w:val="nil"/>
              <w:left w:val="nil"/>
              <w:bottom w:val="double" w:sz="6" w:space="0" w:color="auto"/>
              <w:right w:val="single" w:sz="8"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119 189,2</w:t>
            </w:r>
          </w:p>
        </w:tc>
        <w:tc>
          <w:tcPr>
            <w:tcW w:w="850" w:type="dxa"/>
            <w:tcBorders>
              <w:top w:val="nil"/>
              <w:left w:val="nil"/>
              <w:bottom w:val="double" w:sz="6" w:space="0" w:color="auto"/>
              <w:right w:val="double" w:sz="6" w:space="0" w:color="auto"/>
            </w:tcBorders>
            <w:shd w:val="clear" w:color="auto" w:fill="auto"/>
            <w:hideMark/>
          </w:tcPr>
          <w:p w:rsidR="00F37740" w:rsidRPr="00FB4C46" w:rsidRDefault="00F37740" w:rsidP="004F6845">
            <w:pPr>
              <w:jc w:val="center"/>
              <w:rPr>
                <w:b/>
                <w:bCs/>
                <w:color w:val="000000"/>
                <w:sz w:val="20"/>
                <w:szCs w:val="20"/>
              </w:rPr>
            </w:pPr>
            <w:r w:rsidRPr="00FB4C46">
              <w:rPr>
                <w:b/>
                <w:bCs/>
                <w:color w:val="000000"/>
                <w:sz w:val="20"/>
                <w:szCs w:val="20"/>
              </w:rPr>
              <w:t>100,0</w:t>
            </w:r>
          </w:p>
        </w:tc>
      </w:tr>
    </w:tbl>
    <w:p w:rsidR="00F37740" w:rsidRPr="00453858" w:rsidRDefault="00F37740" w:rsidP="00F37740">
      <w:pPr>
        <w:jc w:val="both"/>
      </w:pPr>
    </w:p>
    <w:p w:rsidR="00F37740" w:rsidRDefault="00F37740" w:rsidP="00F37740">
      <w:pPr>
        <w:ind w:firstLine="680"/>
        <w:jc w:val="both"/>
      </w:pPr>
      <w:r w:rsidRPr="00453858">
        <w:t>Согласно приведенным</w:t>
      </w:r>
      <w:r w:rsidR="00965BBA">
        <w:t xml:space="preserve"> в таблице</w:t>
      </w:r>
      <w:r w:rsidRPr="00453858">
        <w:t xml:space="preserve"> данным в 20</w:t>
      </w:r>
      <w:r>
        <w:t>20</w:t>
      </w:r>
      <w:r w:rsidRPr="00453858">
        <w:t xml:space="preserve"> году прогнозируется </w:t>
      </w:r>
      <w:r w:rsidR="00965BBA">
        <w:t xml:space="preserve">в целом </w:t>
      </w:r>
      <w:r>
        <w:t>уменьше</w:t>
      </w:r>
      <w:r w:rsidRPr="00453858">
        <w:t xml:space="preserve">ние доходной части областного бюджета на общую сумму </w:t>
      </w:r>
      <w:r w:rsidRPr="00847AE5">
        <w:t>2350,7 млн. руб. (-2,1%)</w:t>
      </w:r>
      <w:r>
        <w:t xml:space="preserve">. </w:t>
      </w:r>
      <w:r w:rsidRPr="00847AE5">
        <w:t xml:space="preserve">При этом увеличение по налоговым доходам составляет 3 623,4 млн. руб. (+5,0%), уменьшение по неналоговым доходам </w:t>
      </w:r>
      <w:r>
        <w:t>на</w:t>
      </w:r>
      <w:r w:rsidRPr="000E5455">
        <w:t xml:space="preserve"> 172,7 млн. руб. (-9,2%), снижение по безвозмездным поступлениям </w:t>
      </w:r>
      <w:r>
        <w:t>на</w:t>
      </w:r>
      <w:r w:rsidRPr="000E5455">
        <w:t xml:space="preserve"> </w:t>
      </w:r>
      <w:r w:rsidRPr="00847AE5">
        <w:t>5 801,4 млн. руб. (-15,5%).</w:t>
      </w:r>
    </w:p>
    <w:p w:rsidR="00F37740" w:rsidRPr="00453858" w:rsidRDefault="00F37740" w:rsidP="00F37740">
      <w:pPr>
        <w:ind w:firstLine="680"/>
        <w:jc w:val="both"/>
      </w:pPr>
      <w:r w:rsidRPr="00453858">
        <w:t>По налоговым и неналоговым доходам на 20</w:t>
      </w:r>
      <w:r>
        <w:t>21</w:t>
      </w:r>
      <w:r w:rsidRPr="00453858">
        <w:t xml:space="preserve"> год прогнозируется увеличение относительно 20</w:t>
      </w:r>
      <w:r>
        <w:t>20</w:t>
      </w:r>
      <w:r w:rsidRPr="00453858">
        <w:t xml:space="preserve"> года на </w:t>
      </w:r>
      <w:r>
        <w:t>6 534,2</w:t>
      </w:r>
      <w:r w:rsidRPr="00453858">
        <w:t xml:space="preserve"> млн. руб. (+</w:t>
      </w:r>
      <w:r>
        <w:t>8</w:t>
      </w:r>
      <w:r w:rsidRPr="00453858">
        <w:t>,</w:t>
      </w:r>
      <w:r>
        <w:t>5</w:t>
      </w:r>
      <w:r w:rsidRPr="00453858">
        <w:t xml:space="preserve">%) при росте налоговых доходов на </w:t>
      </w:r>
      <w:r>
        <w:t>8</w:t>
      </w:r>
      <w:r w:rsidRPr="00453858">
        <w:t>,</w:t>
      </w:r>
      <w:r>
        <w:t>6</w:t>
      </w:r>
      <w:r w:rsidRPr="00453858">
        <w:t xml:space="preserve">%, неналоговых - на </w:t>
      </w:r>
      <w:r>
        <w:t>0,7</w:t>
      </w:r>
      <w:r w:rsidRPr="00453858">
        <w:t xml:space="preserve"> процент</w:t>
      </w:r>
      <w:r>
        <w:t>а</w:t>
      </w:r>
      <w:r w:rsidRPr="00453858">
        <w:t>. На 202</w:t>
      </w:r>
      <w:r>
        <w:t>2</w:t>
      </w:r>
      <w:r w:rsidRPr="00453858">
        <w:t xml:space="preserve"> год прогнозируется увеличение налоговых и неналоговых доходов относительно 20</w:t>
      </w:r>
      <w:r>
        <w:t>21</w:t>
      </w:r>
      <w:r w:rsidRPr="00453858">
        <w:t xml:space="preserve"> года на </w:t>
      </w:r>
      <w:r>
        <w:t>3 523</w:t>
      </w:r>
      <w:r w:rsidRPr="00453858">
        <w:t>,</w:t>
      </w:r>
      <w:r>
        <w:t>8</w:t>
      </w:r>
      <w:r w:rsidRPr="00453858">
        <w:t xml:space="preserve"> млн. руб. (+</w:t>
      </w:r>
      <w:r>
        <w:t>4</w:t>
      </w:r>
      <w:r w:rsidRPr="00453858">
        <w:t>,</w:t>
      </w:r>
      <w:r>
        <w:t>2</w:t>
      </w:r>
      <w:r w:rsidRPr="00453858">
        <w:t xml:space="preserve">%) за счет роста налоговых доходов на </w:t>
      </w:r>
      <w:r>
        <w:t>4</w:t>
      </w:r>
      <w:r w:rsidRPr="00453858">
        <w:t>,</w:t>
      </w:r>
      <w:r>
        <w:t>3</w:t>
      </w:r>
      <w:r w:rsidRPr="00453858">
        <w:t>%, неналоговых – на 0,</w:t>
      </w:r>
      <w:r>
        <w:t>6</w:t>
      </w:r>
      <w:r w:rsidRPr="00453858">
        <w:t xml:space="preserve"> процента. </w:t>
      </w:r>
    </w:p>
    <w:p w:rsidR="00F37740" w:rsidRDefault="00F37740" w:rsidP="00F37740">
      <w:pPr>
        <w:pStyle w:val="a3"/>
        <w:tabs>
          <w:tab w:val="num" w:pos="0"/>
        </w:tabs>
        <w:ind w:firstLine="680"/>
        <w:jc w:val="both"/>
        <w:outlineLvl w:val="0"/>
        <w:rPr>
          <w:b/>
          <w:i/>
        </w:rPr>
      </w:pPr>
      <w:r w:rsidRPr="00453858">
        <w:t>Проанализировав представленные расчеты по налоговым доходам и планируемые п</w:t>
      </w:r>
      <w:r w:rsidR="001925E2">
        <w:t>оступления неналоговых доходов,</w:t>
      </w:r>
      <w:r w:rsidRPr="00453858">
        <w:t xml:space="preserve"> </w:t>
      </w:r>
      <w:r w:rsidRPr="00BF7ACF">
        <w:rPr>
          <w:b/>
          <w:i/>
        </w:rPr>
        <w:t xml:space="preserve">КСП пришла к выводу, что </w:t>
      </w:r>
      <w:r w:rsidRPr="00965BBA">
        <w:rPr>
          <w:b/>
          <w:i/>
        </w:rPr>
        <w:t>в основном</w:t>
      </w:r>
      <w:r w:rsidRPr="00BF7ACF">
        <w:rPr>
          <w:b/>
          <w:i/>
        </w:rPr>
        <w:t xml:space="preserve"> доходы на 20</w:t>
      </w:r>
      <w:r>
        <w:rPr>
          <w:b/>
          <w:i/>
        </w:rPr>
        <w:t xml:space="preserve">20 </w:t>
      </w:r>
      <w:r w:rsidRPr="00BF7ACF">
        <w:rPr>
          <w:b/>
          <w:i/>
        </w:rPr>
        <w:t xml:space="preserve">год спрогнозированы </w:t>
      </w:r>
      <w:r w:rsidRPr="00965BBA">
        <w:rPr>
          <w:b/>
          <w:i/>
        </w:rPr>
        <w:t>обоснованно.</w:t>
      </w:r>
      <w:r w:rsidRPr="00BF7ACF">
        <w:rPr>
          <w:b/>
          <w:i/>
        </w:rPr>
        <w:t xml:space="preserve"> </w:t>
      </w:r>
    </w:p>
    <w:p w:rsidR="00F37740" w:rsidRDefault="00F37740" w:rsidP="00F37740">
      <w:pPr>
        <w:pStyle w:val="a3"/>
        <w:tabs>
          <w:tab w:val="num" w:pos="0"/>
        </w:tabs>
        <w:ind w:firstLine="680"/>
        <w:jc w:val="both"/>
        <w:outlineLvl w:val="0"/>
      </w:pPr>
      <w:r>
        <w:t>По отдельным прогнозным назначениям необходимо отметить следующее.</w:t>
      </w:r>
    </w:p>
    <w:p w:rsidR="00F37740" w:rsidRDefault="00F37740" w:rsidP="00F37740">
      <w:pPr>
        <w:tabs>
          <w:tab w:val="num" w:pos="0"/>
        </w:tabs>
        <w:ind w:firstLine="680"/>
        <w:jc w:val="both"/>
        <w:outlineLvl w:val="0"/>
      </w:pPr>
      <w:r w:rsidRPr="006662EA">
        <w:t xml:space="preserve">Законопроектом предусматриваются прогнозные назначения </w:t>
      </w:r>
      <w:r w:rsidRPr="006662EA">
        <w:rPr>
          <w:b/>
          <w:i/>
        </w:rPr>
        <w:t xml:space="preserve">по </w:t>
      </w:r>
      <w:r>
        <w:rPr>
          <w:b/>
          <w:i/>
        </w:rPr>
        <w:t xml:space="preserve">налогу на прибыль организаций </w:t>
      </w:r>
      <w:r w:rsidRPr="00EB1EB6">
        <w:t>на 20</w:t>
      </w:r>
      <w:r>
        <w:t>20</w:t>
      </w:r>
      <w:r w:rsidRPr="00EB1EB6">
        <w:t xml:space="preserve"> год в размере </w:t>
      </w:r>
      <w:r>
        <w:t>25</w:t>
      </w:r>
      <w:r w:rsidRPr="00EB1EB6">
        <w:t> </w:t>
      </w:r>
      <w:r>
        <w:t>501</w:t>
      </w:r>
      <w:r w:rsidRPr="00EB1EB6">
        <w:t>,</w:t>
      </w:r>
      <w:r>
        <w:t>9</w:t>
      </w:r>
      <w:r w:rsidRPr="00EB1EB6">
        <w:t xml:space="preserve"> млн. руб. (+</w:t>
      </w:r>
      <w:r>
        <w:t>2,3</w:t>
      </w:r>
      <w:r w:rsidRPr="00EB1EB6">
        <w:t>% к утвержденным назначениям 201</w:t>
      </w:r>
      <w:r>
        <w:t>9</w:t>
      </w:r>
      <w:r w:rsidRPr="00EB1EB6">
        <w:t xml:space="preserve"> года), на 202</w:t>
      </w:r>
      <w:r>
        <w:t>1</w:t>
      </w:r>
      <w:r w:rsidRPr="00EB1EB6">
        <w:t xml:space="preserve"> год – </w:t>
      </w:r>
      <w:r>
        <w:t>26</w:t>
      </w:r>
      <w:r w:rsidRPr="00EB1EB6">
        <w:t> </w:t>
      </w:r>
      <w:r>
        <w:t>02</w:t>
      </w:r>
      <w:r w:rsidRPr="00EB1EB6">
        <w:t>8,</w:t>
      </w:r>
      <w:r>
        <w:t>9</w:t>
      </w:r>
      <w:r w:rsidRPr="00EB1EB6">
        <w:t xml:space="preserve"> тыс. руб. (+</w:t>
      </w:r>
      <w:r>
        <w:t>2,1</w:t>
      </w:r>
      <w:r w:rsidRPr="00EB1EB6">
        <w:t>% к 20</w:t>
      </w:r>
      <w:r>
        <w:t>20</w:t>
      </w:r>
      <w:r w:rsidRPr="00EB1EB6">
        <w:t xml:space="preserve"> году)</w:t>
      </w:r>
      <w:r>
        <w:t>,</w:t>
      </w:r>
      <w:r w:rsidRPr="00EB1EB6">
        <w:t xml:space="preserve"> на 202</w:t>
      </w:r>
      <w:r>
        <w:t>2</w:t>
      </w:r>
      <w:r w:rsidRPr="00EB1EB6">
        <w:t xml:space="preserve"> год – </w:t>
      </w:r>
      <w:r>
        <w:t>26 309,2</w:t>
      </w:r>
      <w:r w:rsidRPr="00EB1EB6">
        <w:t xml:space="preserve"> млн. руб. (+1</w:t>
      </w:r>
      <w:r>
        <w:t>,1</w:t>
      </w:r>
      <w:r w:rsidRPr="00EB1EB6">
        <w:t>% к 202</w:t>
      </w:r>
      <w:r>
        <w:t>1</w:t>
      </w:r>
      <w:r w:rsidRPr="00EB1EB6">
        <w:t xml:space="preserve"> году).</w:t>
      </w:r>
    </w:p>
    <w:p w:rsidR="00F37740" w:rsidRDefault="00F37740" w:rsidP="00F37740">
      <w:pPr>
        <w:tabs>
          <w:tab w:val="num" w:pos="0"/>
        </w:tabs>
        <w:ind w:firstLine="680"/>
        <w:jc w:val="both"/>
        <w:outlineLvl w:val="0"/>
      </w:pPr>
      <w:r>
        <w:t xml:space="preserve">Проанализировав представленный </w:t>
      </w:r>
      <w:r w:rsidRPr="00EB1EB6">
        <w:t>комитет</w:t>
      </w:r>
      <w:r>
        <w:t>ом</w:t>
      </w:r>
      <w:r w:rsidRPr="00EB1EB6">
        <w:t xml:space="preserve"> финансов Волгоградской области</w:t>
      </w:r>
      <w:r w:rsidRPr="006662EA">
        <w:t xml:space="preserve"> </w:t>
      </w:r>
      <w:r>
        <w:t>расчет</w:t>
      </w:r>
      <w:r w:rsidRPr="00EB1EB6">
        <w:t xml:space="preserve"> по</w:t>
      </w:r>
      <w:r>
        <w:t xml:space="preserve">ступлений </w:t>
      </w:r>
      <w:r w:rsidRPr="00EB1EB6">
        <w:t>налог</w:t>
      </w:r>
      <w:r>
        <w:t>а</w:t>
      </w:r>
      <w:r w:rsidRPr="00EB1EB6">
        <w:t xml:space="preserve"> </w:t>
      </w:r>
      <w:r>
        <w:t xml:space="preserve">на прибыль организаций на 2020-2022 годы, КСП отмечает превышение темпов роста прогнозного показателя по налогу на прибыль организаций на 2020 год к </w:t>
      </w:r>
      <w:r w:rsidRPr="00EB1EB6">
        <w:t>утвержденным назначениям 201</w:t>
      </w:r>
      <w:r>
        <w:t>9</w:t>
      </w:r>
      <w:r w:rsidRPr="00EB1EB6">
        <w:t xml:space="preserve"> года</w:t>
      </w:r>
      <w:r>
        <w:t xml:space="preserve"> (+102,3%) над темпами роста прибыли прибыльных организаций на 2020 год к 2019 году (+101,2%), считает завышенным значение коэффициента, корректирующего начисления на годовые и уточненные расчеты, начисления по контрольной работе на 2019-2022 годы (+107,2% ежегодно), поскольку исходя из анализа отчета о результатах контрольной работы налоговых органов по форме 2-НК за 9 месяцев 2019 года, значение его ориентировочно составит порядка 100,7 процент</w:t>
      </w:r>
      <w:r w:rsidR="00965BBA">
        <w:t>а</w:t>
      </w:r>
      <w:r>
        <w:t xml:space="preserve">. </w:t>
      </w:r>
    </w:p>
    <w:p w:rsidR="00F37740" w:rsidRDefault="00F37740" w:rsidP="00F37740">
      <w:pPr>
        <w:tabs>
          <w:tab w:val="num" w:pos="0"/>
        </w:tabs>
        <w:ind w:firstLine="680"/>
        <w:jc w:val="both"/>
        <w:outlineLvl w:val="0"/>
      </w:pPr>
      <w:r>
        <w:t xml:space="preserve">По оценке КСП в 2019 году ожидается невыполнение прогнозного показателя по налогу на прибыль </w:t>
      </w:r>
      <w:r w:rsidR="00965BBA">
        <w:t xml:space="preserve">организаций </w:t>
      </w:r>
      <w:r>
        <w:t xml:space="preserve">до 1000 млн. рублей. </w:t>
      </w:r>
    </w:p>
    <w:p w:rsidR="00F37740" w:rsidRPr="007657D8" w:rsidRDefault="00F37740" w:rsidP="00F37740">
      <w:pPr>
        <w:tabs>
          <w:tab w:val="num" w:pos="0"/>
        </w:tabs>
        <w:ind w:firstLine="680"/>
        <w:jc w:val="both"/>
        <w:outlineLvl w:val="0"/>
        <w:rPr>
          <w:b/>
          <w:i/>
        </w:rPr>
      </w:pPr>
      <w:r>
        <w:t xml:space="preserve">Исходя из изложенного и динамики поступлений налога за 2016-10 месяцев 2019 годов, полагаем, что даже при благоприятных условиях развития экономики Волгоградской области имеются </w:t>
      </w:r>
      <w:r w:rsidRPr="007657D8">
        <w:rPr>
          <w:b/>
          <w:i/>
        </w:rPr>
        <w:t>риски невыполнения прогнозируемого показателя</w:t>
      </w:r>
      <w:r>
        <w:t xml:space="preserve"> по налогу на прибыль организаций, предлагаемого на 2020 год</w:t>
      </w:r>
      <w:r w:rsidR="00965BBA">
        <w:t>,</w:t>
      </w:r>
      <w:r>
        <w:t xml:space="preserve"> в размере </w:t>
      </w:r>
      <w:r w:rsidRPr="007657D8">
        <w:rPr>
          <w:b/>
          <w:i/>
        </w:rPr>
        <w:t xml:space="preserve"> </w:t>
      </w:r>
      <w:r>
        <w:rPr>
          <w:b/>
          <w:i/>
        </w:rPr>
        <w:t>5</w:t>
      </w:r>
      <w:r w:rsidRPr="007657D8">
        <w:rPr>
          <w:b/>
          <w:i/>
        </w:rPr>
        <w:t>00 млн. руб</w:t>
      </w:r>
      <w:r w:rsidR="00965BBA">
        <w:rPr>
          <w:b/>
          <w:i/>
        </w:rPr>
        <w:t>. и более</w:t>
      </w:r>
      <w:r w:rsidRPr="007657D8">
        <w:rPr>
          <w:b/>
          <w:i/>
        </w:rPr>
        <w:t>.</w:t>
      </w:r>
    </w:p>
    <w:p w:rsidR="00F37740" w:rsidRDefault="00F37740" w:rsidP="00F37740">
      <w:pPr>
        <w:tabs>
          <w:tab w:val="num" w:pos="0"/>
        </w:tabs>
        <w:ind w:firstLine="680"/>
        <w:jc w:val="both"/>
        <w:outlineLvl w:val="0"/>
      </w:pPr>
      <w:r w:rsidRPr="008541B2">
        <w:rPr>
          <w:rFonts w:eastAsia="Calibri"/>
        </w:rPr>
        <w:t>Поступления</w:t>
      </w:r>
      <w:r w:rsidRPr="00825D23">
        <w:t xml:space="preserve"> </w:t>
      </w:r>
      <w:r w:rsidRPr="00F52E82">
        <w:rPr>
          <w:b/>
          <w:i/>
        </w:rPr>
        <w:t>по акцизам по подакцизным товарам (продукции), производимым на территории  РФ</w:t>
      </w:r>
      <w:r w:rsidRPr="00F52E82">
        <w:rPr>
          <w:rFonts w:eastAsia="Calibri"/>
        </w:rPr>
        <w:t xml:space="preserve"> </w:t>
      </w:r>
      <w:r w:rsidRPr="008541B2">
        <w:rPr>
          <w:rFonts w:eastAsia="Calibri"/>
        </w:rPr>
        <w:t xml:space="preserve">прогнозируются в 2020 году </w:t>
      </w:r>
      <w:r>
        <w:rPr>
          <w:rFonts w:eastAsia="Calibri"/>
        </w:rPr>
        <w:t>в сумме 11</w:t>
      </w:r>
      <w:r w:rsidRPr="008541B2">
        <w:rPr>
          <w:rFonts w:eastAsia="Calibri"/>
        </w:rPr>
        <w:t> </w:t>
      </w:r>
      <w:r>
        <w:rPr>
          <w:rFonts w:eastAsia="Calibri"/>
        </w:rPr>
        <w:t>922</w:t>
      </w:r>
      <w:r w:rsidRPr="008541B2">
        <w:rPr>
          <w:rFonts w:eastAsia="Calibri"/>
        </w:rPr>
        <w:t>,</w:t>
      </w:r>
      <w:r>
        <w:rPr>
          <w:rFonts w:eastAsia="Calibri"/>
        </w:rPr>
        <w:t>8</w:t>
      </w:r>
      <w:r w:rsidRPr="008541B2">
        <w:rPr>
          <w:rFonts w:eastAsia="Calibri"/>
          <w:lang w:val="en-US"/>
        </w:rPr>
        <w:t> </w:t>
      </w:r>
      <w:r w:rsidRPr="008541B2">
        <w:rPr>
          <w:rFonts w:eastAsia="Calibri"/>
        </w:rPr>
        <w:t>млн.</w:t>
      </w:r>
      <w:r w:rsidRPr="008541B2">
        <w:rPr>
          <w:rFonts w:eastAsia="Calibri"/>
          <w:lang w:val="en-US"/>
        </w:rPr>
        <w:t> </w:t>
      </w:r>
      <w:r w:rsidRPr="008541B2">
        <w:rPr>
          <w:rFonts w:eastAsia="Calibri"/>
        </w:rPr>
        <w:t>руб. (+2</w:t>
      </w:r>
      <w:r>
        <w:rPr>
          <w:rFonts w:eastAsia="Calibri"/>
        </w:rPr>
        <w:t>5</w:t>
      </w:r>
      <w:r w:rsidRPr="008541B2">
        <w:rPr>
          <w:rFonts w:eastAsia="Calibri"/>
        </w:rPr>
        <w:t>,</w:t>
      </w:r>
      <w:r>
        <w:rPr>
          <w:rFonts w:eastAsia="Calibri"/>
        </w:rPr>
        <w:t>4</w:t>
      </w:r>
      <w:r w:rsidRPr="008541B2">
        <w:rPr>
          <w:rFonts w:eastAsia="Calibri"/>
        </w:rPr>
        <w:t xml:space="preserve"> % </w:t>
      </w:r>
      <w:r w:rsidRPr="00EB1EB6">
        <w:t>к утвержденным назначениям 201</w:t>
      </w:r>
      <w:r>
        <w:t>9</w:t>
      </w:r>
      <w:r w:rsidRPr="00EB1EB6">
        <w:t xml:space="preserve"> года), на 202</w:t>
      </w:r>
      <w:r>
        <w:t>1</w:t>
      </w:r>
      <w:r w:rsidRPr="00EB1EB6">
        <w:t xml:space="preserve"> год – </w:t>
      </w:r>
      <w:r>
        <w:t>15</w:t>
      </w:r>
      <w:r w:rsidRPr="00EB1EB6">
        <w:t> </w:t>
      </w:r>
      <w:r>
        <w:t>652</w:t>
      </w:r>
      <w:r w:rsidRPr="00EB1EB6">
        <w:t>,</w:t>
      </w:r>
      <w:r>
        <w:t>4</w:t>
      </w:r>
      <w:r w:rsidRPr="00EB1EB6">
        <w:t xml:space="preserve"> тыс. руб. (+</w:t>
      </w:r>
      <w:r>
        <w:t>31,3</w:t>
      </w:r>
      <w:r w:rsidRPr="00EB1EB6">
        <w:t>% к 20</w:t>
      </w:r>
      <w:r>
        <w:t>20</w:t>
      </w:r>
      <w:r w:rsidRPr="00EB1EB6">
        <w:t xml:space="preserve"> году)</w:t>
      </w:r>
      <w:r>
        <w:t>,</w:t>
      </w:r>
      <w:r w:rsidRPr="00EB1EB6">
        <w:t xml:space="preserve"> на 202</w:t>
      </w:r>
      <w:r>
        <w:t>2</w:t>
      </w:r>
      <w:r w:rsidRPr="00EB1EB6">
        <w:t xml:space="preserve"> год – </w:t>
      </w:r>
      <w:r>
        <w:t>16 943,6</w:t>
      </w:r>
      <w:r w:rsidRPr="00EB1EB6">
        <w:t xml:space="preserve"> млн. руб. (+</w:t>
      </w:r>
      <w:r>
        <w:t>8,2</w:t>
      </w:r>
      <w:r w:rsidRPr="00EB1EB6">
        <w:t>% к 202</w:t>
      </w:r>
      <w:r>
        <w:t>1</w:t>
      </w:r>
      <w:r w:rsidRPr="00EB1EB6">
        <w:t xml:space="preserve"> году).</w:t>
      </w:r>
    </w:p>
    <w:p w:rsidR="00F37740" w:rsidRDefault="00F37740" w:rsidP="00F37740">
      <w:pPr>
        <w:ind w:right="-138" w:firstLine="709"/>
        <w:jc w:val="both"/>
      </w:pPr>
      <w:r>
        <w:lastRenderedPageBreak/>
        <w:t xml:space="preserve">Из предусмотренных </w:t>
      </w:r>
      <w:r w:rsidRPr="00825D23">
        <w:t xml:space="preserve">Законопроектом </w:t>
      </w:r>
      <w:r>
        <w:t xml:space="preserve">на 2020 год акцизов по подакцизным товарам (продукции), производимым на территории РФ, в общей сумме 11922,8 млн. руб., </w:t>
      </w:r>
      <w:r w:rsidRPr="0039708B">
        <w:rPr>
          <w:b/>
          <w:i/>
        </w:rPr>
        <w:t>доходы от уплаты акцизов на нефтепродукты</w:t>
      </w:r>
      <w:r w:rsidRPr="00825D23">
        <w:t xml:space="preserve"> </w:t>
      </w:r>
      <w:r>
        <w:t xml:space="preserve">прогнозируются </w:t>
      </w:r>
      <w:r w:rsidRPr="00825D23">
        <w:t>в сумме 8 446,4 млн. руб</w:t>
      </w:r>
      <w:r>
        <w:t xml:space="preserve">лей.  </w:t>
      </w:r>
    </w:p>
    <w:p w:rsidR="00F37740" w:rsidRDefault="00CF2ECA" w:rsidP="00CF2ECA">
      <w:pPr>
        <w:ind w:right="-138" w:firstLine="708"/>
        <w:jc w:val="both"/>
      </w:pPr>
      <w:proofErr w:type="gramStart"/>
      <w:r>
        <w:t>В</w:t>
      </w:r>
      <w:r w:rsidR="00F37740">
        <w:t xml:space="preserve"> соответствии </w:t>
      </w:r>
      <w:r w:rsidR="00F37740" w:rsidRPr="00825D23">
        <w:t>с проектом Федерального закона  «О федеральном бюджете на 2020 год и на плановый период 2021 и 2022 годов</w:t>
      </w:r>
      <w:r w:rsidR="00F37740">
        <w:t>»</w:t>
      </w:r>
      <w:r w:rsidRPr="00CF2ECA">
        <w:t xml:space="preserve"> </w:t>
      </w:r>
      <w:r w:rsidRPr="00825D23">
        <w:t xml:space="preserve">№802503-7 </w:t>
      </w:r>
      <w:r w:rsidR="00F37740" w:rsidRPr="00825D23">
        <w:t>с 2020 года</w:t>
      </w:r>
      <w:r w:rsidR="00F37740">
        <w:t xml:space="preserve"> предусматривается норматив распределения доходов от акцизов на автомобильный бензин, прямогонный бензин, дизельное топливо, моторные масла, производимые на территории РФ, в бюджеты субъектов РФ </w:t>
      </w:r>
      <w:r w:rsidR="00F37740" w:rsidRPr="007765CC">
        <w:rPr>
          <w:b/>
          <w:i/>
        </w:rPr>
        <w:t>в целях реализации национального проекта «Безопасные и качественные автомобильные дороги</w:t>
      </w:r>
      <w:r w:rsidR="00F37740" w:rsidRPr="00825D23">
        <w:t>»</w:t>
      </w:r>
      <w:r w:rsidR="00F37740">
        <w:t xml:space="preserve">. </w:t>
      </w:r>
      <w:proofErr w:type="gramEnd"/>
    </w:p>
    <w:p w:rsidR="00F37740" w:rsidRDefault="00F37740" w:rsidP="00F37740">
      <w:pPr>
        <w:ind w:right="-138" w:firstLine="708"/>
        <w:jc w:val="both"/>
      </w:pPr>
      <w:r>
        <w:t xml:space="preserve"> </w:t>
      </w:r>
      <w:r w:rsidR="00CF2ECA">
        <w:t xml:space="preserve"> Согласно</w:t>
      </w:r>
      <w:r>
        <w:t xml:space="preserve"> п. 1 ст. 4 </w:t>
      </w:r>
      <w:r w:rsidRPr="00825D23">
        <w:t>Федерального закона от 30.11.2016 №409-ФЗ (в ред. от 28.11.2018) «О внесении изменений в Бюджетный кодекс Российской Федерации и признании утратившими силу отдельных положений законодательных актов»</w:t>
      </w:r>
      <w:r>
        <w:t xml:space="preserve"> (далее Федеральный закон №409-ФЗ) в бюджеты субъектов РФ в 2020 году от акцизов на нефтепродукты зачисляется 66,6%, которые в свою очередь распределяются в следующем порядке:</w:t>
      </w:r>
    </w:p>
    <w:p w:rsidR="00F37740" w:rsidRDefault="00F37740" w:rsidP="00F37740">
      <w:pPr>
        <w:ind w:right="-138" w:firstLine="708"/>
        <w:jc w:val="both"/>
      </w:pPr>
      <w:r>
        <w:t xml:space="preserve">- 87,4% доходов от акцизов на нефтепродукты в целях формирования дорожных фондов субъектов РФ (по нормативам, установленным в таблице 1 приложения 3 к </w:t>
      </w:r>
      <w:r w:rsidRPr="00825D23">
        <w:t>проект</w:t>
      </w:r>
      <w:r>
        <w:t>у</w:t>
      </w:r>
      <w:r w:rsidRPr="00825D23">
        <w:t xml:space="preserve"> №802503-7 Федерального закона  «О федеральном бюджете</w:t>
      </w:r>
      <w:r>
        <w:t>….»);</w:t>
      </w:r>
    </w:p>
    <w:p w:rsidR="00F37740" w:rsidRDefault="00F37740" w:rsidP="00F37740">
      <w:pPr>
        <w:ind w:right="-138" w:firstLine="708"/>
        <w:jc w:val="both"/>
      </w:pPr>
      <w:proofErr w:type="gramStart"/>
      <w:r>
        <w:t>-12,6% доходов от акцизов на нефтепродукты</w:t>
      </w:r>
      <w:r w:rsidRPr="00BD4A9D">
        <w:t xml:space="preserve"> </w:t>
      </w:r>
      <w:r>
        <w:t>в</w:t>
      </w:r>
      <w:r w:rsidRPr="00825D23">
        <w:t xml:space="preserve"> целях реализации национального проекта «Безопасные и качественные автомобильные дороги»</w:t>
      </w:r>
      <w:r w:rsidRPr="00BD4A9D">
        <w:t xml:space="preserve"> </w:t>
      </w:r>
      <w:r>
        <w:t xml:space="preserve">по нормативам, установленным в таблице 2 приложения 3 к </w:t>
      </w:r>
      <w:r w:rsidRPr="00825D23">
        <w:t>проект</w:t>
      </w:r>
      <w:r>
        <w:t>у</w:t>
      </w:r>
      <w:r w:rsidRPr="00825D23">
        <w:t xml:space="preserve"> №802503-7 Федерального закона «О федеральном бюджете</w:t>
      </w:r>
      <w:r>
        <w:t>….»).</w:t>
      </w:r>
      <w:proofErr w:type="gramEnd"/>
    </w:p>
    <w:p w:rsidR="00F37740" w:rsidRDefault="00CF2ECA" w:rsidP="00F37740">
      <w:pPr>
        <w:ind w:right="-138" w:firstLine="708"/>
        <w:jc w:val="both"/>
      </w:pPr>
      <w:r>
        <w:t xml:space="preserve"> В соответствии с </w:t>
      </w:r>
      <w:r w:rsidR="00F37740">
        <w:t>п.3 ст. 4</w:t>
      </w:r>
      <w:r w:rsidR="00F37740" w:rsidRPr="00825D23">
        <w:t xml:space="preserve"> </w:t>
      </w:r>
      <w:r w:rsidR="00F37740">
        <w:t>Федерального закона №409-ФЗ</w:t>
      </w:r>
      <w:r w:rsidR="00F37740" w:rsidRPr="00825D23">
        <w:t xml:space="preserve"> в 2020-2024 годах </w:t>
      </w:r>
      <w:r w:rsidR="00F37740">
        <w:t xml:space="preserve">при определении </w:t>
      </w:r>
      <w:r w:rsidR="00F37740" w:rsidRPr="00825D23">
        <w:t>дифференцированны</w:t>
      </w:r>
      <w:r w:rsidR="00F37740">
        <w:t>х</w:t>
      </w:r>
      <w:r w:rsidR="00F37740" w:rsidRPr="00825D23">
        <w:t xml:space="preserve"> норматив</w:t>
      </w:r>
      <w:r w:rsidR="00F37740">
        <w:t>ов отчислений</w:t>
      </w:r>
      <w:r w:rsidR="00F37740" w:rsidRPr="00825D23">
        <w:t xml:space="preserve"> в местные бюджеты от</w:t>
      </w:r>
      <w:r w:rsidR="00F37740">
        <w:t xml:space="preserve"> акцизов на </w:t>
      </w:r>
      <w:r w:rsidR="00F37740" w:rsidRPr="00825D23">
        <w:t>нефтепродукт</w:t>
      </w:r>
      <w:r w:rsidR="00F37740">
        <w:t>ы</w:t>
      </w:r>
      <w:r w:rsidR="00F37740" w:rsidRPr="00825D23">
        <w:t xml:space="preserve"> </w:t>
      </w:r>
      <w:r w:rsidR="00F37740">
        <w:t xml:space="preserve">учитываются поступления в бюджеты субъектов </w:t>
      </w:r>
      <w:proofErr w:type="gramStart"/>
      <w:r w:rsidR="00F37740">
        <w:t>РФ</w:t>
      </w:r>
      <w:proofErr w:type="gramEnd"/>
      <w:r w:rsidR="00F37740">
        <w:t xml:space="preserve"> от указанных акцизов исходя </w:t>
      </w:r>
      <w:r w:rsidR="00F37740" w:rsidRPr="00825D23">
        <w:t>из норматива 58,2%</w:t>
      </w:r>
      <w:r w:rsidR="00F37740">
        <w:t xml:space="preserve"> (66,6х87,4). То есть, распределение доходов от акцизов на нефтепродукты в</w:t>
      </w:r>
      <w:r w:rsidR="00F37740" w:rsidRPr="00825D23">
        <w:t xml:space="preserve"> целях реализации национального проекта «Безопасные и качественные автомобильные дороги»</w:t>
      </w:r>
      <w:r w:rsidR="00F37740" w:rsidRPr="00BD4A9D">
        <w:t xml:space="preserve"> </w:t>
      </w:r>
      <w:r w:rsidR="00F37740">
        <w:t xml:space="preserve">(по нормативу 12,6%) в местные бюджеты </w:t>
      </w:r>
      <w:r w:rsidR="00F37740" w:rsidRPr="00271CA8">
        <w:rPr>
          <w:b/>
        </w:rPr>
        <w:t>не предусмотрено</w:t>
      </w:r>
      <w:r w:rsidR="00F37740">
        <w:t xml:space="preserve">. </w:t>
      </w:r>
    </w:p>
    <w:p w:rsidR="00F37740" w:rsidRDefault="00CF2ECA" w:rsidP="00F37740">
      <w:pPr>
        <w:ind w:right="-138" w:firstLine="708"/>
        <w:jc w:val="both"/>
      </w:pPr>
      <w:r>
        <w:t>В</w:t>
      </w:r>
      <w:r w:rsidR="00F37740">
        <w:t xml:space="preserve"> законопроекте данная норма не </w:t>
      </w:r>
      <w:proofErr w:type="gramStart"/>
      <w:r w:rsidR="00F37740">
        <w:t>учтена</w:t>
      </w:r>
      <w:proofErr w:type="gramEnd"/>
      <w:r w:rsidR="00F37740">
        <w:t xml:space="preserve"> и общая сумма доходов областного бюджета </w:t>
      </w:r>
      <w:r w:rsidR="00F37740" w:rsidRPr="007C1E16">
        <w:rPr>
          <w:b/>
        </w:rPr>
        <w:t>занижен</w:t>
      </w:r>
      <w:r w:rsidR="00F37740">
        <w:rPr>
          <w:b/>
        </w:rPr>
        <w:t>а</w:t>
      </w:r>
      <w:r w:rsidR="00F37740" w:rsidRPr="007C1E16">
        <w:rPr>
          <w:b/>
        </w:rPr>
        <w:t xml:space="preserve"> на 192,1 млн. руб</w:t>
      </w:r>
      <w:r w:rsidR="00F37740">
        <w:t>. за счет отчислений 10% акцизов на нефтепродукты в местные бюджеты (в порядке, действующем в текущем периоде без учета выделения норматива в</w:t>
      </w:r>
      <w:r w:rsidR="00F37740" w:rsidRPr="00825D23">
        <w:t xml:space="preserve"> целях реализации национального проекта «Безопасные и качественные автомобильные дороги»</w:t>
      </w:r>
      <w:r w:rsidR="00F37740">
        <w:t>). Указанное распределение акцизов на нефтепродукты подлежит правке.</w:t>
      </w:r>
    </w:p>
    <w:p w:rsidR="00F37740" w:rsidRDefault="00F37740" w:rsidP="00F37740">
      <w:pPr>
        <w:ind w:right="-138" w:firstLine="708"/>
        <w:jc w:val="both"/>
      </w:pPr>
      <w:r w:rsidRPr="00A8562A">
        <w:rPr>
          <w:b/>
        </w:rPr>
        <w:t xml:space="preserve"> </w:t>
      </w:r>
      <w:proofErr w:type="gramStart"/>
      <w:r>
        <w:t>С учетом изложенного</w:t>
      </w:r>
      <w:r w:rsidRPr="00C72055">
        <w:t xml:space="preserve"> считаем необходимым </w:t>
      </w:r>
      <w:r>
        <w:t xml:space="preserve">поправить и </w:t>
      </w:r>
      <w:r w:rsidRPr="00C72055">
        <w:t>название приложения 4 к Законопроекту об областном бюджете на 2020 – 2022 годы «</w:t>
      </w:r>
      <w:r w:rsidRPr="00C72055">
        <w:rPr>
          <w:bCs/>
        </w:rPr>
        <w:t>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C72055">
        <w:rPr>
          <w:bCs/>
        </w:rPr>
        <w:t>инжекторных</w:t>
      </w:r>
      <w:proofErr w:type="spellEnd"/>
      <w:r w:rsidRPr="00C72055">
        <w:rPr>
          <w:bCs/>
        </w:rPr>
        <w:t>) двигателей, производимые на территории Российской Федерации на 2020 год и на плановый период 2021 и 2022 годов»</w:t>
      </w:r>
      <w:r>
        <w:rPr>
          <w:bCs/>
        </w:rPr>
        <w:t>,</w:t>
      </w:r>
      <w:r w:rsidRPr="00C72055">
        <w:rPr>
          <w:bCs/>
        </w:rPr>
        <w:t xml:space="preserve"> из</w:t>
      </w:r>
      <w:r>
        <w:rPr>
          <w:bCs/>
        </w:rPr>
        <w:t>ложив его</w:t>
      </w:r>
      <w:proofErr w:type="gramEnd"/>
      <w:r w:rsidRPr="00C72055">
        <w:rPr>
          <w:bCs/>
        </w:rPr>
        <w:t xml:space="preserve"> аналогично названию, указанному</w:t>
      </w:r>
      <w:r w:rsidRPr="00C72055">
        <w:t xml:space="preserve"> в таблице 1 приложения 3 к проекту №802503-7 Федерального закона «О федеральном бюджете на 2020 год и на плановый период 2021 и 2022 годов».</w:t>
      </w:r>
    </w:p>
    <w:p w:rsidR="00F37740" w:rsidRDefault="00F37740" w:rsidP="00F37740">
      <w:pPr>
        <w:tabs>
          <w:tab w:val="num" w:pos="0"/>
        </w:tabs>
        <w:ind w:firstLine="680"/>
        <w:jc w:val="both"/>
        <w:outlineLvl w:val="0"/>
      </w:pPr>
      <w:r w:rsidRPr="008541B2">
        <w:rPr>
          <w:rFonts w:eastAsia="Calibri"/>
        </w:rPr>
        <w:t xml:space="preserve">Поступления </w:t>
      </w:r>
      <w:r w:rsidRPr="008541B2">
        <w:rPr>
          <w:rFonts w:eastAsia="Calibri"/>
          <w:b/>
          <w:i/>
        </w:rPr>
        <w:t xml:space="preserve">налога на </w:t>
      </w:r>
      <w:r>
        <w:rPr>
          <w:rFonts w:eastAsia="Calibri"/>
          <w:b/>
          <w:i/>
        </w:rPr>
        <w:t xml:space="preserve">имущество организаций </w:t>
      </w:r>
      <w:r w:rsidRPr="008541B2">
        <w:rPr>
          <w:rFonts w:eastAsia="Calibri"/>
        </w:rPr>
        <w:t xml:space="preserve">прогнозируются в 2020 году </w:t>
      </w:r>
      <w:r>
        <w:rPr>
          <w:rFonts w:eastAsia="Calibri"/>
        </w:rPr>
        <w:t>в сумме 7 618</w:t>
      </w:r>
      <w:r w:rsidRPr="008541B2">
        <w:rPr>
          <w:rFonts w:eastAsia="Calibri"/>
        </w:rPr>
        <w:t>,6</w:t>
      </w:r>
      <w:r w:rsidRPr="008541B2">
        <w:rPr>
          <w:rFonts w:eastAsia="Calibri"/>
          <w:lang w:val="en-US"/>
        </w:rPr>
        <w:t> </w:t>
      </w:r>
      <w:r w:rsidRPr="008541B2">
        <w:rPr>
          <w:rFonts w:eastAsia="Calibri"/>
        </w:rPr>
        <w:t>млн.</w:t>
      </w:r>
      <w:r w:rsidRPr="008541B2">
        <w:rPr>
          <w:rFonts w:eastAsia="Calibri"/>
          <w:lang w:val="en-US"/>
        </w:rPr>
        <w:t> </w:t>
      </w:r>
      <w:r w:rsidRPr="008541B2">
        <w:rPr>
          <w:rFonts w:eastAsia="Calibri"/>
        </w:rPr>
        <w:t>руб. (+</w:t>
      </w:r>
      <w:r>
        <w:rPr>
          <w:rFonts w:eastAsia="Calibri"/>
        </w:rPr>
        <w:t>1</w:t>
      </w:r>
      <w:r w:rsidRPr="008541B2">
        <w:rPr>
          <w:rFonts w:eastAsia="Calibri"/>
        </w:rPr>
        <w:t>,</w:t>
      </w:r>
      <w:r>
        <w:rPr>
          <w:rFonts w:eastAsia="Calibri"/>
        </w:rPr>
        <w:t>5</w:t>
      </w:r>
      <w:r w:rsidRPr="008541B2">
        <w:rPr>
          <w:rFonts w:eastAsia="Calibri"/>
        </w:rPr>
        <w:t xml:space="preserve"> % </w:t>
      </w:r>
      <w:r w:rsidRPr="00EB1EB6">
        <w:t>к утвержденным назначениям 201</w:t>
      </w:r>
      <w:r>
        <w:t>9</w:t>
      </w:r>
      <w:r w:rsidRPr="00EB1EB6">
        <w:t xml:space="preserve"> года), на 202</w:t>
      </w:r>
      <w:r>
        <w:t>1</w:t>
      </w:r>
      <w:r w:rsidRPr="00EB1EB6">
        <w:t xml:space="preserve"> год – </w:t>
      </w:r>
      <w:r>
        <w:t>8 235,6</w:t>
      </w:r>
      <w:r w:rsidRPr="00EB1EB6">
        <w:t xml:space="preserve"> тыс. руб. (+</w:t>
      </w:r>
      <w:r>
        <w:t>8,1</w:t>
      </w:r>
      <w:r w:rsidRPr="00EB1EB6">
        <w:t>% к 20</w:t>
      </w:r>
      <w:r>
        <w:t>20</w:t>
      </w:r>
      <w:r w:rsidRPr="00EB1EB6">
        <w:t xml:space="preserve"> году)</w:t>
      </w:r>
      <w:r>
        <w:t>,</w:t>
      </w:r>
      <w:r w:rsidRPr="00EB1EB6">
        <w:t xml:space="preserve"> на 202</w:t>
      </w:r>
      <w:r>
        <w:t>2</w:t>
      </w:r>
      <w:r w:rsidRPr="00EB1EB6">
        <w:t xml:space="preserve"> год – </w:t>
      </w:r>
      <w:r>
        <w:t>8 679,7</w:t>
      </w:r>
      <w:r w:rsidRPr="00EB1EB6">
        <w:t xml:space="preserve"> млн. руб. (+</w:t>
      </w:r>
      <w:r>
        <w:t>5,4</w:t>
      </w:r>
      <w:r w:rsidRPr="00EB1EB6">
        <w:t>% к 202</w:t>
      </w:r>
      <w:r>
        <w:t>1</w:t>
      </w:r>
      <w:r w:rsidRPr="00EB1EB6">
        <w:t xml:space="preserve"> году).</w:t>
      </w:r>
    </w:p>
    <w:p w:rsidR="00F37740" w:rsidRDefault="00F37740" w:rsidP="00F37740">
      <w:pPr>
        <w:tabs>
          <w:tab w:val="num" w:pos="0"/>
        </w:tabs>
        <w:ind w:firstLine="680"/>
        <w:jc w:val="both"/>
        <w:outlineLvl w:val="0"/>
      </w:pPr>
      <w:r>
        <w:t xml:space="preserve">Следует отметить, что утвержденные на 2019 год бюджетные назначения в сумме 7503,1 млн. руб. за 10 месяцев текущего года уже перевыполнены и составили 7520,4 млн. руб. (+17,3 млн. руб.). </w:t>
      </w:r>
    </w:p>
    <w:p w:rsidR="00F37740" w:rsidRDefault="00F37740" w:rsidP="00F37740">
      <w:pPr>
        <w:tabs>
          <w:tab w:val="num" w:pos="0"/>
        </w:tabs>
        <w:ind w:firstLine="680"/>
        <w:jc w:val="both"/>
        <w:outlineLvl w:val="0"/>
      </w:pPr>
      <w:r>
        <w:t xml:space="preserve">По оценке КСП, исходя из динамики поступления данного налога (с учетом отмены налога на движимое имущество организаций), за 2019 год ожидаются поступления в сумме порядка 7660,4 млн. руб., или выше утвержденного показателя на 157,3 млн. рублей. Соответственно на 2020 год при прогнозировании поступлений налога на имущество организаций с ростом на 1,5% значение прогнозного показателя составит 7775,3 млн. руб., что </w:t>
      </w:r>
      <w:r w:rsidRPr="008122CF">
        <w:rPr>
          <w:b/>
        </w:rPr>
        <w:t xml:space="preserve">выше предусмотренного Законопроектом на </w:t>
      </w:r>
      <w:r>
        <w:rPr>
          <w:b/>
        </w:rPr>
        <w:t>156,7</w:t>
      </w:r>
      <w:r w:rsidRPr="008122CF">
        <w:rPr>
          <w:b/>
        </w:rPr>
        <w:t xml:space="preserve"> млн. рублей.</w:t>
      </w:r>
      <w:r>
        <w:t xml:space="preserve">  </w:t>
      </w:r>
    </w:p>
    <w:p w:rsidR="00F37740" w:rsidRDefault="00F37740" w:rsidP="00F37740">
      <w:pPr>
        <w:tabs>
          <w:tab w:val="num" w:pos="0"/>
        </w:tabs>
        <w:ind w:firstLine="680"/>
        <w:jc w:val="both"/>
        <w:outlineLvl w:val="0"/>
      </w:pPr>
    </w:p>
    <w:p w:rsidR="00F37740" w:rsidRDefault="00F37740" w:rsidP="00F37740">
      <w:pPr>
        <w:tabs>
          <w:tab w:val="num" w:pos="0"/>
        </w:tabs>
        <w:ind w:firstLine="680"/>
        <w:jc w:val="both"/>
        <w:outlineLvl w:val="0"/>
      </w:pPr>
      <w:r w:rsidRPr="00ED001A">
        <w:rPr>
          <w:b/>
          <w:i/>
          <w:u w:val="single"/>
        </w:rPr>
        <w:t>Неналоговые доходы</w:t>
      </w:r>
      <w:r>
        <w:t xml:space="preserve"> </w:t>
      </w:r>
      <w:r w:rsidRPr="008541B2">
        <w:rPr>
          <w:rFonts w:eastAsia="Calibri"/>
        </w:rPr>
        <w:t xml:space="preserve">прогнозируются в 2020 году </w:t>
      </w:r>
      <w:r>
        <w:rPr>
          <w:rFonts w:eastAsia="Calibri"/>
        </w:rPr>
        <w:t>в сумме 1 711,1</w:t>
      </w:r>
      <w:r w:rsidRPr="008541B2">
        <w:rPr>
          <w:rFonts w:eastAsia="Calibri"/>
          <w:lang w:val="en-US"/>
        </w:rPr>
        <w:t> </w:t>
      </w:r>
      <w:r w:rsidRPr="008541B2">
        <w:rPr>
          <w:rFonts w:eastAsia="Calibri"/>
        </w:rPr>
        <w:t>млн.</w:t>
      </w:r>
      <w:r w:rsidRPr="008541B2">
        <w:rPr>
          <w:rFonts w:eastAsia="Calibri"/>
          <w:lang w:val="en-US"/>
        </w:rPr>
        <w:t> </w:t>
      </w:r>
      <w:r w:rsidRPr="008541B2">
        <w:rPr>
          <w:rFonts w:eastAsia="Calibri"/>
        </w:rPr>
        <w:t>руб. (</w:t>
      </w:r>
      <w:r>
        <w:rPr>
          <w:rFonts w:eastAsia="Calibri"/>
        </w:rPr>
        <w:t>-9</w:t>
      </w:r>
      <w:r w:rsidRPr="008541B2">
        <w:rPr>
          <w:rFonts w:eastAsia="Calibri"/>
        </w:rPr>
        <w:t>,</w:t>
      </w:r>
      <w:r>
        <w:rPr>
          <w:rFonts w:eastAsia="Calibri"/>
        </w:rPr>
        <w:t>2</w:t>
      </w:r>
      <w:r w:rsidRPr="008541B2">
        <w:rPr>
          <w:rFonts w:eastAsia="Calibri"/>
        </w:rPr>
        <w:t xml:space="preserve"> % </w:t>
      </w:r>
      <w:r w:rsidRPr="00EB1EB6">
        <w:t>к утвержденным назначениям 201</w:t>
      </w:r>
      <w:r>
        <w:t>9</w:t>
      </w:r>
      <w:r w:rsidRPr="00EB1EB6">
        <w:t xml:space="preserve"> года), на 202</w:t>
      </w:r>
      <w:r>
        <w:t>1</w:t>
      </w:r>
      <w:r w:rsidRPr="00EB1EB6">
        <w:t xml:space="preserve"> год – </w:t>
      </w:r>
      <w:r>
        <w:t>1 722,3</w:t>
      </w:r>
      <w:r w:rsidRPr="00EB1EB6">
        <w:t xml:space="preserve"> тыс. руб. (+</w:t>
      </w:r>
      <w:r>
        <w:t>0,7</w:t>
      </w:r>
      <w:r w:rsidRPr="00EB1EB6">
        <w:t>% к 20</w:t>
      </w:r>
      <w:r>
        <w:t>20</w:t>
      </w:r>
      <w:r w:rsidRPr="00EB1EB6">
        <w:t xml:space="preserve"> году)</w:t>
      </w:r>
      <w:r>
        <w:t>,</w:t>
      </w:r>
      <w:r w:rsidRPr="00EB1EB6">
        <w:t xml:space="preserve"> на 202</w:t>
      </w:r>
      <w:r>
        <w:t>2</w:t>
      </w:r>
      <w:r w:rsidRPr="00EB1EB6">
        <w:t xml:space="preserve"> год – </w:t>
      </w:r>
      <w:r>
        <w:t>1 733,3</w:t>
      </w:r>
      <w:r w:rsidRPr="00EB1EB6">
        <w:t xml:space="preserve"> млн. руб. (+</w:t>
      </w:r>
      <w:r>
        <w:t>0,6</w:t>
      </w:r>
      <w:r w:rsidRPr="00EB1EB6">
        <w:t>% к 202</w:t>
      </w:r>
      <w:r>
        <w:t>1</w:t>
      </w:r>
      <w:r w:rsidRPr="00EB1EB6">
        <w:t xml:space="preserve"> году).</w:t>
      </w:r>
    </w:p>
    <w:p w:rsidR="00F37740" w:rsidRDefault="00F37740" w:rsidP="00F37740">
      <w:pPr>
        <w:tabs>
          <w:tab w:val="num" w:pos="0"/>
        </w:tabs>
        <w:ind w:firstLine="680"/>
        <w:jc w:val="both"/>
        <w:outlineLvl w:val="0"/>
      </w:pPr>
      <w:r>
        <w:t>Снижение поступлений</w:t>
      </w:r>
      <w:r w:rsidR="00CF2ECA">
        <w:t xml:space="preserve"> неналоговых доходов</w:t>
      </w:r>
      <w:r>
        <w:t xml:space="preserve"> на 2020 год относительно 2019 года прогнозируется на 172,7 млн. рублей. </w:t>
      </w:r>
    </w:p>
    <w:p w:rsidR="00F37740" w:rsidRDefault="00F37740" w:rsidP="00F37740">
      <w:pPr>
        <w:ind w:firstLine="709"/>
        <w:jc w:val="both"/>
      </w:pPr>
      <w:r w:rsidRPr="008541B2">
        <w:rPr>
          <w:rFonts w:eastAsia="Calibri"/>
        </w:rPr>
        <w:t xml:space="preserve">Согласно пояснительной записке </w:t>
      </w:r>
      <w:r w:rsidRPr="008541B2">
        <w:t>комитета финансов Волгоградской области</w:t>
      </w:r>
      <w:r>
        <w:t xml:space="preserve"> основное снижение ожидается </w:t>
      </w:r>
      <w:proofErr w:type="gramStart"/>
      <w:r>
        <w:t>на</w:t>
      </w:r>
      <w:proofErr w:type="gramEnd"/>
      <w:r>
        <w:t>:</w:t>
      </w:r>
    </w:p>
    <w:p w:rsidR="00F37740" w:rsidRPr="00B84838" w:rsidRDefault="00F37740" w:rsidP="00F37740">
      <w:pPr>
        <w:ind w:firstLine="709"/>
        <w:jc w:val="both"/>
        <w:rPr>
          <w:rFonts w:eastAsia="Calibri"/>
          <w:spacing w:val="-6"/>
        </w:rPr>
      </w:pPr>
      <w:r>
        <w:t xml:space="preserve">-101,1 млн. руб. по штрафам, санкциям, </w:t>
      </w:r>
      <w:r w:rsidRPr="00B84838">
        <w:t>возмещению ущерба</w:t>
      </w:r>
      <w:r>
        <w:t xml:space="preserve">, прогнозные показатели по которым </w:t>
      </w:r>
      <w:r w:rsidRPr="00B84838">
        <w:rPr>
          <w:rFonts w:eastAsia="Calibri"/>
          <w:spacing w:val="-6"/>
        </w:rPr>
        <w:t>представлен</w:t>
      </w:r>
      <w:r>
        <w:rPr>
          <w:rFonts w:eastAsia="Calibri"/>
          <w:spacing w:val="-6"/>
        </w:rPr>
        <w:t>ы</w:t>
      </w:r>
      <w:r w:rsidRPr="00B84838">
        <w:rPr>
          <w:rFonts w:eastAsia="Calibri"/>
          <w:spacing w:val="-6"/>
        </w:rPr>
        <w:t xml:space="preserve"> главными администраторами доходов </w:t>
      </w:r>
      <w:r>
        <w:rPr>
          <w:rFonts w:eastAsia="Calibri"/>
          <w:spacing w:val="-6"/>
        </w:rPr>
        <w:t xml:space="preserve">бюджета Волгоградской области </w:t>
      </w:r>
      <w:r w:rsidRPr="00B84838">
        <w:rPr>
          <w:rFonts w:eastAsia="Calibri"/>
          <w:spacing w:val="-6"/>
        </w:rPr>
        <w:t>с учетом количества совершаемых правонарушений и размеров штрафов за разные виды административных правонарушений</w:t>
      </w:r>
      <w:r>
        <w:rPr>
          <w:rFonts w:eastAsia="Calibri"/>
          <w:spacing w:val="-6"/>
        </w:rPr>
        <w:t>;</w:t>
      </w:r>
    </w:p>
    <w:p w:rsidR="00F37740" w:rsidRPr="005E25AF" w:rsidRDefault="00F37740" w:rsidP="00F37740">
      <w:pPr>
        <w:ind w:firstLine="709"/>
        <w:jc w:val="both"/>
        <w:rPr>
          <w:rFonts w:eastAsia="Calibri"/>
        </w:rPr>
      </w:pPr>
      <w:r w:rsidRPr="00B84838">
        <w:t>-18,2 млн. руб. по доходам от оказания платных услуг (-12,9 млн. руб.) и компенсации затрат государства (-5,3 млн. руб.)</w:t>
      </w:r>
      <w:r>
        <w:t>;</w:t>
      </w:r>
      <w:r w:rsidRPr="00B84838">
        <w:t xml:space="preserve"> </w:t>
      </w:r>
    </w:p>
    <w:p w:rsidR="00F37740" w:rsidRDefault="00F37740" w:rsidP="00F37740">
      <w:pPr>
        <w:autoSpaceDE w:val="0"/>
        <w:autoSpaceDN w:val="0"/>
        <w:adjustRightInd w:val="0"/>
        <w:ind w:firstLine="708"/>
        <w:jc w:val="both"/>
      </w:pPr>
      <w:proofErr w:type="gramStart"/>
      <w:r w:rsidRPr="00C9126B">
        <w:t xml:space="preserve">-25,8 млн. руб.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Волгоградской области, в связи с планируемым снижением доходов от ПАО </w:t>
      </w:r>
      <w:r>
        <w:t>«</w:t>
      </w:r>
      <w:proofErr w:type="spellStart"/>
      <w:r w:rsidRPr="00C9126B">
        <w:t>Волгоградоблэлектро</w:t>
      </w:r>
      <w:proofErr w:type="spellEnd"/>
      <w:r>
        <w:t>» за счет увеличения расходов на обслуживание газопроводов в</w:t>
      </w:r>
      <w:r w:rsidRPr="00C9126B">
        <w:t xml:space="preserve"> </w:t>
      </w:r>
      <w:r>
        <w:t>целях реализации</w:t>
      </w:r>
      <w:r w:rsidRPr="00C9126B">
        <w:t xml:space="preserve"> Закона Волгоградской области от </w:t>
      </w:r>
      <w:r w:rsidRPr="00D34FF1">
        <w:t>03.12.2015 № 204-ОД</w:t>
      </w:r>
      <w:r>
        <w:t xml:space="preserve"> «</w:t>
      </w:r>
      <w:r>
        <w:rPr>
          <w:rFonts w:eastAsia="Calibri"/>
        </w:rPr>
        <w:t>О перераспределении полномочий между органами местного самоуправления муниципальных образований</w:t>
      </w:r>
      <w:proofErr w:type="gramEnd"/>
      <w:r>
        <w:rPr>
          <w:rFonts w:eastAsia="Calibri"/>
        </w:rPr>
        <w:t xml:space="preserve">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 установленных законодательством Российской Федерации»</w:t>
      </w:r>
      <w:r>
        <w:t>;</w:t>
      </w:r>
    </w:p>
    <w:p w:rsidR="00F37740" w:rsidRDefault="00F37740" w:rsidP="00F37740">
      <w:pPr>
        <w:ind w:firstLine="709"/>
        <w:jc w:val="both"/>
        <w:rPr>
          <w:rFonts w:eastAsia="Calibri"/>
        </w:rPr>
      </w:pPr>
      <w:r w:rsidRPr="00C9126B">
        <w:t>-18,2 млн. руб. по доходам от п</w:t>
      </w:r>
      <w:r w:rsidRPr="00C9126B">
        <w:rPr>
          <w:rFonts w:eastAsia="Calibri"/>
        </w:rPr>
        <w:t xml:space="preserve">еречисления </w:t>
      </w:r>
      <w:r w:rsidRPr="005E25AF">
        <w:rPr>
          <w:rFonts w:eastAsia="Calibri"/>
        </w:rPr>
        <w:t>части прибыли государственных унитарных предприятий Волгоградской области</w:t>
      </w:r>
      <w:r w:rsidRPr="00C9126B">
        <w:rPr>
          <w:rFonts w:eastAsia="Calibri"/>
        </w:rPr>
        <w:t>,</w:t>
      </w:r>
      <w:r w:rsidRPr="005E25AF">
        <w:rPr>
          <w:rFonts w:eastAsia="Calibri"/>
        </w:rPr>
        <w:t xml:space="preserve"> рассчитан</w:t>
      </w:r>
      <w:r w:rsidRPr="00C9126B">
        <w:rPr>
          <w:rFonts w:eastAsia="Calibri"/>
        </w:rPr>
        <w:t>ным</w:t>
      </w:r>
      <w:r w:rsidRPr="005E25AF">
        <w:rPr>
          <w:rFonts w:eastAsia="Calibri"/>
        </w:rPr>
        <w:t xml:space="preserve"> </w:t>
      </w:r>
      <w:r w:rsidRPr="00C9126B">
        <w:rPr>
          <w:rFonts w:eastAsia="Calibri"/>
        </w:rPr>
        <w:t xml:space="preserve">с учетом </w:t>
      </w:r>
      <w:r w:rsidRPr="005E25AF">
        <w:rPr>
          <w:rFonts w:eastAsia="Calibri"/>
        </w:rPr>
        <w:t>включени</w:t>
      </w:r>
      <w:r w:rsidRPr="00C9126B">
        <w:rPr>
          <w:rFonts w:eastAsia="Calibri"/>
        </w:rPr>
        <w:t>я</w:t>
      </w:r>
      <w:r w:rsidRPr="005E25AF">
        <w:rPr>
          <w:rFonts w:eastAsia="Calibri"/>
        </w:rPr>
        <w:t xml:space="preserve"> ГУП </w:t>
      </w:r>
      <w:r>
        <w:rPr>
          <w:rFonts w:eastAsia="Calibri"/>
        </w:rPr>
        <w:t>«</w:t>
      </w:r>
      <w:proofErr w:type="spellStart"/>
      <w:r w:rsidRPr="005E25AF">
        <w:rPr>
          <w:rFonts w:eastAsia="Calibri"/>
        </w:rPr>
        <w:t>Волгофарм</w:t>
      </w:r>
      <w:proofErr w:type="spellEnd"/>
      <w:r>
        <w:rPr>
          <w:rFonts w:eastAsia="Calibri"/>
        </w:rPr>
        <w:t>»</w:t>
      </w:r>
      <w:r w:rsidRPr="005E25AF">
        <w:rPr>
          <w:rFonts w:eastAsia="Calibri"/>
        </w:rPr>
        <w:t xml:space="preserve">, ГУП ВОСХП </w:t>
      </w:r>
      <w:r>
        <w:rPr>
          <w:rFonts w:eastAsia="Calibri"/>
        </w:rPr>
        <w:t>«</w:t>
      </w:r>
      <w:r w:rsidRPr="005E25AF">
        <w:rPr>
          <w:rFonts w:eastAsia="Calibri"/>
        </w:rPr>
        <w:t>Заря</w:t>
      </w:r>
      <w:r>
        <w:rPr>
          <w:rFonts w:eastAsia="Calibri"/>
        </w:rPr>
        <w:t>»</w:t>
      </w:r>
      <w:r w:rsidRPr="005E25AF">
        <w:rPr>
          <w:rFonts w:eastAsia="Calibri"/>
        </w:rPr>
        <w:t xml:space="preserve"> и ГУП </w:t>
      </w:r>
      <w:r>
        <w:rPr>
          <w:rFonts w:eastAsia="Calibri"/>
        </w:rPr>
        <w:t>«</w:t>
      </w:r>
      <w:proofErr w:type="spellStart"/>
      <w:r w:rsidRPr="005E25AF">
        <w:rPr>
          <w:rFonts w:eastAsia="Calibri"/>
        </w:rPr>
        <w:t>Волгоградвзрывпром</w:t>
      </w:r>
      <w:proofErr w:type="spellEnd"/>
      <w:r>
        <w:t>»</w:t>
      </w:r>
      <w:r w:rsidRPr="005E25AF">
        <w:rPr>
          <w:rFonts w:eastAsia="Calibri"/>
        </w:rPr>
        <w:t xml:space="preserve"> в программу приватизации государственного имущества на 2019 год</w:t>
      </w:r>
      <w:r>
        <w:rPr>
          <w:rFonts w:eastAsia="Calibri"/>
        </w:rPr>
        <w:t xml:space="preserve"> </w:t>
      </w:r>
      <w:r w:rsidR="00554359">
        <w:rPr>
          <w:rFonts w:eastAsia="Calibri"/>
        </w:rPr>
        <w:t>с продолжением в 2020 2021 годах</w:t>
      </w:r>
      <w:r>
        <w:rPr>
          <w:rFonts w:eastAsia="Calibri"/>
        </w:rPr>
        <w:t>;</w:t>
      </w:r>
    </w:p>
    <w:p w:rsidR="00F37740" w:rsidRPr="00B84838" w:rsidRDefault="00F37740" w:rsidP="00F37740">
      <w:pPr>
        <w:ind w:firstLine="709"/>
        <w:jc w:val="both"/>
      </w:pPr>
      <w:r w:rsidRPr="00B84838">
        <w:rPr>
          <w:rFonts w:eastAsia="Calibri"/>
        </w:rPr>
        <w:t xml:space="preserve">-9,1 млн. руб. </w:t>
      </w:r>
      <w:r w:rsidRPr="00B84838">
        <w:rPr>
          <w:bCs/>
        </w:rPr>
        <w:t xml:space="preserve">по </w:t>
      </w:r>
      <w:r w:rsidRPr="007468C6">
        <w:rPr>
          <w:bCs/>
        </w:rPr>
        <w:t xml:space="preserve">доходам от продажи материальных и нематериальных активов </w:t>
      </w:r>
      <w:r w:rsidRPr="00B84838">
        <w:rPr>
          <w:bCs/>
        </w:rPr>
        <w:t>с учетом</w:t>
      </w:r>
      <w:r w:rsidRPr="00B84838">
        <w:rPr>
          <w:rFonts w:eastAsia="Calibri"/>
          <w:iCs/>
        </w:rPr>
        <w:t xml:space="preserve"> реализации основных средств, </w:t>
      </w:r>
      <w:r w:rsidRPr="00B84838">
        <w:t>исходя из заключенных договоров купли–продажи имущества в рассрочку субъектам малого и среднего предпринимательства.</w:t>
      </w:r>
    </w:p>
    <w:p w:rsidR="00674AA4" w:rsidRPr="00674AA4" w:rsidRDefault="00F37740" w:rsidP="00674AA4">
      <w:pPr>
        <w:ind w:firstLine="709"/>
        <w:jc w:val="both"/>
      </w:pPr>
      <w:r>
        <w:rPr>
          <w:rFonts w:eastAsia="Calibri"/>
          <w:bCs/>
        </w:rPr>
        <w:t xml:space="preserve">Из перечисленных </w:t>
      </w:r>
      <w:r w:rsidR="00554359">
        <w:rPr>
          <w:rFonts w:eastAsia="Calibri"/>
          <w:bCs/>
        </w:rPr>
        <w:t xml:space="preserve">видов неналоговых </w:t>
      </w:r>
      <w:r>
        <w:rPr>
          <w:rFonts w:eastAsia="Calibri"/>
          <w:bCs/>
        </w:rPr>
        <w:t xml:space="preserve">доходов </w:t>
      </w:r>
      <w:r w:rsidRPr="00B84838">
        <w:rPr>
          <w:rFonts w:eastAsia="Calibri"/>
          <w:bCs/>
        </w:rPr>
        <w:t xml:space="preserve">причины снижения </w:t>
      </w:r>
      <w:r w:rsidRPr="00B84838">
        <w:t>по штрафам, санкциям, возмещению ущерба и по доходам от оказания платных услуг</w:t>
      </w:r>
      <w:r w:rsidRPr="00B84838">
        <w:rPr>
          <w:rFonts w:eastAsia="Calibri"/>
          <w:bCs/>
        </w:rPr>
        <w:t xml:space="preserve"> в пояснительной записке </w:t>
      </w:r>
      <w:r w:rsidRPr="008541B2">
        <w:t>комитета финансов Волгоградской области</w:t>
      </w:r>
      <w:r w:rsidRPr="00B84838">
        <w:rPr>
          <w:rFonts w:eastAsia="Calibri"/>
          <w:bCs/>
        </w:rPr>
        <w:t xml:space="preserve"> не указаны.</w:t>
      </w:r>
      <w:r w:rsidR="00533A46" w:rsidRPr="00533A46">
        <w:rPr>
          <w:rFonts w:eastAsia="Calibri"/>
          <w:color w:val="FF0000"/>
          <w:spacing w:val="-6"/>
        </w:rPr>
        <w:t xml:space="preserve"> </w:t>
      </w:r>
      <w:r w:rsidR="00FD14C6" w:rsidRPr="00FD14C6">
        <w:rPr>
          <w:rFonts w:eastAsia="Calibri"/>
          <w:spacing w:val="-6"/>
        </w:rPr>
        <w:t xml:space="preserve">Снижение доходов </w:t>
      </w:r>
      <w:r w:rsidR="00FD14C6" w:rsidRPr="00FD14C6">
        <w:t>по штрафам, санкциям, возмещению ущерба</w:t>
      </w:r>
      <w:r w:rsidR="00FD14C6" w:rsidRPr="00FD14C6">
        <w:rPr>
          <w:rFonts w:eastAsia="Calibri"/>
          <w:spacing w:val="-6"/>
        </w:rPr>
        <w:t xml:space="preserve"> ч</w:t>
      </w:r>
      <w:r w:rsidR="00533A46" w:rsidRPr="00FD14C6">
        <w:rPr>
          <w:rFonts w:eastAsia="Calibri"/>
          <w:spacing w:val="-6"/>
        </w:rPr>
        <w:t>астично</w:t>
      </w:r>
      <w:r w:rsidR="00FD14C6" w:rsidRPr="00FD14C6">
        <w:rPr>
          <w:rFonts w:eastAsia="Calibri"/>
          <w:spacing w:val="-6"/>
        </w:rPr>
        <w:t xml:space="preserve"> может быть объяснено </w:t>
      </w:r>
      <w:r w:rsidR="00533A46" w:rsidRPr="00FD14C6">
        <w:rPr>
          <w:rFonts w:eastAsia="Calibri"/>
          <w:spacing w:val="-6"/>
        </w:rPr>
        <w:t xml:space="preserve">изменениями порядка зачисления штрафов в соответствии </w:t>
      </w:r>
      <w:r w:rsidR="00FD14C6" w:rsidRPr="00FD14C6">
        <w:rPr>
          <w:rFonts w:eastAsia="Calibri"/>
          <w:spacing w:val="-6"/>
        </w:rPr>
        <w:t xml:space="preserve">со </w:t>
      </w:r>
      <w:r w:rsidR="00533A46" w:rsidRPr="00FD14C6">
        <w:rPr>
          <w:rFonts w:eastAsia="Calibri"/>
          <w:spacing w:val="-6"/>
        </w:rPr>
        <w:t xml:space="preserve">ст.46 БК РФ. </w:t>
      </w:r>
      <w:r w:rsidR="00674AA4">
        <w:rPr>
          <w:rFonts w:eastAsia="Calibri"/>
          <w:spacing w:val="-6"/>
        </w:rPr>
        <w:t xml:space="preserve"> Однако, учитывая, что </w:t>
      </w:r>
      <w:r w:rsidR="00674AA4" w:rsidRPr="00674AA4">
        <w:rPr>
          <w:rFonts w:eastAsia="Calibri"/>
          <w:spacing w:val="-6"/>
        </w:rPr>
        <w:t xml:space="preserve"> основную долю 92,7% в указанных доходах занимают </w:t>
      </w:r>
      <w:r w:rsidR="00674AA4" w:rsidRPr="00674AA4">
        <w:t>штрафы за административные правонарушения в области дорожного движения (1265,1 млн. руб. из 1364,3 млн. руб.), и на все остальные приходится лишь 7,3% (99,2 млн. руб.), то указанные изменения в бюджетном законодательстве не окажут существенного влияния на снижение доходов в сумме 101,1 млн. рублей.</w:t>
      </w:r>
    </w:p>
    <w:p w:rsidR="00533A46" w:rsidRPr="00FD14C6" w:rsidRDefault="00533A46" w:rsidP="00533A46">
      <w:pPr>
        <w:ind w:firstLine="709"/>
        <w:jc w:val="both"/>
      </w:pPr>
    </w:p>
    <w:p w:rsidR="001E57F5" w:rsidRDefault="001E57F5" w:rsidP="001E57F5">
      <w:pPr>
        <w:autoSpaceDE w:val="0"/>
        <w:autoSpaceDN w:val="0"/>
        <w:adjustRightInd w:val="0"/>
        <w:ind w:firstLine="680"/>
        <w:jc w:val="both"/>
        <w:rPr>
          <w:color w:val="000000"/>
        </w:rPr>
      </w:pPr>
      <w:proofErr w:type="gramStart"/>
      <w:r>
        <w:rPr>
          <w:color w:val="000000"/>
        </w:rPr>
        <w:t xml:space="preserve">В ходе анализа поступлений доходов в областной бюджет (приложение 1 к Законопроекту) установлено, что по 2 </w:t>
      </w:r>
      <w:r w:rsidRPr="00533A46">
        <w:rPr>
          <w:color w:val="000000"/>
        </w:rPr>
        <w:t>кодам бюджетной классификации доходов</w:t>
      </w:r>
      <w:r>
        <w:rPr>
          <w:color w:val="000000"/>
        </w:rPr>
        <w:t xml:space="preserve"> предусмотрены поступления в областной бюджет, которые в соответствии с </w:t>
      </w:r>
      <w:r w:rsidR="00B35422">
        <w:rPr>
          <w:color w:val="000000"/>
        </w:rPr>
        <w:t xml:space="preserve">пунктом 22 статьи 46 БК РФ и </w:t>
      </w:r>
      <w:r>
        <w:rPr>
          <w:rFonts w:eastAsia="Calibri"/>
          <w:bCs/>
          <w:iCs/>
        </w:rPr>
        <w:t>п</w:t>
      </w:r>
      <w:r w:rsidRPr="00533A46">
        <w:rPr>
          <w:rFonts w:eastAsia="Calibri"/>
          <w:bCs/>
          <w:iCs/>
        </w:rPr>
        <w:t>риказ</w:t>
      </w:r>
      <w:r>
        <w:rPr>
          <w:rFonts w:eastAsia="Calibri"/>
          <w:bCs/>
          <w:iCs/>
        </w:rPr>
        <w:t>о</w:t>
      </w:r>
      <w:r w:rsidRPr="00533A46">
        <w:rPr>
          <w:rFonts w:eastAsia="Calibri"/>
          <w:bCs/>
          <w:iCs/>
        </w:rPr>
        <w:t>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r>
        <w:rPr>
          <w:rFonts w:eastAsia="Calibri"/>
          <w:bCs/>
          <w:iCs/>
        </w:rPr>
        <w:t xml:space="preserve"> не подлежат зачислению</w:t>
      </w:r>
      <w:proofErr w:type="gramEnd"/>
      <w:r>
        <w:rPr>
          <w:rFonts w:eastAsia="Calibri"/>
          <w:bCs/>
          <w:iCs/>
        </w:rPr>
        <w:t xml:space="preserve"> в бюджеты субъектов РФ, а именно по следующим кодам:</w:t>
      </w:r>
    </w:p>
    <w:p w:rsidR="001E57F5" w:rsidRDefault="001E57F5" w:rsidP="001E57F5">
      <w:pPr>
        <w:ind w:firstLine="680"/>
        <w:jc w:val="both"/>
        <w:rPr>
          <w:color w:val="000000"/>
        </w:rPr>
      </w:pPr>
      <w:r>
        <w:rPr>
          <w:color w:val="000000"/>
        </w:rPr>
        <w:t>-</w:t>
      </w:r>
      <w:r w:rsidRPr="00826BF2">
        <w:rPr>
          <w:color w:val="000000"/>
        </w:rPr>
        <w:t>000 1 16 11030 01 0000 140</w:t>
      </w:r>
      <w:r>
        <w:rPr>
          <w:color w:val="000000"/>
        </w:rPr>
        <w:t xml:space="preserve"> </w:t>
      </w:r>
      <w:r w:rsidRPr="00826BF2">
        <w:rPr>
          <w:color w:val="00000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w:t>
      </w:r>
      <w:r w:rsidRPr="00826BF2">
        <w:rPr>
          <w:color w:val="000000"/>
        </w:rPr>
        <w:lastRenderedPageBreak/>
        <w:t>значения</w:t>
      </w:r>
      <w:r>
        <w:rPr>
          <w:color w:val="000000"/>
        </w:rPr>
        <w:t xml:space="preserve">, с ожидаемыми прогнозными показателями на 2020 год – 2022 годы </w:t>
      </w:r>
      <w:r w:rsidRPr="00533A46">
        <w:rPr>
          <w:b/>
          <w:color w:val="000000"/>
        </w:rPr>
        <w:t>по 685,6 тыс. руб.</w:t>
      </w:r>
      <w:r w:rsidR="007468C6">
        <w:rPr>
          <w:b/>
          <w:color w:val="000000"/>
        </w:rPr>
        <w:t xml:space="preserve"> </w:t>
      </w:r>
      <w:r w:rsidR="007468C6" w:rsidRPr="007468C6">
        <w:rPr>
          <w:color w:val="000000"/>
        </w:rPr>
        <w:t>ежегодно</w:t>
      </w:r>
      <w:r>
        <w:rPr>
          <w:color w:val="000000"/>
        </w:rPr>
        <w:t>;</w:t>
      </w:r>
    </w:p>
    <w:p w:rsidR="001E57F5" w:rsidRDefault="001E57F5" w:rsidP="001E57F5">
      <w:pPr>
        <w:ind w:firstLine="680"/>
        <w:jc w:val="both"/>
        <w:rPr>
          <w:color w:val="000000"/>
        </w:rPr>
      </w:pPr>
      <w:proofErr w:type="gramStart"/>
      <w:r>
        <w:rPr>
          <w:color w:val="000000"/>
        </w:rPr>
        <w:t>-</w:t>
      </w:r>
      <w:r w:rsidRPr="007D6445">
        <w:rPr>
          <w:color w:val="000000"/>
        </w:rPr>
        <w:t>000 1 16 11050 01 0000 140</w:t>
      </w:r>
      <w:r>
        <w:rPr>
          <w:color w:val="000000"/>
        </w:rPr>
        <w:t xml:space="preserve">  </w:t>
      </w:r>
      <w:r w:rsidRPr="007D6445">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r>
        <w:rPr>
          <w:color w:val="000000"/>
        </w:rPr>
        <w:t>,</w:t>
      </w:r>
      <w:r w:rsidRPr="007D6445">
        <w:rPr>
          <w:color w:val="000000"/>
        </w:rPr>
        <w:t xml:space="preserve"> </w:t>
      </w:r>
      <w:r>
        <w:rPr>
          <w:color w:val="000000"/>
        </w:rPr>
        <w:t xml:space="preserve">с ожидаемыми прогнозными показателями на 2020 год – 2022 годы по </w:t>
      </w:r>
      <w:r w:rsidRPr="00533A46">
        <w:rPr>
          <w:b/>
          <w:color w:val="000000"/>
        </w:rPr>
        <w:t>2918,0 тыс. руб.</w:t>
      </w:r>
      <w:r w:rsidR="007468C6">
        <w:rPr>
          <w:b/>
          <w:color w:val="000000"/>
        </w:rPr>
        <w:t xml:space="preserve"> </w:t>
      </w:r>
      <w:r w:rsidR="007468C6" w:rsidRPr="007468C6">
        <w:rPr>
          <w:color w:val="000000"/>
        </w:rPr>
        <w:t>ежегодно</w:t>
      </w:r>
      <w:r w:rsidR="007468C6">
        <w:rPr>
          <w:color w:val="000000"/>
        </w:rPr>
        <w:t>.</w:t>
      </w:r>
      <w:proofErr w:type="gramEnd"/>
    </w:p>
    <w:p w:rsidR="00C81CC9" w:rsidRPr="00533A46" w:rsidRDefault="00C81CC9" w:rsidP="00C81CC9">
      <w:pPr>
        <w:ind w:firstLine="680"/>
        <w:jc w:val="both"/>
        <w:rPr>
          <w:b/>
          <w:color w:val="000000"/>
        </w:rPr>
      </w:pPr>
      <w:proofErr w:type="gramStart"/>
      <w:r w:rsidRPr="00C81CC9">
        <w:rPr>
          <w:color w:val="000000"/>
        </w:rPr>
        <w:t xml:space="preserve">Кроме того, в приложении 1 к Законопроекту  запланированы доходы </w:t>
      </w:r>
      <w:r>
        <w:rPr>
          <w:color w:val="000000"/>
        </w:rPr>
        <w:t xml:space="preserve">на 2020 – 2022 годы </w:t>
      </w:r>
      <w:r w:rsidRPr="00C81CC9">
        <w:rPr>
          <w:color w:val="000000"/>
        </w:rPr>
        <w:t xml:space="preserve"> по 29,4 тыс. руб. </w:t>
      </w:r>
      <w:r>
        <w:rPr>
          <w:color w:val="000000"/>
        </w:rPr>
        <w:t xml:space="preserve">ежегодно </w:t>
      </w:r>
      <w:r w:rsidRPr="00C81CC9">
        <w:rPr>
          <w:color w:val="000000"/>
        </w:rPr>
        <w:t>по коду бюджетной классификации доходов 000 1 17 05070 02 0000 180 «Прочие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w:t>
      </w:r>
      <w:proofErr w:type="gramEnd"/>
      <w:r w:rsidRPr="00C81CC9">
        <w:rPr>
          <w:color w:val="000000"/>
        </w:rPr>
        <w:t xml:space="preserve">, </w:t>
      </w:r>
      <w:proofErr w:type="gramStart"/>
      <w:r w:rsidRPr="00C81CC9">
        <w:rPr>
          <w:color w:val="000000"/>
        </w:rPr>
        <w:t xml:space="preserve">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 </w:t>
      </w:r>
      <w:r>
        <w:rPr>
          <w:color w:val="000000"/>
        </w:rPr>
        <w:t xml:space="preserve">который </w:t>
      </w:r>
      <w:r w:rsidRPr="00C81CC9">
        <w:rPr>
          <w:color w:val="000000"/>
        </w:rPr>
        <w:t>отменен приказом Минфина от 17.09.2019 №148</w:t>
      </w:r>
      <w:r w:rsidR="00762747">
        <w:rPr>
          <w:color w:val="000000"/>
        </w:rPr>
        <w:t>н</w:t>
      </w:r>
      <w:r w:rsidRPr="00C81CC9">
        <w:rPr>
          <w:color w:val="000000"/>
        </w:rPr>
        <w:t xml:space="preserve">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w:t>
      </w:r>
      <w:proofErr w:type="gramEnd"/>
      <w:r w:rsidRPr="00C81CC9">
        <w:rPr>
          <w:color w:val="000000"/>
        </w:rPr>
        <w:t xml:space="preserve"> 6 июня 2019 г. №85н»</w:t>
      </w:r>
      <w:r w:rsidRPr="00C81CC9">
        <w:rPr>
          <w:b/>
          <w:color w:val="000000"/>
        </w:rPr>
        <w:t>.</w:t>
      </w:r>
    </w:p>
    <w:p w:rsidR="001E57F5" w:rsidRDefault="001E57F5" w:rsidP="001E57F5">
      <w:pPr>
        <w:ind w:firstLine="680"/>
        <w:jc w:val="both"/>
        <w:rPr>
          <w:color w:val="000000"/>
        </w:rPr>
      </w:pPr>
    </w:p>
    <w:p w:rsidR="00F37740" w:rsidRPr="00ED001A" w:rsidRDefault="00F37740" w:rsidP="00F37740">
      <w:pPr>
        <w:shd w:val="clear" w:color="auto" w:fill="FFFFFF"/>
        <w:ind w:left="11" w:right="11" w:firstLine="680"/>
        <w:jc w:val="both"/>
        <w:rPr>
          <w:b/>
          <w:i/>
          <w:u w:val="single"/>
        </w:rPr>
      </w:pPr>
      <w:r w:rsidRPr="00ED001A">
        <w:rPr>
          <w:b/>
          <w:i/>
          <w:u w:val="single"/>
        </w:rPr>
        <w:t>Безвозмездные поступления</w:t>
      </w:r>
    </w:p>
    <w:p w:rsidR="00F37740" w:rsidRDefault="00F37740" w:rsidP="00F37740">
      <w:pPr>
        <w:pStyle w:val="Default"/>
        <w:ind w:firstLine="680"/>
        <w:jc w:val="both"/>
      </w:pPr>
      <w:r>
        <w:t xml:space="preserve">По Законопроекту прогноз безвозмездных поступлений на 2020 год составляет </w:t>
      </w:r>
      <w:r>
        <w:rPr>
          <w:bCs/>
        </w:rPr>
        <w:t xml:space="preserve">31 644,2 </w:t>
      </w:r>
      <w:r>
        <w:t>млн. руб., что на 15,5% меньше утвержденных на 2019 год, из них:</w:t>
      </w:r>
    </w:p>
    <w:p w:rsidR="00F37740" w:rsidRDefault="00F37740" w:rsidP="00F37740">
      <w:pPr>
        <w:pStyle w:val="Default"/>
        <w:ind w:firstLine="680"/>
        <w:jc w:val="both"/>
      </w:pPr>
      <w:r>
        <w:t xml:space="preserve">-дотации – 9 365,1 млн. руб., или на 23,4% ниже </w:t>
      </w:r>
      <w:proofErr w:type="gramStart"/>
      <w:r>
        <w:t>утвержденных</w:t>
      </w:r>
      <w:proofErr w:type="gramEnd"/>
      <w:r>
        <w:t xml:space="preserve"> на 2019 год (12 222,4 млн. руб.);</w:t>
      </w:r>
    </w:p>
    <w:p w:rsidR="00F37740" w:rsidRDefault="00F37740" w:rsidP="00F37740">
      <w:pPr>
        <w:pStyle w:val="Default"/>
        <w:ind w:firstLine="680"/>
        <w:jc w:val="both"/>
      </w:pPr>
      <w:r>
        <w:t>-субсидии – 11</w:t>
      </w:r>
      <w:r>
        <w:rPr>
          <w:bCs/>
        </w:rPr>
        <w:t xml:space="preserve"> 120,8 </w:t>
      </w:r>
      <w:r>
        <w:t>млн. руб., или на 3,8% меньше 2019 года (11 564,6 млн. руб.);</w:t>
      </w:r>
    </w:p>
    <w:p w:rsidR="00F37740" w:rsidRDefault="00F37740" w:rsidP="00F37740">
      <w:pPr>
        <w:pStyle w:val="Default"/>
        <w:ind w:firstLine="680"/>
        <w:jc w:val="both"/>
      </w:pPr>
      <w:r>
        <w:t>-субвенции – 6 921,3</w:t>
      </w:r>
      <w:r>
        <w:rPr>
          <w:bCs/>
        </w:rPr>
        <w:t xml:space="preserve"> </w:t>
      </w:r>
      <w:r>
        <w:t>млн. руб., или на 24,8% больше 2019 года (5 544,1 млн. руб.);</w:t>
      </w:r>
    </w:p>
    <w:p w:rsidR="00F37740" w:rsidRDefault="00F37740" w:rsidP="00F37740">
      <w:pPr>
        <w:pStyle w:val="Default"/>
        <w:ind w:firstLine="680"/>
        <w:jc w:val="both"/>
      </w:pPr>
      <w:r>
        <w:t>-иные межбюджетные трансферты – 3 733,5 млн. руб., что на 49,7% меньше 2019 года (7</w:t>
      </w:r>
      <w:r>
        <w:rPr>
          <w:bCs/>
        </w:rPr>
        <w:t xml:space="preserve"> 419,6 </w:t>
      </w:r>
      <w:r>
        <w:t>млн. руб.);</w:t>
      </w:r>
    </w:p>
    <w:p w:rsidR="00F37740" w:rsidRDefault="00F37740" w:rsidP="00F37740">
      <w:pPr>
        <w:pStyle w:val="Default"/>
        <w:ind w:firstLine="680"/>
        <w:jc w:val="both"/>
      </w:pPr>
      <w:r>
        <w:t>-безвозмездные поступления от государственных организаций - 446</w:t>
      </w:r>
      <w:r>
        <w:rPr>
          <w:bCs/>
        </w:rPr>
        <w:t xml:space="preserve">,7 </w:t>
      </w:r>
      <w:r>
        <w:t>млн. руб., или на 23,8% меньше 2019 года (586,3 млн. руб.);</w:t>
      </w:r>
    </w:p>
    <w:p w:rsidR="00F37740" w:rsidRDefault="00F37740" w:rsidP="00F37740">
      <w:pPr>
        <w:pStyle w:val="Default"/>
        <w:ind w:firstLine="680"/>
        <w:jc w:val="both"/>
        <w:rPr>
          <w:bCs/>
        </w:rPr>
      </w:pPr>
      <w:r>
        <w:t>-безвозмездные поступления от негосударственных организаций – 0,4 млн. руб., или в 23,3 раза меньше 2019 года (9</w:t>
      </w:r>
      <w:r>
        <w:rPr>
          <w:bCs/>
        </w:rPr>
        <w:t xml:space="preserve">,3 </w:t>
      </w:r>
      <w:r>
        <w:t>млн. руб.);</w:t>
      </w:r>
    </w:p>
    <w:p w:rsidR="00F37740" w:rsidRDefault="00F37740" w:rsidP="00F37740">
      <w:pPr>
        <w:pStyle w:val="Default"/>
        <w:ind w:firstLine="680"/>
        <w:jc w:val="both"/>
      </w:pPr>
      <w:r>
        <w:t>-доходы от возврата остатков субсидий, субвенций и иных межбюджетных трансфертов – 56,4</w:t>
      </w:r>
      <w:r>
        <w:rPr>
          <w:b/>
          <w:bCs/>
        </w:rPr>
        <w:t xml:space="preserve"> </w:t>
      </w:r>
      <w:r>
        <w:t>млн. руб., что на 53,3% меньше оценки 2019 года (99,3 млн. руб.).</w:t>
      </w:r>
    </w:p>
    <w:p w:rsidR="00F37740" w:rsidRPr="00F26930" w:rsidRDefault="00F37740" w:rsidP="00F37740">
      <w:pPr>
        <w:shd w:val="clear" w:color="auto" w:fill="FFFFFF"/>
        <w:ind w:left="11" w:right="11" w:firstLine="680"/>
        <w:jc w:val="both"/>
      </w:pPr>
      <w:r>
        <w:t>Н</w:t>
      </w:r>
      <w:r w:rsidRPr="00461127">
        <w:t xml:space="preserve">еобходимо </w:t>
      </w:r>
      <w:r>
        <w:t xml:space="preserve">отметить, что законопроектом, как и в предыдущие годы, не предусмотрены прогнозные назначения по безвозмездным </w:t>
      </w:r>
      <w:r>
        <w:rPr>
          <w:bCs/>
        </w:rPr>
        <w:t>поступлениям в виде в</w:t>
      </w:r>
      <w:r>
        <w:t>озврата в федеральный бюджет остатков неиспользованных субсидий, субвенций и иных межбюджетных трансфертов</w:t>
      </w:r>
      <w:r w:rsidR="007468C6">
        <w:t>.</w:t>
      </w:r>
      <w:r>
        <w:t xml:space="preserve"> </w:t>
      </w:r>
      <w:r w:rsidR="007468C6">
        <w:t>З</w:t>
      </w:r>
      <w:r w:rsidR="00F25F4F">
        <w:t xml:space="preserve">а 2018 год </w:t>
      </w:r>
      <w:r w:rsidR="00635DC0">
        <w:t>возвращено остатков</w:t>
      </w:r>
      <w:r w:rsidR="00F25F4F">
        <w:t xml:space="preserve"> (-) 286,6 млн. руб., </w:t>
      </w:r>
      <w:r>
        <w:t>за 9 месяцев 2019 года (-)73,2 млн. руб</w:t>
      </w:r>
      <w:r w:rsidR="00635DC0">
        <w:t>лей</w:t>
      </w:r>
      <w:r w:rsidR="00F25F4F">
        <w:t>.</w:t>
      </w:r>
      <w:r>
        <w:t xml:space="preserve"> </w:t>
      </w:r>
      <w:r w:rsidRPr="00F26930">
        <w:t xml:space="preserve">Данный факт </w:t>
      </w:r>
      <w:r w:rsidRPr="00F26930">
        <w:rPr>
          <w:bCs/>
        </w:rPr>
        <w:t xml:space="preserve">свидетельствует о несоблюдении принципа полноты отражения доходов бюджета, определенного статьей 32 БК РФ. </w:t>
      </w:r>
    </w:p>
    <w:p w:rsidR="00D66C74" w:rsidRDefault="00F37740" w:rsidP="00F37740">
      <w:pPr>
        <w:ind w:firstLine="680"/>
        <w:jc w:val="both"/>
        <w:rPr>
          <w:b/>
          <w:i/>
          <w:color w:val="000000"/>
        </w:rPr>
      </w:pPr>
      <w:r w:rsidRPr="00F26930">
        <w:rPr>
          <w:b/>
          <w:i/>
          <w:color w:val="000000"/>
        </w:rPr>
        <w:t>Указанные поступления со знаком «минус» уменьшают общую сумму доходов областного бюджета, соответственно нарушается сбалансированность доходов и расходов бюджета.</w:t>
      </w:r>
      <w:r>
        <w:rPr>
          <w:b/>
          <w:i/>
          <w:color w:val="000000"/>
        </w:rPr>
        <w:t xml:space="preserve"> </w:t>
      </w:r>
    </w:p>
    <w:p w:rsidR="00ED001A" w:rsidRDefault="00ED001A" w:rsidP="00F37740">
      <w:pPr>
        <w:ind w:firstLine="680"/>
        <w:jc w:val="both"/>
        <w:rPr>
          <w:b/>
          <w:i/>
          <w:color w:val="000000"/>
        </w:rPr>
      </w:pPr>
    </w:p>
    <w:p w:rsidR="00047BD4" w:rsidRPr="00047BD4" w:rsidRDefault="00047BD4" w:rsidP="00047BD4">
      <w:pPr>
        <w:ind w:firstLine="567"/>
        <w:rPr>
          <w:b/>
          <w:i/>
          <w:u w:val="single"/>
        </w:rPr>
      </w:pPr>
      <w:r w:rsidRPr="00047BD4">
        <w:rPr>
          <w:b/>
          <w:i/>
          <w:u w:val="single"/>
        </w:rPr>
        <w:t>Оценка потерь областного бюджета от налоговых расходов</w:t>
      </w:r>
    </w:p>
    <w:p w:rsidR="00ED001A" w:rsidRPr="00DE7BD4" w:rsidRDefault="00ED001A" w:rsidP="00ED001A">
      <w:pPr>
        <w:spacing w:line="240" w:lineRule="atLeast"/>
        <w:ind w:firstLine="567"/>
        <w:jc w:val="both"/>
      </w:pPr>
      <w:r w:rsidRPr="00DE7BD4">
        <w:tab/>
        <w:t>Налоговые льготы, предоставляемые отдельным категориям налогоплательщиков как федеральным, так и областным законодательством</w:t>
      </w:r>
      <w:r>
        <w:t>,</w:t>
      </w:r>
      <w:r w:rsidRPr="00DE7BD4">
        <w:t xml:space="preserve"> оказывают существенное влияние на доходную часть областного бюджета. </w:t>
      </w:r>
    </w:p>
    <w:p w:rsidR="00ED001A" w:rsidRPr="00DE7BD4" w:rsidRDefault="00ED001A" w:rsidP="00ED001A">
      <w:pPr>
        <w:spacing w:line="240" w:lineRule="atLeast"/>
        <w:ind w:firstLine="567"/>
        <w:jc w:val="both"/>
      </w:pPr>
      <w:r w:rsidRPr="00DE7BD4">
        <w:tab/>
        <w:t xml:space="preserve">По оценке Администрации Волгоградской </w:t>
      </w:r>
      <w:r w:rsidRPr="00047BD4">
        <w:t>области</w:t>
      </w:r>
      <w:r w:rsidR="00047BD4" w:rsidRPr="00047BD4">
        <w:t xml:space="preserve">  потери областного бюджета от налоговых расходов</w:t>
      </w:r>
      <w:r w:rsidRPr="00047BD4">
        <w:t xml:space="preserve"> о</w:t>
      </w:r>
      <w:r w:rsidRPr="00DE7BD4">
        <w:t>т пред</w:t>
      </w:r>
      <w:r>
        <w:t>оставления налоговых льгот в 2020</w:t>
      </w:r>
      <w:r w:rsidRPr="00DE7BD4">
        <w:t xml:space="preserve"> году составят </w:t>
      </w:r>
      <w:r>
        <w:t>7 539,0</w:t>
      </w:r>
      <w:r w:rsidRPr="00DE7BD4">
        <w:t xml:space="preserve"> млн. </w:t>
      </w:r>
      <w:r w:rsidRPr="00DE7BD4">
        <w:lastRenderedPageBreak/>
        <w:t xml:space="preserve">руб., из которых в соответствии с федеральным законодательством – </w:t>
      </w:r>
      <w:r>
        <w:t>1 916,6</w:t>
      </w:r>
      <w:r w:rsidRPr="00DE7BD4">
        <w:t xml:space="preserve"> млн. руб., или </w:t>
      </w:r>
      <w:r>
        <w:t>25,4</w:t>
      </w:r>
      <w:r w:rsidRPr="00DE7BD4">
        <w:t xml:space="preserve">% общей суммы </w:t>
      </w:r>
      <w:r w:rsidR="00047BD4" w:rsidRPr="00047BD4">
        <w:t>налоговых расходов.</w:t>
      </w:r>
      <w:r w:rsidR="00047BD4" w:rsidRPr="00DE7BD4">
        <w:t xml:space="preserve"> </w:t>
      </w:r>
      <w:r w:rsidRPr="00DE7BD4">
        <w:t>В 20</w:t>
      </w:r>
      <w:r>
        <w:t>21</w:t>
      </w:r>
      <w:r w:rsidRPr="00DE7BD4">
        <w:t xml:space="preserve"> году общая сумма налоговых</w:t>
      </w:r>
      <w:r w:rsidR="00047BD4">
        <w:t xml:space="preserve"> расходов</w:t>
      </w:r>
      <w:r w:rsidRPr="00DE7BD4">
        <w:t xml:space="preserve"> прогнозируется в размере </w:t>
      </w:r>
      <w:r>
        <w:t>7 677,3</w:t>
      </w:r>
      <w:r w:rsidRPr="00DE7BD4">
        <w:t xml:space="preserve"> млн. руб. (в том числе по федеральному законодательству – </w:t>
      </w:r>
      <w:r>
        <w:t>1 985,7</w:t>
      </w:r>
      <w:r w:rsidRPr="00DE7BD4">
        <w:t xml:space="preserve"> млн. руб., или </w:t>
      </w:r>
      <w:r>
        <w:t>25,9</w:t>
      </w:r>
      <w:r w:rsidRPr="00DE7BD4">
        <w:t>%), в 20</w:t>
      </w:r>
      <w:r>
        <w:t>22</w:t>
      </w:r>
      <w:r w:rsidRPr="00DE7BD4">
        <w:t xml:space="preserve"> году –</w:t>
      </w:r>
      <w:r>
        <w:t xml:space="preserve"> 6 863,6</w:t>
      </w:r>
      <w:r w:rsidRPr="00DE7BD4">
        <w:t xml:space="preserve"> млн. руб. (в том числе по федеральному законодательству – </w:t>
      </w:r>
      <w:r>
        <w:t>2 062,9</w:t>
      </w:r>
      <w:r w:rsidRPr="00DE7BD4">
        <w:t xml:space="preserve"> млн. руб., или </w:t>
      </w:r>
      <w:r>
        <w:t>30,1</w:t>
      </w:r>
      <w:r w:rsidRPr="00DE7BD4">
        <w:t>%).</w:t>
      </w:r>
    </w:p>
    <w:p w:rsidR="00ED001A" w:rsidRPr="007E4B94" w:rsidRDefault="00ED001A" w:rsidP="00ED001A">
      <w:pPr>
        <w:autoSpaceDE w:val="0"/>
        <w:autoSpaceDN w:val="0"/>
        <w:adjustRightInd w:val="0"/>
        <w:ind w:firstLine="709"/>
        <w:jc w:val="both"/>
      </w:pPr>
      <w:r w:rsidRPr="00D316F8">
        <w:t>Наибольшую долю в объеме федеральных льгот в 2020-2022 годах занимают льготы по налогу на прибыль</w:t>
      </w:r>
      <w:r>
        <w:t xml:space="preserve">: </w:t>
      </w:r>
      <w:r w:rsidRPr="00D316F8">
        <w:t>875,1 млн.</w:t>
      </w:r>
      <w:r w:rsidR="00047BD4">
        <w:t xml:space="preserve"> </w:t>
      </w:r>
      <w:r w:rsidRPr="00D316F8">
        <w:t>руб.</w:t>
      </w:r>
      <w:r>
        <w:t xml:space="preserve"> (45,7%)</w:t>
      </w:r>
      <w:r w:rsidRPr="00D316F8">
        <w:t>, 885,6 млн.</w:t>
      </w:r>
      <w:r w:rsidR="00047BD4">
        <w:t xml:space="preserve"> </w:t>
      </w:r>
      <w:r w:rsidRPr="00D316F8">
        <w:t>руб.</w:t>
      </w:r>
      <w:r>
        <w:t xml:space="preserve"> (44,6%), 896,3 млн</w:t>
      </w:r>
      <w:proofErr w:type="gramStart"/>
      <w:r>
        <w:t>.р</w:t>
      </w:r>
      <w:proofErr w:type="gramEnd"/>
      <w:r>
        <w:t xml:space="preserve">уб. (43,4%) </w:t>
      </w:r>
      <w:r w:rsidRPr="00D316F8">
        <w:t>и НДФЛ</w:t>
      </w:r>
      <w:r>
        <w:t xml:space="preserve">: </w:t>
      </w:r>
      <w:r w:rsidRPr="00D316F8">
        <w:t>799,5 млн. руб.</w:t>
      </w:r>
      <w:r>
        <w:t xml:space="preserve"> (41,7%)</w:t>
      </w:r>
      <w:r w:rsidRPr="00D316F8">
        <w:t xml:space="preserve">, 841,2 млн. руб. </w:t>
      </w:r>
      <w:r>
        <w:t xml:space="preserve">(42,4%) </w:t>
      </w:r>
      <w:r w:rsidRPr="00D316F8">
        <w:t>и 885,6 млн. руб.</w:t>
      </w:r>
      <w:r>
        <w:t>(42,9%)</w:t>
      </w:r>
      <w:r w:rsidRPr="00D316F8">
        <w:t>.</w:t>
      </w:r>
      <w:r>
        <w:t xml:space="preserve">  </w:t>
      </w:r>
    </w:p>
    <w:p w:rsidR="00ED001A" w:rsidRPr="00D316F8" w:rsidRDefault="00ED001A" w:rsidP="00ED001A">
      <w:pPr>
        <w:autoSpaceDE w:val="0"/>
        <w:autoSpaceDN w:val="0"/>
        <w:adjustRightInd w:val="0"/>
        <w:spacing w:line="240" w:lineRule="atLeast"/>
        <w:ind w:firstLine="567"/>
        <w:jc w:val="both"/>
      </w:pPr>
      <w:r w:rsidRPr="00D316F8">
        <w:tab/>
        <w:t>Объем налоговых льгот, предоставленных законодательством Волгоградской области, на 2020 год прогнозируется в сумме 5 622,4 млн. руб., на 2021 год – 5 691,6 млн. руб., на 2022 год – 4 800,7 млн. руб., или соответственно 7,4%, 6,9% и 5,6% от налоговых доходов областного бюджета.</w:t>
      </w:r>
    </w:p>
    <w:p w:rsidR="00ED001A" w:rsidRPr="00961D89" w:rsidRDefault="00ED001A" w:rsidP="00ED001A">
      <w:pPr>
        <w:ind w:firstLine="708"/>
        <w:jc w:val="both"/>
      </w:pPr>
      <w:proofErr w:type="gramStart"/>
      <w:r w:rsidRPr="00961D89">
        <w:t xml:space="preserve">В целом при сравнении прогнозных показателей 2020-2022 годов </w:t>
      </w:r>
      <w:r w:rsidR="00D20DF3">
        <w:t>отмечается</w:t>
      </w:r>
      <w:r w:rsidRPr="00961D89">
        <w:t xml:space="preserve"> уменьшение выпадающих доходов бюджета от предоставления льгот в 2020 году относительно предыдущего периода на 312,5 млн. руб. (-4%) </w:t>
      </w:r>
      <w:r w:rsidR="00D20DF3">
        <w:t>(</w:t>
      </w:r>
      <w:r w:rsidRPr="00961D89">
        <w:t>за счет снижения льгот, предоставленных федеральным законодательством по НДФЛ</w:t>
      </w:r>
      <w:r>
        <w:t>, на 1 048,4 млн.</w:t>
      </w:r>
      <w:r w:rsidR="00D20DF3">
        <w:t xml:space="preserve"> </w:t>
      </w:r>
      <w:r>
        <w:t>руб. (-56,7%)</w:t>
      </w:r>
      <w:r w:rsidRPr="007E4B94">
        <w:t xml:space="preserve"> по причине снижения инвестиционных налоговых вычетов, связанных с получением дохода от операций с ценными бумагами</w:t>
      </w:r>
      <w:r w:rsidR="00D20DF3">
        <w:t>)</w:t>
      </w:r>
      <w:r w:rsidRPr="00961D89">
        <w:t>.</w:t>
      </w:r>
      <w:proofErr w:type="gramEnd"/>
      <w:r w:rsidRPr="00961D89">
        <w:t xml:space="preserve"> В 2021 году прогнозируется рост выпадающих доходов на 138,3 м</w:t>
      </w:r>
      <w:r>
        <w:t xml:space="preserve">лн. руб., в 2022 году снижение </w:t>
      </w:r>
      <w:r w:rsidRPr="00961D89">
        <w:t xml:space="preserve">на 813,7 млн. рублей. </w:t>
      </w:r>
    </w:p>
    <w:p w:rsidR="00ED001A" w:rsidRDefault="00ED001A" w:rsidP="00ED001A">
      <w:pPr>
        <w:ind w:firstLine="708"/>
        <w:jc w:val="both"/>
      </w:pPr>
      <w:r w:rsidRPr="00D316F8">
        <w:t>Объем налоговых льгот по налогу на имущество, предусмотренных законодательств</w:t>
      </w:r>
      <w:r>
        <w:t>ом Волгоградской области, на 2020</w:t>
      </w:r>
      <w:r w:rsidRPr="00D316F8">
        <w:t xml:space="preserve"> год прогнозируется в сумме </w:t>
      </w:r>
      <w:r w:rsidRPr="00961D89">
        <w:t>5 228,6 млн. руб., на 2021 год – 5 518,3 млн. руб., в 2022 году – 4 598,7 млн. руб., или соответственно 93,0%, 97,0% и 95,8% от общей суммы льгот, предоставленных региональным законодательством.</w:t>
      </w:r>
      <w:r w:rsidRPr="0056038E">
        <w:t xml:space="preserve"> </w:t>
      </w:r>
      <w:r>
        <w:t>Рост</w:t>
      </w:r>
      <w:r w:rsidRPr="00961D89">
        <w:t xml:space="preserve"> выпа</w:t>
      </w:r>
      <w:r>
        <w:t>дающих доходов относительно 2019</w:t>
      </w:r>
      <w:r w:rsidRPr="00961D89">
        <w:t xml:space="preserve"> года</w:t>
      </w:r>
      <w:r w:rsidRPr="0056038E">
        <w:t xml:space="preserve"> </w:t>
      </w:r>
      <w:r w:rsidRPr="00961D89">
        <w:t>от предоставления региональным законодательством льгот</w:t>
      </w:r>
      <w:r>
        <w:t xml:space="preserve"> по налогу на имущество организаций прогнозируется на 316,2 млн.</w:t>
      </w:r>
      <w:r w:rsidR="00635DC0">
        <w:t xml:space="preserve"> </w:t>
      </w:r>
      <w:r>
        <w:t>руб. (+6,4%).</w:t>
      </w:r>
    </w:p>
    <w:p w:rsidR="00ED001A" w:rsidRPr="00A8071A" w:rsidRDefault="00ED001A" w:rsidP="00ED001A">
      <w:pPr>
        <w:ind w:firstLine="708"/>
        <w:jc w:val="both"/>
      </w:pPr>
      <w:r w:rsidRPr="00CE6F2B">
        <w:t xml:space="preserve">Как следует из оценки эффективности налоговых льгот, предоставленных законодательством Волгоградской области за 2018 год, значительная сумма </w:t>
      </w:r>
      <w:r w:rsidRPr="00CE6F2B">
        <w:rPr>
          <w:rFonts w:eastAsia="Calibri"/>
          <w:spacing w:val="-6"/>
        </w:rPr>
        <w:t>2 520,9 млн.</w:t>
      </w:r>
      <w:r>
        <w:rPr>
          <w:rFonts w:eastAsia="Calibri"/>
          <w:spacing w:val="-6"/>
        </w:rPr>
        <w:t xml:space="preserve"> </w:t>
      </w:r>
      <w:r w:rsidRPr="00CE6F2B">
        <w:rPr>
          <w:rFonts w:eastAsia="Calibri"/>
          <w:spacing w:val="-6"/>
        </w:rPr>
        <w:t>руб. (по налогу на прибыль –</w:t>
      </w:r>
      <w:r>
        <w:rPr>
          <w:rFonts w:eastAsia="Calibri"/>
          <w:spacing w:val="-6"/>
        </w:rPr>
        <w:t xml:space="preserve"> </w:t>
      </w:r>
      <w:r w:rsidRPr="00CE6F2B">
        <w:rPr>
          <w:rFonts w:eastAsia="Calibri"/>
          <w:spacing w:val="-6"/>
        </w:rPr>
        <w:t>266,5 млн.</w:t>
      </w:r>
      <w:r>
        <w:rPr>
          <w:rFonts w:eastAsia="Calibri"/>
          <w:spacing w:val="-6"/>
        </w:rPr>
        <w:t xml:space="preserve"> </w:t>
      </w:r>
      <w:r w:rsidRPr="00CE6F2B">
        <w:rPr>
          <w:rFonts w:eastAsia="Calibri"/>
          <w:spacing w:val="-6"/>
        </w:rPr>
        <w:t>руб</w:t>
      </w:r>
      <w:r>
        <w:rPr>
          <w:rFonts w:eastAsia="Calibri"/>
          <w:spacing w:val="-6"/>
        </w:rPr>
        <w:t>.</w:t>
      </w:r>
      <w:r w:rsidRPr="00CE6F2B">
        <w:rPr>
          <w:rFonts w:eastAsia="Calibri"/>
          <w:spacing w:val="-6"/>
        </w:rPr>
        <w:t>, по налогу</w:t>
      </w:r>
      <w:r w:rsidRPr="00CE6F2B">
        <w:rPr>
          <w:spacing w:val="-6"/>
        </w:rPr>
        <w:t xml:space="preserve"> на имущество организаций – 2 254,4 млн.</w:t>
      </w:r>
      <w:r>
        <w:rPr>
          <w:spacing w:val="-6"/>
        </w:rPr>
        <w:t xml:space="preserve"> </w:t>
      </w:r>
      <w:r w:rsidRPr="00CE6F2B">
        <w:rPr>
          <w:spacing w:val="-6"/>
        </w:rPr>
        <w:t>руб</w:t>
      </w:r>
      <w:r>
        <w:rPr>
          <w:spacing w:val="-6"/>
        </w:rPr>
        <w:t>.</w:t>
      </w:r>
      <w:r w:rsidRPr="00CE6F2B">
        <w:rPr>
          <w:spacing w:val="-6"/>
        </w:rPr>
        <w:t>)</w:t>
      </w:r>
      <w:r>
        <w:t xml:space="preserve"> </w:t>
      </w:r>
      <w:r w:rsidRPr="00CE6F2B">
        <w:t>приходится на организации</w:t>
      </w:r>
      <w:r w:rsidRPr="00CE6F2B">
        <w:rPr>
          <w:spacing w:val="-6"/>
        </w:rPr>
        <w:t xml:space="preserve"> </w:t>
      </w:r>
      <w:r w:rsidRPr="00CE6F2B">
        <w:rPr>
          <w:rFonts w:eastAsia="Calibri"/>
          <w:spacing w:val="-6"/>
        </w:rPr>
        <w:t xml:space="preserve">инвесторы, </w:t>
      </w:r>
      <w:proofErr w:type="gramStart"/>
      <w:r w:rsidRPr="00CE6F2B">
        <w:rPr>
          <w:rFonts w:eastAsia="Calibri"/>
          <w:spacing w:val="-6"/>
        </w:rPr>
        <w:t>заключившими</w:t>
      </w:r>
      <w:proofErr w:type="gramEnd"/>
      <w:r w:rsidRPr="00CE6F2B">
        <w:rPr>
          <w:rFonts w:eastAsia="Calibri"/>
          <w:spacing w:val="-6"/>
        </w:rPr>
        <w:t xml:space="preserve"> инвестиционное соглашение с Администрацией Волгоградской области. </w:t>
      </w:r>
    </w:p>
    <w:p w:rsidR="00ED001A" w:rsidRDefault="00ED001A" w:rsidP="00ED001A">
      <w:pPr>
        <w:autoSpaceDE w:val="0"/>
        <w:autoSpaceDN w:val="0"/>
        <w:adjustRightInd w:val="0"/>
        <w:jc w:val="both"/>
      </w:pPr>
      <w:r>
        <w:t xml:space="preserve">          Р</w:t>
      </w:r>
      <w:r w:rsidRPr="00961D89">
        <w:t>егиональным законодательством прогнозируется</w:t>
      </w:r>
      <w:r>
        <w:t xml:space="preserve"> уменьшение</w:t>
      </w:r>
      <w:r w:rsidRPr="00961D89">
        <w:t xml:space="preserve"> выпа</w:t>
      </w:r>
      <w:r>
        <w:t>дающих доходов относительно 2019</w:t>
      </w:r>
      <w:r w:rsidRPr="00961D89">
        <w:t xml:space="preserve"> года</w:t>
      </w:r>
      <w:r>
        <w:t xml:space="preserve"> о</w:t>
      </w:r>
      <w:r w:rsidRPr="00961D89">
        <w:t>т предоставления</w:t>
      </w:r>
      <w:r>
        <w:t xml:space="preserve"> льгот:</w:t>
      </w:r>
    </w:p>
    <w:p w:rsidR="00ED001A" w:rsidRPr="00961D89" w:rsidRDefault="00ED001A" w:rsidP="00ED001A">
      <w:pPr>
        <w:autoSpaceDE w:val="0"/>
        <w:autoSpaceDN w:val="0"/>
        <w:adjustRightInd w:val="0"/>
        <w:ind w:firstLine="540"/>
        <w:jc w:val="both"/>
      </w:pPr>
      <w:r w:rsidRPr="00961D89">
        <w:t>- по налогу на прибыль организаций в 2020 году на 40,8 млн. руб., в 2021 году – на 208,3 млн. руб., в</w:t>
      </w:r>
      <w:r>
        <w:t xml:space="preserve"> 2022 году</w:t>
      </w:r>
      <w:r w:rsidRPr="00961D89">
        <w:t xml:space="preserve"> рост </w:t>
      </w:r>
      <w:proofErr w:type="gramStart"/>
      <w:r w:rsidRPr="00961D89">
        <w:t>на</w:t>
      </w:r>
      <w:proofErr w:type="gramEnd"/>
      <w:r w:rsidRPr="00961D89">
        <w:t xml:space="preserve"> 27,3</w:t>
      </w:r>
      <w:r>
        <w:t xml:space="preserve"> млн. руб.;</w:t>
      </w:r>
    </w:p>
    <w:p w:rsidR="00ED001A" w:rsidRDefault="00ED001A" w:rsidP="00ED001A">
      <w:pPr>
        <w:autoSpaceDE w:val="0"/>
        <w:autoSpaceDN w:val="0"/>
        <w:adjustRightInd w:val="0"/>
        <w:ind w:firstLine="540"/>
        <w:jc w:val="both"/>
      </w:pPr>
      <w:r w:rsidRPr="00E850CF">
        <w:t>- по налогу, взимаемому с применением упрощенной системы налогообложения, в 2020 году на сумму 6,3 млн. руб., в 2021 году – на 12,2 млн. руб., в 2022 году  рост на 1,5 млн. рублей.</w:t>
      </w:r>
    </w:p>
    <w:p w:rsidR="00ED001A" w:rsidRDefault="00ED001A" w:rsidP="00ED001A">
      <w:pPr>
        <w:autoSpaceDE w:val="0"/>
        <w:autoSpaceDN w:val="0"/>
        <w:adjustRightInd w:val="0"/>
        <w:ind w:firstLine="540"/>
        <w:jc w:val="both"/>
      </w:pPr>
      <w:proofErr w:type="gramStart"/>
      <w:r>
        <w:t>По транспортному налогу</w:t>
      </w:r>
      <w:r w:rsidRPr="0049201B">
        <w:t xml:space="preserve"> </w:t>
      </w:r>
      <w:r>
        <w:t xml:space="preserve">в 2020 году </w:t>
      </w:r>
      <w:r w:rsidRPr="00961D89">
        <w:t>регио</w:t>
      </w:r>
      <w:r>
        <w:t xml:space="preserve">нальным законодательством </w:t>
      </w:r>
      <w:r w:rsidRPr="00961D89">
        <w:t>прогнозируется</w:t>
      </w:r>
      <w:r>
        <w:t xml:space="preserve"> рост</w:t>
      </w:r>
      <w:r w:rsidRPr="00961D89">
        <w:t xml:space="preserve"> выпа</w:t>
      </w:r>
      <w:r>
        <w:t>дающих доходов относительно 2019</w:t>
      </w:r>
      <w:r w:rsidRPr="00961D89">
        <w:t xml:space="preserve"> года</w:t>
      </w:r>
      <w:r>
        <w:t xml:space="preserve"> на 65,2 млн. руб. (в 6 раз) за счет распространения в 2019 году льготы</w:t>
      </w:r>
      <w:r w:rsidRPr="00785395">
        <w:t xml:space="preserve"> по транспортному налогу для одного из родителей (усыновителей) в многодетной семье в отношении одного транспортного средства с мощностью двигателя до 150 лошадиных сил (110,33 кВт) включительно.</w:t>
      </w:r>
      <w:proofErr w:type="gramEnd"/>
    </w:p>
    <w:p w:rsidR="00047BD4" w:rsidRPr="00047BD4" w:rsidRDefault="00047BD4" w:rsidP="00047BD4">
      <w:pPr>
        <w:ind w:firstLine="708"/>
        <w:jc w:val="both"/>
      </w:pPr>
      <w:r w:rsidRPr="00047BD4">
        <w:t xml:space="preserve">Сведения о потерях собственно-областного бюджета Волгоградской области от налоговых расходов в 2020-2022 годах представлены в </w:t>
      </w:r>
      <w:r w:rsidRPr="00D54A17">
        <w:rPr>
          <w:i/>
          <w:color w:val="00B0F0"/>
          <w:u w:val="single"/>
        </w:rPr>
        <w:t xml:space="preserve">приложении № </w:t>
      </w:r>
      <w:r w:rsidR="009D7785">
        <w:rPr>
          <w:i/>
          <w:color w:val="00B0F0"/>
          <w:u w:val="single"/>
        </w:rPr>
        <w:t>2</w:t>
      </w:r>
      <w:r w:rsidRPr="00D54A17">
        <w:rPr>
          <w:i/>
          <w:color w:val="00B0F0"/>
          <w:u w:val="single"/>
        </w:rPr>
        <w:t>.</w:t>
      </w:r>
      <w:r w:rsidRPr="00047BD4">
        <w:rPr>
          <w:b/>
          <w:i/>
          <w:u w:val="single"/>
        </w:rPr>
        <w:t xml:space="preserve"> </w:t>
      </w:r>
    </w:p>
    <w:p w:rsidR="00047BD4" w:rsidRPr="00E850CF" w:rsidRDefault="00047BD4" w:rsidP="00ED001A">
      <w:pPr>
        <w:autoSpaceDE w:val="0"/>
        <w:autoSpaceDN w:val="0"/>
        <w:adjustRightInd w:val="0"/>
        <w:ind w:firstLine="540"/>
        <w:jc w:val="both"/>
      </w:pPr>
    </w:p>
    <w:p w:rsidR="00282B2E" w:rsidRDefault="00282B2E" w:rsidP="00282B2E">
      <w:pPr>
        <w:ind w:firstLine="708"/>
        <w:jc w:val="center"/>
        <w:rPr>
          <w:b/>
          <w:i/>
        </w:rPr>
      </w:pPr>
      <w:r>
        <w:rPr>
          <w:b/>
          <w:i/>
        </w:rPr>
        <w:t xml:space="preserve">3.2 </w:t>
      </w:r>
      <w:r w:rsidRPr="00A27310">
        <w:rPr>
          <w:b/>
          <w:i/>
        </w:rPr>
        <w:t>Общий объем расходов областного бюджета</w:t>
      </w:r>
      <w:r>
        <w:rPr>
          <w:b/>
          <w:i/>
        </w:rPr>
        <w:t xml:space="preserve"> на 2020 год</w:t>
      </w:r>
    </w:p>
    <w:p w:rsidR="00282B2E" w:rsidRPr="00A27310" w:rsidRDefault="00282B2E" w:rsidP="00282B2E">
      <w:pPr>
        <w:ind w:firstLine="708"/>
        <w:jc w:val="center"/>
        <w:rPr>
          <w:b/>
          <w:i/>
        </w:rPr>
      </w:pPr>
      <w:r>
        <w:rPr>
          <w:b/>
          <w:i/>
        </w:rPr>
        <w:t>и плановый период 2021 и 2022 годов</w:t>
      </w:r>
      <w:r w:rsidRPr="00A27310">
        <w:rPr>
          <w:b/>
          <w:i/>
        </w:rPr>
        <w:t>.</w:t>
      </w:r>
    </w:p>
    <w:p w:rsidR="00282B2E" w:rsidRDefault="00282B2E" w:rsidP="00282B2E">
      <w:pPr>
        <w:autoSpaceDE w:val="0"/>
        <w:autoSpaceDN w:val="0"/>
        <w:adjustRightInd w:val="0"/>
        <w:ind w:firstLine="540"/>
        <w:jc w:val="both"/>
      </w:pPr>
    </w:p>
    <w:p w:rsidR="00282B2E" w:rsidRDefault="00282B2E" w:rsidP="00282B2E">
      <w:pPr>
        <w:autoSpaceDE w:val="0"/>
        <w:autoSpaceDN w:val="0"/>
        <w:adjustRightInd w:val="0"/>
        <w:ind w:firstLine="540"/>
        <w:jc w:val="both"/>
      </w:pPr>
      <w:r w:rsidRPr="00CE6398">
        <w:t xml:space="preserve">В соответствии с частью </w:t>
      </w:r>
      <w:r>
        <w:t>2 статьи 87</w:t>
      </w:r>
      <w:r w:rsidRPr="004C6FB5">
        <w:t xml:space="preserve"> </w:t>
      </w:r>
      <w:r w:rsidRPr="00CE6398">
        <w:t>БК РФ</w:t>
      </w:r>
      <w:r>
        <w:t xml:space="preserve"> под</w:t>
      </w:r>
      <w:r w:rsidRPr="00CE6398">
        <w:t xml:space="preserve"> реестр</w:t>
      </w:r>
      <w:r>
        <w:t>ом</w:t>
      </w:r>
      <w:r w:rsidRPr="00CE6398">
        <w:t xml:space="preserve"> расходных обязательств субъекта РФ</w:t>
      </w:r>
      <w:r w:rsidRPr="003D7783">
        <w:rPr>
          <w:rFonts w:eastAsiaTheme="minorHAnsi"/>
          <w:lang w:eastAsia="en-US"/>
        </w:rPr>
        <w:t xml:space="preserve"> </w:t>
      </w:r>
      <w:r>
        <w:rPr>
          <w:rFonts w:eastAsiaTheme="minorHAnsi"/>
          <w:lang w:eastAsia="en-US"/>
        </w:rPr>
        <w:t xml:space="preserve">понимается используемый при составлении проекта бюджета свод (перечень) законов, иных нормативных правовых актов, обусловливающих публичные нормативные </w:t>
      </w:r>
      <w:r>
        <w:rPr>
          <w:rFonts w:eastAsiaTheme="minorHAnsi"/>
          <w:lang w:eastAsia="en-US"/>
        </w:rPr>
        <w:lastRenderedPageBreak/>
        <w:t xml:space="preserve">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w:t>
      </w:r>
      <w:r w:rsidRPr="00F14841">
        <w:rPr>
          <w:rFonts w:eastAsiaTheme="minorHAnsi"/>
          <w:u w:val="single"/>
          <w:lang w:eastAsia="en-US"/>
        </w:rPr>
        <w:t>с оценкой объемов бюджетных ассигнований, необходимых для исполнения включенных в реестр обязательств</w:t>
      </w:r>
      <w:r>
        <w:rPr>
          <w:rFonts w:eastAsiaTheme="minorHAnsi"/>
          <w:lang w:eastAsia="en-US"/>
        </w:rPr>
        <w:t>.</w:t>
      </w:r>
    </w:p>
    <w:p w:rsidR="00282B2E" w:rsidRDefault="00282B2E" w:rsidP="00282B2E">
      <w:pPr>
        <w:ind w:firstLine="709"/>
        <w:jc w:val="both"/>
      </w:pPr>
      <w:r>
        <w:t xml:space="preserve">Представленный в </w:t>
      </w:r>
      <w:r w:rsidRPr="00CE6398">
        <w:t>соответствии со статьей 13</w:t>
      </w:r>
      <w:r>
        <w:t>.1</w:t>
      </w:r>
      <w:r w:rsidRPr="00CE6398">
        <w:t xml:space="preserve"> закона о бюджетном процессе в Волгоградской области</w:t>
      </w:r>
      <w:r>
        <w:t xml:space="preserve"> Реестр расходных обязательств (далее – Реестр) </w:t>
      </w:r>
      <w:r w:rsidRPr="00B63188">
        <w:t xml:space="preserve">сформирован </w:t>
      </w:r>
      <w:r>
        <w:t>с выделением</w:t>
      </w:r>
      <w:r w:rsidRPr="00B63188">
        <w:t xml:space="preserve"> 7 основных групп расходных обязательств (кодов):</w:t>
      </w:r>
    </w:p>
    <w:p w:rsidR="00282B2E" w:rsidRPr="00341C1B" w:rsidRDefault="00282B2E" w:rsidP="00282B2E">
      <w:pPr>
        <w:ind w:firstLine="709"/>
        <w:jc w:val="both"/>
        <w:rPr>
          <w:u w:val="single"/>
        </w:rPr>
      </w:pPr>
      <w:r>
        <w:t xml:space="preserve">-1000 – расходные обязательства, возникшие в результате принятия НПА субъекта РФ, заключения договоров (соглашений) </w:t>
      </w:r>
      <w:r w:rsidRPr="00341C1B">
        <w:rPr>
          <w:u w:val="single"/>
        </w:rPr>
        <w:t>по предметам совместного ведения РФ и субъектов РФ;</w:t>
      </w:r>
    </w:p>
    <w:p w:rsidR="00282B2E" w:rsidRDefault="00282B2E" w:rsidP="00282B2E">
      <w:pPr>
        <w:ind w:firstLine="709"/>
        <w:jc w:val="both"/>
      </w:pPr>
      <w:r>
        <w:t xml:space="preserve">-2000 - расходные обязательства, возникшие в результате принятия НПА субъекта РФ, </w:t>
      </w:r>
      <w:r w:rsidRPr="00341C1B">
        <w:rPr>
          <w:u w:val="single"/>
        </w:rPr>
        <w:t>по предметам ведения субъекта</w:t>
      </w:r>
      <w:r>
        <w:t xml:space="preserve"> </w:t>
      </w:r>
      <w:r w:rsidRPr="00341C1B">
        <w:rPr>
          <w:u w:val="single"/>
        </w:rPr>
        <w:t>РФ;</w:t>
      </w:r>
    </w:p>
    <w:p w:rsidR="00282B2E" w:rsidRDefault="00282B2E" w:rsidP="00282B2E">
      <w:pPr>
        <w:ind w:firstLine="709"/>
        <w:jc w:val="both"/>
      </w:pPr>
      <w:r>
        <w:t xml:space="preserve">-3000 - расходные обязательства, возникшие в результате принятия НПА субъекта РФ, </w:t>
      </w:r>
      <w:r w:rsidRPr="001E2DAE">
        <w:rPr>
          <w:u w:val="single"/>
        </w:rPr>
        <w:t>предусматривающих предоставление из бюджета субъекта РФ межбюджетных трансфертов</w:t>
      </w:r>
      <w:r w:rsidRPr="001E2DAE">
        <w:t>;</w:t>
      </w:r>
    </w:p>
    <w:p w:rsidR="00282B2E" w:rsidRPr="001E2DAE" w:rsidRDefault="00282B2E" w:rsidP="00282B2E">
      <w:pPr>
        <w:ind w:firstLine="709"/>
        <w:jc w:val="both"/>
      </w:pPr>
      <w:r>
        <w:t xml:space="preserve">-4000 - расходные обязательства, возникшие в результате принятия НПА субъекта РФ, </w:t>
      </w:r>
      <w:r w:rsidRPr="001E2DAE">
        <w:t>предусматривающих реализацию субъектом РФ переданных полномочий за счет субвенций из федерального бюджета;</w:t>
      </w:r>
    </w:p>
    <w:p w:rsidR="00282B2E" w:rsidRDefault="00282B2E" w:rsidP="00282B2E">
      <w:pPr>
        <w:ind w:firstLine="709"/>
        <w:jc w:val="both"/>
      </w:pPr>
      <w:proofErr w:type="gramStart"/>
      <w:r w:rsidRPr="00A562B1">
        <w:t xml:space="preserve">-5000 – полномочия </w:t>
      </w:r>
      <w:r w:rsidRPr="001E2DAE">
        <w:rPr>
          <w:u w:val="single"/>
        </w:rPr>
        <w:t>по предметам ведения РФ, а также совместного ведения</w:t>
      </w:r>
      <w:r w:rsidRPr="001E2DAE">
        <w:t xml:space="preserve"> </w:t>
      </w:r>
      <w:r w:rsidRPr="001E2DAE">
        <w:rPr>
          <w:u w:val="single"/>
        </w:rPr>
        <w:t>по решению вопросов, не указанных в п</w:t>
      </w:r>
      <w:r>
        <w:rPr>
          <w:u w:val="single"/>
        </w:rPr>
        <w:t>ункте 2</w:t>
      </w:r>
      <w:r w:rsidRPr="001E2DAE">
        <w:rPr>
          <w:u w:val="single"/>
        </w:rPr>
        <w:t xml:space="preserve"> ст</w:t>
      </w:r>
      <w:r>
        <w:rPr>
          <w:u w:val="single"/>
        </w:rPr>
        <w:t>атьи</w:t>
      </w:r>
      <w:r w:rsidRPr="001E2DAE">
        <w:rPr>
          <w:u w:val="single"/>
        </w:rPr>
        <w:t xml:space="preserve"> 26.3</w:t>
      </w:r>
      <w:r w:rsidRPr="00A562B1">
        <w:t xml:space="preserve"> Федерального закона </w:t>
      </w:r>
      <w:r>
        <w:t>от 06.10.1999 №184-ФЗ «Об общих принципах организации законодательных (представительных) и исполнительных органов государственной власти субъектов РФ», если возможность осуществления расходов субъектов РФ на реализацию этих полномочий предусмотрена федеральными законами (в том числе полномочия этого кода делятся по источникам</w:t>
      </w:r>
      <w:proofErr w:type="gramEnd"/>
      <w:r>
        <w:t>: за счет средств субъекта и за счет федерального бюджета);</w:t>
      </w:r>
    </w:p>
    <w:p w:rsidR="00282B2E" w:rsidRPr="003E1E89" w:rsidRDefault="00282B2E" w:rsidP="00282B2E">
      <w:pPr>
        <w:pStyle w:val="Default"/>
        <w:jc w:val="both"/>
      </w:pPr>
      <w:r>
        <w:tab/>
        <w:t xml:space="preserve">-6000 – </w:t>
      </w:r>
      <w:r w:rsidRPr="001E2DAE">
        <w:rPr>
          <w:u w:val="single"/>
        </w:rPr>
        <w:t>установление дополнительных мер социальной поддержки и социальной помощи</w:t>
      </w:r>
      <w:r w:rsidRPr="001E2DAE">
        <w:t xml:space="preserve"> </w:t>
      </w:r>
      <w:r>
        <w:t xml:space="preserve">для отдельных категорий граждан, </w:t>
      </w:r>
      <w:r w:rsidRPr="00A562B1">
        <w:rPr>
          <w:u w:val="single"/>
        </w:rPr>
        <w:t xml:space="preserve">не предусмотренные </w:t>
      </w:r>
      <w:r w:rsidRPr="003E1E89">
        <w:t xml:space="preserve">подпунктом 24 пункта 2 статьи 26.3 Федерального </w:t>
      </w:r>
      <w:r>
        <w:t>закона от 6 октября 1999 №</w:t>
      </w:r>
      <w:r w:rsidRPr="003E1E89">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82B2E" w:rsidRDefault="00282B2E" w:rsidP="00282B2E">
      <w:pPr>
        <w:ind w:firstLine="709"/>
        <w:jc w:val="both"/>
      </w:pPr>
      <w:r>
        <w:t xml:space="preserve">-7000 – расходные обязательства, </w:t>
      </w:r>
      <w:r w:rsidRPr="00B313C8">
        <w:t xml:space="preserve">возникшие в результате принятия законов субъекта РФ </w:t>
      </w:r>
      <w:r w:rsidRPr="001E2DAE">
        <w:rPr>
          <w:u w:val="single"/>
        </w:rPr>
        <w:t>по перераспределенным полномочиям между органами местного самоуправления  и органами государственной власти субъекта РФ</w:t>
      </w:r>
      <w:r>
        <w:t xml:space="preserve"> в соответствии с пунктом 6.1 статьи 26.3 </w:t>
      </w:r>
      <w:r w:rsidRPr="00A562B1">
        <w:t xml:space="preserve">Федерального закона </w:t>
      </w:r>
      <w:r>
        <w:t>от 06.10.1999 №184-ФЗ «Об общих принципах организации законодательных (представительных) и исполнительных органов государственной власти субъектов РФ».</w:t>
      </w:r>
    </w:p>
    <w:p w:rsidR="00282B2E" w:rsidRPr="00EA602C" w:rsidRDefault="00282B2E" w:rsidP="00282B2E">
      <w:pPr>
        <w:ind w:firstLine="708"/>
        <w:jc w:val="both"/>
      </w:pPr>
      <w:r w:rsidRPr="00EA602C">
        <w:t>В целях оценки общего объема расходов областного бюджета на 2020-2022 годы палатой проведен анализ представленного Реестра.</w:t>
      </w:r>
    </w:p>
    <w:tbl>
      <w:tblPr>
        <w:tblW w:w="9590" w:type="dxa"/>
        <w:tblInd w:w="95" w:type="dxa"/>
        <w:tblLayout w:type="fixed"/>
        <w:tblLook w:val="04A0"/>
      </w:tblPr>
      <w:tblGrid>
        <w:gridCol w:w="2140"/>
        <w:gridCol w:w="1365"/>
        <w:gridCol w:w="1366"/>
        <w:gridCol w:w="1238"/>
        <w:gridCol w:w="1148"/>
        <w:gridCol w:w="12"/>
        <w:gridCol w:w="1187"/>
        <w:gridCol w:w="1134"/>
      </w:tblGrid>
      <w:tr w:rsidR="00282B2E" w:rsidRPr="00EA602C" w:rsidTr="008330B5">
        <w:trPr>
          <w:trHeight w:val="614"/>
        </w:trPr>
        <w:tc>
          <w:tcPr>
            <w:tcW w:w="2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Код расходного обязательства</w:t>
            </w:r>
          </w:p>
        </w:tc>
        <w:tc>
          <w:tcPr>
            <w:tcW w:w="5129" w:type="dxa"/>
            <w:gridSpan w:val="5"/>
            <w:tcBorders>
              <w:top w:val="single" w:sz="8" w:space="0" w:color="auto"/>
              <w:left w:val="nil"/>
              <w:bottom w:val="single" w:sz="8" w:space="0" w:color="auto"/>
              <w:right w:val="single" w:sz="4" w:space="0" w:color="000000"/>
            </w:tcBorders>
            <w:shd w:val="clear" w:color="auto" w:fill="auto"/>
            <w:hideMark/>
          </w:tcPr>
          <w:p w:rsidR="00282B2E" w:rsidRPr="00EA602C" w:rsidRDefault="00282B2E" w:rsidP="001A272E">
            <w:pPr>
              <w:jc w:val="center"/>
              <w:rPr>
                <w:b/>
                <w:bCs/>
                <w:color w:val="000000"/>
                <w:sz w:val="20"/>
                <w:szCs w:val="20"/>
              </w:rPr>
            </w:pPr>
            <w:r w:rsidRPr="00EA602C">
              <w:rPr>
                <w:b/>
                <w:bCs/>
                <w:color w:val="000000"/>
                <w:sz w:val="20"/>
                <w:szCs w:val="20"/>
              </w:rPr>
              <w:t>Объем и структура средств на исполнение расходных обязательств (млн. руб</w:t>
            </w:r>
            <w:r w:rsidR="001A272E">
              <w:rPr>
                <w:b/>
                <w:bCs/>
                <w:color w:val="000000"/>
                <w:sz w:val="20"/>
                <w:szCs w:val="20"/>
              </w:rPr>
              <w:t>.</w:t>
            </w:r>
            <w:r w:rsidRPr="00EA602C">
              <w:rPr>
                <w:b/>
                <w:bCs/>
                <w:color w:val="000000"/>
                <w:sz w:val="20"/>
                <w:szCs w:val="20"/>
              </w:rPr>
              <w:t>)</w:t>
            </w:r>
          </w:p>
        </w:tc>
        <w:tc>
          <w:tcPr>
            <w:tcW w:w="2321" w:type="dxa"/>
            <w:gridSpan w:val="2"/>
            <w:tcBorders>
              <w:top w:val="single" w:sz="8" w:space="0" w:color="auto"/>
              <w:left w:val="nil"/>
              <w:bottom w:val="single" w:sz="8" w:space="0" w:color="auto"/>
              <w:right w:val="single" w:sz="4" w:space="0" w:color="000000"/>
            </w:tcBorders>
            <w:shd w:val="clear" w:color="auto" w:fill="auto"/>
          </w:tcPr>
          <w:p w:rsidR="00282B2E" w:rsidRPr="00EA602C" w:rsidRDefault="00282B2E" w:rsidP="008330B5">
            <w:pPr>
              <w:jc w:val="center"/>
              <w:rPr>
                <w:b/>
                <w:bCs/>
                <w:color w:val="000000"/>
                <w:sz w:val="20"/>
                <w:szCs w:val="20"/>
              </w:rPr>
            </w:pPr>
            <w:r w:rsidRPr="00EA602C">
              <w:rPr>
                <w:b/>
                <w:bCs/>
                <w:color w:val="000000"/>
                <w:sz w:val="20"/>
                <w:szCs w:val="20"/>
              </w:rPr>
              <w:t>Темпы роста, %</w:t>
            </w:r>
          </w:p>
        </w:tc>
      </w:tr>
      <w:tr w:rsidR="00282B2E" w:rsidRPr="00EA602C" w:rsidTr="008330B5">
        <w:trPr>
          <w:trHeight w:val="639"/>
        </w:trPr>
        <w:tc>
          <w:tcPr>
            <w:tcW w:w="2140" w:type="dxa"/>
            <w:vMerge/>
            <w:tcBorders>
              <w:top w:val="single" w:sz="8" w:space="0" w:color="auto"/>
              <w:left w:val="single" w:sz="8" w:space="0" w:color="auto"/>
              <w:bottom w:val="single" w:sz="8" w:space="0" w:color="000000"/>
              <w:right w:val="single" w:sz="8" w:space="0" w:color="auto"/>
            </w:tcBorders>
            <w:vAlign w:val="center"/>
            <w:hideMark/>
          </w:tcPr>
          <w:p w:rsidR="00282B2E" w:rsidRPr="00EA602C" w:rsidRDefault="00282B2E" w:rsidP="008330B5">
            <w:pPr>
              <w:rPr>
                <w:b/>
                <w:bCs/>
                <w:color w:val="000000"/>
                <w:sz w:val="20"/>
                <w:szCs w:val="20"/>
              </w:rPr>
            </w:pP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 xml:space="preserve">2019 год </w:t>
            </w:r>
            <w:r w:rsidRPr="00EA602C">
              <w:rPr>
                <w:color w:val="000000"/>
                <w:sz w:val="18"/>
                <w:szCs w:val="18"/>
              </w:rPr>
              <w:t>(справочно)</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2020 год</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2021 год</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2022 год</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гр. 4/гр.3*100</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гр. 5/гр.3*100</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1</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3</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5</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7</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1000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60 773,50</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65 160,00</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69 144,50</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69 666,30</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106,1</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106,9</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60,4</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59,9</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59,4</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58,7</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2000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1 901,93</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1 218,04</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3 330,40</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6 171,50</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Pr>
                <w:color w:val="000000"/>
                <w:sz w:val="20"/>
                <w:szCs w:val="20"/>
              </w:rPr>
              <w:t>в 2,7 раза</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FF0000"/>
                <w:sz w:val="20"/>
                <w:szCs w:val="20"/>
              </w:rPr>
            </w:pPr>
            <w:r>
              <w:rPr>
                <w:color w:val="000000"/>
                <w:sz w:val="20"/>
                <w:szCs w:val="20"/>
              </w:rPr>
              <w:t>в 5 раз</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1,9</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1,1</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2,9</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5,2</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3000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29 431,90</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32 488,90</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32 516,70</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30 371,30</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100,1</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93,5</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29,3</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29,9</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28,0</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25,6</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4000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5 714,78</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6 582,60</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6 546,29</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6 793,80</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99,4</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103,2</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lastRenderedPageBreak/>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5,7</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6,1</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5,6</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5,7</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5000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2 002,46</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2 684,99</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4 176,42</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4 971,00</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155,5</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185,1</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2,0</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2,5</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3,6</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4,2</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6000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592,06</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450,07</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435,70</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421,29</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96,8</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93,6</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0,6</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0,4</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0,4</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0,4</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7000</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142,056</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131,778</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170,686</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293,959</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129,5</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223,1</w:t>
            </w:r>
          </w:p>
        </w:tc>
      </w:tr>
      <w:tr w:rsidR="00282B2E" w:rsidRPr="00EA602C"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color w:val="000000"/>
                <w:sz w:val="20"/>
                <w:szCs w:val="20"/>
              </w:rPr>
            </w:pPr>
            <w:proofErr w:type="gramStart"/>
            <w:r w:rsidRPr="00EA602C">
              <w:rPr>
                <w:color w:val="000000"/>
                <w:sz w:val="20"/>
                <w:szCs w:val="20"/>
              </w:rPr>
              <w:t>в</w:t>
            </w:r>
            <w:proofErr w:type="gramEnd"/>
            <w:r w:rsidRPr="00EA602C">
              <w:rPr>
                <w:color w:val="000000"/>
                <w:sz w:val="20"/>
                <w:szCs w:val="20"/>
              </w:rPr>
              <w:t xml:space="preserve"> % к общему объему</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0,141</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0,121</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0,147</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i/>
                <w:iCs/>
                <w:color w:val="000000"/>
                <w:sz w:val="20"/>
                <w:szCs w:val="20"/>
              </w:rPr>
            </w:pPr>
            <w:r w:rsidRPr="00EA602C">
              <w:rPr>
                <w:i/>
                <w:iCs/>
                <w:color w:val="000000"/>
                <w:sz w:val="20"/>
                <w:szCs w:val="20"/>
              </w:rPr>
              <w:t>0,248</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 </w:t>
            </w:r>
          </w:p>
        </w:tc>
      </w:tr>
      <w:tr w:rsidR="00282B2E" w:rsidRPr="00EB5A93" w:rsidTr="008330B5">
        <w:trPr>
          <w:trHeight w:val="326"/>
        </w:trPr>
        <w:tc>
          <w:tcPr>
            <w:tcW w:w="2140" w:type="dxa"/>
            <w:tcBorders>
              <w:top w:val="nil"/>
              <w:left w:val="single" w:sz="8" w:space="0" w:color="auto"/>
              <w:bottom w:val="single" w:sz="8" w:space="0" w:color="auto"/>
              <w:right w:val="single" w:sz="8" w:space="0" w:color="auto"/>
            </w:tcBorders>
            <w:shd w:val="clear" w:color="auto" w:fill="auto"/>
            <w:hideMark/>
          </w:tcPr>
          <w:p w:rsidR="00282B2E" w:rsidRPr="00EA602C" w:rsidRDefault="00282B2E" w:rsidP="008330B5">
            <w:pPr>
              <w:rPr>
                <w:b/>
                <w:bCs/>
                <w:color w:val="000000"/>
                <w:sz w:val="20"/>
                <w:szCs w:val="20"/>
              </w:rPr>
            </w:pPr>
            <w:r w:rsidRPr="00EA602C">
              <w:rPr>
                <w:b/>
                <w:bCs/>
                <w:color w:val="000000"/>
                <w:sz w:val="20"/>
                <w:szCs w:val="20"/>
              </w:rPr>
              <w:t>Итого</w:t>
            </w:r>
          </w:p>
        </w:tc>
        <w:tc>
          <w:tcPr>
            <w:tcW w:w="1365"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100 558,69</w:t>
            </w:r>
          </w:p>
        </w:tc>
        <w:tc>
          <w:tcPr>
            <w:tcW w:w="1366"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108 716,38</w:t>
            </w:r>
          </w:p>
        </w:tc>
        <w:tc>
          <w:tcPr>
            <w:tcW w:w="123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116 320,69</w:t>
            </w:r>
          </w:p>
        </w:tc>
        <w:tc>
          <w:tcPr>
            <w:tcW w:w="1148" w:type="dxa"/>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b/>
                <w:bCs/>
                <w:color w:val="000000"/>
                <w:sz w:val="20"/>
                <w:szCs w:val="20"/>
              </w:rPr>
            </w:pPr>
            <w:r w:rsidRPr="00EA602C">
              <w:rPr>
                <w:b/>
                <w:bCs/>
                <w:color w:val="000000"/>
                <w:sz w:val="20"/>
                <w:szCs w:val="20"/>
              </w:rPr>
              <w:t>118 689,15</w:t>
            </w:r>
          </w:p>
        </w:tc>
        <w:tc>
          <w:tcPr>
            <w:tcW w:w="1199" w:type="dxa"/>
            <w:gridSpan w:val="2"/>
            <w:tcBorders>
              <w:top w:val="nil"/>
              <w:left w:val="nil"/>
              <w:bottom w:val="single" w:sz="8" w:space="0" w:color="auto"/>
              <w:right w:val="single" w:sz="8" w:space="0" w:color="auto"/>
            </w:tcBorders>
            <w:shd w:val="clear" w:color="auto" w:fill="auto"/>
            <w:hideMark/>
          </w:tcPr>
          <w:p w:rsidR="00282B2E" w:rsidRPr="00EA602C" w:rsidRDefault="00282B2E" w:rsidP="008330B5">
            <w:pPr>
              <w:jc w:val="center"/>
              <w:rPr>
                <w:color w:val="000000"/>
                <w:sz w:val="20"/>
                <w:szCs w:val="20"/>
              </w:rPr>
            </w:pPr>
            <w:r w:rsidRPr="00EA602C">
              <w:rPr>
                <w:color w:val="000000"/>
                <w:sz w:val="20"/>
                <w:szCs w:val="20"/>
              </w:rPr>
              <w:t>107,0</w:t>
            </w:r>
          </w:p>
        </w:tc>
        <w:tc>
          <w:tcPr>
            <w:tcW w:w="1134" w:type="dxa"/>
            <w:tcBorders>
              <w:top w:val="nil"/>
              <w:left w:val="nil"/>
              <w:bottom w:val="single" w:sz="8" w:space="0" w:color="auto"/>
              <w:right w:val="single" w:sz="8" w:space="0" w:color="auto"/>
            </w:tcBorders>
            <w:shd w:val="clear" w:color="auto" w:fill="auto"/>
            <w:hideMark/>
          </w:tcPr>
          <w:p w:rsidR="00282B2E" w:rsidRPr="00EB5A93" w:rsidRDefault="00282B2E" w:rsidP="008330B5">
            <w:pPr>
              <w:jc w:val="center"/>
              <w:rPr>
                <w:color w:val="000000"/>
                <w:sz w:val="20"/>
                <w:szCs w:val="20"/>
              </w:rPr>
            </w:pPr>
            <w:r w:rsidRPr="00EA602C">
              <w:rPr>
                <w:color w:val="000000"/>
                <w:sz w:val="20"/>
                <w:szCs w:val="20"/>
              </w:rPr>
              <w:t>109,2</w:t>
            </w:r>
          </w:p>
        </w:tc>
      </w:tr>
    </w:tbl>
    <w:p w:rsidR="00282B2E" w:rsidRDefault="00282B2E" w:rsidP="00282B2E">
      <w:pPr>
        <w:ind w:firstLine="708"/>
        <w:jc w:val="both"/>
        <w:rPr>
          <w:b/>
        </w:rPr>
      </w:pPr>
    </w:p>
    <w:p w:rsidR="00282B2E" w:rsidRDefault="00282B2E" w:rsidP="00282B2E">
      <w:pPr>
        <w:ind w:firstLine="709"/>
        <w:jc w:val="both"/>
        <w:outlineLvl w:val="1"/>
      </w:pPr>
      <w:r w:rsidRPr="00EA602C">
        <w:t xml:space="preserve">Анализ </w:t>
      </w:r>
      <w:r>
        <w:t xml:space="preserve">представленного </w:t>
      </w:r>
      <w:r w:rsidRPr="00EA602C">
        <w:t xml:space="preserve">Реестра показал рост в 2022 году </w:t>
      </w:r>
      <w:r>
        <w:t xml:space="preserve">относительно текущего года в 3 раза </w:t>
      </w:r>
      <w:r w:rsidRPr="00EA602C">
        <w:t>расходных обязательств</w:t>
      </w:r>
      <w:r>
        <w:t>,</w:t>
      </w:r>
      <w:r w:rsidRPr="00EA602C">
        <w:t xml:space="preserve">  возникши</w:t>
      </w:r>
      <w:r>
        <w:t>х</w:t>
      </w:r>
      <w:r w:rsidRPr="00EA602C">
        <w:t xml:space="preserve"> в результате принятия НПА субъекта РФ, по предметам ведения субъекта РФ</w:t>
      </w:r>
      <w:r w:rsidR="001A272E">
        <w:t xml:space="preserve"> (код 2000)</w:t>
      </w:r>
      <w:r>
        <w:t xml:space="preserve">. </w:t>
      </w:r>
    </w:p>
    <w:p w:rsidR="00282B2E" w:rsidRDefault="00282B2E" w:rsidP="00282B2E">
      <w:pPr>
        <w:ind w:firstLine="709"/>
        <w:jc w:val="both"/>
        <w:outlineLvl w:val="1"/>
      </w:pPr>
      <w:r w:rsidRPr="00CF367A">
        <w:t>В целом объем расходных обязательств Волгоградской области согласно Реестру по сравнению с оценкой 2019 года растет. Так, если на текущий год расходные обязательства согласно Реестру составляют 100,5 млрд. руб., то расходные обязательства на 2020 год больше на 8,</w:t>
      </w:r>
      <w:r w:rsidR="001A272E">
        <w:t>1</w:t>
      </w:r>
      <w:r w:rsidRPr="00CF367A">
        <w:t xml:space="preserve"> млрд. рублей.</w:t>
      </w:r>
      <w:r>
        <w:t xml:space="preserve"> Вместе с тем, следует отметить, что поправками, внесенными в закон об областном бюджете в октябре текущего года, общий объем расходов </w:t>
      </w:r>
      <w:r w:rsidR="001A272E">
        <w:t xml:space="preserve">на 2019 год </w:t>
      </w:r>
      <w:r>
        <w:t>уже увеличен на 10,7 млрд. руб., и составил 111,3 млрд. руб. (в Реестре объем обязательств оценен как 100,6 млрд.</w:t>
      </w:r>
      <w:r w:rsidR="001A272E">
        <w:t xml:space="preserve"> </w:t>
      </w:r>
      <w:r>
        <w:t>руб</w:t>
      </w:r>
      <w:r w:rsidR="001A272E">
        <w:t>.).</w:t>
      </w:r>
    </w:p>
    <w:p w:rsidR="00282B2E" w:rsidRDefault="00282B2E" w:rsidP="00282B2E">
      <w:pPr>
        <w:ind w:firstLine="709"/>
        <w:jc w:val="both"/>
        <w:outlineLvl w:val="1"/>
      </w:pPr>
      <w:r w:rsidRPr="006F0857">
        <w:t>КСП в своих заключениях на проекты бюджетов неоднократно указывала на невозможность оценки достоверности Реестра</w:t>
      </w:r>
      <w:r>
        <w:t>.</w:t>
      </w:r>
      <w:r w:rsidRPr="006F0857">
        <w:t xml:space="preserve"> </w:t>
      </w:r>
    </w:p>
    <w:p w:rsidR="00282B2E" w:rsidRDefault="00282B2E" w:rsidP="00282B2E">
      <w:pPr>
        <w:ind w:firstLine="709"/>
        <w:jc w:val="both"/>
        <w:outlineLvl w:val="1"/>
        <w:rPr>
          <w:rFonts w:eastAsiaTheme="minorHAnsi"/>
          <w:lang w:eastAsia="en-US"/>
        </w:rPr>
      </w:pPr>
      <w:r>
        <w:t>Счетная плата РФ в своем заключении на проект федерального бюджета на 2020-2022 годы указывала на проведение в</w:t>
      </w:r>
      <w:r>
        <w:rPr>
          <w:rFonts w:eastAsiaTheme="minorHAnsi"/>
          <w:lang w:eastAsia="en-US"/>
        </w:rPr>
        <w:t>ыборочной проверки обоснований бюджетных ассигнований, сформированных главными распорядителями средств федерального бюджета в системе «Электронный бюджет».</w:t>
      </w:r>
    </w:p>
    <w:p w:rsidR="00282B2E" w:rsidRDefault="00282B2E" w:rsidP="00282B2E">
      <w:pPr>
        <w:ind w:firstLine="709"/>
        <w:jc w:val="both"/>
        <w:outlineLvl w:val="1"/>
        <w:rPr>
          <w:rFonts w:eastAsiaTheme="minorHAnsi"/>
          <w:lang w:eastAsia="en-US"/>
        </w:rPr>
      </w:pPr>
      <w:r w:rsidRPr="003D7783">
        <w:rPr>
          <w:rFonts w:eastAsia="Calibri"/>
        </w:rPr>
        <w:t>Методические указания на 2020 год доведены главным распорядителям бюджетных средств письмом комитета финансов Волгоградской области от 13 мая 2019 года.</w:t>
      </w:r>
      <w:r>
        <w:rPr>
          <w:rFonts w:eastAsia="Calibri"/>
        </w:rPr>
        <w:t xml:space="preserve"> Согласно указанному письму п</w:t>
      </w:r>
      <w:r w:rsidRPr="00F14841">
        <w:rPr>
          <w:rFonts w:eastAsia="Calibri"/>
        </w:rPr>
        <w:t xml:space="preserve">редварительный реестр расходных обязательств и справочная таблица формируется в программном комплексе </w:t>
      </w:r>
      <w:r>
        <w:rPr>
          <w:rFonts w:eastAsia="Calibri"/>
        </w:rPr>
        <w:t>«</w:t>
      </w:r>
      <w:proofErr w:type="spellStart"/>
      <w:r>
        <w:rPr>
          <w:rFonts w:eastAsia="Calibri"/>
        </w:rPr>
        <w:t>Скиф-БП</w:t>
      </w:r>
      <w:proofErr w:type="spellEnd"/>
      <w:r>
        <w:rPr>
          <w:rFonts w:eastAsia="Calibri"/>
        </w:rPr>
        <w:t xml:space="preserve">». Доступа к указанному программному комплексу у КСП Волгоградской области как органа внешнего финансового контроля нет, в </w:t>
      </w:r>
      <w:proofErr w:type="gramStart"/>
      <w:r>
        <w:rPr>
          <w:rFonts w:eastAsia="Calibri"/>
        </w:rPr>
        <w:t>связи</w:t>
      </w:r>
      <w:proofErr w:type="gramEnd"/>
      <w:r>
        <w:rPr>
          <w:rFonts w:eastAsia="Calibri"/>
        </w:rPr>
        <w:t xml:space="preserve"> с чем осуществить оценку достоверности как Реестра расходных обязательств Волгоградской области в целом, так и обоснований бюджетных ассигнований не представляется возможным.</w:t>
      </w:r>
    </w:p>
    <w:p w:rsidR="00282B2E" w:rsidRDefault="00282B2E" w:rsidP="00282B2E">
      <w:pPr>
        <w:ind w:firstLine="709"/>
        <w:jc w:val="both"/>
        <w:outlineLvl w:val="1"/>
      </w:pPr>
    </w:p>
    <w:p w:rsidR="00C42446" w:rsidRDefault="00C42446" w:rsidP="00C42446">
      <w:pPr>
        <w:ind w:firstLine="709"/>
        <w:jc w:val="center"/>
        <w:outlineLvl w:val="0"/>
        <w:rPr>
          <w:b/>
          <w:i/>
        </w:rPr>
      </w:pPr>
      <w:r w:rsidRPr="00D20DF3">
        <w:rPr>
          <w:b/>
          <w:i/>
        </w:rPr>
        <w:t>Условно утверждённые расходы</w:t>
      </w:r>
    </w:p>
    <w:p w:rsidR="00857740" w:rsidRPr="00D20DF3" w:rsidRDefault="00857740" w:rsidP="00C42446">
      <w:pPr>
        <w:ind w:firstLine="709"/>
        <w:jc w:val="center"/>
        <w:outlineLvl w:val="0"/>
        <w:rPr>
          <w:b/>
          <w:i/>
        </w:rPr>
      </w:pPr>
    </w:p>
    <w:p w:rsidR="00C42446" w:rsidRPr="00C42446" w:rsidRDefault="00C42446" w:rsidP="00C42446">
      <w:pPr>
        <w:ind w:firstLine="709"/>
        <w:jc w:val="both"/>
        <w:outlineLvl w:val="0"/>
      </w:pPr>
      <w:r w:rsidRPr="00C42446">
        <w:t>Законопроектом запланированы условно утверждённые расходы на 2021 год в сумме 2 325,7 млн. руб., на 2022 год в сумме 4 812,6 млн. рублей.</w:t>
      </w:r>
    </w:p>
    <w:p w:rsidR="00C42446" w:rsidRPr="00C42446" w:rsidRDefault="00C42446" w:rsidP="00C42446">
      <w:pPr>
        <w:autoSpaceDE w:val="0"/>
        <w:autoSpaceDN w:val="0"/>
        <w:adjustRightInd w:val="0"/>
        <w:ind w:firstLine="708"/>
        <w:jc w:val="both"/>
        <w:rPr>
          <w:rFonts w:eastAsia="Calibri"/>
          <w:lang w:eastAsia="en-US"/>
        </w:rPr>
      </w:pPr>
      <w:proofErr w:type="gramStart"/>
      <w:r w:rsidRPr="00C42446">
        <w:t>Согласно п.3 ст.184.1 БК РФ</w:t>
      </w:r>
      <w:r w:rsidRPr="00C42446">
        <w:rPr>
          <w:rFonts w:eastAsia="Calibri"/>
          <w:lang w:eastAsia="en-US"/>
        </w:rPr>
        <w:t xml:space="preserve"> общий объем условно утверждаемых  расходов в случае утверждения бюджета на очередной финансовый год и плановый период </w:t>
      </w:r>
      <w:r w:rsidRPr="00C42446">
        <w:rPr>
          <w:rFonts w:eastAsia="Calibri"/>
          <w:b/>
          <w:i/>
          <w:lang w:eastAsia="en-US"/>
        </w:rPr>
        <w:t>на первый год планового периода</w:t>
      </w:r>
      <w:r w:rsidRPr="00C42446">
        <w:rPr>
          <w:rFonts w:eastAsia="Calibri"/>
          <w:lang w:eastAsia="en-US"/>
        </w:rPr>
        <w:t xml:space="preserve"> утверждается в объеме не менее 2,5%, </w:t>
      </w:r>
      <w:r w:rsidRPr="00C42446">
        <w:rPr>
          <w:rFonts w:eastAsia="Calibri"/>
          <w:b/>
          <w:i/>
          <w:lang w:eastAsia="en-US"/>
        </w:rPr>
        <w:t>на второй год планового периода</w:t>
      </w:r>
      <w:r w:rsidRPr="00C42446">
        <w:rPr>
          <w:rFonts w:eastAsia="Calibri"/>
          <w:lang w:eastAsia="en-US"/>
        </w:rPr>
        <w:t xml:space="preserve"> не менее 5% общего объема расходов бюджета (без учета расходов бюджета, предусмотренных за счет межбюджетных трансфертов из других бюджетов бюджетной системы</w:t>
      </w:r>
      <w:proofErr w:type="gramEnd"/>
      <w:r w:rsidRPr="00C42446">
        <w:rPr>
          <w:rFonts w:eastAsia="Calibri"/>
          <w:lang w:eastAsia="en-US"/>
        </w:rPr>
        <w:t xml:space="preserve"> </w:t>
      </w:r>
      <w:proofErr w:type="gramStart"/>
      <w:r w:rsidRPr="00C42446">
        <w:rPr>
          <w:rFonts w:eastAsia="Calibri"/>
          <w:lang w:eastAsia="en-US"/>
        </w:rPr>
        <w:t>РФ, имеющих целевое назначение).</w:t>
      </w:r>
      <w:proofErr w:type="gramEnd"/>
    </w:p>
    <w:p w:rsidR="00C42446" w:rsidRPr="00C42446" w:rsidRDefault="00C42446" w:rsidP="00C42446">
      <w:pPr>
        <w:ind w:firstLine="709"/>
        <w:jc w:val="both"/>
        <w:outlineLvl w:val="0"/>
        <w:rPr>
          <w:rFonts w:eastAsia="Calibri"/>
          <w:lang w:eastAsia="en-US"/>
        </w:rPr>
      </w:pPr>
      <w:proofErr w:type="gramStart"/>
      <w:r>
        <w:t>Д</w:t>
      </w:r>
      <w:r w:rsidRPr="00C42446">
        <w:t xml:space="preserve">ля определения объема условно утверждённых расходов расчетов на 2021 год из общего объема предусмотренных расходов в сумме 116 320,8 млн. руб. исключены </w:t>
      </w:r>
      <w:r w:rsidRPr="00C42446">
        <w:rPr>
          <w:rFonts w:eastAsia="Calibri"/>
          <w:lang w:eastAsia="en-US"/>
        </w:rPr>
        <w:t xml:space="preserve">межбюджетные трансферты, имеющие целевое назначение 23 292,9 млн. руб., на </w:t>
      </w:r>
      <w:r w:rsidRPr="00C42446">
        <w:rPr>
          <w:bCs/>
          <w:color w:val="000000"/>
        </w:rPr>
        <w:t xml:space="preserve">2022 год </w:t>
      </w:r>
      <w:r w:rsidRPr="00C42446">
        <w:t xml:space="preserve">из общего объема предусмотренных расходов в сумме 118 689,2 млн. руб. исключены </w:t>
      </w:r>
      <w:r w:rsidRPr="00C42446">
        <w:rPr>
          <w:rFonts w:eastAsia="Calibri"/>
          <w:lang w:eastAsia="en-US"/>
        </w:rPr>
        <w:t xml:space="preserve">межбюджетные трансферты, имеющие целевое назначение в сумме 22 437,6 млн. рублей. </w:t>
      </w:r>
      <w:proofErr w:type="gramEnd"/>
    </w:p>
    <w:p w:rsidR="00C42446" w:rsidRPr="00C42446" w:rsidRDefault="00C42446" w:rsidP="00C42446">
      <w:pPr>
        <w:ind w:firstLine="709"/>
        <w:jc w:val="both"/>
        <w:outlineLvl w:val="0"/>
        <w:rPr>
          <w:rFonts w:eastAsia="Calibri"/>
          <w:lang w:eastAsia="en-US"/>
        </w:rPr>
      </w:pPr>
      <w:r w:rsidRPr="00C42446">
        <w:rPr>
          <w:rFonts w:eastAsia="Calibri"/>
          <w:lang w:eastAsia="en-US"/>
        </w:rPr>
        <w:t xml:space="preserve">В результате этого, норматив, предусмотренный на </w:t>
      </w:r>
      <w:r w:rsidRPr="00C42446">
        <w:t>утверждённые расходы, соблюден.</w:t>
      </w:r>
    </w:p>
    <w:p w:rsidR="00F37740" w:rsidRDefault="00F37740" w:rsidP="00F37740">
      <w:pPr>
        <w:ind w:firstLine="680"/>
        <w:jc w:val="both"/>
        <w:rPr>
          <w:b/>
          <w:i/>
          <w:color w:val="000000"/>
        </w:rPr>
      </w:pPr>
    </w:p>
    <w:p w:rsidR="00D66C74" w:rsidRDefault="00D66C74" w:rsidP="00D66C74">
      <w:pPr>
        <w:jc w:val="center"/>
        <w:rPr>
          <w:b/>
          <w:i/>
        </w:rPr>
      </w:pPr>
      <w:r>
        <w:rPr>
          <w:b/>
          <w:i/>
        </w:rPr>
        <w:t>4. Дефицит (</w:t>
      </w:r>
      <w:proofErr w:type="spellStart"/>
      <w:r>
        <w:rPr>
          <w:b/>
          <w:i/>
        </w:rPr>
        <w:t>профицит</w:t>
      </w:r>
      <w:proofErr w:type="spellEnd"/>
      <w:r>
        <w:rPr>
          <w:b/>
          <w:i/>
        </w:rPr>
        <w:t>) областного бюджета, программа государственных внутренних заимствований, в</w:t>
      </w:r>
      <w:r w:rsidRPr="00A97C74">
        <w:rPr>
          <w:b/>
          <w:i/>
        </w:rPr>
        <w:t>ерхний предел государственного внутреннего долга Волгоградской области</w:t>
      </w:r>
      <w:r>
        <w:rPr>
          <w:b/>
          <w:i/>
        </w:rPr>
        <w:t xml:space="preserve">, в том числе </w:t>
      </w:r>
      <w:r w:rsidRPr="00A97C74">
        <w:rPr>
          <w:b/>
          <w:i/>
        </w:rPr>
        <w:t xml:space="preserve"> по государственным гарантиям</w:t>
      </w:r>
    </w:p>
    <w:p w:rsidR="007765CC" w:rsidRDefault="007765CC" w:rsidP="00D66C74">
      <w:pPr>
        <w:jc w:val="center"/>
        <w:rPr>
          <w:b/>
          <w:i/>
        </w:rPr>
      </w:pPr>
    </w:p>
    <w:p w:rsidR="007765CC" w:rsidRPr="0040365E" w:rsidRDefault="007765CC" w:rsidP="007765CC">
      <w:pPr>
        <w:ind w:firstLine="680"/>
        <w:jc w:val="both"/>
      </w:pPr>
      <w:r w:rsidRPr="0040365E">
        <w:t xml:space="preserve">Проект областного бюджета на </w:t>
      </w:r>
      <w:r>
        <w:t>2020</w:t>
      </w:r>
      <w:r w:rsidRPr="0040365E">
        <w:t xml:space="preserve"> - 202</w:t>
      </w:r>
      <w:r>
        <w:t>2</w:t>
      </w:r>
      <w:r w:rsidRPr="0040365E">
        <w:t xml:space="preserve"> годы сформирован </w:t>
      </w:r>
      <w:proofErr w:type="spellStart"/>
      <w:r>
        <w:t>профицитным</w:t>
      </w:r>
      <w:proofErr w:type="spellEnd"/>
      <w:r>
        <w:t>. Структура источников внутреннего финансирования дефицита бюджета приведена в приложении № 24 к Законопроекту.</w:t>
      </w:r>
    </w:p>
    <w:p w:rsidR="007765CC" w:rsidRPr="0040365E" w:rsidRDefault="007765CC" w:rsidP="007765CC">
      <w:pPr>
        <w:ind w:firstLine="680"/>
        <w:jc w:val="both"/>
      </w:pPr>
      <w:r w:rsidRPr="0040365E">
        <w:t>Основные параметры областного бюджета и источники финансирования дефицита бюджета на 201</w:t>
      </w:r>
      <w:r>
        <w:t>9</w:t>
      </w:r>
      <w:r w:rsidRPr="0040365E">
        <w:t>-</w:t>
      </w:r>
      <w:r>
        <w:t>2022</w:t>
      </w:r>
      <w:r w:rsidRPr="0040365E">
        <w:t xml:space="preserve"> годы приведены в следующей таблице.</w:t>
      </w:r>
    </w:p>
    <w:p w:rsidR="007765CC" w:rsidRDefault="007765CC" w:rsidP="007765CC">
      <w:pPr>
        <w:ind w:left="7788" w:firstLine="708"/>
        <w:jc w:val="both"/>
        <w:rPr>
          <w:i/>
          <w:sz w:val="22"/>
          <w:szCs w:val="22"/>
        </w:rPr>
      </w:pPr>
      <w:r w:rsidRPr="00465BA0">
        <w:rPr>
          <w:i/>
          <w:sz w:val="22"/>
          <w:szCs w:val="22"/>
        </w:rPr>
        <w:t>млн. руб.</w:t>
      </w:r>
    </w:p>
    <w:tbl>
      <w:tblPr>
        <w:tblW w:w="9662" w:type="dxa"/>
        <w:tblInd w:w="85" w:type="dxa"/>
        <w:tblLook w:val="04A0"/>
      </w:tblPr>
      <w:tblGrid>
        <w:gridCol w:w="4985"/>
        <w:gridCol w:w="1134"/>
        <w:gridCol w:w="1275"/>
        <w:gridCol w:w="1134"/>
        <w:gridCol w:w="1134"/>
      </w:tblGrid>
      <w:tr w:rsidR="007765CC" w:rsidRPr="00521B52" w:rsidTr="009F2105">
        <w:trPr>
          <w:trHeight w:val="317"/>
        </w:trPr>
        <w:tc>
          <w:tcPr>
            <w:tcW w:w="4985" w:type="dxa"/>
            <w:vMerge w:val="restart"/>
            <w:tcBorders>
              <w:top w:val="double" w:sz="6" w:space="0" w:color="auto"/>
              <w:left w:val="double" w:sz="6" w:space="0" w:color="auto"/>
              <w:bottom w:val="double" w:sz="6" w:space="0" w:color="000000"/>
              <w:right w:val="nil"/>
            </w:tcBorders>
            <w:shd w:val="clear" w:color="000000" w:fill="EAF1DD"/>
            <w:vAlign w:val="center"/>
            <w:hideMark/>
          </w:tcPr>
          <w:p w:rsidR="007765CC" w:rsidRPr="00521B52" w:rsidRDefault="007765CC" w:rsidP="009F2105">
            <w:pPr>
              <w:jc w:val="center"/>
              <w:rPr>
                <w:b/>
                <w:bCs/>
                <w:color w:val="000000"/>
              </w:rPr>
            </w:pPr>
            <w:r w:rsidRPr="00521B52">
              <w:rPr>
                <w:b/>
                <w:bCs/>
                <w:color w:val="000000"/>
                <w:sz w:val="22"/>
                <w:szCs w:val="22"/>
              </w:rPr>
              <w:t>Показатели</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EAF1DD"/>
            <w:vAlign w:val="center"/>
            <w:hideMark/>
          </w:tcPr>
          <w:p w:rsidR="007765CC" w:rsidRPr="00521B52" w:rsidRDefault="007765CC" w:rsidP="009F2105">
            <w:pPr>
              <w:jc w:val="center"/>
              <w:rPr>
                <w:b/>
                <w:bCs/>
                <w:color w:val="000000"/>
              </w:rPr>
            </w:pPr>
            <w:r w:rsidRPr="00521B52">
              <w:rPr>
                <w:b/>
                <w:bCs/>
                <w:color w:val="000000"/>
                <w:sz w:val="22"/>
                <w:szCs w:val="22"/>
              </w:rPr>
              <w:t xml:space="preserve">2019 год </w:t>
            </w:r>
          </w:p>
        </w:tc>
        <w:tc>
          <w:tcPr>
            <w:tcW w:w="3543" w:type="dxa"/>
            <w:gridSpan w:val="3"/>
            <w:tcBorders>
              <w:top w:val="double" w:sz="6" w:space="0" w:color="auto"/>
              <w:left w:val="nil"/>
              <w:bottom w:val="single" w:sz="4" w:space="0" w:color="auto"/>
              <w:right w:val="double" w:sz="6" w:space="0" w:color="000000"/>
            </w:tcBorders>
            <w:shd w:val="clear" w:color="000000" w:fill="EAF1DD"/>
            <w:vAlign w:val="bottom"/>
            <w:hideMark/>
          </w:tcPr>
          <w:p w:rsidR="007765CC" w:rsidRPr="00521B52" w:rsidRDefault="007765CC" w:rsidP="009F2105">
            <w:pPr>
              <w:jc w:val="center"/>
              <w:rPr>
                <w:b/>
                <w:bCs/>
                <w:color w:val="000000"/>
              </w:rPr>
            </w:pPr>
            <w:r w:rsidRPr="00521B52">
              <w:rPr>
                <w:b/>
                <w:bCs/>
                <w:color w:val="000000"/>
                <w:sz w:val="22"/>
                <w:szCs w:val="22"/>
              </w:rPr>
              <w:t>Проект на 2020-2022 годы</w:t>
            </w:r>
          </w:p>
        </w:tc>
      </w:tr>
      <w:tr w:rsidR="007765CC" w:rsidRPr="00521B52" w:rsidTr="009F2105">
        <w:trPr>
          <w:trHeight w:val="315"/>
        </w:trPr>
        <w:tc>
          <w:tcPr>
            <w:tcW w:w="4985" w:type="dxa"/>
            <w:vMerge/>
            <w:tcBorders>
              <w:top w:val="double" w:sz="6" w:space="0" w:color="auto"/>
              <w:left w:val="double" w:sz="6" w:space="0" w:color="auto"/>
              <w:bottom w:val="double" w:sz="6" w:space="0" w:color="000000"/>
              <w:right w:val="nil"/>
            </w:tcBorders>
            <w:vAlign w:val="center"/>
            <w:hideMark/>
          </w:tcPr>
          <w:p w:rsidR="007765CC" w:rsidRPr="00521B52" w:rsidRDefault="007765CC" w:rsidP="009F2105">
            <w:pPr>
              <w:rPr>
                <w:b/>
                <w:bCs/>
                <w:color w:val="000000"/>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7765CC" w:rsidRPr="00521B52" w:rsidRDefault="007765CC" w:rsidP="009F2105">
            <w:pPr>
              <w:rPr>
                <w:b/>
                <w:bCs/>
                <w:color w:val="000000"/>
              </w:rPr>
            </w:pPr>
          </w:p>
        </w:tc>
        <w:tc>
          <w:tcPr>
            <w:tcW w:w="1275" w:type="dxa"/>
            <w:tcBorders>
              <w:top w:val="nil"/>
              <w:left w:val="nil"/>
              <w:bottom w:val="double" w:sz="6" w:space="0" w:color="auto"/>
              <w:right w:val="single" w:sz="4" w:space="0" w:color="auto"/>
            </w:tcBorders>
            <w:shd w:val="clear" w:color="000000" w:fill="EAF1DD"/>
            <w:vAlign w:val="bottom"/>
            <w:hideMark/>
          </w:tcPr>
          <w:p w:rsidR="007765CC" w:rsidRPr="00521B52" w:rsidRDefault="007765CC" w:rsidP="009F2105">
            <w:pPr>
              <w:jc w:val="center"/>
              <w:rPr>
                <w:b/>
                <w:bCs/>
                <w:color w:val="000000"/>
              </w:rPr>
            </w:pPr>
            <w:r w:rsidRPr="00521B52">
              <w:rPr>
                <w:b/>
                <w:bCs/>
                <w:color w:val="000000"/>
                <w:sz w:val="22"/>
                <w:szCs w:val="22"/>
              </w:rPr>
              <w:t>2020</w:t>
            </w:r>
          </w:p>
        </w:tc>
        <w:tc>
          <w:tcPr>
            <w:tcW w:w="1134" w:type="dxa"/>
            <w:tcBorders>
              <w:top w:val="nil"/>
              <w:left w:val="nil"/>
              <w:bottom w:val="double" w:sz="6" w:space="0" w:color="auto"/>
              <w:right w:val="single" w:sz="4" w:space="0" w:color="auto"/>
            </w:tcBorders>
            <w:shd w:val="clear" w:color="000000" w:fill="EAF1DD"/>
            <w:vAlign w:val="bottom"/>
            <w:hideMark/>
          </w:tcPr>
          <w:p w:rsidR="007765CC" w:rsidRPr="00521B52" w:rsidRDefault="007765CC" w:rsidP="009F2105">
            <w:pPr>
              <w:jc w:val="center"/>
              <w:rPr>
                <w:b/>
                <w:bCs/>
                <w:color w:val="000000"/>
              </w:rPr>
            </w:pPr>
            <w:r w:rsidRPr="00521B52">
              <w:rPr>
                <w:b/>
                <w:bCs/>
                <w:color w:val="000000"/>
                <w:sz w:val="22"/>
                <w:szCs w:val="22"/>
              </w:rPr>
              <w:t>2021</w:t>
            </w:r>
          </w:p>
        </w:tc>
        <w:tc>
          <w:tcPr>
            <w:tcW w:w="1134" w:type="dxa"/>
            <w:tcBorders>
              <w:top w:val="nil"/>
              <w:left w:val="nil"/>
              <w:bottom w:val="double" w:sz="6" w:space="0" w:color="auto"/>
              <w:right w:val="double" w:sz="6" w:space="0" w:color="auto"/>
            </w:tcBorders>
            <w:shd w:val="clear" w:color="000000" w:fill="EAF1DD"/>
            <w:vAlign w:val="bottom"/>
            <w:hideMark/>
          </w:tcPr>
          <w:p w:rsidR="007765CC" w:rsidRPr="00521B52" w:rsidRDefault="007765CC" w:rsidP="009F2105">
            <w:pPr>
              <w:jc w:val="center"/>
              <w:rPr>
                <w:b/>
                <w:bCs/>
                <w:color w:val="000000"/>
              </w:rPr>
            </w:pPr>
            <w:r w:rsidRPr="00521B52">
              <w:rPr>
                <w:b/>
                <w:bCs/>
                <w:color w:val="000000"/>
                <w:sz w:val="22"/>
                <w:szCs w:val="22"/>
              </w:rPr>
              <w:t>2022</w:t>
            </w:r>
          </w:p>
        </w:tc>
      </w:tr>
      <w:tr w:rsidR="007765CC" w:rsidRPr="00521B52" w:rsidTr="009F2105">
        <w:trPr>
          <w:trHeight w:val="219"/>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b/>
                <w:bCs/>
                <w:color w:val="000000"/>
              </w:rPr>
            </w:pPr>
            <w:r w:rsidRPr="00521B52">
              <w:rPr>
                <w:b/>
                <w:bCs/>
                <w:color w:val="000000"/>
                <w:sz w:val="22"/>
                <w:szCs w:val="22"/>
              </w:rPr>
              <w:t xml:space="preserve">Доходы </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111</w:t>
            </w:r>
            <w:r>
              <w:rPr>
                <w:b/>
                <w:bCs/>
                <w:color w:val="000000"/>
                <w:sz w:val="22"/>
                <w:szCs w:val="22"/>
              </w:rPr>
              <w:t> </w:t>
            </w:r>
            <w:r w:rsidRPr="00521B52">
              <w:rPr>
                <w:b/>
                <w:bCs/>
                <w:color w:val="000000"/>
                <w:sz w:val="22"/>
                <w:szCs w:val="22"/>
              </w:rPr>
              <w:t>267,1</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108</w:t>
            </w:r>
            <w:r>
              <w:rPr>
                <w:b/>
                <w:bCs/>
                <w:color w:val="000000"/>
                <w:sz w:val="22"/>
                <w:szCs w:val="22"/>
              </w:rPr>
              <w:t> </w:t>
            </w:r>
            <w:r w:rsidRPr="00521B52">
              <w:rPr>
                <w:b/>
                <w:bCs/>
                <w:color w:val="000000"/>
                <w:sz w:val="22"/>
                <w:szCs w:val="22"/>
              </w:rPr>
              <w:t>916,4</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116</w:t>
            </w:r>
            <w:r>
              <w:rPr>
                <w:b/>
                <w:bCs/>
                <w:color w:val="000000"/>
                <w:sz w:val="22"/>
                <w:szCs w:val="22"/>
              </w:rPr>
              <w:t> </w:t>
            </w:r>
            <w:r w:rsidRPr="00521B52">
              <w:rPr>
                <w:b/>
                <w:bCs/>
                <w:color w:val="000000"/>
                <w:sz w:val="22"/>
                <w:szCs w:val="22"/>
              </w:rPr>
              <w:t>520,8</w:t>
            </w:r>
          </w:p>
        </w:tc>
        <w:tc>
          <w:tcPr>
            <w:tcW w:w="1134" w:type="dxa"/>
            <w:tcBorders>
              <w:top w:val="nil"/>
              <w:left w:val="nil"/>
              <w:bottom w:val="single" w:sz="4" w:space="0" w:color="auto"/>
              <w:right w:val="double" w:sz="6"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119</w:t>
            </w:r>
            <w:r>
              <w:rPr>
                <w:b/>
                <w:bCs/>
                <w:color w:val="000000"/>
                <w:sz w:val="22"/>
                <w:szCs w:val="22"/>
              </w:rPr>
              <w:t> </w:t>
            </w:r>
            <w:r w:rsidRPr="00521B52">
              <w:rPr>
                <w:b/>
                <w:bCs/>
                <w:color w:val="000000"/>
                <w:sz w:val="22"/>
                <w:szCs w:val="22"/>
              </w:rPr>
              <w:t>189,2</w:t>
            </w:r>
          </w:p>
        </w:tc>
      </w:tr>
      <w:tr w:rsidR="007765CC" w:rsidRPr="00521B52" w:rsidTr="009F2105">
        <w:trPr>
          <w:trHeight w:val="300"/>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b/>
                <w:bCs/>
                <w:color w:val="000000"/>
              </w:rPr>
            </w:pPr>
            <w:r w:rsidRPr="00521B52">
              <w:rPr>
                <w:b/>
                <w:bCs/>
                <w:color w:val="000000"/>
                <w:sz w:val="22"/>
                <w:szCs w:val="22"/>
              </w:rPr>
              <w:t>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111</w:t>
            </w:r>
            <w:r>
              <w:rPr>
                <w:b/>
                <w:bCs/>
                <w:color w:val="000000"/>
                <w:sz w:val="22"/>
                <w:szCs w:val="22"/>
              </w:rPr>
              <w:t> </w:t>
            </w:r>
            <w:r w:rsidRPr="00521B52">
              <w:rPr>
                <w:b/>
                <w:bCs/>
                <w:color w:val="000000"/>
                <w:sz w:val="22"/>
                <w:szCs w:val="22"/>
              </w:rPr>
              <w:t>267,1</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108</w:t>
            </w:r>
            <w:r>
              <w:rPr>
                <w:b/>
                <w:bCs/>
                <w:color w:val="000000"/>
                <w:sz w:val="22"/>
                <w:szCs w:val="22"/>
              </w:rPr>
              <w:t> </w:t>
            </w:r>
            <w:r w:rsidRPr="00521B52">
              <w:rPr>
                <w:b/>
                <w:bCs/>
                <w:color w:val="000000"/>
                <w:sz w:val="22"/>
                <w:szCs w:val="22"/>
              </w:rPr>
              <w:t>716,4</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116</w:t>
            </w:r>
            <w:r>
              <w:rPr>
                <w:b/>
                <w:bCs/>
                <w:color w:val="000000"/>
                <w:sz w:val="22"/>
                <w:szCs w:val="22"/>
              </w:rPr>
              <w:t> </w:t>
            </w:r>
            <w:r w:rsidRPr="00521B52">
              <w:rPr>
                <w:b/>
                <w:bCs/>
                <w:color w:val="000000"/>
                <w:sz w:val="22"/>
                <w:szCs w:val="22"/>
              </w:rPr>
              <w:t>320,8</w:t>
            </w:r>
          </w:p>
        </w:tc>
        <w:tc>
          <w:tcPr>
            <w:tcW w:w="1134" w:type="dxa"/>
            <w:tcBorders>
              <w:top w:val="nil"/>
              <w:left w:val="nil"/>
              <w:bottom w:val="single" w:sz="4" w:space="0" w:color="auto"/>
              <w:right w:val="double" w:sz="6" w:space="0" w:color="auto"/>
            </w:tcBorders>
            <w:shd w:val="clear" w:color="auto" w:fill="auto"/>
            <w:noWrap/>
            <w:vAlign w:val="bottom"/>
            <w:hideMark/>
          </w:tcPr>
          <w:p w:rsidR="007765CC" w:rsidRPr="00521B52" w:rsidRDefault="007765CC" w:rsidP="009F2105">
            <w:pPr>
              <w:jc w:val="right"/>
              <w:rPr>
                <w:b/>
                <w:bCs/>
                <w:color w:val="000000"/>
              </w:rPr>
            </w:pPr>
            <w:r w:rsidRPr="00521B52">
              <w:rPr>
                <w:b/>
                <w:bCs/>
                <w:color w:val="000000"/>
                <w:sz w:val="22"/>
                <w:szCs w:val="22"/>
              </w:rPr>
              <w:t>118</w:t>
            </w:r>
            <w:r>
              <w:rPr>
                <w:b/>
                <w:bCs/>
                <w:color w:val="000000"/>
                <w:sz w:val="22"/>
                <w:szCs w:val="22"/>
              </w:rPr>
              <w:t> </w:t>
            </w:r>
            <w:r w:rsidRPr="00521B52">
              <w:rPr>
                <w:b/>
                <w:bCs/>
                <w:color w:val="000000"/>
                <w:sz w:val="22"/>
                <w:szCs w:val="22"/>
              </w:rPr>
              <w:t>689,2</w:t>
            </w:r>
          </w:p>
        </w:tc>
      </w:tr>
      <w:tr w:rsidR="007765CC" w:rsidRPr="00521B52" w:rsidTr="009F2105">
        <w:trPr>
          <w:trHeight w:val="222"/>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b/>
                <w:bCs/>
                <w:color w:val="000000"/>
              </w:rPr>
            </w:pPr>
            <w:proofErr w:type="spellStart"/>
            <w:r w:rsidRPr="00521B52">
              <w:rPr>
                <w:b/>
                <w:bCs/>
                <w:color w:val="000000"/>
                <w:sz w:val="22"/>
                <w:szCs w:val="22"/>
              </w:rPr>
              <w:t>Профицит</w:t>
            </w:r>
            <w:proofErr w:type="spellEnd"/>
            <w:r w:rsidRPr="00521B52">
              <w:rPr>
                <w:b/>
                <w:bCs/>
                <w:color w:val="000000"/>
                <w:sz w:val="22"/>
                <w:szCs w:val="22"/>
              </w:rPr>
              <w:t xml:space="preserve"> бюджета</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0,0</w:t>
            </w:r>
          </w:p>
        </w:tc>
        <w:tc>
          <w:tcPr>
            <w:tcW w:w="1275"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200,0</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200,0</w:t>
            </w:r>
          </w:p>
        </w:tc>
        <w:tc>
          <w:tcPr>
            <w:tcW w:w="1134" w:type="dxa"/>
            <w:tcBorders>
              <w:top w:val="nil"/>
              <w:left w:val="nil"/>
              <w:bottom w:val="single" w:sz="4" w:space="0" w:color="auto"/>
              <w:right w:val="double" w:sz="6"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500,0</w:t>
            </w:r>
          </w:p>
        </w:tc>
      </w:tr>
      <w:tr w:rsidR="007765CC" w:rsidRPr="00521B52" w:rsidTr="009F2105">
        <w:trPr>
          <w:trHeight w:val="380"/>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b/>
                <w:bCs/>
                <w:color w:val="000000"/>
              </w:rPr>
            </w:pPr>
            <w:r w:rsidRPr="00521B52">
              <w:rPr>
                <w:b/>
                <w:bCs/>
                <w:color w:val="000000"/>
                <w:sz w:val="22"/>
                <w:szCs w:val="22"/>
              </w:rPr>
              <w:t>Источники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0,0</w:t>
            </w:r>
          </w:p>
        </w:tc>
        <w:tc>
          <w:tcPr>
            <w:tcW w:w="1275"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-200,0</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-200,0</w:t>
            </w:r>
          </w:p>
        </w:tc>
        <w:tc>
          <w:tcPr>
            <w:tcW w:w="1134" w:type="dxa"/>
            <w:tcBorders>
              <w:top w:val="nil"/>
              <w:left w:val="nil"/>
              <w:bottom w:val="single" w:sz="4" w:space="0" w:color="auto"/>
              <w:right w:val="double" w:sz="6" w:space="0" w:color="auto"/>
            </w:tcBorders>
            <w:shd w:val="clear" w:color="auto" w:fill="auto"/>
            <w:vAlign w:val="bottom"/>
            <w:hideMark/>
          </w:tcPr>
          <w:p w:rsidR="007765CC" w:rsidRPr="00521B52" w:rsidRDefault="007765CC" w:rsidP="009F2105">
            <w:pPr>
              <w:jc w:val="right"/>
              <w:rPr>
                <w:b/>
                <w:bCs/>
                <w:color w:val="000000"/>
              </w:rPr>
            </w:pPr>
            <w:r w:rsidRPr="00521B52">
              <w:rPr>
                <w:b/>
                <w:bCs/>
                <w:color w:val="000000"/>
                <w:sz w:val="22"/>
                <w:szCs w:val="22"/>
              </w:rPr>
              <w:t>-500,0</w:t>
            </w:r>
          </w:p>
        </w:tc>
      </w:tr>
      <w:tr w:rsidR="007765CC" w:rsidRPr="00521B52" w:rsidTr="009F2105">
        <w:trPr>
          <w:trHeight w:val="264"/>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b/>
                <w:bCs/>
                <w:color w:val="000000"/>
              </w:rPr>
            </w:pPr>
            <w:r w:rsidRPr="00521B52">
              <w:rPr>
                <w:b/>
                <w:bCs/>
                <w:color w:val="000000"/>
                <w:sz w:val="22"/>
                <w:szCs w:val="22"/>
              </w:rPr>
              <w:t xml:space="preserve">в т. ч. за счет: </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w:t>
            </w:r>
          </w:p>
        </w:tc>
        <w:tc>
          <w:tcPr>
            <w:tcW w:w="1134" w:type="dxa"/>
            <w:tcBorders>
              <w:top w:val="nil"/>
              <w:left w:val="nil"/>
              <w:bottom w:val="single" w:sz="4" w:space="0" w:color="auto"/>
              <w:right w:val="double" w:sz="6"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w:t>
            </w:r>
          </w:p>
        </w:tc>
      </w:tr>
      <w:tr w:rsidR="007765CC" w:rsidRPr="00521B52" w:rsidTr="009F2105">
        <w:trPr>
          <w:trHeight w:val="269"/>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xml:space="preserve">-заимствований </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-69,4</w:t>
            </w:r>
          </w:p>
        </w:tc>
        <w:tc>
          <w:tcPr>
            <w:tcW w:w="1275"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-288,9</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-277,7</w:t>
            </w:r>
          </w:p>
        </w:tc>
        <w:tc>
          <w:tcPr>
            <w:tcW w:w="1134" w:type="dxa"/>
            <w:tcBorders>
              <w:top w:val="nil"/>
              <w:left w:val="nil"/>
              <w:bottom w:val="single" w:sz="4" w:space="0" w:color="auto"/>
              <w:right w:val="double" w:sz="6"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-577,7</w:t>
            </w:r>
          </w:p>
        </w:tc>
      </w:tr>
      <w:tr w:rsidR="007765CC" w:rsidRPr="00521B52" w:rsidTr="009F2105">
        <w:trPr>
          <w:trHeight w:val="272"/>
        </w:trPr>
        <w:tc>
          <w:tcPr>
            <w:tcW w:w="4985" w:type="dxa"/>
            <w:tcBorders>
              <w:top w:val="nil"/>
              <w:left w:val="double" w:sz="6" w:space="0" w:color="auto"/>
              <w:bottom w:val="single" w:sz="4"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-изменения  остатков</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69,4</w:t>
            </w:r>
          </w:p>
        </w:tc>
        <w:tc>
          <w:tcPr>
            <w:tcW w:w="1275"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88,9</w:t>
            </w:r>
          </w:p>
        </w:tc>
        <w:tc>
          <w:tcPr>
            <w:tcW w:w="1134" w:type="dxa"/>
            <w:tcBorders>
              <w:top w:val="nil"/>
              <w:left w:val="nil"/>
              <w:bottom w:val="single" w:sz="4" w:space="0" w:color="auto"/>
              <w:right w:val="single" w:sz="4"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77,7</w:t>
            </w:r>
          </w:p>
        </w:tc>
        <w:tc>
          <w:tcPr>
            <w:tcW w:w="1134" w:type="dxa"/>
            <w:tcBorders>
              <w:top w:val="nil"/>
              <w:left w:val="nil"/>
              <w:bottom w:val="single" w:sz="4" w:space="0" w:color="auto"/>
              <w:right w:val="double" w:sz="6" w:space="0" w:color="auto"/>
            </w:tcBorders>
            <w:shd w:val="clear" w:color="auto" w:fill="auto"/>
            <w:vAlign w:val="bottom"/>
            <w:hideMark/>
          </w:tcPr>
          <w:p w:rsidR="007765CC" w:rsidRPr="00521B52" w:rsidRDefault="007765CC" w:rsidP="009F2105">
            <w:pPr>
              <w:jc w:val="right"/>
              <w:rPr>
                <w:color w:val="000000"/>
              </w:rPr>
            </w:pPr>
            <w:r w:rsidRPr="00521B52">
              <w:rPr>
                <w:color w:val="000000"/>
                <w:sz w:val="22"/>
                <w:szCs w:val="22"/>
              </w:rPr>
              <w:t>77,7</w:t>
            </w:r>
          </w:p>
        </w:tc>
      </w:tr>
      <w:tr w:rsidR="007765CC" w:rsidRPr="00521B52" w:rsidTr="009F2105">
        <w:trPr>
          <w:trHeight w:val="432"/>
        </w:trPr>
        <w:tc>
          <w:tcPr>
            <w:tcW w:w="4985" w:type="dxa"/>
            <w:tcBorders>
              <w:top w:val="nil"/>
              <w:left w:val="double" w:sz="6" w:space="0" w:color="auto"/>
              <w:bottom w:val="double" w:sz="6" w:space="0" w:color="auto"/>
              <w:right w:val="single" w:sz="4" w:space="0" w:color="auto"/>
            </w:tcBorders>
            <w:shd w:val="clear" w:color="auto" w:fill="auto"/>
            <w:vAlign w:val="bottom"/>
            <w:hideMark/>
          </w:tcPr>
          <w:p w:rsidR="007765CC" w:rsidRPr="00521B52" w:rsidRDefault="007765CC" w:rsidP="009F2105">
            <w:pPr>
              <w:rPr>
                <w:color w:val="000000"/>
              </w:rPr>
            </w:pPr>
            <w:r w:rsidRPr="00521B52">
              <w:rPr>
                <w:color w:val="000000"/>
                <w:sz w:val="22"/>
                <w:szCs w:val="22"/>
              </w:rPr>
              <w:t xml:space="preserve">- </w:t>
            </w:r>
            <w:r>
              <w:rPr>
                <w:color w:val="000000"/>
                <w:sz w:val="22"/>
                <w:szCs w:val="22"/>
              </w:rPr>
              <w:t xml:space="preserve">иных </w:t>
            </w:r>
            <w:r w:rsidRPr="00521B52">
              <w:rPr>
                <w:color w:val="000000"/>
                <w:sz w:val="22"/>
                <w:szCs w:val="22"/>
              </w:rPr>
              <w:t>источников (</w:t>
            </w:r>
            <w:r>
              <w:rPr>
                <w:color w:val="000000"/>
                <w:sz w:val="22"/>
                <w:szCs w:val="22"/>
              </w:rPr>
              <w:t>предоставление и возврат бюджетных кредитов бюджетам муниципальных образований</w:t>
            </w:r>
            <w:r w:rsidRPr="00521B52">
              <w:rPr>
                <w:color w:val="000000"/>
                <w:sz w:val="22"/>
                <w:szCs w:val="22"/>
              </w:rPr>
              <w:t>)</w:t>
            </w:r>
          </w:p>
        </w:tc>
        <w:tc>
          <w:tcPr>
            <w:tcW w:w="1134" w:type="dxa"/>
            <w:tcBorders>
              <w:top w:val="nil"/>
              <w:left w:val="nil"/>
              <w:bottom w:val="double" w:sz="6" w:space="0" w:color="auto"/>
              <w:right w:val="single" w:sz="4" w:space="0" w:color="auto"/>
            </w:tcBorders>
            <w:shd w:val="clear" w:color="auto" w:fill="auto"/>
            <w:vAlign w:val="center"/>
            <w:hideMark/>
          </w:tcPr>
          <w:p w:rsidR="007765CC" w:rsidRPr="00521B52" w:rsidRDefault="007765CC" w:rsidP="009F2105">
            <w:pPr>
              <w:jc w:val="right"/>
              <w:rPr>
                <w:color w:val="000000"/>
              </w:rPr>
            </w:pPr>
            <w:r>
              <w:rPr>
                <w:color w:val="000000"/>
                <w:sz w:val="22"/>
                <w:szCs w:val="22"/>
              </w:rPr>
              <w:t>0,0</w:t>
            </w:r>
            <w:r w:rsidRPr="00521B52">
              <w:rPr>
                <w:color w:val="000000"/>
                <w:sz w:val="22"/>
                <w:szCs w:val="22"/>
              </w:rPr>
              <w:t> </w:t>
            </w:r>
          </w:p>
        </w:tc>
        <w:tc>
          <w:tcPr>
            <w:tcW w:w="1275" w:type="dxa"/>
            <w:tcBorders>
              <w:top w:val="nil"/>
              <w:left w:val="nil"/>
              <w:bottom w:val="double" w:sz="6" w:space="0" w:color="auto"/>
              <w:right w:val="single" w:sz="4" w:space="0" w:color="auto"/>
            </w:tcBorders>
            <w:shd w:val="clear" w:color="000000" w:fill="FFFFFF"/>
            <w:vAlign w:val="center"/>
            <w:hideMark/>
          </w:tcPr>
          <w:p w:rsidR="007765CC" w:rsidRPr="00521B52" w:rsidRDefault="007765CC" w:rsidP="009F2105">
            <w:pPr>
              <w:jc w:val="right"/>
              <w:rPr>
                <w:color w:val="000000"/>
              </w:rPr>
            </w:pPr>
            <w:r>
              <w:rPr>
                <w:color w:val="000000"/>
                <w:sz w:val="22"/>
                <w:szCs w:val="22"/>
              </w:rPr>
              <w:t>0,0</w:t>
            </w:r>
            <w:r w:rsidRPr="00521B52">
              <w:rPr>
                <w:color w:val="000000"/>
                <w:sz w:val="22"/>
                <w:szCs w:val="22"/>
              </w:rPr>
              <w:t>  </w:t>
            </w:r>
          </w:p>
        </w:tc>
        <w:tc>
          <w:tcPr>
            <w:tcW w:w="1134" w:type="dxa"/>
            <w:tcBorders>
              <w:top w:val="nil"/>
              <w:left w:val="nil"/>
              <w:bottom w:val="double" w:sz="6" w:space="0" w:color="auto"/>
              <w:right w:val="single" w:sz="4" w:space="0" w:color="auto"/>
            </w:tcBorders>
            <w:shd w:val="clear" w:color="000000" w:fill="FFFFFF"/>
            <w:vAlign w:val="center"/>
            <w:hideMark/>
          </w:tcPr>
          <w:p w:rsidR="007765CC" w:rsidRPr="00521B52" w:rsidRDefault="007765CC" w:rsidP="009F2105">
            <w:pPr>
              <w:jc w:val="right"/>
              <w:rPr>
                <w:color w:val="000000"/>
              </w:rPr>
            </w:pPr>
            <w:r>
              <w:rPr>
                <w:color w:val="000000"/>
                <w:sz w:val="22"/>
                <w:szCs w:val="22"/>
              </w:rPr>
              <w:t>0,0</w:t>
            </w:r>
            <w:r w:rsidRPr="00521B52">
              <w:rPr>
                <w:color w:val="000000"/>
                <w:sz w:val="22"/>
                <w:szCs w:val="22"/>
              </w:rPr>
              <w:t>  </w:t>
            </w:r>
          </w:p>
        </w:tc>
        <w:tc>
          <w:tcPr>
            <w:tcW w:w="1134" w:type="dxa"/>
            <w:tcBorders>
              <w:top w:val="nil"/>
              <w:left w:val="nil"/>
              <w:bottom w:val="double" w:sz="6" w:space="0" w:color="auto"/>
              <w:right w:val="double" w:sz="6" w:space="0" w:color="auto"/>
            </w:tcBorders>
            <w:shd w:val="clear" w:color="auto" w:fill="auto"/>
            <w:vAlign w:val="center"/>
            <w:hideMark/>
          </w:tcPr>
          <w:p w:rsidR="007765CC" w:rsidRPr="00521B52" w:rsidRDefault="007765CC" w:rsidP="009F2105">
            <w:pPr>
              <w:jc w:val="right"/>
              <w:rPr>
                <w:color w:val="000000"/>
              </w:rPr>
            </w:pPr>
            <w:r>
              <w:rPr>
                <w:color w:val="000000"/>
                <w:sz w:val="22"/>
                <w:szCs w:val="22"/>
              </w:rPr>
              <w:t>0,0</w:t>
            </w:r>
            <w:r w:rsidRPr="00521B52">
              <w:rPr>
                <w:color w:val="000000"/>
                <w:sz w:val="22"/>
                <w:szCs w:val="22"/>
              </w:rPr>
              <w:t>  </w:t>
            </w:r>
          </w:p>
        </w:tc>
      </w:tr>
    </w:tbl>
    <w:p w:rsidR="007765CC" w:rsidRDefault="007765CC" w:rsidP="007765CC">
      <w:pPr>
        <w:jc w:val="both"/>
        <w:rPr>
          <w:i/>
          <w:sz w:val="22"/>
          <w:szCs w:val="22"/>
        </w:rPr>
      </w:pPr>
    </w:p>
    <w:p w:rsidR="007765CC" w:rsidRDefault="007765CC" w:rsidP="007765CC">
      <w:pPr>
        <w:ind w:firstLine="680"/>
        <w:jc w:val="both"/>
      </w:pPr>
      <w:r>
        <w:t xml:space="preserve">Как видно из представленных данных, на 2020 год </w:t>
      </w:r>
      <w:proofErr w:type="spellStart"/>
      <w:r>
        <w:t>профицит</w:t>
      </w:r>
      <w:proofErr w:type="spellEnd"/>
      <w:r>
        <w:t xml:space="preserve"> планируется в объеме 200 млн. руб., на 2021 и 2022 годы – соответственно в объеме 200 млн. руб. и 500 млн. рублей.  </w:t>
      </w:r>
    </w:p>
    <w:p w:rsidR="007765CC" w:rsidRPr="00530C02" w:rsidRDefault="007765CC" w:rsidP="007765CC">
      <w:pPr>
        <w:ind w:firstLine="680"/>
        <w:jc w:val="both"/>
      </w:pPr>
      <w:r>
        <w:t>Источниками внутреннего финансирования дефицита бюджета на 2020-2022 годы помимо разницы между привлеченными и погашенными заемными ресурсами, а также изменениями</w:t>
      </w:r>
      <w:r w:rsidRPr="00972028">
        <w:t xml:space="preserve"> остатков средств на счетах по учету средств областного бюджета в течение соответствующего</w:t>
      </w:r>
      <w:r>
        <w:t xml:space="preserve"> финансового года, предусмотрена р</w:t>
      </w:r>
      <w:r w:rsidRPr="00972028">
        <w:t xml:space="preserve">азница между </w:t>
      </w:r>
      <w:r>
        <w:t xml:space="preserve">предоставленными и возвращенными средствами бюджетных кредитов бюджетам муниципальных образований. Законопроектом </w:t>
      </w:r>
      <w:r w:rsidR="00D20DF3">
        <w:t xml:space="preserve">(статьей 45) </w:t>
      </w:r>
      <w:r>
        <w:t>предусмотрено в 2020 году предоставление указанных бюджетных кредитов в сумме до 40</w:t>
      </w:r>
      <w:r w:rsidR="001925E2">
        <w:t>,0 млн. руб. на срок, не выходящ</w:t>
      </w:r>
      <w:r>
        <w:t>ий за пределы 2020 года</w:t>
      </w:r>
      <w:r w:rsidRPr="00092D25">
        <w:t xml:space="preserve">, на покрытие временных кассовых разрывов, возникающих при исполнении бюджетов муниципальных образований, и осуществление мероприятий, связанных с ликвидацией последствий стихийных бедствий. </w:t>
      </w:r>
      <w:r>
        <w:t xml:space="preserve">По данным Пояснительной записки к Законопроекту в 2021 и 2022 годах также планируется </w:t>
      </w:r>
      <w:r w:rsidRPr="00530C02">
        <w:t>п</w:t>
      </w:r>
      <w:r w:rsidRPr="00530C02">
        <w:rPr>
          <w:color w:val="000000"/>
        </w:rPr>
        <w:t>редоставление и возврат бюджетных кредитов бюджетам муниципальных образований по 40,0 млн. руб. ежегодно.</w:t>
      </w:r>
    </w:p>
    <w:p w:rsidR="007765CC" w:rsidRDefault="007765CC" w:rsidP="007765CC">
      <w:pPr>
        <w:ind w:firstLine="680"/>
        <w:jc w:val="both"/>
      </w:pPr>
      <w:r>
        <w:t>Р</w:t>
      </w:r>
      <w:r w:rsidRPr="00233946">
        <w:t>асходы областного бюджета предполагается осуществлять за счет доходов, не привлекая на эти цели заимствования.</w:t>
      </w:r>
      <w:r w:rsidRPr="00233946">
        <w:rPr>
          <w:sz w:val="28"/>
          <w:szCs w:val="28"/>
        </w:rPr>
        <w:t xml:space="preserve"> </w:t>
      </w:r>
      <w:r w:rsidRPr="00233946">
        <w:t>Привлекаемые заимствования будут направлены на исполнение существующих обязательств.</w:t>
      </w:r>
    </w:p>
    <w:p w:rsidR="007765CC" w:rsidRDefault="007765CC" w:rsidP="007765CC">
      <w:pPr>
        <w:ind w:firstLine="680"/>
        <w:jc w:val="both"/>
      </w:pPr>
      <w:r>
        <w:t>Программа государственных внутренних заимствований Волгоградской области на 2020 год и плановый период 2021 и 2022 годов сформирована с учетом внесенных Законом РФ от 02.08.2019 № 278-ФЗ изменений в ст. 110.</w:t>
      </w:r>
      <w:r w:rsidRPr="007C17E2">
        <w:t xml:space="preserve">1 </w:t>
      </w:r>
      <w:r>
        <w:t>«</w:t>
      </w:r>
      <w:r w:rsidRPr="007C17E2">
        <w:rPr>
          <w:bCs/>
        </w:rPr>
        <w:t>Программа государственных внутренних заимствований субъекта Российской Федерации (муниципальных внутренних заимствований)</w:t>
      </w:r>
      <w:r>
        <w:rPr>
          <w:bCs/>
        </w:rPr>
        <w:t xml:space="preserve">» БК РФ с выделением в ней по привлеченным средствам </w:t>
      </w:r>
      <w:r>
        <w:t>предельных сроков погашения долговых обязательств, возникающих при осуществлении государственных внутренних заимствований субъекта РФ.</w:t>
      </w:r>
    </w:p>
    <w:p w:rsidR="007765CC" w:rsidRDefault="007765CC" w:rsidP="007765CC">
      <w:pPr>
        <w:ind w:firstLine="680"/>
        <w:jc w:val="both"/>
      </w:pPr>
      <w:r w:rsidRPr="0040365E">
        <w:lastRenderedPageBreak/>
        <w:t xml:space="preserve">Структура </w:t>
      </w:r>
      <w:r>
        <w:t xml:space="preserve">государственных </w:t>
      </w:r>
      <w:r w:rsidRPr="0040365E">
        <w:t xml:space="preserve">заимствований </w:t>
      </w:r>
      <w:r>
        <w:t xml:space="preserve">Волгоградской области </w:t>
      </w:r>
      <w:r w:rsidRPr="0040365E">
        <w:t>приведена в приложении 23 к Законопроекту и представлена в следующей таблице.</w:t>
      </w:r>
    </w:p>
    <w:p w:rsidR="007765CC" w:rsidRPr="00465BA0" w:rsidRDefault="007765CC" w:rsidP="007765CC">
      <w:pPr>
        <w:ind w:firstLine="708"/>
        <w:jc w:val="center"/>
        <w:rPr>
          <w:i/>
          <w:sz w:val="22"/>
          <w:szCs w:val="22"/>
        </w:rPr>
      </w:pPr>
      <w:r w:rsidRPr="00465BA0">
        <w:rPr>
          <w:i/>
          <w:sz w:val="22"/>
          <w:szCs w:val="22"/>
        </w:rPr>
        <w:t xml:space="preserve">                                                                                                        </w:t>
      </w:r>
      <w:r>
        <w:rPr>
          <w:i/>
          <w:sz w:val="22"/>
          <w:szCs w:val="22"/>
        </w:rPr>
        <w:t xml:space="preserve">                   </w:t>
      </w:r>
      <w:r w:rsidRPr="00465BA0">
        <w:rPr>
          <w:i/>
          <w:sz w:val="22"/>
          <w:szCs w:val="22"/>
        </w:rPr>
        <w:t xml:space="preserve">     </w:t>
      </w:r>
      <w:r>
        <w:rPr>
          <w:i/>
          <w:sz w:val="22"/>
          <w:szCs w:val="22"/>
        </w:rPr>
        <w:t xml:space="preserve">       </w:t>
      </w:r>
      <w:r w:rsidRPr="00465BA0">
        <w:rPr>
          <w:i/>
          <w:sz w:val="22"/>
          <w:szCs w:val="22"/>
        </w:rPr>
        <w:t>млн. руб.</w:t>
      </w:r>
    </w:p>
    <w:tbl>
      <w:tblPr>
        <w:tblW w:w="10632" w:type="dxa"/>
        <w:tblInd w:w="-743" w:type="dxa"/>
        <w:tblLayout w:type="fixed"/>
        <w:tblLook w:val="04A0"/>
      </w:tblPr>
      <w:tblGrid>
        <w:gridCol w:w="2694"/>
        <w:gridCol w:w="1134"/>
        <w:gridCol w:w="993"/>
        <w:gridCol w:w="1275"/>
        <w:gridCol w:w="993"/>
        <w:gridCol w:w="1275"/>
        <w:gridCol w:w="993"/>
        <w:gridCol w:w="1275"/>
      </w:tblGrid>
      <w:tr w:rsidR="007765CC" w:rsidRPr="00B86E95" w:rsidTr="0065523C">
        <w:trPr>
          <w:trHeight w:val="363"/>
        </w:trPr>
        <w:tc>
          <w:tcPr>
            <w:tcW w:w="2694" w:type="dxa"/>
            <w:vMerge w:val="restart"/>
            <w:tcBorders>
              <w:top w:val="double" w:sz="6" w:space="0" w:color="auto"/>
              <w:left w:val="double" w:sz="6" w:space="0" w:color="auto"/>
              <w:bottom w:val="double" w:sz="6" w:space="0" w:color="000000"/>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Вид заимствований</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2019 год (закон о бюджете на 2019  год)</w:t>
            </w:r>
          </w:p>
        </w:tc>
        <w:tc>
          <w:tcPr>
            <w:tcW w:w="2268" w:type="dxa"/>
            <w:gridSpan w:val="2"/>
            <w:tcBorders>
              <w:top w:val="double" w:sz="6" w:space="0" w:color="auto"/>
              <w:left w:val="nil"/>
              <w:bottom w:val="single" w:sz="4"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2020 год</w:t>
            </w:r>
          </w:p>
        </w:tc>
        <w:tc>
          <w:tcPr>
            <w:tcW w:w="2268" w:type="dxa"/>
            <w:gridSpan w:val="2"/>
            <w:tcBorders>
              <w:top w:val="double" w:sz="6" w:space="0" w:color="auto"/>
              <w:left w:val="nil"/>
              <w:bottom w:val="single" w:sz="4"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2021 год</w:t>
            </w:r>
          </w:p>
        </w:tc>
        <w:tc>
          <w:tcPr>
            <w:tcW w:w="2268" w:type="dxa"/>
            <w:gridSpan w:val="2"/>
            <w:tcBorders>
              <w:top w:val="double" w:sz="6" w:space="0" w:color="auto"/>
              <w:left w:val="nil"/>
              <w:bottom w:val="single" w:sz="4" w:space="0" w:color="auto"/>
              <w:right w:val="double" w:sz="6" w:space="0" w:color="000000"/>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2022 год</w:t>
            </w:r>
          </w:p>
        </w:tc>
      </w:tr>
      <w:tr w:rsidR="007765CC" w:rsidRPr="00B86E95" w:rsidTr="0065523C">
        <w:trPr>
          <w:trHeight w:val="780"/>
        </w:trPr>
        <w:tc>
          <w:tcPr>
            <w:tcW w:w="2694" w:type="dxa"/>
            <w:vMerge/>
            <w:tcBorders>
              <w:top w:val="double" w:sz="6" w:space="0" w:color="auto"/>
              <w:left w:val="double" w:sz="6" w:space="0" w:color="auto"/>
              <w:bottom w:val="double" w:sz="6" w:space="0" w:color="000000"/>
              <w:right w:val="single" w:sz="4" w:space="0" w:color="auto"/>
            </w:tcBorders>
            <w:vAlign w:val="center"/>
            <w:hideMark/>
          </w:tcPr>
          <w:p w:rsidR="007765CC" w:rsidRPr="00B86E95" w:rsidRDefault="007765CC" w:rsidP="009F2105">
            <w:pPr>
              <w:rPr>
                <w:b/>
                <w:bCs/>
                <w:color w:val="000000"/>
                <w:sz w:val="18"/>
                <w:szCs w:val="18"/>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7765CC" w:rsidRPr="00B86E95" w:rsidRDefault="007765CC" w:rsidP="009F2105">
            <w:pPr>
              <w:rPr>
                <w:b/>
                <w:bCs/>
                <w:color w:val="000000"/>
                <w:sz w:val="18"/>
                <w:szCs w:val="18"/>
              </w:rPr>
            </w:pPr>
          </w:p>
        </w:tc>
        <w:tc>
          <w:tcPr>
            <w:tcW w:w="993" w:type="dxa"/>
            <w:tcBorders>
              <w:top w:val="nil"/>
              <w:left w:val="nil"/>
              <w:bottom w:val="double" w:sz="6"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сумма</w:t>
            </w:r>
          </w:p>
        </w:tc>
        <w:tc>
          <w:tcPr>
            <w:tcW w:w="1275" w:type="dxa"/>
            <w:tcBorders>
              <w:top w:val="nil"/>
              <w:left w:val="nil"/>
              <w:bottom w:val="double" w:sz="6"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 xml:space="preserve">предельный срок погашения </w:t>
            </w:r>
          </w:p>
        </w:tc>
        <w:tc>
          <w:tcPr>
            <w:tcW w:w="993" w:type="dxa"/>
            <w:tcBorders>
              <w:top w:val="nil"/>
              <w:left w:val="nil"/>
              <w:bottom w:val="double" w:sz="6"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сумма</w:t>
            </w:r>
          </w:p>
        </w:tc>
        <w:tc>
          <w:tcPr>
            <w:tcW w:w="1275" w:type="dxa"/>
            <w:tcBorders>
              <w:top w:val="nil"/>
              <w:left w:val="nil"/>
              <w:bottom w:val="double" w:sz="6"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 xml:space="preserve">предельный срок погашения </w:t>
            </w:r>
          </w:p>
        </w:tc>
        <w:tc>
          <w:tcPr>
            <w:tcW w:w="993" w:type="dxa"/>
            <w:tcBorders>
              <w:top w:val="nil"/>
              <w:left w:val="nil"/>
              <w:bottom w:val="double" w:sz="6" w:space="0" w:color="auto"/>
              <w:right w:val="single" w:sz="4"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сумма</w:t>
            </w:r>
          </w:p>
        </w:tc>
        <w:tc>
          <w:tcPr>
            <w:tcW w:w="1275" w:type="dxa"/>
            <w:tcBorders>
              <w:top w:val="nil"/>
              <w:left w:val="nil"/>
              <w:bottom w:val="double" w:sz="6" w:space="0" w:color="auto"/>
              <w:right w:val="double" w:sz="6" w:space="0" w:color="auto"/>
            </w:tcBorders>
            <w:shd w:val="clear" w:color="000000" w:fill="EAF1DD"/>
            <w:vAlign w:val="center"/>
            <w:hideMark/>
          </w:tcPr>
          <w:p w:rsidR="007765CC" w:rsidRPr="00B86E95" w:rsidRDefault="007765CC" w:rsidP="009F2105">
            <w:pPr>
              <w:jc w:val="center"/>
              <w:rPr>
                <w:b/>
                <w:bCs/>
                <w:color w:val="000000"/>
                <w:sz w:val="18"/>
                <w:szCs w:val="18"/>
              </w:rPr>
            </w:pPr>
            <w:r w:rsidRPr="00B86E95">
              <w:rPr>
                <w:b/>
                <w:bCs/>
                <w:color w:val="000000"/>
                <w:sz w:val="18"/>
                <w:szCs w:val="18"/>
              </w:rPr>
              <w:t xml:space="preserve">предельный срок погашения </w:t>
            </w:r>
          </w:p>
        </w:tc>
      </w:tr>
      <w:tr w:rsidR="007765CC" w:rsidRPr="00B86E95" w:rsidTr="0065523C">
        <w:trPr>
          <w:trHeight w:val="570"/>
        </w:trPr>
        <w:tc>
          <w:tcPr>
            <w:tcW w:w="2694" w:type="dxa"/>
            <w:tcBorders>
              <w:top w:val="nil"/>
              <w:left w:val="double" w:sz="6" w:space="0" w:color="auto"/>
              <w:bottom w:val="single" w:sz="4" w:space="0" w:color="auto"/>
              <w:right w:val="single" w:sz="4" w:space="0" w:color="auto"/>
            </w:tcBorders>
            <w:shd w:val="clear" w:color="000000" w:fill="DBE5F1"/>
            <w:vAlign w:val="bottom"/>
            <w:hideMark/>
          </w:tcPr>
          <w:p w:rsidR="007765CC" w:rsidRPr="00B86E95" w:rsidRDefault="007765CC" w:rsidP="009F2105">
            <w:pPr>
              <w:rPr>
                <w:color w:val="000000"/>
                <w:sz w:val="20"/>
                <w:szCs w:val="20"/>
              </w:rPr>
            </w:pPr>
            <w:r w:rsidRPr="00B86E95">
              <w:rPr>
                <w:color w:val="000000"/>
                <w:sz w:val="20"/>
                <w:szCs w:val="20"/>
              </w:rPr>
              <w:t>Государственные ценные бумаги</w:t>
            </w:r>
          </w:p>
        </w:tc>
        <w:tc>
          <w:tcPr>
            <w:tcW w:w="1134"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-2000,0</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-1250,0</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-1 000,0</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65523C" w:rsidP="009F2105">
            <w:pPr>
              <w:jc w:val="right"/>
              <w:rPr>
                <w:color w:val="000000"/>
                <w:sz w:val="20"/>
                <w:szCs w:val="20"/>
              </w:rPr>
            </w:pPr>
            <w:r>
              <w:rPr>
                <w:color w:val="000000"/>
                <w:sz w:val="20"/>
                <w:szCs w:val="20"/>
              </w:rPr>
              <w:t>-2500,0</w:t>
            </w:r>
          </w:p>
        </w:tc>
        <w:tc>
          <w:tcPr>
            <w:tcW w:w="1275" w:type="dxa"/>
            <w:tcBorders>
              <w:top w:val="nil"/>
              <w:left w:val="nil"/>
              <w:bottom w:val="single" w:sz="4" w:space="0" w:color="auto"/>
              <w:right w:val="double" w:sz="6"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375"/>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привлечение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375"/>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погашение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7765CC" w:rsidRPr="00B86E95" w:rsidRDefault="007765CC" w:rsidP="009F2105">
            <w:pPr>
              <w:jc w:val="right"/>
              <w:rPr>
                <w:color w:val="000000"/>
                <w:sz w:val="20"/>
                <w:szCs w:val="20"/>
              </w:rPr>
            </w:pPr>
            <w:r w:rsidRPr="00B86E95">
              <w:rPr>
                <w:color w:val="000000"/>
                <w:sz w:val="20"/>
                <w:szCs w:val="20"/>
              </w:rPr>
              <w:t>2000,0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1250,0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2 500,0</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510"/>
        </w:trPr>
        <w:tc>
          <w:tcPr>
            <w:tcW w:w="2694" w:type="dxa"/>
            <w:tcBorders>
              <w:top w:val="nil"/>
              <w:left w:val="double" w:sz="6" w:space="0" w:color="auto"/>
              <w:bottom w:val="single" w:sz="4" w:space="0" w:color="auto"/>
              <w:right w:val="single" w:sz="4" w:space="0" w:color="auto"/>
            </w:tcBorders>
            <w:shd w:val="clear" w:color="000000" w:fill="DBE5F1"/>
            <w:vAlign w:val="bottom"/>
            <w:hideMark/>
          </w:tcPr>
          <w:p w:rsidR="007765CC" w:rsidRPr="00B86E95" w:rsidRDefault="007765CC" w:rsidP="009F2105">
            <w:pPr>
              <w:rPr>
                <w:color w:val="000000"/>
                <w:sz w:val="20"/>
                <w:szCs w:val="20"/>
              </w:rPr>
            </w:pPr>
            <w:r w:rsidRPr="00B86E95">
              <w:rPr>
                <w:color w:val="000000"/>
                <w:sz w:val="20"/>
                <w:szCs w:val="20"/>
              </w:rPr>
              <w:t>Кредиты кредитных организаций</w:t>
            </w:r>
          </w:p>
        </w:tc>
        <w:tc>
          <w:tcPr>
            <w:tcW w:w="1134"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3000,0</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3100,0</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6 200,0</w:t>
            </w:r>
          </w:p>
        </w:tc>
        <w:tc>
          <w:tcPr>
            <w:tcW w:w="1275" w:type="dxa"/>
            <w:tcBorders>
              <w:top w:val="nil"/>
              <w:left w:val="nil"/>
              <w:bottom w:val="single" w:sz="4" w:space="0" w:color="auto"/>
              <w:right w:val="double" w:sz="6"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390"/>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привлечение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9000,0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A96400">
              <w:rPr>
                <w:color w:val="000000"/>
                <w:sz w:val="20"/>
                <w:szCs w:val="20"/>
              </w:rPr>
              <w:t>20100,0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31.12.2023</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A96400">
              <w:rPr>
                <w:color w:val="000000"/>
                <w:sz w:val="20"/>
                <w:szCs w:val="20"/>
              </w:rPr>
              <w:t>15 500,0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31.12.2024</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A96400">
              <w:rPr>
                <w:color w:val="000000"/>
                <w:sz w:val="20"/>
                <w:szCs w:val="20"/>
              </w:rPr>
              <w:t>15 200,0</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Pr>
                <w:color w:val="000000"/>
                <w:sz w:val="20"/>
                <w:szCs w:val="20"/>
              </w:rPr>
              <w:t>до 31.12.</w:t>
            </w:r>
            <w:r w:rsidRPr="00B86E95">
              <w:rPr>
                <w:color w:val="000000"/>
                <w:sz w:val="20"/>
                <w:szCs w:val="20"/>
              </w:rPr>
              <w:t>2025</w:t>
            </w:r>
          </w:p>
        </w:tc>
      </w:tr>
      <w:tr w:rsidR="007765CC" w:rsidRPr="00B86E95" w:rsidTr="0065523C">
        <w:trPr>
          <w:trHeight w:val="360"/>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погашение долга</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6000,0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17000,0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10 500,0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9 000,0</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375"/>
        </w:trPr>
        <w:tc>
          <w:tcPr>
            <w:tcW w:w="2694" w:type="dxa"/>
            <w:tcBorders>
              <w:top w:val="nil"/>
              <w:left w:val="double" w:sz="6" w:space="0" w:color="auto"/>
              <w:bottom w:val="single" w:sz="4" w:space="0" w:color="auto"/>
              <w:right w:val="single" w:sz="4" w:space="0" w:color="auto"/>
            </w:tcBorders>
            <w:shd w:val="clear" w:color="000000" w:fill="DBE5F1"/>
            <w:vAlign w:val="bottom"/>
            <w:hideMark/>
          </w:tcPr>
          <w:p w:rsidR="007765CC" w:rsidRPr="00B86E95" w:rsidRDefault="007765CC" w:rsidP="009F2105">
            <w:pPr>
              <w:rPr>
                <w:color w:val="000000"/>
                <w:sz w:val="20"/>
                <w:szCs w:val="20"/>
              </w:rPr>
            </w:pPr>
            <w:r w:rsidRPr="00B86E95">
              <w:rPr>
                <w:color w:val="000000"/>
                <w:sz w:val="20"/>
                <w:szCs w:val="20"/>
              </w:rPr>
              <w:t>Бюджетные кредиты</w:t>
            </w:r>
          </w:p>
        </w:tc>
        <w:tc>
          <w:tcPr>
            <w:tcW w:w="1134"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-1069,4</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-2138,</w:t>
            </w:r>
            <w:r>
              <w:rPr>
                <w:color w:val="000000"/>
                <w:sz w:val="20"/>
                <w:szCs w:val="20"/>
              </w:rPr>
              <w:t>8</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-4 277,7</w:t>
            </w:r>
          </w:p>
        </w:tc>
        <w:tc>
          <w:tcPr>
            <w:tcW w:w="1275"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-4 277,7</w:t>
            </w:r>
          </w:p>
        </w:tc>
        <w:tc>
          <w:tcPr>
            <w:tcW w:w="1275" w:type="dxa"/>
            <w:tcBorders>
              <w:top w:val="nil"/>
              <w:left w:val="nil"/>
              <w:bottom w:val="single" w:sz="4" w:space="0" w:color="auto"/>
              <w:right w:val="double" w:sz="6" w:space="0" w:color="auto"/>
            </w:tcBorders>
            <w:shd w:val="clear" w:color="000000" w:fill="DBE5F1"/>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362"/>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привлечение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5000,0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7765CC" w:rsidRPr="00B86E95" w:rsidRDefault="007765CC" w:rsidP="009F2105">
            <w:pPr>
              <w:jc w:val="right"/>
              <w:rPr>
                <w:color w:val="000000"/>
                <w:sz w:val="20"/>
                <w:szCs w:val="20"/>
              </w:rPr>
            </w:pPr>
            <w:r w:rsidRPr="00B86E95">
              <w:rPr>
                <w:color w:val="000000"/>
                <w:sz w:val="20"/>
                <w:szCs w:val="20"/>
              </w:rPr>
              <w:t>до 25.11.2020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25.11.2021</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25.11.2022</w:t>
            </w:r>
          </w:p>
        </w:tc>
      </w:tr>
      <w:tr w:rsidR="007765CC" w:rsidRPr="00B86E95" w:rsidTr="0065523C">
        <w:trPr>
          <w:trHeight w:val="615"/>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i/>
                <w:iCs/>
                <w:color w:val="000000"/>
                <w:sz w:val="20"/>
                <w:szCs w:val="20"/>
              </w:rPr>
            </w:pPr>
            <w:r w:rsidRPr="00B86E95">
              <w:rPr>
                <w:i/>
                <w:iCs/>
                <w:color w:val="000000"/>
                <w:sz w:val="20"/>
                <w:szCs w:val="20"/>
              </w:rPr>
              <w:t>в т.ч. на пополнение остатков средств на счете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7765CC" w:rsidRPr="00B86E95" w:rsidRDefault="007765CC" w:rsidP="009F2105">
            <w:pPr>
              <w:jc w:val="right"/>
              <w:rPr>
                <w:color w:val="000000"/>
                <w:sz w:val="20"/>
                <w:szCs w:val="20"/>
              </w:rPr>
            </w:pPr>
            <w:r w:rsidRPr="00B86E95">
              <w:rPr>
                <w:color w:val="000000"/>
                <w:sz w:val="20"/>
                <w:szCs w:val="20"/>
              </w:rPr>
              <w:t>до 25.11.2020</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25.11.2021</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до 25.11.2022</w:t>
            </w:r>
          </w:p>
        </w:tc>
      </w:tr>
      <w:tr w:rsidR="007765CC" w:rsidRPr="00B86E95" w:rsidTr="0065523C">
        <w:trPr>
          <w:trHeight w:val="330"/>
        </w:trPr>
        <w:tc>
          <w:tcPr>
            <w:tcW w:w="2694" w:type="dxa"/>
            <w:tcBorders>
              <w:top w:val="nil"/>
              <w:left w:val="double" w:sz="6" w:space="0" w:color="auto"/>
              <w:bottom w:val="single" w:sz="4" w:space="0" w:color="auto"/>
              <w:right w:val="single" w:sz="4" w:space="0" w:color="auto"/>
            </w:tcBorders>
            <w:shd w:val="clear" w:color="auto" w:fill="auto"/>
            <w:vAlign w:val="bottom"/>
            <w:hideMark/>
          </w:tcPr>
          <w:p w:rsidR="007765CC" w:rsidRPr="00B86E95" w:rsidRDefault="007765CC" w:rsidP="009F2105">
            <w:pPr>
              <w:rPr>
                <w:color w:val="000000"/>
                <w:sz w:val="20"/>
                <w:szCs w:val="20"/>
              </w:rPr>
            </w:pPr>
            <w:r w:rsidRPr="00B86E95">
              <w:rPr>
                <w:color w:val="000000"/>
                <w:sz w:val="20"/>
                <w:szCs w:val="20"/>
              </w:rPr>
              <w:t>погашение долга</w:t>
            </w:r>
          </w:p>
        </w:tc>
        <w:tc>
          <w:tcPr>
            <w:tcW w:w="1134"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6069,4</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7138,</w:t>
            </w:r>
            <w:r>
              <w:rPr>
                <w:color w:val="000000"/>
                <w:sz w:val="20"/>
                <w:szCs w:val="20"/>
              </w:rPr>
              <w:t>8</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9 277,7</w:t>
            </w:r>
          </w:p>
        </w:tc>
        <w:tc>
          <w:tcPr>
            <w:tcW w:w="1275"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9 277,7</w:t>
            </w:r>
          </w:p>
        </w:tc>
        <w:tc>
          <w:tcPr>
            <w:tcW w:w="1275" w:type="dxa"/>
            <w:tcBorders>
              <w:top w:val="nil"/>
              <w:left w:val="nil"/>
              <w:bottom w:val="single" w:sz="4"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r w:rsidR="007765CC" w:rsidRPr="00B86E95" w:rsidTr="0065523C">
        <w:trPr>
          <w:trHeight w:val="555"/>
        </w:trPr>
        <w:tc>
          <w:tcPr>
            <w:tcW w:w="2694" w:type="dxa"/>
            <w:tcBorders>
              <w:top w:val="nil"/>
              <w:left w:val="double" w:sz="6" w:space="0" w:color="auto"/>
              <w:bottom w:val="double" w:sz="6" w:space="0" w:color="auto"/>
              <w:right w:val="single" w:sz="4" w:space="0" w:color="auto"/>
            </w:tcBorders>
            <w:shd w:val="clear" w:color="auto" w:fill="auto"/>
            <w:vAlign w:val="bottom"/>
            <w:hideMark/>
          </w:tcPr>
          <w:p w:rsidR="007765CC" w:rsidRPr="00B86E95" w:rsidRDefault="007765CC" w:rsidP="009F2105">
            <w:pPr>
              <w:rPr>
                <w:i/>
                <w:iCs/>
                <w:color w:val="000000"/>
                <w:sz w:val="20"/>
                <w:szCs w:val="20"/>
              </w:rPr>
            </w:pPr>
            <w:r w:rsidRPr="00B86E95">
              <w:rPr>
                <w:i/>
                <w:iCs/>
                <w:color w:val="000000"/>
                <w:sz w:val="20"/>
                <w:szCs w:val="20"/>
              </w:rPr>
              <w:t>в т.ч. на пополнение остатков средств на счете бюджета</w:t>
            </w:r>
          </w:p>
        </w:tc>
        <w:tc>
          <w:tcPr>
            <w:tcW w:w="1134"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5000,0</w:t>
            </w:r>
          </w:p>
        </w:tc>
        <w:tc>
          <w:tcPr>
            <w:tcW w:w="1275"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c>
          <w:tcPr>
            <w:tcW w:w="993" w:type="dxa"/>
            <w:tcBorders>
              <w:top w:val="nil"/>
              <w:left w:val="nil"/>
              <w:bottom w:val="double" w:sz="6" w:space="0" w:color="auto"/>
              <w:right w:val="single" w:sz="4"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5 000,0</w:t>
            </w:r>
          </w:p>
        </w:tc>
        <w:tc>
          <w:tcPr>
            <w:tcW w:w="1275" w:type="dxa"/>
            <w:tcBorders>
              <w:top w:val="nil"/>
              <w:left w:val="nil"/>
              <w:bottom w:val="double" w:sz="6" w:space="0" w:color="auto"/>
              <w:right w:val="double" w:sz="6" w:space="0" w:color="auto"/>
            </w:tcBorders>
            <w:shd w:val="clear" w:color="auto" w:fill="auto"/>
            <w:noWrap/>
            <w:vAlign w:val="bottom"/>
            <w:hideMark/>
          </w:tcPr>
          <w:p w:rsidR="007765CC" w:rsidRPr="00B86E95" w:rsidRDefault="007765CC" w:rsidP="009F2105">
            <w:pPr>
              <w:jc w:val="right"/>
              <w:rPr>
                <w:color w:val="000000"/>
                <w:sz w:val="20"/>
                <w:szCs w:val="20"/>
              </w:rPr>
            </w:pPr>
            <w:r w:rsidRPr="00B86E95">
              <w:rPr>
                <w:color w:val="000000"/>
                <w:sz w:val="20"/>
                <w:szCs w:val="20"/>
              </w:rPr>
              <w:t> </w:t>
            </w:r>
          </w:p>
        </w:tc>
      </w:tr>
    </w:tbl>
    <w:p w:rsidR="007765CC" w:rsidRDefault="007765CC" w:rsidP="007765CC">
      <w:pPr>
        <w:ind w:firstLine="680"/>
        <w:jc w:val="both"/>
      </w:pPr>
    </w:p>
    <w:p w:rsidR="007765CC" w:rsidRPr="00A57982" w:rsidRDefault="007765CC" w:rsidP="007765CC">
      <w:pPr>
        <w:ind w:firstLine="680"/>
        <w:jc w:val="both"/>
      </w:pPr>
      <w:r>
        <w:t>Как видно из таблицы, Законопроектом</w:t>
      </w:r>
      <w:r w:rsidRPr="00A57982">
        <w:t xml:space="preserve"> предусмотрено получение </w:t>
      </w:r>
      <w:r>
        <w:t>в 2020</w:t>
      </w:r>
      <w:r w:rsidRPr="00A57982">
        <w:t>-202</w:t>
      </w:r>
      <w:r>
        <w:t>2</w:t>
      </w:r>
      <w:r w:rsidRPr="00A57982">
        <w:t xml:space="preserve"> годах бюджетных кредитов </w:t>
      </w:r>
      <w:r>
        <w:t>только</w:t>
      </w:r>
      <w:r w:rsidRPr="00A57982">
        <w:t xml:space="preserve"> на пополнение остатков средств на счетах бюджетов по 5 000,0 млн. руб. ежегодно (для финансирования кассовых разрывов). </w:t>
      </w:r>
    </w:p>
    <w:p w:rsidR="007765CC" w:rsidRDefault="007765CC" w:rsidP="007765CC">
      <w:pPr>
        <w:ind w:firstLine="680"/>
        <w:jc w:val="both"/>
        <w:rPr>
          <w:b/>
        </w:rPr>
      </w:pPr>
      <w:r w:rsidRPr="00A57982">
        <w:t>Основным видом привлечения заимствований в 20</w:t>
      </w:r>
      <w:r>
        <w:t>20</w:t>
      </w:r>
      <w:r w:rsidRPr="00A57982">
        <w:t>-202</w:t>
      </w:r>
      <w:r>
        <w:t>2</w:t>
      </w:r>
      <w:r w:rsidRPr="00A57982">
        <w:t xml:space="preserve"> годах планируется получение кредитов коммерческих банков.</w:t>
      </w:r>
      <w:r>
        <w:t xml:space="preserve"> На </w:t>
      </w:r>
      <w:r w:rsidRPr="00D92E7A">
        <w:t>2020 год запланировано существенное увеличение привлеченных кредитных сре</w:t>
      </w:r>
      <w:proofErr w:type="gramStart"/>
      <w:r w:rsidRPr="00D92E7A">
        <w:t>дств в ср</w:t>
      </w:r>
      <w:proofErr w:type="gramEnd"/>
      <w:r w:rsidRPr="00D92E7A">
        <w:t>авнении с текущим годом на 11 100,0 млн. руб., или в 2,2 раза</w:t>
      </w:r>
      <w:r w:rsidRPr="00D92E7A">
        <w:rPr>
          <w:b/>
        </w:rPr>
        <w:t xml:space="preserve">. </w:t>
      </w:r>
    </w:p>
    <w:p w:rsidR="007765CC" w:rsidRDefault="007765CC" w:rsidP="007765CC">
      <w:pPr>
        <w:ind w:firstLine="680"/>
        <w:jc w:val="both"/>
      </w:pPr>
      <w:r w:rsidRPr="00B86E95">
        <w:t>Сложившаяся в последнее время практика заимствований показала, что привлечение банковских кредитов более выгодно, чем выпуск ценных бумаг. Так, по размещенным в июне 2017 года облигациям купонная ставка дохода (процент) составила 9,4% с постепенным снижением в течение 7 лет до 7,9 процента. По состоянию на 08.09.2019 процентная ставка по указанному выпуску облигаций составляла  8,9 процента. В 201</w:t>
      </w:r>
      <w:r>
        <w:t>8-2019 годах</w:t>
      </w:r>
      <w:r w:rsidRPr="00B86E95">
        <w:t xml:space="preserve"> облигации Волгоградской области не выпускались. По планируемым к привлечению в 2020-2022 годах коммерческим кредитам (согласно расчетам</w:t>
      </w:r>
      <w:r w:rsidRPr="00A57982">
        <w:t xml:space="preserve"> </w:t>
      </w:r>
      <w:r>
        <w:t xml:space="preserve">расходов </w:t>
      </w:r>
      <w:r w:rsidRPr="00A57982">
        <w:t xml:space="preserve">на обслуживание государственного долга к </w:t>
      </w:r>
      <w:r>
        <w:t>Законопроекту</w:t>
      </w:r>
      <w:r w:rsidRPr="00A57982">
        <w:t>) средняя процентная ставка составляет 8,</w:t>
      </w:r>
      <w:r>
        <w:t>0</w:t>
      </w:r>
      <w:r w:rsidRPr="00A57982">
        <w:t xml:space="preserve"> процент</w:t>
      </w:r>
      <w:r>
        <w:t>ов</w:t>
      </w:r>
      <w:r w:rsidRPr="00A57982">
        <w:t xml:space="preserve">. Таким образом, процентные ставки по находящимся в обращении ценным бумагам Волгоградской области на настоящий момент выше, чем проценты по коммерческим кредитам. </w:t>
      </w:r>
    </w:p>
    <w:p w:rsidR="007765CC" w:rsidRDefault="007765CC" w:rsidP="007765CC">
      <w:pPr>
        <w:ind w:firstLine="680"/>
        <w:jc w:val="both"/>
      </w:pPr>
    </w:p>
    <w:p w:rsidR="00D54A17" w:rsidRDefault="00D54A17" w:rsidP="007765CC">
      <w:pPr>
        <w:autoSpaceDE w:val="0"/>
        <w:autoSpaceDN w:val="0"/>
        <w:adjustRightInd w:val="0"/>
        <w:ind w:firstLine="540"/>
        <w:jc w:val="center"/>
        <w:rPr>
          <w:b/>
          <w:bCs/>
          <w:i/>
          <w:iCs/>
        </w:rPr>
      </w:pPr>
    </w:p>
    <w:p w:rsidR="00D54A17" w:rsidRDefault="00D54A17" w:rsidP="007765CC">
      <w:pPr>
        <w:autoSpaceDE w:val="0"/>
        <w:autoSpaceDN w:val="0"/>
        <w:adjustRightInd w:val="0"/>
        <w:ind w:firstLine="540"/>
        <w:jc w:val="center"/>
        <w:rPr>
          <w:b/>
          <w:bCs/>
          <w:i/>
          <w:iCs/>
        </w:rPr>
      </w:pPr>
    </w:p>
    <w:p w:rsidR="00D54A17" w:rsidRDefault="00D54A17" w:rsidP="007765CC">
      <w:pPr>
        <w:autoSpaceDE w:val="0"/>
        <w:autoSpaceDN w:val="0"/>
        <w:adjustRightInd w:val="0"/>
        <w:ind w:firstLine="540"/>
        <w:jc w:val="center"/>
        <w:rPr>
          <w:b/>
          <w:bCs/>
          <w:i/>
          <w:iCs/>
        </w:rPr>
      </w:pPr>
    </w:p>
    <w:p w:rsidR="007765CC" w:rsidRDefault="007765CC" w:rsidP="007765CC">
      <w:pPr>
        <w:autoSpaceDE w:val="0"/>
        <w:autoSpaceDN w:val="0"/>
        <w:adjustRightInd w:val="0"/>
        <w:ind w:firstLine="540"/>
        <w:jc w:val="center"/>
        <w:rPr>
          <w:b/>
          <w:bCs/>
          <w:i/>
          <w:iCs/>
        </w:rPr>
      </w:pPr>
      <w:r>
        <w:rPr>
          <w:b/>
          <w:bCs/>
          <w:i/>
          <w:iCs/>
        </w:rPr>
        <w:lastRenderedPageBreak/>
        <w:t>В</w:t>
      </w:r>
      <w:r w:rsidRPr="00B94529">
        <w:rPr>
          <w:b/>
          <w:bCs/>
          <w:i/>
          <w:iCs/>
        </w:rPr>
        <w:t>ерхний предел государственного внутреннего долга Волгоградской области на 1 января года, следующего за очередным финансовым годом и каждым годом планового периода</w:t>
      </w:r>
    </w:p>
    <w:p w:rsidR="00857740" w:rsidRPr="00B94529" w:rsidRDefault="00857740" w:rsidP="007765CC">
      <w:pPr>
        <w:autoSpaceDE w:val="0"/>
        <w:autoSpaceDN w:val="0"/>
        <w:adjustRightInd w:val="0"/>
        <w:ind w:firstLine="540"/>
        <w:jc w:val="center"/>
        <w:rPr>
          <w:b/>
          <w:bCs/>
          <w:i/>
          <w:iCs/>
        </w:rPr>
      </w:pPr>
    </w:p>
    <w:p w:rsidR="007765CC" w:rsidRPr="00F85908" w:rsidRDefault="007765CC" w:rsidP="007765CC">
      <w:pPr>
        <w:ind w:firstLine="680"/>
        <w:jc w:val="both"/>
      </w:pPr>
      <w:r w:rsidRPr="0028310F">
        <w:t xml:space="preserve">Согласно Основным направлениям бюджетной </w:t>
      </w:r>
      <w:r>
        <w:t xml:space="preserve">и налоговой политики </w:t>
      </w:r>
      <w:r w:rsidRPr="0028310F">
        <w:t>Волгоградской области на 20</w:t>
      </w:r>
      <w:r>
        <w:t>20</w:t>
      </w:r>
      <w:r w:rsidRPr="0028310F">
        <w:t xml:space="preserve"> год и на плановый период 202</w:t>
      </w:r>
      <w:r>
        <w:t>1</w:t>
      </w:r>
      <w:r w:rsidRPr="0028310F">
        <w:t xml:space="preserve"> и 202</w:t>
      </w:r>
      <w:r>
        <w:t>2</w:t>
      </w:r>
      <w:r w:rsidRPr="0028310F">
        <w:t xml:space="preserve"> </w:t>
      </w:r>
      <w:r w:rsidRPr="00F85908">
        <w:t xml:space="preserve">годов долговая политика </w:t>
      </w:r>
      <w:r>
        <w:t>Волгоградской области</w:t>
      </w:r>
      <w:r w:rsidRPr="00F85908">
        <w:t xml:space="preserve"> в 2020 - 2022 годах будет основываться на принципах безусловного исполнения взятых на себя регионом обязательств по погашению и обслуживанию заемных средств в полном объеме и в установленные сроки. </w:t>
      </w:r>
    </w:p>
    <w:p w:rsidR="007765CC" w:rsidRPr="006C7CFE" w:rsidRDefault="007765CC" w:rsidP="007765CC">
      <w:pPr>
        <w:ind w:firstLine="680"/>
        <w:jc w:val="both"/>
        <w:rPr>
          <w:rFonts w:eastAsia="Calibri"/>
        </w:rPr>
      </w:pPr>
      <w:r w:rsidRPr="006C7CFE">
        <w:rPr>
          <w:rFonts w:eastAsia="Calibri"/>
        </w:rPr>
        <w:t>Для достижения поставленной цели в среднесрочном периоде предусмотрено:</w:t>
      </w:r>
    </w:p>
    <w:p w:rsidR="007765CC" w:rsidRPr="006C7CFE" w:rsidRDefault="007765CC" w:rsidP="007765CC">
      <w:pPr>
        <w:pStyle w:val="ConsPlusNormal"/>
        <w:ind w:firstLine="680"/>
        <w:jc w:val="both"/>
        <w:rPr>
          <w:rFonts w:ascii="Times New Roman" w:hAnsi="Times New Roman" w:cs="Times New Roman"/>
          <w:sz w:val="24"/>
          <w:szCs w:val="24"/>
        </w:rPr>
      </w:pPr>
      <w:r w:rsidRPr="006C7CFE">
        <w:rPr>
          <w:rFonts w:ascii="Times New Roman" w:hAnsi="Times New Roman" w:cs="Times New Roman"/>
          <w:sz w:val="24"/>
          <w:szCs w:val="24"/>
        </w:rPr>
        <w:t>- обеспечить приемлемый и экономически обоснованный объем и структуру государственного долга Волгоградской области;</w:t>
      </w:r>
    </w:p>
    <w:p w:rsidR="007765CC" w:rsidRPr="006C7CFE" w:rsidRDefault="007765CC" w:rsidP="007765CC">
      <w:pPr>
        <w:pStyle w:val="ConsPlusNormal"/>
        <w:ind w:firstLine="680"/>
        <w:jc w:val="both"/>
        <w:rPr>
          <w:rFonts w:ascii="Times New Roman" w:hAnsi="Times New Roman" w:cs="Times New Roman"/>
          <w:sz w:val="24"/>
          <w:szCs w:val="24"/>
        </w:rPr>
      </w:pPr>
      <w:r w:rsidRPr="006C7CFE">
        <w:rPr>
          <w:rFonts w:ascii="Times New Roman" w:hAnsi="Times New Roman" w:cs="Times New Roman"/>
          <w:sz w:val="24"/>
          <w:szCs w:val="24"/>
        </w:rPr>
        <w:t>- привлекать государственные заимствования в объемах, дополняющих доходы областного бюджета до размеров, необходимых и достаточных для обеспечения исполнения принятых обязательств Волгоградской областью;</w:t>
      </w:r>
    </w:p>
    <w:p w:rsidR="007765CC" w:rsidRPr="006C7CFE" w:rsidRDefault="007765CC" w:rsidP="007765CC">
      <w:pPr>
        <w:pStyle w:val="ConsPlusNormal"/>
        <w:ind w:firstLine="680"/>
        <w:jc w:val="both"/>
        <w:rPr>
          <w:rFonts w:ascii="Times New Roman" w:hAnsi="Times New Roman" w:cs="Times New Roman"/>
          <w:sz w:val="24"/>
          <w:szCs w:val="24"/>
        </w:rPr>
      </w:pPr>
      <w:r w:rsidRPr="006C7CFE">
        <w:rPr>
          <w:rFonts w:ascii="Times New Roman" w:hAnsi="Times New Roman" w:cs="Times New Roman"/>
          <w:sz w:val="24"/>
          <w:szCs w:val="24"/>
        </w:rPr>
        <w:t>- соблюдать условия соглашений, заключенных с Министерством финансов РФ о реструктуризации обязательств (задолженности) Волгоградской области перед РФ по бюджетным кредитам;</w:t>
      </w:r>
    </w:p>
    <w:p w:rsidR="007765CC" w:rsidRPr="006C7CFE" w:rsidRDefault="007765CC" w:rsidP="007765CC">
      <w:pPr>
        <w:pStyle w:val="ConsPlusNormal"/>
        <w:ind w:firstLine="680"/>
        <w:jc w:val="both"/>
        <w:rPr>
          <w:rFonts w:ascii="Times New Roman" w:hAnsi="Times New Roman" w:cs="Times New Roman"/>
          <w:sz w:val="24"/>
          <w:szCs w:val="24"/>
        </w:rPr>
      </w:pPr>
      <w:r w:rsidRPr="006C7CFE">
        <w:rPr>
          <w:rFonts w:ascii="Times New Roman" w:hAnsi="Times New Roman" w:cs="Times New Roman"/>
          <w:sz w:val="24"/>
          <w:szCs w:val="24"/>
        </w:rPr>
        <w:t>- сохранять мораторий на предоставление государственных гарантий Волгоградской области;</w:t>
      </w:r>
    </w:p>
    <w:p w:rsidR="007765CC" w:rsidRPr="006C7CFE" w:rsidRDefault="007765CC" w:rsidP="007765CC">
      <w:pPr>
        <w:ind w:firstLine="680"/>
        <w:jc w:val="both"/>
      </w:pPr>
      <w:r w:rsidRPr="006C7CFE">
        <w:t>- не допускать наличия просроченной задолженности по долговым обязательствам Волгоградской области.</w:t>
      </w:r>
    </w:p>
    <w:p w:rsidR="007765CC" w:rsidRDefault="007765CC" w:rsidP="007765CC">
      <w:pPr>
        <w:ind w:firstLine="680"/>
        <w:jc w:val="both"/>
      </w:pPr>
      <w:r w:rsidRPr="0028310F">
        <w:t>Исходя из сложившегося государственного внутреннего долга на 01.01.201</w:t>
      </w:r>
      <w:r>
        <w:t>9</w:t>
      </w:r>
      <w:r w:rsidRPr="0028310F">
        <w:t xml:space="preserve">, прогноза государственного долга </w:t>
      </w:r>
      <w:proofErr w:type="gramStart"/>
      <w:r w:rsidRPr="0028310F">
        <w:t>на конец</w:t>
      </w:r>
      <w:proofErr w:type="gramEnd"/>
      <w:r w:rsidRPr="0028310F">
        <w:t xml:space="preserve"> 201</w:t>
      </w:r>
      <w:r>
        <w:t>9</w:t>
      </w:r>
      <w:r w:rsidRPr="0028310F">
        <w:t xml:space="preserve"> года и программ заимствований на 20</w:t>
      </w:r>
      <w:r>
        <w:t>20</w:t>
      </w:r>
      <w:r w:rsidRPr="0028310F">
        <w:t xml:space="preserve"> - 202</w:t>
      </w:r>
      <w:r>
        <w:t>2</w:t>
      </w:r>
      <w:r w:rsidRPr="0028310F">
        <w:t xml:space="preserve"> годы произведен расчет государственного долга Волгоградской области до конца 202</w:t>
      </w:r>
      <w:r>
        <w:t>2</w:t>
      </w:r>
      <w:r w:rsidRPr="0028310F">
        <w:t xml:space="preserve"> года. Динамика рассчитанного государственного внутреннего долга по видам долговых обязательств и структура долга по видам заимствований представлена в следующей таблице. </w:t>
      </w:r>
    </w:p>
    <w:p w:rsidR="007765CC" w:rsidRDefault="007765CC" w:rsidP="007765CC">
      <w:pPr>
        <w:ind w:firstLine="680"/>
        <w:jc w:val="right"/>
        <w:rPr>
          <w:i/>
          <w:sz w:val="22"/>
          <w:szCs w:val="22"/>
        </w:rPr>
      </w:pPr>
      <w:r w:rsidRPr="00465BA0">
        <w:rPr>
          <w:i/>
          <w:sz w:val="22"/>
          <w:szCs w:val="22"/>
        </w:rPr>
        <w:t>млн. руб.</w:t>
      </w:r>
    </w:p>
    <w:tbl>
      <w:tblPr>
        <w:tblW w:w="11378" w:type="dxa"/>
        <w:tblInd w:w="-1310" w:type="dxa"/>
        <w:tblLayout w:type="fixed"/>
        <w:tblLook w:val="04A0"/>
      </w:tblPr>
      <w:tblGrid>
        <w:gridCol w:w="2323"/>
        <w:gridCol w:w="976"/>
        <w:gridCol w:w="850"/>
        <w:gridCol w:w="992"/>
        <w:gridCol w:w="826"/>
        <w:gridCol w:w="1017"/>
        <w:gridCol w:w="758"/>
        <w:gridCol w:w="943"/>
        <w:gridCol w:w="851"/>
        <w:gridCol w:w="992"/>
        <w:gridCol w:w="850"/>
      </w:tblGrid>
      <w:tr w:rsidR="007765CC" w:rsidRPr="00F7318D" w:rsidTr="0065523C">
        <w:trPr>
          <w:trHeight w:val="315"/>
        </w:trPr>
        <w:tc>
          <w:tcPr>
            <w:tcW w:w="2323" w:type="dxa"/>
            <w:vMerge w:val="restart"/>
            <w:tcBorders>
              <w:top w:val="double" w:sz="6" w:space="0" w:color="auto"/>
              <w:left w:val="double" w:sz="6" w:space="0" w:color="auto"/>
              <w:bottom w:val="double" w:sz="6" w:space="0" w:color="000000"/>
              <w:right w:val="single" w:sz="4" w:space="0" w:color="auto"/>
            </w:tcBorders>
            <w:shd w:val="clear" w:color="000000" w:fill="EAF1DD"/>
            <w:vAlign w:val="center"/>
            <w:hideMark/>
          </w:tcPr>
          <w:p w:rsidR="007765CC" w:rsidRPr="00F7318D" w:rsidRDefault="007765CC" w:rsidP="009F2105">
            <w:pPr>
              <w:jc w:val="center"/>
              <w:rPr>
                <w:b/>
                <w:bCs/>
                <w:color w:val="000000"/>
                <w:sz w:val="20"/>
                <w:szCs w:val="20"/>
              </w:rPr>
            </w:pPr>
            <w:r w:rsidRPr="00F7318D">
              <w:rPr>
                <w:b/>
                <w:bCs/>
                <w:color w:val="000000"/>
                <w:sz w:val="20"/>
                <w:szCs w:val="20"/>
              </w:rPr>
              <w:t>Вид обязательств</w:t>
            </w:r>
          </w:p>
        </w:tc>
        <w:tc>
          <w:tcPr>
            <w:tcW w:w="1826" w:type="dxa"/>
            <w:gridSpan w:val="2"/>
            <w:tcBorders>
              <w:top w:val="double" w:sz="6" w:space="0" w:color="auto"/>
              <w:left w:val="nil"/>
              <w:bottom w:val="nil"/>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01.01.2019</w:t>
            </w:r>
          </w:p>
        </w:tc>
        <w:tc>
          <w:tcPr>
            <w:tcW w:w="1818" w:type="dxa"/>
            <w:gridSpan w:val="2"/>
            <w:tcBorders>
              <w:top w:val="double" w:sz="6" w:space="0" w:color="auto"/>
              <w:left w:val="nil"/>
              <w:bottom w:val="nil"/>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01.01.2020</w:t>
            </w:r>
          </w:p>
        </w:tc>
        <w:tc>
          <w:tcPr>
            <w:tcW w:w="1775" w:type="dxa"/>
            <w:gridSpan w:val="2"/>
            <w:tcBorders>
              <w:top w:val="double" w:sz="6" w:space="0" w:color="auto"/>
              <w:left w:val="nil"/>
              <w:bottom w:val="nil"/>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01.01.2021</w:t>
            </w:r>
          </w:p>
        </w:tc>
        <w:tc>
          <w:tcPr>
            <w:tcW w:w="1794" w:type="dxa"/>
            <w:gridSpan w:val="2"/>
            <w:tcBorders>
              <w:top w:val="double" w:sz="6" w:space="0" w:color="auto"/>
              <w:left w:val="nil"/>
              <w:bottom w:val="nil"/>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01.01.2022</w:t>
            </w:r>
          </w:p>
        </w:tc>
        <w:tc>
          <w:tcPr>
            <w:tcW w:w="1842" w:type="dxa"/>
            <w:gridSpan w:val="2"/>
            <w:tcBorders>
              <w:top w:val="double" w:sz="6" w:space="0" w:color="auto"/>
              <w:left w:val="nil"/>
              <w:bottom w:val="nil"/>
              <w:right w:val="double" w:sz="6" w:space="0" w:color="000000"/>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01.01.2023</w:t>
            </w:r>
          </w:p>
        </w:tc>
      </w:tr>
      <w:tr w:rsidR="007765CC" w:rsidRPr="00F7318D" w:rsidTr="0065523C">
        <w:trPr>
          <w:trHeight w:val="315"/>
        </w:trPr>
        <w:tc>
          <w:tcPr>
            <w:tcW w:w="2323" w:type="dxa"/>
            <w:vMerge/>
            <w:tcBorders>
              <w:top w:val="double" w:sz="6" w:space="0" w:color="auto"/>
              <w:left w:val="double" w:sz="6" w:space="0" w:color="auto"/>
              <w:bottom w:val="double" w:sz="6" w:space="0" w:color="000000"/>
              <w:right w:val="single" w:sz="4" w:space="0" w:color="auto"/>
            </w:tcBorders>
            <w:vAlign w:val="center"/>
            <w:hideMark/>
          </w:tcPr>
          <w:p w:rsidR="007765CC" w:rsidRPr="00F7318D" w:rsidRDefault="007765CC" w:rsidP="009F2105">
            <w:pPr>
              <w:rPr>
                <w:b/>
                <w:bCs/>
                <w:color w:val="000000"/>
                <w:sz w:val="20"/>
                <w:szCs w:val="20"/>
              </w:rPr>
            </w:pPr>
          </w:p>
        </w:tc>
        <w:tc>
          <w:tcPr>
            <w:tcW w:w="976"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 xml:space="preserve">сумма       </w:t>
            </w:r>
          </w:p>
        </w:tc>
        <w:tc>
          <w:tcPr>
            <w:tcW w:w="850"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доля, %</w:t>
            </w:r>
          </w:p>
        </w:tc>
        <w:tc>
          <w:tcPr>
            <w:tcW w:w="992"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 xml:space="preserve">сумма       </w:t>
            </w:r>
          </w:p>
        </w:tc>
        <w:tc>
          <w:tcPr>
            <w:tcW w:w="826"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доля, %</w:t>
            </w:r>
          </w:p>
        </w:tc>
        <w:tc>
          <w:tcPr>
            <w:tcW w:w="1017"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 xml:space="preserve">сумма       </w:t>
            </w:r>
          </w:p>
        </w:tc>
        <w:tc>
          <w:tcPr>
            <w:tcW w:w="758"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доля, %</w:t>
            </w:r>
          </w:p>
        </w:tc>
        <w:tc>
          <w:tcPr>
            <w:tcW w:w="943"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 xml:space="preserve">сумма       </w:t>
            </w:r>
          </w:p>
        </w:tc>
        <w:tc>
          <w:tcPr>
            <w:tcW w:w="851"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доля, %</w:t>
            </w:r>
          </w:p>
        </w:tc>
        <w:tc>
          <w:tcPr>
            <w:tcW w:w="992" w:type="dxa"/>
            <w:tcBorders>
              <w:top w:val="single" w:sz="4" w:space="0" w:color="auto"/>
              <w:left w:val="nil"/>
              <w:bottom w:val="double" w:sz="6" w:space="0" w:color="auto"/>
              <w:right w:val="single" w:sz="4"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 xml:space="preserve">сумма       </w:t>
            </w:r>
          </w:p>
        </w:tc>
        <w:tc>
          <w:tcPr>
            <w:tcW w:w="850" w:type="dxa"/>
            <w:tcBorders>
              <w:top w:val="single" w:sz="4" w:space="0" w:color="auto"/>
              <w:left w:val="nil"/>
              <w:bottom w:val="double" w:sz="6" w:space="0" w:color="auto"/>
              <w:right w:val="double" w:sz="6" w:space="0" w:color="auto"/>
            </w:tcBorders>
            <w:shd w:val="clear" w:color="000000" w:fill="EAF1DD"/>
            <w:vAlign w:val="bottom"/>
            <w:hideMark/>
          </w:tcPr>
          <w:p w:rsidR="007765CC" w:rsidRPr="00F7318D" w:rsidRDefault="007765CC" w:rsidP="009F2105">
            <w:pPr>
              <w:jc w:val="center"/>
              <w:rPr>
                <w:b/>
                <w:bCs/>
                <w:color w:val="000000"/>
                <w:sz w:val="18"/>
                <w:szCs w:val="18"/>
              </w:rPr>
            </w:pPr>
            <w:r w:rsidRPr="00F7318D">
              <w:rPr>
                <w:b/>
                <w:bCs/>
                <w:color w:val="000000"/>
                <w:sz w:val="18"/>
                <w:szCs w:val="18"/>
              </w:rPr>
              <w:t>доля, %</w:t>
            </w:r>
          </w:p>
        </w:tc>
      </w:tr>
      <w:tr w:rsidR="007765CC" w:rsidRPr="00F7318D" w:rsidTr="0065523C">
        <w:trPr>
          <w:trHeight w:hRule="exact" w:val="561"/>
        </w:trPr>
        <w:tc>
          <w:tcPr>
            <w:tcW w:w="2323" w:type="dxa"/>
            <w:tcBorders>
              <w:top w:val="nil"/>
              <w:left w:val="double" w:sz="6" w:space="0" w:color="auto"/>
              <w:bottom w:val="nil"/>
              <w:right w:val="single" w:sz="4" w:space="0" w:color="auto"/>
            </w:tcBorders>
            <w:shd w:val="clear" w:color="auto" w:fill="auto"/>
            <w:vAlign w:val="bottom"/>
            <w:hideMark/>
          </w:tcPr>
          <w:p w:rsidR="007765CC" w:rsidRDefault="007765CC" w:rsidP="009F2105">
            <w:pPr>
              <w:rPr>
                <w:color w:val="000000"/>
                <w:sz w:val="20"/>
                <w:szCs w:val="20"/>
              </w:rPr>
            </w:pPr>
            <w:r w:rsidRPr="00F7318D">
              <w:rPr>
                <w:color w:val="000000"/>
                <w:sz w:val="20"/>
                <w:szCs w:val="20"/>
              </w:rPr>
              <w:t xml:space="preserve">Государственные ценные бумаги </w:t>
            </w:r>
          </w:p>
          <w:p w:rsidR="007765CC" w:rsidRPr="00F7318D" w:rsidRDefault="007765CC" w:rsidP="009F2105">
            <w:pPr>
              <w:rPr>
                <w:color w:val="000000"/>
                <w:sz w:val="20"/>
                <w:szCs w:val="20"/>
              </w:rPr>
            </w:pPr>
          </w:p>
        </w:tc>
        <w:tc>
          <w:tcPr>
            <w:tcW w:w="976"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13 250,0</w:t>
            </w:r>
          </w:p>
        </w:tc>
        <w:tc>
          <w:tcPr>
            <w:tcW w:w="850"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25,9%</w:t>
            </w:r>
          </w:p>
        </w:tc>
        <w:tc>
          <w:tcPr>
            <w:tcW w:w="992"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11 250,0</w:t>
            </w:r>
          </w:p>
        </w:tc>
        <w:tc>
          <w:tcPr>
            <w:tcW w:w="826"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22,0%</w:t>
            </w:r>
          </w:p>
        </w:tc>
        <w:tc>
          <w:tcPr>
            <w:tcW w:w="1017"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10 000,0</w:t>
            </w:r>
          </w:p>
        </w:tc>
        <w:tc>
          <w:tcPr>
            <w:tcW w:w="758"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19,7%</w:t>
            </w:r>
          </w:p>
        </w:tc>
        <w:tc>
          <w:tcPr>
            <w:tcW w:w="943"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9 000,0</w:t>
            </w:r>
          </w:p>
        </w:tc>
        <w:tc>
          <w:tcPr>
            <w:tcW w:w="851"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17,8%</w:t>
            </w:r>
          </w:p>
        </w:tc>
        <w:tc>
          <w:tcPr>
            <w:tcW w:w="992" w:type="dxa"/>
            <w:tcBorders>
              <w:top w:val="nil"/>
              <w:left w:val="nil"/>
              <w:bottom w:val="nil"/>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6 500,0</w:t>
            </w:r>
          </w:p>
        </w:tc>
        <w:tc>
          <w:tcPr>
            <w:tcW w:w="850" w:type="dxa"/>
            <w:tcBorders>
              <w:top w:val="nil"/>
              <w:left w:val="nil"/>
              <w:bottom w:val="nil"/>
              <w:right w:val="double" w:sz="6"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13,0%</w:t>
            </w:r>
          </w:p>
        </w:tc>
      </w:tr>
      <w:tr w:rsidR="007765CC" w:rsidRPr="00F7318D" w:rsidTr="0065523C">
        <w:trPr>
          <w:trHeight w:val="525"/>
        </w:trPr>
        <w:tc>
          <w:tcPr>
            <w:tcW w:w="2323"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7765CC" w:rsidRPr="00F7318D" w:rsidRDefault="007765CC" w:rsidP="009F2105">
            <w:pPr>
              <w:rPr>
                <w:color w:val="000000"/>
                <w:sz w:val="20"/>
                <w:szCs w:val="20"/>
              </w:rPr>
            </w:pPr>
            <w:r w:rsidRPr="00F7318D">
              <w:rPr>
                <w:color w:val="000000"/>
                <w:sz w:val="20"/>
                <w:szCs w:val="20"/>
              </w:rPr>
              <w:t>Кредиты коммерческих банков</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15 500,0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30,3%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18 500,0</w:t>
            </w:r>
          </w:p>
        </w:tc>
        <w:tc>
          <w:tcPr>
            <w:tcW w:w="826"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36,3%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21 600,0</w:t>
            </w:r>
          </w:p>
        </w:tc>
        <w:tc>
          <w:tcPr>
            <w:tcW w:w="758"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42,6%</w:t>
            </w:r>
          </w:p>
        </w:tc>
        <w:tc>
          <w:tcPr>
            <w:tcW w:w="943"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26 600,0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52,7%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32 800,0</w:t>
            </w:r>
          </w:p>
        </w:tc>
        <w:tc>
          <w:tcPr>
            <w:tcW w:w="850" w:type="dxa"/>
            <w:tcBorders>
              <w:top w:val="single" w:sz="4" w:space="0" w:color="auto"/>
              <w:left w:val="nil"/>
              <w:bottom w:val="single" w:sz="4" w:space="0" w:color="auto"/>
              <w:right w:val="double" w:sz="6"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65,8%</w:t>
            </w:r>
          </w:p>
        </w:tc>
      </w:tr>
      <w:tr w:rsidR="007765CC" w:rsidRPr="00F7318D" w:rsidTr="0065523C">
        <w:trPr>
          <w:trHeight w:val="525"/>
        </w:trPr>
        <w:tc>
          <w:tcPr>
            <w:tcW w:w="2323" w:type="dxa"/>
            <w:tcBorders>
              <w:top w:val="nil"/>
              <w:left w:val="double" w:sz="6" w:space="0" w:color="auto"/>
              <w:bottom w:val="single" w:sz="4" w:space="0" w:color="auto"/>
              <w:right w:val="single" w:sz="4" w:space="0" w:color="auto"/>
            </w:tcBorders>
            <w:shd w:val="clear" w:color="auto" w:fill="auto"/>
            <w:vAlign w:val="bottom"/>
            <w:hideMark/>
          </w:tcPr>
          <w:p w:rsidR="007765CC" w:rsidRPr="00F7318D" w:rsidRDefault="007765CC" w:rsidP="009F2105">
            <w:pPr>
              <w:rPr>
                <w:color w:val="000000"/>
                <w:sz w:val="20"/>
                <w:szCs w:val="20"/>
              </w:rPr>
            </w:pPr>
            <w:r w:rsidRPr="00F7318D">
              <w:rPr>
                <w:color w:val="000000"/>
                <w:sz w:val="20"/>
                <w:szCs w:val="20"/>
              </w:rPr>
              <w:t>Бюджетные кредиты из федерального бюджета</w:t>
            </w:r>
          </w:p>
        </w:tc>
        <w:tc>
          <w:tcPr>
            <w:tcW w:w="976" w:type="dxa"/>
            <w:tcBorders>
              <w:top w:val="nil"/>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22 343,2</w:t>
            </w:r>
          </w:p>
        </w:tc>
        <w:tc>
          <w:tcPr>
            <w:tcW w:w="850" w:type="dxa"/>
            <w:tcBorders>
              <w:top w:val="nil"/>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43,7%</w:t>
            </w:r>
          </w:p>
        </w:tc>
        <w:tc>
          <w:tcPr>
            <w:tcW w:w="992" w:type="dxa"/>
            <w:tcBorders>
              <w:top w:val="nil"/>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21 273,8</w:t>
            </w:r>
          </w:p>
        </w:tc>
        <w:tc>
          <w:tcPr>
            <w:tcW w:w="826" w:type="dxa"/>
            <w:tcBorders>
              <w:top w:val="nil"/>
              <w:left w:val="nil"/>
              <w:bottom w:val="single" w:sz="4" w:space="0" w:color="auto"/>
              <w:right w:val="single" w:sz="4"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41,7%</w:t>
            </w:r>
          </w:p>
        </w:tc>
        <w:tc>
          <w:tcPr>
            <w:tcW w:w="1017" w:type="dxa"/>
            <w:tcBorders>
              <w:top w:val="nil"/>
              <w:left w:val="nil"/>
              <w:bottom w:val="single" w:sz="4" w:space="0" w:color="auto"/>
              <w:right w:val="single" w:sz="4" w:space="0" w:color="auto"/>
            </w:tcBorders>
            <w:shd w:val="clear" w:color="auto" w:fill="auto"/>
            <w:vAlign w:val="bottom"/>
            <w:hideMark/>
          </w:tcPr>
          <w:p w:rsidR="007765CC" w:rsidRPr="00E175DE" w:rsidRDefault="007765CC" w:rsidP="009F2105">
            <w:pPr>
              <w:jc w:val="right"/>
              <w:rPr>
                <w:color w:val="000000"/>
                <w:sz w:val="20"/>
                <w:szCs w:val="20"/>
              </w:rPr>
            </w:pPr>
            <w:r w:rsidRPr="00E175DE">
              <w:rPr>
                <w:color w:val="000000"/>
                <w:sz w:val="20"/>
                <w:szCs w:val="20"/>
              </w:rPr>
              <w:t>19 135,0</w:t>
            </w:r>
          </w:p>
        </w:tc>
        <w:tc>
          <w:tcPr>
            <w:tcW w:w="758" w:type="dxa"/>
            <w:tcBorders>
              <w:top w:val="nil"/>
              <w:left w:val="nil"/>
              <w:bottom w:val="single" w:sz="4" w:space="0" w:color="auto"/>
              <w:right w:val="single" w:sz="4" w:space="0" w:color="auto"/>
            </w:tcBorders>
            <w:shd w:val="clear" w:color="auto" w:fill="auto"/>
            <w:vAlign w:val="bottom"/>
            <w:hideMark/>
          </w:tcPr>
          <w:p w:rsidR="007765CC" w:rsidRPr="00E175DE" w:rsidRDefault="007765CC" w:rsidP="009F2105">
            <w:pPr>
              <w:jc w:val="right"/>
              <w:rPr>
                <w:color w:val="000000"/>
                <w:sz w:val="20"/>
                <w:szCs w:val="20"/>
              </w:rPr>
            </w:pPr>
            <w:r w:rsidRPr="00E175DE">
              <w:rPr>
                <w:color w:val="000000"/>
                <w:sz w:val="20"/>
                <w:szCs w:val="20"/>
              </w:rPr>
              <w:t>37,7%</w:t>
            </w:r>
          </w:p>
        </w:tc>
        <w:tc>
          <w:tcPr>
            <w:tcW w:w="943" w:type="dxa"/>
            <w:tcBorders>
              <w:top w:val="nil"/>
              <w:left w:val="nil"/>
              <w:bottom w:val="single" w:sz="4" w:space="0" w:color="auto"/>
              <w:right w:val="single" w:sz="4" w:space="0" w:color="auto"/>
            </w:tcBorders>
            <w:shd w:val="clear" w:color="auto" w:fill="auto"/>
            <w:vAlign w:val="bottom"/>
            <w:hideMark/>
          </w:tcPr>
          <w:p w:rsidR="007765CC" w:rsidRPr="00E175DE" w:rsidRDefault="007765CC" w:rsidP="009F2105">
            <w:pPr>
              <w:jc w:val="right"/>
              <w:rPr>
                <w:color w:val="000000"/>
                <w:sz w:val="20"/>
                <w:szCs w:val="20"/>
              </w:rPr>
            </w:pPr>
            <w:r w:rsidRPr="00E175DE">
              <w:rPr>
                <w:color w:val="000000"/>
                <w:sz w:val="20"/>
                <w:szCs w:val="20"/>
              </w:rPr>
              <w:t>14 857,2</w:t>
            </w:r>
          </w:p>
        </w:tc>
        <w:tc>
          <w:tcPr>
            <w:tcW w:w="851" w:type="dxa"/>
            <w:tcBorders>
              <w:top w:val="nil"/>
              <w:left w:val="nil"/>
              <w:bottom w:val="single" w:sz="4" w:space="0" w:color="auto"/>
              <w:right w:val="single" w:sz="4" w:space="0" w:color="auto"/>
            </w:tcBorders>
            <w:shd w:val="clear" w:color="auto" w:fill="auto"/>
            <w:vAlign w:val="bottom"/>
            <w:hideMark/>
          </w:tcPr>
          <w:p w:rsidR="007765CC" w:rsidRPr="00E175DE" w:rsidRDefault="007765CC" w:rsidP="009F2105">
            <w:pPr>
              <w:jc w:val="right"/>
              <w:rPr>
                <w:color w:val="000000"/>
                <w:sz w:val="20"/>
                <w:szCs w:val="20"/>
              </w:rPr>
            </w:pPr>
            <w:r w:rsidRPr="00E175DE">
              <w:rPr>
                <w:color w:val="000000"/>
                <w:sz w:val="20"/>
                <w:szCs w:val="20"/>
              </w:rPr>
              <w:t>29,4%</w:t>
            </w:r>
          </w:p>
        </w:tc>
        <w:tc>
          <w:tcPr>
            <w:tcW w:w="992" w:type="dxa"/>
            <w:tcBorders>
              <w:top w:val="nil"/>
              <w:left w:val="nil"/>
              <w:bottom w:val="single" w:sz="4" w:space="0" w:color="auto"/>
              <w:right w:val="single" w:sz="4" w:space="0" w:color="auto"/>
            </w:tcBorders>
            <w:shd w:val="clear" w:color="auto" w:fill="auto"/>
            <w:vAlign w:val="bottom"/>
            <w:hideMark/>
          </w:tcPr>
          <w:p w:rsidR="007765CC" w:rsidRPr="00E175DE" w:rsidRDefault="007765CC" w:rsidP="009F2105">
            <w:pPr>
              <w:jc w:val="right"/>
              <w:rPr>
                <w:color w:val="000000"/>
                <w:sz w:val="20"/>
                <w:szCs w:val="20"/>
              </w:rPr>
            </w:pPr>
            <w:r w:rsidRPr="00E175DE">
              <w:rPr>
                <w:color w:val="000000"/>
                <w:sz w:val="20"/>
                <w:szCs w:val="20"/>
              </w:rPr>
              <w:t>10 579,5</w:t>
            </w:r>
          </w:p>
        </w:tc>
        <w:tc>
          <w:tcPr>
            <w:tcW w:w="850" w:type="dxa"/>
            <w:tcBorders>
              <w:top w:val="nil"/>
              <w:left w:val="nil"/>
              <w:bottom w:val="single" w:sz="4" w:space="0" w:color="auto"/>
              <w:right w:val="double" w:sz="6" w:space="0" w:color="auto"/>
            </w:tcBorders>
            <w:shd w:val="clear" w:color="auto" w:fill="auto"/>
            <w:vAlign w:val="bottom"/>
            <w:hideMark/>
          </w:tcPr>
          <w:p w:rsidR="007765CC" w:rsidRPr="00F7318D" w:rsidRDefault="007765CC" w:rsidP="009F2105">
            <w:pPr>
              <w:jc w:val="right"/>
              <w:rPr>
                <w:color w:val="000000"/>
                <w:sz w:val="20"/>
                <w:szCs w:val="20"/>
              </w:rPr>
            </w:pPr>
            <w:r w:rsidRPr="00F7318D">
              <w:rPr>
                <w:color w:val="000000"/>
                <w:sz w:val="20"/>
                <w:szCs w:val="20"/>
              </w:rPr>
              <w:t>21,2%</w:t>
            </w:r>
          </w:p>
        </w:tc>
      </w:tr>
      <w:tr w:rsidR="007765CC" w:rsidRPr="00F7318D" w:rsidTr="0065523C">
        <w:trPr>
          <w:trHeight w:val="525"/>
        </w:trPr>
        <w:tc>
          <w:tcPr>
            <w:tcW w:w="2323" w:type="dxa"/>
            <w:tcBorders>
              <w:top w:val="nil"/>
              <w:left w:val="double" w:sz="6" w:space="0" w:color="auto"/>
              <w:bottom w:val="single" w:sz="4" w:space="0" w:color="auto"/>
              <w:right w:val="single" w:sz="4" w:space="0" w:color="auto"/>
            </w:tcBorders>
            <w:shd w:val="clear" w:color="000000" w:fill="F2F2F2"/>
            <w:vAlign w:val="bottom"/>
            <w:hideMark/>
          </w:tcPr>
          <w:p w:rsidR="007765CC" w:rsidRPr="00F7318D" w:rsidRDefault="007765CC" w:rsidP="009F2105">
            <w:pPr>
              <w:rPr>
                <w:b/>
                <w:bCs/>
                <w:color w:val="000000"/>
                <w:sz w:val="20"/>
                <w:szCs w:val="20"/>
              </w:rPr>
            </w:pPr>
            <w:r w:rsidRPr="00F7318D">
              <w:rPr>
                <w:b/>
                <w:bCs/>
                <w:color w:val="000000"/>
                <w:sz w:val="20"/>
                <w:szCs w:val="20"/>
              </w:rPr>
              <w:t>Итого государственный долг</w:t>
            </w:r>
          </w:p>
        </w:tc>
        <w:tc>
          <w:tcPr>
            <w:tcW w:w="976"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51 093,2</w:t>
            </w:r>
          </w:p>
        </w:tc>
        <w:tc>
          <w:tcPr>
            <w:tcW w:w="850"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Pr>
                <w:b/>
                <w:bCs/>
                <w:color w:val="000000"/>
                <w:sz w:val="20"/>
                <w:szCs w:val="20"/>
              </w:rPr>
              <w:t>100</w:t>
            </w:r>
            <w:r w:rsidRPr="00F7318D">
              <w:rPr>
                <w:b/>
                <w:bCs/>
                <w:color w:val="000000"/>
                <w:sz w:val="20"/>
                <w:szCs w:val="20"/>
              </w:rPr>
              <w:t>%</w:t>
            </w:r>
          </w:p>
        </w:tc>
        <w:tc>
          <w:tcPr>
            <w:tcW w:w="992"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51 023,8</w:t>
            </w:r>
          </w:p>
        </w:tc>
        <w:tc>
          <w:tcPr>
            <w:tcW w:w="826"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Pr>
                <w:b/>
                <w:bCs/>
                <w:color w:val="000000"/>
                <w:sz w:val="20"/>
                <w:szCs w:val="20"/>
              </w:rPr>
              <w:t>100</w:t>
            </w:r>
            <w:r w:rsidRPr="00F7318D">
              <w:rPr>
                <w:b/>
                <w:bCs/>
                <w:color w:val="000000"/>
                <w:sz w:val="20"/>
                <w:szCs w:val="20"/>
              </w:rPr>
              <w:t>%</w:t>
            </w:r>
          </w:p>
        </w:tc>
        <w:tc>
          <w:tcPr>
            <w:tcW w:w="1017"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50 735,0</w:t>
            </w:r>
          </w:p>
        </w:tc>
        <w:tc>
          <w:tcPr>
            <w:tcW w:w="758"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Pr>
                <w:b/>
                <w:bCs/>
                <w:color w:val="000000"/>
                <w:sz w:val="20"/>
                <w:szCs w:val="20"/>
              </w:rPr>
              <w:t>100</w:t>
            </w:r>
            <w:r w:rsidRPr="00F7318D">
              <w:rPr>
                <w:b/>
                <w:bCs/>
                <w:color w:val="000000"/>
                <w:sz w:val="20"/>
                <w:szCs w:val="20"/>
              </w:rPr>
              <w:t>%</w:t>
            </w:r>
          </w:p>
        </w:tc>
        <w:tc>
          <w:tcPr>
            <w:tcW w:w="943"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50 457,2</w:t>
            </w:r>
          </w:p>
        </w:tc>
        <w:tc>
          <w:tcPr>
            <w:tcW w:w="851"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100%</w:t>
            </w:r>
          </w:p>
        </w:tc>
        <w:tc>
          <w:tcPr>
            <w:tcW w:w="992" w:type="dxa"/>
            <w:tcBorders>
              <w:top w:val="nil"/>
              <w:left w:val="nil"/>
              <w:bottom w:val="single" w:sz="4"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49 879,5</w:t>
            </w:r>
          </w:p>
        </w:tc>
        <w:tc>
          <w:tcPr>
            <w:tcW w:w="850" w:type="dxa"/>
            <w:tcBorders>
              <w:top w:val="nil"/>
              <w:left w:val="nil"/>
              <w:bottom w:val="single" w:sz="4" w:space="0" w:color="auto"/>
              <w:right w:val="double" w:sz="6"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100%</w:t>
            </w:r>
          </w:p>
        </w:tc>
      </w:tr>
      <w:tr w:rsidR="007765CC" w:rsidRPr="00F7318D" w:rsidTr="0065523C">
        <w:trPr>
          <w:trHeight w:val="795"/>
        </w:trPr>
        <w:tc>
          <w:tcPr>
            <w:tcW w:w="2323" w:type="dxa"/>
            <w:tcBorders>
              <w:top w:val="nil"/>
              <w:left w:val="double" w:sz="6" w:space="0" w:color="auto"/>
              <w:bottom w:val="double" w:sz="6" w:space="0" w:color="auto"/>
              <w:right w:val="single" w:sz="4" w:space="0" w:color="auto"/>
            </w:tcBorders>
            <w:shd w:val="clear" w:color="000000" w:fill="F2F2F2"/>
            <w:vAlign w:val="bottom"/>
            <w:hideMark/>
          </w:tcPr>
          <w:p w:rsidR="007765CC" w:rsidRPr="00F7318D" w:rsidRDefault="007765CC" w:rsidP="009F2105">
            <w:pPr>
              <w:rPr>
                <w:b/>
                <w:bCs/>
                <w:color w:val="000000"/>
                <w:sz w:val="20"/>
                <w:szCs w:val="20"/>
              </w:rPr>
            </w:pPr>
            <w:r w:rsidRPr="00F7318D">
              <w:rPr>
                <w:b/>
                <w:bCs/>
                <w:color w:val="000000"/>
                <w:sz w:val="20"/>
                <w:szCs w:val="20"/>
              </w:rPr>
              <w:t>Верхний предел государственного долга по Законопроекту</w:t>
            </w:r>
          </w:p>
        </w:tc>
        <w:tc>
          <w:tcPr>
            <w:tcW w:w="976"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850"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992"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826"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1017"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50 735,0</w:t>
            </w:r>
          </w:p>
        </w:tc>
        <w:tc>
          <w:tcPr>
            <w:tcW w:w="758"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943"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50 457,2</w:t>
            </w:r>
          </w:p>
        </w:tc>
        <w:tc>
          <w:tcPr>
            <w:tcW w:w="851"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c>
          <w:tcPr>
            <w:tcW w:w="992" w:type="dxa"/>
            <w:tcBorders>
              <w:top w:val="nil"/>
              <w:left w:val="nil"/>
              <w:bottom w:val="double" w:sz="6" w:space="0" w:color="auto"/>
              <w:right w:val="single" w:sz="4"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49 879,5</w:t>
            </w:r>
          </w:p>
        </w:tc>
        <w:tc>
          <w:tcPr>
            <w:tcW w:w="850" w:type="dxa"/>
            <w:tcBorders>
              <w:top w:val="nil"/>
              <w:left w:val="nil"/>
              <w:bottom w:val="double" w:sz="6" w:space="0" w:color="auto"/>
              <w:right w:val="double" w:sz="6" w:space="0" w:color="auto"/>
            </w:tcBorders>
            <w:shd w:val="clear" w:color="000000" w:fill="F2F2F2"/>
            <w:vAlign w:val="bottom"/>
            <w:hideMark/>
          </w:tcPr>
          <w:p w:rsidR="007765CC" w:rsidRPr="00F7318D" w:rsidRDefault="007765CC" w:rsidP="009F2105">
            <w:pPr>
              <w:jc w:val="right"/>
              <w:rPr>
                <w:b/>
                <w:bCs/>
                <w:color w:val="000000"/>
                <w:sz w:val="20"/>
                <w:szCs w:val="20"/>
              </w:rPr>
            </w:pPr>
            <w:r w:rsidRPr="00F7318D">
              <w:rPr>
                <w:b/>
                <w:bCs/>
                <w:color w:val="000000"/>
                <w:sz w:val="20"/>
                <w:szCs w:val="20"/>
              </w:rPr>
              <w:t> </w:t>
            </w:r>
          </w:p>
        </w:tc>
      </w:tr>
    </w:tbl>
    <w:p w:rsidR="007765CC" w:rsidRPr="0028310F" w:rsidRDefault="007765CC" w:rsidP="007765CC">
      <w:pPr>
        <w:ind w:firstLine="680"/>
        <w:jc w:val="both"/>
      </w:pPr>
      <w:r w:rsidRPr="0028310F">
        <w:rPr>
          <w:bCs/>
        </w:rPr>
        <w:t>Из представленных в таблице данных</w:t>
      </w:r>
      <w:r>
        <w:rPr>
          <w:bCs/>
        </w:rPr>
        <w:t>,</w:t>
      </w:r>
      <w:r w:rsidRPr="0028310F">
        <w:rPr>
          <w:bCs/>
        </w:rPr>
        <w:t xml:space="preserve"> видно, что показатели расчетного государственного внутреннего долга соответствуют показателям</w:t>
      </w:r>
      <w:r w:rsidRPr="0028310F">
        <w:t xml:space="preserve"> верхнего предела государственного внутреннего </w:t>
      </w:r>
      <w:r>
        <w:t>долга, утверждаемые в статье 2 З</w:t>
      </w:r>
      <w:r w:rsidRPr="0028310F">
        <w:t xml:space="preserve">аконопроекта. </w:t>
      </w:r>
    </w:p>
    <w:p w:rsidR="007765CC" w:rsidRDefault="007765CC" w:rsidP="007765CC">
      <w:pPr>
        <w:ind w:firstLine="680"/>
        <w:jc w:val="both"/>
      </w:pPr>
      <w:r>
        <w:t xml:space="preserve">Предусмотрено ежегодное снижение государственного долга с 51 093,2 млн. руб. на 01.01.2019 до 49 879,5 млн. руб. на 01.01.2023. Также </w:t>
      </w:r>
      <w:r w:rsidRPr="00D9346A">
        <w:t xml:space="preserve">в 2020 - 2022 годах по сравнению с 2019 годом снижается отношение государственного долга к валовому региональному продукту: с 5,7 % в 2019 году до 4,7% в 2022 году.  </w:t>
      </w:r>
    </w:p>
    <w:p w:rsidR="007765CC" w:rsidRPr="00A57982" w:rsidRDefault="007765CC" w:rsidP="007765CC">
      <w:pPr>
        <w:ind w:firstLine="680"/>
        <w:jc w:val="both"/>
      </w:pPr>
      <w:r w:rsidRPr="00A57982">
        <w:t>Параметры областного бюджета, прогнозируемые на 201</w:t>
      </w:r>
      <w:r>
        <w:t>9</w:t>
      </w:r>
      <w:r w:rsidRPr="00A57982">
        <w:t xml:space="preserve"> год, и предусмотренные </w:t>
      </w:r>
      <w:r>
        <w:t>Законопроектом на 2020</w:t>
      </w:r>
      <w:r w:rsidRPr="00A57982">
        <w:t>-202</w:t>
      </w:r>
      <w:r>
        <w:t>2</w:t>
      </w:r>
      <w:r w:rsidRPr="00A57982">
        <w:t xml:space="preserve"> годы представлены в следующей таблице.</w:t>
      </w:r>
    </w:p>
    <w:p w:rsidR="00D54A17" w:rsidRDefault="007765CC" w:rsidP="007765CC">
      <w:pPr>
        <w:ind w:firstLine="708"/>
        <w:jc w:val="center"/>
        <w:rPr>
          <w:i/>
        </w:rPr>
      </w:pPr>
      <w:r>
        <w:rPr>
          <w:i/>
        </w:rPr>
        <w:t xml:space="preserve">                                                                                                         </w:t>
      </w:r>
    </w:p>
    <w:p w:rsidR="007765CC" w:rsidRDefault="007765CC" w:rsidP="00D54A17">
      <w:pPr>
        <w:ind w:firstLine="708"/>
        <w:jc w:val="right"/>
        <w:rPr>
          <w:i/>
          <w:sz w:val="22"/>
          <w:szCs w:val="22"/>
        </w:rPr>
      </w:pPr>
      <w:r w:rsidRPr="00465BA0">
        <w:rPr>
          <w:i/>
          <w:sz w:val="22"/>
          <w:szCs w:val="22"/>
        </w:rPr>
        <w:lastRenderedPageBreak/>
        <w:t>млн. руб.</w:t>
      </w:r>
    </w:p>
    <w:tbl>
      <w:tblPr>
        <w:tblW w:w="9662" w:type="dxa"/>
        <w:tblInd w:w="85" w:type="dxa"/>
        <w:tblLook w:val="04A0"/>
      </w:tblPr>
      <w:tblGrid>
        <w:gridCol w:w="4134"/>
        <w:gridCol w:w="1418"/>
        <w:gridCol w:w="1417"/>
        <w:gridCol w:w="1418"/>
        <w:gridCol w:w="1275"/>
      </w:tblGrid>
      <w:tr w:rsidR="007765CC" w:rsidRPr="00BC266F" w:rsidTr="009F2105">
        <w:trPr>
          <w:trHeight w:val="330"/>
        </w:trPr>
        <w:tc>
          <w:tcPr>
            <w:tcW w:w="4134" w:type="dxa"/>
            <w:tcBorders>
              <w:top w:val="double" w:sz="6" w:space="0" w:color="auto"/>
              <w:left w:val="double" w:sz="6" w:space="0" w:color="auto"/>
              <w:bottom w:val="double" w:sz="6" w:space="0" w:color="auto"/>
              <w:right w:val="nil"/>
            </w:tcBorders>
            <w:shd w:val="clear" w:color="000000" w:fill="EAF1DD"/>
            <w:noWrap/>
            <w:vAlign w:val="center"/>
            <w:hideMark/>
          </w:tcPr>
          <w:p w:rsidR="007765CC" w:rsidRPr="00BC266F" w:rsidRDefault="007765CC" w:rsidP="009F2105">
            <w:pPr>
              <w:rPr>
                <w:b/>
                <w:color w:val="000000"/>
              </w:rPr>
            </w:pPr>
            <w:r w:rsidRPr="00BC266F">
              <w:rPr>
                <w:b/>
                <w:color w:val="000000"/>
                <w:sz w:val="22"/>
                <w:szCs w:val="22"/>
              </w:rPr>
              <w:t>Показатель</w:t>
            </w:r>
          </w:p>
        </w:tc>
        <w:tc>
          <w:tcPr>
            <w:tcW w:w="1418" w:type="dxa"/>
            <w:tcBorders>
              <w:top w:val="double" w:sz="6" w:space="0" w:color="auto"/>
              <w:left w:val="single" w:sz="4" w:space="0" w:color="auto"/>
              <w:bottom w:val="double" w:sz="6" w:space="0" w:color="auto"/>
              <w:right w:val="single" w:sz="4" w:space="0" w:color="auto"/>
            </w:tcBorders>
            <w:shd w:val="clear" w:color="000000" w:fill="EAF1DD"/>
            <w:noWrap/>
            <w:vAlign w:val="center"/>
            <w:hideMark/>
          </w:tcPr>
          <w:p w:rsidR="007765CC" w:rsidRPr="00BC266F" w:rsidRDefault="007765CC" w:rsidP="009F2105">
            <w:pPr>
              <w:jc w:val="center"/>
              <w:rPr>
                <w:b/>
                <w:color w:val="000000"/>
              </w:rPr>
            </w:pPr>
            <w:r w:rsidRPr="00BC266F">
              <w:rPr>
                <w:b/>
                <w:color w:val="000000"/>
                <w:sz w:val="22"/>
                <w:szCs w:val="22"/>
              </w:rPr>
              <w:t>01.01.2020</w:t>
            </w:r>
          </w:p>
        </w:tc>
        <w:tc>
          <w:tcPr>
            <w:tcW w:w="1417" w:type="dxa"/>
            <w:tcBorders>
              <w:top w:val="double" w:sz="6" w:space="0" w:color="auto"/>
              <w:left w:val="nil"/>
              <w:bottom w:val="double" w:sz="6" w:space="0" w:color="auto"/>
              <w:right w:val="single" w:sz="4" w:space="0" w:color="auto"/>
            </w:tcBorders>
            <w:shd w:val="clear" w:color="000000" w:fill="EAF1DD"/>
            <w:noWrap/>
            <w:vAlign w:val="center"/>
            <w:hideMark/>
          </w:tcPr>
          <w:p w:rsidR="007765CC" w:rsidRPr="00BC266F" w:rsidRDefault="007765CC" w:rsidP="009F2105">
            <w:pPr>
              <w:jc w:val="center"/>
              <w:rPr>
                <w:b/>
                <w:color w:val="000000"/>
              </w:rPr>
            </w:pPr>
            <w:r w:rsidRPr="00BC266F">
              <w:rPr>
                <w:b/>
                <w:color w:val="000000"/>
                <w:sz w:val="22"/>
                <w:szCs w:val="22"/>
              </w:rPr>
              <w:t>01.01.2021</w:t>
            </w:r>
          </w:p>
        </w:tc>
        <w:tc>
          <w:tcPr>
            <w:tcW w:w="1418" w:type="dxa"/>
            <w:tcBorders>
              <w:top w:val="double" w:sz="6" w:space="0" w:color="auto"/>
              <w:left w:val="nil"/>
              <w:bottom w:val="double" w:sz="6" w:space="0" w:color="auto"/>
              <w:right w:val="single" w:sz="4" w:space="0" w:color="auto"/>
            </w:tcBorders>
            <w:shd w:val="clear" w:color="000000" w:fill="EAF1DD"/>
            <w:noWrap/>
            <w:vAlign w:val="center"/>
            <w:hideMark/>
          </w:tcPr>
          <w:p w:rsidR="007765CC" w:rsidRPr="00BC266F" w:rsidRDefault="007765CC" w:rsidP="009F2105">
            <w:pPr>
              <w:jc w:val="center"/>
              <w:rPr>
                <w:b/>
                <w:color w:val="000000"/>
              </w:rPr>
            </w:pPr>
            <w:r w:rsidRPr="00BC266F">
              <w:rPr>
                <w:b/>
                <w:color w:val="000000"/>
                <w:sz w:val="22"/>
                <w:szCs w:val="22"/>
              </w:rPr>
              <w:t>01.01.2022</w:t>
            </w:r>
          </w:p>
        </w:tc>
        <w:tc>
          <w:tcPr>
            <w:tcW w:w="1275" w:type="dxa"/>
            <w:tcBorders>
              <w:top w:val="double" w:sz="6" w:space="0" w:color="auto"/>
              <w:left w:val="nil"/>
              <w:bottom w:val="double" w:sz="6" w:space="0" w:color="auto"/>
              <w:right w:val="double" w:sz="6" w:space="0" w:color="auto"/>
            </w:tcBorders>
            <w:shd w:val="clear" w:color="000000" w:fill="EAF1DD"/>
            <w:noWrap/>
            <w:vAlign w:val="center"/>
            <w:hideMark/>
          </w:tcPr>
          <w:p w:rsidR="007765CC" w:rsidRPr="00BC266F" w:rsidRDefault="007765CC" w:rsidP="009F2105">
            <w:pPr>
              <w:jc w:val="center"/>
              <w:rPr>
                <w:b/>
                <w:color w:val="000000"/>
              </w:rPr>
            </w:pPr>
            <w:r w:rsidRPr="00BC266F">
              <w:rPr>
                <w:b/>
                <w:color w:val="000000"/>
                <w:sz w:val="22"/>
                <w:szCs w:val="22"/>
              </w:rPr>
              <w:t>01.01.2023</w:t>
            </w:r>
          </w:p>
        </w:tc>
      </w:tr>
      <w:tr w:rsidR="007765CC" w:rsidRPr="00BC266F" w:rsidTr="009F2105">
        <w:trPr>
          <w:trHeight w:val="305"/>
        </w:trPr>
        <w:tc>
          <w:tcPr>
            <w:tcW w:w="4134" w:type="dxa"/>
            <w:tcBorders>
              <w:top w:val="nil"/>
              <w:left w:val="double" w:sz="6" w:space="0" w:color="auto"/>
              <w:bottom w:val="single" w:sz="4" w:space="0" w:color="auto"/>
              <w:right w:val="single" w:sz="4" w:space="0" w:color="auto"/>
            </w:tcBorders>
            <w:shd w:val="clear" w:color="auto" w:fill="auto"/>
            <w:vAlign w:val="center"/>
            <w:hideMark/>
          </w:tcPr>
          <w:p w:rsidR="007765CC" w:rsidRPr="00BC266F" w:rsidRDefault="007765CC" w:rsidP="009F2105">
            <w:pPr>
              <w:rPr>
                <w:color w:val="000000"/>
              </w:rPr>
            </w:pPr>
            <w:r w:rsidRPr="00BC266F">
              <w:rPr>
                <w:color w:val="000000"/>
                <w:sz w:val="22"/>
                <w:szCs w:val="22"/>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73</w:t>
            </w:r>
            <w:r>
              <w:rPr>
                <w:color w:val="000000"/>
                <w:sz w:val="22"/>
                <w:szCs w:val="22"/>
              </w:rPr>
              <w:t> </w:t>
            </w:r>
            <w:r w:rsidRPr="00BC266F">
              <w:rPr>
                <w:color w:val="000000"/>
                <w:sz w:val="22"/>
                <w:szCs w:val="22"/>
              </w:rPr>
              <w:t>821,5</w:t>
            </w:r>
          </w:p>
        </w:tc>
        <w:tc>
          <w:tcPr>
            <w:tcW w:w="1417" w:type="dxa"/>
            <w:tcBorders>
              <w:top w:val="nil"/>
              <w:left w:val="nil"/>
              <w:bottom w:val="single" w:sz="4" w:space="0" w:color="auto"/>
              <w:right w:val="single" w:sz="4" w:space="0" w:color="auto"/>
            </w:tcBorders>
            <w:shd w:val="clear" w:color="auto" w:fill="auto"/>
            <w:vAlign w:val="center"/>
            <w:hideMark/>
          </w:tcPr>
          <w:p w:rsidR="007765CC" w:rsidRPr="00BC266F" w:rsidRDefault="007765CC" w:rsidP="009F2105">
            <w:pPr>
              <w:jc w:val="right"/>
              <w:rPr>
                <w:color w:val="000000"/>
              </w:rPr>
            </w:pPr>
            <w:r>
              <w:rPr>
                <w:color w:val="000000"/>
                <w:sz w:val="22"/>
                <w:szCs w:val="22"/>
              </w:rPr>
              <w:t>77 272,2</w:t>
            </w:r>
          </w:p>
        </w:tc>
        <w:tc>
          <w:tcPr>
            <w:tcW w:w="1418" w:type="dxa"/>
            <w:tcBorders>
              <w:top w:val="nil"/>
              <w:left w:val="nil"/>
              <w:bottom w:val="single" w:sz="4" w:space="0" w:color="auto"/>
              <w:right w:val="single" w:sz="4" w:space="0" w:color="auto"/>
            </w:tcBorders>
            <w:shd w:val="clear" w:color="auto" w:fill="auto"/>
            <w:vAlign w:val="center"/>
            <w:hideMark/>
          </w:tcPr>
          <w:p w:rsidR="007765CC" w:rsidRPr="00BC266F" w:rsidRDefault="007765CC" w:rsidP="009F2105">
            <w:pPr>
              <w:jc w:val="right"/>
              <w:rPr>
                <w:color w:val="000000"/>
              </w:rPr>
            </w:pPr>
            <w:r w:rsidRPr="00BC266F">
              <w:rPr>
                <w:color w:val="000000"/>
                <w:sz w:val="22"/>
                <w:szCs w:val="22"/>
              </w:rPr>
              <w:t>83 806,4</w:t>
            </w:r>
          </w:p>
        </w:tc>
        <w:tc>
          <w:tcPr>
            <w:tcW w:w="1275" w:type="dxa"/>
            <w:tcBorders>
              <w:top w:val="nil"/>
              <w:left w:val="nil"/>
              <w:bottom w:val="single" w:sz="4" w:space="0" w:color="auto"/>
              <w:right w:val="double" w:sz="6" w:space="0" w:color="auto"/>
            </w:tcBorders>
            <w:shd w:val="clear" w:color="auto" w:fill="auto"/>
            <w:vAlign w:val="center"/>
            <w:hideMark/>
          </w:tcPr>
          <w:p w:rsidR="007765CC" w:rsidRPr="00BC266F" w:rsidRDefault="007765CC" w:rsidP="009F2105">
            <w:pPr>
              <w:jc w:val="right"/>
              <w:rPr>
                <w:color w:val="000000"/>
              </w:rPr>
            </w:pPr>
            <w:r>
              <w:rPr>
                <w:color w:val="000000"/>
                <w:sz w:val="22"/>
                <w:szCs w:val="22"/>
              </w:rPr>
              <w:t>87 330,3</w:t>
            </w:r>
          </w:p>
        </w:tc>
      </w:tr>
      <w:tr w:rsidR="007765CC" w:rsidRPr="00BC266F" w:rsidTr="009F2105">
        <w:trPr>
          <w:trHeight w:val="288"/>
        </w:trPr>
        <w:tc>
          <w:tcPr>
            <w:tcW w:w="4134" w:type="dxa"/>
            <w:tcBorders>
              <w:top w:val="nil"/>
              <w:left w:val="double" w:sz="6" w:space="0" w:color="auto"/>
              <w:bottom w:val="single" w:sz="4" w:space="0" w:color="auto"/>
              <w:right w:val="single" w:sz="4" w:space="0" w:color="auto"/>
            </w:tcBorders>
            <w:shd w:val="clear" w:color="auto" w:fill="auto"/>
            <w:vAlign w:val="center"/>
            <w:hideMark/>
          </w:tcPr>
          <w:p w:rsidR="007765CC" w:rsidRPr="00BC266F" w:rsidRDefault="007765CC" w:rsidP="009F2105">
            <w:pPr>
              <w:rPr>
                <w:color w:val="000000"/>
              </w:rPr>
            </w:pPr>
            <w:r w:rsidRPr="00BC266F">
              <w:rPr>
                <w:color w:val="000000"/>
                <w:sz w:val="22"/>
                <w:szCs w:val="22"/>
              </w:rPr>
              <w:t>Верхний предел госдолга</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7765CC" w:rsidRPr="00BC266F" w:rsidRDefault="007765CC" w:rsidP="009F2105">
            <w:pPr>
              <w:jc w:val="right"/>
              <w:rPr>
                <w:color w:val="000000"/>
              </w:rPr>
            </w:pPr>
            <w:r>
              <w:rPr>
                <w:color w:val="000000"/>
                <w:sz w:val="22"/>
                <w:szCs w:val="22"/>
              </w:rPr>
              <w:t>51 023,8</w:t>
            </w:r>
          </w:p>
        </w:tc>
        <w:tc>
          <w:tcPr>
            <w:tcW w:w="141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7765CC" w:rsidRPr="00BC266F" w:rsidRDefault="007765CC" w:rsidP="009F2105">
            <w:pPr>
              <w:jc w:val="right"/>
              <w:rPr>
                <w:color w:val="000000"/>
              </w:rPr>
            </w:pPr>
            <w:r>
              <w:rPr>
                <w:color w:val="000000"/>
                <w:sz w:val="22"/>
                <w:szCs w:val="22"/>
              </w:rPr>
              <w:t>50 735,0</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7765CC" w:rsidRPr="00BC266F" w:rsidRDefault="007765CC" w:rsidP="009F2105">
            <w:pPr>
              <w:jc w:val="right"/>
              <w:rPr>
                <w:color w:val="000000"/>
              </w:rPr>
            </w:pPr>
            <w:r>
              <w:rPr>
                <w:color w:val="000000"/>
                <w:sz w:val="22"/>
                <w:szCs w:val="22"/>
              </w:rPr>
              <w:t>50 457,2</w:t>
            </w:r>
          </w:p>
        </w:tc>
        <w:tc>
          <w:tcPr>
            <w:tcW w:w="1275" w:type="dxa"/>
            <w:tcBorders>
              <w:top w:val="single" w:sz="4" w:space="0" w:color="auto"/>
              <w:left w:val="nil"/>
              <w:bottom w:val="single" w:sz="4" w:space="0" w:color="auto"/>
              <w:right w:val="double" w:sz="6" w:space="0" w:color="auto"/>
            </w:tcBorders>
            <w:shd w:val="clear" w:color="000000" w:fill="FFFFFF" w:themeFill="background1"/>
            <w:noWrap/>
            <w:vAlign w:val="center"/>
            <w:hideMark/>
          </w:tcPr>
          <w:p w:rsidR="007765CC" w:rsidRPr="00BC266F" w:rsidRDefault="007765CC" w:rsidP="009F2105">
            <w:pPr>
              <w:jc w:val="right"/>
              <w:rPr>
                <w:color w:val="000000"/>
              </w:rPr>
            </w:pPr>
            <w:r w:rsidRPr="00BC266F">
              <w:rPr>
                <w:color w:val="000000"/>
                <w:sz w:val="22"/>
                <w:szCs w:val="22"/>
              </w:rPr>
              <w:t>49 879,5</w:t>
            </w:r>
          </w:p>
        </w:tc>
      </w:tr>
      <w:tr w:rsidR="007765CC" w:rsidRPr="00BC266F" w:rsidTr="009F2105">
        <w:trPr>
          <w:trHeight w:val="548"/>
        </w:trPr>
        <w:tc>
          <w:tcPr>
            <w:tcW w:w="4134" w:type="dxa"/>
            <w:tcBorders>
              <w:top w:val="nil"/>
              <w:left w:val="double" w:sz="6" w:space="0" w:color="auto"/>
              <w:bottom w:val="single" w:sz="4" w:space="0" w:color="auto"/>
              <w:right w:val="single" w:sz="4" w:space="0" w:color="auto"/>
            </w:tcBorders>
            <w:shd w:val="clear" w:color="auto" w:fill="auto"/>
            <w:vAlign w:val="center"/>
            <w:hideMark/>
          </w:tcPr>
          <w:p w:rsidR="007765CC" w:rsidRPr="00BC266F" w:rsidRDefault="007765CC" w:rsidP="009F2105">
            <w:pPr>
              <w:rPr>
                <w:color w:val="000000"/>
              </w:rPr>
            </w:pPr>
            <w:r w:rsidRPr="00BC266F">
              <w:rPr>
                <w:color w:val="000000"/>
                <w:sz w:val="22"/>
                <w:szCs w:val="22"/>
              </w:rPr>
              <w:t>Долг к доходам без учета безвозмездных поступлений</w:t>
            </w:r>
          </w:p>
        </w:tc>
        <w:tc>
          <w:tcPr>
            <w:tcW w:w="1418" w:type="dxa"/>
            <w:tcBorders>
              <w:top w:val="nil"/>
              <w:left w:val="nil"/>
              <w:bottom w:val="single" w:sz="4"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69,1%</w:t>
            </w:r>
          </w:p>
        </w:tc>
        <w:tc>
          <w:tcPr>
            <w:tcW w:w="1417" w:type="dxa"/>
            <w:tcBorders>
              <w:top w:val="nil"/>
              <w:left w:val="nil"/>
              <w:bottom w:val="single" w:sz="4"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65,7%</w:t>
            </w:r>
          </w:p>
        </w:tc>
        <w:tc>
          <w:tcPr>
            <w:tcW w:w="1418" w:type="dxa"/>
            <w:tcBorders>
              <w:top w:val="nil"/>
              <w:left w:val="nil"/>
              <w:bottom w:val="single" w:sz="4"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60,2%</w:t>
            </w:r>
          </w:p>
        </w:tc>
        <w:tc>
          <w:tcPr>
            <w:tcW w:w="1275" w:type="dxa"/>
            <w:tcBorders>
              <w:top w:val="nil"/>
              <w:left w:val="nil"/>
              <w:bottom w:val="single" w:sz="4" w:space="0" w:color="auto"/>
              <w:right w:val="double" w:sz="6"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57,1%</w:t>
            </w:r>
          </w:p>
        </w:tc>
      </w:tr>
      <w:tr w:rsidR="007765CC" w:rsidRPr="00BC266F" w:rsidTr="009F2105">
        <w:trPr>
          <w:trHeight w:val="556"/>
        </w:trPr>
        <w:tc>
          <w:tcPr>
            <w:tcW w:w="4134" w:type="dxa"/>
            <w:tcBorders>
              <w:top w:val="nil"/>
              <w:left w:val="double" w:sz="6" w:space="0" w:color="auto"/>
              <w:bottom w:val="double" w:sz="6" w:space="0" w:color="auto"/>
              <w:right w:val="single" w:sz="4" w:space="0" w:color="auto"/>
            </w:tcBorders>
            <w:shd w:val="clear" w:color="auto" w:fill="auto"/>
            <w:vAlign w:val="center"/>
            <w:hideMark/>
          </w:tcPr>
          <w:p w:rsidR="007765CC" w:rsidRPr="00BC266F" w:rsidRDefault="007765CC" w:rsidP="009F2105">
            <w:pPr>
              <w:rPr>
                <w:color w:val="000000"/>
              </w:rPr>
            </w:pPr>
            <w:r w:rsidRPr="00BC266F">
              <w:rPr>
                <w:color w:val="000000"/>
                <w:sz w:val="22"/>
                <w:szCs w:val="22"/>
              </w:rPr>
              <w:t>Коммерческие заимствования к налоговым и неналоговым доходам</w:t>
            </w:r>
          </w:p>
        </w:tc>
        <w:tc>
          <w:tcPr>
            <w:tcW w:w="1418" w:type="dxa"/>
            <w:tcBorders>
              <w:top w:val="nil"/>
              <w:left w:val="nil"/>
              <w:bottom w:val="double" w:sz="6"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40,3%</w:t>
            </w:r>
          </w:p>
        </w:tc>
        <w:tc>
          <w:tcPr>
            <w:tcW w:w="1417" w:type="dxa"/>
            <w:tcBorders>
              <w:top w:val="nil"/>
              <w:left w:val="nil"/>
              <w:bottom w:val="double" w:sz="6"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40,9%</w:t>
            </w:r>
          </w:p>
        </w:tc>
        <w:tc>
          <w:tcPr>
            <w:tcW w:w="1418" w:type="dxa"/>
            <w:tcBorders>
              <w:top w:val="nil"/>
              <w:left w:val="nil"/>
              <w:bottom w:val="double" w:sz="6" w:space="0" w:color="auto"/>
              <w:right w:val="single" w:sz="4" w:space="0" w:color="auto"/>
            </w:tcBorders>
            <w:shd w:val="clear" w:color="auto" w:fill="auto"/>
            <w:noWrap/>
            <w:vAlign w:val="center"/>
            <w:hideMark/>
          </w:tcPr>
          <w:p w:rsidR="007765CC" w:rsidRPr="00BC266F" w:rsidRDefault="007765CC" w:rsidP="009F2105">
            <w:pPr>
              <w:jc w:val="right"/>
              <w:rPr>
                <w:color w:val="000000"/>
              </w:rPr>
            </w:pPr>
            <w:r w:rsidRPr="00BC266F">
              <w:rPr>
                <w:color w:val="000000"/>
                <w:sz w:val="22"/>
                <w:szCs w:val="22"/>
              </w:rPr>
              <w:t>42,5%</w:t>
            </w:r>
          </w:p>
        </w:tc>
        <w:tc>
          <w:tcPr>
            <w:tcW w:w="1275" w:type="dxa"/>
            <w:tcBorders>
              <w:top w:val="nil"/>
              <w:left w:val="nil"/>
              <w:bottom w:val="double" w:sz="6" w:space="0" w:color="auto"/>
              <w:right w:val="double" w:sz="6" w:space="0" w:color="auto"/>
            </w:tcBorders>
            <w:shd w:val="clear" w:color="auto" w:fill="auto"/>
            <w:noWrap/>
            <w:vAlign w:val="center"/>
            <w:hideMark/>
          </w:tcPr>
          <w:p w:rsidR="007765CC" w:rsidRPr="00BC266F" w:rsidRDefault="007765CC" w:rsidP="009F2105">
            <w:pPr>
              <w:jc w:val="right"/>
              <w:rPr>
                <w:color w:val="000000"/>
              </w:rPr>
            </w:pPr>
            <w:r w:rsidRPr="005D4D34">
              <w:rPr>
                <w:color w:val="000000"/>
                <w:sz w:val="22"/>
                <w:szCs w:val="22"/>
              </w:rPr>
              <w:t>45,0</w:t>
            </w:r>
            <w:r w:rsidRPr="00BC266F">
              <w:rPr>
                <w:color w:val="000000"/>
                <w:sz w:val="22"/>
                <w:szCs w:val="22"/>
              </w:rPr>
              <w:t>%</w:t>
            </w:r>
          </w:p>
        </w:tc>
      </w:tr>
    </w:tbl>
    <w:p w:rsidR="007765CC" w:rsidRDefault="007765CC" w:rsidP="007765CC">
      <w:pPr>
        <w:ind w:firstLine="680"/>
        <w:jc w:val="both"/>
      </w:pPr>
      <w:r w:rsidRPr="0040365E">
        <w:t xml:space="preserve">Как видно из представленных данных, </w:t>
      </w:r>
      <w:r>
        <w:t xml:space="preserve">предполагаемый объем </w:t>
      </w:r>
      <w:r w:rsidRPr="0040365E">
        <w:t>государственн</w:t>
      </w:r>
      <w:r>
        <w:t>ого</w:t>
      </w:r>
      <w:r w:rsidRPr="0040365E">
        <w:t xml:space="preserve"> долг</w:t>
      </w:r>
      <w:r>
        <w:t>а</w:t>
      </w:r>
      <w:r w:rsidRPr="0040365E">
        <w:t xml:space="preserve"> Волгоградской области по отношению к налоговым и неналоговым доходам незначительно сокращается </w:t>
      </w:r>
      <w:bookmarkStart w:id="1" w:name="OLE_LINK1"/>
      <w:r w:rsidRPr="0040365E">
        <w:t xml:space="preserve">с </w:t>
      </w:r>
      <w:r>
        <w:t>69,1</w:t>
      </w:r>
      <w:r w:rsidRPr="0040365E">
        <w:t xml:space="preserve">%  по </w:t>
      </w:r>
      <w:r>
        <w:t>состоянию на 01.01.2020</w:t>
      </w:r>
      <w:r w:rsidRPr="0040365E">
        <w:t xml:space="preserve"> до </w:t>
      </w:r>
      <w:r>
        <w:t>57,1</w:t>
      </w:r>
      <w:r w:rsidRPr="0040365E">
        <w:t xml:space="preserve">% по </w:t>
      </w:r>
      <w:r>
        <w:t xml:space="preserve">состоянию на 01.01.2023 </w:t>
      </w:r>
      <w:r w:rsidRPr="0040365E">
        <w:t xml:space="preserve">за счет роста налоговых и неналоговых доходов и отсутствия роста государственного долга. </w:t>
      </w:r>
      <w:bookmarkEnd w:id="1"/>
      <w:r w:rsidRPr="0040365E">
        <w:t xml:space="preserve">Указанные </w:t>
      </w:r>
      <w:r w:rsidRPr="00EC4C95">
        <w:t>параметры не превышают ограничение, установленное ст.107 БК РФ, на уровне 100</w:t>
      </w:r>
      <w:r>
        <w:t>%</w:t>
      </w:r>
      <w:r w:rsidRPr="00EC4C95">
        <w:t xml:space="preserve"> утвержденного общего объема доходов бюджета без учета утвержденного объема безвозмездных поступлений.</w:t>
      </w:r>
    </w:p>
    <w:p w:rsidR="007765CC" w:rsidRPr="00844654" w:rsidRDefault="007765CC" w:rsidP="007765CC">
      <w:pPr>
        <w:ind w:firstLine="680"/>
        <w:jc w:val="both"/>
      </w:pPr>
      <w:r w:rsidRPr="00844654">
        <w:t>По коммерческим заимствованиям отношение к доходам областного бюджета без учета безвоз</w:t>
      </w:r>
      <w:r>
        <w:t>мездных поступлений на 01.01.202</w:t>
      </w:r>
      <w:r w:rsidRPr="00844654">
        <w:t>0 состав</w:t>
      </w:r>
      <w:r>
        <w:t>ит</w:t>
      </w:r>
      <w:r w:rsidRPr="00844654">
        <w:t xml:space="preserve"> 40,3%, на 01.01.2023 – 45,0%, т.е. наблюдается рост коммерческих заимствований за счет роста кредитов кредитных организаций. </w:t>
      </w:r>
    </w:p>
    <w:p w:rsidR="007765CC" w:rsidRDefault="007765CC" w:rsidP="007765CC">
      <w:pPr>
        <w:ind w:firstLine="680"/>
        <w:jc w:val="both"/>
      </w:pPr>
      <w:r w:rsidRPr="00D36829">
        <w:t>Также необходимо отметить, что в декабре 2017 года Волгоградской областью подписаны соглашения о реструктуризации ранее полученных бюджетных кредитов. Одними из условий соглашений является обеспечение на 01.01.2020 доли общего объема государственного долга не более 84% от доходов бюджета без учета безвозмездных поступлений, на 01.01.2021 - 79%,  на 01.01.2022 - 71%, на 01.01.2023 – 65 процентов. Также соглашением предусмотрено ограничение по коммерческим заимствованиям – на уровне не более 50 % доходов бюджета без учета безвозмездных поступлений. Аналогичны</w:t>
      </w:r>
      <w:r>
        <w:t xml:space="preserve">е ограничения заложены в План </w:t>
      </w:r>
      <w:r w:rsidRPr="00C172AA">
        <w:t>мероприятий по росту доходного потенциала, оптимизации расходов бюджета и сокращению государственного долга Волгоградской области</w:t>
      </w:r>
      <w:r>
        <w:t xml:space="preserve">, </w:t>
      </w:r>
      <w:r w:rsidRPr="00D36829">
        <w:t>утвержденный постановлением Администрации Волгоградской области от 28.09.2018 № 442-п (далее – План мероприятий), в части мероприятий по сокращению государственного долга Волгоградской области. Как видно</w:t>
      </w:r>
      <w:r w:rsidRPr="009E021D">
        <w:t xml:space="preserve"> из приведенных данных</w:t>
      </w:r>
      <w:r>
        <w:t>,</w:t>
      </w:r>
      <w:r w:rsidRPr="009E021D">
        <w:t xml:space="preserve"> эти ограничения Волгоградской областью </w:t>
      </w:r>
      <w:r>
        <w:t xml:space="preserve">Законопроектом учтены и </w:t>
      </w:r>
      <w:r w:rsidRPr="009E021D">
        <w:t>соблюдены.</w:t>
      </w:r>
    </w:p>
    <w:p w:rsidR="007765CC" w:rsidRPr="00863807" w:rsidRDefault="007765CC" w:rsidP="007765CC">
      <w:pPr>
        <w:pStyle w:val="ConsPlusNormal"/>
        <w:ind w:firstLine="680"/>
        <w:jc w:val="both"/>
        <w:rPr>
          <w:rFonts w:ascii="Times New Roman" w:hAnsi="Times New Roman" w:cs="Times New Roman"/>
          <w:sz w:val="24"/>
          <w:szCs w:val="24"/>
        </w:rPr>
      </w:pPr>
      <w:r w:rsidRPr="00B312AB">
        <w:rPr>
          <w:rFonts w:ascii="Times New Roman" w:hAnsi="Times New Roman" w:cs="Times New Roman"/>
          <w:sz w:val="24"/>
          <w:szCs w:val="24"/>
        </w:rPr>
        <w:t>Планом мероприятий в качестве мероприятия по сокращению государственного долга предусмотрено сохранение моратория на предоставление государственных гарантий Волгоградской области. Программа государственных гарантий Волгоградской области  на 2020-2022 годы Законопроектом не предусмотрена.</w:t>
      </w:r>
    </w:p>
    <w:p w:rsidR="007765CC" w:rsidRPr="00CE74D1" w:rsidRDefault="007765CC" w:rsidP="007765CC">
      <w:pPr>
        <w:ind w:firstLine="680"/>
        <w:jc w:val="both"/>
        <w:rPr>
          <w:b/>
          <w:color w:val="0070C0"/>
        </w:rPr>
      </w:pPr>
    </w:p>
    <w:p w:rsidR="004F6845" w:rsidRPr="007751BE" w:rsidRDefault="0065523C" w:rsidP="004F6845">
      <w:pPr>
        <w:autoSpaceDE w:val="0"/>
        <w:autoSpaceDN w:val="0"/>
        <w:adjustRightInd w:val="0"/>
        <w:jc w:val="center"/>
        <w:outlineLvl w:val="1"/>
        <w:rPr>
          <w:b/>
          <w:i/>
        </w:rPr>
      </w:pPr>
      <w:r>
        <w:rPr>
          <w:b/>
          <w:i/>
        </w:rPr>
        <w:t xml:space="preserve">5. </w:t>
      </w:r>
      <w:r w:rsidR="004F6845" w:rsidRPr="007751BE">
        <w:rPr>
          <w:b/>
          <w:i/>
        </w:rPr>
        <w:t xml:space="preserve">Критерии выравнивания </w:t>
      </w:r>
    </w:p>
    <w:p w:rsidR="004F6845" w:rsidRPr="007751BE" w:rsidRDefault="004F6845" w:rsidP="004F6845">
      <w:pPr>
        <w:autoSpaceDE w:val="0"/>
        <w:autoSpaceDN w:val="0"/>
        <w:adjustRightInd w:val="0"/>
        <w:jc w:val="center"/>
        <w:outlineLvl w:val="1"/>
        <w:rPr>
          <w:b/>
          <w:i/>
        </w:rPr>
      </w:pPr>
      <w:r w:rsidRPr="007751BE">
        <w:rPr>
          <w:b/>
          <w:i/>
        </w:rPr>
        <w:t>расчетной бюджетной обеспеченности</w:t>
      </w:r>
      <w:r>
        <w:rPr>
          <w:b/>
          <w:i/>
        </w:rPr>
        <w:t xml:space="preserve"> муниципальных районов (городских округов</w:t>
      </w:r>
      <w:r w:rsidRPr="007751BE">
        <w:rPr>
          <w:b/>
          <w:i/>
        </w:rPr>
        <w:t xml:space="preserve">) </w:t>
      </w:r>
    </w:p>
    <w:p w:rsidR="004F6845" w:rsidRDefault="004F6845" w:rsidP="004F6845">
      <w:pPr>
        <w:autoSpaceDE w:val="0"/>
        <w:autoSpaceDN w:val="0"/>
        <w:adjustRightInd w:val="0"/>
        <w:jc w:val="center"/>
        <w:outlineLvl w:val="1"/>
        <w:rPr>
          <w:b/>
          <w:i/>
        </w:rPr>
      </w:pPr>
      <w:r w:rsidRPr="0023074C">
        <w:rPr>
          <w:b/>
          <w:i/>
        </w:rPr>
        <w:t>и финансовых возможностей поселений</w:t>
      </w:r>
    </w:p>
    <w:p w:rsidR="00857740" w:rsidRPr="0023074C" w:rsidRDefault="00857740" w:rsidP="004F6845">
      <w:pPr>
        <w:autoSpaceDE w:val="0"/>
        <w:autoSpaceDN w:val="0"/>
        <w:adjustRightInd w:val="0"/>
        <w:jc w:val="center"/>
        <w:outlineLvl w:val="1"/>
        <w:rPr>
          <w:b/>
          <w:i/>
        </w:rPr>
      </w:pPr>
    </w:p>
    <w:p w:rsidR="004F6845" w:rsidRPr="00883671" w:rsidRDefault="004F6845" w:rsidP="004F6845">
      <w:pPr>
        <w:pStyle w:val="ConsPlusNormal"/>
        <w:ind w:firstLine="652"/>
        <w:jc w:val="both"/>
        <w:rPr>
          <w:rFonts w:ascii="Times New Roman" w:hAnsi="Times New Roman" w:cs="Times New Roman"/>
          <w:sz w:val="24"/>
          <w:szCs w:val="24"/>
        </w:rPr>
      </w:pPr>
      <w:proofErr w:type="gramStart"/>
      <w:r w:rsidRPr="0023074C">
        <w:rPr>
          <w:rFonts w:ascii="Times New Roman" w:hAnsi="Times New Roman"/>
          <w:sz w:val="24"/>
          <w:szCs w:val="24"/>
        </w:rPr>
        <w:t xml:space="preserve">Расчет объемов дотаций </w:t>
      </w:r>
      <w:r>
        <w:rPr>
          <w:rFonts w:ascii="Times New Roman" w:hAnsi="Times New Roman"/>
          <w:sz w:val="24"/>
          <w:szCs w:val="24"/>
        </w:rPr>
        <w:t xml:space="preserve">на выравнивание бюджетной обеспеченности  </w:t>
      </w:r>
      <w:r w:rsidRPr="001C6F45">
        <w:rPr>
          <w:rFonts w:ascii="Times New Roman" w:hAnsi="Times New Roman"/>
          <w:sz w:val="24"/>
          <w:szCs w:val="24"/>
        </w:rPr>
        <w:t xml:space="preserve">поселений и </w:t>
      </w:r>
      <w:r w:rsidRPr="0023074C">
        <w:rPr>
          <w:rFonts w:ascii="Times New Roman" w:hAnsi="Times New Roman"/>
          <w:sz w:val="24"/>
          <w:szCs w:val="24"/>
        </w:rPr>
        <w:t xml:space="preserve">дотаций </w:t>
      </w:r>
      <w:r>
        <w:rPr>
          <w:rFonts w:ascii="Times New Roman" w:hAnsi="Times New Roman"/>
          <w:sz w:val="24"/>
          <w:szCs w:val="24"/>
        </w:rPr>
        <w:t xml:space="preserve">на выравнивание бюджетной обеспеченности </w:t>
      </w:r>
      <w:r w:rsidRPr="001C6F45">
        <w:rPr>
          <w:rFonts w:ascii="Times New Roman" w:hAnsi="Times New Roman"/>
          <w:sz w:val="24"/>
          <w:szCs w:val="24"/>
        </w:rPr>
        <w:t xml:space="preserve">муниципальных районов (городских округов) </w:t>
      </w:r>
      <w:r w:rsidRPr="00B935F8">
        <w:rPr>
          <w:rFonts w:ascii="Times New Roman" w:hAnsi="Times New Roman"/>
          <w:sz w:val="24"/>
          <w:szCs w:val="24"/>
        </w:rPr>
        <w:t>осуществлялся п</w:t>
      </w:r>
      <w:r w:rsidRPr="0023074C">
        <w:rPr>
          <w:rFonts w:ascii="Times New Roman" w:hAnsi="Times New Roman"/>
          <w:sz w:val="24"/>
          <w:szCs w:val="24"/>
        </w:rPr>
        <w:t xml:space="preserve">о методике, утверждённой Законом Волгоградской области </w:t>
      </w:r>
      <w:r w:rsidRPr="0023074C">
        <w:rPr>
          <w:rFonts w:ascii="Times New Roman" w:hAnsi="Times New Roman"/>
          <w:bCs/>
          <w:sz w:val="24"/>
          <w:szCs w:val="24"/>
        </w:rPr>
        <w:t xml:space="preserve">от 26.07.2005 №1093-ОД «О межбюджетных отношениях </w:t>
      </w:r>
      <w:r w:rsidRPr="0023074C">
        <w:rPr>
          <w:rFonts w:ascii="Times New Roman" w:hAnsi="Times New Roman"/>
          <w:sz w:val="24"/>
          <w:szCs w:val="24"/>
        </w:rPr>
        <w:t>в Волгоградской области» (далее – Закон о межбюджетных отношениях №1093-ОД)</w:t>
      </w:r>
      <w:r>
        <w:rPr>
          <w:rFonts w:ascii="Times New Roman" w:hAnsi="Times New Roman"/>
          <w:sz w:val="24"/>
          <w:szCs w:val="24"/>
        </w:rPr>
        <w:t xml:space="preserve"> и внесенными в него изменениями </w:t>
      </w:r>
      <w:r w:rsidRPr="00EA66CA">
        <w:rPr>
          <w:rFonts w:ascii="Times New Roman" w:hAnsi="Times New Roman" w:cs="Times New Roman"/>
          <w:sz w:val="24"/>
          <w:szCs w:val="24"/>
        </w:rPr>
        <w:t>законопроектом Волгоградской области</w:t>
      </w:r>
      <w:r>
        <w:rPr>
          <w:rFonts w:ascii="Times New Roman" w:hAnsi="Times New Roman" w:cs="Times New Roman"/>
          <w:sz w:val="24"/>
          <w:szCs w:val="24"/>
        </w:rPr>
        <w:t xml:space="preserve"> </w:t>
      </w:r>
      <w:r w:rsidRPr="00302747">
        <w:rPr>
          <w:rFonts w:ascii="Times New Roman" w:hAnsi="Times New Roman" w:cs="Times New Roman"/>
          <w:sz w:val="24"/>
          <w:szCs w:val="24"/>
        </w:rPr>
        <w:t>№109-2019з «О внесении изменений в некоторые законодательные акты Волгоградской области, регулирующие вопросы</w:t>
      </w:r>
      <w:proofErr w:type="gramEnd"/>
      <w:r w:rsidRPr="00302747">
        <w:rPr>
          <w:rFonts w:ascii="Times New Roman" w:hAnsi="Times New Roman" w:cs="Times New Roman"/>
          <w:sz w:val="24"/>
          <w:szCs w:val="24"/>
        </w:rPr>
        <w:t xml:space="preserve"> межбюджетных отношений»</w:t>
      </w:r>
      <w:r w:rsidRPr="00EA66CA">
        <w:rPr>
          <w:rFonts w:ascii="Times New Roman" w:hAnsi="Times New Roman" w:cs="Times New Roman"/>
          <w:sz w:val="24"/>
          <w:szCs w:val="24"/>
        </w:rPr>
        <w:t xml:space="preserve"> (далее – Законопроект </w:t>
      </w:r>
      <w:r w:rsidRPr="00302747">
        <w:rPr>
          <w:rFonts w:ascii="Times New Roman" w:hAnsi="Times New Roman" w:cs="Times New Roman"/>
          <w:sz w:val="24"/>
          <w:szCs w:val="24"/>
        </w:rPr>
        <w:t>№109-2019з).</w:t>
      </w:r>
    </w:p>
    <w:p w:rsidR="004F6845" w:rsidRPr="008958A5" w:rsidRDefault="004F6845" w:rsidP="004F6845">
      <w:pPr>
        <w:autoSpaceDE w:val="0"/>
        <w:autoSpaceDN w:val="0"/>
        <w:adjustRightInd w:val="0"/>
        <w:ind w:firstLine="851"/>
        <w:jc w:val="both"/>
        <w:outlineLvl w:val="1"/>
        <w:rPr>
          <w:lang w:eastAsia="en-US"/>
        </w:rPr>
      </w:pPr>
      <w:r w:rsidRPr="00E87870">
        <w:rPr>
          <w:lang w:eastAsia="en-US"/>
        </w:rPr>
        <w:t xml:space="preserve">Значения критериев выравнивания </w:t>
      </w:r>
      <w:r w:rsidRPr="00FC5001">
        <w:rPr>
          <w:lang w:eastAsia="en-US"/>
        </w:rPr>
        <w:t xml:space="preserve">установлены статьей </w:t>
      </w:r>
      <w:r w:rsidRPr="0040343B">
        <w:rPr>
          <w:lang w:eastAsia="en-US"/>
        </w:rPr>
        <w:t>42</w:t>
      </w:r>
      <w:r w:rsidR="00917240">
        <w:rPr>
          <w:lang w:eastAsia="en-US"/>
        </w:rPr>
        <w:t xml:space="preserve"> З</w:t>
      </w:r>
      <w:r w:rsidRPr="00FC5001">
        <w:rPr>
          <w:lang w:eastAsia="en-US"/>
        </w:rPr>
        <w:t>аконопроекта</w:t>
      </w:r>
      <w:r w:rsidRPr="00E87870">
        <w:rPr>
          <w:lang w:eastAsia="en-US"/>
        </w:rPr>
        <w:t xml:space="preserve"> и </w:t>
      </w:r>
      <w:r w:rsidRPr="008958A5">
        <w:rPr>
          <w:lang w:eastAsia="en-US"/>
        </w:rPr>
        <w:t>представлены в таблице:</w:t>
      </w:r>
    </w:p>
    <w:p w:rsidR="004F6845" w:rsidRPr="008958A5" w:rsidRDefault="004F6845" w:rsidP="004F6845">
      <w:pPr>
        <w:autoSpaceDE w:val="0"/>
        <w:autoSpaceDN w:val="0"/>
        <w:adjustRightInd w:val="0"/>
        <w:ind w:firstLine="720"/>
        <w:jc w:val="both"/>
        <w:outlineLvl w:val="1"/>
        <w:rPr>
          <w:lang w:eastAsia="en-US"/>
        </w:rPr>
      </w:pPr>
    </w:p>
    <w:tbl>
      <w:tblPr>
        <w:tblW w:w="967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3544"/>
        <w:gridCol w:w="1104"/>
        <w:gridCol w:w="1197"/>
        <w:gridCol w:w="1276"/>
        <w:gridCol w:w="1276"/>
        <w:gridCol w:w="1275"/>
      </w:tblGrid>
      <w:tr w:rsidR="004F6845" w:rsidRPr="008958A5" w:rsidTr="004F6845">
        <w:trPr>
          <w:trHeight w:val="227"/>
        </w:trPr>
        <w:tc>
          <w:tcPr>
            <w:tcW w:w="3544" w:type="dxa"/>
            <w:vMerge w:val="restart"/>
            <w:tcBorders>
              <w:top w:val="double" w:sz="6" w:space="0" w:color="auto"/>
              <w:right w:val="dotted" w:sz="4" w:space="0" w:color="auto"/>
            </w:tcBorders>
            <w:vAlign w:val="center"/>
          </w:tcPr>
          <w:p w:rsidR="004F6845" w:rsidRPr="008958A5" w:rsidRDefault="004F6845" w:rsidP="004F6845">
            <w:pPr>
              <w:jc w:val="center"/>
              <w:rPr>
                <w:b/>
                <w:sz w:val="20"/>
                <w:szCs w:val="20"/>
              </w:rPr>
            </w:pPr>
            <w:r>
              <w:rPr>
                <w:b/>
                <w:sz w:val="20"/>
                <w:szCs w:val="20"/>
              </w:rPr>
              <w:t xml:space="preserve">Дотации </w:t>
            </w:r>
          </w:p>
        </w:tc>
        <w:tc>
          <w:tcPr>
            <w:tcW w:w="1104" w:type="dxa"/>
            <w:vMerge w:val="restart"/>
            <w:tcBorders>
              <w:top w:val="double" w:sz="6" w:space="0" w:color="auto"/>
              <w:left w:val="dotted" w:sz="4" w:space="0" w:color="auto"/>
              <w:right w:val="dotted" w:sz="4" w:space="0" w:color="auto"/>
            </w:tcBorders>
            <w:vAlign w:val="center"/>
          </w:tcPr>
          <w:p w:rsidR="004F6845" w:rsidRPr="008958A5" w:rsidRDefault="004F6845" w:rsidP="004F6845">
            <w:pPr>
              <w:jc w:val="center"/>
              <w:rPr>
                <w:b/>
                <w:sz w:val="20"/>
                <w:szCs w:val="20"/>
              </w:rPr>
            </w:pPr>
            <w:r w:rsidRPr="008958A5">
              <w:rPr>
                <w:b/>
                <w:sz w:val="20"/>
                <w:szCs w:val="20"/>
              </w:rPr>
              <w:t xml:space="preserve">Ед. </w:t>
            </w:r>
            <w:proofErr w:type="spellStart"/>
            <w:r w:rsidRPr="008958A5">
              <w:rPr>
                <w:b/>
                <w:sz w:val="20"/>
                <w:szCs w:val="20"/>
              </w:rPr>
              <w:t>изм</w:t>
            </w:r>
            <w:proofErr w:type="spellEnd"/>
            <w:r w:rsidRPr="008958A5">
              <w:rPr>
                <w:b/>
                <w:sz w:val="20"/>
                <w:szCs w:val="20"/>
              </w:rPr>
              <w:t>.</w:t>
            </w:r>
          </w:p>
        </w:tc>
        <w:tc>
          <w:tcPr>
            <w:tcW w:w="5024" w:type="dxa"/>
            <w:gridSpan w:val="4"/>
            <w:tcBorders>
              <w:top w:val="double" w:sz="6" w:space="0" w:color="auto"/>
              <w:left w:val="dotted" w:sz="4" w:space="0" w:color="auto"/>
              <w:bottom w:val="dotted" w:sz="4" w:space="0" w:color="auto"/>
            </w:tcBorders>
            <w:vAlign w:val="center"/>
          </w:tcPr>
          <w:p w:rsidR="004F6845" w:rsidRPr="008958A5" w:rsidRDefault="004F6845" w:rsidP="004F6845">
            <w:pPr>
              <w:jc w:val="center"/>
              <w:rPr>
                <w:b/>
                <w:sz w:val="20"/>
                <w:szCs w:val="20"/>
              </w:rPr>
            </w:pPr>
            <w:r w:rsidRPr="008958A5">
              <w:rPr>
                <w:b/>
                <w:sz w:val="20"/>
                <w:szCs w:val="20"/>
              </w:rPr>
              <w:t>критерий выравнивания на одного жителя</w:t>
            </w:r>
          </w:p>
        </w:tc>
      </w:tr>
      <w:tr w:rsidR="004F6845" w:rsidRPr="008958A5" w:rsidTr="004F6845">
        <w:trPr>
          <w:trHeight w:val="227"/>
        </w:trPr>
        <w:tc>
          <w:tcPr>
            <w:tcW w:w="3544" w:type="dxa"/>
            <w:vMerge/>
            <w:tcBorders>
              <w:bottom w:val="dotted" w:sz="4" w:space="0" w:color="auto"/>
              <w:right w:val="dotted" w:sz="4" w:space="0" w:color="auto"/>
            </w:tcBorders>
            <w:vAlign w:val="center"/>
          </w:tcPr>
          <w:p w:rsidR="004F6845" w:rsidRPr="008958A5" w:rsidRDefault="004F6845" w:rsidP="004F6845">
            <w:pPr>
              <w:rPr>
                <w:b/>
                <w:sz w:val="20"/>
                <w:szCs w:val="20"/>
              </w:rPr>
            </w:pPr>
          </w:p>
        </w:tc>
        <w:tc>
          <w:tcPr>
            <w:tcW w:w="1104" w:type="dxa"/>
            <w:vMerge/>
            <w:tcBorders>
              <w:left w:val="dotted" w:sz="4" w:space="0" w:color="auto"/>
              <w:bottom w:val="dotted" w:sz="4" w:space="0" w:color="auto"/>
              <w:right w:val="dotted" w:sz="4" w:space="0" w:color="auto"/>
            </w:tcBorders>
            <w:vAlign w:val="center"/>
          </w:tcPr>
          <w:p w:rsidR="004F6845" w:rsidRPr="008958A5" w:rsidRDefault="004F6845" w:rsidP="004F6845">
            <w:pPr>
              <w:rPr>
                <w:b/>
                <w:sz w:val="20"/>
                <w:szCs w:val="20"/>
              </w:rPr>
            </w:pPr>
          </w:p>
        </w:tc>
        <w:tc>
          <w:tcPr>
            <w:tcW w:w="1197" w:type="dxa"/>
            <w:tcBorders>
              <w:top w:val="dotted" w:sz="4" w:space="0" w:color="auto"/>
              <w:left w:val="dotted" w:sz="4" w:space="0" w:color="auto"/>
              <w:bottom w:val="dotted" w:sz="4" w:space="0" w:color="auto"/>
              <w:right w:val="dotted" w:sz="4" w:space="0" w:color="auto"/>
            </w:tcBorders>
            <w:vAlign w:val="bottom"/>
          </w:tcPr>
          <w:p w:rsidR="004F6845" w:rsidRPr="008958A5" w:rsidRDefault="004F6845" w:rsidP="004F6845">
            <w:pPr>
              <w:jc w:val="center"/>
              <w:rPr>
                <w:b/>
                <w:sz w:val="18"/>
                <w:szCs w:val="18"/>
              </w:rPr>
            </w:pPr>
            <w:r w:rsidRPr="008958A5">
              <w:rPr>
                <w:b/>
                <w:sz w:val="18"/>
                <w:szCs w:val="18"/>
              </w:rPr>
              <w:t>201</w:t>
            </w:r>
            <w:r>
              <w:rPr>
                <w:b/>
                <w:sz w:val="18"/>
                <w:szCs w:val="18"/>
              </w:rPr>
              <w:t>9</w:t>
            </w:r>
            <w:r w:rsidRPr="008958A5">
              <w:rPr>
                <w:b/>
                <w:sz w:val="18"/>
                <w:szCs w:val="18"/>
              </w:rPr>
              <w:t xml:space="preserve"> год</w:t>
            </w:r>
          </w:p>
        </w:tc>
        <w:tc>
          <w:tcPr>
            <w:tcW w:w="1276" w:type="dxa"/>
            <w:tcBorders>
              <w:top w:val="dotted" w:sz="4" w:space="0" w:color="auto"/>
              <w:left w:val="dotted" w:sz="4" w:space="0" w:color="auto"/>
              <w:bottom w:val="dotted" w:sz="4" w:space="0" w:color="auto"/>
              <w:right w:val="dotted" w:sz="4" w:space="0" w:color="auto"/>
            </w:tcBorders>
            <w:vAlign w:val="bottom"/>
          </w:tcPr>
          <w:p w:rsidR="004F6845" w:rsidRPr="008958A5" w:rsidRDefault="004F6845" w:rsidP="004F6845">
            <w:pPr>
              <w:jc w:val="center"/>
              <w:rPr>
                <w:b/>
                <w:sz w:val="18"/>
                <w:szCs w:val="18"/>
              </w:rPr>
            </w:pPr>
            <w:r>
              <w:rPr>
                <w:b/>
                <w:sz w:val="18"/>
                <w:szCs w:val="18"/>
              </w:rPr>
              <w:t>2020</w:t>
            </w:r>
            <w:r w:rsidRPr="008958A5">
              <w:rPr>
                <w:b/>
                <w:sz w:val="18"/>
                <w:szCs w:val="18"/>
              </w:rPr>
              <w:t xml:space="preserve"> год</w:t>
            </w:r>
          </w:p>
        </w:tc>
        <w:tc>
          <w:tcPr>
            <w:tcW w:w="1276" w:type="dxa"/>
            <w:tcBorders>
              <w:top w:val="dotted" w:sz="4" w:space="0" w:color="auto"/>
              <w:left w:val="dotted" w:sz="4" w:space="0" w:color="auto"/>
              <w:bottom w:val="dotted" w:sz="4" w:space="0" w:color="auto"/>
              <w:right w:val="dotted" w:sz="4" w:space="0" w:color="auto"/>
            </w:tcBorders>
            <w:vAlign w:val="bottom"/>
          </w:tcPr>
          <w:p w:rsidR="004F6845" w:rsidRPr="008958A5" w:rsidRDefault="004F6845" w:rsidP="004F6845">
            <w:pPr>
              <w:jc w:val="center"/>
              <w:rPr>
                <w:b/>
                <w:sz w:val="18"/>
                <w:szCs w:val="18"/>
              </w:rPr>
            </w:pPr>
            <w:r>
              <w:rPr>
                <w:b/>
                <w:sz w:val="18"/>
                <w:szCs w:val="18"/>
              </w:rPr>
              <w:t>2021</w:t>
            </w:r>
            <w:r w:rsidRPr="008958A5">
              <w:rPr>
                <w:b/>
                <w:sz w:val="18"/>
                <w:szCs w:val="18"/>
              </w:rPr>
              <w:t xml:space="preserve"> год</w:t>
            </w:r>
          </w:p>
        </w:tc>
        <w:tc>
          <w:tcPr>
            <w:tcW w:w="1275" w:type="dxa"/>
            <w:tcBorders>
              <w:top w:val="dotted" w:sz="4" w:space="0" w:color="auto"/>
              <w:left w:val="dotted" w:sz="4" w:space="0" w:color="auto"/>
              <w:bottom w:val="dotted" w:sz="4" w:space="0" w:color="auto"/>
            </w:tcBorders>
            <w:vAlign w:val="bottom"/>
          </w:tcPr>
          <w:p w:rsidR="004F6845" w:rsidRPr="008958A5" w:rsidRDefault="004F6845" w:rsidP="004F6845">
            <w:pPr>
              <w:jc w:val="center"/>
              <w:rPr>
                <w:b/>
                <w:sz w:val="18"/>
                <w:szCs w:val="18"/>
              </w:rPr>
            </w:pPr>
            <w:r>
              <w:rPr>
                <w:b/>
                <w:sz w:val="18"/>
                <w:szCs w:val="18"/>
              </w:rPr>
              <w:t>2022</w:t>
            </w:r>
            <w:r w:rsidRPr="008958A5">
              <w:rPr>
                <w:b/>
                <w:sz w:val="18"/>
                <w:szCs w:val="18"/>
              </w:rPr>
              <w:t xml:space="preserve"> год</w:t>
            </w:r>
          </w:p>
        </w:tc>
      </w:tr>
      <w:tr w:rsidR="004F6845" w:rsidRPr="008958A5" w:rsidTr="004F6845">
        <w:trPr>
          <w:trHeight w:hRule="exact" w:val="255"/>
        </w:trPr>
        <w:tc>
          <w:tcPr>
            <w:tcW w:w="3544" w:type="dxa"/>
            <w:tcBorders>
              <w:top w:val="dotted" w:sz="4" w:space="0" w:color="auto"/>
              <w:bottom w:val="dotted" w:sz="4" w:space="0" w:color="auto"/>
              <w:right w:val="dotted" w:sz="4" w:space="0" w:color="auto"/>
            </w:tcBorders>
            <w:vAlign w:val="center"/>
          </w:tcPr>
          <w:p w:rsidR="004F6845" w:rsidRPr="008958A5" w:rsidRDefault="004F6845" w:rsidP="004F6845">
            <w:pPr>
              <w:rPr>
                <w:sz w:val="20"/>
                <w:szCs w:val="20"/>
              </w:rPr>
            </w:pPr>
            <w:r w:rsidRPr="008958A5">
              <w:rPr>
                <w:sz w:val="20"/>
                <w:szCs w:val="20"/>
              </w:rPr>
              <w:t>ФФПП (в части ГО)</w:t>
            </w:r>
            <w:r>
              <w:rPr>
                <w:sz w:val="20"/>
                <w:szCs w:val="20"/>
              </w:rPr>
              <w:t xml:space="preserve"> </w:t>
            </w:r>
          </w:p>
        </w:tc>
        <w:tc>
          <w:tcPr>
            <w:tcW w:w="1104" w:type="dxa"/>
            <w:tcBorders>
              <w:top w:val="dotted" w:sz="4" w:space="0" w:color="auto"/>
              <w:left w:val="dotted" w:sz="4" w:space="0" w:color="auto"/>
              <w:bottom w:val="dotted" w:sz="4" w:space="0" w:color="auto"/>
              <w:right w:val="dotted" w:sz="4" w:space="0" w:color="auto"/>
            </w:tcBorders>
            <w:vAlign w:val="center"/>
          </w:tcPr>
          <w:p w:rsidR="004F6845" w:rsidRPr="008958A5" w:rsidRDefault="004F6845" w:rsidP="004F6845">
            <w:pPr>
              <w:jc w:val="center"/>
              <w:rPr>
                <w:sz w:val="20"/>
                <w:szCs w:val="20"/>
              </w:rPr>
            </w:pPr>
            <w:r w:rsidRPr="008958A5">
              <w:rPr>
                <w:sz w:val="20"/>
                <w:szCs w:val="20"/>
              </w:rPr>
              <w:t>руб.</w:t>
            </w:r>
          </w:p>
        </w:tc>
        <w:tc>
          <w:tcPr>
            <w:tcW w:w="1197" w:type="dxa"/>
            <w:tcBorders>
              <w:top w:val="dotted" w:sz="4" w:space="0" w:color="auto"/>
              <w:left w:val="dotted" w:sz="4" w:space="0" w:color="auto"/>
              <w:bottom w:val="dotted" w:sz="4" w:space="0" w:color="auto"/>
              <w:right w:val="dotted" w:sz="4" w:space="0" w:color="auto"/>
            </w:tcBorders>
            <w:vAlign w:val="center"/>
          </w:tcPr>
          <w:p w:rsidR="004F6845" w:rsidRPr="008958A5" w:rsidRDefault="004F6845" w:rsidP="004F6845">
            <w:pPr>
              <w:jc w:val="center"/>
              <w:rPr>
                <w:sz w:val="18"/>
                <w:szCs w:val="18"/>
              </w:rPr>
            </w:pPr>
            <w:r>
              <w:rPr>
                <w:sz w:val="18"/>
                <w:szCs w:val="18"/>
              </w:rPr>
              <w:t>11</w:t>
            </w:r>
            <w:r w:rsidRPr="008958A5">
              <w:rPr>
                <w:sz w:val="18"/>
                <w:szCs w:val="18"/>
              </w:rPr>
              <w:t>50</w:t>
            </w:r>
          </w:p>
        </w:tc>
        <w:tc>
          <w:tcPr>
            <w:tcW w:w="1276" w:type="dxa"/>
            <w:tcBorders>
              <w:top w:val="dotted" w:sz="4" w:space="0" w:color="auto"/>
              <w:left w:val="dotted" w:sz="4" w:space="0" w:color="auto"/>
              <w:bottom w:val="dotted" w:sz="4" w:space="0" w:color="auto"/>
              <w:right w:val="dotted" w:sz="4" w:space="0" w:color="auto"/>
            </w:tcBorders>
            <w:vAlign w:val="center"/>
          </w:tcPr>
          <w:p w:rsidR="004F6845" w:rsidRPr="00FA09E8" w:rsidRDefault="004F6845" w:rsidP="004F6845">
            <w:pPr>
              <w:jc w:val="center"/>
              <w:rPr>
                <w:sz w:val="18"/>
                <w:szCs w:val="18"/>
              </w:rPr>
            </w:pPr>
            <w:r>
              <w:rPr>
                <w:sz w:val="18"/>
                <w:szCs w:val="18"/>
              </w:rPr>
              <w:t>-</w:t>
            </w:r>
          </w:p>
        </w:tc>
        <w:tc>
          <w:tcPr>
            <w:tcW w:w="1276" w:type="dxa"/>
            <w:tcBorders>
              <w:top w:val="dotted" w:sz="4" w:space="0" w:color="auto"/>
              <w:left w:val="dotted" w:sz="4" w:space="0" w:color="auto"/>
              <w:bottom w:val="dotted" w:sz="4" w:space="0" w:color="auto"/>
              <w:right w:val="dotted" w:sz="4" w:space="0" w:color="auto"/>
            </w:tcBorders>
            <w:vAlign w:val="center"/>
          </w:tcPr>
          <w:p w:rsidR="004F6845" w:rsidRPr="00FA09E8" w:rsidRDefault="004F6845" w:rsidP="004F6845">
            <w:pPr>
              <w:jc w:val="center"/>
              <w:rPr>
                <w:sz w:val="18"/>
                <w:szCs w:val="18"/>
              </w:rPr>
            </w:pPr>
            <w:r>
              <w:rPr>
                <w:sz w:val="18"/>
                <w:szCs w:val="18"/>
              </w:rPr>
              <w:t>-</w:t>
            </w:r>
          </w:p>
        </w:tc>
        <w:tc>
          <w:tcPr>
            <w:tcW w:w="1275" w:type="dxa"/>
            <w:tcBorders>
              <w:top w:val="dotted" w:sz="4" w:space="0" w:color="auto"/>
              <w:left w:val="dotted" w:sz="4" w:space="0" w:color="auto"/>
              <w:bottom w:val="dotted" w:sz="4" w:space="0" w:color="auto"/>
            </w:tcBorders>
            <w:vAlign w:val="center"/>
          </w:tcPr>
          <w:p w:rsidR="004F6845" w:rsidRPr="00FA09E8" w:rsidRDefault="004F6845" w:rsidP="004F6845">
            <w:pPr>
              <w:jc w:val="center"/>
              <w:rPr>
                <w:sz w:val="18"/>
                <w:szCs w:val="18"/>
              </w:rPr>
            </w:pPr>
            <w:r>
              <w:rPr>
                <w:sz w:val="18"/>
                <w:szCs w:val="18"/>
              </w:rPr>
              <w:t>-</w:t>
            </w:r>
          </w:p>
        </w:tc>
      </w:tr>
      <w:tr w:rsidR="004F6845" w:rsidRPr="008958A5" w:rsidTr="004F6845">
        <w:trPr>
          <w:trHeight w:hRule="exact" w:val="927"/>
        </w:trPr>
        <w:tc>
          <w:tcPr>
            <w:tcW w:w="3544" w:type="dxa"/>
            <w:tcBorders>
              <w:top w:val="dotted" w:sz="4" w:space="0" w:color="auto"/>
              <w:bottom w:val="dotted" w:sz="4" w:space="0" w:color="auto"/>
              <w:right w:val="dotted" w:sz="4" w:space="0" w:color="auto"/>
            </w:tcBorders>
            <w:vAlign w:val="center"/>
          </w:tcPr>
          <w:p w:rsidR="004F6845" w:rsidRPr="00883671" w:rsidRDefault="004F6845" w:rsidP="004F6845">
            <w:pPr>
              <w:jc w:val="both"/>
              <w:rPr>
                <w:i/>
                <w:sz w:val="20"/>
                <w:szCs w:val="20"/>
              </w:rPr>
            </w:pPr>
            <w:r w:rsidRPr="00883671">
              <w:rPr>
                <w:i/>
                <w:sz w:val="20"/>
                <w:szCs w:val="20"/>
              </w:rPr>
              <w:t xml:space="preserve">ФФПП (в части поселений) (в 2019 </w:t>
            </w:r>
            <w:r>
              <w:rPr>
                <w:i/>
                <w:sz w:val="20"/>
                <w:szCs w:val="20"/>
              </w:rPr>
              <w:t>году), дотации на выравнивание бюджетной обеспеченности поселений (с 2020 года)</w:t>
            </w:r>
          </w:p>
        </w:tc>
        <w:tc>
          <w:tcPr>
            <w:tcW w:w="1104" w:type="dxa"/>
            <w:tcBorders>
              <w:top w:val="dotted" w:sz="4" w:space="0" w:color="auto"/>
              <w:left w:val="dotted" w:sz="4" w:space="0" w:color="auto"/>
              <w:bottom w:val="dotted" w:sz="4" w:space="0" w:color="auto"/>
              <w:right w:val="dotted" w:sz="4" w:space="0" w:color="auto"/>
            </w:tcBorders>
            <w:vAlign w:val="center"/>
          </w:tcPr>
          <w:p w:rsidR="004F6845" w:rsidRPr="008958A5" w:rsidRDefault="004F6845" w:rsidP="004F6845">
            <w:pPr>
              <w:jc w:val="center"/>
              <w:rPr>
                <w:sz w:val="20"/>
                <w:szCs w:val="20"/>
              </w:rPr>
            </w:pPr>
            <w:r w:rsidRPr="008958A5">
              <w:rPr>
                <w:sz w:val="20"/>
                <w:szCs w:val="20"/>
              </w:rPr>
              <w:t>руб.</w:t>
            </w:r>
          </w:p>
        </w:tc>
        <w:tc>
          <w:tcPr>
            <w:tcW w:w="1197" w:type="dxa"/>
            <w:tcBorders>
              <w:top w:val="dotted" w:sz="4" w:space="0" w:color="auto"/>
              <w:left w:val="dotted" w:sz="4" w:space="0" w:color="auto"/>
              <w:bottom w:val="dotted" w:sz="4" w:space="0" w:color="auto"/>
              <w:right w:val="dotted" w:sz="4" w:space="0" w:color="auto"/>
            </w:tcBorders>
            <w:vAlign w:val="center"/>
          </w:tcPr>
          <w:p w:rsidR="004F6845" w:rsidRPr="008958A5" w:rsidRDefault="004F6845" w:rsidP="004F6845">
            <w:pPr>
              <w:jc w:val="center"/>
              <w:rPr>
                <w:sz w:val="18"/>
                <w:szCs w:val="18"/>
              </w:rPr>
            </w:pPr>
            <w:r>
              <w:rPr>
                <w:sz w:val="18"/>
                <w:szCs w:val="18"/>
              </w:rPr>
              <w:t>11</w:t>
            </w:r>
            <w:r w:rsidRPr="008958A5">
              <w:rPr>
                <w:sz w:val="18"/>
                <w:szCs w:val="18"/>
              </w:rPr>
              <w:t>50</w:t>
            </w:r>
          </w:p>
        </w:tc>
        <w:tc>
          <w:tcPr>
            <w:tcW w:w="1276" w:type="dxa"/>
            <w:tcBorders>
              <w:top w:val="dotted" w:sz="4" w:space="0" w:color="auto"/>
              <w:left w:val="dotted" w:sz="4" w:space="0" w:color="auto"/>
              <w:bottom w:val="dotted" w:sz="4" w:space="0" w:color="auto"/>
              <w:right w:val="dotted" w:sz="4" w:space="0" w:color="auto"/>
            </w:tcBorders>
            <w:vAlign w:val="center"/>
          </w:tcPr>
          <w:p w:rsidR="004F6845" w:rsidRPr="00FA09E8" w:rsidRDefault="004F6845" w:rsidP="004F6845">
            <w:pPr>
              <w:jc w:val="center"/>
              <w:rPr>
                <w:sz w:val="18"/>
                <w:szCs w:val="18"/>
              </w:rPr>
            </w:pPr>
            <w:r w:rsidRPr="00FA09E8">
              <w:rPr>
                <w:sz w:val="18"/>
                <w:szCs w:val="18"/>
              </w:rPr>
              <w:t>1</w:t>
            </w:r>
            <w:r>
              <w:rPr>
                <w:sz w:val="18"/>
                <w:szCs w:val="18"/>
              </w:rPr>
              <w:t>200</w:t>
            </w:r>
          </w:p>
        </w:tc>
        <w:tc>
          <w:tcPr>
            <w:tcW w:w="1276" w:type="dxa"/>
            <w:tcBorders>
              <w:top w:val="dotted" w:sz="4" w:space="0" w:color="auto"/>
              <w:left w:val="dotted" w:sz="4" w:space="0" w:color="auto"/>
              <w:bottom w:val="dotted" w:sz="4" w:space="0" w:color="auto"/>
              <w:right w:val="dotted" w:sz="4" w:space="0" w:color="auto"/>
            </w:tcBorders>
            <w:vAlign w:val="center"/>
          </w:tcPr>
          <w:p w:rsidR="004F6845" w:rsidRPr="00FA09E8" w:rsidRDefault="004F6845" w:rsidP="004F6845">
            <w:pPr>
              <w:jc w:val="center"/>
              <w:rPr>
                <w:sz w:val="18"/>
                <w:szCs w:val="18"/>
              </w:rPr>
            </w:pPr>
            <w:r w:rsidRPr="00FA09E8">
              <w:rPr>
                <w:sz w:val="18"/>
                <w:szCs w:val="18"/>
              </w:rPr>
              <w:t>1</w:t>
            </w:r>
            <w:r>
              <w:rPr>
                <w:sz w:val="18"/>
                <w:szCs w:val="18"/>
              </w:rPr>
              <w:t>200</w:t>
            </w:r>
          </w:p>
        </w:tc>
        <w:tc>
          <w:tcPr>
            <w:tcW w:w="1275" w:type="dxa"/>
            <w:tcBorders>
              <w:top w:val="dotted" w:sz="4" w:space="0" w:color="auto"/>
              <w:left w:val="dotted" w:sz="4" w:space="0" w:color="auto"/>
              <w:bottom w:val="dotted" w:sz="4" w:space="0" w:color="auto"/>
            </w:tcBorders>
            <w:vAlign w:val="center"/>
          </w:tcPr>
          <w:p w:rsidR="004F6845" w:rsidRPr="00FA09E8" w:rsidRDefault="004F6845" w:rsidP="004F6845">
            <w:pPr>
              <w:jc w:val="center"/>
              <w:rPr>
                <w:sz w:val="18"/>
                <w:szCs w:val="18"/>
              </w:rPr>
            </w:pPr>
            <w:r w:rsidRPr="00FA09E8">
              <w:rPr>
                <w:sz w:val="18"/>
                <w:szCs w:val="18"/>
              </w:rPr>
              <w:t>1</w:t>
            </w:r>
            <w:r>
              <w:rPr>
                <w:sz w:val="18"/>
                <w:szCs w:val="18"/>
              </w:rPr>
              <w:t>200</w:t>
            </w:r>
          </w:p>
        </w:tc>
      </w:tr>
      <w:tr w:rsidR="004F6845" w:rsidRPr="008958A5" w:rsidTr="004F6845">
        <w:trPr>
          <w:trHeight w:hRule="exact" w:val="1001"/>
        </w:trPr>
        <w:tc>
          <w:tcPr>
            <w:tcW w:w="3544" w:type="dxa"/>
            <w:tcBorders>
              <w:top w:val="dotted" w:sz="4" w:space="0" w:color="auto"/>
              <w:bottom w:val="double" w:sz="6" w:space="0" w:color="auto"/>
              <w:right w:val="dotted" w:sz="4" w:space="0" w:color="auto"/>
            </w:tcBorders>
            <w:vAlign w:val="center"/>
          </w:tcPr>
          <w:p w:rsidR="004F6845" w:rsidRPr="00883671" w:rsidRDefault="004F6845" w:rsidP="004F6845">
            <w:pPr>
              <w:jc w:val="both"/>
              <w:rPr>
                <w:i/>
                <w:sz w:val="20"/>
                <w:szCs w:val="20"/>
              </w:rPr>
            </w:pPr>
            <w:r w:rsidRPr="00883671">
              <w:rPr>
                <w:i/>
                <w:sz w:val="20"/>
                <w:szCs w:val="20"/>
              </w:rPr>
              <w:t>ФФП МР (ГО)</w:t>
            </w:r>
            <w:r>
              <w:rPr>
                <w:i/>
                <w:sz w:val="20"/>
                <w:szCs w:val="20"/>
              </w:rPr>
              <w:t xml:space="preserve"> </w:t>
            </w:r>
            <w:r w:rsidRPr="00883671">
              <w:rPr>
                <w:i/>
                <w:sz w:val="20"/>
                <w:szCs w:val="20"/>
              </w:rPr>
              <w:t>(</w:t>
            </w:r>
            <w:r>
              <w:rPr>
                <w:i/>
                <w:sz w:val="20"/>
                <w:szCs w:val="20"/>
              </w:rPr>
              <w:t xml:space="preserve">в </w:t>
            </w:r>
            <w:r w:rsidRPr="00883671">
              <w:rPr>
                <w:i/>
                <w:sz w:val="20"/>
                <w:szCs w:val="20"/>
              </w:rPr>
              <w:t>2019 году), дотаций</w:t>
            </w:r>
            <w:r w:rsidRPr="00883671">
              <w:rPr>
                <w:i/>
              </w:rPr>
              <w:t xml:space="preserve">  </w:t>
            </w:r>
            <w:r w:rsidRPr="00883671">
              <w:rPr>
                <w:i/>
                <w:sz w:val="20"/>
                <w:szCs w:val="20"/>
              </w:rPr>
              <w:t xml:space="preserve">на выравнивание бюджетной обеспеченности </w:t>
            </w:r>
            <w:r w:rsidRPr="00883671">
              <w:rPr>
                <w:i/>
              </w:rPr>
              <w:t xml:space="preserve"> </w:t>
            </w:r>
            <w:r w:rsidRPr="00883671">
              <w:rPr>
                <w:i/>
                <w:sz w:val="20"/>
                <w:szCs w:val="20"/>
              </w:rPr>
              <w:t>МР (ГО)</w:t>
            </w:r>
          </w:p>
        </w:tc>
        <w:tc>
          <w:tcPr>
            <w:tcW w:w="1104" w:type="dxa"/>
            <w:tcBorders>
              <w:top w:val="dotted" w:sz="4" w:space="0" w:color="auto"/>
              <w:left w:val="dotted" w:sz="4" w:space="0" w:color="auto"/>
              <w:bottom w:val="double" w:sz="6" w:space="0" w:color="auto"/>
              <w:right w:val="dotted" w:sz="4" w:space="0" w:color="auto"/>
            </w:tcBorders>
            <w:vAlign w:val="center"/>
          </w:tcPr>
          <w:p w:rsidR="004F6845" w:rsidRPr="008958A5" w:rsidRDefault="004F6845" w:rsidP="004F6845">
            <w:pPr>
              <w:rPr>
                <w:sz w:val="20"/>
                <w:szCs w:val="20"/>
              </w:rPr>
            </w:pPr>
            <w:proofErr w:type="spellStart"/>
            <w:r w:rsidRPr="008958A5">
              <w:rPr>
                <w:sz w:val="20"/>
                <w:szCs w:val="20"/>
              </w:rPr>
              <w:t>коэфф.-т</w:t>
            </w:r>
            <w:proofErr w:type="spellEnd"/>
          </w:p>
        </w:tc>
        <w:tc>
          <w:tcPr>
            <w:tcW w:w="1197" w:type="dxa"/>
            <w:tcBorders>
              <w:top w:val="dotted" w:sz="4" w:space="0" w:color="auto"/>
              <w:left w:val="dotted" w:sz="4" w:space="0" w:color="auto"/>
              <w:bottom w:val="double" w:sz="6" w:space="0" w:color="auto"/>
              <w:right w:val="dotted" w:sz="4" w:space="0" w:color="auto"/>
            </w:tcBorders>
            <w:vAlign w:val="center"/>
          </w:tcPr>
          <w:p w:rsidR="004F6845" w:rsidRPr="000D5E71" w:rsidRDefault="004F6845" w:rsidP="004F6845">
            <w:pPr>
              <w:jc w:val="center"/>
              <w:rPr>
                <w:sz w:val="18"/>
                <w:szCs w:val="18"/>
              </w:rPr>
            </w:pPr>
            <w:r>
              <w:rPr>
                <w:sz w:val="18"/>
                <w:szCs w:val="18"/>
              </w:rPr>
              <w:t>1,0</w:t>
            </w:r>
          </w:p>
        </w:tc>
        <w:tc>
          <w:tcPr>
            <w:tcW w:w="1276" w:type="dxa"/>
            <w:tcBorders>
              <w:top w:val="dotted" w:sz="4" w:space="0" w:color="auto"/>
              <w:left w:val="dotted" w:sz="4" w:space="0" w:color="auto"/>
              <w:bottom w:val="double" w:sz="6" w:space="0" w:color="auto"/>
              <w:right w:val="dotted" w:sz="4" w:space="0" w:color="auto"/>
            </w:tcBorders>
            <w:vAlign w:val="center"/>
          </w:tcPr>
          <w:p w:rsidR="004F6845" w:rsidRPr="000D5E71" w:rsidRDefault="004F6845" w:rsidP="004F6845">
            <w:pPr>
              <w:jc w:val="center"/>
              <w:rPr>
                <w:sz w:val="18"/>
                <w:szCs w:val="18"/>
              </w:rPr>
            </w:pPr>
            <w:r w:rsidRPr="000D5E71">
              <w:rPr>
                <w:sz w:val="18"/>
                <w:szCs w:val="18"/>
              </w:rPr>
              <w:t>1,0</w:t>
            </w:r>
          </w:p>
        </w:tc>
        <w:tc>
          <w:tcPr>
            <w:tcW w:w="1276" w:type="dxa"/>
            <w:tcBorders>
              <w:top w:val="dotted" w:sz="4" w:space="0" w:color="auto"/>
              <w:left w:val="dotted" w:sz="4" w:space="0" w:color="auto"/>
              <w:bottom w:val="double" w:sz="6" w:space="0" w:color="auto"/>
              <w:right w:val="dotted" w:sz="4" w:space="0" w:color="auto"/>
            </w:tcBorders>
            <w:vAlign w:val="center"/>
          </w:tcPr>
          <w:p w:rsidR="004F6845" w:rsidRPr="000D5E71" w:rsidRDefault="004F6845" w:rsidP="004F6845">
            <w:pPr>
              <w:jc w:val="center"/>
              <w:rPr>
                <w:sz w:val="18"/>
                <w:szCs w:val="18"/>
              </w:rPr>
            </w:pPr>
            <w:r>
              <w:rPr>
                <w:sz w:val="18"/>
                <w:szCs w:val="18"/>
              </w:rPr>
              <w:t>1,0</w:t>
            </w:r>
          </w:p>
        </w:tc>
        <w:tc>
          <w:tcPr>
            <w:tcW w:w="1275" w:type="dxa"/>
            <w:tcBorders>
              <w:top w:val="dotted" w:sz="4" w:space="0" w:color="auto"/>
              <w:left w:val="dotted" w:sz="4" w:space="0" w:color="auto"/>
              <w:bottom w:val="double" w:sz="6" w:space="0" w:color="auto"/>
            </w:tcBorders>
            <w:vAlign w:val="center"/>
          </w:tcPr>
          <w:p w:rsidR="004F6845" w:rsidRPr="000D5E71" w:rsidRDefault="004F6845" w:rsidP="004F6845">
            <w:pPr>
              <w:jc w:val="center"/>
              <w:rPr>
                <w:sz w:val="18"/>
                <w:szCs w:val="18"/>
              </w:rPr>
            </w:pPr>
            <w:r w:rsidRPr="000D5E71">
              <w:rPr>
                <w:sz w:val="18"/>
                <w:szCs w:val="18"/>
              </w:rPr>
              <w:t>1,0</w:t>
            </w:r>
          </w:p>
        </w:tc>
      </w:tr>
    </w:tbl>
    <w:p w:rsidR="004F6845" w:rsidRPr="008958A5" w:rsidRDefault="004F6845" w:rsidP="004F6845">
      <w:pPr>
        <w:autoSpaceDE w:val="0"/>
        <w:autoSpaceDN w:val="0"/>
        <w:adjustRightInd w:val="0"/>
        <w:jc w:val="both"/>
        <w:outlineLvl w:val="1"/>
      </w:pPr>
    </w:p>
    <w:p w:rsidR="004F6845" w:rsidRDefault="0065523C" w:rsidP="0065523C">
      <w:pPr>
        <w:autoSpaceDE w:val="0"/>
        <w:autoSpaceDN w:val="0"/>
        <w:adjustRightInd w:val="0"/>
        <w:jc w:val="center"/>
        <w:outlineLvl w:val="1"/>
        <w:rPr>
          <w:b/>
          <w:i/>
        </w:rPr>
      </w:pPr>
      <w:r>
        <w:rPr>
          <w:b/>
          <w:i/>
        </w:rPr>
        <w:t xml:space="preserve">6. </w:t>
      </w:r>
      <w:r w:rsidR="004F6845" w:rsidRPr="00FD477A">
        <w:rPr>
          <w:b/>
          <w:i/>
        </w:rPr>
        <w:t>Размеры расчетного объема дотаций на выравнивание бюджетной обеспеченности  поселений и дотаций на выравнивание бюджетной обеспеченности муниципал</w:t>
      </w:r>
      <w:r w:rsidR="00917240">
        <w:rPr>
          <w:b/>
          <w:i/>
        </w:rPr>
        <w:t>ьных районов (городских округов</w:t>
      </w:r>
      <w:r w:rsidR="004F6845" w:rsidRPr="00FD477A">
        <w:rPr>
          <w:b/>
          <w:i/>
        </w:rPr>
        <w:t>)</w:t>
      </w:r>
    </w:p>
    <w:p w:rsidR="004F6845" w:rsidRPr="00BB3FDB" w:rsidRDefault="004F6845" w:rsidP="004F6845">
      <w:pPr>
        <w:pStyle w:val="ConsPlusNormal"/>
        <w:ind w:firstLine="652"/>
        <w:jc w:val="both"/>
        <w:rPr>
          <w:rFonts w:ascii="Times New Roman" w:hAnsi="Times New Roman"/>
          <w:sz w:val="24"/>
          <w:szCs w:val="24"/>
        </w:rPr>
      </w:pPr>
      <w:r w:rsidRPr="009C5D1C">
        <w:rPr>
          <w:rFonts w:ascii="Times New Roman" w:hAnsi="Times New Roman"/>
          <w:sz w:val="24"/>
          <w:szCs w:val="24"/>
        </w:rPr>
        <w:t xml:space="preserve">В связи с приведением </w:t>
      </w:r>
      <w:r w:rsidRPr="009C5D1C">
        <w:rPr>
          <w:rFonts w:ascii="Times New Roman" w:hAnsi="Times New Roman" w:cs="Times New Roman"/>
          <w:sz w:val="24"/>
          <w:szCs w:val="24"/>
        </w:rPr>
        <w:t>Закон</w:t>
      </w:r>
      <w:r w:rsidRPr="009C5D1C">
        <w:rPr>
          <w:rFonts w:ascii="Times New Roman" w:hAnsi="Times New Roman"/>
          <w:sz w:val="24"/>
          <w:szCs w:val="24"/>
        </w:rPr>
        <w:t>а о межбюджетных отношениях №1093-ОД</w:t>
      </w:r>
      <w:r w:rsidRPr="009C5D1C">
        <w:rPr>
          <w:rFonts w:ascii="Times New Roman" w:hAnsi="Times New Roman" w:cs="Times New Roman"/>
          <w:sz w:val="24"/>
          <w:szCs w:val="24"/>
        </w:rPr>
        <w:t xml:space="preserve"> </w:t>
      </w:r>
      <w:r w:rsidRPr="009C5D1C">
        <w:rPr>
          <w:rFonts w:ascii="Times New Roman" w:hAnsi="Times New Roman"/>
          <w:sz w:val="24"/>
          <w:szCs w:val="24"/>
        </w:rPr>
        <w:t>в соответствие с Федеральным Законом от 02.08.2019 №307-ФЗ «О внесении изменений в Бюджетный кодекс Российской Федерации в целях совершенствования межбюджетных отношений» (далее – Федеральный закон №307-ФЗ)</w:t>
      </w:r>
      <w:r w:rsidRPr="009C5D1C">
        <w:rPr>
          <w:rFonts w:ascii="Times New Roman" w:hAnsi="Times New Roman" w:cs="Times New Roman"/>
          <w:sz w:val="24"/>
          <w:szCs w:val="24"/>
        </w:rPr>
        <w:t xml:space="preserve"> Законопроект</w:t>
      </w:r>
      <w:r>
        <w:rPr>
          <w:rFonts w:ascii="Times New Roman" w:hAnsi="Times New Roman" w:cs="Times New Roman"/>
          <w:sz w:val="24"/>
          <w:szCs w:val="24"/>
        </w:rPr>
        <w:t>ом</w:t>
      </w:r>
      <w:r w:rsidRPr="009C5D1C">
        <w:rPr>
          <w:rFonts w:ascii="Times New Roman" w:hAnsi="Times New Roman" w:cs="Times New Roman"/>
          <w:sz w:val="24"/>
          <w:szCs w:val="24"/>
        </w:rPr>
        <w:t xml:space="preserve"> №109-2019з</w:t>
      </w:r>
      <w:r>
        <w:rPr>
          <w:rFonts w:ascii="Times New Roman" w:hAnsi="Times New Roman"/>
          <w:sz w:val="24"/>
          <w:szCs w:val="24"/>
        </w:rPr>
        <w:t xml:space="preserve">  исключается возможность</w:t>
      </w:r>
      <w:r w:rsidRPr="009C5D1C">
        <w:rPr>
          <w:rFonts w:ascii="Times New Roman" w:hAnsi="Times New Roman"/>
          <w:sz w:val="24"/>
          <w:szCs w:val="24"/>
        </w:rPr>
        <w:t xml:space="preserve"> выравнивания городских округов Волгоградской области за счет двух источников. С 2020 года</w:t>
      </w:r>
      <w:r w:rsidR="00917240">
        <w:rPr>
          <w:rFonts w:ascii="Times New Roman" w:hAnsi="Times New Roman"/>
          <w:sz w:val="24"/>
          <w:szCs w:val="24"/>
        </w:rPr>
        <w:t xml:space="preserve"> выравнивание осуществляется</w:t>
      </w:r>
      <w:r w:rsidRPr="009C5D1C">
        <w:rPr>
          <w:rFonts w:ascii="Times New Roman" w:hAnsi="Times New Roman"/>
          <w:sz w:val="24"/>
          <w:szCs w:val="24"/>
        </w:rPr>
        <w:t xml:space="preserve"> только за счет дотаций на выравнивание бюджетной обеспеченности муниципальных районов (городских округов)</w:t>
      </w:r>
      <w:r>
        <w:rPr>
          <w:rFonts w:ascii="Times New Roman" w:hAnsi="Times New Roman"/>
          <w:sz w:val="24"/>
          <w:szCs w:val="24"/>
        </w:rPr>
        <w:t xml:space="preserve"> и</w:t>
      </w:r>
      <w:r w:rsidR="00917240">
        <w:rPr>
          <w:rFonts w:ascii="Times New Roman" w:hAnsi="Times New Roman"/>
          <w:sz w:val="24"/>
          <w:szCs w:val="24"/>
        </w:rPr>
        <w:t xml:space="preserve"> в указанном законопроекте</w:t>
      </w:r>
      <w:r w:rsidRPr="00FD477A">
        <w:rPr>
          <w:rFonts w:ascii="Times New Roman" w:hAnsi="Times New Roman"/>
          <w:color w:val="FF0000"/>
          <w:sz w:val="24"/>
          <w:szCs w:val="24"/>
        </w:rPr>
        <w:t xml:space="preserve"> </w:t>
      </w:r>
      <w:r w:rsidRPr="00BB3FDB">
        <w:rPr>
          <w:rFonts w:ascii="Times New Roman" w:hAnsi="Times New Roman"/>
          <w:sz w:val="24"/>
          <w:szCs w:val="24"/>
        </w:rPr>
        <w:t xml:space="preserve">вводится норма, обеспечивающая </w:t>
      </w:r>
      <w:proofErr w:type="spellStart"/>
      <w:r w:rsidRPr="00BB3FDB">
        <w:rPr>
          <w:rFonts w:ascii="Times New Roman" w:hAnsi="Times New Roman"/>
          <w:sz w:val="24"/>
          <w:szCs w:val="24"/>
        </w:rPr>
        <w:t>неснижение</w:t>
      </w:r>
      <w:proofErr w:type="spellEnd"/>
      <w:r w:rsidRPr="00BB3FDB">
        <w:rPr>
          <w:rFonts w:ascii="Times New Roman" w:hAnsi="Times New Roman"/>
          <w:sz w:val="24"/>
          <w:szCs w:val="24"/>
        </w:rPr>
        <w:t xml:space="preserve"> объема финансовой помощи городским округам в 2020 году по сравнению с финансовой помощью, получаемой ими в 2019 году.</w:t>
      </w:r>
    </w:p>
    <w:p w:rsidR="004F6845" w:rsidRPr="0003189B" w:rsidRDefault="004F6845" w:rsidP="004F6845">
      <w:pPr>
        <w:pStyle w:val="ConsPlusNormal"/>
        <w:ind w:firstLine="540"/>
        <w:jc w:val="both"/>
        <w:rPr>
          <w:rFonts w:ascii="Times New Roman" w:hAnsi="Times New Roman" w:cs="Times New Roman"/>
          <w:sz w:val="24"/>
          <w:szCs w:val="24"/>
        </w:rPr>
      </w:pPr>
      <w:r w:rsidRPr="0003189B">
        <w:rPr>
          <w:rFonts w:ascii="Times New Roman" w:hAnsi="Times New Roman" w:cs="Times New Roman"/>
          <w:sz w:val="24"/>
          <w:szCs w:val="24"/>
        </w:rPr>
        <w:tab/>
      </w:r>
      <w:r>
        <w:rPr>
          <w:rFonts w:ascii="Times New Roman" w:hAnsi="Times New Roman" w:cs="Times New Roman"/>
          <w:sz w:val="24"/>
          <w:szCs w:val="24"/>
        </w:rPr>
        <w:t xml:space="preserve">Также, </w:t>
      </w:r>
      <w:r w:rsidRPr="00302747">
        <w:rPr>
          <w:rFonts w:ascii="Times New Roman" w:hAnsi="Times New Roman" w:cs="Times New Roman"/>
          <w:sz w:val="24"/>
          <w:szCs w:val="24"/>
        </w:rPr>
        <w:t>Законопроектом №109-2019з в</w:t>
      </w:r>
      <w:r w:rsidRPr="00302747">
        <w:rPr>
          <w:rFonts w:ascii="Times New Roman" w:hAnsi="Times New Roman" w:cs="Times New Roman"/>
          <w:color w:val="000000"/>
          <w:sz w:val="24"/>
          <w:szCs w:val="24"/>
        </w:rPr>
        <w:t>несены</w:t>
      </w:r>
      <w:r w:rsidRPr="0003189B">
        <w:rPr>
          <w:rFonts w:ascii="Times New Roman" w:hAnsi="Times New Roman" w:cs="Times New Roman"/>
          <w:color w:val="000000"/>
          <w:sz w:val="24"/>
          <w:szCs w:val="24"/>
        </w:rPr>
        <w:t xml:space="preserve"> изменения в методику расчета индекса налогового потенциала муниципального района (городского округа)</w:t>
      </w:r>
      <w:r w:rsidR="00917240">
        <w:rPr>
          <w:rFonts w:ascii="Times New Roman" w:hAnsi="Times New Roman" w:cs="Times New Roman"/>
          <w:color w:val="000000"/>
          <w:sz w:val="24"/>
          <w:szCs w:val="24"/>
        </w:rPr>
        <w:t xml:space="preserve"> по</w:t>
      </w:r>
      <w:r w:rsidRPr="0003189B">
        <w:rPr>
          <w:rFonts w:ascii="Times New Roman" w:hAnsi="Times New Roman" w:cs="Times New Roman"/>
          <w:color w:val="000000"/>
          <w:sz w:val="24"/>
          <w:szCs w:val="24"/>
        </w:rPr>
        <w:t xml:space="preserve"> едино</w:t>
      </w:r>
      <w:r w:rsidR="00917240">
        <w:rPr>
          <w:rFonts w:ascii="Times New Roman" w:hAnsi="Times New Roman" w:cs="Times New Roman"/>
          <w:color w:val="000000"/>
          <w:sz w:val="24"/>
          <w:szCs w:val="24"/>
        </w:rPr>
        <w:t>му</w:t>
      </w:r>
      <w:r w:rsidRPr="0003189B">
        <w:rPr>
          <w:rFonts w:ascii="Times New Roman" w:hAnsi="Times New Roman" w:cs="Times New Roman"/>
          <w:color w:val="000000"/>
          <w:sz w:val="24"/>
          <w:szCs w:val="24"/>
        </w:rPr>
        <w:t xml:space="preserve"> налог</w:t>
      </w:r>
      <w:r w:rsidR="00917240">
        <w:rPr>
          <w:rFonts w:ascii="Times New Roman" w:hAnsi="Times New Roman" w:cs="Times New Roman"/>
          <w:color w:val="000000"/>
          <w:sz w:val="24"/>
          <w:szCs w:val="24"/>
        </w:rPr>
        <w:t>у</w:t>
      </w:r>
      <w:r w:rsidRPr="0003189B">
        <w:rPr>
          <w:rFonts w:ascii="Times New Roman" w:hAnsi="Times New Roman" w:cs="Times New Roman"/>
          <w:color w:val="000000"/>
          <w:sz w:val="24"/>
          <w:szCs w:val="24"/>
        </w:rPr>
        <w:t xml:space="preserve"> на вмененный доход для отдельных видов деятельности</w:t>
      </w:r>
      <w:r>
        <w:rPr>
          <w:rFonts w:ascii="Times New Roman" w:hAnsi="Times New Roman" w:cs="Times New Roman"/>
          <w:color w:val="000000"/>
          <w:sz w:val="24"/>
          <w:szCs w:val="24"/>
        </w:rPr>
        <w:t xml:space="preserve">, 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w:t>
      </w:r>
      <w:r w:rsidRPr="0003189B">
        <w:rPr>
          <w:rFonts w:ascii="Times New Roman" w:hAnsi="Times New Roman" w:cs="Times New Roman"/>
          <w:color w:val="000000"/>
          <w:sz w:val="24"/>
          <w:szCs w:val="24"/>
        </w:rPr>
        <w:t xml:space="preserve"> </w:t>
      </w:r>
      <w:r w:rsidRPr="0003189B">
        <w:rPr>
          <w:rFonts w:ascii="Times New Roman" w:hAnsi="Times New Roman" w:cs="Times New Roman"/>
          <w:sz w:val="24"/>
          <w:szCs w:val="24"/>
        </w:rPr>
        <w:t xml:space="preserve">сумма вмененного дохода определяется исходя из данных отчета управления Федеральной налоговой службы Российской Федерации по Волгоградской области о налоговой базе и структуре начислений по единому налогу на вмененный доход для отдельных видов деятельности без </w:t>
      </w:r>
      <w:proofErr w:type="gramStart"/>
      <w:r w:rsidRPr="0003189B">
        <w:rPr>
          <w:rFonts w:ascii="Times New Roman" w:hAnsi="Times New Roman" w:cs="Times New Roman"/>
          <w:sz w:val="24"/>
          <w:szCs w:val="24"/>
        </w:rPr>
        <w:t>учета</w:t>
      </w:r>
      <w:proofErr w:type="gramEnd"/>
      <w:r w:rsidRPr="0003189B">
        <w:rPr>
          <w:rFonts w:ascii="Times New Roman" w:hAnsi="Times New Roman" w:cs="Times New Roman"/>
          <w:sz w:val="24"/>
          <w:szCs w:val="24"/>
        </w:rPr>
        <w:t xml:space="preserve"> установленного на календарный год коэффициента-дефлятора</w:t>
      </w:r>
      <w:r w:rsidR="00917240">
        <w:rPr>
          <w:rFonts w:ascii="Times New Roman" w:hAnsi="Times New Roman" w:cs="Times New Roman"/>
          <w:sz w:val="24"/>
          <w:szCs w:val="24"/>
        </w:rPr>
        <w:t>,</w:t>
      </w:r>
      <w:r w:rsidRPr="0003189B">
        <w:rPr>
          <w:rFonts w:ascii="Times New Roman" w:hAnsi="Times New Roman" w:cs="Times New Roman"/>
          <w:sz w:val="24"/>
          <w:szCs w:val="24"/>
        </w:rPr>
        <w:t xml:space="preserve"> либо планируемого к установлению на календарный год коэффициента-дефлятора, равного прогнозируемому индексу потребительских цен в предшествующем прогнозируемому году.</w:t>
      </w:r>
    </w:p>
    <w:p w:rsidR="004F6845" w:rsidRPr="00645DC5" w:rsidRDefault="00917240" w:rsidP="004F6845">
      <w:pPr>
        <w:tabs>
          <w:tab w:val="left" w:pos="0"/>
        </w:tabs>
        <w:ind w:firstLine="567"/>
        <w:jc w:val="both"/>
        <w:rPr>
          <w:color w:val="000000"/>
        </w:rPr>
      </w:pPr>
      <w:r>
        <w:rPr>
          <w:color w:val="000000"/>
        </w:rPr>
        <w:t xml:space="preserve"> Кроме того, </w:t>
      </w:r>
      <w:r w:rsidR="004F6845">
        <w:rPr>
          <w:color w:val="000000"/>
        </w:rPr>
        <w:t>М</w:t>
      </w:r>
      <w:r w:rsidR="004F6845" w:rsidRPr="00645DC5">
        <w:rPr>
          <w:color w:val="000000"/>
        </w:rPr>
        <w:t>етодика расчета индекса налогового потенциала дополняется методикой определения кадастровой стоимости имущества</w:t>
      </w:r>
      <w:r w:rsidR="004F6845">
        <w:rPr>
          <w:color w:val="000000"/>
        </w:rPr>
        <w:t xml:space="preserve"> физических лиц</w:t>
      </w:r>
      <w:r w:rsidR="004F6845" w:rsidRPr="00645DC5">
        <w:rPr>
          <w:color w:val="000000"/>
        </w:rPr>
        <w:t>, в связи с тем, что с 1 января 2020 года на территории Волгоградской области в целях исчисления налога на имущество физических лиц налоговая база будет определяться исходя из кадастровой стоимости объектов недвижимости.</w:t>
      </w:r>
    </w:p>
    <w:p w:rsidR="004F6845" w:rsidRPr="00D730BB" w:rsidRDefault="004F6845" w:rsidP="004F6845">
      <w:pPr>
        <w:ind w:firstLine="851"/>
        <w:jc w:val="both"/>
      </w:pPr>
      <w:r w:rsidRPr="00D730BB">
        <w:t>Данные о расчетных объемах ФФПП (в части городских округов), ФФПП (в части городских и сельских поселений) и ФФПМР (ГО) на 201</w:t>
      </w:r>
      <w:r>
        <w:t>8-2019</w:t>
      </w:r>
      <w:r w:rsidRPr="00D730BB">
        <w:t xml:space="preserve"> годы</w:t>
      </w:r>
      <w:r>
        <w:t xml:space="preserve"> и расчетных объемах </w:t>
      </w:r>
      <w:r w:rsidRPr="00D730BB">
        <w:t xml:space="preserve"> </w:t>
      </w:r>
      <w:r w:rsidRPr="0023074C">
        <w:t xml:space="preserve">дотаций </w:t>
      </w:r>
      <w:r>
        <w:t xml:space="preserve">на выравнивание бюджетной обеспеченности </w:t>
      </w:r>
      <w:r w:rsidRPr="001C6F45">
        <w:t xml:space="preserve">поселений и </w:t>
      </w:r>
      <w:r>
        <w:t>МР (ГО</w:t>
      </w:r>
      <w:r w:rsidRPr="001C6F45">
        <w:t>)</w:t>
      </w:r>
      <w:r>
        <w:t xml:space="preserve"> на 2020-2022 годы </w:t>
      </w:r>
      <w:r w:rsidRPr="00D730BB">
        <w:rPr>
          <w:u w:val="single"/>
        </w:rPr>
        <w:t>до замены части дотаций</w:t>
      </w:r>
      <w:r w:rsidRPr="00D730BB">
        <w:t xml:space="preserve"> дополнительными нормативами отчислений от НДФЛ представлены диаграммой.</w:t>
      </w:r>
    </w:p>
    <w:p w:rsidR="004F6845" w:rsidRPr="00D730BB" w:rsidRDefault="004F6845" w:rsidP="004F6845">
      <w:pPr>
        <w:ind w:firstLine="720"/>
        <w:jc w:val="both"/>
      </w:pPr>
    </w:p>
    <w:p w:rsidR="004F6845" w:rsidRPr="00BB3FDB" w:rsidRDefault="004F6845" w:rsidP="004F6845">
      <w:pPr>
        <w:jc w:val="both"/>
        <w:rPr>
          <w:color w:val="FF0000"/>
          <w:highlight w:val="yellow"/>
        </w:rPr>
      </w:pPr>
      <w:r w:rsidRPr="0023074C">
        <w:rPr>
          <w:noProof/>
          <w:color w:val="FF0000"/>
          <w:highlight w:val="yellow"/>
        </w:rPr>
        <w:drawing>
          <wp:inline distT="0" distB="0" distL="0" distR="0">
            <wp:extent cx="6142007" cy="2665562"/>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6845" w:rsidRPr="008F2C1B" w:rsidRDefault="004F6845" w:rsidP="004F6845">
      <w:pPr>
        <w:pStyle w:val="ConsPlusNormal"/>
        <w:ind w:firstLine="652"/>
        <w:jc w:val="both"/>
        <w:rPr>
          <w:rFonts w:ascii="Times New Roman" w:hAnsi="Times New Roman" w:cs="Times New Roman"/>
          <w:color w:val="FF0000"/>
          <w:sz w:val="24"/>
          <w:szCs w:val="24"/>
        </w:rPr>
      </w:pPr>
      <w:proofErr w:type="gramStart"/>
      <w:r w:rsidRPr="00EB29AF">
        <w:rPr>
          <w:rFonts w:ascii="Times New Roman" w:hAnsi="Times New Roman" w:cs="Times New Roman"/>
          <w:sz w:val="24"/>
          <w:szCs w:val="24"/>
        </w:rPr>
        <w:t>Из диаграммы видно, что значительное уменьшение</w:t>
      </w:r>
      <w:r>
        <w:rPr>
          <w:rFonts w:ascii="Times New Roman" w:hAnsi="Times New Roman" w:cs="Times New Roman"/>
          <w:sz w:val="24"/>
          <w:szCs w:val="24"/>
        </w:rPr>
        <w:t xml:space="preserve"> расчетного размера дотаций </w:t>
      </w:r>
      <w:r w:rsidRPr="00EB29AF">
        <w:rPr>
          <w:rFonts w:ascii="Times New Roman" w:hAnsi="Times New Roman" w:cs="Times New Roman"/>
          <w:sz w:val="24"/>
          <w:szCs w:val="24"/>
        </w:rPr>
        <w:t xml:space="preserve"> в 2020 году к уровню 2019 года на 688,7 млн. руб., или на 100,0% произошло по расчетному объему ФФПП (в части городских округов</w:t>
      </w:r>
      <w:r>
        <w:rPr>
          <w:rFonts w:ascii="Times New Roman" w:hAnsi="Times New Roman" w:cs="Times New Roman"/>
          <w:sz w:val="24"/>
          <w:szCs w:val="24"/>
        </w:rPr>
        <w:t xml:space="preserve">) в связи с исключением </w:t>
      </w:r>
      <w:r w:rsidRPr="008F2C1B">
        <w:rPr>
          <w:rFonts w:ascii="Times New Roman" w:hAnsi="Times New Roman"/>
          <w:sz w:val="24"/>
          <w:szCs w:val="24"/>
        </w:rPr>
        <w:t>возможности выравнивания городских округов Волгоградской области за счет двух источников, в результате чего в 2020 году увеличен расчетный объем дотаций на выравнивание</w:t>
      </w:r>
      <w:r w:rsidR="00D77C59">
        <w:rPr>
          <w:rFonts w:ascii="Times New Roman" w:hAnsi="Times New Roman"/>
          <w:sz w:val="24"/>
          <w:szCs w:val="24"/>
        </w:rPr>
        <w:t xml:space="preserve"> бюджетной обеспеченности</w:t>
      </w:r>
      <w:proofErr w:type="gramEnd"/>
      <w:r w:rsidR="00D77C59">
        <w:rPr>
          <w:rFonts w:ascii="Times New Roman" w:hAnsi="Times New Roman"/>
          <w:sz w:val="24"/>
          <w:szCs w:val="24"/>
        </w:rPr>
        <w:t xml:space="preserve"> </w:t>
      </w:r>
      <w:r>
        <w:rPr>
          <w:rFonts w:ascii="Times New Roman" w:hAnsi="Times New Roman"/>
          <w:sz w:val="24"/>
          <w:szCs w:val="24"/>
        </w:rPr>
        <w:t>МР (ГО).</w:t>
      </w:r>
      <w:r w:rsidRPr="00FD477A">
        <w:rPr>
          <w:rFonts w:ascii="Times New Roman" w:hAnsi="Times New Roman"/>
          <w:color w:val="FF0000"/>
          <w:sz w:val="24"/>
          <w:szCs w:val="24"/>
        </w:rPr>
        <w:t xml:space="preserve"> </w:t>
      </w:r>
    </w:p>
    <w:p w:rsidR="004F6845" w:rsidRPr="008F2C1B" w:rsidRDefault="004F6845" w:rsidP="004F6845">
      <w:pPr>
        <w:ind w:firstLine="567"/>
        <w:jc w:val="both"/>
      </w:pPr>
      <w:r w:rsidRPr="008F2C1B">
        <w:t>Законопроектом предусмотрено предоставление областному бюджету субсидии из бюджета городского округа Волгоград (отрицательный трансферт) в размере 3,3 млн.</w:t>
      </w:r>
      <w:r w:rsidR="008C39B5">
        <w:t xml:space="preserve"> </w:t>
      </w:r>
      <w:r w:rsidRPr="008F2C1B">
        <w:t>руб., которая направлена на увеличение критерия выравнивания расчетной бюджетной обеспеченности муниципальных районов (городских округов), равного 1,000705  на периоды 2020-2022 годы.</w:t>
      </w:r>
    </w:p>
    <w:p w:rsidR="004F6845" w:rsidRPr="008F2C1B" w:rsidRDefault="004F6845" w:rsidP="004F6845">
      <w:pPr>
        <w:pStyle w:val="ConsPlusNormal"/>
        <w:jc w:val="both"/>
        <w:rPr>
          <w:rFonts w:ascii="Times New Roman" w:hAnsi="Times New Roman" w:cs="Times New Roman"/>
          <w:sz w:val="24"/>
          <w:szCs w:val="24"/>
        </w:rPr>
      </w:pPr>
      <w:r w:rsidRPr="008F2C1B">
        <w:rPr>
          <w:rFonts w:ascii="Times New Roman" w:hAnsi="Times New Roman" w:cs="Times New Roman"/>
          <w:sz w:val="24"/>
          <w:szCs w:val="24"/>
        </w:rPr>
        <w:t xml:space="preserve">Поправками в Закон о межбюджетных отношениях №1093-ОД формула расчета субсидии, подлежащей перечислению из бюджета муниципального района (городского округа) в областной бюджет, установленная в 2019 году, продлена на 2020 год и на плановый период 2021 и 2022 годов. Согласно пояснительной записке к Законопроекту №109-2019з данная мера позволит сократить в 2020 году расходы бюджета </w:t>
      </w:r>
      <w:proofErr w:type="gramStart"/>
      <w:r w:rsidRPr="008F2C1B">
        <w:rPr>
          <w:rFonts w:ascii="Times New Roman" w:hAnsi="Times New Roman" w:cs="Times New Roman"/>
          <w:sz w:val="24"/>
          <w:szCs w:val="24"/>
        </w:rPr>
        <w:t>г</w:t>
      </w:r>
      <w:proofErr w:type="gramEnd"/>
      <w:r w:rsidRPr="008F2C1B">
        <w:rPr>
          <w:rFonts w:ascii="Times New Roman" w:hAnsi="Times New Roman" w:cs="Times New Roman"/>
          <w:sz w:val="24"/>
          <w:szCs w:val="24"/>
        </w:rPr>
        <w:t>. Волгограда по уплате отрицательного трансферта в бюджет Волгоградской области в 100 раз.</w:t>
      </w:r>
    </w:p>
    <w:p w:rsidR="004F6845" w:rsidRPr="008F2C1B" w:rsidRDefault="004F6845" w:rsidP="004F6845">
      <w:pPr>
        <w:ind w:firstLine="708"/>
        <w:jc w:val="both"/>
      </w:pPr>
      <w:r w:rsidRPr="008F2C1B">
        <w:t xml:space="preserve"> Предоставление областному бюджету субсидии из бюджета городского округа Волгоград обусловлено превышением в отчетном финансовом году расчетных налоговых доходов бюджета г.</w:t>
      </w:r>
      <w:r w:rsidR="008C39B5">
        <w:t xml:space="preserve"> </w:t>
      </w:r>
      <w:r w:rsidRPr="008F2C1B">
        <w:t xml:space="preserve">Волгограда (без учета налоговых доходов по дополнительным нормативам отчислений) 1,3-кратного среднего уровня по муниципальным районам (городским округам) в расчете на одного жителя в соответствии с п.1 ст.142.2 БК РФ. </w:t>
      </w:r>
    </w:p>
    <w:p w:rsidR="004F6845" w:rsidRPr="008F2C1B" w:rsidRDefault="004F6845" w:rsidP="004F6845">
      <w:pPr>
        <w:ind w:firstLine="851"/>
        <w:jc w:val="both"/>
      </w:pPr>
      <w:r w:rsidRPr="008F2C1B">
        <w:t>Часть дотаций на выравнивание уровня бюджетной обеспеченности</w:t>
      </w:r>
      <w:r>
        <w:t xml:space="preserve">  муниципальных районов (городских округов</w:t>
      </w:r>
      <w:r w:rsidRPr="008F2C1B">
        <w:t>) законопроектом предлагается заменить дополнительными нормативами отчислений от НДФЛ.</w:t>
      </w:r>
    </w:p>
    <w:p w:rsidR="004F6845" w:rsidRPr="008F2C1B" w:rsidRDefault="004F6845" w:rsidP="004F6845">
      <w:pPr>
        <w:autoSpaceDE w:val="0"/>
        <w:autoSpaceDN w:val="0"/>
        <w:adjustRightInd w:val="0"/>
        <w:ind w:firstLine="851"/>
        <w:jc w:val="both"/>
      </w:pPr>
      <w:r w:rsidRPr="008F2C1B">
        <w:t>Согласно законопроекту замена дотаций дополнительными нормативами отчислений о</w:t>
      </w:r>
      <w:r>
        <w:t>т НДФЛ произведена</w:t>
      </w:r>
      <w:r w:rsidRPr="008F2C1B">
        <w:t xml:space="preserve"> как и в 2019 году, всем муниципальным районам и городским округам области.</w:t>
      </w:r>
    </w:p>
    <w:p w:rsidR="004F6845" w:rsidRDefault="004F6845" w:rsidP="004F6845">
      <w:pPr>
        <w:ind w:firstLine="708"/>
        <w:jc w:val="both"/>
      </w:pPr>
      <w:r w:rsidRPr="00A30137">
        <w:t>В 2020</w:t>
      </w:r>
      <w:r>
        <w:t xml:space="preserve"> году расчетный объем дотаций</w:t>
      </w:r>
      <w:r w:rsidRPr="00A30137">
        <w:t xml:space="preserve"> на выравнивание уровня бюджетной обеспеченности муниципальных районов (городских округов) предлагается заменить дополнительными нормативами отчислений от НДФЛ в сумме 4 551,9 млн. руб., что составляет 99,4% от общего расчетного </w:t>
      </w:r>
      <w:r w:rsidRPr="004A5367">
        <w:t>объема дотаций МР (ГО) (4 589,4 млн. руб.). Замена</w:t>
      </w:r>
      <w:r w:rsidRPr="00A30137">
        <w:t xml:space="preserve"> дотаций на выравнивание бюджетной обеспеченности поселений на 2020 год и плановый период 2021 и 2022 годов дополнительными нормативами отчислений от налога на доходы физических лиц не осуществлялась.</w:t>
      </w:r>
    </w:p>
    <w:p w:rsidR="00FA1EE0" w:rsidRDefault="00FA1EE0" w:rsidP="0065523C">
      <w:pPr>
        <w:ind w:firstLine="708"/>
        <w:jc w:val="center"/>
        <w:rPr>
          <w:b/>
          <w:i/>
        </w:rPr>
      </w:pPr>
    </w:p>
    <w:p w:rsidR="00D54A17" w:rsidRDefault="00D54A17" w:rsidP="0065523C">
      <w:pPr>
        <w:ind w:firstLine="708"/>
        <w:jc w:val="center"/>
        <w:rPr>
          <w:b/>
          <w:i/>
        </w:rPr>
      </w:pPr>
    </w:p>
    <w:p w:rsidR="0065523C" w:rsidRDefault="0065523C" w:rsidP="0065523C">
      <w:pPr>
        <w:ind w:firstLine="708"/>
        <w:jc w:val="center"/>
        <w:rPr>
          <w:rFonts w:eastAsia="TimesNewRomanPSMT"/>
          <w:b/>
          <w:i/>
        </w:rPr>
      </w:pPr>
      <w:r w:rsidRPr="00B85C05">
        <w:rPr>
          <w:b/>
          <w:i/>
        </w:rPr>
        <w:t xml:space="preserve">Объем дотаций </w:t>
      </w:r>
      <w:r w:rsidRPr="00B85C05">
        <w:rPr>
          <w:rFonts w:eastAsia="TimesNewRomanPSMT"/>
          <w:b/>
          <w:i/>
        </w:rPr>
        <w:t>из областного бюджета местным бюджетам</w:t>
      </w:r>
    </w:p>
    <w:p w:rsidR="00857740" w:rsidRPr="00B85C05" w:rsidRDefault="00857740" w:rsidP="0065523C">
      <w:pPr>
        <w:ind w:firstLine="708"/>
        <w:jc w:val="center"/>
        <w:rPr>
          <w:b/>
          <w:i/>
        </w:rPr>
      </w:pPr>
    </w:p>
    <w:p w:rsidR="0065523C" w:rsidRDefault="0065523C" w:rsidP="0065523C">
      <w:pPr>
        <w:tabs>
          <w:tab w:val="left" w:pos="4820"/>
        </w:tabs>
        <w:ind w:firstLine="851"/>
        <w:jc w:val="both"/>
        <w:rPr>
          <w:rFonts w:eastAsia="TimesNewRomanPSMT"/>
        </w:rPr>
      </w:pPr>
      <w:r w:rsidRPr="00B85C05">
        <w:rPr>
          <w:rFonts w:eastAsia="TimesNewRomanPSMT"/>
        </w:rPr>
        <w:t>Объем дотаций из областного бюджета местным бюджетам на 2020 год предусмотрен в сумме 1 331,4 млн. руб. с уменьшением к уровню 2019 года на 820,6 млн. руб., или 38,1 процента</w:t>
      </w:r>
      <w:r>
        <w:rPr>
          <w:rFonts w:eastAsia="TimesNewRomanPSMT"/>
          <w:color w:val="FF0000"/>
        </w:rPr>
        <w:t>.</w:t>
      </w:r>
      <w:r>
        <w:rPr>
          <w:rFonts w:eastAsia="TimesNewRomanPSMT"/>
        </w:rPr>
        <w:t xml:space="preserve"> Показатели объемов дотаций из областного бюджета местным бюджетам на 2020-2022 годы в сравнении с аналогичными показателями 2018-2019 годов приведены в таблице:</w:t>
      </w:r>
    </w:p>
    <w:p w:rsidR="0065523C" w:rsidRDefault="0065523C" w:rsidP="0065523C">
      <w:pPr>
        <w:ind w:firstLine="720"/>
        <w:jc w:val="right"/>
        <w:rPr>
          <w:rFonts w:eastAsia="TimesNewRomanPSMT"/>
          <w:i/>
          <w:sz w:val="20"/>
          <w:szCs w:val="20"/>
        </w:rPr>
      </w:pPr>
      <w:r>
        <w:rPr>
          <w:rFonts w:eastAsia="TimesNewRomanPSMT"/>
          <w:i/>
          <w:sz w:val="20"/>
          <w:szCs w:val="20"/>
        </w:rPr>
        <w:t>млн. руб.</w:t>
      </w:r>
    </w:p>
    <w:tbl>
      <w:tblPr>
        <w:tblW w:w="959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261"/>
        <w:gridCol w:w="879"/>
        <w:gridCol w:w="878"/>
        <w:gridCol w:w="878"/>
        <w:gridCol w:w="878"/>
        <w:gridCol w:w="878"/>
        <w:gridCol w:w="854"/>
        <w:gridCol w:w="1090"/>
      </w:tblGrid>
      <w:tr w:rsidR="0065523C" w:rsidTr="001925E2">
        <w:trPr>
          <w:trHeight w:val="255"/>
        </w:trPr>
        <w:tc>
          <w:tcPr>
            <w:tcW w:w="3261" w:type="dxa"/>
            <w:vMerge w:val="restart"/>
            <w:tcBorders>
              <w:top w:val="double" w:sz="4" w:space="0" w:color="auto"/>
              <w:left w:val="double" w:sz="4" w:space="0" w:color="auto"/>
              <w:bottom w:val="double" w:sz="4" w:space="0" w:color="auto"/>
              <w:right w:val="double" w:sz="4" w:space="0" w:color="auto"/>
            </w:tcBorders>
            <w:vAlign w:val="center"/>
            <w:hideMark/>
          </w:tcPr>
          <w:p w:rsidR="0065523C" w:rsidRDefault="0065523C" w:rsidP="001925E2">
            <w:pPr>
              <w:jc w:val="center"/>
              <w:rPr>
                <w:sz w:val="18"/>
                <w:szCs w:val="18"/>
              </w:rPr>
            </w:pPr>
            <w:r>
              <w:rPr>
                <w:sz w:val="18"/>
                <w:szCs w:val="18"/>
              </w:rPr>
              <w:t>МЕЖБЮДЖЕТНЫЕ ТРАНСФЕРТЫ</w:t>
            </w:r>
          </w:p>
        </w:tc>
        <w:tc>
          <w:tcPr>
            <w:tcW w:w="879" w:type="dxa"/>
            <w:tcBorders>
              <w:top w:val="double" w:sz="4" w:space="0" w:color="auto"/>
              <w:left w:val="double" w:sz="4" w:space="0" w:color="auto"/>
              <w:bottom w:val="dotted" w:sz="4" w:space="0" w:color="auto"/>
              <w:right w:val="double" w:sz="4" w:space="0" w:color="auto"/>
            </w:tcBorders>
            <w:vAlign w:val="center"/>
            <w:hideMark/>
          </w:tcPr>
          <w:p w:rsidR="0065523C" w:rsidRDefault="0065523C" w:rsidP="001925E2">
            <w:pPr>
              <w:jc w:val="center"/>
              <w:rPr>
                <w:sz w:val="18"/>
                <w:szCs w:val="18"/>
              </w:rPr>
            </w:pPr>
            <w:r>
              <w:rPr>
                <w:sz w:val="18"/>
                <w:szCs w:val="18"/>
              </w:rPr>
              <w:t>2018 г.</w:t>
            </w:r>
          </w:p>
        </w:tc>
        <w:tc>
          <w:tcPr>
            <w:tcW w:w="878" w:type="dxa"/>
            <w:tcBorders>
              <w:top w:val="double" w:sz="4" w:space="0" w:color="auto"/>
              <w:left w:val="double" w:sz="4" w:space="0" w:color="auto"/>
              <w:bottom w:val="dotted" w:sz="4" w:space="0" w:color="auto"/>
              <w:right w:val="double" w:sz="4" w:space="0" w:color="auto"/>
            </w:tcBorders>
            <w:vAlign w:val="center"/>
            <w:hideMark/>
          </w:tcPr>
          <w:p w:rsidR="0065523C" w:rsidRDefault="0065523C" w:rsidP="001925E2">
            <w:pPr>
              <w:jc w:val="center"/>
              <w:rPr>
                <w:sz w:val="18"/>
                <w:szCs w:val="18"/>
              </w:rPr>
            </w:pPr>
            <w:r>
              <w:rPr>
                <w:sz w:val="18"/>
                <w:szCs w:val="18"/>
              </w:rPr>
              <w:t>2019 г.</w:t>
            </w:r>
          </w:p>
        </w:tc>
        <w:tc>
          <w:tcPr>
            <w:tcW w:w="878" w:type="dxa"/>
            <w:tcBorders>
              <w:top w:val="double" w:sz="4" w:space="0" w:color="auto"/>
              <w:left w:val="double" w:sz="4" w:space="0" w:color="auto"/>
              <w:bottom w:val="dotted" w:sz="4" w:space="0" w:color="auto"/>
              <w:right w:val="dotted" w:sz="4" w:space="0" w:color="auto"/>
            </w:tcBorders>
            <w:vAlign w:val="center"/>
            <w:hideMark/>
          </w:tcPr>
          <w:p w:rsidR="0065523C" w:rsidRDefault="0065523C" w:rsidP="001925E2">
            <w:pPr>
              <w:jc w:val="center"/>
              <w:rPr>
                <w:sz w:val="18"/>
                <w:szCs w:val="18"/>
              </w:rPr>
            </w:pPr>
            <w:r>
              <w:rPr>
                <w:sz w:val="18"/>
                <w:szCs w:val="18"/>
              </w:rPr>
              <w:t>2020 г.</w:t>
            </w:r>
          </w:p>
        </w:tc>
        <w:tc>
          <w:tcPr>
            <w:tcW w:w="878" w:type="dxa"/>
            <w:tcBorders>
              <w:top w:val="double" w:sz="4" w:space="0" w:color="auto"/>
              <w:left w:val="dotted" w:sz="4" w:space="0" w:color="auto"/>
              <w:bottom w:val="dotted" w:sz="4" w:space="0" w:color="auto"/>
              <w:right w:val="dotted" w:sz="4" w:space="0" w:color="auto"/>
            </w:tcBorders>
            <w:vAlign w:val="center"/>
            <w:hideMark/>
          </w:tcPr>
          <w:p w:rsidR="0065523C" w:rsidRDefault="0065523C" w:rsidP="001925E2">
            <w:pPr>
              <w:jc w:val="center"/>
              <w:rPr>
                <w:sz w:val="18"/>
                <w:szCs w:val="18"/>
              </w:rPr>
            </w:pPr>
            <w:r>
              <w:rPr>
                <w:sz w:val="18"/>
                <w:szCs w:val="18"/>
              </w:rPr>
              <w:t>2021 г.</w:t>
            </w:r>
          </w:p>
        </w:tc>
        <w:tc>
          <w:tcPr>
            <w:tcW w:w="878" w:type="dxa"/>
            <w:tcBorders>
              <w:top w:val="double" w:sz="4" w:space="0" w:color="auto"/>
              <w:left w:val="dotted" w:sz="4" w:space="0" w:color="auto"/>
              <w:bottom w:val="dotted" w:sz="4" w:space="0" w:color="auto"/>
              <w:right w:val="double" w:sz="4" w:space="0" w:color="auto"/>
            </w:tcBorders>
            <w:vAlign w:val="center"/>
            <w:hideMark/>
          </w:tcPr>
          <w:p w:rsidR="0065523C" w:rsidRDefault="0065523C" w:rsidP="001925E2">
            <w:pPr>
              <w:jc w:val="center"/>
              <w:rPr>
                <w:sz w:val="18"/>
                <w:szCs w:val="18"/>
              </w:rPr>
            </w:pPr>
            <w:r>
              <w:rPr>
                <w:sz w:val="18"/>
                <w:szCs w:val="18"/>
              </w:rPr>
              <w:t>2022 г.</w:t>
            </w:r>
          </w:p>
        </w:tc>
        <w:tc>
          <w:tcPr>
            <w:tcW w:w="1944" w:type="dxa"/>
            <w:gridSpan w:val="2"/>
            <w:tcBorders>
              <w:top w:val="double" w:sz="4" w:space="0" w:color="auto"/>
              <w:left w:val="double" w:sz="4" w:space="0" w:color="auto"/>
              <w:bottom w:val="dotted" w:sz="4" w:space="0" w:color="auto"/>
              <w:right w:val="double" w:sz="4" w:space="0" w:color="auto"/>
            </w:tcBorders>
            <w:vAlign w:val="center"/>
            <w:hideMark/>
          </w:tcPr>
          <w:p w:rsidR="0065523C" w:rsidRDefault="0065523C" w:rsidP="001925E2">
            <w:pPr>
              <w:jc w:val="center"/>
              <w:rPr>
                <w:sz w:val="18"/>
                <w:szCs w:val="18"/>
              </w:rPr>
            </w:pPr>
            <w:r>
              <w:rPr>
                <w:sz w:val="18"/>
                <w:szCs w:val="18"/>
              </w:rPr>
              <w:t>2020 г. / 2019 г.</w:t>
            </w:r>
          </w:p>
        </w:tc>
      </w:tr>
      <w:tr w:rsidR="0065523C" w:rsidTr="001925E2">
        <w:trPr>
          <w:trHeight w:val="2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65523C" w:rsidRDefault="0065523C" w:rsidP="001925E2">
            <w:pPr>
              <w:rPr>
                <w:sz w:val="18"/>
                <w:szCs w:val="18"/>
              </w:rPr>
            </w:pPr>
          </w:p>
        </w:tc>
        <w:tc>
          <w:tcPr>
            <w:tcW w:w="879" w:type="dxa"/>
            <w:tcBorders>
              <w:top w:val="dotted" w:sz="4" w:space="0" w:color="auto"/>
              <w:left w:val="double" w:sz="4" w:space="0" w:color="auto"/>
              <w:bottom w:val="double" w:sz="4" w:space="0" w:color="auto"/>
              <w:right w:val="double" w:sz="4" w:space="0" w:color="auto"/>
            </w:tcBorders>
            <w:vAlign w:val="center"/>
            <w:hideMark/>
          </w:tcPr>
          <w:p w:rsidR="0065523C" w:rsidRDefault="0065523C" w:rsidP="001925E2">
            <w:pPr>
              <w:jc w:val="center"/>
              <w:rPr>
                <w:sz w:val="18"/>
                <w:szCs w:val="18"/>
              </w:rPr>
            </w:pPr>
            <w:r>
              <w:rPr>
                <w:sz w:val="18"/>
                <w:szCs w:val="18"/>
              </w:rPr>
              <w:t>факт</w:t>
            </w:r>
          </w:p>
        </w:tc>
        <w:tc>
          <w:tcPr>
            <w:tcW w:w="878" w:type="dxa"/>
            <w:tcBorders>
              <w:top w:val="dotted" w:sz="4" w:space="0" w:color="auto"/>
              <w:left w:val="double" w:sz="4" w:space="0" w:color="auto"/>
              <w:bottom w:val="double" w:sz="4" w:space="0" w:color="auto"/>
              <w:right w:val="double" w:sz="4" w:space="0" w:color="auto"/>
            </w:tcBorders>
            <w:vAlign w:val="center"/>
            <w:hideMark/>
          </w:tcPr>
          <w:p w:rsidR="0065523C" w:rsidRDefault="0065523C" w:rsidP="001925E2">
            <w:pPr>
              <w:jc w:val="center"/>
              <w:rPr>
                <w:sz w:val="18"/>
                <w:szCs w:val="18"/>
              </w:rPr>
            </w:pPr>
            <w:r>
              <w:rPr>
                <w:sz w:val="18"/>
                <w:szCs w:val="18"/>
              </w:rPr>
              <w:t>план</w:t>
            </w:r>
          </w:p>
        </w:tc>
        <w:tc>
          <w:tcPr>
            <w:tcW w:w="2634" w:type="dxa"/>
            <w:gridSpan w:val="3"/>
            <w:tcBorders>
              <w:top w:val="dotted" w:sz="4" w:space="0" w:color="auto"/>
              <w:left w:val="double" w:sz="4" w:space="0" w:color="auto"/>
              <w:bottom w:val="double" w:sz="4" w:space="0" w:color="auto"/>
              <w:right w:val="double" w:sz="4" w:space="0" w:color="auto"/>
            </w:tcBorders>
            <w:vAlign w:val="center"/>
            <w:hideMark/>
          </w:tcPr>
          <w:p w:rsidR="0065523C" w:rsidRDefault="0065523C" w:rsidP="001925E2">
            <w:pPr>
              <w:jc w:val="center"/>
              <w:rPr>
                <w:sz w:val="18"/>
                <w:szCs w:val="18"/>
              </w:rPr>
            </w:pPr>
            <w:r>
              <w:rPr>
                <w:sz w:val="18"/>
                <w:szCs w:val="18"/>
              </w:rPr>
              <w:t>проект</w:t>
            </w:r>
          </w:p>
        </w:tc>
        <w:tc>
          <w:tcPr>
            <w:tcW w:w="854" w:type="dxa"/>
            <w:tcBorders>
              <w:top w:val="dotted" w:sz="4" w:space="0" w:color="auto"/>
              <w:left w:val="double" w:sz="4" w:space="0" w:color="auto"/>
              <w:bottom w:val="double" w:sz="4" w:space="0" w:color="auto"/>
              <w:right w:val="dotted" w:sz="4" w:space="0" w:color="auto"/>
            </w:tcBorders>
            <w:vAlign w:val="center"/>
            <w:hideMark/>
          </w:tcPr>
          <w:p w:rsidR="0065523C" w:rsidRDefault="0065523C" w:rsidP="001925E2">
            <w:pPr>
              <w:ind w:left="-50" w:right="-108"/>
              <w:jc w:val="center"/>
              <w:rPr>
                <w:sz w:val="18"/>
                <w:szCs w:val="18"/>
              </w:rPr>
            </w:pPr>
            <w:r>
              <w:rPr>
                <w:sz w:val="18"/>
                <w:szCs w:val="18"/>
              </w:rPr>
              <w:t>млн. руб.</w:t>
            </w:r>
          </w:p>
        </w:tc>
        <w:tc>
          <w:tcPr>
            <w:tcW w:w="1090" w:type="dxa"/>
            <w:tcBorders>
              <w:top w:val="dotted" w:sz="4" w:space="0" w:color="auto"/>
              <w:left w:val="dotted" w:sz="4" w:space="0" w:color="auto"/>
              <w:bottom w:val="double" w:sz="4" w:space="0" w:color="auto"/>
              <w:right w:val="double" w:sz="4" w:space="0" w:color="auto"/>
            </w:tcBorders>
            <w:vAlign w:val="center"/>
            <w:hideMark/>
          </w:tcPr>
          <w:p w:rsidR="0065523C" w:rsidRDefault="0065523C" w:rsidP="001925E2">
            <w:pPr>
              <w:jc w:val="center"/>
              <w:rPr>
                <w:sz w:val="18"/>
                <w:szCs w:val="18"/>
              </w:rPr>
            </w:pPr>
            <w:r>
              <w:rPr>
                <w:sz w:val="18"/>
                <w:szCs w:val="18"/>
              </w:rPr>
              <w:t>%</w:t>
            </w:r>
          </w:p>
        </w:tc>
      </w:tr>
      <w:tr w:rsidR="0065523C" w:rsidTr="001925E2">
        <w:trPr>
          <w:trHeight w:val="20"/>
        </w:trPr>
        <w:tc>
          <w:tcPr>
            <w:tcW w:w="3261" w:type="dxa"/>
            <w:tcBorders>
              <w:top w:val="single" w:sz="4" w:space="0" w:color="auto"/>
              <w:left w:val="double" w:sz="4" w:space="0" w:color="auto"/>
              <w:bottom w:val="dotted" w:sz="4" w:space="0" w:color="auto"/>
              <w:right w:val="double" w:sz="4" w:space="0" w:color="auto"/>
            </w:tcBorders>
            <w:vAlign w:val="center"/>
            <w:hideMark/>
          </w:tcPr>
          <w:p w:rsidR="0065523C" w:rsidRDefault="0065523C" w:rsidP="001925E2">
            <w:pPr>
              <w:rPr>
                <w:b/>
                <w:bCs/>
                <w:sz w:val="18"/>
                <w:szCs w:val="18"/>
              </w:rPr>
            </w:pPr>
            <w:r>
              <w:rPr>
                <w:b/>
                <w:bCs/>
                <w:sz w:val="18"/>
                <w:szCs w:val="18"/>
              </w:rPr>
              <w:t>Дотации:</w:t>
            </w:r>
          </w:p>
        </w:tc>
        <w:tc>
          <w:tcPr>
            <w:tcW w:w="879" w:type="dxa"/>
            <w:tcBorders>
              <w:top w:val="single"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b/>
                <w:bCs/>
                <w:sz w:val="18"/>
                <w:szCs w:val="18"/>
              </w:rPr>
            </w:pPr>
            <w:r w:rsidRPr="00B85C05">
              <w:rPr>
                <w:b/>
                <w:bCs/>
                <w:sz w:val="18"/>
                <w:szCs w:val="18"/>
              </w:rPr>
              <w:t>2 348,4</w:t>
            </w:r>
          </w:p>
        </w:tc>
        <w:tc>
          <w:tcPr>
            <w:tcW w:w="878" w:type="dxa"/>
            <w:tcBorders>
              <w:top w:val="single"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b/>
                <w:bCs/>
                <w:sz w:val="18"/>
                <w:szCs w:val="18"/>
              </w:rPr>
            </w:pPr>
            <w:r w:rsidRPr="00B85C05">
              <w:rPr>
                <w:b/>
                <w:bCs/>
                <w:sz w:val="18"/>
                <w:szCs w:val="18"/>
              </w:rPr>
              <w:t>2 152,0</w:t>
            </w:r>
          </w:p>
        </w:tc>
        <w:tc>
          <w:tcPr>
            <w:tcW w:w="878" w:type="dxa"/>
            <w:tcBorders>
              <w:top w:val="single"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b/>
                <w:bCs/>
                <w:sz w:val="18"/>
                <w:szCs w:val="18"/>
              </w:rPr>
            </w:pPr>
            <w:r w:rsidRPr="00B85C05">
              <w:rPr>
                <w:b/>
                <w:bCs/>
                <w:sz w:val="18"/>
                <w:szCs w:val="18"/>
              </w:rPr>
              <w:t>1 331,4</w:t>
            </w:r>
          </w:p>
        </w:tc>
        <w:tc>
          <w:tcPr>
            <w:tcW w:w="878" w:type="dxa"/>
            <w:tcBorders>
              <w:top w:val="single" w:sz="4" w:space="0" w:color="auto"/>
              <w:left w:val="dotted" w:sz="4" w:space="0" w:color="auto"/>
              <w:bottom w:val="dotted" w:sz="4" w:space="0" w:color="auto"/>
              <w:right w:val="dotted" w:sz="4" w:space="0" w:color="auto"/>
            </w:tcBorders>
            <w:vAlign w:val="center"/>
            <w:hideMark/>
          </w:tcPr>
          <w:p w:rsidR="0065523C" w:rsidRPr="00B85C05" w:rsidRDefault="0065523C" w:rsidP="001925E2">
            <w:pPr>
              <w:jc w:val="right"/>
              <w:rPr>
                <w:b/>
                <w:bCs/>
                <w:sz w:val="18"/>
                <w:szCs w:val="18"/>
              </w:rPr>
            </w:pPr>
            <w:r w:rsidRPr="00B85C05">
              <w:rPr>
                <w:b/>
                <w:bCs/>
                <w:sz w:val="18"/>
                <w:szCs w:val="18"/>
              </w:rPr>
              <w:t>1 396,9</w:t>
            </w:r>
          </w:p>
        </w:tc>
        <w:tc>
          <w:tcPr>
            <w:tcW w:w="878" w:type="dxa"/>
            <w:tcBorders>
              <w:top w:val="single"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b/>
                <w:bCs/>
                <w:sz w:val="18"/>
                <w:szCs w:val="18"/>
              </w:rPr>
            </w:pPr>
            <w:r w:rsidRPr="00B85C05">
              <w:rPr>
                <w:b/>
                <w:bCs/>
                <w:sz w:val="18"/>
                <w:szCs w:val="18"/>
              </w:rPr>
              <w:t>1 954,7</w:t>
            </w:r>
          </w:p>
        </w:tc>
        <w:tc>
          <w:tcPr>
            <w:tcW w:w="854" w:type="dxa"/>
            <w:tcBorders>
              <w:top w:val="single"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b/>
                <w:bCs/>
                <w:sz w:val="18"/>
                <w:szCs w:val="18"/>
              </w:rPr>
            </w:pPr>
            <w:r w:rsidRPr="00B85C05">
              <w:rPr>
                <w:b/>
                <w:bCs/>
                <w:sz w:val="18"/>
                <w:szCs w:val="18"/>
              </w:rPr>
              <w:t>-820,6</w:t>
            </w:r>
          </w:p>
        </w:tc>
        <w:tc>
          <w:tcPr>
            <w:tcW w:w="1090" w:type="dxa"/>
            <w:tcBorders>
              <w:top w:val="single"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b/>
                <w:bCs/>
                <w:sz w:val="18"/>
                <w:szCs w:val="18"/>
              </w:rPr>
            </w:pPr>
            <w:r w:rsidRPr="00B85C05">
              <w:rPr>
                <w:b/>
                <w:bCs/>
                <w:sz w:val="18"/>
                <w:szCs w:val="18"/>
              </w:rPr>
              <w:t>-38,1%</w:t>
            </w:r>
          </w:p>
        </w:tc>
      </w:tr>
      <w:tr w:rsidR="0065523C" w:rsidTr="001925E2">
        <w:trPr>
          <w:trHeight w:val="20"/>
        </w:trPr>
        <w:tc>
          <w:tcPr>
            <w:tcW w:w="3261" w:type="dxa"/>
            <w:tcBorders>
              <w:top w:val="dotted" w:sz="4" w:space="0" w:color="auto"/>
              <w:left w:val="double" w:sz="4" w:space="0" w:color="auto"/>
              <w:bottom w:val="dotted" w:sz="4" w:space="0" w:color="auto"/>
              <w:right w:val="double" w:sz="4" w:space="0" w:color="auto"/>
            </w:tcBorders>
            <w:vAlign w:val="center"/>
            <w:hideMark/>
          </w:tcPr>
          <w:p w:rsidR="0065523C" w:rsidRDefault="0065523C" w:rsidP="001925E2">
            <w:pPr>
              <w:rPr>
                <w:sz w:val="18"/>
                <w:szCs w:val="18"/>
              </w:rPr>
            </w:pPr>
            <w:r>
              <w:rPr>
                <w:sz w:val="18"/>
                <w:szCs w:val="18"/>
              </w:rPr>
              <w:t>Дотации на выравнивание бюджетной обеспеченности</w:t>
            </w:r>
          </w:p>
        </w:tc>
        <w:tc>
          <w:tcPr>
            <w:tcW w:w="879"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sz w:val="18"/>
                <w:szCs w:val="18"/>
                <w:highlight w:val="yellow"/>
              </w:rPr>
            </w:pPr>
            <w:r w:rsidRPr="00B85C05">
              <w:rPr>
                <w:sz w:val="18"/>
                <w:szCs w:val="18"/>
              </w:rPr>
              <w:t>1 258,4</w:t>
            </w:r>
          </w:p>
        </w:tc>
        <w:tc>
          <w:tcPr>
            <w:tcW w:w="878"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1 122,0</w:t>
            </w:r>
          </w:p>
        </w:tc>
        <w:tc>
          <w:tcPr>
            <w:tcW w:w="878"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sz w:val="18"/>
                <w:szCs w:val="18"/>
              </w:rPr>
            </w:pPr>
            <w:r w:rsidRPr="00B85C05">
              <w:rPr>
                <w:sz w:val="18"/>
                <w:szCs w:val="18"/>
              </w:rPr>
              <w:t>1 111,4</w:t>
            </w:r>
          </w:p>
        </w:tc>
        <w:tc>
          <w:tcPr>
            <w:tcW w:w="878" w:type="dxa"/>
            <w:tcBorders>
              <w:top w:val="dotted" w:sz="4" w:space="0" w:color="auto"/>
              <w:left w:val="dotted" w:sz="4" w:space="0" w:color="auto"/>
              <w:bottom w:val="dotted" w:sz="4" w:space="0" w:color="auto"/>
              <w:right w:val="dotted" w:sz="4" w:space="0" w:color="auto"/>
            </w:tcBorders>
            <w:vAlign w:val="center"/>
            <w:hideMark/>
          </w:tcPr>
          <w:p w:rsidR="0065523C" w:rsidRPr="00B85C05" w:rsidRDefault="0065523C" w:rsidP="001925E2">
            <w:pPr>
              <w:jc w:val="right"/>
              <w:rPr>
                <w:sz w:val="18"/>
                <w:szCs w:val="18"/>
              </w:rPr>
            </w:pPr>
            <w:r w:rsidRPr="00B85C05">
              <w:rPr>
                <w:sz w:val="18"/>
                <w:szCs w:val="18"/>
              </w:rPr>
              <w:t>1 096,9</w:t>
            </w:r>
          </w:p>
        </w:tc>
        <w:tc>
          <w:tcPr>
            <w:tcW w:w="878"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1 084,7</w:t>
            </w:r>
          </w:p>
        </w:tc>
        <w:tc>
          <w:tcPr>
            <w:tcW w:w="854"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sz w:val="18"/>
                <w:szCs w:val="18"/>
                <w:highlight w:val="yellow"/>
              </w:rPr>
            </w:pPr>
            <w:r w:rsidRPr="00B85C05">
              <w:rPr>
                <w:sz w:val="18"/>
                <w:szCs w:val="18"/>
              </w:rPr>
              <w:t>-10,6</w:t>
            </w:r>
          </w:p>
        </w:tc>
        <w:tc>
          <w:tcPr>
            <w:tcW w:w="1090"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-0,9%</w:t>
            </w:r>
          </w:p>
        </w:tc>
      </w:tr>
      <w:tr w:rsidR="0065523C" w:rsidTr="001925E2">
        <w:trPr>
          <w:trHeight w:val="20"/>
        </w:trPr>
        <w:tc>
          <w:tcPr>
            <w:tcW w:w="3261" w:type="dxa"/>
            <w:tcBorders>
              <w:top w:val="dotted" w:sz="4" w:space="0" w:color="auto"/>
              <w:left w:val="double" w:sz="4" w:space="0" w:color="auto"/>
              <w:bottom w:val="dotted" w:sz="4" w:space="0" w:color="auto"/>
              <w:right w:val="double" w:sz="4" w:space="0" w:color="auto"/>
            </w:tcBorders>
            <w:vAlign w:val="center"/>
            <w:hideMark/>
          </w:tcPr>
          <w:p w:rsidR="0065523C" w:rsidRDefault="0065523C" w:rsidP="001925E2">
            <w:pPr>
              <w:rPr>
                <w:i/>
                <w:iCs/>
                <w:sz w:val="18"/>
                <w:szCs w:val="18"/>
              </w:rPr>
            </w:pPr>
            <w:r>
              <w:rPr>
                <w:i/>
                <w:iCs/>
                <w:sz w:val="18"/>
                <w:szCs w:val="18"/>
              </w:rPr>
              <w:t>ФФПП (в части гор</w:t>
            </w:r>
            <w:proofErr w:type="gramStart"/>
            <w:r>
              <w:rPr>
                <w:i/>
                <w:iCs/>
                <w:sz w:val="18"/>
                <w:szCs w:val="18"/>
              </w:rPr>
              <w:t>.</w:t>
            </w:r>
            <w:proofErr w:type="gramEnd"/>
            <w:r>
              <w:rPr>
                <w:i/>
                <w:iCs/>
                <w:sz w:val="18"/>
                <w:szCs w:val="18"/>
              </w:rPr>
              <w:t xml:space="preserve"> </w:t>
            </w:r>
            <w:proofErr w:type="gramStart"/>
            <w:r>
              <w:rPr>
                <w:i/>
                <w:iCs/>
                <w:sz w:val="18"/>
                <w:szCs w:val="18"/>
              </w:rPr>
              <w:t>о</w:t>
            </w:r>
            <w:proofErr w:type="gramEnd"/>
            <w:r>
              <w:rPr>
                <w:i/>
                <w:iCs/>
                <w:sz w:val="18"/>
                <w:szCs w:val="18"/>
              </w:rPr>
              <w:t>кругов)*</w:t>
            </w:r>
          </w:p>
        </w:tc>
        <w:tc>
          <w:tcPr>
            <w:tcW w:w="879"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878"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878"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878" w:type="dxa"/>
            <w:tcBorders>
              <w:top w:val="dotted" w:sz="4" w:space="0" w:color="auto"/>
              <w:left w:val="dotted"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878"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854"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0,0</w:t>
            </w:r>
          </w:p>
        </w:tc>
        <w:tc>
          <w:tcPr>
            <w:tcW w:w="1090"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w:t>
            </w:r>
          </w:p>
        </w:tc>
      </w:tr>
      <w:tr w:rsidR="0065523C" w:rsidTr="001925E2">
        <w:trPr>
          <w:trHeight w:val="20"/>
        </w:trPr>
        <w:tc>
          <w:tcPr>
            <w:tcW w:w="3261" w:type="dxa"/>
            <w:tcBorders>
              <w:top w:val="dotted" w:sz="4" w:space="0" w:color="auto"/>
              <w:left w:val="double" w:sz="4" w:space="0" w:color="auto"/>
              <w:bottom w:val="dotted" w:sz="4" w:space="0" w:color="auto"/>
              <w:right w:val="double" w:sz="4" w:space="0" w:color="auto"/>
            </w:tcBorders>
            <w:vAlign w:val="center"/>
            <w:hideMark/>
          </w:tcPr>
          <w:p w:rsidR="0065523C" w:rsidRDefault="0065523C" w:rsidP="001925E2">
            <w:pPr>
              <w:rPr>
                <w:i/>
                <w:iCs/>
                <w:sz w:val="18"/>
                <w:szCs w:val="18"/>
              </w:rPr>
            </w:pPr>
            <w:r>
              <w:rPr>
                <w:i/>
                <w:iCs/>
                <w:sz w:val="18"/>
                <w:szCs w:val="18"/>
              </w:rPr>
              <w:t>ФФПП (в части поселений)*</w:t>
            </w:r>
          </w:p>
        </w:tc>
        <w:tc>
          <w:tcPr>
            <w:tcW w:w="879"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highlight w:val="yellow"/>
              </w:rPr>
            </w:pPr>
            <w:r w:rsidRPr="00B85C05">
              <w:rPr>
                <w:i/>
                <w:iCs/>
                <w:sz w:val="18"/>
                <w:szCs w:val="18"/>
              </w:rPr>
              <w:t>1 068,7</w:t>
            </w:r>
          </w:p>
        </w:tc>
        <w:tc>
          <w:tcPr>
            <w:tcW w:w="878"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1 069,6</w:t>
            </w:r>
          </w:p>
        </w:tc>
        <w:tc>
          <w:tcPr>
            <w:tcW w:w="878"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1 081,5</w:t>
            </w:r>
          </w:p>
        </w:tc>
        <w:tc>
          <w:tcPr>
            <w:tcW w:w="878" w:type="dxa"/>
            <w:tcBorders>
              <w:top w:val="dotted" w:sz="4" w:space="0" w:color="auto"/>
              <w:left w:val="dotted"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1 079,5</w:t>
            </w:r>
          </w:p>
        </w:tc>
        <w:tc>
          <w:tcPr>
            <w:tcW w:w="878"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1 079,2</w:t>
            </w:r>
          </w:p>
        </w:tc>
        <w:tc>
          <w:tcPr>
            <w:tcW w:w="854"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highlight w:val="yellow"/>
              </w:rPr>
            </w:pPr>
            <w:r w:rsidRPr="00B85C05">
              <w:rPr>
                <w:i/>
                <w:iCs/>
                <w:sz w:val="18"/>
                <w:szCs w:val="18"/>
              </w:rPr>
              <w:t>11,9</w:t>
            </w:r>
          </w:p>
        </w:tc>
        <w:tc>
          <w:tcPr>
            <w:tcW w:w="1090"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highlight w:val="yellow"/>
              </w:rPr>
            </w:pPr>
            <w:r w:rsidRPr="00B85C05">
              <w:rPr>
                <w:i/>
                <w:iCs/>
                <w:sz w:val="18"/>
                <w:szCs w:val="18"/>
              </w:rPr>
              <w:t>1,1%</w:t>
            </w:r>
          </w:p>
        </w:tc>
      </w:tr>
      <w:tr w:rsidR="0065523C" w:rsidTr="001925E2">
        <w:trPr>
          <w:trHeight w:val="20"/>
        </w:trPr>
        <w:tc>
          <w:tcPr>
            <w:tcW w:w="3261" w:type="dxa"/>
            <w:tcBorders>
              <w:top w:val="dotted" w:sz="4" w:space="0" w:color="auto"/>
              <w:left w:val="double" w:sz="4" w:space="0" w:color="auto"/>
              <w:bottom w:val="dotted" w:sz="4" w:space="0" w:color="auto"/>
              <w:right w:val="double" w:sz="4" w:space="0" w:color="auto"/>
            </w:tcBorders>
            <w:vAlign w:val="center"/>
            <w:hideMark/>
          </w:tcPr>
          <w:p w:rsidR="0065523C" w:rsidRDefault="0065523C" w:rsidP="001925E2">
            <w:pPr>
              <w:rPr>
                <w:i/>
                <w:iCs/>
                <w:sz w:val="18"/>
                <w:szCs w:val="18"/>
              </w:rPr>
            </w:pPr>
            <w:r>
              <w:rPr>
                <w:i/>
                <w:iCs/>
                <w:sz w:val="18"/>
                <w:szCs w:val="18"/>
              </w:rPr>
              <w:t>ФФП МР (ГО)*</w:t>
            </w:r>
          </w:p>
        </w:tc>
        <w:tc>
          <w:tcPr>
            <w:tcW w:w="879"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highlight w:val="yellow"/>
              </w:rPr>
            </w:pPr>
            <w:r w:rsidRPr="00B85C05">
              <w:rPr>
                <w:i/>
                <w:iCs/>
                <w:sz w:val="18"/>
                <w:szCs w:val="18"/>
              </w:rPr>
              <w:t>189,7</w:t>
            </w:r>
          </w:p>
        </w:tc>
        <w:tc>
          <w:tcPr>
            <w:tcW w:w="878" w:type="dxa"/>
            <w:tcBorders>
              <w:top w:val="dotted" w:sz="4" w:space="0" w:color="auto"/>
              <w:left w:val="double"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52,4</w:t>
            </w:r>
          </w:p>
        </w:tc>
        <w:tc>
          <w:tcPr>
            <w:tcW w:w="878"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29,9</w:t>
            </w:r>
          </w:p>
        </w:tc>
        <w:tc>
          <w:tcPr>
            <w:tcW w:w="878" w:type="dxa"/>
            <w:tcBorders>
              <w:top w:val="dotted" w:sz="4" w:space="0" w:color="auto"/>
              <w:left w:val="dotted"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17,4</w:t>
            </w:r>
          </w:p>
        </w:tc>
        <w:tc>
          <w:tcPr>
            <w:tcW w:w="878"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5,5</w:t>
            </w:r>
          </w:p>
        </w:tc>
        <w:tc>
          <w:tcPr>
            <w:tcW w:w="854" w:type="dxa"/>
            <w:tcBorders>
              <w:top w:val="dotted" w:sz="4" w:space="0" w:color="auto"/>
              <w:left w:val="double" w:sz="4" w:space="0" w:color="auto"/>
              <w:bottom w:val="dotted" w:sz="4" w:space="0" w:color="auto"/>
              <w:right w:val="dotted" w:sz="4" w:space="0" w:color="auto"/>
            </w:tcBorders>
            <w:vAlign w:val="center"/>
            <w:hideMark/>
          </w:tcPr>
          <w:p w:rsidR="0065523C" w:rsidRPr="00B85C05" w:rsidRDefault="0065523C" w:rsidP="001925E2">
            <w:pPr>
              <w:jc w:val="right"/>
              <w:rPr>
                <w:i/>
                <w:iCs/>
                <w:sz w:val="18"/>
                <w:szCs w:val="18"/>
              </w:rPr>
            </w:pPr>
            <w:r w:rsidRPr="00B85C05">
              <w:rPr>
                <w:i/>
                <w:iCs/>
                <w:sz w:val="18"/>
                <w:szCs w:val="18"/>
              </w:rPr>
              <w:t xml:space="preserve"> -22,5</w:t>
            </w:r>
          </w:p>
        </w:tc>
        <w:tc>
          <w:tcPr>
            <w:tcW w:w="1090" w:type="dxa"/>
            <w:tcBorders>
              <w:top w:val="dotted" w:sz="4" w:space="0" w:color="auto"/>
              <w:left w:val="dotted" w:sz="4" w:space="0" w:color="auto"/>
              <w:bottom w:val="dotted" w:sz="4" w:space="0" w:color="auto"/>
              <w:right w:val="double" w:sz="4" w:space="0" w:color="auto"/>
            </w:tcBorders>
            <w:vAlign w:val="center"/>
            <w:hideMark/>
          </w:tcPr>
          <w:p w:rsidR="0065523C" w:rsidRPr="00B85C05" w:rsidRDefault="0065523C" w:rsidP="001925E2">
            <w:pPr>
              <w:jc w:val="right"/>
              <w:rPr>
                <w:i/>
                <w:iCs/>
                <w:sz w:val="18"/>
                <w:szCs w:val="18"/>
              </w:rPr>
            </w:pPr>
            <w:r w:rsidRPr="00B85C05">
              <w:rPr>
                <w:i/>
                <w:iCs/>
                <w:sz w:val="18"/>
                <w:szCs w:val="18"/>
              </w:rPr>
              <w:t xml:space="preserve">   -42,9%</w:t>
            </w:r>
          </w:p>
        </w:tc>
      </w:tr>
      <w:tr w:rsidR="0065523C" w:rsidTr="001925E2">
        <w:trPr>
          <w:trHeight w:val="20"/>
        </w:trPr>
        <w:tc>
          <w:tcPr>
            <w:tcW w:w="3261" w:type="dxa"/>
            <w:tcBorders>
              <w:top w:val="dotted" w:sz="4" w:space="0" w:color="auto"/>
              <w:left w:val="double" w:sz="4" w:space="0" w:color="auto"/>
              <w:bottom w:val="single" w:sz="4" w:space="0" w:color="auto"/>
              <w:right w:val="double" w:sz="4" w:space="0" w:color="auto"/>
            </w:tcBorders>
            <w:vAlign w:val="center"/>
            <w:hideMark/>
          </w:tcPr>
          <w:p w:rsidR="0065523C" w:rsidRDefault="0065523C" w:rsidP="001925E2">
            <w:pPr>
              <w:rPr>
                <w:sz w:val="18"/>
                <w:szCs w:val="18"/>
              </w:rPr>
            </w:pPr>
            <w:r>
              <w:rPr>
                <w:sz w:val="18"/>
                <w:szCs w:val="18"/>
              </w:rPr>
              <w:t>Дотации на поддержку мер по обеспечению сбалансированности</w:t>
            </w:r>
          </w:p>
        </w:tc>
        <w:tc>
          <w:tcPr>
            <w:tcW w:w="879" w:type="dxa"/>
            <w:tcBorders>
              <w:top w:val="dotted" w:sz="4" w:space="0" w:color="auto"/>
              <w:left w:val="double" w:sz="4" w:space="0" w:color="auto"/>
              <w:bottom w:val="single"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1 090,0</w:t>
            </w:r>
          </w:p>
        </w:tc>
        <w:tc>
          <w:tcPr>
            <w:tcW w:w="878" w:type="dxa"/>
            <w:tcBorders>
              <w:top w:val="dotted" w:sz="4" w:space="0" w:color="auto"/>
              <w:left w:val="double" w:sz="4" w:space="0" w:color="auto"/>
              <w:bottom w:val="single"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1 030,0</w:t>
            </w:r>
          </w:p>
        </w:tc>
        <w:tc>
          <w:tcPr>
            <w:tcW w:w="878" w:type="dxa"/>
            <w:tcBorders>
              <w:top w:val="dotted" w:sz="4" w:space="0" w:color="auto"/>
              <w:left w:val="double" w:sz="4" w:space="0" w:color="auto"/>
              <w:bottom w:val="single" w:sz="4" w:space="0" w:color="auto"/>
              <w:right w:val="dotted" w:sz="4" w:space="0" w:color="auto"/>
            </w:tcBorders>
            <w:vAlign w:val="center"/>
            <w:hideMark/>
          </w:tcPr>
          <w:p w:rsidR="0065523C" w:rsidRPr="00B85C05" w:rsidRDefault="0065523C" w:rsidP="001925E2">
            <w:pPr>
              <w:jc w:val="right"/>
              <w:rPr>
                <w:sz w:val="18"/>
                <w:szCs w:val="18"/>
              </w:rPr>
            </w:pPr>
            <w:r w:rsidRPr="00B85C05">
              <w:rPr>
                <w:sz w:val="18"/>
                <w:szCs w:val="18"/>
              </w:rPr>
              <w:t>220,0</w:t>
            </w:r>
          </w:p>
        </w:tc>
        <w:tc>
          <w:tcPr>
            <w:tcW w:w="878" w:type="dxa"/>
            <w:tcBorders>
              <w:top w:val="dotted" w:sz="4" w:space="0" w:color="auto"/>
              <w:left w:val="dotted" w:sz="4" w:space="0" w:color="auto"/>
              <w:bottom w:val="single" w:sz="4" w:space="0" w:color="auto"/>
              <w:right w:val="dotted" w:sz="4" w:space="0" w:color="auto"/>
            </w:tcBorders>
            <w:vAlign w:val="center"/>
            <w:hideMark/>
          </w:tcPr>
          <w:p w:rsidR="0065523C" w:rsidRPr="00B85C05" w:rsidRDefault="0065523C" w:rsidP="001925E2">
            <w:pPr>
              <w:jc w:val="right"/>
              <w:rPr>
                <w:sz w:val="18"/>
                <w:szCs w:val="18"/>
              </w:rPr>
            </w:pPr>
            <w:r w:rsidRPr="00B85C05">
              <w:rPr>
                <w:sz w:val="18"/>
                <w:szCs w:val="18"/>
              </w:rPr>
              <w:t>300,0</w:t>
            </w:r>
          </w:p>
        </w:tc>
        <w:tc>
          <w:tcPr>
            <w:tcW w:w="878" w:type="dxa"/>
            <w:tcBorders>
              <w:top w:val="dotted" w:sz="4" w:space="0" w:color="auto"/>
              <w:left w:val="dotted" w:sz="4" w:space="0" w:color="auto"/>
              <w:bottom w:val="single"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870,0</w:t>
            </w:r>
          </w:p>
        </w:tc>
        <w:tc>
          <w:tcPr>
            <w:tcW w:w="854" w:type="dxa"/>
            <w:tcBorders>
              <w:top w:val="dotted" w:sz="4" w:space="0" w:color="auto"/>
              <w:left w:val="double" w:sz="4" w:space="0" w:color="auto"/>
              <w:bottom w:val="single" w:sz="4" w:space="0" w:color="auto"/>
              <w:right w:val="dotted" w:sz="4" w:space="0" w:color="auto"/>
            </w:tcBorders>
            <w:vAlign w:val="center"/>
            <w:hideMark/>
          </w:tcPr>
          <w:p w:rsidR="0065523C" w:rsidRPr="00B85C05" w:rsidRDefault="0065523C" w:rsidP="001925E2">
            <w:pPr>
              <w:jc w:val="right"/>
              <w:rPr>
                <w:sz w:val="18"/>
                <w:szCs w:val="18"/>
              </w:rPr>
            </w:pPr>
            <w:r w:rsidRPr="00B85C05">
              <w:rPr>
                <w:sz w:val="18"/>
                <w:szCs w:val="18"/>
              </w:rPr>
              <w:t>-810,0</w:t>
            </w:r>
          </w:p>
        </w:tc>
        <w:tc>
          <w:tcPr>
            <w:tcW w:w="1090" w:type="dxa"/>
            <w:tcBorders>
              <w:top w:val="dotted" w:sz="4" w:space="0" w:color="auto"/>
              <w:left w:val="dotted" w:sz="4" w:space="0" w:color="auto"/>
              <w:bottom w:val="single" w:sz="4" w:space="0" w:color="auto"/>
              <w:right w:val="double" w:sz="4" w:space="0" w:color="auto"/>
            </w:tcBorders>
            <w:vAlign w:val="center"/>
            <w:hideMark/>
          </w:tcPr>
          <w:p w:rsidR="0065523C" w:rsidRPr="00B85C05" w:rsidRDefault="0065523C" w:rsidP="001925E2">
            <w:pPr>
              <w:jc w:val="right"/>
              <w:rPr>
                <w:sz w:val="18"/>
                <w:szCs w:val="18"/>
              </w:rPr>
            </w:pPr>
            <w:r w:rsidRPr="00B85C05">
              <w:rPr>
                <w:sz w:val="18"/>
                <w:szCs w:val="18"/>
              </w:rPr>
              <w:t>-78,6%</w:t>
            </w:r>
          </w:p>
        </w:tc>
      </w:tr>
    </w:tbl>
    <w:p w:rsidR="0065523C" w:rsidRDefault="0065523C" w:rsidP="0065523C">
      <w:pPr>
        <w:ind w:firstLine="851"/>
        <w:jc w:val="both"/>
        <w:rPr>
          <w:sz w:val="18"/>
          <w:szCs w:val="18"/>
        </w:rPr>
      </w:pPr>
      <w:r>
        <w:rPr>
          <w:sz w:val="18"/>
          <w:szCs w:val="18"/>
        </w:rPr>
        <w:t>* с 2020 года исключено понятие фондов финансовой поддержки как совокупности дотаций на выравнивание бюджетной обеспеченности</w:t>
      </w:r>
    </w:p>
    <w:p w:rsidR="0065523C" w:rsidRDefault="0065523C" w:rsidP="0065523C">
      <w:pPr>
        <w:ind w:firstLine="851"/>
        <w:jc w:val="both"/>
        <w:rPr>
          <w:sz w:val="18"/>
          <w:szCs w:val="18"/>
        </w:rPr>
      </w:pPr>
    </w:p>
    <w:p w:rsidR="0065523C" w:rsidRPr="00235120" w:rsidRDefault="0065523C" w:rsidP="0065523C">
      <w:pPr>
        <w:ind w:firstLine="851"/>
        <w:jc w:val="both"/>
      </w:pPr>
      <w:r w:rsidRPr="00235120">
        <w:t>Уменьшение общего объема дотаций</w:t>
      </w:r>
      <w:r w:rsidRPr="00235120">
        <w:rPr>
          <w:rFonts w:eastAsia="TimesNewRomanPSMT"/>
        </w:rPr>
        <w:t xml:space="preserve"> из областного бюджета</w:t>
      </w:r>
      <w:r w:rsidRPr="00235120">
        <w:t xml:space="preserve"> местным бюджетам сложилось в основном за счет уменьшения объема дотации на поддержку мер по обеспечению сбалансированности в 2020 году по сравнению с 2019 годом на 810,0 млн</w:t>
      </w:r>
      <w:proofErr w:type="gramStart"/>
      <w:r w:rsidRPr="00235120">
        <w:t>.р</w:t>
      </w:r>
      <w:proofErr w:type="gramEnd"/>
      <w:r w:rsidRPr="00235120">
        <w:t>уб. (-78,6%). Возможность предоставления таких дотаций предусмотрена Законом Волгоградской области от 09.02.2011 № 2151-ОД «О дотациях бюджетам муниципальных образований Волгоградской области на поддержку мер по обеспечению сбалансированности местных бюджетов».</w:t>
      </w:r>
    </w:p>
    <w:p w:rsidR="0065523C" w:rsidRPr="00235120" w:rsidRDefault="0065523C" w:rsidP="0065523C">
      <w:pPr>
        <w:ind w:firstLine="851"/>
        <w:jc w:val="both"/>
      </w:pPr>
      <w:proofErr w:type="gramStart"/>
      <w:r w:rsidRPr="00235120">
        <w:t xml:space="preserve">Дотации на выравнивание бюджетной обеспеченности на 2020 год предусмотрены в размере 1111,4 млн. руб. и уменьшены по сравнению с плановыми показателями 2019 года на 10,6 млн. руб. (-0,9%) в основном за счет уменьшения </w:t>
      </w:r>
      <w:r w:rsidRPr="00235120">
        <w:rPr>
          <w:bCs/>
          <w:spacing w:val="-12"/>
        </w:rPr>
        <w:t>размера дотации после регулирования дополнительным нормативом отчислений от налога на доходы физических лиц в связи увеличением  объема НДФЛ, подлежащего зачислению в местные бюджеты.</w:t>
      </w:r>
      <w:proofErr w:type="gramEnd"/>
    </w:p>
    <w:p w:rsidR="00857740" w:rsidRDefault="0065523C" w:rsidP="00857740">
      <w:pPr>
        <w:ind w:firstLine="708"/>
        <w:jc w:val="both"/>
      </w:pPr>
      <w:r w:rsidRPr="00235120">
        <w:t xml:space="preserve">Объемы дотаций </w:t>
      </w:r>
      <w:r w:rsidRPr="00235120">
        <w:rPr>
          <w:rFonts w:eastAsia="TimesNewRomanPSMT"/>
        </w:rPr>
        <w:t>из областного бюджета</w:t>
      </w:r>
      <w:r w:rsidRPr="00235120">
        <w:t xml:space="preserve"> местным бюджетам в 2018-2020 годах наглядно </w:t>
      </w:r>
      <w:proofErr w:type="gramStart"/>
      <w:r w:rsidRPr="00235120">
        <w:t>представлена</w:t>
      </w:r>
      <w:proofErr w:type="gramEnd"/>
      <w:r w:rsidRPr="00235120">
        <w:t xml:space="preserve"> следующей диаграммой.</w:t>
      </w:r>
    </w:p>
    <w:p w:rsidR="0065523C" w:rsidRPr="008B6597" w:rsidRDefault="00857740" w:rsidP="00857740">
      <w:pPr>
        <w:ind w:firstLine="708"/>
        <w:jc w:val="right"/>
        <w:rPr>
          <w:rFonts w:eastAsia="Calibri"/>
          <w:i/>
          <w:sz w:val="20"/>
          <w:szCs w:val="20"/>
        </w:rPr>
      </w:pPr>
      <w:r w:rsidRPr="00857740">
        <w:rPr>
          <w:i/>
        </w:rPr>
        <w:t>м</w:t>
      </w:r>
      <w:r w:rsidR="0065523C" w:rsidRPr="008B6597">
        <w:rPr>
          <w:rFonts w:eastAsia="Calibri"/>
          <w:i/>
          <w:sz w:val="20"/>
          <w:szCs w:val="20"/>
        </w:rPr>
        <w:t>лн. руб.</w:t>
      </w:r>
    </w:p>
    <w:p w:rsidR="0065523C" w:rsidRPr="004717DA" w:rsidRDefault="0065523C" w:rsidP="0065523C">
      <w:pPr>
        <w:jc w:val="both"/>
      </w:pPr>
      <w:r w:rsidRPr="00FC46EA">
        <w:rPr>
          <w:rFonts w:eastAsia="Calibri"/>
          <w:noProof/>
        </w:rPr>
        <w:drawing>
          <wp:inline distT="0" distB="0" distL="0" distR="0">
            <wp:extent cx="6181725" cy="30956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4A17" w:rsidRDefault="00D54A17" w:rsidP="00FA1EE0">
      <w:pPr>
        <w:ind w:firstLine="720"/>
        <w:jc w:val="center"/>
        <w:rPr>
          <w:rFonts w:eastAsia="Calibri"/>
          <w:b/>
          <w:bCs/>
          <w:i/>
          <w:iCs/>
        </w:rPr>
      </w:pPr>
    </w:p>
    <w:p w:rsidR="004F6845" w:rsidRPr="00DB5A70" w:rsidRDefault="004F6845" w:rsidP="00FA1EE0">
      <w:pPr>
        <w:ind w:firstLine="720"/>
        <w:jc w:val="center"/>
        <w:rPr>
          <w:color w:val="FF0000"/>
        </w:rPr>
      </w:pPr>
      <w:r w:rsidRPr="00DB5A70">
        <w:rPr>
          <w:rFonts w:eastAsia="Calibri"/>
          <w:b/>
          <w:bCs/>
          <w:i/>
          <w:iCs/>
        </w:rPr>
        <w:t>Размеры иных дотаций</w:t>
      </w:r>
      <w:r w:rsidR="00FA1EE0">
        <w:rPr>
          <w:rFonts w:eastAsia="Calibri"/>
          <w:b/>
          <w:bCs/>
          <w:i/>
          <w:iCs/>
        </w:rPr>
        <w:t xml:space="preserve"> </w:t>
      </w:r>
    </w:p>
    <w:p w:rsidR="004F6845" w:rsidRPr="00DB5A70" w:rsidRDefault="004F6845" w:rsidP="004F6845">
      <w:pPr>
        <w:autoSpaceDE w:val="0"/>
        <w:autoSpaceDN w:val="0"/>
        <w:adjustRightInd w:val="0"/>
        <w:ind w:firstLine="851"/>
        <w:jc w:val="both"/>
      </w:pPr>
      <w:r w:rsidRPr="00DB5A70">
        <w:t>В соответствии со статьей 139.1 БК РФ в случаях, предусмотренных законами субъектов РФ и принимаемыми в соответствии с ними иными нормативными правовыми актами органов государственной власти субъектов РФ, местным бюджетам могут быть предоставлены иные межбюджетные трансферты из бюджета субъекта РФ на финансовое обеспечение расходных обязательств муниципальных образований.</w:t>
      </w:r>
    </w:p>
    <w:p w:rsidR="004F6845" w:rsidRPr="00DB5A70" w:rsidRDefault="004F6845" w:rsidP="004F6845">
      <w:pPr>
        <w:pStyle w:val="ConsPlusNormal"/>
        <w:ind w:firstLine="540"/>
        <w:jc w:val="both"/>
        <w:rPr>
          <w:rFonts w:ascii="Times New Roman" w:hAnsi="Times New Roman" w:cs="Times New Roman"/>
          <w:sz w:val="24"/>
          <w:szCs w:val="24"/>
        </w:rPr>
      </w:pPr>
      <w:proofErr w:type="gramStart"/>
      <w:r w:rsidRPr="00DB5A70">
        <w:rPr>
          <w:rFonts w:ascii="Times New Roman" w:hAnsi="Times New Roman" w:cs="Times New Roman"/>
          <w:sz w:val="24"/>
          <w:szCs w:val="24"/>
        </w:rPr>
        <w:t>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бюджета субъекта РФ не может превышать 15 процентов общего объема межбюджетных трансфертов местным бюджетам из бюджета субъекта РФ (за исключением субвенций) и (или) расчетного объема дотаци</w:t>
      </w:r>
      <w:r w:rsidR="00D77C59">
        <w:rPr>
          <w:rFonts w:ascii="Times New Roman" w:hAnsi="Times New Roman" w:cs="Times New Roman"/>
          <w:sz w:val="24"/>
          <w:szCs w:val="24"/>
        </w:rPr>
        <w:t>й</w:t>
      </w:r>
      <w:r w:rsidRPr="00DB5A70">
        <w:rPr>
          <w:rFonts w:ascii="Times New Roman" w:hAnsi="Times New Roman" w:cs="Times New Roman"/>
          <w:sz w:val="24"/>
          <w:szCs w:val="24"/>
        </w:rPr>
        <w:t xml:space="preserve"> на выравнивание бюджетной обеспеченности (части расчетного объема дотации), замененной дополнительными нормативами отчислений от налога</w:t>
      </w:r>
      <w:proofErr w:type="gramEnd"/>
      <w:r w:rsidRPr="00DB5A70">
        <w:rPr>
          <w:rFonts w:ascii="Times New Roman" w:hAnsi="Times New Roman" w:cs="Times New Roman"/>
          <w:sz w:val="24"/>
          <w:szCs w:val="24"/>
        </w:rPr>
        <w:t xml:space="preserve"> на доходы физических лиц.</w:t>
      </w:r>
    </w:p>
    <w:p w:rsidR="004F6845" w:rsidRPr="00DB5A70" w:rsidRDefault="004F6845" w:rsidP="004F6845">
      <w:pPr>
        <w:ind w:firstLine="851"/>
        <w:jc w:val="both"/>
      </w:pPr>
      <w:r w:rsidRPr="00DF2BA1">
        <w:t xml:space="preserve">Законопроектом предусмотрен </w:t>
      </w:r>
      <w:r w:rsidRPr="00DF2BA1">
        <w:rPr>
          <w:b/>
          <w:i/>
        </w:rPr>
        <w:t xml:space="preserve">нераспределенный объем дотаций муниципальным образованиям на поддержку мер по обеспечению сбалансированности местных </w:t>
      </w:r>
      <w:r w:rsidRPr="00DB5A70">
        <w:rPr>
          <w:b/>
          <w:i/>
        </w:rPr>
        <w:t xml:space="preserve">бюджетов </w:t>
      </w:r>
      <w:r w:rsidRPr="00DB5A70">
        <w:t>на 2020 год в сумме 220,0 млн. руб.</w:t>
      </w:r>
      <w:r w:rsidR="00FA1EE0">
        <w:t>, который значительно ниже объемов 2018 года (1090 млн. руб.) и плановых показателей 2019 года (1030 млн. руб.).</w:t>
      </w:r>
      <w:r w:rsidRPr="00DB5A70">
        <w:t xml:space="preserve"> Возможность предоставления таких дотаций предусмотрена Законом Волгоградской области от 09.02.2011 № 2151-ОД «О дотациях бюджетам муниципальных образований Волгоградской области на поддержку мер по обеспечению сбалансированности местных бюджетов».</w:t>
      </w:r>
    </w:p>
    <w:p w:rsidR="004F6845" w:rsidRPr="00B7277A" w:rsidRDefault="004F6845" w:rsidP="004F6845">
      <w:pPr>
        <w:autoSpaceDE w:val="0"/>
        <w:autoSpaceDN w:val="0"/>
        <w:adjustRightInd w:val="0"/>
        <w:ind w:firstLine="851"/>
        <w:jc w:val="both"/>
        <w:outlineLvl w:val="0"/>
      </w:pPr>
      <w:r w:rsidRPr="0040343B">
        <w:t>Общий объем межбюджетных трансфертов местным бюджетам за исключением субвенций на 2020 год предусмотрен в общей сумме 12 097,5 млн. руб. (дотации – 1 331,4 млн. руб., субсидии – 9 673,6 млн. руб. и иные межбюджетные трансферты – 1 092,5 млн. руб.). Расчетный</w:t>
      </w:r>
      <w:r w:rsidRPr="00B7277A">
        <w:t xml:space="preserve"> объем дотаци</w:t>
      </w:r>
      <w:r w:rsidR="00FA1EE0">
        <w:t>й</w:t>
      </w:r>
      <w:r w:rsidRPr="00B7277A">
        <w:t xml:space="preserve"> на выравнивание бюджетной обеспеченности, замененной дополнительными нормативами отчислений от НДФЛ, на 2020 год предусмотрен в сумме 4 591,8 млн. рублей. Объем иных межбюджетных трансфертов в форме дотаций на </w:t>
      </w:r>
      <w:r>
        <w:t>поддержку мер по обеспечению сбалансированности</w:t>
      </w:r>
      <w:r w:rsidRPr="00B7277A">
        <w:t xml:space="preserve"> бюджетов муниципальных образований на 2020 год предусмотрен в размере 220,0 млн. руб</w:t>
      </w:r>
      <w:r w:rsidRPr="005818EB">
        <w:t xml:space="preserve">., или 1,3% </w:t>
      </w:r>
      <w:r w:rsidRPr="00B7277A">
        <w:t>от общего объема межбюджетных трансфертов (за исключением субвенций)</w:t>
      </w:r>
      <w:r w:rsidRPr="00B7277A">
        <w:rPr>
          <w:rFonts w:eastAsia="Calibri"/>
          <w:iCs/>
        </w:rPr>
        <w:t xml:space="preserve"> и расчетного объема дотации на выравнивание бюджетной обеспеченности, замененной дополнительными нормативами отчислений</w:t>
      </w:r>
      <w:r w:rsidRPr="00B7277A">
        <w:t>, что не превышает предельный объем, установленный статьей 139.1 БК РФ.</w:t>
      </w:r>
    </w:p>
    <w:p w:rsidR="007765CC" w:rsidRPr="00A27310" w:rsidRDefault="007765CC" w:rsidP="007765CC">
      <w:pPr>
        <w:ind w:firstLine="709"/>
        <w:jc w:val="both"/>
        <w:rPr>
          <w:b/>
          <w:i/>
        </w:rPr>
      </w:pPr>
      <w:r w:rsidRPr="00A27310">
        <w:t>По результатам экспертизы законопроекта «Об областном бюджете на 201</w:t>
      </w:r>
      <w:r>
        <w:t>9</w:t>
      </w:r>
      <w:r w:rsidRPr="00A27310">
        <w:t xml:space="preserve"> год и на плановый период 20</w:t>
      </w:r>
      <w:r>
        <w:t xml:space="preserve">20 </w:t>
      </w:r>
      <w:r w:rsidRPr="00A27310">
        <w:t>и 20</w:t>
      </w:r>
      <w:r>
        <w:t>21</w:t>
      </w:r>
      <w:r w:rsidRPr="00A27310">
        <w:t xml:space="preserve"> годов», проведенной </w:t>
      </w:r>
      <w:r>
        <w:t>КСП</w:t>
      </w:r>
      <w:r w:rsidRPr="00A27310">
        <w:t xml:space="preserve"> к 1 чтению, можно сделать </w:t>
      </w:r>
      <w:r w:rsidRPr="00A27310">
        <w:rPr>
          <w:b/>
          <w:i/>
          <w:u w:val="single"/>
        </w:rPr>
        <w:t xml:space="preserve">следующие </w:t>
      </w:r>
      <w:r>
        <w:rPr>
          <w:b/>
          <w:i/>
          <w:u w:val="single"/>
        </w:rPr>
        <w:t xml:space="preserve">основные </w:t>
      </w:r>
      <w:r w:rsidRPr="00A27310">
        <w:rPr>
          <w:b/>
          <w:i/>
          <w:u w:val="single"/>
        </w:rPr>
        <w:t>выводы</w:t>
      </w:r>
      <w:r w:rsidRPr="00A27310">
        <w:rPr>
          <w:b/>
          <w:i/>
        </w:rPr>
        <w:t>:</w:t>
      </w:r>
    </w:p>
    <w:p w:rsidR="007765CC" w:rsidRPr="004C005C" w:rsidRDefault="007765CC" w:rsidP="007765CC">
      <w:pPr>
        <w:ind w:firstLine="708"/>
        <w:jc w:val="center"/>
        <w:rPr>
          <w:b/>
          <w:i/>
          <w:sz w:val="16"/>
          <w:szCs w:val="16"/>
        </w:rPr>
      </w:pPr>
    </w:p>
    <w:p w:rsidR="007765CC" w:rsidRDefault="007765CC" w:rsidP="007765CC">
      <w:pPr>
        <w:ind w:firstLine="708"/>
        <w:jc w:val="both"/>
        <w:rPr>
          <w:b/>
          <w:i/>
        </w:rPr>
      </w:pPr>
      <w:r w:rsidRPr="00A27310">
        <w:t>-</w:t>
      </w:r>
      <w:r w:rsidRPr="00A27310">
        <w:rPr>
          <w:b/>
          <w:i/>
        </w:rPr>
        <w:t>по концепции законопроекта</w:t>
      </w:r>
    </w:p>
    <w:p w:rsidR="007765CC" w:rsidRDefault="00F5279B" w:rsidP="00F5279B">
      <w:pPr>
        <w:ind w:firstLine="709"/>
        <w:jc w:val="both"/>
      </w:pPr>
      <w:r>
        <w:rPr>
          <w:b/>
        </w:rPr>
        <w:t>1</w:t>
      </w:r>
      <w:r w:rsidR="007765CC" w:rsidRPr="00535F85">
        <w:rPr>
          <w:b/>
        </w:rPr>
        <w:t>.</w:t>
      </w:r>
      <w:r w:rsidR="007765CC">
        <w:t xml:space="preserve"> В нарушение статьи 179.4 БК РФ, согласно которой объем бюджетных ассигнований дорожного фонда утверждается законом субъекта РФ о бюджете на очередной финансовый год и плановый период </w:t>
      </w:r>
      <w:r w:rsidR="007765CC" w:rsidRPr="00535F85">
        <w:t>в размере не менее прогнозируемого объема установленных законом субъекта РФ доходов дорожного фонда</w:t>
      </w:r>
      <w:r w:rsidR="007765CC">
        <w:t>, объем бюджетных ассигнований дорожного фонда Волгоградской области на 20</w:t>
      </w:r>
      <w:r w:rsidR="008E2F2E">
        <w:t>20</w:t>
      </w:r>
      <w:r w:rsidR="007765CC">
        <w:t xml:space="preserve"> год предлагается утвердить в сумме 1</w:t>
      </w:r>
      <w:r w:rsidR="008E2F2E">
        <w:t>2313,2</w:t>
      </w:r>
      <w:r w:rsidR="007765CC">
        <w:t xml:space="preserve"> млн. руб., что меньше прогнозируемого объема соответствующих доходов</w:t>
      </w:r>
      <w:r w:rsidR="008E2F2E">
        <w:t xml:space="preserve"> (13313,2 млн. руб.)</w:t>
      </w:r>
      <w:r w:rsidR="007765CC">
        <w:t xml:space="preserve"> на </w:t>
      </w:r>
      <w:r w:rsidR="008E2F2E">
        <w:t>10</w:t>
      </w:r>
      <w:r w:rsidR="007765CC">
        <w:t xml:space="preserve">00 млн. рублей. </w:t>
      </w:r>
      <w:r w:rsidR="008E2F2E">
        <w:t xml:space="preserve">С учетом </w:t>
      </w:r>
      <w:r>
        <w:t>неиспользованных в 2019 году бюджетных ассигнований дорожного фонда</w:t>
      </w:r>
      <w:r w:rsidRPr="00F5279B">
        <w:t xml:space="preserve"> </w:t>
      </w:r>
      <w:r>
        <w:t xml:space="preserve">Волгоградской области в сумме 600 млн. руб., недостаток средств, формирующих дорожный фонд Волгоградской области, составляет 1600 млн. рублей. </w:t>
      </w:r>
    </w:p>
    <w:p w:rsidR="00F5279B" w:rsidRDefault="00F5279B" w:rsidP="00F5279B">
      <w:pPr>
        <w:ind w:firstLine="709"/>
        <w:jc w:val="both"/>
        <w:rPr>
          <w:rFonts w:eastAsiaTheme="minorHAnsi"/>
          <w:lang w:eastAsia="en-US"/>
        </w:rPr>
      </w:pPr>
    </w:p>
    <w:p w:rsidR="007765CC" w:rsidRDefault="00F5279B" w:rsidP="007765CC">
      <w:pPr>
        <w:autoSpaceDE w:val="0"/>
        <w:autoSpaceDN w:val="0"/>
        <w:adjustRightInd w:val="0"/>
        <w:ind w:firstLine="851"/>
        <w:jc w:val="both"/>
      </w:pPr>
      <w:r w:rsidRPr="00F5279B">
        <w:rPr>
          <w:b/>
        </w:rPr>
        <w:t xml:space="preserve"> 2.</w:t>
      </w:r>
      <w:r>
        <w:t xml:space="preserve"> </w:t>
      </w:r>
      <w:r w:rsidRPr="00F37740">
        <w:t>Приложением 10 к Законопроект</w:t>
      </w:r>
      <w:r>
        <w:t>у</w:t>
      </w:r>
      <w:r w:rsidRPr="00F37740">
        <w:t xml:space="preserve"> предусмотрено распределение бюджетных ассигнований на реализацию </w:t>
      </w:r>
      <w:r w:rsidRPr="00C6675F">
        <w:rPr>
          <w:u w:val="single"/>
        </w:rPr>
        <w:t xml:space="preserve">39 региональных проектов из </w:t>
      </w:r>
      <w:r w:rsidRPr="00FA1EE0">
        <w:rPr>
          <w:u w:val="single"/>
        </w:rPr>
        <w:t>5</w:t>
      </w:r>
      <w:r w:rsidR="00FA1EE0" w:rsidRPr="00FA1EE0">
        <w:rPr>
          <w:u w:val="single"/>
        </w:rPr>
        <w:t>1</w:t>
      </w:r>
      <w:r w:rsidRPr="00F37740">
        <w:t xml:space="preserve"> в рамках реализации 11 национальных проектов Российской Федерации на территории Волгоградской области на 2020 год</w:t>
      </w:r>
      <w:r w:rsidR="00212FD8">
        <w:t xml:space="preserve"> в размере 2</w:t>
      </w:r>
      <w:r w:rsidR="00B35422">
        <w:t>0</w:t>
      </w:r>
      <w:r w:rsidR="00212FD8">
        <w:t xml:space="preserve">285,0 млн. руб., </w:t>
      </w:r>
      <w:r>
        <w:t>что свидетельствует о недостатке средств на реализацию региональных проектов.</w:t>
      </w:r>
    </w:p>
    <w:p w:rsidR="00F5279B" w:rsidRDefault="00F5279B" w:rsidP="007765CC">
      <w:pPr>
        <w:autoSpaceDE w:val="0"/>
        <w:autoSpaceDN w:val="0"/>
        <w:adjustRightInd w:val="0"/>
        <w:ind w:firstLine="851"/>
        <w:jc w:val="both"/>
        <w:rPr>
          <w:rFonts w:eastAsiaTheme="minorHAnsi"/>
          <w:lang w:eastAsia="en-US"/>
        </w:rPr>
      </w:pPr>
    </w:p>
    <w:p w:rsidR="009631CE" w:rsidRPr="00FA1EE0" w:rsidRDefault="008E2F2E" w:rsidP="002951B2">
      <w:pPr>
        <w:pStyle w:val="a8"/>
        <w:numPr>
          <w:ilvl w:val="0"/>
          <w:numId w:val="1"/>
        </w:numPr>
        <w:tabs>
          <w:tab w:val="clear" w:pos="1070"/>
          <w:tab w:val="num" w:pos="0"/>
        </w:tabs>
        <w:ind w:left="0" w:firstLine="851"/>
        <w:jc w:val="both"/>
      </w:pPr>
      <w:r w:rsidRPr="00FA1EE0">
        <w:t xml:space="preserve">Расходы на проектирование, строительство и реконструкцию 87 объектов, учтенных в </w:t>
      </w:r>
      <w:r w:rsidR="0062202D">
        <w:t>Приложениях к З</w:t>
      </w:r>
      <w:r w:rsidR="00FA1EE0">
        <w:t>аконопроекту 15</w:t>
      </w:r>
      <w:r w:rsidRPr="00FA1EE0">
        <w:t xml:space="preserve">, 16 и 17  предусмотрены на общую сумму  870 тыс. руб., то есть из расчета в среднем 10 тыс. руб. на один объект, что свидетельствует о недостатке бюджетных средств на финансирование капитальных вложений </w:t>
      </w:r>
      <w:r w:rsidR="009631CE" w:rsidRPr="00FA1EE0">
        <w:t>на 2020 год</w:t>
      </w:r>
      <w:r w:rsidRPr="00FA1EE0">
        <w:t xml:space="preserve">. </w:t>
      </w:r>
      <w:r w:rsidR="009631CE" w:rsidRPr="00FA1EE0">
        <w:t xml:space="preserve"> </w:t>
      </w:r>
    </w:p>
    <w:p w:rsidR="002951B2" w:rsidRDefault="002951B2" w:rsidP="002951B2">
      <w:pPr>
        <w:ind w:left="708"/>
        <w:jc w:val="both"/>
      </w:pPr>
    </w:p>
    <w:p w:rsidR="002951B2" w:rsidRPr="00B9355D" w:rsidRDefault="002951B2" w:rsidP="002951B2">
      <w:pPr>
        <w:ind w:firstLine="709"/>
        <w:jc w:val="both"/>
        <w:rPr>
          <w:b/>
          <w:i/>
        </w:rPr>
      </w:pPr>
      <w:r w:rsidRPr="00B9355D">
        <w:rPr>
          <w:b/>
          <w:i/>
        </w:rPr>
        <w:t>-по прогнозу социально-экономического развития Волгоградской области</w:t>
      </w:r>
    </w:p>
    <w:p w:rsidR="002951B2" w:rsidRPr="001A272E" w:rsidRDefault="002951B2" w:rsidP="002951B2">
      <w:pPr>
        <w:pStyle w:val="a8"/>
        <w:numPr>
          <w:ilvl w:val="0"/>
          <w:numId w:val="1"/>
        </w:numPr>
        <w:tabs>
          <w:tab w:val="clear" w:pos="1070"/>
          <w:tab w:val="num" w:pos="0"/>
        </w:tabs>
        <w:ind w:left="0" w:firstLine="709"/>
        <w:jc w:val="both"/>
      </w:pPr>
      <w:r w:rsidRPr="001A272E">
        <w:t xml:space="preserve">Анализ прогноза социально-экономического развития Волгоградской области показал, что в 2020 – 2022 годах практически по всем основным макроэкономическим показателям ожидается рост. </w:t>
      </w:r>
    </w:p>
    <w:p w:rsidR="002951B2" w:rsidRPr="001A272E" w:rsidRDefault="002951B2" w:rsidP="002951B2">
      <w:pPr>
        <w:pStyle w:val="Style5"/>
        <w:spacing w:line="247" w:lineRule="auto"/>
        <w:ind w:firstLine="680"/>
        <w:jc w:val="both"/>
      </w:pPr>
      <w:r w:rsidRPr="001A272E">
        <w:t>По оценке КСП существует риск не достижения следующих макроэкономических показателей в прогнозируемом периоде:</w:t>
      </w:r>
    </w:p>
    <w:p w:rsidR="002951B2" w:rsidRPr="001A272E" w:rsidRDefault="002951B2" w:rsidP="002951B2">
      <w:pPr>
        <w:pStyle w:val="Style5"/>
        <w:spacing w:line="240" w:lineRule="auto"/>
        <w:ind w:firstLine="680"/>
        <w:jc w:val="both"/>
      </w:pPr>
      <w:r w:rsidRPr="001A272E">
        <w:t>- объема работ, выполненных по виду деятельности «Строительство», а также вводу в действие жилых домов с учетом динамики этих показателей в текущем периоде и предыдущих годах, а также отсутствием в Прогнозе СЭР информации о конкретных мероприятиях, способствующих росту указанных показателей в 2020-2022 годах. Риск неисполнения показателя может негативно повлиять на показатель ВРП, а также отразиться на показателе объема инвестиций в основной капитал;</w:t>
      </w:r>
    </w:p>
    <w:p w:rsidR="002951B2" w:rsidRPr="001A272E" w:rsidRDefault="002951B2" w:rsidP="002951B2">
      <w:pPr>
        <w:ind w:firstLine="680"/>
        <w:jc w:val="both"/>
      </w:pPr>
      <w:r w:rsidRPr="001A272E">
        <w:t xml:space="preserve">- инвестиций в основной капитал с учетом снижения показателя в 2018 году и </w:t>
      </w:r>
      <w:r w:rsidRPr="001A272E">
        <w:rPr>
          <w:lang w:val="en-US"/>
        </w:rPr>
        <w:t>I</w:t>
      </w:r>
      <w:r w:rsidRPr="001A272E">
        <w:t xml:space="preserve"> полугодии 2019 года по отношению к аналогичным периодам предыдущих лет, а также отсутствия в Прогнозе СЭР информации об объемах инвестиций по инвестиционным проектам в разрезе планируемых периодов;</w:t>
      </w:r>
    </w:p>
    <w:p w:rsidR="002951B2" w:rsidRPr="001A272E" w:rsidRDefault="002951B2" w:rsidP="002951B2">
      <w:pPr>
        <w:ind w:firstLine="680"/>
        <w:jc w:val="both"/>
      </w:pPr>
      <w:r w:rsidRPr="001A272E">
        <w:t xml:space="preserve">- среднегодовой численности занятых в экономике, </w:t>
      </w:r>
      <w:proofErr w:type="gramStart"/>
      <w:r w:rsidRPr="001A272E">
        <w:t>рост</w:t>
      </w:r>
      <w:proofErr w:type="gramEnd"/>
      <w:r w:rsidRPr="001A272E">
        <w:t xml:space="preserve"> которого прогнозируется на фоне снижения показателя численности трудоспособного населения, а также отрицательной динамики показателя за 2016-2018 годы. Не достижение указанного показателя может оказать негативное влияние на объем поступлений НДФЛ.</w:t>
      </w:r>
    </w:p>
    <w:p w:rsidR="002951B2" w:rsidRPr="001A272E" w:rsidRDefault="002951B2" w:rsidP="002951B2">
      <w:pPr>
        <w:pStyle w:val="Style20"/>
        <w:widowControl/>
        <w:ind w:firstLine="680"/>
        <w:jc w:val="both"/>
        <w:rPr>
          <w:bCs/>
        </w:rPr>
      </w:pPr>
      <w:r w:rsidRPr="002951B2">
        <w:rPr>
          <w:b/>
        </w:rPr>
        <w:t>5.</w:t>
      </w:r>
      <w:r>
        <w:t xml:space="preserve"> </w:t>
      </w:r>
      <w:r w:rsidRPr="001A272E">
        <w:t>Недостатками Прогноза СЭР являются не приведение факторов и ограничений экономического роста региона,</w:t>
      </w:r>
      <w:r>
        <w:t xml:space="preserve"> что не соответствует положениям Законов №172 -ФЗ и 247-ОД</w:t>
      </w:r>
      <w:r w:rsidR="0062202D">
        <w:t xml:space="preserve"> и</w:t>
      </w:r>
      <w:r>
        <w:t xml:space="preserve"> постановлению №829 – </w:t>
      </w:r>
      <w:proofErr w:type="spellStart"/>
      <w:proofErr w:type="gramStart"/>
      <w:r>
        <w:t>п</w:t>
      </w:r>
      <w:proofErr w:type="spellEnd"/>
      <w:proofErr w:type="gramEnd"/>
      <w:r>
        <w:t>,</w:t>
      </w:r>
      <w:r w:rsidRPr="001A272E">
        <w:t xml:space="preserve"> а также</w:t>
      </w:r>
      <w:r w:rsidRPr="001A272E">
        <w:rPr>
          <w:bCs/>
        </w:rPr>
        <w:t xml:space="preserve"> данных о планируемых объемах освоения инвестиций и рабочих местах в разрезе каждого планируемого года в ходе реализации инвестиционных проектов (в разделе «Привлечение инвестиций»).</w:t>
      </w:r>
    </w:p>
    <w:p w:rsidR="002951B2" w:rsidRDefault="002951B2" w:rsidP="002951B2">
      <w:pPr>
        <w:ind w:firstLine="709"/>
        <w:jc w:val="both"/>
      </w:pPr>
    </w:p>
    <w:p w:rsidR="002501FE" w:rsidRDefault="002501FE" w:rsidP="002501FE">
      <w:pPr>
        <w:autoSpaceDE w:val="0"/>
        <w:autoSpaceDN w:val="0"/>
        <w:adjustRightInd w:val="0"/>
        <w:ind w:firstLine="720"/>
        <w:jc w:val="both"/>
        <w:outlineLvl w:val="0"/>
        <w:rPr>
          <w:b/>
          <w:i/>
        </w:rPr>
      </w:pPr>
      <w:r w:rsidRPr="00A27310">
        <w:rPr>
          <w:b/>
          <w:i/>
        </w:rPr>
        <w:t>-по доходной части областного бюджета</w:t>
      </w:r>
    </w:p>
    <w:p w:rsidR="002501FE" w:rsidRDefault="002951B2" w:rsidP="002501FE">
      <w:pPr>
        <w:pStyle w:val="Default"/>
        <w:ind w:firstLine="708"/>
        <w:jc w:val="both"/>
      </w:pPr>
      <w:r>
        <w:rPr>
          <w:b/>
        </w:rPr>
        <w:t>6</w:t>
      </w:r>
      <w:r w:rsidR="002501FE" w:rsidRPr="00E74858">
        <w:rPr>
          <w:b/>
        </w:rPr>
        <w:t>.</w:t>
      </w:r>
      <w:r w:rsidR="002501FE">
        <w:t xml:space="preserve"> </w:t>
      </w:r>
      <w:r w:rsidR="002501FE" w:rsidRPr="00340EDE">
        <w:t>Проанализировав представленные расчеты по налоговым</w:t>
      </w:r>
      <w:r w:rsidR="002501FE" w:rsidRPr="00453858">
        <w:t xml:space="preserve"> доходам и планируемые поступления неналоговых доходов, </w:t>
      </w:r>
      <w:r w:rsidR="002501FE" w:rsidRPr="00235046">
        <w:t>КСП пришла к выводу</w:t>
      </w:r>
      <w:r w:rsidR="002501FE">
        <w:t>,</w:t>
      </w:r>
      <w:r w:rsidR="002501FE" w:rsidRPr="002501FE">
        <w:t xml:space="preserve"> </w:t>
      </w:r>
      <w:r w:rsidR="002501FE" w:rsidRPr="00235046">
        <w:t>что в основном доходы на 20</w:t>
      </w:r>
      <w:r w:rsidR="002501FE">
        <w:t>20</w:t>
      </w:r>
      <w:r w:rsidR="002501FE" w:rsidRPr="00235046">
        <w:t xml:space="preserve"> год спрогнозированы обоснованно.</w:t>
      </w:r>
      <w:r w:rsidR="002501FE">
        <w:t xml:space="preserve"> Вместе с тем</w:t>
      </w:r>
      <w:r w:rsidR="002501FE" w:rsidRPr="002501FE">
        <w:t xml:space="preserve"> </w:t>
      </w:r>
      <w:r w:rsidR="002501FE">
        <w:t>по оценке КСП</w:t>
      </w:r>
      <w:r w:rsidR="002501FE" w:rsidRPr="002501FE">
        <w:t xml:space="preserve"> </w:t>
      </w:r>
      <w:r w:rsidR="002501FE">
        <w:t xml:space="preserve">по </w:t>
      </w:r>
      <w:r w:rsidR="002501FE" w:rsidRPr="00FF522C">
        <w:t xml:space="preserve">налогу на имущество организаций </w:t>
      </w:r>
      <w:r w:rsidR="002501FE" w:rsidRPr="00FF522C">
        <w:rPr>
          <w:b/>
          <w:i/>
        </w:rPr>
        <w:t>занижены прогнозные показатели</w:t>
      </w:r>
      <w:r w:rsidR="002501FE" w:rsidRPr="00FF522C">
        <w:t xml:space="preserve"> </w:t>
      </w:r>
      <w:r w:rsidR="002501FE" w:rsidRPr="002015E2">
        <w:rPr>
          <w:b/>
          <w:i/>
        </w:rPr>
        <w:t>на 156,7 млн. рублей</w:t>
      </w:r>
      <w:r w:rsidR="002501FE" w:rsidRPr="00FF522C">
        <w:t>.</w:t>
      </w:r>
    </w:p>
    <w:p w:rsidR="002501FE" w:rsidRDefault="002501FE" w:rsidP="002501FE">
      <w:pPr>
        <w:ind w:right="-138" w:firstLine="708"/>
        <w:jc w:val="both"/>
      </w:pPr>
      <w:r w:rsidRPr="00B35422">
        <w:rPr>
          <w:b/>
          <w:i/>
        </w:rPr>
        <w:t>Необоснованно уменьшены доходы</w:t>
      </w:r>
      <w:r>
        <w:t xml:space="preserve"> в областной бюджет </w:t>
      </w:r>
      <w:r w:rsidRPr="00B35422">
        <w:rPr>
          <w:b/>
          <w:i/>
        </w:rPr>
        <w:t>от акцизов на нефтепродукты</w:t>
      </w:r>
      <w:r>
        <w:t xml:space="preserve"> на 2020 год на </w:t>
      </w:r>
      <w:r w:rsidRPr="00B35422">
        <w:rPr>
          <w:b/>
          <w:i/>
        </w:rPr>
        <w:t>192,1 млн. руб</w:t>
      </w:r>
      <w:r w:rsidRPr="00B35422">
        <w:rPr>
          <w:i/>
        </w:rPr>
        <w:t>.</w:t>
      </w:r>
      <w:r>
        <w:t xml:space="preserve"> в результате 10%-ного распределения в местные бюджеты акцизов на нефтепродукты в </w:t>
      </w:r>
      <w:r w:rsidRPr="00825D23">
        <w:t>целях реализации национального проекта «Безопасные и качественные автомобильные дороги»</w:t>
      </w:r>
      <w:r>
        <w:t>, которые согласно п.3 ст. 4</w:t>
      </w:r>
      <w:r w:rsidRPr="00825D23">
        <w:t xml:space="preserve"> </w:t>
      </w:r>
      <w:r>
        <w:t xml:space="preserve">Федерального закона №409-ФЗ распределению </w:t>
      </w:r>
      <w:r w:rsidRPr="00271CA8">
        <w:rPr>
          <w:b/>
        </w:rPr>
        <w:t>не по</w:t>
      </w:r>
      <w:r>
        <w:rPr>
          <w:b/>
        </w:rPr>
        <w:t>длежат</w:t>
      </w:r>
      <w:r>
        <w:t xml:space="preserve">. </w:t>
      </w:r>
    </w:p>
    <w:p w:rsidR="002501FE" w:rsidRDefault="002501FE" w:rsidP="002501FE">
      <w:pPr>
        <w:pStyle w:val="Default"/>
        <w:ind w:firstLine="708"/>
        <w:jc w:val="both"/>
      </w:pPr>
      <w:r>
        <w:rPr>
          <w:b/>
          <w:i/>
        </w:rPr>
        <w:t>Р</w:t>
      </w:r>
      <w:r w:rsidRPr="00FF522C">
        <w:rPr>
          <w:b/>
          <w:i/>
        </w:rPr>
        <w:t xml:space="preserve">иски невыполнения </w:t>
      </w:r>
      <w:r w:rsidR="003A0003">
        <w:rPr>
          <w:b/>
          <w:i/>
        </w:rPr>
        <w:t>налога на</w:t>
      </w:r>
      <w:r w:rsidR="0053592A">
        <w:rPr>
          <w:b/>
          <w:i/>
        </w:rPr>
        <w:t xml:space="preserve"> прибыль организаций составляют</w:t>
      </w:r>
      <w:r w:rsidRPr="00FF522C">
        <w:rPr>
          <w:b/>
          <w:i/>
        </w:rPr>
        <w:t xml:space="preserve"> 500 млн. руб</w:t>
      </w:r>
      <w:r w:rsidR="0053592A">
        <w:rPr>
          <w:b/>
          <w:i/>
        </w:rPr>
        <w:t>. и более.</w:t>
      </w:r>
    </w:p>
    <w:p w:rsidR="002501FE" w:rsidRDefault="002501FE" w:rsidP="002501FE">
      <w:pPr>
        <w:shd w:val="clear" w:color="auto" w:fill="FFFFFF"/>
        <w:ind w:left="11" w:right="11" w:firstLine="680"/>
        <w:jc w:val="both"/>
        <w:rPr>
          <w:bCs/>
        </w:rPr>
      </w:pPr>
      <w:r>
        <w:t xml:space="preserve"> </w:t>
      </w:r>
      <w:r w:rsidR="00B35422">
        <w:t>П</w:t>
      </w:r>
      <w:r w:rsidRPr="00461127">
        <w:t xml:space="preserve">о безвозмездным поступлениям </w:t>
      </w:r>
      <w:r w:rsidRPr="00B35422">
        <w:rPr>
          <w:b/>
          <w:i/>
        </w:rPr>
        <w:t xml:space="preserve">не предусмотрены прогнозные назначения </w:t>
      </w:r>
      <w:r w:rsidRPr="00B35422">
        <w:rPr>
          <w:b/>
          <w:bCs/>
          <w:i/>
        </w:rPr>
        <w:t>в виде в</w:t>
      </w:r>
      <w:r w:rsidRPr="00B35422">
        <w:rPr>
          <w:b/>
          <w:i/>
        </w:rPr>
        <w:t>озврата в федеральный бюджет остатков неиспользованных субсидий, субвенций и иных межбюджетных трансфертов</w:t>
      </w:r>
      <w:r w:rsidR="00B35422">
        <w:rPr>
          <w:b/>
          <w:i/>
        </w:rPr>
        <w:t xml:space="preserve"> </w:t>
      </w:r>
      <w:r w:rsidR="00B35422" w:rsidRPr="00B35422">
        <w:t>(</w:t>
      </w:r>
      <w:r w:rsidR="00B35422">
        <w:t xml:space="preserve">только </w:t>
      </w:r>
      <w:r>
        <w:t xml:space="preserve">за 9 месяцев 2019 года </w:t>
      </w:r>
      <w:r w:rsidR="00B35422">
        <w:t xml:space="preserve">их  размер </w:t>
      </w:r>
      <w:r>
        <w:t>составил (-)73,2 млн. руб.</w:t>
      </w:r>
      <w:r w:rsidR="00B35422">
        <w:t>)</w:t>
      </w:r>
      <w:r>
        <w:t xml:space="preserve">, что </w:t>
      </w:r>
      <w:r w:rsidRPr="00F26930">
        <w:rPr>
          <w:bCs/>
        </w:rPr>
        <w:t xml:space="preserve">свидетельствует о несоблюдении принципа полноты отражения доходов бюджета, определенного статьей 32 БК РФ. </w:t>
      </w:r>
    </w:p>
    <w:p w:rsidR="002501FE" w:rsidRDefault="002501FE" w:rsidP="002501FE">
      <w:pPr>
        <w:pStyle w:val="Default"/>
        <w:ind w:firstLine="708"/>
        <w:jc w:val="both"/>
        <w:rPr>
          <w:b/>
          <w:i/>
        </w:rPr>
      </w:pPr>
      <w:proofErr w:type="gramStart"/>
      <w:r>
        <w:rPr>
          <w:b/>
          <w:i/>
        </w:rPr>
        <w:t>Таким образом, по оценке КСП по доходам имеются</w:t>
      </w:r>
      <w:r w:rsidRPr="002015E2">
        <w:rPr>
          <w:b/>
          <w:i/>
        </w:rPr>
        <w:t xml:space="preserve"> </w:t>
      </w:r>
      <w:r w:rsidRPr="00FF522C">
        <w:rPr>
          <w:b/>
          <w:i/>
        </w:rPr>
        <w:t>риски невыполнения</w:t>
      </w:r>
      <w:r>
        <w:rPr>
          <w:b/>
          <w:i/>
        </w:rPr>
        <w:t xml:space="preserve"> прогнозн</w:t>
      </w:r>
      <w:r w:rsidR="003A0003">
        <w:rPr>
          <w:b/>
          <w:i/>
        </w:rPr>
        <w:t>ых</w:t>
      </w:r>
      <w:r>
        <w:rPr>
          <w:b/>
          <w:i/>
        </w:rPr>
        <w:t xml:space="preserve"> показател</w:t>
      </w:r>
      <w:r w:rsidR="003A0003">
        <w:rPr>
          <w:b/>
          <w:i/>
        </w:rPr>
        <w:t xml:space="preserve">ей на 224,4 </w:t>
      </w:r>
      <w:r>
        <w:rPr>
          <w:b/>
          <w:i/>
        </w:rPr>
        <w:t>млн. руб., из них по нало</w:t>
      </w:r>
      <w:r w:rsidR="003A0003">
        <w:rPr>
          <w:b/>
          <w:i/>
        </w:rPr>
        <w:t xml:space="preserve">говым и неналоговым доходам на </w:t>
      </w:r>
      <w:r>
        <w:rPr>
          <w:b/>
          <w:i/>
        </w:rPr>
        <w:t>151,2 млн. руб., по безвозмездным поступлениям на 73,2 млн. руб</w:t>
      </w:r>
      <w:r w:rsidR="0062202D">
        <w:rPr>
          <w:b/>
          <w:i/>
        </w:rPr>
        <w:t>. (</w:t>
      </w:r>
      <w:r w:rsidR="00C81CC9">
        <w:rPr>
          <w:b/>
          <w:i/>
        </w:rPr>
        <w:t xml:space="preserve">при условии возврата остатков </w:t>
      </w:r>
      <w:r w:rsidR="00C81CC9" w:rsidRPr="00B35422">
        <w:rPr>
          <w:b/>
          <w:i/>
        </w:rPr>
        <w:t>неиспользованных субсидий, субвенций и иных межбюджетных трансферто</w:t>
      </w:r>
      <w:r w:rsidR="00C81CC9">
        <w:rPr>
          <w:b/>
          <w:i/>
        </w:rPr>
        <w:t xml:space="preserve">в </w:t>
      </w:r>
      <w:r w:rsidR="0062202D">
        <w:rPr>
          <w:b/>
          <w:i/>
        </w:rPr>
        <w:t>на уровне 9 месяцев 2019 года)</w:t>
      </w:r>
      <w:r>
        <w:rPr>
          <w:b/>
          <w:i/>
        </w:rPr>
        <w:t xml:space="preserve">.  </w:t>
      </w:r>
      <w:proofErr w:type="gramEnd"/>
    </w:p>
    <w:p w:rsidR="00762747" w:rsidRPr="00762747" w:rsidRDefault="002951B2" w:rsidP="00F25F4F">
      <w:pPr>
        <w:pStyle w:val="Default"/>
        <w:ind w:firstLine="708"/>
        <w:jc w:val="both"/>
        <w:rPr>
          <w:color w:val="auto"/>
        </w:rPr>
      </w:pPr>
      <w:r w:rsidRPr="00762747">
        <w:rPr>
          <w:b/>
          <w:color w:val="auto"/>
        </w:rPr>
        <w:t>7.</w:t>
      </w:r>
      <w:r w:rsidRPr="00762747">
        <w:rPr>
          <w:color w:val="auto"/>
        </w:rPr>
        <w:t xml:space="preserve"> </w:t>
      </w:r>
      <w:r w:rsidR="00FD14C6" w:rsidRPr="00762747">
        <w:rPr>
          <w:color w:val="auto"/>
        </w:rPr>
        <w:t xml:space="preserve">В приложении 1 к Законопроекту </w:t>
      </w:r>
      <w:proofErr w:type="gramStart"/>
      <w:r w:rsidR="00FD14C6" w:rsidRPr="00762747">
        <w:rPr>
          <w:color w:val="auto"/>
        </w:rPr>
        <w:t>выявлены</w:t>
      </w:r>
      <w:proofErr w:type="gramEnd"/>
      <w:r w:rsidR="00762747" w:rsidRPr="00762747">
        <w:rPr>
          <w:color w:val="auto"/>
        </w:rPr>
        <w:t>:</w:t>
      </w:r>
    </w:p>
    <w:p w:rsidR="002501FE" w:rsidRDefault="00762747" w:rsidP="00F25F4F">
      <w:pPr>
        <w:pStyle w:val="Default"/>
        <w:ind w:firstLine="708"/>
        <w:jc w:val="both"/>
        <w:rPr>
          <w:bCs/>
          <w:iCs/>
          <w:color w:val="auto"/>
        </w:rPr>
      </w:pPr>
      <w:proofErr w:type="gramStart"/>
      <w:r w:rsidRPr="00762747">
        <w:rPr>
          <w:color w:val="auto"/>
        </w:rPr>
        <w:t>-</w:t>
      </w:r>
      <w:r w:rsidR="00FD14C6" w:rsidRPr="00762747">
        <w:rPr>
          <w:color w:val="auto"/>
        </w:rPr>
        <w:t xml:space="preserve">2 вида доходов на общую сумму по 3,6 млн. руб. ежегодно с 2020 по 2022 годы по кодам бюджетной классификации доходов, не относящихся к доходам субъектов РФ </w:t>
      </w:r>
      <w:r w:rsidR="00F25F4F" w:rsidRPr="00762747">
        <w:rPr>
          <w:color w:val="auto"/>
        </w:rPr>
        <w:t>в соответствии с</w:t>
      </w:r>
      <w:r w:rsidR="00F25F4F" w:rsidRPr="00762747">
        <w:rPr>
          <w:bCs/>
          <w:iCs/>
          <w:color w:val="auto"/>
        </w:rPr>
        <w:t xml:space="preserve"> пунктом 22 статьи 46 БК РФ и </w:t>
      </w:r>
      <w:r w:rsidR="00FD14C6" w:rsidRPr="00762747">
        <w:rPr>
          <w:color w:val="auto"/>
        </w:rPr>
        <w:t xml:space="preserve"> </w:t>
      </w:r>
      <w:r w:rsidR="00FD14C6" w:rsidRPr="00762747">
        <w:rPr>
          <w:bCs/>
          <w:iCs/>
          <w:color w:val="auto"/>
        </w:rPr>
        <w:t>приказ</w:t>
      </w:r>
      <w:r w:rsidR="00F25F4F" w:rsidRPr="00762747">
        <w:rPr>
          <w:bCs/>
          <w:iCs/>
          <w:color w:val="auto"/>
        </w:rPr>
        <w:t>ом</w:t>
      </w:r>
      <w:r w:rsidR="00FD14C6" w:rsidRPr="00762747">
        <w:rPr>
          <w:bCs/>
          <w:iCs/>
          <w:color w:val="auto"/>
        </w:rPr>
        <w:t xml:space="preserve">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r w:rsidRPr="00762747">
        <w:rPr>
          <w:bCs/>
          <w:iCs/>
          <w:color w:val="auto"/>
        </w:rPr>
        <w:t>;</w:t>
      </w:r>
      <w:r w:rsidR="00B35422">
        <w:rPr>
          <w:bCs/>
          <w:iCs/>
          <w:color w:val="auto"/>
        </w:rPr>
        <w:t xml:space="preserve"> </w:t>
      </w:r>
      <w:proofErr w:type="gramEnd"/>
    </w:p>
    <w:p w:rsidR="0053592A" w:rsidRDefault="00762747" w:rsidP="00F25F4F">
      <w:pPr>
        <w:pStyle w:val="Default"/>
        <w:ind w:firstLine="708"/>
        <w:jc w:val="both"/>
        <w:rPr>
          <w:bCs/>
        </w:rPr>
      </w:pPr>
      <w:r>
        <w:rPr>
          <w:bCs/>
        </w:rPr>
        <w:t>-1 вид доходов на 0,03 млн. руб. ежегодно спрогнозирован по коду бюджетной классификации доходов, который отменен п</w:t>
      </w:r>
      <w:r w:rsidRPr="00762747">
        <w:rPr>
          <w:bCs/>
        </w:rPr>
        <w:t>риказ</w:t>
      </w:r>
      <w:r>
        <w:rPr>
          <w:bCs/>
        </w:rPr>
        <w:t>ом</w:t>
      </w:r>
      <w:r w:rsidRPr="00762747">
        <w:rPr>
          <w:bCs/>
        </w:rPr>
        <w:t xml:space="preserve"> Минфина России от </w:t>
      </w:r>
      <w:r>
        <w:rPr>
          <w:bCs/>
        </w:rPr>
        <w:t>17.09.2019 №148н.</w:t>
      </w:r>
    </w:p>
    <w:p w:rsidR="00AD7E54" w:rsidRPr="009F2105" w:rsidRDefault="002951B2" w:rsidP="00AD7E54">
      <w:pPr>
        <w:ind w:firstLine="708"/>
        <w:jc w:val="both"/>
      </w:pPr>
      <w:r>
        <w:rPr>
          <w:b/>
        </w:rPr>
        <w:t>8</w:t>
      </w:r>
      <w:r w:rsidR="00AD7E54" w:rsidRPr="009F2105">
        <w:rPr>
          <w:b/>
        </w:rPr>
        <w:t>.</w:t>
      </w:r>
      <w:r w:rsidR="00AD7E54" w:rsidRPr="009F2105">
        <w:t xml:space="preserve"> </w:t>
      </w:r>
      <w:r w:rsidR="00A77357">
        <w:t>Выпадающие доходы</w:t>
      </w:r>
      <w:r w:rsidR="00A77357" w:rsidRPr="00047BD4">
        <w:t xml:space="preserve"> областного бюджета от налоговых расходов о</w:t>
      </w:r>
      <w:r w:rsidR="00A77357" w:rsidRPr="00DE7BD4">
        <w:t>т пред</w:t>
      </w:r>
      <w:r w:rsidR="00A77357">
        <w:t xml:space="preserve">оставления налоговых льгот </w:t>
      </w:r>
      <w:r w:rsidR="00AD7E54" w:rsidRPr="009F2105">
        <w:t>составят в 20</w:t>
      </w:r>
      <w:r w:rsidR="009F2105">
        <w:t>20</w:t>
      </w:r>
      <w:r w:rsidR="00AD7E54" w:rsidRPr="009F2105">
        <w:t xml:space="preserve"> году 7</w:t>
      </w:r>
      <w:r w:rsidR="009F2105">
        <w:t>539,0</w:t>
      </w:r>
      <w:r w:rsidR="00AD7E54" w:rsidRPr="009F2105">
        <w:t xml:space="preserve"> млн. руб., что на </w:t>
      </w:r>
      <w:r w:rsidR="009F2105">
        <w:t>312,5</w:t>
      </w:r>
      <w:r w:rsidR="00AD7E54" w:rsidRPr="009F2105">
        <w:t xml:space="preserve"> млн. руб. меньше, чем в 201</w:t>
      </w:r>
      <w:r w:rsidR="009F2105">
        <w:t>9</w:t>
      </w:r>
      <w:r w:rsidR="00AD7E54" w:rsidRPr="009F2105">
        <w:t xml:space="preserve"> году (по оценке </w:t>
      </w:r>
      <w:r w:rsidR="009F2105">
        <w:t>–</w:t>
      </w:r>
      <w:r w:rsidR="00AD7E54" w:rsidRPr="009F2105">
        <w:t xml:space="preserve"> </w:t>
      </w:r>
      <w:r w:rsidR="009F2105">
        <w:t>7851,5</w:t>
      </w:r>
      <w:r w:rsidR="00AD7E54" w:rsidRPr="009F2105">
        <w:t xml:space="preserve"> млн. руб.). Из общей суммы выпадающих доходов в 20</w:t>
      </w:r>
      <w:r w:rsidR="009F2105">
        <w:t>20</w:t>
      </w:r>
      <w:r w:rsidR="00AD7E54" w:rsidRPr="009F2105">
        <w:t xml:space="preserve"> году наибольшую сумму составят льготы по налогу на имущество организаций </w:t>
      </w:r>
      <w:r w:rsidR="009F2105">
        <w:t>–</w:t>
      </w:r>
      <w:r w:rsidR="00AD7E54" w:rsidRPr="009F2105">
        <w:t xml:space="preserve"> </w:t>
      </w:r>
      <w:r w:rsidR="009F2105">
        <w:t>5470,6</w:t>
      </w:r>
      <w:r w:rsidR="00AD7E54" w:rsidRPr="009F2105">
        <w:t xml:space="preserve"> млн. руб., или </w:t>
      </w:r>
      <w:r w:rsidR="009F2105">
        <w:t>72,6</w:t>
      </w:r>
      <w:r w:rsidR="00AD7E54" w:rsidRPr="009F2105">
        <w:t xml:space="preserve">% от общей суммы, в том числе от предоставленных региональным законодательством </w:t>
      </w:r>
      <w:r w:rsidR="009F2105">
        <w:t>–</w:t>
      </w:r>
      <w:r w:rsidR="00AD7E54" w:rsidRPr="009F2105">
        <w:t xml:space="preserve"> </w:t>
      </w:r>
      <w:r w:rsidR="009F2105">
        <w:t>5228,6</w:t>
      </w:r>
      <w:r w:rsidR="00AD7E54" w:rsidRPr="009F2105">
        <w:t xml:space="preserve"> млн. руб. (</w:t>
      </w:r>
      <w:r w:rsidR="009F2105">
        <w:t>95,6</w:t>
      </w:r>
      <w:r w:rsidR="00AD7E54" w:rsidRPr="009F2105">
        <w:t xml:space="preserve">%), что связано в основном с предоставлением льгот организациям, реализующим инвестиционные проекты. </w:t>
      </w:r>
    </w:p>
    <w:p w:rsidR="00AD7E54" w:rsidRDefault="00AD7E54" w:rsidP="00AD7E54">
      <w:pPr>
        <w:ind w:firstLine="709"/>
        <w:jc w:val="both"/>
      </w:pPr>
      <w:r w:rsidRPr="009F2105">
        <w:t xml:space="preserve">При этом в документах, вносимых одновременно с законопроектом, не приведены сведения о предполагаемых сроках и объемах вводимых в действие мощностей по инвестиционным проектам, в </w:t>
      </w:r>
      <w:proofErr w:type="gramStart"/>
      <w:r w:rsidRPr="009F2105">
        <w:t>связи</w:t>
      </w:r>
      <w:proofErr w:type="gramEnd"/>
      <w:r w:rsidRPr="009F2105">
        <w:t xml:space="preserve"> с чем невозможно оценить обоснованность прогнозируемых потерь от предоставления льгот.</w:t>
      </w:r>
    </w:p>
    <w:p w:rsidR="00B9355D" w:rsidRDefault="00B9355D" w:rsidP="00AD7E54">
      <w:pPr>
        <w:ind w:firstLine="709"/>
        <w:jc w:val="both"/>
      </w:pPr>
    </w:p>
    <w:p w:rsidR="00AD7E54" w:rsidRPr="008E16A7" w:rsidRDefault="00AD7E54" w:rsidP="00AD7E54">
      <w:pPr>
        <w:ind w:firstLine="720"/>
        <w:jc w:val="both"/>
        <w:rPr>
          <w:b/>
          <w:i/>
        </w:rPr>
      </w:pPr>
      <w:r w:rsidRPr="008E16A7">
        <w:rPr>
          <w:b/>
          <w:i/>
        </w:rPr>
        <w:t>-по общему объему расходов областного бюджета</w:t>
      </w:r>
    </w:p>
    <w:p w:rsidR="00AD7E54" w:rsidRPr="008E16A7" w:rsidRDefault="002951B2" w:rsidP="00AD7E54">
      <w:pPr>
        <w:autoSpaceDE w:val="0"/>
        <w:autoSpaceDN w:val="0"/>
        <w:adjustRightInd w:val="0"/>
        <w:ind w:firstLine="709"/>
        <w:jc w:val="both"/>
      </w:pPr>
      <w:r>
        <w:rPr>
          <w:b/>
        </w:rPr>
        <w:t>9</w:t>
      </w:r>
      <w:r w:rsidR="00AD7E54" w:rsidRPr="008E16A7">
        <w:rPr>
          <w:b/>
        </w:rPr>
        <w:t>.</w:t>
      </w:r>
      <w:r w:rsidR="00AD7E54" w:rsidRPr="008E16A7">
        <w:t xml:space="preserve"> В целях экспертной оценки достаточности доходов областного бюджета для полного финансового обеспечения в очередном финансовом году и плановом периоде действующих расходных обязательств Волгоградской области КСП в ходе подготовки заключения на законопроект проводит анализ реестра расходных обязательств, представляемого в составе документов одновременно с проектом бюджета.  </w:t>
      </w:r>
    </w:p>
    <w:p w:rsidR="00AD7E54" w:rsidRPr="008E16A7" w:rsidRDefault="008E16A7" w:rsidP="00AD7E54">
      <w:pPr>
        <w:autoSpaceDE w:val="0"/>
        <w:autoSpaceDN w:val="0"/>
        <w:adjustRightInd w:val="0"/>
        <w:ind w:firstLine="709"/>
        <w:jc w:val="both"/>
      </w:pPr>
      <w:r w:rsidRPr="008E16A7">
        <w:t>С настоящим З</w:t>
      </w:r>
      <w:r w:rsidR="00AD7E54" w:rsidRPr="008E16A7">
        <w:t xml:space="preserve">аконопроектом представлен </w:t>
      </w:r>
      <w:r w:rsidRPr="008E16A7">
        <w:t>Р</w:t>
      </w:r>
      <w:r w:rsidR="00AD7E54" w:rsidRPr="008E16A7">
        <w:t>еестр расходных обязательств, в котором объемы на исполнение расходных обязательств Волгоградской области соответствуют ассигнованиям, предусмотренным в проекте бюджета и при этом не отражают объемы бюджетных ассигнований, необходимые для исполнения действующих расходных обязательств, что делает невозможной достоверную оценку их финансовой обеспеченности и, по сути, нивелирует смысловую нагрузку наличия в составе документов, представляе</w:t>
      </w:r>
      <w:r>
        <w:t>мых с проектом бюджета, самого Р</w:t>
      </w:r>
      <w:r w:rsidR="00AD7E54" w:rsidRPr="008E16A7">
        <w:t>еестра.</w:t>
      </w:r>
    </w:p>
    <w:p w:rsidR="00AD7E54" w:rsidRDefault="00AD7E54" w:rsidP="002501FE">
      <w:pPr>
        <w:shd w:val="clear" w:color="auto" w:fill="FFFFFF"/>
        <w:ind w:left="11" w:right="11" w:firstLine="680"/>
        <w:jc w:val="both"/>
        <w:rPr>
          <w:bCs/>
        </w:rPr>
      </w:pPr>
    </w:p>
    <w:p w:rsidR="007765CC" w:rsidRDefault="007765CC" w:rsidP="007765CC">
      <w:pPr>
        <w:ind w:firstLine="720"/>
        <w:jc w:val="both"/>
        <w:rPr>
          <w:b/>
          <w:i/>
        </w:rPr>
      </w:pPr>
      <w:r w:rsidRPr="00A27310">
        <w:rPr>
          <w:b/>
          <w:i/>
        </w:rPr>
        <w:t>-по дефициту</w:t>
      </w:r>
      <w:r w:rsidR="002501FE">
        <w:rPr>
          <w:b/>
          <w:i/>
        </w:rPr>
        <w:t xml:space="preserve"> (</w:t>
      </w:r>
      <w:proofErr w:type="spellStart"/>
      <w:r w:rsidR="002501FE">
        <w:rPr>
          <w:b/>
          <w:i/>
        </w:rPr>
        <w:t>профициту</w:t>
      </w:r>
      <w:proofErr w:type="spellEnd"/>
      <w:r w:rsidR="002501FE">
        <w:rPr>
          <w:b/>
          <w:i/>
        </w:rPr>
        <w:t>)</w:t>
      </w:r>
      <w:r w:rsidRPr="00A27310">
        <w:rPr>
          <w:b/>
          <w:i/>
        </w:rPr>
        <w:t xml:space="preserve"> областного бюджета</w:t>
      </w:r>
      <w:r>
        <w:rPr>
          <w:b/>
          <w:i/>
        </w:rPr>
        <w:t xml:space="preserve">, программе государственных внутренних заимствований </w:t>
      </w:r>
      <w:r w:rsidRPr="00A27310">
        <w:rPr>
          <w:b/>
          <w:i/>
        </w:rPr>
        <w:t xml:space="preserve"> и верхнему пределу государственного долга Волгоградской области</w:t>
      </w:r>
    </w:p>
    <w:p w:rsidR="007765CC" w:rsidRPr="00E73B2A" w:rsidRDefault="002951B2" w:rsidP="007765CC">
      <w:pPr>
        <w:ind w:firstLine="680"/>
        <w:jc w:val="both"/>
        <w:rPr>
          <w:color w:val="0070C0"/>
        </w:rPr>
      </w:pPr>
      <w:r>
        <w:rPr>
          <w:b/>
        </w:rPr>
        <w:t>10</w:t>
      </w:r>
      <w:r w:rsidR="007765CC" w:rsidRPr="00073E28">
        <w:rPr>
          <w:b/>
        </w:rPr>
        <w:t>.</w:t>
      </w:r>
      <w:r w:rsidR="007765CC">
        <w:t xml:space="preserve"> </w:t>
      </w:r>
      <w:r w:rsidR="007765CC" w:rsidRPr="00E73B2A">
        <w:t xml:space="preserve">Проект областного бюджета сформирован </w:t>
      </w:r>
      <w:proofErr w:type="spellStart"/>
      <w:r w:rsidR="002501FE">
        <w:t>профицитным</w:t>
      </w:r>
      <w:proofErr w:type="spellEnd"/>
      <w:r w:rsidR="007765CC" w:rsidRPr="00E73B2A">
        <w:t xml:space="preserve"> на 20</w:t>
      </w:r>
      <w:r w:rsidR="002501FE">
        <w:t>20 и 2021</w:t>
      </w:r>
      <w:r w:rsidR="007765CC" w:rsidRPr="00E73B2A">
        <w:t xml:space="preserve"> год</w:t>
      </w:r>
      <w:r w:rsidR="002501FE">
        <w:t xml:space="preserve">ы  в размере </w:t>
      </w:r>
      <w:r w:rsidR="00AD7E54">
        <w:t xml:space="preserve">по </w:t>
      </w:r>
      <w:r w:rsidR="002501FE">
        <w:t>200 млн. руб.</w:t>
      </w:r>
      <w:r w:rsidR="007765CC" w:rsidRPr="00E73B2A">
        <w:t xml:space="preserve"> и </w:t>
      </w:r>
      <w:r w:rsidR="002501FE">
        <w:t>на 2022 год в размере 5</w:t>
      </w:r>
      <w:r w:rsidR="007765CC">
        <w:t>00 млн. руб</w:t>
      </w:r>
      <w:r w:rsidR="002501FE">
        <w:t>лей</w:t>
      </w:r>
      <w:r w:rsidR="007765CC">
        <w:t xml:space="preserve">. </w:t>
      </w:r>
    </w:p>
    <w:p w:rsidR="007765CC" w:rsidRDefault="007765CC" w:rsidP="007765CC">
      <w:pPr>
        <w:ind w:firstLine="680"/>
        <w:jc w:val="both"/>
      </w:pPr>
      <w:r w:rsidRPr="00E73B2A">
        <w:t xml:space="preserve">Анализ основных параметров бюджета и источников финансирования его дефицита показал, что расходы областного бюджета предполагается осуществлять за счет доходов, не привлекая на эти цели заимствования. </w:t>
      </w:r>
    </w:p>
    <w:p w:rsidR="007765CC" w:rsidRPr="00E73B2A" w:rsidRDefault="007765CC" w:rsidP="007765CC">
      <w:pPr>
        <w:ind w:firstLine="680"/>
        <w:jc w:val="both"/>
      </w:pPr>
      <w:r w:rsidRPr="00E73B2A">
        <w:t xml:space="preserve">Государственный долг Волгоградской области по отношению к налоговым и неналоговым доходам сократится с </w:t>
      </w:r>
      <w:r w:rsidR="00AD7E54">
        <w:t>6</w:t>
      </w:r>
      <w:r w:rsidRPr="00E73B2A">
        <w:t>9,</w:t>
      </w:r>
      <w:r w:rsidR="00AD7E54">
        <w:t>1</w:t>
      </w:r>
      <w:r w:rsidRPr="00E73B2A">
        <w:t xml:space="preserve">% </w:t>
      </w:r>
      <w:r>
        <w:t>на 01.01.20</w:t>
      </w:r>
      <w:r w:rsidR="00AD7E54">
        <w:t>20</w:t>
      </w:r>
      <w:r>
        <w:t xml:space="preserve"> </w:t>
      </w:r>
      <w:r w:rsidRPr="00E73B2A">
        <w:t xml:space="preserve">до </w:t>
      </w:r>
      <w:r w:rsidR="00AD7E54">
        <w:t>65,7% на 01.01.2021 и дальнейшим поэтапным сокращением до 57,1</w:t>
      </w:r>
      <w:r w:rsidRPr="00E73B2A">
        <w:t xml:space="preserve">% </w:t>
      </w:r>
      <w:proofErr w:type="gramStart"/>
      <w:r>
        <w:t>на</w:t>
      </w:r>
      <w:proofErr w:type="gramEnd"/>
      <w:r>
        <w:t xml:space="preserve"> 01.01.202</w:t>
      </w:r>
      <w:r w:rsidR="00AD7E54">
        <w:t>3</w:t>
      </w:r>
      <w:r>
        <w:t xml:space="preserve"> </w:t>
      </w:r>
      <w:proofErr w:type="gramStart"/>
      <w:r w:rsidRPr="00E73B2A">
        <w:t>за</w:t>
      </w:r>
      <w:proofErr w:type="gramEnd"/>
      <w:r w:rsidRPr="00E73B2A">
        <w:t xml:space="preserve"> счет роста налоговых и неналоговых доходов и снижения суммы госдолга. </w:t>
      </w:r>
    </w:p>
    <w:p w:rsidR="00B46FC9" w:rsidRDefault="00B46FC9" w:rsidP="00B46FC9">
      <w:pPr>
        <w:autoSpaceDE w:val="0"/>
        <w:autoSpaceDN w:val="0"/>
        <w:adjustRightInd w:val="0"/>
        <w:ind w:firstLine="708"/>
        <w:jc w:val="both"/>
        <w:rPr>
          <w:rFonts w:eastAsiaTheme="minorHAnsi"/>
          <w:lang w:eastAsia="en-US"/>
        </w:rPr>
      </w:pPr>
    </w:p>
    <w:p w:rsidR="004729F6" w:rsidRPr="004729F6" w:rsidRDefault="004729F6" w:rsidP="004729F6">
      <w:pPr>
        <w:ind w:firstLine="720"/>
        <w:jc w:val="both"/>
      </w:pPr>
      <w:r w:rsidRPr="004729F6">
        <w:t xml:space="preserve">На основании </w:t>
      </w:r>
      <w:proofErr w:type="gramStart"/>
      <w:r w:rsidRPr="004729F6">
        <w:t>изложенного</w:t>
      </w:r>
      <w:proofErr w:type="gramEnd"/>
      <w:r w:rsidRPr="004729F6">
        <w:t xml:space="preserve"> </w:t>
      </w:r>
      <w:r w:rsidRPr="004729F6">
        <w:rPr>
          <w:b/>
          <w:i/>
        </w:rPr>
        <w:t xml:space="preserve">контрольно-счетная палата Волгоградской области предлагает Волгоградской областной Думе принять законопроект в 1 чтении, </w:t>
      </w:r>
      <w:r w:rsidRPr="004729F6">
        <w:t>рекомендовав Администрации Волгоградской области:</w:t>
      </w:r>
    </w:p>
    <w:p w:rsidR="004729F6" w:rsidRPr="004729F6" w:rsidRDefault="004729F6" w:rsidP="004729F6">
      <w:pPr>
        <w:ind w:firstLine="720"/>
        <w:jc w:val="both"/>
      </w:pPr>
    </w:p>
    <w:p w:rsidR="004729F6" w:rsidRPr="004729F6" w:rsidRDefault="004729F6" w:rsidP="004729F6">
      <w:pPr>
        <w:jc w:val="both"/>
      </w:pPr>
      <w:r w:rsidRPr="004729F6">
        <w:tab/>
        <w:t>-при внесении поправок в закон об областном бюджет</w:t>
      </w:r>
      <w:r>
        <w:t>е</w:t>
      </w:r>
      <w:r w:rsidRPr="004729F6">
        <w:t xml:space="preserve"> на 2020-2022 годы:</w:t>
      </w:r>
    </w:p>
    <w:p w:rsidR="004729F6" w:rsidRPr="004729F6" w:rsidRDefault="004729F6" w:rsidP="004729F6">
      <w:pPr>
        <w:ind w:firstLine="680"/>
        <w:jc w:val="both"/>
        <w:rPr>
          <w:rFonts w:eastAsia="Calibri"/>
        </w:rPr>
      </w:pPr>
      <w:r w:rsidRPr="004729F6">
        <w:tab/>
        <w:t xml:space="preserve">уточнить доходную часть областного бюджета в части увеличения прогнозных поступлений налога на имущество организаций, акцизов на нефтепродукты, а также </w:t>
      </w:r>
      <w:r w:rsidRPr="004729F6">
        <w:rPr>
          <w:rFonts w:eastAsia="Calibri"/>
        </w:rPr>
        <w:t xml:space="preserve">предусмотреть прогнозные назначения по </w:t>
      </w:r>
      <w:r w:rsidRPr="004729F6">
        <w:rPr>
          <w:rFonts w:eastAsia="Calibri"/>
          <w:bCs/>
        </w:rPr>
        <w:t>в</w:t>
      </w:r>
      <w:r w:rsidRPr="004729F6">
        <w:rPr>
          <w:rFonts w:eastAsia="Calibri"/>
        </w:rPr>
        <w:t>озврату в федеральный бюджет остатков неиспользованных в текущем году субсидий, субвенций и иных межбюджетных трансфертов;</w:t>
      </w:r>
    </w:p>
    <w:p w:rsidR="00FD14C6" w:rsidRPr="002951B2" w:rsidRDefault="00FD14C6" w:rsidP="00FD14C6">
      <w:pPr>
        <w:autoSpaceDE w:val="0"/>
        <w:autoSpaceDN w:val="0"/>
        <w:adjustRightInd w:val="0"/>
        <w:ind w:firstLine="680"/>
        <w:jc w:val="both"/>
      </w:pPr>
      <w:proofErr w:type="gramStart"/>
      <w:r w:rsidRPr="002951B2">
        <w:t>-в приложение 1 к Законопроекту</w:t>
      </w:r>
      <w:r w:rsidR="002951B2" w:rsidRPr="002951B2">
        <w:t xml:space="preserve"> «Прогноз поступления по налогам, сборам, платежам и поступлений из других бюджетов бюджетной системы Российской Федерации в областной бюджет на 2020 год и на плановый период 2021 и 2022 годов» исключить не подлежащие применению для доходов областного бюджета коды </w:t>
      </w:r>
      <w:r w:rsidRPr="002951B2">
        <w:rPr>
          <w:rFonts w:eastAsia="Calibri"/>
          <w:bCs/>
          <w:iCs/>
        </w:rPr>
        <w:t>бюджетной классификации доходов</w:t>
      </w:r>
      <w:r w:rsidR="002951B2">
        <w:rPr>
          <w:rFonts w:eastAsia="Calibri"/>
          <w:b/>
          <w:bCs/>
          <w:i/>
          <w:iCs/>
        </w:rPr>
        <w:t xml:space="preserve"> </w:t>
      </w:r>
      <w:r w:rsidR="002951B2" w:rsidRPr="002951B2">
        <w:t xml:space="preserve"> 000 1 16 11030 01 0000 140</w:t>
      </w:r>
      <w:r w:rsidR="00762747">
        <w:t>,</w:t>
      </w:r>
      <w:r w:rsidR="002951B2" w:rsidRPr="002951B2">
        <w:t xml:space="preserve"> 000 1 16 11050 01 0000 140</w:t>
      </w:r>
      <w:proofErr w:type="gramEnd"/>
      <w:r w:rsidR="00762747">
        <w:t xml:space="preserve"> и </w:t>
      </w:r>
      <w:r w:rsidR="00857740">
        <w:t xml:space="preserve">отмененному </w:t>
      </w:r>
      <w:r w:rsidR="00762747" w:rsidRPr="00762747">
        <w:t>000 1 17 05070 02 0000 180</w:t>
      </w:r>
      <w:r w:rsidR="00C81CC9">
        <w:t>;</w:t>
      </w:r>
    </w:p>
    <w:p w:rsidR="007468C6" w:rsidRDefault="004729F6" w:rsidP="004729F6">
      <w:pPr>
        <w:jc w:val="both"/>
      </w:pPr>
      <w:r w:rsidRPr="004729F6">
        <w:rPr>
          <w:color w:val="FF0000"/>
        </w:rPr>
        <w:tab/>
      </w:r>
      <w:proofErr w:type="gramStart"/>
      <w:r w:rsidRPr="00412018">
        <w:t xml:space="preserve">-в статье </w:t>
      </w:r>
      <w:r w:rsidR="00412018" w:rsidRPr="00412018">
        <w:t>40 З</w:t>
      </w:r>
      <w:r w:rsidRPr="00412018">
        <w:t>аконопроекта бюджетные ассигнования дорожного фонда на 20</w:t>
      </w:r>
      <w:r w:rsidR="00412018" w:rsidRPr="00412018">
        <w:t>20</w:t>
      </w:r>
      <w:r w:rsidRPr="00412018">
        <w:t xml:space="preserve"> год предусмотреть в сумме, эквивалентной прогнозируемым доходам дорожного фонда, а также с учетом требований пункта 4 статьи 179.4 БК РФ об увеличении бюджетных ассигнований текущего и (или) планового года на положительную разницу между фактически поступившим в текущем году и прогнозировавшимся объемом доходов дорожного фонда</w:t>
      </w:r>
      <w:r w:rsidR="007468C6">
        <w:t>;</w:t>
      </w:r>
      <w:proofErr w:type="gramEnd"/>
    </w:p>
    <w:p w:rsidR="004729F6" w:rsidRDefault="00C81CC9" w:rsidP="00C81CC9">
      <w:pPr>
        <w:ind w:firstLine="708"/>
        <w:jc w:val="both"/>
      </w:pPr>
      <w:r>
        <w:t xml:space="preserve">-предусмотреть недостающие ассигнования </w:t>
      </w:r>
      <w:r w:rsidRPr="00FA1EE0">
        <w:t xml:space="preserve">на проектирование, строительство  и реконструкцию 87 объектов, учтенных в </w:t>
      </w:r>
      <w:r>
        <w:t>Приложениях к Законопроекту 15</w:t>
      </w:r>
      <w:r w:rsidRPr="00FA1EE0">
        <w:t>, 16 и 17</w:t>
      </w:r>
      <w:r>
        <w:t>.</w:t>
      </w:r>
      <w:r w:rsidRPr="00FA1EE0">
        <w:t xml:space="preserve">  </w:t>
      </w:r>
    </w:p>
    <w:p w:rsidR="00857740" w:rsidRDefault="00857740" w:rsidP="00C81CC9">
      <w:pPr>
        <w:ind w:firstLine="708"/>
        <w:jc w:val="both"/>
      </w:pPr>
    </w:p>
    <w:p w:rsidR="00913342" w:rsidRDefault="00913342" w:rsidP="00C81CC9">
      <w:pPr>
        <w:ind w:firstLine="708"/>
        <w:jc w:val="both"/>
      </w:pPr>
    </w:p>
    <w:p w:rsidR="00913342" w:rsidRDefault="00913342" w:rsidP="00C81CC9">
      <w:pPr>
        <w:ind w:firstLine="708"/>
        <w:jc w:val="both"/>
      </w:pPr>
    </w:p>
    <w:p w:rsidR="00913342" w:rsidRDefault="00913342" w:rsidP="00C81CC9">
      <w:pPr>
        <w:ind w:firstLine="708"/>
        <w:jc w:val="both"/>
      </w:pPr>
    </w:p>
    <w:p w:rsidR="00913342" w:rsidRDefault="00913342" w:rsidP="00C81CC9">
      <w:pPr>
        <w:ind w:firstLine="708"/>
        <w:jc w:val="both"/>
      </w:pPr>
    </w:p>
    <w:p w:rsidR="00913342" w:rsidRDefault="00913342" w:rsidP="00C81CC9">
      <w:pPr>
        <w:ind w:firstLine="708"/>
        <w:jc w:val="both"/>
      </w:pPr>
    </w:p>
    <w:p w:rsidR="00857740" w:rsidRPr="00412018" w:rsidRDefault="00857740" w:rsidP="00C81CC9">
      <w:pPr>
        <w:ind w:firstLine="708"/>
        <w:jc w:val="both"/>
        <w:rPr>
          <w:i/>
        </w:rPr>
      </w:pPr>
    </w:p>
    <w:p w:rsidR="004729F6" w:rsidRPr="00A27310" w:rsidRDefault="004729F6" w:rsidP="004729F6">
      <w:pPr>
        <w:jc w:val="both"/>
        <w:rPr>
          <w:b/>
          <w:i/>
        </w:rPr>
      </w:pPr>
      <w:r w:rsidRPr="00A27310">
        <w:rPr>
          <w:b/>
          <w:i/>
        </w:rPr>
        <w:t>Председатель                                                                                                         И.А. Дьяченко</w:t>
      </w:r>
    </w:p>
    <w:sectPr w:rsidR="004729F6" w:rsidRPr="00A27310" w:rsidSect="007D7A0A">
      <w:headerReference w:type="default" r:id="rId12"/>
      <w:pgSz w:w="11906" w:h="16838"/>
      <w:pgMar w:top="709"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B6" w:rsidRDefault="007E46B6" w:rsidP="000823DE">
      <w:r>
        <w:separator/>
      </w:r>
    </w:p>
  </w:endnote>
  <w:endnote w:type="continuationSeparator" w:id="0">
    <w:p w:rsidR="007E46B6" w:rsidRDefault="007E46B6" w:rsidP="00082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B6" w:rsidRDefault="007E46B6" w:rsidP="000823DE">
      <w:r>
        <w:separator/>
      </w:r>
    </w:p>
  </w:footnote>
  <w:footnote w:type="continuationSeparator" w:id="0">
    <w:p w:rsidR="007E46B6" w:rsidRDefault="007E46B6" w:rsidP="00082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7111"/>
      <w:docPartObj>
        <w:docPartGallery w:val="Page Numbers (Top of Page)"/>
        <w:docPartUnique/>
      </w:docPartObj>
    </w:sdtPr>
    <w:sdtContent>
      <w:p w:rsidR="001925E2" w:rsidRDefault="00C96D97">
        <w:pPr>
          <w:pStyle w:val="aa"/>
          <w:jc w:val="center"/>
        </w:pPr>
        <w:fldSimple w:instr=" PAGE   \* MERGEFORMAT ">
          <w:r w:rsidR="00E56399">
            <w:rPr>
              <w:noProof/>
            </w:rPr>
            <w:t>17</w:t>
          </w:r>
        </w:fldSimple>
      </w:p>
    </w:sdtContent>
  </w:sdt>
  <w:p w:rsidR="001925E2" w:rsidRDefault="001925E2" w:rsidP="000823DE">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14A3"/>
    <w:multiLevelType w:val="hybridMultilevel"/>
    <w:tmpl w:val="0EDA3828"/>
    <w:lvl w:ilvl="0" w:tplc="C9F8A9D8">
      <w:start w:val="1"/>
      <w:numFmt w:val="decimal"/>
      <w:lvlText w:val="%1."/>
      <w:lvlJc w:val="left"/>
      <w:pPr>
        <w:tabs>
          <w:tab w:val="num" w:pos="1070"/>
        </w:tabs>
        <w:ind w:left="1070" w:hanging="360"/>
      </w:pPr>
      <w:rPr>
        <w:rFonts w:hint="default"/>
        <w:b/>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763056A"/>
    <w:multiLevelType w:val="hybridMultilevel"/>
    <w:tmpl w:val="97F61E98"/>
    <w:lvl w:ilvl="0" w:tplc="F0048388">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2">
    <w:nsid w:val="3B6C63D5"/>
    <w:multiLevelType w:val="hybridMultilevel"/>
    <w:tmpl w:val="FCF61648"/>
    <w:lvl w:ilvl="0" w:tplc="9DCE8B28">
      <w:start w:val="1"/>
      <w:numFmt w:val="decimal"/>
      <w:lvlText w:val="%1."/>
      <w:lvlJc w:val="left"/>
      <w:pPr>
        <w:ind w:left="1706" w:hanging="1005"/>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
    <w:nsid w:val="67711C94"/>
    <w:multiLevelType w:val="hybridMultilevel"/>
    <w:tmpl w:val="521C89E8"/>
    <w:lvl w:ilvl="0" w:tplc="5678D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5B1C75"/>
    <w:multiLevelType w:val="hybridMultilevel"/>
    <w:tmpl w:val="0EDA3828"/>
    <w:lvl w:ilvl="0" w:tplc="C9F8A9D8">
      <w:start w:val="1"/>
      <w:numFmt w:val="decimal"/>
      <w:lvlText w:val="%1."/>
      <w:lvlJc w:val="left"/>
      <w:pPr>
        <w:tabs>
          <w:tab w:val="num" w:pos="1070"/>
        </w:tabs>
        <w:ind w:left="1070" w:hanging="360"/>
      </w:pPr>
      <w:rPr>
        <w:rFonts w:hint="default"/>
        <w:b/>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2F7D5F"/>
    <w:rsid w:val="00047BD4"/>
    <w:rsid w:val="00050219"/>
    <w:rsid w:val="000823DE"/>
    <w:rsid w:val="000D692F"/>
    <w:rsid w:val="000F3071"/>
    <w:rsid w:val="001064A4"/>
    <w:rsid w:val="0016144A"/>
    <w:rsid w:val="001925E2"/>
    <w:rsid w:val="001A272E"/>
    <w:rsid w:val="001C1F52"/>
    <w:rsid w:val="001D493F"/>
    <w:rsid w:val="001E57F5"/>
    <w:rsid w:val="00212FD8"/>
    <w:rsid w:val="00225928"/>
    <w:rsid w:val="002501FE"/>
    <w:rsid w:val="00282B2E"/>
    <w:rsid w:val="00293356"/>
    <w:rsid w:val="002951B2"/>
    <w:rsid w:val="002F7D5F"/>
    <w:rsid w:val="00376D3B"/>
    <w:rsid w:val="003A0003"/>
    <w:rsid w:val="003A67F2"/>
    <w:rsid w:val="003E6877"/>
    <w:rsid w:val="003F0647"/>
    <w:rsid w:val="00412018"/>
    <w:rsid w:val="00450885"/>
    <w:rsid w:val="004545FE"/>
    <w:rsid w:val="00462C80"/>
    <w:rsid w:val="004729F6"/>
    <w:rsid w:val="004932E4"/>
    <w:rsid w:val="004F1445"/>
    <w:rsid w:val="004F4098"/>
    <w:rsid w:val="004F6845"/>
    <w:rsid w:val="00525895"/>
    <w:rsid w:val="00533A46"/>
    <w:rsid w:val="0053592A"/>
    <w:rsid w:val="00554359"/>
    <w:rsid w:val="00561D49"/>
    <w:rsid w:val="00575AEB"/>
    <w:rsid w:val="005A32A0"/>
    <w:rsid w:val="005A562D"/>
    <w:rsid w:val="005C03F9"/>
    <w:rsid w:val="005F1F14"/>
    <w:rsid w:val="0062202D"/>
    <w:rsid w:val="00635DC0"/>
    <w:rsid w:val="0065523C"/>
    <w:rsid w:val="00674AA4"/>
    <w:rsid w:val="00680541"/>
    <w:rsid w:val="00684954"/>
    <w:rsid w:val="006A6B9C"/>
    <w:rsid w:val="006A7C2F"/>
    <w:rsid w:val="006E115E"/>
    <w:rsid w:val="00743A62"/>
    <w:rsid w:val="007468C6"/>
    <w:rsid w:val="00762747"/>
    <w:rsid w:val="007765CC"/>
    <w:rsid w:val="007D7A0A"/>
    <w:rsid w:val="007E46B6"/>
    <w:rsid w:val="0080756A"/>
    <w:rsid w:val="008330B5"/>
    <w:rsid w:val="00855C1D"/>
    <w:rsid w:val="00857740"/>
    <w:rsid w:val="008C39B5"/>
    <w:rsid w:val="008E16A7"/>
    <w:rsid w:val="008E2F2E"/>
    <w:rsid w:val="0090133D"/>
    <w:rsid w:val="00913342"/>
    <w:rsid w:val="00917240"/>
    <w:rsid w:val="009631CE"/>
    <w:rsid w:val="00965BBA"/>
    <w:rsid w:val="009D091A"/>
    <w:rsid w:val="009D7785"/>
    <w:rsid w:val="009F2105"/>
    <w:rsid w:val="00A631C1"/>
    <w:rsid w:val="00A77357"/>
    <w:rsid w:val="00AA4CBF"/>
    <w:rsid w:val="00AB2B6A"/>
    <w:rsid w:val="00AD7E54"/>
    <w:rsid w:val="00B35422"/>
    <w:rsid w:val="00B435AF"/>
    <w:rsid w:val="00B46FC9"/>
    <w:rsid w:val="00B9355D"/>
    <w:rsid w:val="00B94F30"/>
    <w:rsid w:val="00BA06AD"/>
    <w:rsid w:val="00BB7DA1"/>
    <w:rsid w:val="00C018E2"/>
    <w:rsid w:val="00C42446"/>
    <w:rsid w:val="00C6675F"/>
    <w:rsid w:val="00C72BC8"/>
    <w:rsid w:val="00C81CC9"/>
    <w:rsid w:val="00C96D97"/>
    <w:rsid w:val="00CE5225"/>
    <w:rsid w:val="00CF1F14"/>
    <w:rsid w:val="00CF2ECA"/>
    <w:rsid w:val="00D20DF3"/>
    <w:rsid w:val="00D303E9"/>
    <w:rsid w:val="00D54A17"/>
    <w:rsid w:val="00D66C74"/>
    <w:rsid w:val="00D77C59"/>
    <w:rsid w:val="00D86140"/>
    <w:rsid w:val="00D93257"/>
    <w:rsid w:val="00DC4EA1"/>
    <w:rsid w:val="00DE381B"/>
    <w:rsid w:val="00E56399"/>
    <w:rsid w:val="00E621D4"/>
    <w:rsid w:val="00ED001A"/>
    <w:rsid w:val="00F25F4F"/>
    <w:rsid w:val="00F37740"/>
    <w:rsid w:val="00F5279B"/>
    <w:rsid w:val="00F852B5"/>
    <w:rsid w:val="00FA1EE0"/>
    <w:rsid w:val="00FD14C6"/>
    <w:rsid w:val="00FE6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F7D5F"/>
    <w:pPr>
      <w:widowControl w:val="0"/>
      <w:snapToGrid w:val="0"/>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rsid w:val="002F7D5F"/>
    <w:pPr>
      <w:ind w:firstLine="708"/>
      <w:jc w:val="both"/>
    </w:pPr>
  </w:style>
  <w:style w:type="character" w:customStyle="1" w:styleId="30">
    <w:name w:val="Основной текст с отступом 3 Знак"/>
    <w:basedOn w:val="a0"/>
    <w:link w:val="3"/>
    <w:rsid w:val="002F7D5F"/>
    <w:rPr>
      <w:rFonts w:ascii="Times New Roman" w:eastAsia="Times New Roman" w:hAnsi="Times New Roman" w:cs="Times New Roman"/>
      <w:sz w:val="24"/>
      <w:szCs w:val="24"/>
      <w:lang w:eastAsia="ru-RU"/>
    </w:rPr>
  </w:style>
  <w:style w:type="paragraph" w:styleId="a3">
    <w:name w:val="Title"/>
    <w:basedOn w:val="a"/>
    <w:link w:val="a4"/>
    <w:uiPriority w:val="99"/>
    <w:qFormat/>
    <w:rsid w:val="002F7D5F"/>
    <w:pPr>
      <w:jc w:val="center"/>
    </w:pPr>
  </w:style>
  <w:style w:type="character" w:customStyle="1" w:styleId="a4">
    <w:name w:val="Название Знак"/>
    <w:basedOn w:val="a0"/>
    <w:link w:val="a3"/>
    <w:uiPriority w:val="10"/>
    <w:rsid w:val="002F7D5F"/>
    <w:rPr>
      <w:rFonts w:ascii="Times New Roman" w:eastAsia="Times New Roman" w:hAnsi="Times New Roman" w:cs="Times New Roman"/>
      <w:sz w:val="24"/>
      <w:szCs w:val="24"/>
      <w:lang w:eastAsia="ru-RU"/>
    </w:rPr>
  </w:style>
  <w:style w:type="paragraph" w:customStyle="1" w:styleId="10">
    <w:name w:val="1"/>
    <w:uiPriority w:val="99"/>
    <w:rsid w:val="002F7D5F"/>
    <w:pPr>
      <w:spacing w:after="0" w:line="240" w:lineRule="auto"/>
    </w:pPr>
    <w:rPr>
      <w:rFonts w:ascii="Times New Roman" w:eastAsia="Times New Roman" w:hAnsi="Times New Roman" w:cs="Times New Roman"/>
      <w:sz w:val="24"/>
      <w:szCs w:val="20"/>
      <w:lang w:eastAsia="ru-RU"/>
    </w:rPr>
  </w:style>
  <w:style w:type="paragraph" w:customStyle="1" w:styleId="21">
    <w:name w:val="Заголовок 21"/>
    <w:basedOn w:val="a"/>
    <w:next w:val="a"/>
    <w:uiPriority w:val="99"/>
    <w:rsid w:val="002F7D5F"/>
    <w:pPr>
      <w:keepNext/>
      <w:jc w:val="center"/>
      <w:outlineLvl w:val="1"/>
    </w:pPr>
    <w:rPr>
      <w:b/>
      <w:caps/>
      <w:sz w:val="34"/>
      <w:szCs w:val="20"/>
    </w:rPr>
  </w:style>
  <w:style w:type="table" w:styleId="a5">
    <w:name w:val="Table Grid"/>
    <w:basedOn w:val="a1"/>
    <w:uiPriority w:val="59"/>
    <w:rsid w:val="002F7D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F7D5F"/>
    <w:rPr>
      <w:rFonts w:ascii="Tahoma" w:hAnsi="Tahoma" w:cs="Tahoma"/>
      <w:sz w:val="16"/>
      <w:szCs w:val="16"/>
    </w:rPr>
  </w:style>
  <w:style w:type="character" w:customStyle="1" w:styleId="a7">
    <w:name w:val="Текст выноски Знак"/>
    <w:basedOn w:val="a0"/>
    <w:link w:val="a6"/>
    <w:uiPriority w:val="99"/>
    <w:semiHidden/>
    <w:rsid w:val="002F7D5F"/>
    <w:rPr>
      <w:rFonts w:ascii="Tahoma" w:eastAsia="Times New Roman" w:hAnsi="Tahoma" w:cs="Tahoma"/>
      <w:sz w:val="16"/>
      <w:szCs w:val="16"/>
      <w:lang w:eastAsia="ru-RU"/>
    </w:rPr>
  </w:style>
  <w:style w:type="paragraph" w:customStyle="1" w:styleId="Default">
    <w:name w:val="Default"/>
    <w:rsid w:val="00F377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1C1F52"/>
    <w:pPr>
      <w:ind w:left="720"/>
      <w:contextualSpacing/>
    </w:pPr>
  </w:style>
  <w:style w:type="paragraph" w:customStyle="1" w:styleId="ConsPlusNormal">
    <w:name w:val="ConsPlusNormal"/>
    <w:link w:val="ConsPlusNormal0"/>
    <w:qFormat/>
    <w:rsid w:val="005258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525895"/>
    <w:pPr>
      <w:spacing w:before="100" w:beforeAutospacing="1" w:after="100" w:afterAutospacing="1"/>
    </w:pPr>
  </w:style>
  <w:style w:type="character" w:customStyle="1" w:styleId="ConsPlusNormal0">
    <w:name w:val="ConsPlusNormal Знак"/>
    <w:basedOn w:val="a0"/>
    <w:link w:val="ConsPlusNormal"/>
    <w:rsid w:val="007765CC"/>
    <w:rPr>
      <w:rFonts w:ascii="Arial" w:eastAsia="Times New Roman" w:hAnsi="Arial" w:cs="Arial"/>
      <w:sz w:val="20"/>
      <w:szCs w:val="20"/>
      <w:lang w:eastAsia="ru-RU"/>
    </w:rPr>
  </w:style>
  <w:style w:type="character" w:styleId="a9">
    <w:name w:val="line number"/>
    <w:basedOn w:val="a0"/>
    <w:uiPriority w:val="99"/>
    <w:semiHidden/>
    <w:unhideWhenUsed/>
    <w:rsid w:val="000823DE"/>
  </w:style>
  <w:style w:type="paragraph" w:styleId="aa">
    <w:name w:val="header"/>
    <w:basedOn w:val="a"/>
    <w:link w:val="ab"/>
    <w:uiPriority w:val="99"/>
    <w:unhideWhenUsed/>
    <w:rsid w:val="000823DE"/>
    <w:pPr>
      <w:tabs>
        <w:tab w:val="center" w:pos="4677"/>
        <w:tab w:val="right" w:pos="9355"/>
      </w:tabs>
    </w:pPr>
  </w:style>
  <w:style w:type="character" w:customStyle="1" w:styleId="ab">
    <w:name w:val="Верхний колонтитул Знак"/>
    <w:basedOn w:val="a0"/>
    <w:link w:val="aa"/>
    <w:uiPriority w:val="99"/>
    <w:rsid w:val="000823D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823DE"/>
    <w:pPr>
      <w:tabs>
        <w:tab w:val="center" w:pos="4677"/>
        <w:tab w:val="right" w:pos="9355"/>
      </w:tabs>
    </w:pPr>
  </w:style>
  <w:style w:type="character" w:customStyle="1" w:styleId="ad">
    <w:name w:val="Нижний колонтитул Знак"/>
    <w:basedOn w:val="a0"/>
    <w:link w:val="ac"/>
    <w:uiPriority w:val="99"/>
    <w:semiHidden/>
    <w:rsid w:val="000823DE"/>
    <w:rPr>
      <w:rFonts w:ascii="Times New Roman" w:eastAsia="Times New Roman" w:hAnsi="Times New Roman" w:cs="Times New Roman"/>
      <w:sz w:val="24"/>
      <w:szCs w:val="24"/>
      <w:lang w:eastAsia="ru-RU"/>
    </w:rPr>
  </w:style>
  <w:style w:type="paragraph" w:customStyle="1" w:styleId="Style20">
    <w:name w:val="Style20"/>
    <w:basedOn w:val="a"/>
    <w:uiPriority w:val="99"/>
    <w:rsid w:val="008330B5"/>
    <w:pPr>
      <w:widowControl w:val="0"/>
      <w:autoSpaceDE w:val="0"/>
      <w:autoSpaceDN w:val="0"/>
      <w:adjustRightInd w:val="0"/>
      <w:jc w:val="right"/>
    </w:pPr>
    <w:rPr>
      <w:rFonts w:eastAsiaTheme="minorEastAsia"/>
    </w:rPr>
  </w:style>
  <w:style w:type="paragraph" w:styleId="2">
    <w:name w:val="Body Text 2"/>
    <w:basedOn w:val="a"/>
    <w:link w:val="20"/>
    <w:uiPriority w:val="99"/>
    <w:rsid w:val="008330B5"/>
    <w:pPr>
      <w:spacing w:after="120" w:line="480" w:lineRule="auto"/>
    </w:pPr>
  </w:style>
  <w:style w:type="character" w:customStyle="1" w:styleId="20">
    <w:name w:val="Основной текст 2 Знак"/>
    <w:basedOn w:val="a0"/>
    <w:link w:val="2"/>
    <w:uiPriority w:val="99"/>
    <w:rsid w:val="008330B5"/>
    <w:rPr>
      <w:rFonts w:ascii="Times New Roman" w:eastAsia="Times New Roman" w:hAnsi="Times New Roman" w:cs="Times New Roman"/>
      <w:sz w:val="24"/>
      <w:szCs w:val="24"/>
      <w:lang w:eastAsia="ru-RU"/>
    </w:rPr>
  </w:style>
  <w:style w:type="paragraph" w:customStyle="1" w:styleId="Style5">
    <w:name w:val="Style5"/>
    <w:basedOn w:val="a"/>
    <w:uiPriority w:val="99"/>
    <w:rsid w:val="008330B5"/>
    <w:pPr>
      <w:widowControl w:val="0"/>
      <w:autoSpaceDE w:val="0"/>
      <w:autoSpaceDN w:val="0"/>
      <w:adjustRightInd w:val="0"/>
      <w:spacing w:line="348" w:lineRule="exact"/>
      <w:ind w:firstLine="701"/>
    </w:pPr>
  </w:style>
  <w:style w:type="paragraph" w:styleId="ae">
    <w:name w:val="Normal (Web)"/>
    <w:basedOn w:val="a"/>
    <w:uiPriority w:val="99"/>
    <w:unhideWhenUsed/>
    <w:rsid w:val="008330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3;&#1086;&#1088;&#1080;&#1085;&#1072;_2\Desktop\&#1041;&#1102;&#1076;&#1078;&#1077;&#1090;\&#1041;&#1102;&#1076;&#1078;&#1077;&#1090;_2020\&#1055;&#1088;&#1086;&#1075;&#1085;&#1086;&#1079;%20&#1057;&#1069;&#1056;%20&#1085;&#1072;%202020-2022\&#1044;&#1080;&#1072;&#1075;&#1088;&#1072;&#1084;&#1084;&#1099;.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10"/>
      <c:depthPercent val="100"/>
      <c:rAngAx val="1"/>
    </c:view3D>
    <c:plotArea>
      <c:layout/>
      <c:bar3DChart>
        <c:barDir val="col"/>
        <c:grouping val="clustered"/>
        <c:ser>
          <c:idx val="0"/>
          <c:order val="0"/>
          <c:tx>
            <c:strRef>
              <c:f>Лист2!$B$3</c:f>
              <c:strCache>
                <c:ptCount val="1"/>
                <c:pt idx="0">
                  <c:v>2018</c:v>
                </c:pt>
              </c:strCache>
            </c:strRef>
          </c:tx>
          <c:spPr>
            <a:solidFill>
              <a:schemeClr val="accent1"/>
            </a:solidFill>
          </c:spPr>
          <c:dLbls>
            <c:dLbl>
              <c:idx val="1"/>
              <c:layout>
                <c:manualLayout>
                  <c:x val="0"/>
                  <c:y val="1.1191162682495261E-2"/>
                </c:manualLayout>
              </c:layout>
              <c:showVal val="1"/>
            </c:dLbl>
            <c:dLbl>
              <c:idx val="5"/>
              <c:layout>
                <c:manualLayout>
                  <c:x val="1.7095979927434979E-3"/>
                  <c:y val="1.4921550243327133E-2"/>
                </c:manualLayout>
              </c:layout>
              <c:showVal val="1"/>
            </c:dLbl>
            <c:txPr>
              <a:bodyPr/>
              <a:lstStyle/>
              <a:p>
                <a:pPr>
                  <a:defRPr sz="700" b="1">
                    <a:latin typeface="Times New Roman" pitchFamily="18" charset="0"/>
                    <a:cs typeface="Times New Roman" pitchFamily="18" charset="0"/>
                  </a:defRPr>
                </a:pPr>
                <a:endParaRPr lang="ru-RU"/>
              </a:p>
            </c:txPr>
            <c:showVal val="1"/>
          </c:dLbls>
          <c:cat>
            <c:strRef>
              <c:f>Лист2!$A$4:$A$11</c:f>
              <c:strCache>
                <c:ptCount val="8"/>
                <c:pt idx="0">
                  <c:v>ВРП</c:v>
                </c:pt>
                <c:pt idx="1">
                  <c:v>Индекс промышленного производства</c:v>
                </c:pt>
                <c:pt idx="2">
                  <c:v>Производство продукции сельского хозяйства</c:v>
                </c:pt>
                <c:pt idx="3">
                  <c:v>Оборот розничной торговли</c:v>
                </c:pt>
                <c:pt idx="4">
                  <c:v>Объем платных услуг населению</c:v>
                </c:pt>
                <c:pt idx="5">
                  <c:v>Прибыль прибыльных</c:v>
                </c:pt>
                <c:pt idx="6">
                  <c:v>Инвестиции в основной капитал</c:v>
                </c:pt>
                <c:pt idx="7">
                  <c:v>Реальные располагаемые доходы населения</c:v>
                </c:pt>
              </c:strCache>
            </c:strRef>
          </c:cat>
          <c:val>
            <c:numRef>
              <c:f>Лист2!$B$4:$B$11</c:f>
              <c:numCache>
                <c:formatCode>#,##0.0</c:formatCode>
                <c:ptCount val="8"/>
                <c:pt idx="0">
                  <c:v>1</c:v>
                </c:pt>
                <c:pt idx="1">
                  <c:v>1.5</c:v>
                </c:pt>
                <c:pt idx="2">
                  <c:v>-3.7</c:v>
                </c:pt>
                <c:pt idx="3">
                  <c:v>3.4</c:v>
                </c:pt>
                <c:pt idx="4">
                  <c:v>0.2</c:v>
                </c:pt>
                <c:pt idx="5">
                  <c:v>5.5</c:v>
                </c:pt>
                <c:pt idx="6">
                  <c:v>-11.9</c:v>
                </c:pt>
                <c:pt idx="7">
                  <c:v>-0.2</c:v>
                </c:pt>
              </c:numCache>
            </c:numRef>
          </c:val>
        </c:ser>
        <c:ser>
          <c:idx val="1"/>
          <c:order val="1"/>
          <c:tx>
            <c:strRef>
              <c:f>Лист2!$C$3</c:f>
              <c:strCache>
                <c:ptCount val="1"/>
                <c:pt idx="0">
                  <c:v>2019</c:v>
                </c:pt>
              </c:strCache>
            </c:strRef>
          </c:tx>
          <c:spPr>
            <a:solidFill>
              <a:schemeClr val="accent6">
                <a:lumMod val="40000"/>
                <a:lumOff val="60000"/>
              </a:schemeClr>
            </a:solidFill>
          </c:spPr>
          <c:dLbls>
            <c:dLbl>
              <c:idx val="0"/>
              <c:layout>
                <c:manualLayout>
                  <c:x val="0"/>
                  <c:y val="-1.8651937804158771E-2"/>
                </c:manualLayout>
              </c:layout>
              <c:showVal val="1"/>
            </c:dLbl>
            <c:dLbl>
              <c:idx val="1"/>
              <c:layout>
                <c:manualLayout>
                  <c:x val="0"/>
                  <c:y val="7.4607751216635432E-3"/>
                </c:manualLayout>
              </c:layout>
              <c:showVal val="1"/>
            </c:dLbl>
            <c:dLbl>
              <c:idx val="3"/>
              <c:layout>
                <c:manualLayout>
                  <c:x val="5.1287939782304875E-3"/>
                  <c:y val="1.1191162682495261E-2"/>
                </c:manualLayout>
              </c:layout>
              <c:showVal val="1"/>
            </c:dLbl>
            <c:dLbl>
              <c:idx val="4"/>
              <c:layout>
                <c:manualLayout>
                  <c:x val="6.2684535596824858E-17"/>
                  <c:y val="1.4921550243327133E-2"/>
                </c:manualLayout>
              </c:layout>
              <c:showVal val="1"/>
            </c:dLbl>
            <c:dLbl>
              <c:idx val="5"/>
              <c:layout>
                <c:manualLayout>
                  <c:x val="8.5479899637174849E-3"/>
                  <c:y val="7.4607751216635432E-3"/>
                </c:manualLayout>
              </c:layout>
              <c:showVal val="1"/>
            </c:dLbl>
            <c:dLbl>
              <c:idx val="6"/>
              <c:layout>
                <c:manualLayout>
                  <c:x val="1.0257587956460982E-2"/>
                  <c:y val="3.7303875608317785E-3"/>
                </c:manualLayout>
              </c:layout>
              <c:showVal val="1"/>
            </c:dLbl>
            <c:txPr>
              <a:bodyPr/>
              <a:lstStyle/>
              <a:p>
                <a:pPr>
                  <a:defRPr sz="700" b="1">
                    <a:latin typeface="Times New Roman" pitchFamily="18" charset="0"/>
                    <a:cs typeface="Times New Roman" pitchFamily="18" charset="0"/>
                  </a:defRPr>
                </a:pPr>
                <a:endParaRPr lang="ru-RU"/>
              </a:p>
            </c:txPr>
            <c:showVal val="1"/>
          </c:dLbls>
          <c:cat>
            <c:strRef>
              <c:f>Лист2!$A$4:$A$11</c:f>
              <c:strCache>
                <c:ptCount val="8"/>
                <c:pt idx="0">
                  <c:v>ВРП</c:v>
                </c:pt>
                <c:pt idx="1">
                  <c:v>Индекс промышленного производства</c:v>
                </c:pt>
                <c:pt idx="2">
                  <c:v>Производство продукции сельского хозяйства</c:v>
                </c:pt>
                <c:pt idx="3">
                  <c:v>Оборот розничной торговли</c:v>
                </c:pt>
                <c:pt idx="4">
                  <c:v>Объем платных услуг населению</c:v>
                </c:pt>
                <c:pt idx="5">
                  <c:v>Прибыль прибыльных</c:v>
                </c:pt>
                <c:pt idx="6">
                  <c:v>Инвестиции в основной капитал</c:v>
                </c:pt>
                <c:pt idx="7">
                  <c:v>Реальные располагаемые доходы населения</c:v>
                </c:pt>
              </c:strCache>
            </c:strRef>
          </c:cat>
          <c:val>
            <c:numRef>
              <c:f>Лист2!$C$4:$C$11</c:f>
              <c:numCache>
                <c:formatCode>#,##0.0</c:formatCode>
                <c:ptCount val="8"/>
                <c:pt idx="0">
                  <c:v>1.1000000000000001</c:v>
                </c:pt>
                <c:pt idx="1">
                  <c:v>2.4</c:v>
                </c:pt>
                <c:pt idx="2">
                  <c:v>5</c:v>
                </c:pt>
                <c:pt idx="3">
                  <c:v>1.2</c:v>
                </c:pt>
                <c:pt idx="4">
                  <c:v>1.4</c:v>
                </c:pt>
                <c:pt idx="5">
                  <c:v>3.3</c:v>
                </c:pt>
                <c:pt idx="6">
                  <c:v>-3.8</c:v>
                </c:pt>
                <c:pt idx="7">
                  <c:v>0.1</c:v>
                </c:pt>
              </c:numCache>
            </c:numRef>
          </c:val>
        </c:ser>
        <c:ser>
          <c:idx val="2"/>
          <c:order val="2"/>
          <c:tx>
            <c:strRef>
              <c:f>Лист2!$D$3</c:f>
              <c:strCache>
                <c:ptCount val="1"/>
                <c:pt idx="0">
                  <c:v>2020</c:v>
                </c:pt>
              </c:strCache>
            </c:strRef>
          </c:tx>
          <c:dLbls>
            <c:dLbl>
              <c:idx val="0"/>
              <c:layout>
                <c:manualLayout>
                  <c:x val="0"/>
                  <c:y val="-1.8651937804158771E-2"/>
                </c:manualLayout>
              </c:layout>
              <c:showVal val="1"/>
            </c:dLbl>
            <c:dLbl>
              <c:idx val="1"/>
              <c:layout>
                <c:manualLayout>
                  <c:x val="1.7094633787283224E-3"/>
                  <c:y val="3.7303875608317785E-3"/>
                </c:manualLayout>
              </c:layout>
              <c:showVal val="1"/>
            </c:dLbl>
            <c:dLbl>
              <c:idx val="3"/>
              <c:layout>
                <c:manualLayout>
                  <c:x val="5.1287939782304875E-3"/>
                  <c:y val="3.7303875608317785E-3"/>
                </c:manualLayout>
              </c:layout>
              <c:showVal val="1"/>
            </c:dLbl>
            <c:dLbl>
              <c:idx val="4"/>
              <c:layout>
                <c:manualLayout>
                  <c:x val="6.2684535596824858E-17"/>
                  <c:y val="-7.4607751216635432E-3"/>
                </c:manualLayout>
              </c:layout>
              <c:showVal val="1"/>
            </c:dLbl>
            <c:dLbl>
              <c:idx val="5"/>
              <c:layout>
                <c:manualLayout>
                  <c:x val="5.1287939782304875E-3"/>
                  <c:y val="1.4921550243327133E-2"/>
                </c:manualLayout>
              </c:layout>
              <c:showVal val="1"/>
            </c:dLbl>
            <c:dLbl>
              <c:idx val="6"/>
              <c:layout>
                <c:manualLayout>
                  <c:x val="-6.838391970974007E-3"/>
                  <c:y val="7.4607751216635432E-3"/>
                </c:manualLayout>
              </c:layout>
              <c:showVal val="1"/>
            </c:dLbl>
            <c:dLbl>
              <c:idx val="7"/>
              <c:layout>
                <c:manualLayout>
                  <c:x val="0"/>
                  <c:y val="7.4607751216635432E-3"/>
                </c:manualLayout>
              </c:layout>
              <c:showVal val="1"/>
            </c:dLbl>
            <c:txPr>
              <a:bodyPr/>
              <a:lstStyle/>
              <a:p>
                <a:pPr>
                  <a:defRPr sz="700" b="1">
                    <a:latin typeface="Times New Roman" pitchFamily="18" charset="0"/>
                    <a:cs typeface="Times New Roman" pitchFamily="18" charset="0"/>
                  </a:defRPr>
                </a:pPr>
                <a:endParaRPr lang="ru-RU"/>
              </a:p>
            </c:txPr>
            <c:showVal val="1"/>
          </c:dLbls>
          <c:cat>
            <c:strRef>
              <c:f>Лист2!$A$4:$A$11</c:f>
              <c:strCache>
                <c:ptCount val="8"/>
                <c:pt idx="0">
                  <c:v>ВРП</c:v>
                </c:pt>
                <c:pt idx="1">
                  <c:v>Индекс промышленного производства</c:v>
                </c:pt>
                <c:pt idx="2">
                  <c:v>Производство продукции сельского хозяйства</c:v>
                </c:pt>
                <c:pt idx="3">
                  <c:v>Оборот розничной торговли</c:v>
                </c:pt>
                <c:pt idx="4">
                  <c:v>Объем платных услуг населению</c:v>
                </c:pt>
                <c:pt idx="5">
                  <c:v>Прибыль прибыльных</c:v>
                </c:pt>
                <c:pt idx="6">
                  <c:v>Инвестиции в основной капитал</c:v>
                </c:pt>
                <c:pt idx="7">
                  <c:v>Реальные располагаемые доходы населения</c:v>
                </c:pt>
              </c:strCache>
            </c:strRef>
          </c:cat>
          <c:val>
            <c:numRef>
              <c:f>Лист2!$D$4:$D$11</c:f>
              <c:numCache>
                <c:formatCode>#,##0.0</c:formatCode>
                <c:ptCount val="8"/>
                <c:pt idx="0">
                  <c:v>1.7000000000000011</c:v>
                </c:pt>
                <c:pt idx="1">
                  <c:v>2.5</c:v>
                </c:pt>
                <c:pt idx="2">
                  <c:v>0</c:v>
                </c:pt>
                <c:pt idx="3">
                  <c:v>1.2</c:v>
                </c:pt>
                <c:pt idx="4">
                  <c:v>1.5</c:v>
                </c:pt>
                <c:pt idx="5">
                  <c:v>1.2</c:v>
                </c:pt>
                <c:pt idx="6">
                  <c:v>3.1</c:v>
                </c:pt>
                <c:pt idx="7">
                  <c:v>1.4</c:v>
                </c:pt>
              </c:numCache>
            </c:numRef>
          </c:val>
        </c:ser>
        <c:ser>
          <c:idx val="3"/>
          <c:order val="3"/>
          <c:tx>
            <c:strRef>
              <c:f>Лист2!$E$3</c:f>
              <c:strCache>
                <c:ptCount val="1"/>
                <c:pt idx="0">
                  <c:v>2021</c:v>
                </c:pt>
              </c:strCache>
            </c:strRef>
          </c:tx>
          <c:dLbls>
            <c:dLbl>
              <c:idx val="0"/>
              <c:layout>
                <c:manualLayout>
                  <c:x val="5.1287939782304875E-3"/>
                  <c:y val="0"/>
                </c:manualLayout>
              </c:layout>
              <c:showVal val="1"/>
            </c:dLbl>
            <c:dLbl>
              <c:idx val="1"/>
              <c:layout>
                <c:manualLayout>
                  <c:x val="6.8383919709740539E-3"/>
                  <c:y val="0"/>
                </c:manualLayout>
              </c:layout>
              <c:showVal val="1"/>
            </c:dLbl>
            <c:dLbl>
              <c:idx val="2"/>
              <c:layout>
                <c:manualLayout>
                  <c:x val="3.4191959854870039E-3"/>
                  <c:y val="0"/>
                </c:manualLayout>
              </c:layout>
              <c:showVal val="1"/>
            </c:dLbl>
            <c:dLbl>
              <c:idx val="5"/>
              <c:layout>
                <c:manualLayout>
                  <c:x val="6.838391970974007E-3"/>
                  <c:y val="0"/>
                </c:manualLayout>
              </c:layout>
              <c:showVal val="1"/>
            </c:dLbl>
            <c:dLbl>
              <c:idx val="6"/>
              <c:layout>
                <c:manualLayout>
                  <c:x val="-6.838391970974007E-3"/>
                  <c:y val="1.1191162682495261E-2"/>
                </c:manualLayout>
              </c:layout>
              <c:showVal val="1"/>
            </c:dLbl>
            <c:dLbl>
              <c:idx val="7"/>
              <c:layout>
                <c:manualLayout>
                  <c:x val="3.4191959854871219E-3"/>
                  <c:y val="-7.4607751216635432E-3"/>
                </c:manualLayout>
              </c:layout>
              <c:showVal val="1"/>
            </c:dLbl>
            <c:txPr>
              <a:bodyPr/>
              <a:lstStyle/>
              <a:p>
                <a:pPr>
                  <a:defRPr sz="700" b="1">
                    <a:latin typeface="Times New Roman" pitchFamily="18" charset="0"/>
                    <a:cs typeface="Times New Roman" pitchFamily="18" charset="0"/>
                  </a:defRPr>
                </a:pPr>
                <a:endParaRPr lang="ru-RU"/>
              </a:p>
            </c:txPr>
            <c:showVal val="1"/>
          </c:dLbls>
          <c:cat>
            <c:strRef>
              <c:f>Лист2!$A$4:$A$11</c:f>
              <c:strCache>
                <c:ptCount val="8"/>
                <c:pt idx="0">
                  <c:v>ВРП</c:v>
                </c:pt>
                <c:pt idx="1">
                  <c:v>Индекс промышленного производства</c:v>
                </c:pt>
                <c:pt idx="2">
                  <c:v>Производство продукции сельского хозяйства</c:v>
                </c:pt>
                <c:pt idx="3">
                  <c:v>Оборот розничной торговли</c:v>
                </c:pt>
                <c:pt idx="4">
                  <c:v>Объем платных услуг населению</c:v>
                </c:pt>
                <c:pt idx="5">
                  <c:v>Прибыль прибыльных</c:v>
                </c:pt>
                <c:pt idx="6">
                  <c:v>Инвестиции в основной капитал</c:v>
                </c:pt>
                <c:pt idx="7">
                  <c:v>Реальные располагаемые доходы населения</c:v>
                </c:pt>
              </c:strCache>
            </c:strRef>
          </c:cat>
          <c:val>
            <c:numRef>
              <c:f>Лист2!$E$4:$E$11</c:f>
              <c:numCache>
                <c:formatCode>#,##0.0</c:formatCode>
                <c:ptCount val="8"/>
                <c:pt idx="0">
                  <c:v>2.6</c:v>
                </c:pt>
                <c:pt idx="1">
                  <c:v>2.7</c:v>
                </c:pt>
                <c:pt idx="2">
                  <c:v>1</c:v>
                </c:pt>
                <c:pt idx="3">
                  <c:v>2.5</c:v>
                </c:pt>
                <c:pt idx="4">
                  <c:v>2.2999999999999998</c:v>
                </c:pt>
                <c:pt idx="5">
                  <c:v>1.2</c:v>
                </c:pt>
                <c:pt idx="6">
                  <c:v>5.4</c:v>
                </c:pt>
                <c:pt idx="7">
                  <c:v>2.1</c:v>
                </c:pt>
              </c:numCache>
            </c:numRef>
          </c:val>
        </c:ser>
        <c:ser>
          <c:idx val="4"/>
          <c:order val="4"/>
          <c:tx>
            <c:strRef>
              <c:f>Лист2!$F$3</c:f>
              <c:strCache>
                <c:ptCount val="1"/>
                <c:pt idx="0">
                  <c:v>2022</c:v>
                </c:pt>
              </c:strCache>
            </c:strRef>
          </c:tx>
          <c:spPr>
            <a:blipFill>
              <a:blip xmlns:r="http://schemas.openxmlformats.org/officeDocument/2006/relationships" r:embed="rId1"/>
              <a:tile tx="0" ty="0" sx="100000" sy="100000" flip="none" algn="tl"/>
            </a:blipFill>
          </c:spPr>
          <c:dLbls>
            <c:dLbl>
              <c:idx val="0"/>
              <c:layout>
                <c:manualLayout>
                  <c:x val="8.5479899637174849E-3"/>
                  <c:y val="0"/>
                </c:manualLayout>
              </c:layout>
              <c:showVal val="1"/>
            </c:dLbl>
            <c:dLbl>
              <c:idx val="1"/>
              <c:layout>
                <c:manualLayout>
                  <c:x val="1.3676649327932801E-2"/>
                  <c:y val="3.7303875608317785E-3"/>
                </c:manualLayout>
              </c:layout>
              <c:showVal val="1"/>
            </c:dLbl>
            <c:dLbl>
              <c:idx val="2"/>
              <c:layout>
                <c:manualLayout>
                  <c:x val="1.0257587956460982E-2"/>
                  <c:y val="3.7303875608317785E-3"/>
                </c:manualLayout>
              </c:layout>
              <c:showVal val="1"/>
            </c:dLbl>
            <c:dLbl>
              <c:idx val="3"/>
              <c:layout>
                <c:manualLayout>
                  <c:x val="5.1287939782304875E-3"/>
                  <c:y val="0"/>
                </c:manualLayout>
              </c:layout>
              <c:showVal val="1"/>
            </c:dLbl>
            <c:dLbl>
              <c:idx val="4"/>
              <c:layout>
                <c:manualLayout>
                  <c:x val="6.838391970974007E-3"/>
                  <c:y val="-3.7303875608317785E-3"/>
                </c:manualLayout>
              </c:layout>
              <c:showVal val="1"/>
            </c:dLbl>
            <c:dLbl>
              <c:idx val="5"/>
              <c:layout>
                <c:manualLayout>
                  <c:x val="1.3676783941947979E-2"/>
                  <c:y val="0"/>
                </c:manualLayout>
              </c:layout>
              <c:showVal val="1"/>
            </c:dLbl>
            <c:dLbl>
              <c:idx val="6"/>
              <c:layout>
                <c:manualLayout>
                  <c:x val="6.838391970974007E-3"/>
                  <c:y val="0"/>
                </c:manualLayout>
              </c:layout>
              <c:showVal val="1"/>
            </c:dLbl>
            <c:dLbl>
              <c:idx val="7"/>
              <c:layout>
                <c:manualLayout>
                  <c:x val="8.5479899637174849E-3"/>
                  <c:y val="-3.7303875608317785E-3"/>
                </c:manualLayout>
              </c:layout>
              <c:showVal val="1"/>
            </c:dLbl>
            <c:txPr>
              <a:bodyPr/>
              <a:lstStyle/>
              <a:p>
                <a:pPr>
                  <a:defRPr sz="700" b="1">
                    <a:latin typeface="Times New Roman" pitchFamily="18" charset="0"/>
                    <a:cs typeface="Times New Roman" pitchFamily="18" charset="0"/>
                  </a:defRPr>
                </a:pPr>
                <a:endParaRPr lang="ru-RU"/>
              </a:p>
            </c:txPr>
            <c:showVal val="1"/>
          </c:dLbls>
          <c:cat>
            <c:strRef>
              <c:f>Лист2!$A$4:$A$11</c:f>
              <c:strCache>
                <c:ptCount val="8"/>
                <c:pt idx="0">
                  <c:v>ВРП</c:v>
                </c:pt>
                <c:pt idx="1">
                  <c:v>Индекс промышленного производства</c:v>
                </c:pt>
                <c:pt idx="2">
                  <c:v>Производство продукции сельского хозяйства</c:v>
                </c:pt>
                <c:pt idx="3">
                  <c:v>Оборот розничной торговли</c:v>
                </c:pt>
                <c:pt idx="4">
                  <c:v>Объем платных услуг населению</c:v>
                </c:pt>
                <c:pt idx="5">
                  <c:v>Прибыль прибыльных</c:v>
                </c:pt>
                <c:pt idx="6">
                  <c:v>Инвестиции в основной капитал</c:v>
                </c:pt>
                <c:pt idx="7">
                  <c:v>Реальные располагаемые доходы населения</c:v>
                </c:pt>
              </c:strCache>
            </c:strRef>
          </c:cat>
          <c:val>
            <c:numRef>
              <c:f>Лист2!$F$4:$F$11</c:f>
              <c:numCache>
                <c:formatCode>#,##0.0</c:formatCode>
                <c:ptCount val="8"/>
                <c:pt idx="0">
                  <c:v>2.6</c:v>
                </c:pt>
                <c:pt idx="1">
                  <c:v>3</c:v>
                </c:pt>
                <c:pt idx="2">
                  <c:v>1</c:v>
                </c:pt>
                <c:pt idx="3">
                  <c:v>2.5</c:v>
                </c:pt>
                <c:pt idx="4">
                  <c:v>2.4</c:v>
                </c:pt>
                <c:pt idx="5">
                  <c:v>1.2</c:v>
                </c:pt>
                <c:pt idx="6">
                  <c:v>6.3</c:v>
                </c:pt>
                <c:pt idx="7">
                  <c:v>2.2000000000000002</c:v>
                </c:pt>
              </c:numCache>
            </c:numRef>
          </c:val>
        </c:ser>
        <c:shape val="box"/>
        <c:axId val="116561024"/>
        <c:axId val="116562560"/>
        <c:axId val="0"/>
      </c:bar3DChart>
      <c:catAx>
        <c:axId val="116561024"/>
        <c:scaling>
          <c:orientation val="minMax"/>
        </c:scaling>
        <c:axPos val="b"/>
        <c:majorGridlines>
          <c:spPr>
            <a:ln w="9525"/>
          </c:spPr>
        </c:majorGridlines>
        <c:numFmt formatCode="General" sourceLinked="1"/>
        <c:majorTickMark val="none"/>
        <c:tickLblPos val="high"/>
        <c:txPr>
          <a:bodyPr/>
          <a:lstStyle/>
          <a:p>
            <a:pPr>
              <a:defRPr sz="700" b="1">
                <a:latin typeface="Times New Roman" pitchFamily="18" charset="0"/>
                <a:cs typeface="Times New Roman" pitchFamily="18" charset="0"/>
              </a:defRPr>
            </a:pPr>
            <a:endParaRPr lang="ru-RU"/>
          </a:p>
        </c:txPr>
        <c:crossAx val="116562560"/>
        <c:crosses val="autoZero"/>
        <c:lblAlgn val="ctr"/>
        <c:lblOffset val="100"/>
      </c:catAx>
      <c:valAx>
        <c:axId val="116562560"/>
        <c:scaling>
          <c:orientation val="minMax"/>
        </c:scaling>
        <c:axPos val="l"/>
        <c:majorGridlines/>
        <c:numFmt formatCode="#,##0.0" sourceLinked="1"/>
        <c:majorTickMark val="none"/>
        <c:tickLblPos val="nextTo"/>
        <c:txPr>
          <a:bodyPr rot="0" vert="horz"/>
          <a:lstStyle/>
          <a:p>
            <a:pPr>
              <a:defRPr/>
            </a:pPr>
            <a:endParaRPr lang="ru-RU"/>
          </a:p>
        </c:txPr>
        <c:crossAx val="116561024"/>
        <c:crosses val="autoZero"/>
        <c:crossBetween val="between"/>
      </c:valAx>
    </c:plotArea>
    <c:legend>
      <c:legendPos val="b"/>
      <c:spPr>
        <a:noFill/>
      </c:spPr>
    </c:legend>
    <c:plotVisOnly val="1"/>
  </c:chart>
  <c:spPr>
    <a:scene3d>
      <a:camera prst="orthographicFront"/>
      <a:lightRig rig="threePt" dir="t"/>
    </a:scene3d>
    <a:sp3d>
      <a:bevelT w="0" h="0"/>
    </a:sp3d>
  </c:spPr>
  <c:txPr>
    <a:bodyPr/>
    <a:lstStyle/>
    <a:p>
      <a:pPr>
        <a:defRPr sz="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Расчетные</a:t>
            </a:r>
            <a:r>
              <a:rPr lang="ru-RU" sz="1100" baseline="0"/>
              <a:t> размеры дотаций на выравниваеие бюджетной обеспеченности (млн. руб.)</a:t>
            </a:r>
            <a:endParaRPr lang="ru-RU" sz="1100"/>
          </a:p>
        </c:rich>
      </c:tx>
      <c:layout>
        <c:manualLayout>
          <c:xMode val="edge"/>
          <c:yMode val="edge"/>
          <c:x val="0.14619374416213324"/>
          <c:y val="0"/>
        </c:manualLayout>
      </c:layout>
    </c:title>
    <c:plotArea>
      <c:layout>
        <c:manualLayout>
          <c:layoutTarget val="inner"/>
          <c:xMode val="edge"/>
          <c:yMode val="edge"/>
          <c:x val="8.1703597466280004E-2"/>
          <c:y val="0.16729117536939694"/>
          <c:w val="0.89284112756120004"/>
          <c:h val="0.42669575871804893"/>
        </c:manualLayout>
      </c:layout>
      <c:lineChart>
        <c:grouping val="standard"/>
        <c:ser>
          <c:idx val="0"/>
          <c:order val="0"/>
          <c:tx>
            <c:strRef>
              <c:f>Лист1!$B$1</c:f>
              <c:strCache>
                <c:ptCount val="1"/>
                <c:pt idx="0">
                  <c:v>ФФПП (в части ГО)</c:v>
                </c:pt>
              </c:strCache>
            </c:strRef>
          </c:tx>
          <c:spPr>
            <a:ln w="34925" cmpd="dbl">
              <a:solidFill>
                <a:srgbClr val="FF0000"/>
              </a:solidFill>
              <a:prstDash val="sysDash"/>
            </a:ln>
          </c:spPr>
          <c:marker>
            <c:symbol val="circle"/>
            <c:size val="5"/>
            <c:spPr>
              <a:solidFill>
                <a:srgbClr val="FF0000"/>
              </a:solidFill>
              <a:ln>
                <a:solidFill>
                  <a:schemeClr val="tx1"/>
                </a:solidFill>
              </a:ln>
            </c:spPr>
          </c:marker>
          <c:dLbls>
            <c:dLbl>
              <c:idx val="0"/>
              <c:layout>
                <c:manualLayout>
                  <c:x val="-6.9268888817612881E-2"/>
                  <c:y val="-8.791959992170445E-3"/>
                </c:manualLayout>
              </c:layout>
              <c:dLblPos val="r"/>
              <c:showVal val="1"/>
            </c:dLbl>
            <c:dLbl>
              <c:idx val="1"/>
              <c:layout>
                <c:manualLayout>
                  <c:x val="1.033864012203165E-2"/>
                  <c:y val="0.11760167801594729"/>
                </c:manualLayout>
              </c:layout>
              <c:dLblPos val="t"/>
              <c:showVal val="1"/>
            </c:dLbl>
            <c:dLbl>
              <c:idx val="2"/>
              <c:layout>
                <c:manualLayout>
                  <c:x val="1.2406205333207881E-2"/>
                  <c:y val="1.2845239542592823E-2"/>
                </c:manualLayout>
              </c:layout>
              <c:dLblPos val="t"/>
              <c:showVal val="1"/>
            </c:dLbl>
            <c:dLbl>
              <c:idx val="3"/>
              <c:layout>
                <c:manualLayout>
                  <c:x val="-4.1356188620429784E-3"/>
                  <c:y val="1.0225387466577121E-2"/>
                </c:manualLayout>
              </c:layout>
              <c:dLblPos val="t"/>
              <c:showVal val="1"/>
            </c:dLbl>
            <c:dLbl>
              <c:idx val="4"/>
              <c:layout>
                <c:manualLayout>
                  <c:x val="2.0677280244063806E-3"/>
                  <c:y val="1.1798628416233164E-3"/>
                </c:manualLayout>
              </c:layout>
              <c:dLblPos val="t"/>
              <c:showVal val="1"/>
            </c:dLbl>
            <c:numFmt formatCode="#,##0.0" sourceLinked="0"/>
            <c:txPr>
              <a:bodyPr/>
              <a:lstStyle/>
              <a:p>
                <a:pPr>
                  <a:defRPr sz="900" b="1"/>
                </a:pPr>
                <a:endParaRPr lang="ru-RU"/>
              </a:p>
            </c:txPr>
            <c:dLblPos val="t"/>
            <c:showVal val="1"/>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692.2</c:v>
                </c:pt>
                <c:pt idx="1">
                  <c:v>688.7</c:v>
                </c:pt>
                <c:pt idx="2">
                  <c:v>0</c:v>
                </c:pt>
                <c:pt idx="3">
                  <c:v>0</c:v>
                </c:pt>
                <c:pt idx="4">
                  <c:v>0</c:v>
                </c:pt>
              </c:numCache>
            </c:numRef>
          </c:val>
        </c:ser>
        <c:ser>
          <c:idx val="1"/>
          <c:order val="1"/>
          <c:tx>
            <c:strRef>
              <c:f>Лист1!$C$1</c:f>
              <c:strCache>
                <c:ptCount val="1"/>
                <c:pt idx="0">
                  <c:v>ФФПП (в части поселений)</c:v>
                </c:pt>
              </c:strCache>
            </c:strRef>
          </c:tx>
          <c:spPr>
            <a:ln w="34925" cmpd="dbl">
              <a:solidFill>
                <a:srgbClr val="0070C0"/>
              </a:solidFill>
              <a:prstDash val="solid"/>
            </a:ln>
          </c:spPr>
          <c:marker>
            <c:symbol val="circle"/>
            <c:size val="5"/>
            <c:spPr>
              <a:solidFill>
                <a:srgbClr val="0070C0"/>
              </a:solidFill>
              <a:ln>
                <a:solidFill>
                  <a:schemeClr val="tx1"/>
                </a:solidFill>
              </a:ln>
            </c:spPr>
          </c:marker>
          <c:dLbls>
            <c:dLbl>
              <c:idx val="0"/>
              <c:layout>
                <c:manualLayout>
                  <c:x val="-5.2727064622362083E-2"/>
                  <c:y val="-5.2525072085384455E-2"/>
                </c:manualLayout>
              </c:layout>
              <c:dLblPos val="r"/>
              <c:showVal val="1"/>
            </c:dLbl>
            <c:dLbl>
              <c:idx val="1"/>
              <c:layout>
                <c:manualLayout>
                  <c:x val="-1.6281323026822074E-7"/>
                  <c:y val="-0.1231516779967103"/>
                </c:manualLayout>
              </c:layout>
              <c:dLblPos val="b"/>
              <c:showVal val="1"/>
            </c:dLbl>
            <c:dLbl>
              <c:idx val="2"/>
              <c:layout>
                <c:manualLayout>
                  <c:x val="-4.1354560488127091E-3"/>
                  <c:y val="-0.12670766731041952"/>
                </c:manualLayout>
              </c:layout>
              <c:dLblPos val="b"/>
              <c:showVal val="1"/>
            </c:dLbl>
            <c:dLbl>
              <c:idx val="3"/>
              <c:layout>
                <c:manualLayout>
                  <c:x val="0"/>
                  <c:y val="-0.12315167799671083"/>
                </c:manualLayout>
              </c:layout>
              <c:dLblPos val="b"/>
              <c:showVal val="1"/>
            </c:dLbl>
            <c:dLbl>
              <c:idx val="4"/>
              <c:layout>
                <c:manualLayout>
                  <c:x val="0"/>
                  <c:y val="-0.11755387445140426"/>
                </c:manualLayout>
              </c:layout>
              <c:dLblPos val="b"/>
              <c:showVal val="1"/>
            </c:dLbl>
            <c:numFmt formatCode="#,##0.0" sourceLinked="0"/>
            <c:txPr>
              <a:bodyPr/>
              <a:lstStyle/>
              <a:p>
                <a:pPr>
                  <a:defRPr sz="900" b="1"/>
                </a:pPr>
                <a:endParaRPr lang="ru-RU"/>
              </a:p>
            </c:txPr>
            <c:dLblPos val="b"/>
            <c:showVal val="1"/>
          </c:dLbls>
          <c:cat>
            <c:strRef>
              <c:f>Лист1!$A$2:$A$6</c:f>
              <c:strCache>
                <c:ptCount val="5"/>
                <c:pt idx="0">
                  <c:v>2018 год</c:v>
                </c:pt>
                <c:pt idx="1">
                  <c:v>2019 год</c:v>
                </c:pt>
                <c:pt idx="2">
                  <c:v>2020 год</c:v>
                </c:pt>
                <c:pt idx="3">
                  <c:v>2021 год</c:v>
                </c:pt>
                <c:pt idx="4">
                  <c:v>2022 год</c:v>
                </c:pt>
              </c:strCache>
            </c:strRef>
          </c:cat>
          <c:val>
            <c:numRef>
              <c:f>Лист1!$C$2:$C$6</c:f>
              <c:numCache>
                <c:formatCode>General</c:formatCode>
                <c:ptCount val="5"/>
                <c:pt idx="0">
                  <c:v>1068.7</c:v>
                </c:pt>
                <c:pt idx="1">
                  <c:v>1069.5999999999999</c:v>
                </c:pt>
                <c:pt idx="2">
                  <c:v>1081.5</c:v>
                </c:pt>
                <c:pt idx="3">
                  <c:v>1079.5</c:v>
                </c:pt>
                <c:pt idx="4">
                  <c:v>1079.2</c:v>
                </c:pt>
              </c:numCache>
            </c:numRef>
          </c:val>
        </c:ser>
        <c:ser>
          <c:idx val="2"/>
          <c:order val="2"/>
          <c:tx>
            <c:strRef>
              <c:f>Лист1!$D$1</c:f>
              <c:strCache>
                <c:ptCount val="1"/>
                <c:pt idx="0">
                  <c:v>ФФП МР(ГО)</c:v>
                </c:pt>
              </c:strCache>
            </c:strRef>
          </c:tx>
          <c:spPr>
            <a:ln w="34925">
              <a:solidFill>
                <a:srgbClr val="00B050"/>
              </a:solidFill>
              <a:prstDash val="solid"/>
            </a:ln>
          </c:spPr>
          <c:marker>
            <c:symbol val="circle"/>
            <c:size val="5"/>
            <c:spPr>
              <a:solidFill>
                <a:srgbClr val="00B050"/>
              </a:solidFill>
              <a:ln>
                <a:solidFill>
                  <a:schemeClr val="tx1"/>
                </a:solidFill>
              </a:ln>
            </c:spPr>
          </c:marker>
          <c:dLbls>
            <c:dLbl>
              <c:idx val="2"/>
              <c:layout>
                <c:manualLayout>
                  <c:x val="2.067728024406365E-3"/>
                  <c:y val="1.9057894732893103E-2"/>
                </c:manualLayout>
              </c:layout>
              <c:dLblPos val="t"/>
              <c:showVal val="1"/>
            </c:dLbl>
            <c:numFmt formatCode="#,##0.0" sourceLinked="0"/>
            <c:txPr>
              <a:bodyPr/>
              <a:lstStyle/>
              <a:p>
                <a:pPr>
                  <a:defRPr sz="900" b="1"/>
                </a:pPr>
                <a:endParaRPr lang="ru-RU"/>
              </a:p>
            </c:txPr>
            <c:dLblPos val="t"/>
            <c:showVal val="1"/>
          </c:dLbls>
          <c:cat>
            <c:strRef>
              <c:f>Лист1!$A$2:$A$6</c:f>
              <c:strCache>
                <c:ptCount val="5"/>
                <c:pt idx="0">
                  <c:v>2018 год</c:v>
                </c:pt>
                <c:pt idx="1">
                  <c:v>2019 год</c:v>
                </c:pt>
                <c:pt idx="2">
                  <c:v>2020 год</c:v>
                </c:pt>
                <c:pt idx="3">
                  <c:v>2021 год</c:v>
                </c:pt>
                <c:pt idx="4">
                  <c:v>2022 год</c:v>
                </c:pt>
              </c:strCache>
            </c:strRef>
          </c:cat>
          <c:val>
            <c:numRef>
              <c:f>Лист1!$D$2:$D$6</c:f>
              <c:numCache>
                <c:formatCode>General</c:formatCode>
                <c:ptCount val="5"/>
                <c:pt idx="0">
                  <c:v>4452.3</c:v>
                </c:pt>
                <c:pt idx="1">
                  <c:v>3900.6</c:v>
                </c:pt>
                <c:pt idx="2">
                  <c:v>4589.4000000000005</c:v>
                </c:pt>
                <c:pt idx="3">
                  <c:v>4589.4000000000005</c:v>
                </c:pt>
                <c:pt idx="4">
                  <c:v>4589.4000000000005</c:v>
                </c:pt>
              </c:numCache>
            </c:numRef>
          </c:val>
        </c:ser>
        <c:dLbls>
          <c:showVal val="1"/>
        </c:dLbls>
        <c:marker val="1"/>
        <c:axId val="176739072"/>
        <c:axId val="176740608"/>
      </c:lineChart>
      <c:catAx>
        <c:axId val="176739072"/>
        <c:scaling>
          <c:orientation val="minMax"/>
        </c:scaling>
        <c:axPos val="b"/>
        <c:numFmt formatCode="dd/mm/yyyy" sourceLinked="1"/>
        <c:tickLblPos val="nextTo"/>
        <c:spPr>
          <a:ln>
            <a:solidFill>
              <a:schemeClr val="bg1">
                <a:lumMod val="85000"/>
              </a:schemeClr>
            </a:solidFill>
          </a:ln>
        </c:spPr>
        <c:txPr>
          <a:bodyPr/>
          <a:lstStyle/>
          <a:p>
            <a:pPr>
              <a:defRPr sz="800" b="1"/>
            </a:pPr>
            <a:endParaRPr lang="ru-RU"/>
          </a:p>
        </c:txPr>
        <c:crossAx val="176740608"/>
        <c:crosses val="autoZero"/>
        <c:lblAlgn val="ctr"/>
        <c:lblOffset val="100"/>
      </c:catAx>
      <c:valAx>
        <c:axId val="176740608"/>
        <c:scaling>
          <c:orientation val="minMax"/>
        </c:scaling>
        <c:axPos val="l"/>
        <c:majorGridlines>
          <c:spPr>
            <a:ln>
              <a:solidFill>
                <a:schemeClr val="bg1">
                  <a:lumMod val="85000"/>
                </a:schemeClr>
              </a:solidFill>
            </a:ln>
          </c:spPr>
        </c:majorGridlines>
        <c:title>
          <c:tx>
            <c:rich>
              <a:bodyPr rot="-5400000" vert="horz"/>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млн.</a:t>
                </a:r>
                <a:r>
                  <a:rPr lang="ru-RU" sz="800" b="0" baseline="0">
                    <a:latin typeface="Times New Roman" pitchFamily="18" charset="0"/>
                    <a:cs typeface="Times New Roman" pitchFamily="18" charset="0"/>
                  </a:rPr>
                  <a:t> руб.</a:t>
                </a:r>
                <a:endParaRPr lang="ru-RU" sz="800" b="0">
                  <a:latin typeface="Times New Roman" pitchFamily="18" charset="0"/>
                  <a:cs typeface="Times New Roman" pitchFamily="18" charset="0"/>
                </a:endParaRPr>
              </a:p>
            </c:rich>
          </c:tx>
        </c:title>
        <c:numFmt formatCode="#,##0" sourceLinked="0"/>
        <c:tickLblPos val="nextTo"/>
        <c:spPr>
          <a:ln>
            <a:solidFill>
              <a:schemeClr val="bg1">
                <a:lumMod val="85000"/>
              </a:schemeClr>
            </a:solidFill>
          </a:ln>
        </c:spPr>
        <c:txPr>
          <a:bodyPr/>
          <a:lstStyle/>
          <a:p>
            <a:pPr>
              <a:defRPr sz="750"/>
            </a:pPr>
            <a:endParaRPr lang="ru-RU"/>
          </a:p>
        </c:txPr>
        <c:crossAx val="176739072"/>
        <c:crossesAt val="1"/>
        <c:crossBetween val="between"/>
      </c:valAx>
      <c:spPr>
        <a:gradFill>
          <a:gsLst>
            <a:gs pos="0">
              <a:srgbClr val="FFFFFF">
                <a:alpha val="50000"/>
              </a:srgbClr>
            </a:gs>
            <a:gs pos="7001">
              <a:srgbClr val="E6E6E6">
                <a:alpha val="50000"/>
              </a:srgbClr>
            </a:gs>
            <a:gs pos="32001">
              <a:srgbClr val="7D8496">
                <a:alpha val="50000"/>
              </a:srgbClr>
            </a:gs>
            <a:gs pos="47000">
              <a:srgbClr val="E6E6E6">
                <a:alpha val="50000"/>
              </a:srgbClr>
            </a:gs>
            <a:gs pos="85001">
              <a:srgbClr val="7D8496">
                <a:alpha val="50000"/>
              </a:srgbClr>
            </a:gs>
            <a:gs pos="100000">
              <a:srgbClr val="E6E6E6">
                <a:alpha val="50000"/>
              </a:srgbClr>
            </a:gs>
          </a:gsLst>
          <a:lin ang="2700000" scaled="0"/>
        </a:gradFill>
        <a:ln>
          <a:noFill/>
        </a:ln>
      </c:spPr>
    </c:plotArea>
    <c:legend>
      <c:legendPos val="b"/>
      <c:layout>
        <c:manualLayout>
          <c:xMode val="edge"/>
          <c:yMode val="edge"/>
          <c:x val="7.1082953829261594E-2"/>
          <c:y val="0.7471379738353271"/>
          <c:w val="0.86196954839029005"/>
          <c:h val="0.15349338249223538"/>
        </c:manualLayout>
      </c:layout>
      <c:txPr>
        <a:bodyPr/>
        <a:lstStyle/>
        <a:p>
          <a:pPr>
            <a:defRPr sz="900" b="1"/>
          </a:pPr>
          <a:endParaRPr lang="ru-RU"/>
        </a:p>
      </c:txPr>
    </c:legend>
    <c:plotVisOnly val="1"/>
    <c:dispBlanksAs val="gap"/>
  </c:chart>
  <c:spPr>
    <a:ln>
      <a:noFill/>
    </a:ln>
  </c:spPr>
  <c:txPr>
    <a:bodyPr/>
    <a:lstStyle/>
    <a:p>
      <a:pPr>
        <a:defRPr sz="10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278799459113755"/>
          <c:y val="5.5631038962666517E-2"/>
          <c:w val="0.84166118337637663"/>
          <c:h val="0.70510263455269662"/>
        </c:manualLayout>
      </c:layout>
      <c:barChart>
        <c:barDir val="bar"/>
        <c:grouping val="stacked"/>
        <c:ser>
          <c:idx val="0"/>
          <c:order val="0"/>
          <c:tx>
            <c:strRef>
              <c:f>Лист1!$B$1</c:f>
              <c:strCache>
                <c:ptCount val="1"/>
                <c:pt idx="0">
                  <c:v>Дотации на выравнивание бюджетной обеспеченности</c:v>
                </c:pt>
              </c:strCache>
            </c:strRef>
          </c:tx>
          <c:spPr>
            <a:gradFill flip="none" rotWithShape="1">
              <a:gsLst>
                <a:gs pos="0">
                  <a:srgbClr val="DDEBCF"/>
                </a:gs>
                <a:gs pos="50000">
                  <a:srgbClr val="9CB86E"/>
                </a:gs>
                <a:gs pos="100000">
                  <a:srgbClr val="156B13"/>
                </a:gs>
              </a:gsLst>
              <a:lin ang="5400000" scaled="0"/>
              <a:tileRect r="-100000" b="-100000"/>
            </a:gradFill>
            <a:ln>
              <a:noFill/>
            </a:ln>
            <a:effectLst/>
            <a:scene3d>
              <a:camera prst="orthographicFront"/>
              <a:lightRig rig="threePt" dir="t">
                <a:rot lat="0" lon="0" rev="1200000"/>
              </a:lightRig>
            </a:scene3d>
            <a:sp3d>
              <a:bevelT w="88900" h="63500"/>
              <a:bevelB w="88900" h="63500" prst="artDeco"/>
            </a:sp3d>
          </c:spPr>
          <c:dLbls>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Лист1!$B$2:$B$4</c:f>
              <c:numCache>
                <c:formatCode>0.0</c:formatCode>
                <c:ptCount val="3"/>
                <c:pt idx="0">
                  <c:v>1258.4000000000001</c:v>
                </c:pt>
                <c:pt idx="1">
                  <c:v>1122</c:v>
                </c:pt>
                <c:pt idx="2">
                  <c:v>1111.4000000000001</c:v>
                </c:pt>
              </c:numCache>
            </c:numRef>
          </c:val>
        </c:ser>
        <c:ser>
          <c:idx val="1"/>
          <c:order val="1"/>
          <c:tx>
            <c:strRef>
              <c:f>Лист1!$C$1</c:f>
              <c:strCache>
                <c:ptCount val="1"/>
                <c:pt idx="0">
                  <c:v>Дотации на аоддержку мер по опеспечению сбалансированности</c:v>
                </c:pt>
              </c:strCache>
            </c:strRef>
          </c:tx>
          <c:spPr>
            <a:gradFill flip="none" rotWithShape="1">
              <a:gsLst>
                <a:gs pos="0">
                  <a:schemeClr val="tx2">
                    <a:lumMod val="20000"/>
                    <a:lumOff val="80000"/>
                  </a:schemeClr>
                </a:gs>
                <a:gs pos="25000">
                  <a:srgbClr val="21D6E0"/>
                </a:gs>
                <a:gs pos="75000">
                  <a:srgbClr val="0087E6"/>
                </a:gs>
                <a:gs pos="100000">
                  <a:srgbClr val="005CBF"/>
                </a:gs>
              </a:gsLst>
              <a:lin ang="5400000" scaled="1"/>
              <a:tileRect/>
            </a:gradFill>
            <a:effectLst/>
            <a:scene3d>
              <a:camera prst="orthographicFront"/>
              <a:lightRig rig="threePt" dir="t"/>
            </a:scene3d>
            <a:sp3d>
              <a:bevelT/>
              <a:bevelB w="114300" prst="artDeco"/>
            </a:sp3d>
          </c:spPr>
          <c:dLbls>
            <c:numFmt formatCode="#,##0.0" sourceLinked="0"/>
            <c:txPr>
              <a:bodyPr/>
              <a:lstStyle/>
              <a:p>
                <a:pPr>
                  <a:defRPr sz="800" b="1"/>
                </a:pPr>
                <a:endParaRPr lang="ru-RU"/>
              </a:p>
            </c:txPr>
            <c:dLblPos val="ctr"/>
            <c:showVal val="1"/>
          </c:dLbls>
          <c:cat>
            <c:strRef>
              <c:f>Лист1!$A$2:$A$4</c:f>
              <c:strCache>
                <c:ptCount val="3"/>
                <c:pt idx="0">
                  <c:v>2018 год факт</c:v>
                </c:pt>
                <c:pt idx="1">
                  <c:v>2019 год план</c:v>
                </c:pt>
                <c:pt idx="2">
                  <c:v>2020 год проект</c:v>
                </c:pt>
              </c:strCache>
            </c:strRef>
          </c:cat>
          <c:val>
            <c:numRef>
              <c:f>Лист1!$C$2:$C$4</c:f>
              <c:numCache>
                <c:formatCode>General</c:formatCode>
                <c:ptCount val="3"/>
                <c:pt idx="0">
                  <c:v>1090</c:v>
                </c:pt>
                <c:pt idx="1">
                  <c:v>1030</c:v>
                </c:pt>
                <c:pt idx="2">
                  <c:v>220</c:v>
                </c:pt>
              </c:numCache>
            </c:numRef>
          </c:val>
        </c:ser>
        <c:dLbls>
          <c:showVal val="1"/>
        </c:dLbls>
        <c:gapWidth val="53"/>
        <c:overlap val="100"/>
        <c:axId val="167964672"/>
        <c:axId val="167966208"/>
      </c:barChart>
      <c:catAx>
        <c:axId val="167964672"/>
        <c:scaling>
          <c:orientation val="minMax"/>
        </c:scaling>
        <c:axPos val="l"/>
        <c:tickLblPos val="nextTo"/>
        <c:spPr>
          <a:ln>
            <a:solidFill>
              <a:schemeClr val="bg1">
                <a:lumMod val="85000"/>
              </a:schemeClr>
            </a:solidFill>
          </a:ln>
        </c:spPr>
        <c:txPr>
          <a:bodyPr/>
          <a:lstStyle/>
          <a:p>
            <a:pPr>
              <a:defRPr sz="900" b="1"/>
            </a:pPr>
            <a:endParaRPr lang="ru-RU"/>
          </a:p>
        </c:txPr>
        <c:crossAx val="167966208"/>
        <c:crosses val="autoZero"/>
        <c:auto val="1"/>
        <c:lblAlgn val="ctr"/>
        <c:lblOffset val="100"/>
      </c:catAx>
      <c:valAx>
        <c:axId val="167966208"/>
        <c:scaling>
          <c:orientation val="minMax"/>
        </c:scaling>
        <c:axPos val="b"/>
        <c:majorGridlines>
          <c:spPr>
            <a:ln>
              <a:solidFill>
                <a:schemeClr val="bg1">
                  <a:lumMod val="85000"/>
                </a:schemeClr>
              </a:solidFill>
            </a:ln>
          </c:spPr>
        </c:majorGridlines>
        <c:numFmt formatCode="#,##0" sourceLinked="0"/>
        <c:tickLblPos val="nextTo"/>
        <c:spPr>
          <a:ln>
            <a:solidFill>
              <a:schemeClr val="bg1">
                <a:lumMod val="85000"/>
              </a:schemeClr>
            </a:solidFill>
          </a:ln>
        </c:spPr>
        <c:txPr>
          <a:bodyPr/>
          <a:lstStyle/>
          <a:p>
            <a:pPr>
              <a:defRPr sz="800"/>
            </a:pPr>
            <a:endParaRPr lang="ru-RU"/>
          </a:p>
        </c:txPr>
        <c:crossAx val="167964672"/>
        <c:crosses val="autoZero"/>
        <c:crossBetween val="between"/>
      </c:valAx>
      <c:spPr>
        <a:gradFill flip="none" rotWithShape="1">
          <a:gsLst>
            <a:gs pos="0">
              <a:sysClr val="window" lastClr="FFFFFF">
                <a:alpha val="50000"/>
              </a:sysClr>
            </a:gs>
            <a:gs pos="7001">
              <a:srgbClr val="E6E6E6">
                <a:alpha val="50000"/>
              </a:srgbClr>
            </a:gs>
            <a:gs pos="32001">
              <a:srgbClr val="7D8496">
                <a:alpha val="50000"/>
              </a:srgbClr>
            </a:gs>
            <a:gs pos="47000">
              <a:srgbClr val="E6E6E6">
                <a:alpha val="50000"/>
              </a:srgbClr>
            </a:gs>
            <a:gs pos="85001">
              <a:srgbClr val="7D8496">
                <a:alpha val="50000"/>
              </a:srgbClr>
            </a:gs>
            <a:gs pos="100000">
              <a:srgbClr val="E6E6E6">
                <a:alpha val="50000"/>
              </a:srgbClr>
            </a:gs>
          </a:gsLst>
          <a:lin ang="3000000" scaled="0"/>
          <a:tileRect/>
        </a:gradFill>
      </c:spPr>
    </c:plotArea>
    <c:legend>
      <c:legendPos val="b"/>
      <c:layout>
        <c:manualLayout>
          <c:xMode val="edge"/>
          <c:yMode val="edge"/>
          <c:x val="0.12854907004112964"/>
          <c:y val="0.84483359580052497"/>
          <c:w val="0.76550072997423857"/>
          <c:h val="0.1270961437512623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D9506-D28E-4F2F-9BBB-AD433C44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11831</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Волгоградской области</Company>
  <LinksUpToDate>false</LinksUpToDate>
  <CharactersWithSpaces>79110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Ноздрюхина</dc:creator>
  <cp:lastModifiedBy>Самарцева Оксана Геннадьевна</cp:lastModifiedBy>
  <cp:revision>2</cp:revision>
  <cp:lastPrinted>2019-11-11T11:05:00Z</cp:lastPrinted>
  <dcterms:created xsi:type="dcterms:W3CDTF">2019-11-13T07:02:00Z</dcterms:created>
  <dcterms:modified xsi:type="dcterms:W3CDTF">2019-11-13T07:02:00Z</dcterms:modified>
</cp:coreProperties>
</file>