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DA8" w:rsidRPr="00E176CC" w:rsidRDefault="007D6DA8" w:rsidP="007D6DA8">
      <w:pPr>
        <w:tabs>
          <w:tab w:val="left" w:pos="2505"/>
        </w:tabs>
        <w:ind w:left="5954"/>
        <w:rPr>
          <w:rFonts w:eastAsia="Calibri"/>
          <w:b/>
          <w:lang w:eastAsia="en-US"/>
        </w:rPr>
      </w:pPr>
      <w:r w:rsidRPr="00E176CC">
        <w:rPr>
          <w:b/>
          <w:lang w:eastAsia="en-US"/>
        </w:rPr>
        <w:t>Утверждаю</w:t>
      </w:r>
    </w:p>
    <w:p w:rsidR="007D6DA8" w:rsidRPr="00E176CC" w:rsidRDefault="007D6DA8" w:rsidP="007D6DA8">
      <w:pPr>
        <w:tabs>
          <w:tab w:val="left" w:pos="2505"/>
        </w:tabs>
        <w:ind w:left="5954" w:right="-285"/>
        <w:rPr>
          <w:b/>
          <w:lang w:eastAsia="en-US"/>
        </w:rPr>
      </w:pPr>
      <w:r w:rsidRPr="00E176CC">
        <w:rPr>
          <w:b/>
          <w:lang w:eastAsia="en-US"/>
        </w:rPr>
        <w:t xml:space="preserve">председатель контрольно - счетной </w:t>
      </w:r>
    </w:p>
    <w:p w:rsidR="007D6DA8" w:rsidRPr="00E176CC" w:rsidRDefault="007D6DA8" w:rsidP="007D6DA8">
      <w:pPr>
        <w:tabs>
          <w:tab w:val="left" w:pos="2505"/>
        </w:tabs>
        <w:ind w:left="5954"/>
        <w:rPr>
          <w:b/>
          <w:lang w:eastAsia="en-US"/>
        </w:rPr>
      </w:pPr>
      <w:r w:rsidRPr="00E176CC">
        <w:rPr>
          <w:b/>
          <w:lang w:eastAsia="en-US"/>
        </w:rPr>
        <w:t>палаты Волгоградской области</w:t>
      </w:r>
    </w:p>
    <w:p w:rsidR="007D6DA8" w:rsidRPr="00E176CC" w:rsidRDefault="007D6DA8" w:rsidP="00E176CC">
      <w:pPr>
        <w:tabs>
          <w:tab w:val="left" w:pos="2505"/>
        </w:tabs>
        <w:ind w:left="5954" w:right="-143"/>
        <w:rPr>
          <w:b/>
          <w:lang w:eastAsia="en-US"/>
        </w:rPr>
      </w:pPr>
      <w:r w:rsidRPr="00E176CC">
        <w:rPr>
          <w:b/>
          <w:lang w:eastAsia="en-US"/>
        </w:rPr>
        <w:t>____________</w:t>
      </w:r>
      <w:r w:rsidR="00E176CC">
        <w:rPr>
          <w:b/>
          <w:lang w:eastAsia="en-US"/>
        </w:rPr>
        <w:t>______ И.</w:t>
      </w:r>
      <w:r w:rsidRPr="00E176CC">
        <w:rPr>
          <w:b/>
          <w:lang w:eastAsia="en-US"/>
        </w:rPr>
        <w:t>А. Дьяченко</w:t>
      </w:r>
    </w:p>
    <w:p w:rsidR="0009262F" w:rsidRPr="00E176CC" w:rsidRDefault="007D6DA8" w:rsidP="007D6DA8">
      <w:pPr>
        <w:tabs>
          <w:tab w:val="left" w:pos="2505"/>
        </w:tabs>
        <w:ind w:left="5954"/>
        <w:rPr>
          <w:b/>
          <w:lang w:eastAsia="en-US"/>
        </w:rPr>
      </w:pPr>
      <w:r w:rsidRPr="00E176CC">
        <w:rPr>
          <w:b/>
          <w:lang w:eastAsia="en-US"/>
        </w:rPr>
        <w:t xml:space="preserve">« ___» </w:t>
      </w:r>
      <w:r w:rsidR="000C6739" w:rsidRPr="00996C1B">
        <w:rPr>
          <w:b/>
          <w:lang w:eastAsia="en-US"/>
        </w:rPr>
        <w:t>марта</w:t>
      </w:r>
      <w:r w:rsidR="00917766">
        <w:rPr>
          <w:b/>
          <w:lang w:eastAsia="en-US"/>
        </w:rPr>
        <w:t xml:space="preserve"> 20</w:t>
      </w:r>
      <w:r w:rsidR="00917766" w:rsidRPr="00CE46A3">
        <w:rPr>
          <w:b/>
          <w:lang w:eastAsia="en-US"/>
        </w:rPr>
        <w:t>20</w:t>
      </w:r>
      <w:r w:rsidRPr="00E176CC">
        <w:rPr>
          <w:b/>
          <w:lang w:eastAsia="en-US"/>
        </w:rPr>
        <w:t xml:space="preserve"> года</w:t>
      </w:r>
    </w:p>
    <w:p w:rsidR="007D6DA8" w:rsidRDefault="007D6DA8" w:rsidP="0025054E">
      <w:pPr>
        <w:tabs>
          <w:tab w:val="left" w:pos="2985"/>
        </w:tabs>
        <w:jc w:val="center"/>
        <w:rPr>
          <w:b/>
        </w:rPr>
      </w:pPr>
    </w:p>
    <w:p w:rsidR="00D92E39" w:rsidRPr="00D92E39" w:rsidRDefault="00D92E39" w:rsidP="00D92E39">
      <w:pPr>
        <w:tabs>
          <w:tab w:val="left" w:pos="2985"/>
        </w:tabs>
        <w:jc w:val="center"/>
        <w:rPr>
          <w:b/>
          <w:i/>
        </w:rPr>
      </w:pPr>
      <w:r w:rsidRPr="00D92E39">
        <w:rPr>
          <w:b/>
          <w:i/>
        </w:rPr>
        <w:t>ЗАКЛЮЧЕНИЕ</w:t>
      </w:r>
    </w:p>
    <w:p w:rsidR="0025054E" w:rsidRPr="00D92E39" w:rsidRDefault="00D92E39" w:rsidP="00D92E39">
      <w:pPr>
        <w:tabs>
          <w:tab w:val="left" w:pos="2985"/>
        </w:tabs>
        <w:jc w:val="center"/>
        <w:rPr>
          <w:b/>
          <w:i/>
        </w:rPr>
      </w:pPr>
      <w:r w:rsidRPr="00D92E39">
        <w:rPr>
          <w:b/>
          <w:i/>
        </w:rPr>
        <w:t xml:space="preserve">по результатам </w:t>
      </w:r>
      <w:r w:rsidR="00163BDC" w:rsidRPr="00D92E39">
        <w:rPr>
          <w:b/>
          <w:i/>
        </w:rPr>
        <w:t xml:space="preserve">внешней проверки </w:t>
      </w:r>
      <w:r w:rsidR="0025054E" w:rsidRPr="00D92E39">
        <w:rPr>
          <w:b/>
          <w:i/>
        </w:rPr>
        <w:t>бюджетной отчетности и</w:t>
      </w:r>
    </w:p>
    <w:p w:rsidR="0025054E" w:rsidRPr="00D92E39" w:rsidRDefault="0025054E" w:rsidP="0025054E">
      <w:pPr>
        <w:pStyle w:val="31"/>
        <w:spacing w:after="0"/>
        <w:jc w:val="center"/>
        <w:rPr>
          <w:b/>
          <w:i/>
          <w:sz w:val="24"/>
          <w:szCs w:val="24"/>
        </w:rPr>
      </w:pPr>
      <w:r w:rsidRPr="00D92E39">
        <w:rPr>
          <w:b/>
          <w:i/>
          <w:sz w:val="24"/>
          <w:szCs w:val="24"/>
        </w:rPr>
        <w:t>отдельных вопросов исполнения областного бюджета за 201</w:t>
      </w:r>
      <w:r w:rsidR="00917766" w:rsidRPr="00917766">
        <w:rPr>
          <w:b/>
          <w:i/>
          <w:sz w:val="24"/>
          <w:szCs w:val="24"/>
        </w:rPr>
        <w:t>9</w:t>
      </w:r>
      <w:r w:rsidRPr="00D92E39">
        <w:rPr>
          <w:b/>
          <w:i/>
          <w:sz w:val="24"/>
          <w:szCs w:val="24"/>
        </w:rPr>
        <w:t xml:space="preserve"> год</w:t>
      </w:r>
    </w:p>
    <w:p w:rsidR="0025054E" w:rsidRPr="00D92E39" w:rsidRDefault="0025054E" w:rsidP="0025054E">
      <w:pPr>
        <w:pStyle w:val="31"/>
        <w:spacing w:after="0"/>
        <w:jc w:val="center"/>
        <w:rPr>
          <w:b/>
          <w:i/>
          <w:sz w:val="24"/>
          <w:szCs w:val="24"/>
        </w:rPr>
      </w:pPr>
      <w:r w:rsidRPr="00D92E39">
        <w:rPr>
          <w:b/>
          <w:i/>
          <w:sz w:val="24"/>
          <w:szCs w:val="24"/>
        </w:rPr>
        <w:t xml:space="preserve">главным администратором средств областного бюджета – </w:t>
      </w:r>
    </w:p>
    <w:p w:rsidR="0025054E" w:rsidRPr="00D92E39" w:rsidRDefault="0025054E" w:rsidP="0025054E">
      <w:pPr>
        <w:pStyle w:val="31"/>
        <w:spacing w:after="0"/>
        <w:jc w:val="center"/>
        <w:rPr>
          <w:b/>
          <w:i/>
          <w:sz w:val="24"/>
          <w:szCs w:val="24"/>
        </w:rPr>
      </w:pPr>
      <w:r w:rsidRPr="00D92E39">
        <w:rPr>
          <w:b/>
          <w:i/>
          <w:sz w:val="24"/>
          <w:szCs w:val="24"/>
        </w:rPr>
        <w:t xml:space="preserve">комитетом </w:t>
      </w:r>
      <w:r w:rsidR="004644DF" w:rsidRPr="00D92E39">
        <w:rPr>
          <w:b/>
          <w:i/>
          <w:sz w:val="24"/>
          <w:szCs w:val="24"/>
        </w:rPr>
        <w:t>юстиции</w:t>
      </w:r>
      <w:r w:rsidRPr="00D92E39">
        <w:rPr>
          <w:b/>
          <w:i/>
          <w:sz w:val="24"/>
          <w:szCs w:val="24"/>
        </w:rPr>
        <w:t xml:space="preserve"> Волгоградской области</w:t>
      </w:r>
    </w:p>
    <w:p w:rsidR="0056121D" w:rsidRPr="00E176CC" w:rsidRDefault="0056121D" w:rsidP="0025054E">
      <w:pPr>
        <w:jc w:val="center"/>
      </w:pPr>
    </w:p>
    <w:p w:rsidR="00F51CEC" w:rsidRPr="00B54DB5" w:rsidRDefault="00F51CEC" w:rsidP="00F51CEC">
      <w:pPr>
        <w:pStyle w:val="ae"/>
        <w:ind w:firstLine="708"/>
        <w:jc w:val="both"/>
        <w:rPr>
          <w:b w:val="0"/>
        </w:rPr>
      </w:pPr>
      <w:r w:rsidRPr="00B54DB5">
        <w:rPr>
          <w:b w:val="0"/>
        </w:rPr>
        <w:t>На основании статьи 264.4 Бюджетного Кодекса РФ (далее - БК РФ) и в соответствии с планом работы контрольно-счетной палаты Волгоградской области (далее КСП) на 2020 год, утвержденным постановлением коллегии КСП от 20.12.2019 № 23/2</w:t>
      </w:r>
      <w:r w:rsidR="000C6739">
        <w:rPr>
          <w:b w:val="0"/>
        </w:rPr>
        <w:t>,</w:t>
      </w:r>
      <w:r w:rsidRPr="00B54DB5">
        <w:rPr>
          <w:b w:val="0"/>
        </w:rPr>
        <w:t xml:space="preserve"> ведущим  инспектором Куликовым П.А. проведена внешняя камеральная проверка бюджетной отчетности и отдельных вопросов исполнения областного бюджета за </w:t>
      </w:r>
      <w:r>
        <w:rPr>
          <w:b w:val="0"/>
        </w:rPr>
        <w:t>2019</w:t>
      </w:r>
      <w:r w:rsidRPr="00B54DB5">
        <w:rPr>
          <w:b w:val="0"/>
        </w:rPr>
        <w:t xml:space="preserve"> год главным администратором средств областного бюджета – комитетом юстиции Волгоградской области (далее – Облкомюстиции).</w:t>
      </w:r>
    </w:p>
    <w:p w:rsidR="00D831FF" w:rsidRPr="005113F5" w:rsidRDefault="00D831FF" w:rsidP="00D831FF">
      <w:pPr>
        <w:ind w:firstLine="709"/>
        <w:jc w:val="both"/>
      </w:pPr>
      <w:r w:rsidRPr="005113F5">
        <w:t>В соответствии с Законом Волгоградской области от 15.03.2012 № 22-ОД «О системе органов исполнительной власти Волгоградской области» Облкомюстиции входит в систему органов исполнительной власти Волгоградской области. Облкомюстиции осуществляет свои полномочия на основании Положения о комитете юстиции Волгоградской области, утверждённого постановлением Губернатора Волгоградской области от 19.12.2016 № 968.</w:t>
      </w:r>
    </w:p>
    <w:p w:rsidR="00D831FF" w:rsidRPr="005113F5" w:rsidRDefault="00D831FF" w:rsidP="00D831FF">
      <w:pPr>
        <w:ind w:firstLine="709"/>
        <w:jc w:val="both"/>
      </w:pPr>
      <w:r w:rsidRPr="005113F5">
        <w:t xml:space="preserve">Облкомюстиции является органом исполнительной власти Волгоградской области, осуществляющим организационное обеспечение деятельности мировых судей в Волгоградской области (далее - мировые судьи), обеспечивающим составление списков кандидатов в присяжные заседатели и выполняющим функции уполномоченного органа в области обеспечения граждан бесплатной юридической помощью на территории Волгоградской области. </w:t>
      </w:r>
      <w:r w:rsidRPr="00D831FF">
        <w:t>Т</w:t>
      </w:r>
      <w:r>
        <w:t>акже</w:t>
      </w:r>
      <w:r w:rsidRPr="005113F5">
        <w:t xml:space="preserve"> Облкомюстиции наделён полномочиями по организации деятельности по государственной регистрации актов гражданского состояния на территории Волгоградской области и ведени</w:t>
      </w:r>
      <w:r w:rsidR="00F10434">
        <w:t xml:space="preserve">ю </w:t>
      </w:r>
      <w:r w:rsidRPr="005113F5">
        <w:t>регистра муниципальных нормативных правовых актов Волгоградской области.</w:t>
      </w:r>
    </w:p>
    <w:p w:rsidR="00E73F1C" w:rsidRPr="00D831FF" w:rsidRDefault="00E73F1C" w:rsidP="00E73F1C">
      <w:pPr>
        <w:ind w:firstLine="709"/>
        <w:jc w:val="both"/>
      </w:pPr>
      <w:r w:rsidRPr="00D831FF">
        <w:rPr>
          <w:bCs/>
        </w:rPr>
        <w:t xml:space="preserve">Облкомюстиции является юридическим лицом, имеет самостоятельный баланс, счета, открываемые в соответствии с законодательством Российской Федерации и Волгоградской области, гербовую и иные печати, бланки и штампы со своим наименованием. </w:t>
      </w:r>
      <w:r w:rsidRPr="00D831FF">
        <w:t>Финансирование Облкомюстиции осуществляется за счет средств областного бюджета.</w:t>
      </w:r>
    </w:p>
    <w:p w:rsidR="00D831FF" w:rsidRPr="00591C80" w:rsidRDefault="00D831FF" w:rsidP="00D831FF">
      <w:pPr>
        <w:ind w:firstLine="709"/>
        <w:jc w:val="both"/>
      </w:pPr>
      <w:r w:rsidRPr="00591C80">
        <w:t>В соответствии с Законом Волгоградской области от 07.12.2018 № 134-ОД «Об областном бюджете на 2019 год и на плановый период 2020 и 2021 годов» (далее - Закон об областном бюджете) Облкомюстиции в 2019 году являлся главным администратором доходов областного бюджета и главным распорядителем средств областного бюджета.</w:t>
      </w:r>
    </w:p>
    <w:p w:rsidR="00D831FF" w:rsidRPr="00591C80" w:rsidRDefault="00D831FF" w:rsidP="00D831FF">
      <w:pPr>
        <w:ind w:firstLine="709"/>
        <w:jc w:val="both"/>
      </w:pPr>
      <w:r w:rsidRPr="00591C80">
        <w:t>Облкомюстиции имеет 2 подведомственных учреждения:</w:t>
      </w:r>
    </w:p>
    <w:p w:rsidR="00D831FF" w:rsidRPr="00DC38B6" w:rsidRDefault="00D831FF" w:rsidP="00D831FF">
      <w:pPr>
        <w:ind w:firstLine="709"/>
        <w:jc w:val="both"/>
      </w:pPr>
      <w:r w:rsidRPr="00DC38B6">
        <w:t>-государственное казенное учреждение Волгоградской области «Государственное юридическое бюро Волгоградской области» (далее – ГКУ ЮрБюро), штатная численность – 32 единицы;</w:t>
      </w:r>
    </w:p>
    <w:p w:rsidR="00D831FF" w:rsidRDefault="00D831FF" w:rsidP="00D831FF">
      <w:pPr>
        <w:ind w:firstLine="709"/>
        <w:jc w:val="both"/>
      </w:pPr>
      <w:r w:rsidRPr="00DC38B6">
        <w:t>-государственное казенное учреждение Волгоградской области «Дирекция по материально-техническому обеспечению деятельности мировых судей Волгоградской области»</w:t>
      </w:r>
      <w:r w:rsidR="000C6739">
        <w:t xml:space="preserve">, </w:t>
      </w:r>
      <w:r w:rsidR="000C6739" w:rsidRPr="000C6739">
        <w:t>создан</w:t>
      </w:r>
      <w:r w:rsidR="000C6739">
        <w:t>н</w:t>
      </w:r>
      <w:r w:rsidR="000C6739" w:rsidRPr="000C6739">
        <w:t>о</w:t>
      </w:r>
      <w:r w:rsidR="000C6739">
        <w:t>е</w:t>
      </w:r>
      <w:r w:rsidR="000C6739" w:rsidRPr="000C6739">
        <w:t xml:space="preserve"> в соответствии с постановлением Администрации Волгоградс</w:t>
      </w:r>
      <w:r w:rsidR="000C6739">
        <w:t>кой области от 12.08.2019 № 400 (далее – Дирекция). Штатное расписание утверждено 19.11.2019,</w:t>
      </w:r>
      <w:r w:rsidRPr="00DC38B6">
        <w:t xml:space="preserve"> штатная численность – 279 единиц.</w:t>
      </w:r>
      <w:r w:rsidR="000C6739">
        <w:t xml:space="preserve"> </w:t>
      </w:r>
    </w:p>
    <w:p w:rsidR="00E73F1C" w:rsidRPr="000D1DA3" w:rsidRDefault="00E73F1C" w:rsidP="00E73F1C">
      <w:pPr>
        <w:ind w:firstLine="709"/>
        <w:jc w:val="both"/>
      </w:pPr>
      <w:r w:rsidRPr="000D1DA3">
        <w:t>Структура и штатная численность Облкомюст</w:t>
      </w:r>
      <w:r w:rsidR="007045BE" w:rsidRPr="000D1DA3">
        <w:t>иции</w:t>
      </w:r>
      <w:r w:rsidRPr="000D1DA3">
        <w:t xml:space="preserve"> утверждена постановлением Губернатора Волгоградской области от 19.12.2016 № 969 «Об утверждении структуры и </w:t>
      </w:r>
      <w:r w:rsidRPr="000D1DA3">
        <w:lastRenderedPageBreak/>
        <w:t>штатной численности комитета юстиции Волгоградской области». На 01.01.20</w:t>
      </w:r>
      <w:r w:rsidR="000D1DA3">
        <w:t>20</w:t>
      </w:r>
      <w:r w:rsidRPr="000D1DA3">
        <w:t xml:space="preserve"> штатная численность Облкомюст</w:t>
      </w:r>
      <w:r w:rsidR="007045BE" w:rsidRPr="000D1DA3">
        <w:t>иции</w:t>
      </w:r>
      <w:r w:rsidR="000C6739">
        <w:t xml:space="preserve"> составляла</w:t>
      </w:r>
      <w:r w:rsidRPr="000D1DA3">
        <w:t xml:space="preserve"> </w:t>
      </w:r>
      <w:r w:rsidR="000D1DA3" w:rsidRPr="000D1DA3">
        <w:t xml:space="preserve">591 </w:t>
      </w:r>
      <w:r w:rsidRPr="000D1DA3">
        <w:t>единицу, из них:</w:t>
      </w:r>
    </w:p>
    <w:p w:rsidR="000D1DA3" w:rsidRPr="002246AD" w:rsidRDefault="000D1DA3" w:rsidP="000D1DA3">
      <w:pPr>
        <w:ind w:firstLine="426"/>
        <w:jc w:val="both"/>
      </w:pPr>
      <w:r w:rsidRPr="002246AD">
        <w:t>-государственная должность – 1 ед.;</w:t>
      </w:r>
    </w:p>
    <w:p w:rsidR="000D1DA3" w:rsidRDefault="000D1DA3" w:rsidP="000D1DA3">
      <w:pPr>
        <w:ind w:firstLine="426"/>
        <w:jc w:val="both"/>
      </w:pPr>
      <w:r w:rsidRPr="002246AD">
        <w:t xml:space="preserve">-должности государственной гражданской службы – </w:t>
      </w:r>
      <w:r>
        <w:t>525</w:t>
      </w:r>
      <w:r w:rsidRPr="002246AD">
        <w:t xml:space="preserve"> ед.,</w:t>
      </w:r>
    </w:p>
    <w:p w:rsidR="000D1DA3" w:rsidRPr="002246AD" w:rsidRDefault="000D1DA3" w:rsidP="000D1DA3">
      <w:pPr>
        <w:ind w:firstLine="426"/>
        <w:jc w:val="both"/>
      </w:pPr>
      <w:r w:rsidRPr="002246AD">
        <w:t xml:space="preserve">-должности, не отнесенные к должностям государственной гражданской службы – </w:t>
      </w:r>
      <w:r>
        <w:t>65 ед.</w:t>
      </w:r>
    </w:p>
    <w:p w:rsidR="007F15F4" w:rsidRPr="000D1DA3" w:rsidRDefault="007F15F4" w:rsidP="007D6DA8">
      <w:pPr>
        <w:tabs>
          <w:tab w:val="left" w:pos="709"/>
        </w:tabs>
        <w:ind w:firstLine="709"/>
        <w:jc w:val="both"/>
      </w:pPr>
      <w:r w:rsidRPr="000D1DA3">
        <w:t>В течение 201</w:t>
      </w:r>
      <w:r w:rsidR="000D1DA3" w:rsidRPr="000D1DA3">
        <w:t>9</w:t>
      </w:r>
      <w:r w:rsidRPr="000D1DA3">
        <w:t xml:space="preserve"> года штатная численность Облкомюст</w:t>
      </w:r>
      <w:r w:rsidR="00DF5988" w:rsidRPr="000D1DA3">
        <w:t xml:space="preserve">иции сократилась на </w:t>
      </w:r>
      <w:r w:rsidR="000D1DA3" w:rsidRPr="000D1DA3">
        <w:t>210 единиц в связи с созданием ГКУ Дирекция и переводом работников, осуществляющих техническое обеспечение деятельности мировых судей.</w:t>
      </w:r>
    </w:p>
    <w:p w:rsidR="007D6DA8" w:rsidRPr="000D1DA3" w:rsidRDefault="007D6DA8" w:rsidP="007D6DA8">
      <w:pPr>
        <w:ind w:firstLine="709"/>
        <w:jc w:val="both"/>
        <w:rPr>
          <w:b/>
          <w:bCs/>
          <w:spacing w:val="-1"/>
        </w:rPr>
      </w:pPr>
    </w:p>
    <w:p w:rsidR="003B1CD3" w:rsidRPr="000F7BE3" w:rsidRDefault="003B1CD3" w:rsidP="003B1CD3">
      <w:pPr>
        <w:pStyle w:val="afb"/>
        <w:ind w:firstLine="709"/>
        <w:jc w:val="center"/>
        <w:rPr>
          <w:rFonts w:ascii="Times New Roman" w:hAnsi="Times New Roman" w:cs="Times New Roman"/>
          <w:b/>
          <w:i/>
        </w:rPr>
      </w:pPr>
      <w:r w:rsidRPr="000F7BE3">
        <w:rPr>
          <w:rFonts w:ascii="Times New Roman" w:hAnsi="Times New Roman" w:cs="Times New Roman"/>
          <w:b/>
          <w:i/>
        </w:rPr>
        <w:t xml:space="preserve">Анализ отчетности ГАБС по составу, содержанию, </w:t>
      </w:r>
    </w:p>
    <w:p w:rsidR="003B1CD3" w:rsidRPr="000F7BE3" w:rsidRDefault="003B1CD3" w:rsidP="003B1CD3">
      <w:pPr>
        <w:pStyle w:val="afb"/>
        <w:ind w:firstLine="709"/>
        <w:jc w:val="center"/>
        <w:rPr>
          <w:rFonts w:ascii="Times New Roman" w:hAnsi="Times New Roman" w:cs="Times New Roman"/>
          <w:b/>
          <w:i/>
        </w:rPr>
      </w:pPr>
      <w:r w:rsidRPr="000F7BE3">
        <w:rPr>
          <w:rFonts w:ascii="Times New Roman" w:hAnsi="Times New Roman" w:cs="Times New Roman"/>
          <w:b/>
          <w:i/>
        </w:rPr>
        <w:t>прозрачности и информативности показателей</w:t>
      </w:r>
    </w:p>
    <w:p w:rsidR="000F7BE3" w:rsidRPr="007119A2" w:rsidRDefault="000F7BE3" w:rsidP="000F7BE3">
      <w:pPr>
        <w:ind w:firstLine="720"/>
        <w:jc w:val="both"/>
      </w:pPr>
      <w:r>
        <w:t xml:space="preserve">Сводная бюджетная отчетность </w:t>
      </w:r>
      <w:r w:rsidRPr="003D40A1">
        <w:t xml:space="preserve">Облкомюстиции </w:t>
      </w:r>
      <w:r>
        <w:t>за 2019 год представлена к проверке в составе, определенном ст. 264.1 БК РФ и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 191н (далее Инструкция № 191н).</w:t>
      </w:r>
    </w:p>
    <w:p w:rsidR="000F7BE3" w:rsidRPr="00CE46A3" w:rsidRDefault="000F7BE3" w:rsidP="000F7BE3">
      <w:pPr>
        <w:ind w:firstLine="720"/>
        <w:jc w:val="both"/>
      </w:pPr>
      <w:r w:rsidRPr="0083433F">
        <w:t xml:space="preserve">По комплектности </w:t>
      </w:r>
      <w:r w:rsidR="00003410">
        <w:t xml:space="preserve">и достоверности </w:t>
      </w:r>
      <w:r w:rsidRPr="0083433F">
        <w:t xml:space="preserve">бюджетной отчетности </w:t>
      </w:r>
      <w:r w:rsidRPr="003D40A1">
        <w:t xml:space="preserve">Облкомюстиции </w:t>
      </w:r>
      <w:r w:rsidRPr="0083433F">
        <w:t>за 201</w:t>
      </w:r>
      <w:r>
        <w:t xml:space="preserve">9 </w:t>
      </w:r>
      <w:r w:rsidRPr="00CE46A3">
        <w:t>год нарушений не установлено.</w:t>
      </w:r>
    </w:p>
    <w:p w:rsidR="007A2CE2" w:rsidRPr="00CE46A3" w:rsidRDefault="007A2CE2" w:rsidP="0025054E">
      <w:pPr>
        <w:autoSpaceDE w:val="0"/>
        <w:autoSpaceDN w:val="0"/>
        <w:adjustRightInd w:val="0"/>
        <w:ind w:firstLine="360"/>
        <w:jc w:val="center"/>
        <w:rPr>
          <w:b/>
          <w:i/>
        </w:rPr>
      </w:pPr>
    </w:p>
    <w:p w:rsidR="0025054E" w:rsidRPr="00CE46A3" w:rsidRDefault="0025054E" w:rsidP="0025054E">
      <w:pPr>
        <w:autoSpaceDE w:val="0"/>
        <w:autoSpaceDN w:val="0"/>
        <w:adjustRightInd w:val="0"/>
        <w:ind w:firstLine="360"/>
        <w:jc w:val="center"/>
        <w:rPr>
          <w:b/>
          <w:bCs/>
          <w:i/>
          <w:u w:val="single"/>
        </w:rPr>
      </w:pPr>
      <w:r w:rsidRPr="00CE46A3">
        <w:rPr>
          <w:b/>
          <w:i/>
          <w:u w:val="single"/>
        </w:rPr>
        <w:t>Исполнение плановых назначений по закрепленным доходам</w:t>
      </w:r>
    </w:p>
    <w:p w:rsidR="005279E4" w:rsidRPr="001922B0" w:rsidRDefault="005279E4" w:rsidP="005279E4">
      <w:pPr>
        <w:pStyle w:val="1"/>
        <w:spacing w:before="0" w:after="0"/>
        <w:ind w:firstLine="720"/>
        <w:jc w:val="both"/>
        <w:rPr>
          <w:rFonts w:ascii="Times New Roman" w:eastAsia="Calibri" w:hAnsi="Times New Roman"/>
          <w:b w:val="0"/>
          <w:bCs w:val="0"/>
          <w:color w:val="auto"/>
          <w:sz w:val="24"/>
          <w:szCs w:val="24"/>
        </w:rPr>
      </w:pPr>
      <w:bookmarkStart w:id="0" w:name="OLE_LINK2"/>
      <w:r w:rsidRPr="001922B0">
        <w:rPr>
          <w:rFonts w:ascii="Times New Roman" w:eastAsia="Calibri" w:hAnsi="Times New Roman"/>
          <w:b w:val="0"/>
          <w:bCs w:val="0"/>
          <w:color w:val="auto"/>
          <w:sz w:val="24"/>
          <w:szCs w:val="24"/>
        </w:rPr>
        <w:t>Данные об администрируемых Облкомюстиции доходах и фактическом их поступлении за 2019 год отражены в таблице:</w:t>
      </w:r>
    </w:p>
    <w:p w:rsidR="005279E4" w:rsidRPr="001922B0" w:rsidRDefault="005279E4" w:rsidP="005279E4">
      <w:pPr>
        <w:autoSpaceDE w:val="0"/>
        <w:autoSpaceDN w:val="0"/>
        <w:adjustRightInd w:val="0"/>
        <w:ind w:right="-1" w:firstLine="720"/>
        <w:jc w:val="right"/>
        <w:rPr>
          <w:i/>
          <w:sz w:val="20"/>
          <w:szCs w:val="20"/>
        </w:rPr>
      </w:pPr>
      <w:r w:rsidRPr="001922B0">
        <w:rPr>
          <w:b/>
          <w:sz w:val="20"/>
          <w:szCs w:val="20"/>
        </w:rPr>
        <w:t xml:space="preserve">                           </w:t>
      </w:r>
      <w:r w:rsidRPr="001922B0">
        <w:rPr>
          <w:i/>
          <w:sz w:val="20"/>
          <w:szCs w:val="20"/>
        </w:rPr>
        <w:t>тыс. руб.</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4253"/>
        <w:gridCol w:w="1559"/>
        <w:gridCol w:w="1134"/>
        <w:gridCol w:w="1276"/>
        <w:gridCol w:w="1559"/>
      </w:tblGrid>
      <w:tr w:rsidR="005279E4" w:rsidRPr="001922B0" w:rsidTr="00CE46A3">
        <w:trPr>
          <w:trHeight w:val="20"/>
        </w:trPr>
        <w:tc>
          <w:tcPr>
            <w:tcW w:w="4253" w:type="dxa"/>
            <w:vMerge w:val="restart"/>
            <w:tcBorders>
              <w:top w:val="double" w:sz="4" w:space="0" w:color="auto"/>
              <w:left w:val="double" w:sz="4" w:space="0" w:color="auto"/>
            </w:tcBorders>
            <w:shd w:val="clear" w:color="auto" w:fill="auto"/>
            <w:noWrap/>
            <w:vAlign w:val="center"/>
            <w:hideMark/>
          </w:tcPr>
          <w:p w:rsidR="005279E4" w:rsidRPr="001922B0" w:rsidRDefault="005279E4" w:rsidP="00CE46A3">
            <w:pPr>
              <w:jc w:val="center"/>
              <w:rPr>
                <w:b/>
                <w:bCs/>
                <w:sz w:val="20"/>
                <w:szCs w:val="20"/>
              </w:rPr>
            </w:pPr>
            <w:r w:rsidRPr="001922B0">
              <w:rPr>
                <w:b/>
                <w:bCs/>
                <w:sz w:val="20"/>
                <w:szCs w:val="20"/>
              </w:rPr>
              <w:t>Наименование показателя</w:t>
            </w:r>
          </w:p>
        </w:tc>
        <w:tc>
          <w:tcPr>
            <w:tcW w:w="1559" w:type="dxa"/>
            <w:vMerge w:val="restart"/>
            <w:tcBorders>
              <w:top w:val="double" w:sz="4" w:space="0" w:color="auto"/>
            </w:tcBorders>
            <w:shd w:val="clear" w:color="auto" w:fill="auto"/>
            <w:vAlign w:val="center"/>
            <w:hideMark/>
          </w:tcPr>
          <w:p w:rsidR="005279E4" w:rsidRPr="001922B0" w:rsidRDefault="005279E4" w:rsidP="00CE46A3">
            <w:pPr>
              <w:ind w:left="-57" w:right="-57"/>
              <w:jc w:val="center"/>
              <w:rPr>
                <w:b/>
                <w:bCs/>
                <w:sz w:val="20"/>
                <w:szCs w:val="20"/>
              </w:rPr>
            </w:pPr>
            <w:r w:rsidRPr="001922B0">
              <w:rPr>
                <w:b/>
                <w:bCs/>
                <w:sz w:val="20"/>
                <w:szCs w:val="20"/>
              </w:rPr>
              <w:t>Утвержденные бюджетные назначения</w:t>
            </w:r>
          </w:p>
        </w:tc>
        <w:tc>
          <w:tcPr>
            <w:tcW w:w="1134" w:type="dxa"/>
            <w:vMerge w:val="restart"/>
            <w:tcBorders>
              <w:top w:val="double" w:sz="4" w:space="0" w:color="auto"/>
            </w:tcBorders>
            <w:shd w:val="clear" w:color="auto" w:fill="auto"/>
            <w:noWrap/>
            <w:vAlign w:val="center"/>
            <w:hideMark/>
          </w:tcPr>
          <w:p w:rsidR="005279E4" w:rsidRPr="001922B0" w:rsidRDefault="005279E4" w:rsidP="00CE46A3">
            <w:pPr>
              <w:ind w:left="-57" w:right="-57"/>
              <w:jc w:val="center"/>
              <w:rPr>
                <w:b/>
                <w:bCs/>
                <w:sz w:val="20"/>
                <w:szCs w:val="20"/>
              </w:rPr>
            </w:pPr>
            <w:r w:rsidRPr="001922B0">
              <w:rPr>
                <w:b/>
                <w:bCs/>
                <w:sz w:val="20"/>
                <w:szCs w:val="20"/>
              </w:rPr>
              <w:t>Исполнено</w:t>
            </w:r>
          </w:p>
        </w:tc>
        <w:tc>
          <w:tcPr>
            <w:tcW w:w="2835" w:type="dxa"/>
            <w:gridSpan w:val="2"/>
            <w:tcBorders>
              <w:top w:val="double" w:sz="4" w:space="0" w:color="auto"/>
              <w:right w:val="double" w:sz="4" w:space="0" w:color="auto"/>
            </w:tcBorders>
            <w:shd w:val="clear" w:color="auto" w:fill="auto"/>
            <w:vAlign w:val="center"/>
            <w:hideMark/>
          </w:tcPr>
          <w:p w:rsidR="005279E4" w:rsidRPr="001922B0" w:rsidRDefault="005279E4" w:rsidP="00CE46A3">
            <w:pPr>
              <w:jc w:val="center"/>
              <w:rPr>
                <w:b/>
                <w:bCs/>
                <w:sz w:val="20"/>
                <w:szCs w:val="20"/>
              </w:rPr>
            </w:pPr>
            <w:r w:rsidRPr="001922B0">
              <w:rPr>
                <w:b/>
                <w:bCs/>
                <w:sz w:val="20"/>
                <w:szCs w:val="20"/>
              </w:rPr>
              <w:t>К бюджетным назначениям</w:t>
            </w:r>
          </w:p>
        </w:tc>
      </w:tr>
      <w:tr w:rsidR="005279E4" w:rsidRPr="001922B0" w:rsidTr="00CE46A3">
        <w:trPr>
          <w:trHeight w:val="20"/>
        </w:trPr>
        <w:tc>
          <w:tcPr>
            <w:tcW w:w="4253" w:type="dxa"/>
            <w:vMerge/>
            <w:tcBorders>
              <w:left w:val="double" w:sz="4" w:space="0" w:color="auto"/>
              <w:bottom w:val="double" w:sz="4" w:space="0" w:color="auto"/>
            </w:tcBorders>
            <w:vAlign w:val="center"/>
            <w:hideMark/>
          </w:tcPr>
          <w:p w:rsidR="005279E4" w:rsidRPr="001922B0" w:rsidRDefault="005279E4" w:rsidP="00CE46A3">
            <w:pPr>
              <w:rPr>
                <w:b/>
                <w:bCs/>
                <w:sz w:val="20"/>
                <w:szCs w:val="20"/>
              </w:rPr>
            </w:pPr>
          </w:p>
        </w:tc>
        <w:tc>
          <w:tcPr>
            <w:tcW w:w="1559" w:type="dxa"/>
            <w:vMerge/>
            <w:tcBorders>
              <w:bottom w:val="double" w:sz="4" w:space="0" w:color="auto"/>
            </w:tcBorders>
            <w:vAlign w:val="center"/>
            <w:hideMark/>
          </w:tcPr>
          <w:p w:rsidR="005279E4" w:rsidRPr="001922B0" w:rsidRDefault="005279E4" w:rsidP="00CE46A3">
            <w:pPr>
              <w:rPr>
                <w:b/>
                <w:bCs/>
                <w:sz w:val="20"/>
                <w:szCs w:val="20"/>
              </w:rPr>
            </w:pPr>
          </w:p>
        </w:tc>
        <w:tc>
          <w:tcPr>
            <w:tcW w:w="1134" w:type="dxa"/>
            <w:vMerge/>
            <w:tcBorders>
              <w:bottom w:val="double" w:sz="4" w:space="0" w:color="auto"/>
            </w:tcBorders>
            <w:vAlign w:val="center"/>
            <w:hideMark/>
          </w:tcPr>
          <w:p w:rsidR="005279E4" w:rsidRPr="001922B0" w:rsidRDefault="005279E4" w:rsidP="00CE46A3">
            <w:pPr>
              <w:rPr>
                <w:b/>
                <w:bCs/>
                <w:sz w:val="20"/>
                <w:szCs w:val="20"/>
              </w:rPr>
            </w:pPr>
          </w:p>
        </w:tc>
        <w:tc>
          <w:tcPr>
            <w:tcW w:w="1276" w:type="dxa"/>
            <w:tcBorders>
              <w:bottom w:val="double" w:sz="4" w:space="0" w:color="auto"/>
            </w:tcBorders>
            <w:shd w:val="clear" w:color="auto" w:fill="auto"/>
            <w:vAlign w:val="center"/>
            <w:hideMark/>
          </w:tcPr>
          <w:p w:rsidR="005279E4" w:rsidRPr="001922B0" w:rsidRDefault="005279E4" w:rsidP="00CE46A3">
            <w:pPr>
              <w:ind w:left="-57" w:right="-57"/>
              <w:jc w:val="center"/>
              <w:rPr>
                <w:b/>
                <w:bCs/>
                <w:sz w:val="20"/>
                <w:szCs w:val="20"/>
              </w:rPr>
            </w:pPr>
            <w:r w:rsidRPr="001922B0">
              <w:rPr>
                <w:b/>
                <w:bCs/>
                <w:sz w:val="20"/>
                <w:szCs w:val="20"/>
              </w:rPr>
              <w:t>отклонение</w:t>
            </w:r>
          </w:p>
        </w:tc>
        <w:tc>
          <w:tcPr>
            <w:tcW w:w="1559" w:type="dxa"/>
            <w:tcBorders>
              <w:bottom w:val="double" w:sz="4" w:space="0" w:color="auto"/>
              <w:right w:val="double" w:sz="4" w:space="0" w:color="auto"/>
            </w:tcBorders>
            <w:shd w:val="clear" w:color="auto" w:fill="auto"/>
            <w:vAlign w:val="center"/>
            <w:hideMark/>
          </w:tcPr>
          <w:p w:rsidR="005279E4" w:rsidRPr="001922B0" w:rsidRDefault="005279E4" w:rsidP="00CE46A3">
            <w:pPr>
              <w:ind w:left="-57" w:right="-57"/>
              <w:jc w:val="center"/>
              <w:rPr>
                <w:b/>
                <w:bCs/>
                <w:sz w:val="20"/>
                <w:szCs w:val="20"/>
              </w:rPr>
            </w:pPr>
            <w:r w:rsidRPr="001922B0">
              <w:rPr>
                <w:b/>
                <w:bCs/>
                <w:sz w:val="20"/>
                <w:szCs w:val="20"/>
              </w:rPr>
              <w:t>% исполнения</w:t>
            </w:r>
          </w:p>
        </w:tc>
      </w:tr>
      <w:tr w:rsidR="005279E4" w:rsidRPr="001922B0" w:rsidTr="00CE46A3">
        <w:trPr>
          <w:trHeight w:val="20"/>
        </w:trPr>
        <w:tc>
          <w:tcPr>
            <w:tcW w:w="4253" w:type="dxa"/>
            <w:tcBorders>
              <w:top w:val="double" w:sz="4" w:space="0" w:color="auto"/>
              <w:left w:val="double" w:sz="4" w:space="0" w:color="auto"/>
              <w:bottom w:val="double" w:sz="4" w:space="0" w:color="auto"/>
            </w:tcBorders>
            <w:shd w:val="clear" w:color="auto" w:fill="auto"/>
            <w:vAlign w:val="center"/>
            <w:hideMark/>
          </w:tcPr>
          <w:p w:rsidR="005279E4" w:rsidRPr="001922B0" w:rsidRDefault="005279E4" w:rsidP="00CE46A3">
            <w:pPr>
              <w:rPr>
                <w:b/>
                <w:bCs/>
                <w:sz w:val="20"/>
                <w:szCs w:val="20"/>
              </w:rPr>
            </w:pPr>
            <w:r w:rsidRPr="001922B0">
              <w:rPr>
                <w:b/>
                <w:bCs/>
                <w:sz w:val="20"/>
                <w:szCs w:val="20"/>
              </w:rPr>
              <w:t>Доходы бюджета - всего</w:t>
            </w:r>
          </w:p>
        </w:tc>
        <w:tc>
          <w:tcPr>
            <w:tcW w:w="1559" w:type="dxa"/>
            <w:tcBorders>
              <w:top w:val="double" w:sz="4" w:space="0" w:color="auto"/>
              <w:bottom w:val="double" w:sz="4" w:space="0" w:color="auto"/>
            </w:tcBorders>
            <w:shd w:val="clear" w:color="auto" w:fill="auto"/>
            <w:noWrap/>
            <w:vAlign w:val="center"/>
            <w:hideMark/>
          </w:tcPr>
          <w:p w:rsidR="005279E4" w:rsidRPr="001922B0" w:rsidRDefault="005279E4" w:rsidP="00CE46A3">
            <w:pPr>
              <w:jc w:val="right"/>
              <w:rPr>
                <w:b/>
                <w:bCs/>
                <w:sz w:val="20"/>
                <w:szCs w:val="20"/>
              </w:rPr>
            </w:pPr>
            <w:r>
              <w:rPr>
                <w:b/>
                <w:bCs/>
                <w:sz w:val="20"/>
                <w:szCs w:val="20"/>
              </w:rPr>
              <w:t>531,4</w:t>
            </w:r>
          </w:p>
        </w:tc>
        <w:tc>
          <w:tcPr>
            <w:tcW w:w="1134" w:type="dxa"/>
            <w:tcBorders>
              <w:top w:val="double" w:sz="4" w:space="0" w:color="auto"/>
              <w:bottom w:val="double" w:sz="4" w:space="0" w:color="auto"/>
            </w:tcBorders>
            <w:shd w:val="clear" w:color="auto" w:fill="auto"/>
            <w:noWrap/>
            <w:vAlign w:val="center"/>
            <w:hideMark/>
          </w:tcPr>
          <w:p w:rsidR="005279E4" w:rsidRPr="00401672" w:rsidRDefault="005279E4" w:rsidP="00CE46A3">
            <w:pPr>
              <w:jc w:val="right"/>
              <w:rPr>
                <w:b/>
                <w:bCs/>
                <w:sz w:val="20"/>
                <w:szCs w:val="20"/>
                <w:lang w:val="en-US"/>
              </w:rPr>
            </w:pPr>
            <w:r>
              <w:rPr>
                <w:b/>
                <w:bCs/>
                <w:sz w:val="20"/>
                <w:szCs w:val="20"/>
              </w:rPr>
              <w:t>88</w:t>
            </w:r>
            <w:r>
              <w:rPr>
                <w:b/>
                <w:bCs/>
                <w:sz w:val="20"/>
                <w:szCs w:val="20"/>
                <w:lang w:val="en-US"/>
              </w:rPr>
              <w:t>0</w:t>
            </w:r>
            <w:r>
              <w:rPr>
                <w:b/>
                <w:bCs/>
                <w:sz w:val="20"/>
                <w:szCs w:val="20"/>
              </w:rPr>
              <w:t>,</w:t>
            </w:r>
            <w:r>
              <w:rPr>
                <w:b/>
                <w:bCs/>
                <w:sz w:val="20"/>
                <w:szCs w:val="20"/>
                <w:lang w:val="en-US"/>
              </w:rPr>
              <w:t>9</w:t>
            </w:r>
          </w:p>
        </w:tc>
        <w:tc>
          <w:tcPr>
            <w:tcW w:w="1276" w:type="dxa"/>
            <w:tcBorders>
              <w:top w:val="double" w:sz="4" w:space="0" w:color="auto"/>
              <w:bottom w:val="double" w:sz="4" w:space="0" w:color="auto"/>
            </w:tcBorders>
            <w:shd w:val="clear" w:color="auto" w:fill="auto"/>
            <w:noWrap/>
            <w:vAlign w:val="center"/>
            <w:hideMark/>
          </w:tcPr>
          <w:p w:rsidR="005279E4" w:rsidRPr="00401672" w:rsidRDefault="005279E4" w:rsidP="00CE46A3">
            <w:pPr>
              <w:jc w:val="right"/>
              <w:rPr>
                <w:b/>
                <w:bCs/>
                <w:sz w:val="20"/>
                <w:szCs w:val="20"/>
                <w:lang w:val="en-US"/>
              </w:rPr>
            </w:pPr>
            <w:r w:rsidRPr="0088153F">
              <w:rPr>
                <w:b/>
                <w:bCs/>
                <w:sz w:val="20"/>
                <w:szCs w:val="20"/>
              </w:rPr>
              <w:t>349,</w:t>
            </w:r>
            <w:r>
              <w:rPr>
                <w:b/>
                <w:bCs/>
                <w:sz w:val="20"/>
                <w:szCs w:val="20"/>
                <w:lang w:val="en-US"/>
              </w:rPr>
              <w:t>5</w:t>
            </w:r>
          </w:p>
        </w:tc>
        <w:tc>
          <w:tcPr>
            <w:tcW w:w="1559" w:type="dxa"/>
            <w:tcBorders>
              <w:top w:val="double" w:sz="4" w:space="0" w:color="auto"/>
              <w:bottom w:val="double" w:sz="4" w:space="0" w:color="auto"/>
              <w:right w:val="double" w:sz="4" w:space="0" w:color="auto"/>
            </w:tcBorders>
            <w:shd w:val="clear" w:color="auto" w:fill="auto"/>
            <w:noWrap/>
            <w:vAlign w:val="center"/>
            <w:hideMark/>
          </w:tcPr>
          <w:p w:rsidR="005279E4" w:rsidRPr="00906E25" w:rsidRDefault="005279E4" w:rsidP="00CE46A3">
            <w:pPr>
              <w:jc w:val="right"/>
              <w:rPr>
                <w:b/>
                <w:bCs/>
                <w:sz w:val="20"/>
                <w:szCs w:val="20"/>
              </w:rPr>
            </w:pPr>
            <w:r w:rsidRPr="00906E25">
              <w:rPr>
                <w:b/>
                <w:bCs/>
                <w:sz w:val="20"/>
                <w:szCs w:val="20"/>
              </w:rPr>
              <w:t>65,8%</w:t>
            </w:r>
          </w:p>
        </w:tc>
      </w:tr>
      <w:tr w:rsidR="005279E4" w:rsidRPr="001922B0" w:rsidTr="00CE46A3">
        <w:trPr>
          <w:trHeight w:val="20"/>
        </w:trPr>
        <w:tc>
          <w:tcPr>
            <w:tcW w:w="4253" w:type="dxa"/>
            <w:tcBorders>
              <w:top w:val="double" w:sz="4" w:space="0" w:color="auto"/>
              <w:left w:val="double" w:sz="4" w:space="0" w:color="auto"/>
            </w:tcBorders>
            <w:shd w:val="clear" w:color="auto" w:fill="auto"/>
            <w:vAlign w:val="center"/>
            <w:hideMark/>
          </w:tcPr>
          <w:p w:rsidR="005279E4" w:rsidRPr="001922B0" w:rsidRDefault="005279E4" w:rsidP="00CE46A3">
            <w:pPr>
              <w:rPr>
                <w:i/>
                <w:iCs/>
                <w:sz w:val="20"/>
                <w:szCs w:val="20"/>
              </w:rPr>
            </w:pPr>
            <w:r w:rsidRPr="001922B0">
              <w:rPr>
                <w:i/>
                <w:iCs/>
                <w:sz w:val="20"/>
                <w:szCs w:val="20"/>
              </w:rPr>
              <w:t xml:space="preserve">   в том числе:</w:t>
            </w:r>
          </w:p>
        </w:tc>
        <w:tc>
          <w:tcPr>
            <w:tcW w:w="1559" w:type="dxa"/>
            <w:tcBorders>
              <w:top w:val="double" w:sz="4" w:space="0" w:color="auto"/>
            </w:tcBorders>
            <w:shd w:val="clear" w:color="auto" w:fill="auto"/>
            <w:noWrap/>
            <w:vAlign w:val="center"/>
            <w:hideMark/>
          </w:tcPr>
          <w:p w:rsidR="005279E4" w:rsidRPr="001922B0" w:rsidRDefault="005279E4" w:rsidP="00CE46A3">
            <w:pPr>
              <w:jc w:val="right"/>
              <w:rPr>
                <w:sz w:val="20"/>
                <w:szCs w:val="20"/>
              </w:rPr>
            </w:pPr>
          </w:p>
        </w:tc>
        <w:tc>
          <w:tcPr>
            <w:tcW w:w="1134" w:type="dxa"/>
            <w:tcBorders>
              <w:top w:val="double" w:sz="4" w:space="0" w:color="auto"/>
            </w:tcBorders>
            <w:shd w:val="clear" w:color="auto" w:fill="auto"/>
            <w:noWrap/>
            <w:vAlign w:val="center"/>
            <w:hideMark/>
          </w:tcPr>
          <w:p w:rsidR="005279E4" w:rsidRPr="001922B0" w:rsidRDefault="005279E4" w:rsidP="00CE46A3">
            <w:pPr>
              <w:jc w:val="right"/>
              <w:rPr>
                <w:sz w:val="20"/>
                <w:szCs w:val="20"/>
              </w:rPr>
            </w:pPr>
          </w:p>
        </w:tc>
        <w:tc>
          <w:tcPr>
            <w:tcW w:w="1276" w:type="dxa"/>
            <w:tcBorders>
              <w:top w:val="double" w:sz="4" w:space="0" w:color="auto"/>
            </w:tcBorders>
            <w:shd w:val="clear" w:color="auto" w:fill="auto"/>
            <w:noWrap/>
            <w:vAlign w:val="center"/>
            <w:hideMark/>
          </w:tcPr>
          <w:p w:rsidR="005279E4" w:rsidRPr="0088153F" w:rsidRDefault="005279E4" w:rsidP="00CE46A3">
            <w:pPr>
              <w:jc w:val="right"/>
              <w:rPr>
                <w:b/>
                <w:bCs/>
                <w:sz w:val="20"/>
                <w:szCs w:val="20"/>
              </w:rPr>
            </w:pPr>
          </w:p>
        </w:tc>
        <w:tc>
          <w:tcPr>
            <w:tcW w:w="1559" w:type="dxa"/>
            <w:tcBorders>
              <w:top w:val="double" w:sz="4" w:space="0" w:color="auto"/>
              <w:right w:val="double" w:sz="4" w:space="0" w:color="auto"/>
            </w:tcBorders>
            <w:shd w:val="clear" w:color="auto" w:fill="auto"/>
            <w:noWrap/>
            <w:vAlign w:val="center"/>
            <w:hideMark/>
          </w:tcPr>
          <w:p w:rsidR="005279E4" w:rsidRDefault="005279E4" w:rsidP="00CE46A3">
            <w:pPr>
              <w:jc w:val="right"/>
              <w:rPr>
                <w:rFonts w:ascii="Arial" w:hAnsi="Arial" w:cs="Arial"/>
                <w:color w:val="000000"/>
                <w:sz w:val="20"/>
                <w:szCs w:val="20"/>
              </w:rPr>
            </w:pPr>
          </w:p>
        </w:tc>
      </w:tr>
      <w:tr w:rsidR="005279E4" w:rsidRPr="001922B0" w:rsidTr="00CE46A3">
        <w:trPr>
          <w:trHeight w:val="20"/>
        </w:trPr>
        <w:tc>
          <w:tcPr>
            <w:tcW w:w="4253" w:type="dxa"/>
            <w:tcBorders>
              <w:left w:val="double" w:sz="4" w:space="0" w:color="auto"/>
            </w:tcBorders>
            <w:shd w:val="clear" w:color="auto" w:fill="auto"/>
            <w:vAlign w:val="center"/>
            <w:hideMark/>
          </w:tcPr>
          <w:p w:rsidR="005279E4" w:rsidRPr="001922B0" w:rsidRDefault="005279E4" w:rsidP="00CE46A3">
            <w:pPr>
              <w:rPr>
                <w:b/>
                <w:bCs/>
                <w:i/>
                <w:iCs/>
                <w:sz w:val="20"/>
                <w:szCs w:val="20"/>
              </w:rPr>
            </w:pPr>
            <w:r w:rsidRPr="001922B0">
              <w:rPr>
                <w:b/>
                <w:bCs/>
                <w:i/>
                <w:iCs/>
                <w:sz w:val="20"/>
                <w:szCs w:val="20"/>
              </w:rPr>
              <w:t xml:space="preserve">Налоговые и неналоговые доходы </w:t>
            </w:r>
          </w:p>
        </w:tc>
        <w:tc>
          <w:tcPr>
            <w:tcW w:w="1559" w:type="dxa"/>
            <w:shd w:val="clear" w:color="auto" w:fill="auto"/>
            <w:noWrap/>
            <w:vAlign w:val="center"/>
            <w:hideMark/>
          </w:tcPr>
          <w:p w:rsidR="005279E4" w:rsidRPr="006B7C60" w:rsidRDefault="005279E4" w:rsidP="00CE46A3">
            <w:pPr>
              <w:jc w:val="right"/>
              <w:rPr>
                <w:b/>
                <w:bCs/>
                <w:i/>
                <w:iCs/>
                <w:sz w:val="20"/>
                <w:szCs w:val="20"/>
                <w:lang w:val="en-US"/>
              </w:rPr>
            </w:pPr>
            <w:r>
              <w:rPr>
                <w:b/>
                <w:bCs/>
                <w:i/>
                <w:iCs/>
                <w:sz w:val="20"/>
                <w:szCs w:val="20"/>
                <w:lang w:val="en-US"/>
              </w:rPr>
              <w:t>459</w:t>
            </w:r>
            <w:r>
              <w:rPr>
                <w:b/>
                <w:bCs/>
                <w:i/>
                <w:iCs/>
                <w:sz w:val="20"/>
                <w:szCs w:val="20"/>
              </w:rPr>
              <w:t>,</w:t>
            </w:r>
            <w:r>
              <w:rPr>
                <w:b/>
                <w:bCs/>
                <w:i/>
                <w:iCs/>
                <w:sz w:val="20"/>
                <w:szCs w:val="20"/>
                <w:lang w:val="en-US"/>
              </w:rPr>
              <w:t>4</w:t>
            </w:r>
          </w:p>
        </w:tc>
        <w:tc>
          <w:tcPr>
            <w:tcW w:w="1134" w:type="dxa"/>
            <w:shd w:val="clear" w:color="auto" w:fill="auto"/>
            <w:noWrap/>
            <w:vAlign w:val="center"/>
            <w:hideMark/>
          </w:tcPr>
          <w:p w:rsidR="005279E4" w:rsidRPr="00401672" w:rsidRDefault="005279E4" w:rsidP="00CE46A3">
            <w:pPr>
              <w:jc w:val="right"/>
              <w:rPr>
                <w:b/>
                <w:bCs/>
                <w:i/>
                <w:iCs/>
                <w:sz w:val="20"/>
                <w:szCs w:val="20"/>
                <w:lang w:val="en-US"/>
              </w:rPr>
            </w:pPr>
            <w:r>
              <w:rPr>
                <w:b/>
                <w:bCs/>
                <w:i/>
                <w:iCs/>
                <w:sz w:val="20"/>
                <w:szCs w:val="20"/>
              </w:rPr>
              <w:t>944,</w:t>
            </w:r>
            <w:r>
              <w:rPr>
                <w:b/>
                <w:bCs/>
                <w:i/>
                <w:iCs/>
                <w:sz w:val="20"/>
                <w:szCs w:val="20"/>
                <w:lang w:val="en-US"/>
              </w:rPr>
              <w:t>2</w:t>
            </w:r>
          </w:p>
        </w:tc>
        <w:tc>
          <w:tcPr>
            <w:tcW w:w="1276" w:type="dxa"/>
            <w:shd w:val="clear" w:color="auto" w:fill="auto"/>
            <w:noWrap/>
            <w:vAlign w:val="center"/>
            <w:hideMark/>
          </w:tcPr>
          <w:p w:rsidR="005279E4" w:rsidRPr="00401672" w:rsidRDefault="005279E4" w:rsidP="00CE46A3">
            <w:pPr>
              <w:jc w:val="right"/>
              <w:rPr>
                <w:b/>
                <w:bCs/>
                <w:i/>
                <w:iCs/>
                <w:sz w:val="20"/>
                <w:szCs w:val="20"/>
                <w:lang w:val="en-US"/>
              </w:rPr>
            </w:pPr>
            <w:r w:rsidRPr="0088153F">
              <w:rPr>
                <w:b/>
                <w:bCs/>
                <w:i/>
                <w:iCs/>
                <w:sz w:val="20"/>
                <w:szCs w:val="20"/>
              </w:rPr>
              <w:t>484,</w:t>
            </w:r>
            <w:r>
              <w:rPr>
                <w:b/>
                <w:bCs/>
                <w:i/>
                <w:iCs/>
                <w:sz w:val="20"/>
                <w:szCs w:val="20"/>
                <w:lang w:val="en-US"/>
              </w:rPr>
              <w:t>8</w:t>
            </w:r>
          </w:p>
        </w:tc>
        <w:tc>
          <w:tcPr>
            <w:tcW w:w="1559" w:type="dxa"/>
            <w:tcBorders>
              <w:right w:val="double" w:sz="4" w:space="0" w:color="auto"/>
            </w:tcBorders>
            <w:shd w:val="clear" w:color="auto" w:fill="auto"/>
            <w:noWrap/>
            <w:vAlign w:val="center"/>
            <w:hideMark/>
          </w:tcPr>
          <w:p w:rsidR="005279E4" w:rsidRPr="00906E25" w:rsidRDefault="005279E4" w:rsidP="00CE46A3">
            <w:pPr>
              <w:jc w:val="right"/>
              <w:rPr>
                <w:b/>
                <w:bCs/>
                <w:i/>
                <w:iCs/>
                <w:sz w:val="20"/>
                <w:szCs w:val="20"/>
              </w:rPr>
            </w:pPr>
            <w:r w:rsidRPr="00906E25">
              <w:rPr>
                <w:b/>
                <w:bCs/>
                <w:i/>
                <w:iCs/>
                <w:sz w:val="20"/>
                <w:szCs w:val="20"/>
              </w:rPr>
              <w:t>в 2 раза</w:t>
            </w:r>
          </w:p>
        </w:tc>
      </w:tr>
      <w:tr w:rsidR="005279E4" w:rsidRPr="001922B0" w:rsidTr="00CE46A3">
        <w:trPr>
          <w:trHeight w:val="20"/>
        </w:trPr>
        <w:tc>
          <w:tcPr>
            <w:tcW w:w="4253" w:type="dxa"/>
            <w:tcBorders>
              <w:left w:val="double" w:sz="4" w:space="0" w:color="auto"/>
            </w:tcBorders>
            <w:shd w:val="clear" w:color="auto" w:fill="auto"/>
            <w:vAlign w:val="center"/>
            <w:hideMark/>
          </w:tcPr>
          <w:p w:rsidR="005279E4" w:rsidRPr="001922B0" w:rsidRDefault="005279E4" w:rsidP="00CE46A3">
            <w:pPr>
              <w:rPr>
                <w:sz w:val="20"/>
                <w:szCs w:val="20"/>
              </w:rPr>
            </w:pPr>
            <w:r w:rsidRPr="001922B0">
              <w:rPr>
                <w:sz w:val="20"/>
                <w:szCs w:val="20"/>
              </w:rPr>
              <w:t xml:space="preserve">Доходы, поступающие в порядке возмещения расходов, понесенных в связи с эксплуатацией  имущества субъектов Российской Федерации </w:t>
            </w:r>
          </w:p>
        </w:tc>
        <w:tc>
          <w:tcPr>
            <w:tcW w:w="1559" w:type="dxa"/>
            <w:shd w:val="clear" w:color="auto" w:fill="auto"/>
            <w:noWrap/>
            <w:vAlign w:val="center"/>
            <w:hideMark/>
          </w:tcPr>
          <w:p w:rsidR="005279E4" w:rsidRPr="001922B0" w:rsidRDefault="005279E4" w:rsidP="00CE46A3">
            <w:pPr>
              <w:jc w:val="right"/>
              <w:rPr>
                <w:sz w:val="20"/>
                <w:szCs w:val="20"/>
              </w:rPr>
            </w:pPr>
            <w:r>
              <w:rPr>
                <w:sz w:val="20"/>
                <w:szCs w:val="20"/>
              </w:rPr>
              <w:t>387,7</w:t>
            </w:r>
          </w:p>
        </w:tc>
        <w:tc>
          <w:tcPr>
            <w:tcW w:w="1134" w:type="dxa"/>
            <w:shd w:val="clear" w:color="auto" w:fill="auto"/>
            <w:noWrap/>
            <w:vAlign w:val="center"/>
            <w:hideMark/>
          </w:tcPr>
          <w:p w:rsidR="005279E4" w:rsidRPr="00401672" w:rsidRDefault="005279E4" w:rsidP="00CE46A3">
            <w:pPr>
              <w:jc w:val="right"/>
              <w:rPr>
                <w:sz w:val="20"/>
                <w:szCs w:val="20"/>
                <w:lang w:val="en-US"/>
              </w:rPr>
            </w:pPr>
            <w:r>
              <w:rPr>
                <w:sz w:val="20"/>
                <w:szCs w:val="20"/>
              </w:rPr>
              <w:t>682,</w:t>
            </w:r>
            <w:r>
              <w:rPr>
                <w:sz w:val="20"/>
                <w:szCs w:val="20"/>
                <w:lang w:val="en-US"/>
              </w:rPr>
              <w:t>6</w:t>
            </w:r>
          </w:p>
        </w:tc>
        <w:tc>
          <w:tcPr>
            <w:tcW w:w="1276" w:type="dxa"/>
            <w:shd w:val="clear" w:color="auto" w:fill="auto"/>
            <w:noWrap/>
            <w:vAlign w:val="center"/>
            <w:hideMark/>
          </w:tcPr>
          <w:p w:rsidR="005279E4" w:rsidRPr="00401672" w:rsidRDefault="005279E4" w:rsidP="00CE46A3">
            <w:pPr>
              <w:jc w:val="right"/>
              <w:rPr>
                <w:sz w:val="20"/>
                <w:szCs w:val="20"/>
                <w:lang w:val="en-US"/>
              </w:rPr>
            </w:pPr>
            <w:r w:rsidRPr="0088153F">
              <w:rPr>
                <w:sz w:val="20"/>
                <w:szCs w:val="20"/>
              </w:rPr>
              <w:t>294,</w:t>
            </w:r>
            <w:r>
              <w:rPr>
                <w:sz w:val="20"/>
                <w:szCs w:val="20"/>
                <w:lang w:val="en-US"/>
              </w:rPr>
              <w:t>9</w:t>
            </w:r>
          </w:p>
        </w:tc>
        <w:tc>
          <w:tcPr>
            <w:tcW w:w="1559" w:type="dxa"/>
            <w:tcBorders>
              <w:right w:val="double" w:sz="4" w:space="0" w:color="auto"/>
            </w:tcBorders>
            <w:shd w:val="clear" w:color="auto" w:fill="auto"/>
            <w:noWrap/>
            <w:vAlign w:val="center"/>
            <w:hideMark/>
          </w:tcPr>
          <w:p w:rsidR="005279E4" w:rsidRPr="00906E25" w:rsidRDefault="005279E4" w:rsidP="00CE46A3">
            <w:pPr>
              <w:jc w:val="right"/>
              <w:rPr>
                <w:sz w:val="20"/>
                <w:szCs w:val="20"/>
              </w:rPr>
            </w:pPr>
            <w:r w:rsidRPr="00906E25">
              <w:rPr>
                <w:sz w:val="20"/>
                <w:szCs w:val="20"/>
              </w:rPr>
              <w:t>76,0%</w:t>
            </w:r>
          </w:p>
        </w:tc>
      </w:tr>
      <w:tr w:rsidR="005279E4" w:rsidRPr="001922B0" w:rsidTr="00CE46A3">
        <w:trPr>
          <w:trHeight w:val="20"/>
        </w:trPr>
        <w:tc>
          <w:tcPr>
            <w:tcW w:w="4253" w:type="dxa"/>
            <w:tcBorders>
              <w:left w:val="double" w:sz="4" w:space="0" w:color="auto"/>
            </w:tcBorders>
            <w:shd w:val="clear" w:color="auto" w:fill="auto"/>
            <w:vAlign w:val="center"/>
            <w:hideMark/>
          </w:tcPr>
          <w:p w:rsidR="005279E4" w:rsidRPr="001922B0" w:rsidRDefault="005279E4" w:rsidP="00CE46A3">
            <w:pPr>
              <w:rPr>
                <w:sz w:val="20"/>
                <w:szCs w:val="20"/>
              </w:rPr>
            </w:pPr>
            <w:r w:rsidRPr="001922B0">
              <w:rPr>
                <w:sz w:val="20"/>
                <w:szCs w:val="20"/>
              </w:rPr>
              <w:t>Прочие доходы от компенсации затрат  бюджетов субъектов Российской Федерации</w:t>
            </w:r>
          </w:p>
        </w:tc>
        <w:tc>
          <w:tcPr>
            <w:tcW w:w="1559" w:type="dxa"/>
            <w:shd w:val="clear" w:color="auto" w:fill="auto"/>
            <w:noWrap/>
            <w:vAlign w:val="center"/>
            <w:hideMark/>
          </w:tcPr>
          <w:p w:rsidR="005279E4" w:rsidRPr="001922B0" w:rsidRDefault="005279E4" w:rsidP="00CE46A3">
            <w:pPr>
              <w:jc w:val="right"/>
              <w:rPr>
                <w:sz w:val="20"/>
                <w:szCs w:val="20"/>
              </w:rPr>
            </w:pPr>
            <w:r>
              <w:rPr>
                <w:sz w:val="20"/>
                <w:szCs w:val="20"/>
              </w:rPr>
              <w:t>30,9</w:t>
            </w:r>
          </w:p>
        </w:tc>
        <w:tc>
          <w:tcPr>
            <w:tcW w:w="1134" w:type="dxa"/>
            <w:shd w:val="clear" w:color="auto" w:fill="auto"/>
            <w:noWrap/>
            <w:vAlign w:val="center"/>
            <w:hideMark/>
          </w:tcPr>
          <w:p w:rsidR="005279E4" w:rsidRPr="001922B0" w:rsidRDefault="005279E4" w:rsidP="00CE46A3">
            <w:pPr>
              <w:jc w:val="right"/>
              <w:rPr>
                <w:sz w:val="20"/>
                <w:szCs w:val="20"/>
              </w:rPr>
            </w:pPr>
            <w:r>
              <w:rPr>
                <w:sz w:val="20"/>
                <w:szCs w:val="20"/>
              </w:rPr>
              <w:t>13,4</w:t>
            </w:r>
          </w:p>
        </w:tc>
        <w:tc>
          <w:tcPr>
            <w:tcW w:w="1276" w:type="dxa"/>
            <w:shd w:val="clear" w:color="auto" w:fill="auto"/>
            <w:noWrap/>
            <w:vAlign w:val="center"/>
            <w:hideMark/>
          </w:tcPr>
          <w:p w:rsidR="005279E4" w:rsidRPr="0088153F" w:rsidRDefault="005279E4" w:rsidP="00CE46A3">
            <w:pPr>
              <w:jc w:val="right"/>
              <w:rPr>
                <w:sz w:val="20"/>
                <w:szCs w:val="20"/>
              </w:rPr>
            </w:pPr>
            <w:r w:rsidRPr="0088153F">
              <w:rPr>
                <w:sz w:val="20"/>
                <w:szCs w:val="20"/>
              </w:rPr>
              <w:t>-17,5</w:t>
            </w:r>
          </w:p>
        </w:tc>
        <w:tc>
          <w:tcPr>
            <w:tcW w:w="1559" w:type="dxa"/>
            <w:tcBorders>
              <w:right w:val="double" w:sz="4" w:space="0" w:color="auto"/>
            </w:tcBorders>
            <w:shd w:val="clear" w:color="auto" w:fill="auto"/>
            <w:noWrap/>
            <w:vAlign w:val="center"/>
            <w:hideMark/>
          </w:tcPr>
          <w:p w:rsidR="005279E4" w:rsidRPr="00906E25" w:rsidRDefault="005279E4" w:rsidP="00CE46A3">
            <w:pPr>
              <w:jc w:val="right"/>
              <w:rPr>
                <w:sz w:val="20"/>
                <w:szCs w:val="20"/>
              </w:rPr>
            </w:pPr>
            <w:r w:rsidRPr="00906E25">
              <w:rPr>
                <w:sz w:val="20"/>
                <w:szCs w:val="20"/>
              </w:rPr>
              <w:t>-56,6%</w:t>
            </w:r>
          </w:p>
        </w:tc>
      </w:tr>
      <w:tr w:rsidR="005279E4" w:rsidRPr="001922B0" w:rsidTr="00CE46A3">
        <w:trPr>
          <w:trHeight w:val="20"/>
        </w:trPr>
        <w:tc>
          <w:tcPr>
            <w:tcW w:w="4253" w:type="dxa"/>
            <w:tcBorders>
              <w:left w:val="double" w:sz="4" w:space="0" w:color="auto"/>
            </w:tcBorders>
            <w:shd w:val="clear" w:color="auto" w:fill="auto"/>
            <w:vAlign w:val="center"/>
            <w:hideMark/>
          </w:tcPr>
          <w:p w:rsidR="005279E4" w:rsidRPr="001922B0" w:rsidRDefault="005279E4" w:rsidP="00CE46A3">
            <w:pPr>
              <w:rPr>
                <w:sz w:val="20"/>
                <w:szCs w:val="20"/>
              </w:rPr>
            </w:pPr>
            <w:r w:rsidRPr="006B7C60">
              <w:rPr>
                <w:sz w:val="20"/>
                <w:szCs w:val="20"/>
              </w:rPr>
              <w:t>Доходы от реализации имущества, находящегося в оп</w:t>
            </w:r>
            <w:r>
              <w:rPr>
                <w:sz w:val="20"/>
                <w:szCs w:val="20"/>
              </w:rPr>
              <w:t>еративном управлении учреждений</w:t>
            </w:r>
            <w:r w:rsidRPr="006B7C60">
              <w:rPr>
                <w:sz w:val="20"/>
                <w:szCs w:val="20"/>
              </w:rPr>
              <w:t xml:space="preserve"> в части реализации материальных запасов по указанному имуществу</w:t>
            </w:r>
          </w:p>
        </w:tc>
        <w:tc>
          <w:tcPr>
            <w:tcW w:w="1559" w:type="dxa"/>
            <w:shd w:val="clear" w:color="auto" w:fill="auto"/>
            <w:noWrap/>
            <w:vAlign w:val="center"/>
            <w:hideMark/>
          </w:tcPr>
          <w:p w:rsidR="005279E4" w:rsidRPr="001922B0" w:rsidRDefault="005279E4" w:rsidP="00CE46A3">
            <w:pPr>
              <w:jc w:val="right"/>
              <w:rPr>
                <w:sz w:val="20"/>
                <w:szCs w:val="20"/>
              </w:rPr>
            </w:pPr>
            <w:r>
              <w:rPr>
                <w:sz w:val="20"/>
                <w:szCs w:val="20"/>
              </w:rPr>
              <w:t>6,6</w:t>
            </w:r>
          </w:p>
        </w:tc>
        <w:tc>
          <w:tcPr>
            <w:tcW w:w="1134" w:type="dxa"/>
            <w:shd w:val="clear" w:color="auto" w:fill="auto"/>
            <w:noWrap/>
            <w:vAlign w:val="center"/>
            <w:hideMark/>
          </w:tcPr>
          <w:p w:rsidR="005279E4" w:rsidRPr="001922B0" w:rsidRDefault="005279E4" w:rsidP="00CE46A3">
            <w:pPr>
              <w:jc w:val="right"/>
              <w:rPr>
                <w:sz w:val="20"/>
                <w:szCs w:val="20"/>
              </w:rPr>
            </w:pPr>
            <w:r>
              <w:rPr>
                <w:sz w:val="20"/>
                <w:szCs w:val="20"/>
              </w:rPr>
              <w:t>35,6</w:t>
            </w:r>
          </w:p>
        </w:tc>
        <w:tc>
          <w:tcPr>
            <w:tcW w:w="1276" w:type="dxa"/>
            <w:shd w:val="clear" w:color="auto" w:fill="auto"/>
            <w:noWrap/>
            <w:vAlign w:val="center"/>
            <w:hideMark/>
          </w:tcPr>
          <w:p w:rsidR="005279E4" w:rsidRPr="0088153F" w:rsidRDefault="005279E4" w:rsidP="00CE46A3">
            <w:pPr>
              <w:jc w:val="right"/>
              <w:rPr>
                <w:sz w:val="20"/>
                <w:szCs w:val="20"/>
              </w:rPr>
            </w:pPr>
            <w:r w:rsidRPr="0088153F">
              <w:rPr>
                <w:sz w:val="20"/>
                <w:szCs w:val="20"/>
              </w:rPr>
              <w:t>29</w:t>
            </w:r>
            <w:r>
              <w:rPr>
                <w:sz w:val="20"/>
                <w:szCs w:val="20"/>
              </w:rPr>
              <w:t>,0</w:t>
            </w:r>
          </w:p>
        </w:tc>
        <w:tc>
          <w:tcPr>
            <w:tcW w:w="1559" w:type="dxa"/>
            <w:tcBorders>
              <w:right w:val="double" w:sz="4" w:space="0" w:color="auto"/>
            </w:tcBorders>
            <w:shd w:val="clear" w:color="auto" w:fill="auto"/>
            <w:noWrap/>
            <w:vAlign w:val="center"/>
            <w:hideMark/>
          </w:tcPr>
          <w:p w:rsidR="005279E4" w:rsidRPr="00906E25" w:rsidRDefault="005279E4" w:rsidP="00CE46A3">
            <w:pPr>
              <w:jc w:val="right"/>
              <w:rPr>
                <w:sz w:val="20"/>
                <w:szCs w:val="20"/>
              </w:rPr>
            </w:pPr>
            <w:r w:rsidRPr="00906E25">
              <w:rPr>
                <w:sz w:val="20"/>
                <w:szCs w:val="20"/>
              </w:rPr>
              <w:t>в 5,4 раза</w:t>
            </w:r>
          </w:p>
        </w:tc>
      </w:tr>
      <w:tr w:rsidR="005279E4" w:rsidRPr="001922B0" w:rsidTr="00CE46A3">
        <w:trPr>
          <w:trHeight w:val="20"/>
        </w:trPr>
        <w:tc>
          <w:tcPr>
            <w:tcW w:w="4253" w:type="dxa"/>
            <w:tcBorders>
              <w:left w:val="double" w:sz="4" w:space="0" w:color="auto"/>
            </w:tcBorders>
            <w:shd w:val="clear" w:color="auto" w:fill="auto"/>
            <w:vAlign w:val="center"/>
            <w:hideMark/>
          </w:tcPr>
          <w:p w:rsidR="005279E4" w:rsidRPr="001922B0" w:rsidRDefault="005279E4" w:rsidP="00CE46A3">
            <w:pPr>
              <w:rPr>
                <w:sz w:val="20"/>
                <w:szCs w:val="20"/>
              </w:rPr>
            </w:pPr>
            <w:r w:rsidRPr="001922B0">
              <w:rPr>
                <w:sz w:val="20"/>
                <w:szCs w:val="20"/>
              </w:rPr>
              <w:t>Прочие поступления от денежных взысканий (штрафов) и иных сумм в возмещение ущерба, зачисляемого в бюджеты субъектов РФ</w:t>
            </w:r>
          </w:p>
        </w:tc>
        <w:tc>
          <w:tcPr>
            <w:tcW w:w="1559" w:type="dxa"/>
            <w:shd w:val="clear" w:color="auto" w:fill="auto"/>
            <w:noWrap/>
            <w:vAlign w:val="center"/>
            <w:hideMark/>
          </w:tcPr>
          <w:p w:rsidR="005279E4" w:rsidRPr="001922B0" w:rsidRDefault="005279E4" w:rsidP="00CE46A3">
            <w:pPr>
              <w:jc w:val="right"/>
              <w:rPr>
                <w:sz w:val="20"/>
                <w:szCs w:val="20"/>
              </w:rPr>
            </w:pPr>
            <w:r>
              <w:rPr>
                <w:sz w:val="20"/>
                <w:szCs w:val="20"/>
              </w:rPr>
              <w:t>34,2</w:t>
            </w:r>
          </w:p>
        </w:tc>
        <w:tc>
          <w:tcPr>
            <w:tcW w:w="1134" w:type="dxa"/>
            <w:shd w:val="clear" w:color="auto" w:fill="auto"/>
            <w:noWrap/>
            <w:vAlign w:val="center"/>
            <w:hideMark/>
          </w:tcPr>
          <w:p w:rsidR="005279E4" w:rsidRPr="001922B0" w:rsidRDefault="005279E4" w:rsidP="00CE46A3">
            <w:pPr>
              <w:jc w:val="right"/>
              <w:rPr>
                <w:sz w:val="20"/>
                <w:szCs w:val="20"/>
              </w:rPr>
            </w:pPr>
            <w:r>
              <w:rPr>
                <w:sz w:val="20"/>
                <w:szCs w:val="20"/>
              </w:rPr>
              <w:t>212,6</w:t>
            </w:r>
          </w:p>
        </w:tc>
        <w:tc>
          <w:tcPr>
            <w:tcW w:w="1276" w:type="dxa"/>
            <w:shd w:val="clear" w:color="auto" w:fill="auto"/>
            <w:noWrap/>
            <w:vAlign w:val="center"/>
            <w:hideMark/>
          </w:tcPr>
          <w:p w:rsidR="005279E4" w:rsidRPr="0088153F" w:rsidRDefault="005279E4" w:rsidP="00CE46A3">
            <w:pPr>
              <w:jc w:val="right"/>
              <w:rPr>
                <w:sz w:val="20"/>
                <w:szCs w:val="20"/>
              </w:rPr>
            </w:pPr>
            <w:r w:rsidRPr="0088153F">
              <w:rPr>
                <w:sz w:val="20"/>
                <w:szCs w:val="20"/>
              </w:rPr>
              <w:t>17</w:t>
            </w:r>
            <w:r>
              <w:rPr>
                <w:sz w:val="20"/>
                <w:szCs w:val="20"/>
              </w:rPr>
              <w:t>8</w:t>
            </w:r>
            <w:r w:rsidRPr="0088153F">
              <w:rPr>
                <w:sz w:val="20"/>
                <w:szCs w:val="20"/>
              </w:rPr>
              <w:t>,4</w:t>
            </w:r>
          </w:p>
        </w:tc>
        <w:tc>
          <w:tcPr>
            <w:tcW w:w="1559" w:type="dxa"/>
            <w:tcBorders>
              <w:right w:val="double" w:sz="4" w:space="0" w:color="auto"/>
            </w:tcBorders>
            <w:shd w:val="clear" w:color="auto" w:fill="auto"/>
            <w:noWrap/>
            <w:vAlign w:val="center"/>
            <w:hideMark/>
          </w:tcPr>
          <w:p w:rsidR="005279E4" w:rsidRPr="00906E25" w:rsidRDefault="005279E4" w:rsidP="00CE46A3">
            <w:pPr>
              <w:jc w:val="right"/>
              <w:rPr>
                <w:sz w:val="20"/>
                <w:szCs w:val="20"/>
              </w:rPr>
            </w:pPr>
            <w:r w:rsidRPr="00906E25">
              <w:rPr>
                <w:sz w:val="20"/>
                <w:szCs w:val="20"/>
              </w:rPr>
              <w:t>в 6 раз</w:t>
            </w:r>
          </w:p>
        </w:tc>
      </w:tr>
      <w:tr w:rsidR="005279E4" w:rsidRPr="001922B0" w:rsidTr="00CE46A3">
        <w:trPr>
          <w:trHeight w:val="20"/>
        </w:trPr>
        <w:tc>
          <w:tcPr>
            <w:tcW w:w="4253" w:type="dxa"/>
            <w:tcBorders>
              <w:left w:val="double" w:sz="4" w:space="0" w:color="auto"/>
            </w:tcBorders>
            <w:shd w:val="clear" w:color="auto" w:fill="auto"/>
            <w:vAlign w:val="center"/>
            <w:hideMark/>
          </w:tcPr>
          <w:p w:rsidR="005279E4" w:rsidRPr="001922B0" w:rsidRDefault="005279E4" w:rsidP="00CE46A3">
            <w:pPr>
              <w:rPr>
                <w:b/>
                <w:bCs/>
                <w:i/>
                <w:iCs/>
                <w:sz w:val="20"/>
                <w:szCs w:val="20"/>
              </w:rPr>
            </w:pPr>
            <w:r w:rsidRPr="001922B0">
              <w:rPr>
                <w:b/>
                <w:bCs/>
                <w:i/>
                <w:iCs/>
                <w:sz w:val="20"/>
                <w:szCs w:val="20"/>
              </w:rPr>
              <w:t xml:space="preserve">Безвозмездные поступления </w:t>
            </w:r>
          </w:p>
        </w:tc>
        <w:tc>
          <w:tcPr>
            <w:tcW w:w="1559" w:type="dxa"/>
            <w:shd w:val="clear" w:color="auto" w:fill="auto"/>
            <w:noWrap/>
            <w:vAlign w:val="center"/>
            <w:hideMark/>
          </w:tcPr>
          <w:p w:rsidR="005279E4" w:rsidRPr="001922B0" w:rsidRDefault="005279E4" w:rsidP="00CE46A3">
            <w:pPr>
              <w:jc w:val="right"/>
              <w:rPr>
                <w:b/>
                <w:bCs/>
                <w:i/>
                <w:iCs/>
                <w:sz w:val="20"/>
                <w:szCs w:val="20"/>
              </w:rPr>
            </w:pPr>
            <w:r>
              <w:rPr>
                <w:b/>
                <w:bCs/>
                <w:i/>
                <w:iCs/>
                <w:sz w:val="20"/>
                <w:szCs w:val="20"/>
              </w:rPr>
              <w:t>72,0</w:t>
            </w:r>
          </w:p>
        </w:tc>
        <w:tc>
          <w:tcPr>
            <w:tcW w:w="1134" w:type="dxa"/>
            <w:shd w:val="clear" w:color="auto" w:fill="auto"/>
            <w:noWrap/>
            <w:vAlign w:val="center"/>
            <w:hideMark/>
          </w:tcPr>
          <w:p w:rsidR="005279E4" w:rsidRPr="001922B0" w:rsidRDefault="005279E4" w:rsidP="00CE46A3">
            <w:pPr>
              <w:jc w:val="right"/>
              <w:rPr>
                <w:b/>
                <w:bCs/>
                <w:i/>
                <w:iCs/>
                <w:sz w:val="20"/>
                <w:szCs w:val="20"/>
              </w:rPr>
            </w:pPr>
            <w:r>
              <w:rPr>
                <w:b/>
                <w:bCs/>
                <w:i/>
                <w:iCs/>
                <w:sz w:val="20"/>
                <w:szCs w:val="20"/>
              </w:rPr>
              <w:t>-63,3</w:t>
            </w:r>
          </w:p>
        </w:tc>
        <w:tc>
          <w:tcPr>
            <w:tcW w:w="1276" w:type="dxa"/>
            <w:shd w:val="clear" w:color="auto" w:fill="auto"/>
            <w:noWrap/>
            <w:vAlign w:val="center"/>
            <w:hideMark/>
          </w:tcPr>
          <w:p w:rsidR="005279E4" w:rsidRPr="0088153F" w:rsidRDefault="005279E4" w:rsidP="00CE46A3">
            <w:pPr>
              <w:jc w:val="right"/>
              <w:rPr>
                <w:b/>
                <w:bCs/>
                <w:i/>
                <w:iCs/>
                <w:sz w:val="20"/>
                <w:szCs w:val="20"/>
              </w:rPr>
            </w:pPr>
            <w:r w:rsidRPr="0088153F">
              <w:rPr>
                <w:b/>
                <w:bCs/>
                <w:i/>
                <w:iCs/>
                <w:sz w:val="20"/>
                <w:szCs w:val="20"/>
              </w:rPr>
              <w:t>-135,3</w:t>
            </w:r>
          </w:p>
        </w:tc>
        <w:tc>
          <w:tcPr>
            <w:tcW w:w="1559" w:type="dxa"/>
            <w:tcBorders>
              <w:right w:val="double" w:sz="4" w:space="0" w:color="auto"/>
            </w:tcBorders>
            <w:shd w:val="clear" w:color="auto" w:fill="auto"/>
            <w:noWrap/>
            <w:vAlign w:val="center"/>
            <w:hideMark/>
          </w:tcPr>
          <w:p w:rsidR="005279E4" w:rsidRPr="00906E25" w:rsidRDefault="005279E4" w:rsidP="00CE46A3">
            <w:pPr>
              <w:jc w:val="right"/>
              <w:rPr>
                <w:b/>
                <w:bCs/>
                <w:i/>
                <w:iCs/>
                <w:sz w:val="20"/>
                <w:szCs w:val="20"/>
              </w:rPr>
            </w:pPr>
            <w:r w:rsidRPr="00906E25">
              <w:rPr>
                <w:b/>
                <w:bCs/>
                <w:i/>
                <w:iCs/>
                <w:sz w:val="20"/>
                <w:szCs w:val="20"/>
              </w:rPr>
              <w:t>-в 2 раза</w:t>
            </w:r>
          </w:p>
        </w:tc>
      </w:tr>
      <w:tr w:rsidR="005279E4" w:rsidRPr="001922B0" w:rsidTr="00CE46A3">
        <w:trPr>
          <w:trHeight w:val="20"/>
        </w:trPr>
        <w:tc>
          <w:tcPr>
            <w:tcW w:w="4253" w:type="dxa"/>
            <w:tcBorders>
              <w:left w:val="double" w:sz="4" w:space="0" w:color="auto"/>
            </w:tcBorders>
            <w:shd w:val="clear" w:color="auto" w:fill="auto"/>
            <w:vAlign w:val="center"/>
            <w:hideMark/>
          </w:tcPr>
          <w:p w:rsidR="005279E4" w:rsidRPr="001922B0" w:rsidRDefault="005279E4" w:rsidP="00CE46A3">
            <w:pPr>
              <w:rPr>
                <w:sz w:val="20"/>
                <w:szCs w:val="20"/>
              </w:rPr>
            </w:pPr>
            <w:r w:rsidRPr="001922B0">
              <w:rPr>
                <w:sz w:val="20"/>
                <w:szCs w:val="20"/>
              </w:rPr>
              <w:t>Субвенции бюджетам субъектов РФ на составление (изменение) списков кандидатов в присяжные заседатели федеральных судов общей юрисдикции в РФ</w:t>
            </w:r>
          </w:p>
        </w:tc>
        <w:tc>
          <w:tcPr>
            <w:tcW w:w="1559" w:type="dxa"/>
            <w:shd w:val="clear" w:color="auto" w:fill="auto"/>
            <w:noWrap/>
            <w:vAlign w:val="center"/>
            <w:hideMark/>
          </w:tcPr>
          <w:p w:rsidR="005279E4" w:rsidRPr="001922B0" w:rsidRDefault="005279E4" w:rsidP="00CE46A3">
            <w:pPr>
              <w:jc w:val="right"/>
              <w:rPr>
                <w:sz w:val="20"/>
                <w:szCs w:val="20"/>
              </w:rPr>
            </w:pPr>
            <w:r>
              <w:rPr>
                <w:sz w:val="20"/>
                <w:szCs w:val="20"/>
              </w:rPr>
              <w:t>72,0</w:t>
            </w:r>
          </w:p>
        </w:tc>
        <w:tc>
          <w:tcPr>
            <w:tcW w:w="1134" w:type="dxa"/>
            <w:shd w:val="clear" w:color="auto" w:fill="auto"/>
            <w:noWrap/>
            <w:vAlign w:val="center"/>
            <w:hideMark/>
          </w:tcPr>
          <w:p w:rsidR="005279E4" w:rsidRPr="001922B0" w:rsidRDefault="005279E4" w:rsidP="00CE46A3">
            <w:pPr>
              <w:jc w:val="right"/>
              <w:rPr>
                <w:sz w:val="20"/>
                <w:szCs w:val="20"/>
              </w:rPr>
            </w:pPr>
            <w:r>
              <w:rPr>
                <w:sz w:val="20"/>
                <w:szCs w:val="20"/>
              </w:rPr>
              <w:t>72,0</w:t>
            </w:r>
          </w:p>
        </w:tc>
        <w:tc>
          <w:tcPr>
            <w:tcW w:w="1276" w:type="dxa"/>
            <w:shd w:val="clear" w:color="auto" w:fill="auto"/>
            <w:noWrap/>
            <w:vAlign w:val="center"/>
            <w:hideMark/>
          </w:tcPr>
          <w:p w:rsidR="005279E4" w:rsidRPr="0088153F" w:rsidRDefault="005279E4" w:rsidP="00CE46A3">
            <w:pPr>
              <w:jc w:val="right"/>
              <w:rPr>
                <w:sz w:val="20"/>
                <w:szCs w:val="20"/>
              </w:rPr>
            </w:pPr>
            <w:r w:rsidRPr="0088153F">
              <w:rPr>
                <w:sz w:val="20"/>
                <w:szCs w:val="20"/>
              </w:rPr>
              <w:t>0</w:t>
            </w:r>
            <w:r>
              <w:rPr>
                <w:sz w:val="20"/>
                <w:szCs w:val="20"/>
              </w:rPr>
              <w:t>,0</w:t>
            </w:r>
          </w:p>
        </w:tc>
        <w:tc>
          <w:tcPr>
            <w:tcW w:w="1559" w:type="dxa"/>
            <w:tcBorders>
              <w:right w:val="double" w:sz="4" w:space="0" w:color="auto"/>
            </w:tcBorders>
            <w:shd w:val="clear" w:color="auto" w:fill="auto"/>
            <w:noWrap/>
            <w:vAlign w:val="center"/>
            <w:hideMark/>
          </w:tcPr>
          <w:p w:rsidR="005279E4" w:rsidRPr="00906E25" w:rsidRDefault="005279E4" w:rsidP="00CE46A3">
            <w:pPr>
              <w:jc w:val="right"/>
              <w:rPr>
                <w:sz w:val="20"/>
                <w:szCs w:val="20"/>
              </w:rPr>
            </w:pPr>
            <w:r w:rsidRPr="00906E25">
              <w:rPr>
                <w:sz w:val="20"/>
                <w:szCs w:val="20"/>
              </w:rPr>
              <w:t>100,0%</w:t>
            </w:r>
          </w:p>
        </w:tc>
      </w:tr>
      <w:tr w:rsidR="005279E4" w:rsidRPr="001922B0" w:rsidTr="00CE46A3">
        <w:trPr>
          <w:trHeight w:val="20"/>
        </w:trPr>
        <w:tc>
          <w:tcPr>
            <w:tcW w:w="4253" w:type="dxa"/>
            <w:tcBorders>
              <w:left w:val="double" w:sz="4" w:space="0" w:color="auto"/>
            </w:tcBorders>
            <w:shd w:val="clear" w:color="auto" w:fill="auto"/>
            <w:vAlign w:val="center"/>
            <w:hideMark/>
          </w:tcPr>
          <w:p w:rsidR="005279E4" w:rsidRPr="0088153F" w:rsidRDefault="005279E4" w:rsidP="00CE46A3">
            <w:pPr>
              <w:rPr>
                <w:sz w:val="20"/>
                <w:szCs w:val="20"/>
              </w:rPr>
            </w:pPr>
            <w:r w:rsidRPr="0088153F">
              <w:rPr>
                <w:sz w:val="20"/>
                <w:szCs w:val="20"/>
              </w:rPr>
              <w:t>Доходы бюджетов субъектов Российской Федерации от возврата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w:t>
            </w:r>
            <w:r>
              <w:rPr>
                <w:sz w:val="20"/>
                <w:szCs w:val="20"/>
              </w:rPr>
              <w:t xml:space="preserve"> в РФ</w:t>
            </w:r>
          </w:p>
        </w:tc>
        <w:tc>
          <w:tcPr>
            <w:tcW w:w="1559" w:type="dxa"/>
            <w:shd w:val="clear" w:color="auto" w:fill="auto"/>
            <w:noWrap/>
            <w:vAlign w:val="center"/>
            <w:hideMark/>
          </w:tcPr>
          <w:p w:rsidR="005279E4" w:rsidRPr="0088153F" w:rsidRDefault="005279E4" w:rsidP="00CE46A3">
            <w:pPr>
              <w:jc w:val="right"/>
              <w:rPr>
                <w:sz w:val="20"/>
                <w:szCs w:val="20"/>
              </w:rPr>
            </w:pPr>
            <w:r>
              <w:rPr>
                <w:sz w:val="20"/>
                <w:szCs w:val="20"/>
              </w:rPr>
              <w:t>---</w:t>
            </w:r>
          </w:p>
        </w:tc>
        <w:tc>
          <w:tcPr>
            <w:tcW w:w="1134" w:type="dxa"/>
            <w:shd w:val="clear" w:color="auto" w:fill="auto"/>
            <w:noWrap/>
            <w:vAlign w:val="center"/>
            <w:hideMark/>
          </w:tcPr>
          <w:p w:rsidR="005279E4" w:rsidRPr="0088153F" w:rsidRDefault="005279E4" w:rsidP="00CE46A3">
            <w:pPr>
              <w:jc w:val="right"/>
              <w:rPr>
                <w:sz w:val="20"/>
                <w:szCs w:val="20"/>
              </w:rPr>
            </w:pPr>
            <w:r>
              <w:rPr>
                <w:sz w:val="20"/>
                <w:szCs w:val="20"/>
              </w:rPr>
              <w:t>2100,0</w:t>
            </w:r>
          </w:p>
        </w:tc>
        <w:tc>
          <w:tcPr>
            <w:tcW w:w="1276" w:type="dxa"/>
            <w:shd w:val="clear" w:color="auto" w:fill="auto"/>
            <w:noWrap/>
            <w:vAlign w:val="center"/>
            <w:hideMark/>
          </w:tcPr>
          <w:p w:rsidR="005279E4" w:rsidRPr="0088153F" w:rsidRDefault="005279E4" w:rsidP="00CE46A3">
            <w:pPr>
              <w:jc w:val="right"/>
              <w:rPr>
                <w:sz w:val="20"/>
                <w:szCs w:val="20"/>
              </w:rPr>
            </w:pPr>
            <w:r>
              <w:rPr>
                <w:sz w:val="20"/>
                <w:szCs w:val="20"/>
              </w:rPr>
              <w:t>---</w:t>
            </w:r>
          </w:p>
        </w:tc>
        <w:tc>
          <w:tcPr>
            <w:tcW w:w="1559" w:type="dxa"/>
            <w:tcBorders>
              <w:right w:val="double" w:sz="4" w:space="0" w:color="auto"/>
            </w:tcBorders>
            <w:shd w:val="clear" w:color="auto" w:fill="auto"/>
            <w:noWrap/>
            <w:vAlign w:val="center"/>
            <w:hideMark/>
          </w:tcPr>
          <w:p w:rsidR="005279E4" w:rsidRPr="0088153F" w:rsidRDefault="005279E4" w:rsidP="00CE46A3">
            <w:pPr>
              <w:jc w:val="right"/>
              <w:rPr>
                <w:sz w:val="20"/>
                <w:szCs w:val="20"/>
              </w:rPr>
            </w:pPr>
            <w:r>
              <w:rPr>
                <w:sz w:val="20"/>
                <w:szCs w:val="20"/>
              </w:rPr>
              <w:t>---</w:t>
            </w:r>
          </w:p>
        </w:tc>
      </w:tr>
      <w:tr w:rsidR="005279E4" w:rsidRPr="001922B0" w:rsidTr="00CE46A3">
        <w:trPr>
          <w:trHeight w:val="20"/>
        </w:trPr>
        <w:tc>
          <w:tcPr>
            <w:tcW w:w="4253" w:type="dxa"/>
            <w:tcBorders>
              <w:left w:val="double" w:sz="4" w:space="0" w:color="auto"/>
              <w:bottom w:val="double" w:sz="4" w:space="0" w:color="auto"/>
            </w:tcBorders>
            <w:shd w:val="clear" w:color="auto" w:fill="auto"/>
            <w:vAlign w:val="center"/>
            <w:hideMark/>
          </w:tcPr>
          <w:p w:rsidR="005279E4" w:rsidRPr="001922B0" w:rsidRDefault="005279E4" w:rsidP="00CE46A3">
            <w:pPr>
              <w:rPr>
                <w:sz w:val="20"/>
                <w:szCs w:val="20"/>
              </w:rPr>
            </w:pPr>
            <w:r w:rsidRPr="0088153F">
              <w:rPr>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w:t>
            </w:r>
            <w:r>
              <w:rPr>
                <w:sz w:val="20"/>
                <w:szCs w:val="20"/>
              </w:rPr>
              <w:t xml:space="preserve"> в РФ</w:t>
            </w:r>
          </w:p>
        </w:tc>
        <w:tc>
          <w:tcPr>
            <w:tcW w:w="1559" w:type="dxa"/>
            <w:tcBorders>
              <w:bottom w:val="double" w:sz="4" w:space="0" w:color="auto"/>
            </w:tcBorders>
            <w:shd w:val="clear" w:color="auto" w:fill="auto"/>
            <w:noWrap/>
            <w:vAlign w:val="center"/>
            <w:hideMark/>
          </w:tcPr>
          <w:p w:rsidR="005279E4" w:rsidRPr="001922B0" w:rsidRDefault="005279E4" w:rsidP="00CE46A3">
            <w:pPr>
              <w:jc w:val="right"/>
              <w:rPr>
                <w:sz w:val="20"/>
                <w:szCs w:val="20"/>
              </w:rPr>
            </w:pPr>
            <w:r>
              <w:rPr>
                <w:sz w:val="20"/>
                <w:szCs w:val="20"/>
              </w:rPr>
              <w:t>---</w:t>
            </w:r>
          </w:p>
        </w:tc>
        <w:tc>
          <w:tcPr>
            <w:tcW w:w="1134" w:type="dxa"/>
            <w:tcBorders>
              <w:bottom w:val="double" w:sz="4" w:space="0" w:color="auto"/>
            </w:tcBorders>
            <w:shd w:val="clear" w:color="auto" w:fill="auto"/>
            <w:noWrap/>
            <w:vAlign w:val="center"/>
            <w:hideMark/>
          </w:tcPr>
          <w:p w:rsidR="005279E4" w:rsidRPr="001922B0" w:rsidRDefault="005279E4" w:rsidP="00CE46A3">
            <w:pPr>
              <w:jc w:val="right"/>
              <w:rPr>
                <w:sz w:val="20"/>
                <w:szCs w:val="20"/>
              </w:rPr>
            </w:pPr>
            <w:r>
              <w:rPr>
                <w:sz w:val="20"/>
                <w:szCs w:val="20"/>
              </w:rPr>
              <w:t>-2235,3</w:t>
            </w:r>
          </w:p>
        </w:tc>
        <w:tc>
          <w:tcPr>
            <w:tcW w:w="1276" w:type="dxa"/>
            <w:tcBorders>
              <w:bottom w:val="double" w:sz="4" w:space="0" w:color="auto"/>
            </w:tcBorders>
            <w:shd w:val="clear" w:color="auto" w:fill="auto"/>
            <w:noWrap/>
            <w:vAlign w:val="center"/>
            <w:hideMark/>
          </w:tcPr>
          <w:p w:rsidR="005279E4" w:rsidRPr="001922B0" w:rsidRDefault="005279E4" w:rsidP="00CE46A3">
            <w:pPr>
              <w:jc w:val="right"/>
              <w:rPr>
                <w:sz w:val="20"/>
                <w:szCs w:val="20"/>
              </w:rPr>
            </w:pPr>
            <w:r>
              <w:rPr>
                <w:sz w:val="20"/>
                <w:szCs w:val="20"/>
              </w:rPr>
              <w:t>---</w:t>
            </w:r>
          </w:p>
        </w:tc>
        <w:tc>
          <w:tcPr>
            <w:tcW w:w="1559" w:type="dxa"/>
            <w:tcBorders>
              <w:bottom w:val="double" w:sz="4" w:space="0" w:color="auto"/>
              <w:right w:val="double" w:sz="4" w:space="0" w:color="auto"/>
            </w:tcBorders>
            <w:shd w:val="clear" w:color="auto" w:fill="auto"/>
            <w:noWrap/>
            <w:vAlign w:val="center"/>
            <w:hideMark/>
          </w:tcPr>
          <w:p w:rsidR="005279E4" w:rsidRPr="001922B0" w:rsidRDefault="005279E4" w:rsidP="00CE46A3">
            <w:pPr>
              <w:jc w:val="right"/>
              <w:rPr>
                <w:sz w:val="20"/>
                <w:szCs w:val="20"/>
              </w:rPr>
            </w:pPr>
            <w:r>
              <w:rPr>
                <w:sz w:val="20"/>
                <w:szCs w:val="20"/>
              </w:rPr>
              <w:t>---</w:t>
            </w:r>
          </w:p>
        </w:tc>
      </w:tr>
    </w:tbl>
    <w:p w:rsidR="00CE46A3" w:rsidRDefault="00CE46A3" w:rsidP="005279E4">
      <w:pPr>
        <w:ind w:firstLine="709"/>
        <w:jc w:val="both"/>
        <w:rPr>
          <w:lang w:val="en-US"/>
        </w:rPr>
      </w:pPr>
    </w:p>
    <w:p w:rsidR="005279E4" w:rsidRPr="003A4120" w:rsidRDefault="005279E4" w:rsidP="005279E4">
      <w:pPr>
        <w:ind w:firstLine="709"/>
        <w:jc w:val="both"/>
        <w:rPr>
          <w:rFonts w:eastAsiaTheme="minorHAnsi"/>
          <w:lang w:eastAsia="en-US"/>
        </w:rPr>
      </w:pPr>
      <w:r w:rsidRPr="003A4120">
        <w:lastRenderedPageBreak/>
        <w:t xml:space="preserve">Доходы Облкомюстиции сложились в основном </w:t>
      </w:r>
      <w:r w:rsidRPr="003A4120">
        <w:rPr>
          <w:rFonts w:eastAsiaTheme="minorHAnsi"/>
          <w:lang w:eastAsia="en-US"/>
        </w:rPr>
        <w:t>по «</w:t>
      </w:r>
      <w:r w:rsidRPr="003A4120">
        <w:rPr>
          <w:rFonts w:eastAsiaTheme="minorHAnsi"/>
          <w:i/>
          <w:lang w:eastAsia="en-US"/>
        </w:rPr>
        <w:t>доходам, поступающим в порядке возмещения расходов, понесенных в связи с эксплуатацией  имущества субъектов РФ</w:t>
      </w:r>
      <w:r w:rsidRPr="003A4120">
        <w:rPr>
          <w:rFonts w:eastAsiaTheme="minorHAnsi"/>
          <w:lang w:eastAsia="en-US"/>
        </w:rPr>
        <w:t>» в связи с погашением дебиторской задолженности 2018 года Управлением Судебного департамента в Волгоградской области по возмещению расходов за коммунальные услуги.</w:t>
      </w:r>
    </w:p>
    <w:p w:rsidR="00953F6C" w:rsidRPr="005279E4" w:rsidRDefault="00953F6C" w:rsidP="00625A98">
      <w:pPr>
        <w:ind w:firstLine="709"/>
        <w:jc w:val="both"/>
      </w:pPr>
    </w:p>
    <w:bookmarkEnd w:id="0"/>
    <w:p w:rsidR="0025054E" w:rsidRPr="005279E4" w:rsidRDefault="0025054E" w:rsidP="0025054E">
      <w:pPr>
        <w:tabs>
          <w:tab w:val="left" w:pos="1106"/>
        </w:tabs>
        <w:jc w:val="center"/>
        <w:rPr>
          <w:b/>
          <w:i/>
          <w:u w:val="single"/>
        </w:rPr>
      </w:pPr>
      <w:r w:rsidRPr="005279E4">
        <w:rPr>
          <w:b/>
          <w:i/>
          <w:u w:val="single"/>
        </w:rPr>
        <w:t>Исполнение расходов</w:t>
      </w:r>
    </w:p>
    <w:p w:rsidR="005279E4" w:rsidRPr="00B77C46" w:rsidRDefault="005279E4" w:rsidP="005279E4">
      <w:pPr>
        <w:tabs>
          <w:tab w:val="left" w:pos="1106"/>
        </w:tabs>
        <w:ind w:firstLine="709"/>
        <w:jc w:val="both"/>
      </w:pPr>
      <w:r w:rsidRPr="000266D7">
        <w:t xml:space="preserve">Законом об областном бюджете Облкомюстиции утверждены бюджетные ассигнования в сумме </w:t>
      </w:r>
      <w:r>
        <w:rPr>
          <w:rFonts w:eastAsiaTheme="minorHAnsi"/>
          <w:lang w:eastAsia="en-US"/>
        </w:rPr>
        <w:t xml:space="preserve">771 152,9 </w:t>
      </w:r>
      <w:r w:rsidRPr="000266D7">
        <w:t>тыс. рублей. По росписи расходов и по отчету об исполнении бюджета (ф.0503127) утвержденные бюджетные назначения составили 739 837,7 тыс. руб</w:t>
      </w:r>
      <w:r w:rsidRPr="00343F84">
        <w:t xml:space="preserve">., что на 31 315,2 тыс. руб., или на 4,0% меньше объема, утвержденного Законом об областном бюджете. Указанное отклонение в основном обусловлено сложившейся экономией в результате проведения конкурсных процедур (21 000,0 тыс. руб.), а также в связи с перемещением ассигнований комитету информационных технологий Волгоградской </w:t>
      </w:r>
      <w:r w:rsidRPr="00C029EF">
        <w:t xml:space="preserve">области для </w:t>
      </w:r>
      <w:r>
        <w:t xml:space="preserve">централизованной </w:t>
      </w:r>
      <w:r w:rsidRPr="00C029EF">
        <w:t>закупки средств защиты информации (8 959,2 тыс. руб.). Анализ исполнения</w:t>
      </w:r>
      <w:r w:rsidRPr="00343F84">
        <w:t xml:space="preserve"> бюджетных назначений Облкомюстиции представлен в таблице:</w:t>
      </w:r>
    </w:p>
    <w:p w:rsidR="005279E4" w:rsidRPr="00B77C46" w:rsidRDefault="005279E4" w:rsidP="005279E4">
      <w:pPr>
        <w:tabs>
          <w:tab w:val="left" w:pos="1106"/>
        </w:tabs>
        <w:ind w:firstLine="709"/>
        <w:jc w:val="right"/>
        <w:rPr>
          <w:i/>
          <w:sz w:val="22"/>
          <w:szCs w:val="22"/>
        </w:rPr>
      </w:pPr>
      <w:r w:rsidRPr="00B77C46">
        <w:rPr>
          <w:i/>
          <w:sz w:val="22"/>
          <w:szCs w:val="22"/>
        </w:rPr>
        <w:t>тыс. руб.</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134"/>
        <w:gridCol w:w="3615"/>
        <w:gridCol w:w="1003"/>
        <w:gridCol w:w="1123"/>
        <w:gridCol w:w="1045"/>
        <w:gridCol w:w="993"/>
        <w:gridCol w:w="868"/>
      </w:tblGrid>
      <w:tr w:rsidR="005279E4" w:rsidRPr="00BD63EB" w:rsidTr="00CE46A3">
        <w:trPr>
          <w:trHeight w:val="230"/>
        </w:trPr>
        <w:tc>
          <w:tcPr>
            <w:tcW w:w="1134" w:type="dxa"/>
            <w:vMerge w:val="restart"/>
            <w:tcBorders>
              <w:top w:val="double" w:sz="4" w:space="0" w:color="auto"/>
              <w:left w:val="double" w:sz="4" w:space="0" w:color="auto"/>
            </w:tcBorders>
            <w:shd w:val="clear" w:color="auto" w:fill="auto"/>
            <w:vAlign w:val="center"/>
            <w:hideMark/>
          </w:tcPr>
          <w:p w:rsidR="005279E4" w:rsidRPr="005D2BC0" w:rsidRDefault="005279E4" w:rsidP="00CE46A3">
            <w:pPr>
              <w:jc w:val="center"/>
              <w:rPr>
                <w:sz w:val="20"/>
                <w:szCs w:val="20"/>
              </w:rPr>
            </w:pPr>
            <w:r w:rsidRPr="005D2BC0">
              <w:rPr>
                <w:sz w:val="20"/>
                <w:szCs w:val="20"/>
              </w:rPr>
              <w:t>КБК</w:t>
            </w:r>
          </w:p>
        </w:tc>
        <w:tc>
          <w:tcPr>
            <w:tcW w:w="3615" w:type="dxa"/>
            <w:vMerge w:val="restart"/>
            <w:tcBorders>
              <w:top w:val="double" w:sz="4" w:space="0" w:color="auto"/>
            </w:tcBorders>
            <w:shd w:val="clear" w:color="auto" w:fill="auto"/>
            <w:vAlign w:val="center"/>
            <w:hideMark/>
          </w:tcPr>
          <w:p w:rsidR="005279E4" w:rsidRPr="005D2BC0" w:rsidRDefault="005279E4" w:rsidP="00CE46A3">
            <w:pPr>
              <w:jc w:val="center"/>
              <w:rPr>
                <w:sz w:val="20"/>
                <w:szCs w:val="20"/>
              </w:rPr>
            </w:pPr>
            <w:r w:rsidRPr="005D2BC0">
              <w:rPr>
                <w:sz w:val="20"/>
                <w:szCs w:val="20"/>
              </w:rPr>
              <w:t>Наименование показателя</w:t>
            </w:r>
          </w:p>
        </w:tc>
        <w:tc>
          <w:tcPr>
            <w:tcW w:w="1003" w:type="dxa"/>
            <w:vMerge w:val="restart"/>
            <w:tcBorders>
              <w:top w:val="double" w:sz="4" w:space="0" w:color="auto"/>
            </w:tcBorders>
            <w:shd w:val="clear" w:color="auto" w:fill="auto"/>
            <w:vAlign w:val="center"/>
            <w:hideMark/>
          </w:tcPr>
          <w:p w:rsidR="005279E4" w:rsidRPr="005D2BC0" w:rsidRDefault="005279E4" w:rsidP="00CE46A3">
            <w:pPr>
              <w:ind w:left="-57" w:right="-57"/>
              <w:jc w:val="center"/>
              <w:rPr>
                <w:sz w:val="20"/>
                <w:szCs w:val="20"/>
              </w:rPr>
            </w:pPr>
            <w:r w:rsidRPr="005D2BC0">
              <w:rPr>
                <w:sz w:val="20"/>
                <w:szCs w:val="20"/>
              </w:rPr>
              <w:t>Закон об областном бюджете</w:t>
            </w:r>
          </w:p>
        </w:tc>
        <w:tc>
          <w:tcPr>
            <w:tcW w:w="1123" w:type="dxa"/>
            <w:vMerge w:val="restart"/>
            <w:tcBorders>
              <w:top w:val="double" w:sz="4" w:space="0" w:color="auto"/>
            </w:tcBorders>
            <w:shd w:val="clear" w:color="auto" w:fill="auto"/>
            <w:vAlign w:val="center"/>
            <w:hideMark/>
          </w:tcPr>
          <w:p w:rsidR="005279E4" w:rsidRPr="005D2BC0" w:rsidRDefault="005279E4" w:rsidP="00CE46A3">
            <w:pPr>
              <w:ind w:left="-57" w:right="-57"/>
              <w:jc w:val="center"/>
              <w:rPr>
                <w:sz w:val="20"/>
                <w:szCs w:val="20"/>
              </w:rPr>
            </w:pPr>
            <w:r w:rsidRPr="005D2BC0">
              <w:rPr>
                <w:sz w:val="20"/>
                <w:szCs w:val="20"/>
              </w:rPr>
              <w:t>Утвержд. бюджетные назначения</w:t>
            </w:r>
          </w:p>
        </w:tc>
        <w:tc>
          <w:tcPr>
            <w:tcW w:w="1045" w:type="dxa"/>
            <w:vMerge w:val="restart"/>
            <w:tcBorders>
              <w:top w:val="double" w:sz="4" w:space="0" w:color="auto"/>
            </w:tcBorders>
            <w:shd w:val="clear" w:color="auto" w:fill="auto"/>
            <w:noWrap/>
            <w:vAlign w:val="center"/>
            <w:hideMark/>
          </w:tcPr>
          <w:p w:rsidR="005279E4" w:rsidRPr="005D2BC0" w:rsidRDefault="005279E4" w:rsidP="00CE46A3">
            <w:pPr>
              <w:ind w:left="-57" w:right="-57"/>
              <w:jc w:val="center"/>
              <w:rPr>
                <w:sz w:val="20"/>
                <w:szCs w:val="20"/>
              </w:rPr>
            </w:pPr>
            <w:r w:rsidRPr="005D2BC0">
              <w:rPr>
                <w:sz w:val="20"/>
                <w:szCs w:val="20"/>
              </w:rPr>
              <w:t>Исполнено</w:t>
            </w:r>
          </w:p>
        </w:tc>
        <w:tc>
          <w:tcPr>
            <w:tcW w:w="1861" w:type="dxa"/>
            <w:gridSpan w:val="2"/>
            <w:vMerge w:val="restart"/>
            <w:tcBorders>
              <w:top w:val="double" w:sz="4" w:space="0" w:color="auto"/>
              <w:right w:val="double" w:sz="4" w:space="0" w:color="auto"/>
            </w:tcBorders>
            <w:shd w:val="clear" w:color="auto" w:fill="auto"/>
            <w:noWrap/>
            <w:vAlign w:val="center"/>
            <w:hideMark/>
          </w:tcPr>
          <w:p w:rsidR="005279E4" w:rsidRPr="005D2BC0" w:rsidRDefault="005279E4" w:rsidP="00CE46A3">
            <w:pPr>
              <w:ind w:left="-57" w:right="-57"/>
              <w:jc w:val="center"/>
              <w:rPr>
                <w:sz w:val="20"/>
                <w:szCs w:val="20"/>
              </w:rPr>
            </w:pPr>
            <w:r w:rsidRPr="005D2BC0">
              <w:rPr>
                <w:sz w:val="20"/>
                <w:szCs w:val="20"/>
              </w:rPr>
              <w:t>К бюджетным назначениям</w:t>
            </w:r>
          </w:p>
        </w:tc>
      </w:tr>
      <w:tr w:rsidR="005279E4" w:rsidRPr="00BD63EB" w:rsidTr="00CE46A3">
        <w:trPr>
          <w:trHeight w:val="230"/>
        </w:trPr>
        <w:tc>
          <w:tcPr>
            <w:tcW w:w="1134" w:type="dxa"/>
            <w:vMerge/>
            <w:tcBorders>
              <w:left w:val="double" w:sz="4" w:space="0" w:color="auto"/>
            </w:tcBorders>
            <w:vAlign w:val="center"/>
            <w:hideMark/>
          </w:tcPr>
          <w:p w:rsidR="005279E4" w:rsidRPr="005D2BC0" w:rsidRDefault="005279E4" w:rsidP="00CE46A3">
            <w:pPr>
              <w:rPr>
                <w:sz w:val="20"/>
                <w:szCs w:val="20"/>
              </w:rPr>
            </w:pPr>
          </w:p>
        </w:tc>
        <w:tc>
          <w:tcPr>
            <w:tcW w:w="3615" w:type="dxa"/>
            <w:vMerge/>
            <w:vAlign w:val="center"/>
            <w:hideMark/>
          </w:tcPr>
          <w:p w:rsidR="005279E4" w:rsidRPr="005D2BC0" w:rsidRDefault="005279E4" w:rsidP="00CE46A3">
            <w:pPr>
              <w:rPr>
                <w:sz w:val="20"/>
                <w:szCs w:val="20"/>
              </w:rPr>
            </w:pPr>
          </w:p>
        </w:tc>
        <w:tc>
          <w:tcPr>
            <w:tcW w:w="1003" w:type="dxa"/>
            <w:vMerge/>
            <w:vAlign w:val="center"/>
            <w:hideMark/>
          </w:tcPr>
          <w:p w:rsidR="005279E4" w:rsidRPr="005D2BC0" w:rsidRDefault="005279E4" w:rsidP="00CE46A3">
            <w:pPr>
              <w:ind w:left="-57" w:right="-57"/>
              <w:rPr>
                <w:sz w:val="20"/>
                <w:szCs w:val="20"/>
              </w:rPr>
            </w:pPr>
          </w:p>
        </w:tc>
        <w:tc>
          <w:tcPr>
            <w:tcW w:w="1123" w:type="dxa"/>
            <w:vMerge/>
            <w:vAlign w:val="center"/>
            <w:hideMark/>
          </w:tcPr>
          <w:p w:rsidR="005279E4" w:rsidRPr="005D2BC0" w:rsidRDefault="005279E4" w:rsidP="00CE46A3">
            <w:pPr>
              <w:ind w:left="-57" w:right="-57"/>
              <w:rPr>
                <w:sz w:val="20"/>
                <w:szCs w:val="20"/>
              </w:rPr>
            </w:pPr>
          </w:p>
        </w:tc>
        <w:tc>
          <w:tcPr>
            <w:tcW w:w="1045" w:type="dxa"/>
            <w:vMerge/>
            <w:vAlign w:val="center"/>
            <w:hideMark/>
          </w:tcPr>
          <w:p w:rsidR="005279E4" w:rsidRPr="005D2BC0" w:rsidRDefault="005279E4" w:rsidP="00CE46A3">
            <w:pPr>
              <w:ind w:left="-57" w:right="-57"/>
              <w:rPr>
                <w:sz w:val="20"/>
                <w:szCs w:val="20"/>
              </w:rPr>
            </w:pPr>
          </w:p>
        </w:tc>
        <w:tc>
          <w:tcPr>
            <w:tcW w:w="1861" w:type="dxa"/>
            <w:gridSpan w:val="2"/>
            <w:vMerge/>
            <w:tcBorders>
              <w:right w:val="double" w:sz="4" w:space="0" w:color="auto"/>
            </w:tcBorders>
            <w:vAlign w:val="center"/>
            <w:hideMark/>
          </w:tcPr>
          <w:p w:rsidR="005279E4" w:rsidRPr="005D2BC0" w:rsidRDefault="005279E4" w:rsidP="00CE46A3">
            <w:pPr>
              <w:ind w:left="-57" w:right="-57"/>
              <w:rPr>
                <w:sz w:val="20"/>
                <w:szCs w:val="20"/>
              </w:rPr>
            </w:pPr>
          </w:p>
        </w:tc>
      </w:tr>
      <w:tr w:rsidR="005279E4" w:rsidRPr="00BD63EB" w:rsidTr="00CE46A3">
        <w:trPr>
          <w:trHeight w:val="20"/>
        </w:trPr>
        <w:tc>
          <w:tcPr>
            <w:tcW w:w="1134" w:type="dxa"/>
            <w:vMerge/>
            <w:tcBorders>
              <w:left w:val="double" w:sz="4" w:space="0" w:color="auto"/>
              <w:bottom w:val="double" w:sz="4" w:space="0" w:color="auto"/>
            </w:tcBorders>
            <w:vAlign w:val="center"/>
            <w:hideMark/>
          </w:tcPr>
          <w:p w:rsidR="005279E4" w:rsidRPr="005D2BC0" w:rsidRDefault="005279E4" w:rsidP="00CE46A3">
            <w:pPr>
              <w:rPr>
                <w:sz w:val="20"/>
                <w:szCs w:val="20"/>
              </w:rPr>
            </w:pPr>
          </w:p>
        </w:tc>
        <w:tc>
          <w:tcPr>
            <w:tcW w:w="3615" w:type="dxa"/>
            <w:vMerge/>
            <w:tcBorders>
              <w:bottom w:val="double" w:sz="4" w:space="0" w:color="auto"/>
            </w:tcBorders>
            <w:vAlign w:val="center"/>
            <w:hideMark/>
          </w:tcPr>
          <w:p w:rsidR="005279E4" w:rsidRPr="005D2BC0" w:rsidRDefault="005279E4" w:rsidP="00CE46A3">
            <w:pPr>
              <w:rPr>
                <w:sz w:val="20"/>
                <w:szCs w:val="20"/>
              </w:rPr>
            </w:pPr>
          </w:p>
        </w:tc>
        <w:tc>
          <w:tcPr>
            <w:tcW w:w="1003" w:type="dxa"/>
            <w:vMerge/>
            <w:tcBorders>
              <w:bottom w:val="double" w:sz="4" w:space="0" w:color="auto"/>
            </w:tcBorders>
            <w:vAlign w:val="center"/>
            <w:hideMark/>
          </w:tcPr>
          <w:p w:rsidR="005279E4" w:rsidRPr="005D2BC0" w:rsidRDefault="005279E4" w:rsidP="00CE46A3">
            <w:pPr>
              <w:ind w:left="-57" w:right="-57"/>
              <w:rPr>
                <w:sz w:val="20"/>
                <w:szCs w:val="20"/>
              </w:rPr>
            </w:pPr>
          </w:p>
        </w:tc>
        <w:tc>
          <w:tcPr>
            <w:tcW w:w="1123" w:type="dxa"/>
            <w:vMerge/>
            <w:tcBorders>
              <w:bottom w:val="double" w:sz="4" w:space="0" w:color="auto"/>
            </w:tcBorders>
            <w:vAlign w:val="center"/>
            <w:hideMark/>
          </w:tcPr>
          <w:p w:rsidR="005279E4" w:rsidRPr="005D2BC0" w:rsidRDefault="005279E4" w:rsidP="00CE46A3">
            <w:pPr>
              <w:ind w:left="-57" w:right="-57"/>
              <w:rPr>
                <w:sz w:val="20"/>
                <w:szCs w:val="20"/>
              </w:rPr>
            </w:pPr>
          </w:p>
        </w:tc>
        <w:tc>
          <w:tcPr>
            <w:tcW w:w="1045" w:type="dxa"/>
            <w:vMerge/>
            <w:tcBorders>
              <w:bottom w:val="double" w:sz="4" w:space="0" w:color="auto"/>
            </w:tcBorders>
            <w:vAlign w:val="center"/>
            <w:hideMark/>
          </w:tcPr>
          <w:p w:rsidR="005279E4" w:rsidRPr="005D2BC0" w:rsidRDefault="005279E4" w:rsidP="00CE46A3">
            <w:pPr>
              <w:ind w:left="-57" w:right="-57"/>
              <w:rPr>
                <w:sz w:val="20"/>
                <w:szCs w:val="20"/>
              </w:rPr>
            </w:pPr>
          </w:p>
        </w:tc>
        <w:tc>
          <w:tcPr>
            <w:tcW w:w="993" w:type="dxa"/>
            <w:tcBorders>
              <w:bottom w:val="double" w:sz="4" w:space="0" w:color="auto"/>
            </w:tcBorders>
            <w:shd w:val="clear" w:color="auto" w:fill="auto"/>
            <w:vAlign w:val="center"/>
            <w:hideMark/>
          </w:tcPr>
          <w:p w:rsidR="005279E4" w:rsidRPr="005D2BC0" w:rsidRDefault="005279E4" w:rsidP="00CE46A3">
            <w:pPr>
              <w:ind w:left="-57" w:right="-57"/>
              <w:jc w:val="center"/>
              <w:rPr>
                <w:sz w:val="20"/>
                <w:szCs w:val="20"/>
              </w:rPr>
            </w:pPr>
            <w:r w:rsidRPr="005D2BC0">
              <w:rPr>
                <w:sz w:val="20"/>
                <w:szCs w:val="20"/>
              </w:rPr>
              <w:t>откло-</w:t>
            </w:r>
          </w:p>
          <w:p w:rsidR="005279E4" w:rsidRPr="005D2BC0" w:rsidRDefault="005279E4" w:rsidP="00CE46A3">
            <w:pPr>
              <w:ind w:left="-57" w:right="-57"/>
              <w:jc w:val="center"/>
              <w:rPr>
                <w:sz w:val="20"/>
                <w:szCs w:val="20"/>
              </w:rPr>
            </w:pPr>
            <w:r w:rsidRPr="005D2BC0">
              <w:rPr>
                <w:sz w:val="20"/>
                <w:szCs w:val="20"/>
              </w:rPr>
              <w:t>нение</w:t>
            </w:r>
          </w:p>
        </w:tc>
        <w:tc>
          <w:tcPr>
            <w:tcW w:w="868" w:type="dxa"/>
            <w:tcBorders>
              <w:bottom w:val="double" w:sz="4" w:space="0" w:color="auto"/>
              <w:right w:val="double" w:sz="4" w:space="0" w:color="auto"/>
            </w:tcBorders>
            <w:shd w:val="clear" w:color="auto" w:fill="auto"/>
            <w:vAlign w:val="center"/>
            <w:hideMark/>
          </w:tcPr>
          <w:p w:rsidR="005279E4" w:rsidRPr="005D2BC0" w:rsidRDefault="005279E4" w:rsidP="00CE46A3">
            <w:pPr>
              <w:ind w:left="-57" w:right="-57"/>
              <w:jc w:val="center"/>
              <w:rPr>
                <w:sz w:val="20"/>
                <w:szCs w:val="20"/>
              </w:rPr>
            </w:pPr>
            <w:r w:rsidRPr="005D2BC0">
              <w:rPr>
                <w:sz w:val="20"/>
                <w:szCs w:val="20"/>
              </w:rPr>
              <w:t>% исполн.</w:t>
            </w:r>
          </w:p>
        </w:tc>
      </w:tr>
      <w:tr w:rsidR="005279E4" w:rsidRPr="00BD63EB" w:rsidTr="00CE46A3">
        <w:trPr>
          <w:trHeight w:val="20"/>
        </w:trPr>
        <w:tc>
          <w:tcPr>
            <w:tcW w:w="1134" w:type="dxa"/>
            <w:tcBorders>
              <w:top w:val="double" w:sz="4" w:space="0" w:color="auto"/>
              <w:left w:val="double" w:sz="4" w:space="0" w:color="auto"/>
              <w:bottom w:val="double" w:sz="4" w:space="0" w:color="auto"/>
            </w:tcBorders>
            <w:shd w:val="clear" w:color="auto" w:fill="auto"/>
            <w:noWrap/>
            <w:vAlign w:val="center"/>
            <w:hideMark/>
          </w:tcPr>
          <w:p w:rsidR="005279E4" w:rsidRPr="005D2BC0" w:rsidRDefault="005279E4" w:rsidP="00CE46A3">
            <w:pPr>
              <w:jc w:val="center"/>
              <w:rPr>
                <w:b/>
                <w:bCs/>
                <w:sz w:val="20"/>
                <w:szCs w:val="20"/>
              </w:rPr>
            </w:pPr>
            <w:r w:rsidRPr="005D2BC0">
              <w:rPr>
                <w:b/>
                <w:bCs/>
                <w:sz w:val="20"/>
                <w:szCs w:val="20"/>
              </w:rPr>
              <w:t> </w:t>
            </w:r>
          </w:p>
        </w:tc>
        <w:tc>
          <w:tcPr>
            <w:tcW w:w="3615" w:type="dxa"/>
            <w:tcBorders>
              <w:top w:val="double" w:sz="4" w:space="0" w:color="auto"/>
              <w:bottom w:val="double" w:sz="4" w:space="0" w:color="auto"/>
            </w:tcBorders>
            <w:shd w:val="clear" w:color="auto" w:fill="auto"/>
            <w:vAlign w:val="center"/>
            <w:hideMark/>
          </w:tcPr>
          <w:p w:rsidR="005279E4" w:rsidRPr="005D2BC0" w:rsidRDefault="005279E4" w:rsidP="00CE46A3">
            <w:pPr>
              <w:rPr>
                <w:b/>
                <w:bCs/>
                <w:sz w:val="20"/>
                <w:szCs w:val="20"/>
              </w:rPr>
            </w:pPr>
            <w:r w:rsidRPr="005D2BC0">
              <w:rPr>
                <w:b/>
                <w:bCs/>
                <w:sz w:val="20"/>
                <w:szCs w:val="20"/>
              </w:rPr>
              <w:t>Расходы бюджета - всего</w:t>
            </w:r>
          </w:p>
        </w:tc>
        <w:tc>
          <w:tcPr>
            <w:tcW w:w="1003" w:type="dxa"/>
            <w:tcBorders>
              <w:top w:val="double" w:sz="4" w:space="0" w:color="auto"/>
              <w:bottom w:val="double" w:sz="4" w:space="0" w:color="auto"/>
            </w:tcBorders>
            <w:shd w:val="clear" w:color="auto" w:fill="auto"/>
            <w:noWrap/>
            <w:vAlign w:val="center"/>
            <w:hideMark/>
          </w:tcPr>
          <w:p w:rsidR="005279E4" w:rsidRPr="005D2BC0" w:rsidRDefault="005279E4" w:rsidP="00CE46A3">
            <w:pPr>
              <w:ind w:right="-57"/>
              <w:jc w:val="center"/>
              <w:rPr>
                <w:b/>
                <w:bCs/>
                <w:sz w:val="20"/>
                <w:szCs w:val="20"/>
              </w:rPr>
            </w:pPr>
            <w:r w:rsidRPr="005D2BC0">
              <w:rPr>
                <w:b/>
                <w:bCs/>
                <w:sz w:val="20"/>
                <w:szCs w:val="20"/>
              </w:rPr>
              <w:t>771 152,9</w:t>
            </w:r>
          </w:p>
        </w:tc>
        <w:tc>
          <w:tcPr>
            <w:tcW w:w="1123" w:type="dxa"/>
            <w:tcBorders>
              <w:top w:val="double" w:sz="4" w:space="0" w:color="auto"/>
              <w:bottom w:val="double" w:sz="4" w:space="0" w:color="auto"/>
            </w:tcBorders>
            <w:shd w:val="clear" w:color="auto" w:fill="auto"/>
            <w:noWrap/>
            <w:vAlign w:val="center"/>
            <w:hideMark/>
          </w:tcPr>
          <w:p w:rsidR="005279E4" w:rsidRPr="005D2BC0" w:rsidRDefault="005279E4" w:rsidP="00CE46A3">
            <w:pPr>
              <w:ind w:right="-57"/>
              <w:jc w:val="center"/>
              <w:rPr>
                <w:b/>
                <w:bCs/>
                <w:sz w:val="20"/>
                <w:szCs w:val="20"/>
              </w:rPr>
            </w:pPr>
            <w:r w:rsidRPr="005D2BC0">
              <w:rPr>
                <w:b/>
                <w:bCs/>
                <w:sz w:val="20"/>
                <w:szCs w:val="20"/>
              </w:rPr>
              <w:t>739 837,7</w:t>
            </w:r>
          </w:p>
        </w:tc>
        <w:tc>
          <w:tcPr>
            <w:tcW w:w="1045" w:type="dxa"/>
            <w:tcBorders>
              <w:top w:val="double" w:sz="4" w:space="0" w:color="auto"/>
              <w:bottom w:val="double" w:sz="4" w:space="0" w:color="auto"/>
            </w:tcBorders>
            <w:shd w:val="clear" w:color="auto" w:fill="auto"/>
            <w:noWrap/>
            <w:vAlign w:val="center"/>
            <w:hideMark/>
          </w:tcPr>
          <w:p w:rsidR="005279E4" w:rsidRPr="005D2BC0" w:rsidRDefault="005279E4" w:rsidP="00CE46A3">
            <w:pPr>
              <w:ind w:right="-57"/>
              <w:jc w:val="center"/>
              <w:rPr>
                <w:b/>
                <w:bCs/>
                <w:sz w:val="20"/>
                <w:szCs w:val="20"/>
              </w:rPr>
            </w:pPr>
            <w:r>
              <w:rPr>
                <w:b/>
                <w:bCs/>
                <w:sz w:val="20"/>
                <w:szCs w:val="20"/>
              </w:rPr>
              <w:t>686 605,8</w:t>
            </w:r>
          </w:p>
        </w:tc>
        <w:tc>
          <w:tcPr>
            <w:tcW w:w="993" w:type="dxa"/>
            <w:tcBorders>
              <w:top w:val="double" w:sz="4" w:space="0" w:color="auto"/>
              <w:bottom w:val="double" w:sz="4" w:space="0" w:color="auto"/>
            </w:tcBorders>
            <w:shd w:val="clear" w:color="auto" w:fill="auto"/>
            <w:noWrap/>
            <w:vAlign w:val="center"/>
            <w:hideMark/>
          </w:tcPr>
          <w:p w:rsidR="005279E4" w:rsidRPr="00011914" w:rsidRDefault="007F0888" w:rsidP="00CE46A3">
            <w:pPr>
              <w:ind w:right="-57"/>
              <w:jc w:val="center"/>
              <w:rPr>
                <w:b/>
                <w:bCs/>
                <w:sz w:val="20"/>
                <w:szCs w:val="20"/>
              </w:rPr>
            </w:pPr>
            <w:r>
              <w:rPr>
                <w:b/>
                <w:bCs/>
                <w:sz w:val="20"/>
                <w:szCs w:val="20"/>
              </w:rPr>
              <w:t>-</w:t>
            </w:r>
            <w:r w:rsidR="005279E4" w:rsidRPr="00011914">
              <w:rPr>
                <w:b/>
                <w:bCs/>
                <w:sz w:val="20"/>
                <w:szCs w:val="20"/>
              </w:rPr>
              <w:t>53 231,9</w:t>
            </w:r>
          </w:p>
        </w:tc>
        <w:tc>
          <w:tcPr>
            <w:tcW w:w="868" w:type="dxa"/>
            <w:tcBorders>
              <w:top w:val="double" w:sz="4" w:space="0" w:color="auto"/>
              <w:bottom w:val="double" w:sz="4" w:space="0" w:color="auto"/>
              <w:right w:val="double" w:sz="4" w:space="0" w:color="auto"/>
            </w:tcBorders>
            <w:shd w:val="clear" w:color="auto" w:fill="auto"/>
            <w:noWrap/>
            <w:vAlign w:val="center"/>
            <w:hideMark/>
          </w:tcPr>
          <w:p w:rsidR="005279E4" w:rsidRPr="00011914" w:rsidRDefault="005279E4" w:rsidP="00CE46A3">
            <w:pPr>
              <w:ind w:right="-57"/>
              <w:jc w:val="center"/>
              <w:rPr>
                <w:b/>
                <w:bCs/>
                <w:sz w:val="20"/>
                <w:szCs w:val="20"/>
              </w:rPr>
            </w:pPr>
            <w:r w:rsidRPr="00011914">
              <w:rPr>
                <w:b/>
                <w:bCs/>
                <w:sz w:val="20"/>
                <w:szCs w:val="20"/>
              </w:rPr>
              <w:t>92,8%</w:t>
            </w:r>
          </w:p>
        </w:tc>
      </w:tr>
      <w:tr w:rsidR="005279E4" w:rsidRPr="00BD63EB" w:rsidTr="00CE46A3">
        <w:trPr>
          <w:trHeight w:val="20"/>
        </w:trPr>
        <w:tc>
          <w:tcPr>
            <w:tcW w:w="1134" w:type="dxa"/>
            <w:tcBorders>
              <w:top w:val="double" w:sz="4" w:space="0" w:color="auto"/>
              <w:left w:val="double" w:sz="4" w:space="0" w:color="auto"/>
              <w:bottom w:val="double" w:sz="4" w:space="0" w:color="auto"/>
            </w:tcBorders>
            <w:shd w:val="clear" w:color="auto" w:fill="auto"/>
            <w:noWrap/>
            <w:vAlign w:val="center"/>
            <w:hideMark/>
          </w:tcPr>
          <w:p w:rsidR="005279E4" w:rsidRPr="005D2BC0" w:rsidRDefault="005279E4" w:rsidP="00CE46A3">
            <w:pPr>
              <w:ind w:left="-57" w:right="-57"/>
              <w:jc w:val="right"/>
              <w:rPr>
                <w:b/>
                <w:bCs/>
                <w:i/>
                <w:iCs/>
                <w:sz w:val="20"/>
                <w:szCs w:val="20"/>
              </w:rPr>
            </w:pPr>
            <w:r w:rsidRPr="005D2BC0">
              <w:rPr>
                <w:b/>
                <w:bCs/>
                <w:i/>
                <w:iCs/>
                <w:sz w:val="20"/>
                <w:szCs w:val="20"/>
              </w:rPr>
              <w:t>0100</w:t>
            </w:r>
          </w:p>
        </w:tc>
        <w:tc>
          <w:tcPr>
            <w:tcW w:w="3615" w:type="dxa"/>
            <w:tcBorders>
              <w:top w:val="double" w:sz="4" w:space="0" w:color="auto"/>
              <w:bottom w:val="double" w:sz="4" w:space="0" w:color="auto"/>
            </w:tcBorders>
            <w:shd w:val="clear" w:color="auto" w:fill="auto"/>
            <w:vAlign w:val="center"/>
            <w:hideMark/>
          </w:tcPr>
          <w:p w:rsidR="005279E4" w:rsidRPr="005D2BC0" w:rsidRDefault="005279E4" w:rsidP="00CE46A3">
            <w:pPr>
              <w:rPr>
                <w:b/>
                <w:bCs/>
                <w:i/>
                <w:iCs/>
                <w:sz w:val="20"/>
                <w:szCs w:val="20"/>
              </w:rPr>
            </w:pPr>
            <w:r w:rsidRPr="005D2BC0">
              <w:rPr>
                <w:b/>
                <w:bCs/>
                <w:i/>
                <w:iCs/>
                <w:sz w:val="20"/>
                <w:szCs w:val="20"/>
              </w:rPr>
              <w:t>ОБЩЕГОСУДАРСТВЕННЫЕ ВОПРОСЫ</w:t>
            </w:r>
          </w:p>
        </w:tc>
        <w:tc>
          <w:tcPr>
            <w:tcW w:w="1003" w:type="dxa"/>
            <w:tcBorders>
              <w:top w:val="double" w:sz="4" w:space="0" w:color="auto"/>
              <w:bottom w:val="double" w:sz="4" w:space="0" w:color="auto"/>
            </w:tcBorders>
            <w:shd w:val="clear" w:color="auto" w:fill="auto"/>
            <w:noWrap/>
            <w:vAlign w:val="center"/>
            <w:hideMark/>
          </w:tcPr>
          <w:p w:rsidR="005279E4" w:rsidRPr="005D2BC0" w:rsidRDefault="005279E4" w:rsidP="00CE46A3">
            <w:pPr>
              <w:ind w:left="-57" w:right="-57"/>
              <w:jc w:val="center"/>
              <w:rPr>
                <w:b/>
                <w:bCs/>
                <w:i/>
                <w:iCs/>
                <w:sz w:val="20"/>
                <w:szCs w:val="20"/>
              </w:rPr>
            </w:pPr>
            <w:r w:rsidRPr="005D2BC0">
              <w:rPr>
                <w:b/>
                <w:bCs/>
                <w:i/>
                <w:iCs/>
                <w:sz w:val="20"/>
                <w:szCs w:val="20"/>
              </w:rPr>
              <w:t>770 602,9</w:t>
            </w:r>
          </w:p>
        </w:tc>
        <w:tc>
          <w:tcPr>
            <w:tcW w:w="1123" w:type="dxa"/>
            <w:tcBorders>
              <w:top w:val="double" w:sz="4" w:space="0" w:color="auto"/>
              <w:bottom w:val="double" w:sz="4" w:space="0" w:color="auto"/>
            </w:tcBorders>
            <w:shd w:val="clear" w:color="auto" w:fill="auto"/>
            <w:noWrap/>
            <w:vAlign w:val="center"/>
            <w:hideMark/>
          </w:tcPr>
          <w:p w:rsidR="005279E4" w:rsidRPr="005D2BC0" w:rsidRDefault="005279E4" w:rsidP="00CE46A3">
            <w:pPr>
              <w:ind w:right="-57"/>
              <w:jc w:val="center"/>
              <w:rPr>
                <w:b/>
                <w:bCs/>
                <w:i/>
                <w:iCs/>
                <w:sz w:val="20"/>
                <w:szCs w:val="20"/>
              </w:rPr>
            </w:pPr>
            <w:r>
              <w:rPr>
                <w:b/>
                <w:bCs/>
                <w:i/>
                <w:iCs/>
                <w:sz w:val="20"/>
                <w:szCs w:val="20"/>
              </w:rPr>
              <w:t>738 787,7</w:t>
            </w:r>
          </w:p>
        </w:tc>
        <w:tc>
          <w:tcPr>
            <w:tcW w:w="1045" w:type="dxa"/>
            <w:tcBorders>
              <w:top w:val="double" w:sz="4" w:space="0" w:color="auto"/>
              <w:bottom w:val="double" w:sz="4" w:space="0" w:color="auto"/>
            </w:tcBorders>
            <w:shd w:val="clear" w:color="auto" w:fill="auto"/>
            <w:noWrap/>
            <w:vAlign w:val="center"/>
            <w:hideMark/>
          </w:tcPr>
          <w:p w:rsidR="005279E4" w:rsidRPr="005D2BC0" w:rsidRDefault="005279E4" w:rsidP="00CE46A3">
            <w:pPr>
              <w:ind w:right="-57"/>
              <w:jc w:val="center"/>
              <w:rPr>
                <w:b/>
                <w:bCs/>
                <w:i/>
                <w:iCs/>
                <w:sz w:val="20"/>
                <w:szCs w:val="20"/>
              </w:rPr>
            </w:pPr>
            <w:r w:rsidRPr="002E2DF9">
              <w:rPr>
                <w:b/>
                <w:bCs/>
                <w:i/>
                <w:iCs/>
                <w:sz w:val="20"/>
                <w:szCs w:val="20"/>
              </w:rPr>
              <w:t>685 816,1</w:t>
            </w:r>
          </w:p>
        </w:tc>
        <w:tc>
          <w:tcPr>
            <w:tcW w:w="993" w:type="dxa"/>
            <w:tcBorders>
              <w:top w:val="double" w:sz="4" w:space="0" w:color="auto"/>
              <w:bottom w:val="double" w:sz="4" w:space="0" w:color="auto"/>
            </w:tcBorders>
            <w:shd w:val="clear" w:color="auto" w:fill="auto"/>
            <w:noWrap/>
            <w:vAlign w:val="center"/>
            <w:hideMark/>
          </w:tcPr>
          <w:p w:rsidR="005279E4" w:rsidRPr="00011914" w:rsidRDefault="007F0888" w:rsidP="00CE46A3">
            <w:pPr>
              <w:ind w:right="-57"/>
              <w:jc w:val="center"/>
              <w:rPr>
                <w:b/>
                <w:bCs/>
                <w:i/>
                <w:iCs/>
                <w:sz w:val="20"/>
                <w:szCs w:val="20"/>
              </w:rPr>
            </w:pPr>
            <w:r>
              <w:rPr>
                <w:b/>
                <w:bCs/>
                <w:i/>
                <w:iCs/>
                <w:sz w:val="20"/>
                <w:szCs w:val="20"/>
              </w:rPr>
              <w:t>-</w:t>
            </w:r>
            <w:r w:rsidR="005279E4" w:rsidRPr="00011914">
              <w:rPr>
                <w:b/>
                <w:bCs/>
                <w:i/>
                <w:iCs/>
                <w:sz w:val="20"/>
                <w:szCs w:val="20"/>
              </w:rPr>
              <w:t>52 971,6</w:t>
            </w:r>
          </w:p>
        </w:tc>
        <w:tc>
          <w:tcPr>
            <w:tcW w:w="868" w:type="dxa"/>
            <w:tcBorders>
              <w:top w:val="double" w:sz="4" w:space="0" w:color="auto"/>
              <w:bottom w:val="double" w:sz="4" w:space="0" w:color="auto"/>
              <w:right w:val="double" w:sz="4" w:space="0" w:color="auto"/>
            </w:tcBorders>
            <w:shd w:val="clear" w:color="auto" w:fill="auto"/>
            <w:noWrap/>
            <w:vAlign w:val="center"/>
            <w:hideMark/>
          </w:tcPr>
          <w:p w:rsidR="005279E4" w:rsidRPr="00011914" w:rsidRDefault="005279E4" w:rsidP="00CE46A3">
            <w:pPr>
              <w:ind w:right="-57"/>
              <w:jc w:val="center"/>
              <w:rPr>
                <w:b/>
                <w:bCs/>
                <w:i/>
                <w:iCs/>
                <w:sz w:val="20"/>
                <w:szCs w:val="20"/>
              </w:rPr>
            </w:pPr>
            <w:r w:rsidRPr="00011914">
              <w:rPr>
                <w:b/>
                <w:bCs/>
                <w:i/>
                <w:iCs/>
                <w:sz w:val="20"/>
                <w:szCs w:val="20"/>
              </w:rPr>
              <w:t>92,8%</w:t>
            </w:r>
          </w:p>
        </w:tc>
      </w:tr>
      <w:tr w:rsidR="005279E4" w:rsidRPr="00BD63EB" w:rsidTr="00CE46A3">
        <w:trPr>
          <w:trHeight w:val="20"/>
        </w:trPr>
        <w:tc>
          <w:tcPr>
            <w:tcW w:w="1134" w:type="dxa"/>
            <w:tcBorders>
              <w:top w:val="double" w:sz="4" w:space="0" w:color="auto"/>
              <w:left w:val="double" w:sz="4" w:space="0" w:color="auto"/>
            </w:tcBorders>
            <w:shd w:val="clear" w:color="auto" w:fill="auto"/>
            <w:noWrap/>
            <w:vAlign w:val="center"/>
            <w:hideMark/>
          </w:tcPr>
          <w:p w:rsidR="005279E4" w:rsidRPr="005D2BC0" w:rsidRDefault="005279E4" w:rsidP="00CE46A3">
            <w:pPr>
              <w:ind w:left="-57" w:right="-57"/>
              <w:jc w:val="right"/>
              <w:rPr>
                <w:b/>
                <w:sz w:val="20"/>
                <w:szCs w:val="20"/>
              </w:rPr>
            </w:pPr>
            <w:r w:rsidRPr="005D2BC0">
              <w:rPr>
                <w:b/>
                <w:sz w:val="20"/>
                <w:szCs w:val="20"/>
              </w:rPr>
              <w:t>0105</w:t>
            </w:r>
          </w:p>
        </w:tc>
        <w:tc>
          <w:tcPr>
            <w:tcW w:w="3615" w:type="dxa"/>
            <w:tcBorders>
              <w:top w:val="double" w:sz="4" w:space="0" w:color="auto"/>
            </w:tcBorders>
            <w:shd w:val="clear" w:color="auto" w:fill="auto"/>
            <w:vAlign w:val="center"/>
            <w:hideMark/>
          </w:tcPr>
          <w:p w:rsidR="005279E4" w:rsidRPr="005D2BC0" w:rsidRDefault="005279E4" w:rsidP="00CE46A3">
            <w:pPr>
              <w:rPr>
                <w:b/>
                <w:sz w:val="20"/>
                <w:szCs w:val="20"/>
              </w:rPr>
            </w:pPr>
            <w:r w:rsidRPr="005D2BC0">
              <w:rPr>
                <w:b/>
                <w:sz w:val="20"/>
                <w:szCs w:val="20"/>
              </w:rPr>
              <w:t>Судебная система</w:t>
            </w:r>
          </w:p>
        </w:tc>
        <w:tc>
          <w:tcPr>
            <w:tcW w:w="1003" w:type="dxa"/>
            <w:tcBorders>
              <w:top w:val="double" w:sz="4" w:space="0" w:color="auto"/>
            </w:tcBorders>
            <w:shd w:val="clear" w:color="auto" w:fill="auto"/>
            <w:noWrap/>
            <w:vAlign w:val="center"/>
            <w:hideMark/>
          </w:tcPr>
          <w:p w:rsidR="005279E4" w:rsidRPr="005D2BC0" w:rsidRDefault="005279E4" w:rsidP="00CE46A3">
            <w:pPr>
              <w:ind w:left="-57" w:right="-57"/>
              <w:jc w:val="center"/>
              <w:rPr>
                <w:b/>
                <w:sz w:val="20"/>
                <w:szCs w:val="20"/>
              </w:rPr>
            </w:pPr>
            <w:r w:rsidRPr="005D2BC0">
              <w:rPr>
                <w:b/>
                <w:sz w:val="20"/>
                <w:szCs w:val="20"/>
              </w:rPr>
              <w:t>533 394,3</w:t>
            </w:r>
          </w:p>
        </w:tc>
        <w:tc>
          <w:tcPr>
            <w:tcW w:w="1123" w:type="dxa"/>
            <w:tcBorders>
              <w:top w:val="double" w:sz="4" w:space="0" w:color="auto"/>
            </w:tcBorders>
            <w:shd w:val="clear" w:color="auto" w:fill="auto"/>
            <w:noWrap/>
            <w:vAlign w:val="center"/>
            <w:hideMark/>
          </w:tcPr>
          <w:p w:rsidR="005279E4" w:rsidRPr="005D2BC0" w:rsidRDefault="005279E4" w:rsidP="00CE46A3">
            <w:pPr>
              <w:ind w:right="-57"/>
              <w:jc w:val="center"/>
              <w:rPr>
                <w:b/>
                <w:sz w:val="20"/>
                <w:szCs w:val="20"/>
              </w:rPr>
            </w:pPr>
            <w:r>
              <w:rPr>
                <w:b/>
                <w:sz w:val="20"/>
                <w:szCs w:val="20"/>
              </w:rPr>
              <w:t>491 520,0</w:t>
            </w:r>
          </w:p>
        </w:tc>
        <w:tc>
          <w:tcPr>
            <w:tcW w:w="1045" w:type="dxa"/>
            <w:tcBorders>
              <w:top w:val="double" w:sz="4" w:space="0" w:color="auto"/>
            </w:tcBorders>
            <w:shd w:val="clear" w:color="auto" w:fill="auto"/>
            <w:noWrap/>
            <w:vAlign w:val="center"/>
            <w:hideMark/>
          </w:tcPr>
          <w:p w:rsidR="005279E4" w:rsidRPr="005D2BC0" w:rsidRDefault="005279E4" w:rsidP="00CE46A3">
            <w:pPr>
              <w:ind w:right="-57"/>
              <w:jc w:val="center"/>
              <w:rPr>
                <w:b/>
                <w:sz w:val="20"/>
                <w:szCs w:val="20"/>
              </w:rPr>
            </w:pPr>
            <w:r>
              <w:rPr>
                <w:b/>
                <w:sz w:val="20"/>
                <w:szCs w:val="20"/>
              </w:rPr>
              <w:t>440 799,3</w:t>
            </w:r>
          </w:p>
        </w:tc>
        <w:tc>
          <w:tcPr>
            <w:tcW w:w="993" w:type="dxa"/>
            <w:tcBorders>
              <w:top w:val="double" w:sz="4" w:space="0" w:color="auto"/>
            </w:tcBorders>
            <w:shd w:val="clear" w:color="auto" w:fill="auto"/>
            <w:noWrap/>
            <w:vAlign w:val="center"/>
            <w:hideMark/>
          </w:tcPr>
          <w:p w:rsidR="005279E4" w:rsidRPr="00011914" w:rsidRDefault="007F0888" w:rsidP="00CE46A3">
            <w:pPr>
              <w:ind w:right="-57"/>
              <w:jc w:val="center"/>
              <w:rPr>
                <w:b/>
                <w:sz w:val="20"/>
                <w:szCs w:val="20"/>
              </w:rPr>
            </w:pPr>
            <w:r>
              <w:rPr>
                <w:b/>
                <w:sz w:val="20"/>
                <w:szCs w:val="20"/>
              </w:rPr>
              <w:t>-</w:t>
            </w:r>
            <w:r w:rsidR="005279E4" w:rsidRPr="00011914">
              <w:rPr>
                <w:b/>
                <w:sz w:val="20"/>
                <w:szCs w:val="20"/>
              </w:rPr>
              <w:t>50 720,7</w:t>
            </w:r>
          </w:p>
        </w:tc>
        <w:tc>
          <w:tcPr>
            <w:tcW w:w="868" w:type="dxa"/>
            <w:tcBorders>
              <w:top w:val="double" w:sz="4" w:space="0" w:color="auto"/>
              <w:right w:val="double" w:sz="4" w:space="0" w:color="auto"/>
            </w:tcBorders>
            <w:shd w:val="clear" w:color="auto" w:fill="auto"/>
            <w:noWrap/>
            <w:vAlign w:val="center"/>
            <w:hideMark/>
          </w:tcPr>
          <w:p w:rsidR="005279E4" w:rsidRPr="00011914" w:rsidRDefault="005279E4" w:rsidP="00CE46A3">
            <w:pPr>
              <w:ind w:right="-57"/>
              <w:jc w:val="center"/>
              <w:rPr>
                <w:b/>
                <w:sz w:val="20"/>
                <w:szCs w:val="20"/>
              </w:rPr>
            </w:pPr>
            <w:r w:rsidRPr="00011914">
              <w:rPr>
                <w:b/>
                <w:sz w:val="20"/>
                <w:szCs w:val="20"/>
              </w:rPr>
              <w:t>89,7%</w:t>
            </w:r>
          </w:p>
        </w:tc>
      </w:tr>
      <w:tr w:rsidR="005279E4" w:rsidRPr="00BD63EB" w:rsidTr="00CE46A3">
        <w:trPr>
          <w:trHeight w:val="20"/>
        </w:trPr>
        <w:tc>
          <w:tcPr>
            <w:tcW w:w="1134" w:type="dxa"/>
            <w:tcBorders>
              <w:left w:val="double" w:sz="4" w:space="0" w:color="auto"/>
            </w:tcBorders>
            <w:shd w:val="clear" w:color="auto" w:fill="auto"/>
            <w:noWrap/>
            <w:vAlign w:val="center"/>
            <w:hideMark/>
          </w:tcPr>
          <w:p w:rsidR="005279E4" w:rsidRPr="005D2BC0" w:rsidRDefault="005279E4" w:rsidP="00CE46A3">
            <w:pPr>
              <w:ind w:left="-57" w:right="-57"/>
              <w:jc w:val="right"/>
              <w:rPr>
                <w:sz w:val="20"/>
                <w:szCs w:val="20"/>
              </w:rPr>
            </w:pPr>
            <w:r w:rsidRPr="005D2BC0">
              <w:rPr>
                <w:sz w:val="20"/>
                <w:szCs w:val="20"/>
              </w:rPr>
              <w:t>8500021500</w:t>
            </w:r>
          </w:p>
        </w:tc>
        <w:tc>
          <w:tcPr>
            <w:tcW w:w="3615" w:type="dxa"/>
            <w:shd w:val="clear" w:color="auto" w:fill="auto"/>
            <w:vAlign w:val="center"/>
            <w:hideMark/>
          </w:tcPr>
          <w:p w:rsidR="005279E4" w:rsidRPr="005D2BC0" w:rsidRDefault="005279E4" w:rsidP="00CE46A3">
            <w:pPr>
              <w:rPr>
                <w:sz w:val="20"/>
                <w:szCs w:val="20"/>
              </w:rPr>
            </w:pPr>
            <w:r w:rsidRPr="005D2BC0">
              <w:rPr>
                <w:sz w:val="20"/>
                <w:szCs w:val="20"/>
              </w:rPr>
              <w:t>Мероприятия, направленные на создание оптимальных условий для полного и независимого осуществления правосудия мировыми судьями Волгоградской области</w:t>
            </w:r>
          </w:p>
        </w:tc>
        <w:tc>
          <w:tcPr>
            <w:tcW w:w="1003" w:type="dxa"/>
            <w:shd w:val="clear" w:color="auto" w:fill="auto"/>
            <w:noWrap/>
            <w:vAlign w:val="center"/>
            <w:hideMark/>
          </w:tcPr>
          <w:p w:rsidR="005279E4" w:rsidRPr="005D2BC0" w:rsidRDefault="005279E4" w:rsidP="00CE46A3">
            <w:pPr>
              <w:ind w:left="-57" w:right="-57"/>
              <w:jc w:val="center"/>
              <w:rPr>
                <w:sz w:val="20"/>
                <w:szCs w:val="20"/>
              </w:rPr>
            </w:pPr>
            <w:r w:rsidRPr="005D2BC0">
              <w:rPr>
                <w:sz w:val="20"/>
                <w:szCs w:val="20"/>
              </w:rPr>
              <w:t>132 885,0</w:t>
            </w:r>
          </w:p>
        </w:tc>
        <w:tc>
          <w:tcPr>
            <w:tcW w:w="1123" w:type="dxa"/>
            <w:shd w:val="clear" w:color="auto" w:fill="auto"/>
            <w:noWrap/>
            <w:vAlign w:val="center"/>
            <w:hideMark/>
          </w:tcPr>
          <w:p w:rsidR="005279E4" w:rsidRPr="005D2BC0" w:rsidRDefault="005279E4" w:rsidP="00CE46A3">
            <w:pPr>
              <w:ind w:right="-57"/>
              <w:jc w:val="center"/>
              <w:rPr>
                <w:sz w:val="20"/>
                <w:szCs w:val="20"/>
              </w:rPr>
            </w:pPr>
            <w:r>
              <w:rPr>
                <w:sz w:val="20"/>
                <w:szCs w:val="20"/>
              </w:rPr>
              <w:t>111 348,2</w:t>
            </w:r>
          </w:p>
        </w:tc>
        <w:tc>
          <w:tcPr>
            <w:tcW w:w="1045" w:type="dxa"/>
            <w:shd w:val="clear" w:color="auto" w:fill="auto"/>
            <w:noWrap/>
            <w:vAlign w:val="center"/>
            <w:hideMark/>
          </w:tcPr>
          <w:p w:rsidR="005279E4" w:rsidRPr="005D2BC0" w:rsidRDefault="005279E4" w:rsidP="00CE46A3">
            <w:pPr>
              <w:ind w:right="-57"/>
              <w:jc w:val="center"/>
              <w:rPr>
                <w:sz w:val="20"/>
                <w:szCs w:val="20"/>
              </w:rPr>
            </w:pPr>
            <w:r>
              <w:rPr>
                <w:sz w:val="20"/>
                <w:szCs w:val="20"/>
              </w:rPr>
              <w:t>71 304,9</w:t>
            </w:r>
          </w:p>
        </w:tc>
        <w:tc>
          <w:tcPr>
            <w:tcW w:w="993" w:type="dxa"/>
            <w:shd w:val="clear" w:color="auto" w:fill="auto"/>
            <w:noWrap/>
            <w:vAlign w:val="center"/>
            <w:hideMark/>
          </w:tcPr>
          <w:p w:rsidR="005279E4" w:rsidRPr="00011914" w:rsidRDefault="007F0888" w:rsidP="00CE46A3">
            <w:pPr>
              <w:ind w:right="-57"/>
              <w:jc w:val="center"/>
              <w:rPr>
                <w:sz w:val="20"/>
                <w:szCs w:val="20"/>
              </w:rPr>
            </w:pPr>
            <w:r>
              <w:rPr>
                <w:sz w:val="20"/>
                <w:szCs w:val="20"/>
              </w:rPr>
              <w:t>-</w:t>
            </w:r>
            <w:r w:rsidR="005279E4" w:rsidRPr="00011914">
              <w:rPr>
                <w:sz w:val="20"/>
                <w:szCs w:val="20"/>
              </w:rPr>
              <w:t>40 043,3</w:t>
            </w:r>
          </w:p>
        </w:tc>
        <w:tc>
          <w:tcPr>
            <w:tcW w:w="868" w:type="dxa"/>
            <w:tcBorders>
              <w:right w:val="double" w:sz="4" w:space="0" w:color="auto"/>
            </w:tcBorders>
            <w:shd w:val="clear" w:color="auto" w:fill="auto"/>
            <w:noWrap/>
            <w:vAlign w:val="center"/>
            <w:hideMark/>
          </w:tcPr>
          <w:p w:rsidR="005279E4" w:rsidRPr="00011914" w:rsidRDefault="005279E4" w:rsidP="00CE46A3">
            <w:pPr>
              <w:ind w:right="-57"/>
              <w:jc w:val="center"/>
              <w:rPr>
                <w:sz w:val="20"/>
                <w:szCs w:val="20"/>
              </w:rPr>
            </w:pPr>
            <w:r w:rsidRPr="00011914">
              <w:rPr>
                <w:sz w:val="20"/>
                <w:szCs w:val="20"/>
              </w:rPr>
              <w:t>64,0%</w:t>
            </w:r>
          </w:p>
        </w:tc>
      </w:tr>
      <w:tr w:rsidR="005279E4" w:rsidRPr="00BD63EB" w:rsidTr="00CE46A3">
        <w:trPr>
          <w:trHeight w:val="20"/>
        </w:trPr>
        <w:tc>
          <w:tcPr>
            <w:tcW w:w="1134" w:type="dxa"/>
            <w:tcBorders>
              <w:left w:val="double" w:sz="4" w:space="0" w:color="auto"/>
            </w:tcBorders>
            <w:shd w:val="clear" w:color="auto" w:fill="auto"/>
            <w:noWrap/>
            <w:vAlign w:val="center"/>
            <w:hideMark/>
          </w:tcPr>
          <w:p w:rsidR="005279E4" w:rsidRPr="005D2BC0" w:rsidRDefault="005279E4" w:rsidP="00CE46A3">
            <w:pPr>
              <w:ind w:left="-57" w:right="-57"/>
              <w:jc w:val="right"/>
              <w:rPr>
                <w:sz w:val="20"/>
                <w:szCs w:val="20"/>
              </w:rPr>
            </w:pPr>
            <w:r w:rsidRPr="005D2BC0">
              <w:rPr>
                <w:sz w:val="20"/>
                <w:szCs w:val="20"/>
              </w:rPr>
              <w:t>9000000</w:t>
            </w:r>
            <w:r>
              <w:rPr>
                <w:sz w:val="20"/>
                <w:szCs w:val="20"/>
              </w:rPr>
              <w:t>000</w:t>
            </w:r>
          </w:p>
        </w:tc>
        <w:tc>
          <w:tcPr>
            <w:tcW w:w="3615" w:type="dxa"/>
            <w:shd w:val="clear" w:color="auto" w:fill="auto"/>
            <w:vAlign w:val="center"/>
            <w:hideMark/>
          </w:tcPr>
          <w:p w:rsidR="005279E4" w:rsidRPr="005D2BC0" w:rsidRDefault="005279E4" w:rsidP="00CE46A3">
            <w:pPr>
              <w:rPr>
                <w:sz w:val="20"/>
                <w:szCs w:val="20"/>
              </w:rPr>
            </w:pPr>
            <w:r w:rsidRPr="005D2BC0">
              <w:rPr>
                <w:sz w:val="20"/>
                <w:szCs w:val="20"/>
              </w:rPr>
              <w:t>Организационное обеспечение деятельности мировых судей</w:t>
            </w:r>
          </w:p>
        </w:tc>
        <w:tc>
          <w:tcPr>
            <w:tcW w:w="1003" w:type="dxa"/>
            <w:shd w:val="clear" w:color="auto" w:fill="auto"/>
            <w:noWrap/>
            <w:vAlign w:val="center"/>
            <w:hideMark/>
          </w:tcPr>
          <w:p w:rsidR="005279E4" w:rsidRPr="005D2BC0" w:rsidRDefault="005279E4" w:rsidP="00CE46A3">
            <w:pPr>
              <w:ind w:left="-57" w:right="-57"/>
              <w:jc w:val="center"/>
              <w:rPr>
                <w:sz w:val="20"/>
                <w:szCs w:val="20"/>
              </w:rPr>
            </w:pPr>
            <w:r w:rsidRPr="005D2BC0">
              <w:rPr>
                <w:sz w:val="20"/>
                <w:szCs w:val="20"/>
              </w:rPr>
              <w:t>397 820,3</w:t>
            </w:r>
          </w:p>
        </w:tc>
        <w:tc>
          <w:tcPr>
            <w:tcW w:w="1123" w:type="dxa"/>
            <w:shd w:val="clear" w:color="auto" w:fill="auto"/>
            <w:noWrap/>
            <w:vAlign w:val="center"/>
            <w:hideMark/>
          </w:tcPr>
          <w:p w:rsidR="005279E4" w:rsidRPr="005D2BC0" w:rsidRDefault="005279E4" w:rsidP="00CE46A3">
            <w:pPr>
              <w:ind w:right="-57"/>
              <w:jc w:val="center"/>
              <w:rPr>
                <w:sz w:val="20"/>
                <w:szCs w:val="20"/>
              </w:rPr>
            </w:pPr>
            <w:r>
              <w:rPr>
                <w:sz w:val="20"/>
                <w:szCs w:val="20"/>
              </w:rPr>
              <w:t>379 507,3</w:t>
            </w:r>
          </w:p>
        </w:tc>
        <w:tc>
          <w:tcPr>
            <w:tcW w:w="1045" w:type="dxa"/>
            <w:shd w:val="clear" w:color="auto" w:fill="auto"/>
            <w:noWrap/>
            <w:vAlign w:val="center"/>
            <w:hideMark/>
          </w:tcPr>
          <w:p w:rsidR="005279E4" w:rsidRPr="005D2BC0" w:rsidRDefault="005279E4" w:rsidP="00CE46A3">
            <w:pPr>
              <w:ind w:right="-57"/>
              <w:jc w:val="center"/>
              <w:rPr>
                <w:sz w:val="20"/>
                <w:szCs w:val="20"/>
              </w:rPr>
            </w:pPr>
            <w:r>
              <w:rPr>
                <w:sz w:val="20"/>
                <w:szCs w:val="20"/>
              </w:rPr>
              <w:t>369 022,6</w:t>
            </w:r>
          </w:p>
        </w:tc>
        <w:tc>
          <w:tcPr>
            <w:tcW w:w="993" w:type="dxa"/>
            <w:shd w:val="clear" w:color="auto" w:fill="auto"/>
            <w:noWrap/>
            <w:vAlign w:val="center"/>
            <w:hideMark/>
          </w:tcPr>
          <w:p w:rsidR="005279E4" w:rsidRPr="00011914" w:rsidRDefault="005279E4" w:rsidP="00CE46A3">
            <w:pPr>
              <w:ind w:right="-57"/>
              <w:jc w:val="center"/>
              <w:rPr>
                <w:sz w:val="20"/>
                <w:szCs w:val="20"/>
              </w:rPr>
            </w:pPr>
            <w:r>
              <w:rPr>
                <w:sz w:val="20"/>
                <w:szCs w:val="20"/>
              </w:rPr>
              <w:t>-1</w:t>
            </w:r>
            <w:r w:rsidRPr="00011914">
              <w:rPr>
                <w:sz w:val="20"/>
                <w:szCs w:val="20"/>
              </w:rPr>
              <w:t>0 484,7</w:t>
            </w:r>
          </w:p>
        </w:tc>
        <w:tc>
          <w:tcPr>
            <w:tcW w:w="868" w:type="dxa"/>
            <w:tcBorders>
              <w:right w:val="double" w:sz="4" w:space="0" w:color="auto"/>
            </w:tcBorders>
            <w:shd w:val="clear" w:color="auto" w:fill="auto"/>
            <w:noWrap/>
            <w:vAlign w:val="center"/>
            <w:hideMark/>
          </w:tcPr>
          <w:p w:rsidR="005279E4" w:rsidRPr="00011914" w:rsidRDefault="005279E4" w:rsidP="00CE46A3">
            <w:pPr>
              <w:ind w:right="-57"/>
              <w:jc w:val="center"/>
              <w:rPr>
                <w:sz w:val="20"/>
                <w:szCs w:val="20"/>
              </w:rPr>
            </w:pPr>
            <w:r w:rsidRPr="00011914">
              <w:rPr>
                <w:sz w:val="20"/>
                <w:szCs w:val="20"/>
              </w:rPr>
              <w:t>97,2%</w:t>
            </w:r>
          </w:p>
        </w:tc>
      </w:tr>
      <w:tr w:rsidR="005279E4" w:rsidRPr="00BD63EB" w:rsidTr="00CE46A3">
        <w:trPr>
          <w:trHeight w:val="20"/>
        </w:trPr>
        <w:tc>
          <w:tcPr>
            <w:tcW w:w="1134" w:type="dxa"/>
            <w:tcBorders>
              <w:left w:val="double" w:sz="4" w:space="0" w:color="auto"/>
            </w:tcBorders>
            <w:shd w:val="clear" w:color="auto" w:fill="auto"/>
            <w:noWrap/>
            <w:vAlign w:val="center"/>
            <w:hideMark/>
          </w:tcPr>
          <w:p w:rsidR="005279E4" w:rsidRPr="005D2BC0" w:rsidRDefault="005279E4" w:rsidP="00CE46A3">
            <w:pPr>
              <w:ind w:left="-57" w:right="-57"/>
              <w:jc w:val="right"/>
              <w:rPr>
                <w:sz w:val="20"/>
                <w:szCs w:val="20"/>
              </w:rPr>
            </w:pPr>
            <w:r w:rsidRPr="005D2BC0">
              <w:rPr>
                <w:sz w:val="20"/>
                <w:szCs w:val="20"/>
              </w:rPr>
              <w:t>9900000000</w:t>
            </w:r>
          </w:p>
        </w:tc>
        <w:tc>
          <w:tcPr>
            <w:tcW w:w="3615" w:type="dxa"/>
            <w:shd w:val="clear" w:color="auto" w:fill="auto"/>
            <w:vAlign w:val="center"/>
            <w:hideMark/>
          </w:tcPr>
          <w:p w:rsidR="005279E4" w:rsidRPr="005D2BC0" w:rsidRDefault="005279E4" w:rsidP="00CE46A3">
            <w:pPr>
              <w:rPr>
                <w:sz w:val="20"/>
                <w:szCs w:val="20"/>
              </w:rPr>
            </w:pPr>
            <w:r w:rsidRPr="005D2BC0">
              <w:rPr>
                <w:sz w:val="20"/>
                <w:szCs w:val="20"/>
              </w:rPr>
              <w:t>Непрограммные расходы гос. органов</w:t>
            </w:r>
          </w:p>
        </w:tc>
        <w:tc>
          <w:tcPr>
            <w:tcW w:w="1003" w:type="dxa"/>
            <w:shd w:val="clear" w:color="auto" w:fill="auto"/>
            <w:noWrap/>
            <w:vAlign w:val="center"/>
            <w:hideMark/>
          </w:tcPr>
          <w:p w:rsidR="005279E4" w:rsidRPr="005D2BC0" w:rsidRDefault="005279E4" w:rsidP="00CE46A3">
            <w:pPr>
              <w:ind w:left="-57" w:right="-57"/>
              <w:jc w:val="center"/>
              <w:rPr>
                <w:sz w:val="20"/>
                <w:szCs w:val="20"/>
              </w:rPr>
            </w:pPr>
            <w:r w:rsidRPr="005D2BC0">
              <w:rPr>
                <w:sz w:val="20"/>
                <w:szCs w:val="20"/>
              </w:rPr>
              <w:t>2 689,0</w:t>
            </w:r>
          </w:p>
        </w:tc>
        <w:tc>
          <w:tcPr>
            <w:tcW w:w="1123" w:type="dxa"/>
            <w:shd w:val="clear" w:color="auto" w:fill="auto"/>
            <w:noWrap/>
            <w:vAlign w:val="bottom"/>
            <w:hideMark/>
          </w:tcPr>
          <w:p w:rsidR="005279E4" w:rsidRPr="00011914" w:rsidRDefault="005279E4" w:rsidP="00CE46A3">
            <w:pPr>
              <w:ind w:left="-57" w:right="-57"/>
              <w:jc w:val="center"/>
              <w:rPr>
                <w:sz w:val="20"/>
                <w:szCs w:val="20"/>
              </w:rPr>
            </w:pPr>
            <w:r w:rsidRPr="00011914">
              <w:rPr>
                <w:sz w:val="20"/>
                <w:szCs w:val="20"/>
              </w:rPr>
              <w:t>664,5</w:t>
            </w:r>
          </w:p>
        </w:tc>
        <w:tc>
          <w:tcPr>
            <w:tcW w:w="1045" w:type="dxa"/>
            <w:shd w:val="clear" w:color="auto" w:fill="auto"/>
            <w:noWrap/>
            <w:vAlign w:val="bottom"/>
            <w:hideMark/>
          </w:tcPr>
          <w:p w:rsidR="005279E4" w:rsidRPr="00011914" w:rsidRDefault="005279E4" w:rsidP="00CE46A3">
            <w:pPr>
              <w:ind w:left="-57" w:right="-57"/>
              <w:jc w:val="center"/>
              <w:rPr>
                <w:sz w:val="20"/>
                <w:szCs w:val="20"/>
              </w:rPr>
            </w:pPr>
            <w:r w:rsidRPr="00011914">
              <w:rPr>
                <w:sz w:val="20"/>
                <w:szCs w:val="20"/>
              </w:rPr>
              <w:t>471,8</w:t>
            </w:r>
          </w:p>
        </w:tc>
        <w:tc>
          <w:tcPr>
            <w:tcW w:w="993" w:type="dxa"/>
            <w:shd w:val="clear" w:color="auto" w:fill="auto"/>
            <w:noWrap/>
            <w:vAlign w:val="center"/>
            <w:hideMark/>
          </w:tcPr>
          <w:p w:rsidR="005279E4" w:rsidRPr="00011914" w:rsidRDefault="007F0888" w:rsidP="00CE46A3">
            <w:pPr>
              <w:ind w:right="-57"/>
              <w:jc w:val="center"/>
              <w:rPr>
                <w:sz w:val="20"/>
                <w:szCs w:val="20"/>
              </w:rPr>
            </w:pPr>
            <w:r>
              <w:rPr>
                <w:sz w:val="20"/>
                <w:szCs w:val="20"/>
              </w:rPr>
              <w:t>-</w:t>
            </w:r>
            <w:r w:rsidR="005279E4" w:rsidRPr="00011914">
              <w:rPr>
                <w:sz w:val="20"/>
                <w:szCs w:val="20"/>
              </w:rPr>
              <w:t>192,7</w:t>
            </w:r>
          </w:p>
        </w:tc>
        <w:tc>
          <w:tcPr>
            <w:tcW w:w="868" w:type="dxa"/>
            <w:tcBorders>
              <w:right w:val="double" w:sz="4" w:space="0" w:color="auto"/>
            </w:tcBorders>
            <w:shd w:val="clear" w:color="auto" w:fill="auto"/>
            <w:noWrap/>
            <w:vAlign w:val="center"/>
            <w:hideMark/>
          </w:tcPr>
          <w:p w:rsidR="005279E4" w:rsidRPr="00011914" w:rsidRDefault="005279E4" w:rsidP="00CE46A3">
            <w:pPr>
              <w:ind w:right="-57"/>
              <w:jc w:val="center"/>
              <w:rPr>
                <w:sz w:val="20"/>
                <w:szCs w:val="20"/>
              </w:rPr>
            </w:pPr>
            <w:r w:rsidRPr="00011914">
              <w:rPr>
                <w:sz w:val="20"/>
                <w:szCs w:val="20"/>
              </w:rPr>
              <w:t>71,0%</w:t>
            </w:r>
          </w:p>
        </w:tc>
      </w:tr>
      <w:tr w:rsidR="005279E4" w:rsidRPr="00BD63EB" w:rsidTr="00CE46A3">
        <w:trPr>
          <w:trHeight w:val="20"/>
        </w:trPr>
        <w:tc>
          <w:tcPr>
            <w:tcW w:w="1134" w:type="dxa"/>
            <w:tcBorders>
              <w:left w:val="double" w:sz="4" w:space="0" w:color="auto"/>
            </w:tcBorders>
            <w:shd w:val="clear" w:color="auto" w:fill="auto"/>
            <w:noWrap/>
            <w:vAlign w:val="center"/>
            <w:hideMark/>
          </w:tcPr>
          <w:p w:rsidR="005279E4" w:rsidRPr="005D2BC0" w:rsidRDefault="005279E4" w:rsidP="00CE46A3">
            <w:pPr>
              <w:ind w:left="-57" w:right="-57"/>
              <w:jc w:val="right"/>
              <w:rPr>
                <w:sz w:val="20"/>
                <w:szCs w:val="20"/>
              </w:rPr>
            </w:pPr>
            <w:r w:rsidRPr="005D2BC0">
              <w:rPr>
                <w:sz w:val="20"/>
                <w:szCs w:val="20"/>
              </w:rPr>
              <w:t>9900011240 </w:t>
            </w:r>
          </w:p>
        </w:tc>
        <w:tc>
          <w:tcPr>
            <w:tcW w:w="3615" w:type="dxa"/>
            <w:shd w:val="clear" w:color="auto" w:fill="auto"/>
            <w:vAlign w:val="center"/>
            <w:hideMark/>
          </w:tcPr>
          <w:p w:rsidR="005279E4" w:rsidRPr="005D2BC0" w:rsidRDefault="005279E4" w:rsidP="00CE46A3">
            <w:pPr>
              <w:rPr>
                <w:sz w:val="20"/>
                <w:szCs w:val="20"/>
              </w:rPr>
            </w:pPr>
            <w:r w:rsidRPr="005D2BC0">
              <w:rPr>
                <w:sz w:val="20"/>
                <w:szCs w:val="20"/>
              </w:rPr>
              <w:t>Возмещение мировым судьям командировочных расходов, связанных с получением дополнительного профессионального образования</w:t>
            </w:r>
          </w:p>
        </w:tc>
        <w:tc>
          <w:tcPr>
            <w:tcW w:w="1003" w:type="dxa"/>
            <w:shd w:val="clear" w:color="auto" w:fill="auto"/>
            <w:noWrap/>
            <w:vAlign w:val="center"/>
            <w:hideMark/>
          </w:tcPr>
          <w:p w:rsidR="005279E4" w:rsidRPr="005D2BC0" w:rsidRDefault="005279E4" w:rsidP="00CE46A3">
            <w:pPr>
              <w:ind w:right="-57"/>
              <w:jc w:val="center"/>
              <w:rPr>
                <w:sz w:val="20"/>
                <w:szCs w:val="20"/>
              </w:rPr>
            </w:pPr>
            <w:r>
              <w:rPr>
                <w:sz w:val="20"/>
                <w:szCs w:val="20"/>
              </w:rPr>
              <w:t>-</w:t>
            </w:r>
          </w:p>
        </w:tc>
        <w:tc>
          <w:tcPr>
            <w:tcW w:w="1123" w:type="dxa"/>
            <w:shd w:val="clear" w:color="auto" w:fill="auto"/>
            <w:noWrap/>
            <w:vAlign w:val="center"/>
            <w:hideMark/>
          </w:tcPr>
          <w:p w:rsidR="005279E4" w:rsidRPr="005D2BC0" w:rsidRDefault="005279E4" w:rsidP="00CE46A3">
            <w:pPr>
              <w:ind w:right="-57"/>
              <w:jc w:val="center"/>
              <w:rPr>
                <w:sz w:val="20"/>
                <w:szCs w:val="20"/>
              </w:rPr>
            </w:pPr>
            <w:r>
              <w:rPr>
                <w:sz w:val="20"/>
                <w:szCs w:val="20"/>
              </w:rPr>
              <w:t>52,0</w:t>
            </w:r>
          </w:p>
        </w:tc>
        <w:tc>
          <w:tcPr>
            <w:tcW w:w="1045" w:type="dxa"/>
            <w:shd w:val="clear" w:color="auto" w:fill="auto"/>
            <w:noWrap/>
            <w:vAlign w:val="center"/>
            <w:hideMark/>
          </w:tcPr>
          <w:p w:rsidR="005279E4" w:rsidRPr="005D2BC0" w:rsidRDefault="005279E4" w:rsidP="00CE46A3">
            <w:pPr>
              <w:ind w:right="-57"/>
              <w:jc w:val="center"/>
              <w:rPr>
                <w:sz w:val="20"/>
                <w:szCs w:val="20"/>
              </w:rPr>
            </w:pPr>
            <w:r>
              <w:rPr>
                <w:sz w:val="20"/>
                <w:szCs w:val="20"/>
              </w:rPr>
              <w:t>17,9</w:t>
            </w:r>
          </w:p>
        </w:tc>
        <w:tc>
          <w:tcPr>
            <w:tcW w:w="993" w:type="dxa"/>
            <w:shd w:val="clear" w:color="auto" w:fill="auto"/>
            <w:noWrap/>
            <w:vAlign w:val="center"/>
            <w:hideMark/>
          </w:tcPr>
          <w:p w:rsidR="005279E4" w:rsidRPr="00011914" w:rsidRDefault="007F0888" w:rsidP="00CE46A3">
            <w:pPr>
              <w:ind w:right="-57"/>
              <w:jc w:val="center"/>
              <w:rPr>
                <w:sz w:val="20"/>
                <w:szCs w:val="20"/>
              </w:rPr>
            </w:pPr>
            <w:r>
              <w:rPr>
                <w:sz w:val="20"/>
                <w:szCs w:val="20"/>
              </w:rPr>
              <w:t>-</w:t>
            </w:r>
            <w:r w:rsidR="005279E4" w:rsidRPr="00011914">
              <w:rPr>
                <w:sz w:val="20"/>
                <w:szCs w:val="20"/>
              </w:rPr>
              <w:t>34,1</w:t>
            </w:r>
          </w:p>
        </w:tc>
        <w:tc>
          <w:tcPr>
            <w:tcW w:w="868" w:type="dxa"/>
            <w:tcBorders>
              <w:right w:val="double" w:sz="4" w:space="0" w:color="auto"/>
            </w:tcBorders>
            <w:shd w:val="clear" w:color="auto" w:fill="auto"/>
            <w:noWrap/>
            <w:vAlign w:val="center"/>
            <w:hideMark/>
          </w:tcPr>
          <w:p w:rsidR="005279E4" w:rsidRPr="00011914" w:rsidRDefault="005279E4" w:rsidP="00CE46A3">
            <w:pPr>
              <w:ind w:right="-57"/>
              <w:jc w:val="center"/>
              <w:rPr>
                <w:sz w:val="20"/>
                <w:szCs w:val="20"/>
              </w:rPr>
            </w:pPr>
            <w:r w:rsidRPr="00011914">
              <w:rPr>
                <w:sz w:val="20"/>
                <w:szCs w:val="20"/>
              </w:rPr>
              <w:t>34,</w:t>
            </w:r>
            <w:r>
              <w:rPr>
                <w:sz w:val="20"/>
                <w:szCs w:val="20"/>
              </w:rPr>
              <w:t>5</w:t>
            </w:r>
            <w:r w:rsidRPr="00011914">
              <w:rPr>
                <w:sz w:val="20"/>
                <w:szCs w:val="20"/>
              </w:rPr>
              <w:t>%</w:t>
            </w:r>
          </w:p>
        </w:tc>
      </w:tr>
      <w:tr w:rsidR="005279E4" w:rsidRPr="00BD63EB" w:rsidTr="00CE46A3">
        <w:trPr>
          <w:trHeight w:val="20"/>
        </w:trPr>
        <w:tc>
          <w:tcPr>
            <w:tcW w:w="1134" w:type="dxa"/>
            <w:tcBorders>
              <w:left w:val="double" w:sz="4" w:space="0" w:color="auto"/>
            </w:tcBorders>
            <w:shd w:val="clear" w:color="auto" w:fill="auto"/>
            <w:noWrap/>
            <w:vAlign w:val="center"/>
            <w:hideMark/>
          </w:tcPr>
          <w:p w:rsidR="005279E4" w:rsidRPr="005D2BC0" w:rsidRDefault="005279E4" w:rsidP="00CE46A3">
            <w:pPr>
              <w:ind w:left="-57" w:right="-57"/>
              <w:jc w:val="right"/>
              <w:rPr>
                <w:sz w:val="20"/>
                <w:szCs w:val="20"/>
              </w:rPr>
            </w:pPr>
            <w:r w:rsidRPr="005D2BC0">
              <w:rPr>
                <w:sz w:val="20"/>
                <w:szCs w:val="20"/>
              </w:rPr>
              <w:t>9900020070</w:t>
            </w:r>
          </w:p>
        </w:tc>
        <w:tc>
          <w:tcPr>
            <w:tcW w:w="3615" w:type="dxa"/>
            <w:shd w:val="clear" w:color="auto" w:fill="auto"/>
            <w:vAlign w:val="center"/>
            <w:hideMark/>
          </w:tcPr>
          <w:p w:rsidR="005279E4" w:rsidRPr="005D2BC0" w:rsidRDefault="005279E4" w:rsidP="00CE46A3">
            <w:pPr>
              <w:rPr>
                <w:sz w:val="20"/>
                <w:szCs w:val="20"/>
              </w:rPr>
            </w:pPr>
            <w:r w:rsidRPr="005D2BC0">
              <w:rPr>
                <w:sz w:val="20"/>
                <w:szCs w:val="20"/>
              </w:rPr>
              <w:t>Расходы на повышение квалификации мировых судей</w:t>
            </w:r>
          </w:p>
        </w:tc>
        <w:tc>
          <w:tcPr>
            <w:tcW w:w="1003" w:type="dxa"/>
            <w:shd w:val="clear" w:color="auto" w:fill="auto"/>
            <w:noWrap/>
            <w:vAlign w:val="center"/>
            <w:hideMark/>
          </w:tcPr>
          <w:p w:rsidR="005279E4" w:rsidRPr="005D2BC0" w:rsidRDefault="005279E4" w:rsidP="00CE46A3">
            <w:pPr>
              <w:ind w:right="-57"/>
              <w:jc w:val="center"/>
              <w:rPr>
                <w:sz w:val="20"/>
                <w:szCs w:val="20"/>
              </w:rPr>
            </w:pPr>
            <w:r>
              <w:rPr>
                <w:sz w:val="20"/>
                <w:szCs w:val="20"/>
              </w:rPr>
              <w:t>-</w:t>
            </w:r>
          </w:p>
        </w:tc>
        <w:tc>
          <w:tcPr>
            <w:tcW w:w="1123" w:type="dxa"/>
            <w:shd w:val="clear" w:color="auto" w:fill="auto"/>
            <w:noWrap/>
            <w:vAlign w:val="center"/>
            <w:hideMark/>
          </w:tcPr>
          <w:p w:rsidR="005279E4" w:rsidRPr="005D2BC0" w:rsidRDefault="005279E4" w:rsidP="00CE46A3">
            <w:pPr>
              <w:ind w:right="-57"/>
              <w:jc w:val="center"/>
              <w:rPr>
                <w:sz w:val="20"/>
                <w:szCs w:val="20"/>
              </w:rPr>
            </w:pPr>
            <w:r>
              <w:rPr>
                <w:sz w:val="20"/>
                <w:szCs w:val="20"/>
              </w:rPr>
              <w:t>467,5</w:t>
            </w:r>
          </w:p>
        </w:tc>
        <w:tc>
          <w:tcPr>
            <w:tcW w:w="1045" w:type="dxa"/>
            <w:shd w:val="clear" w:color="auto" w:fill="auto"/>
            <w:noWrap/>
            <w:vAlign w:val="center"/>
            <w:hideMark/>
          </w:tcPr>
          <w:p w:rsidR="005279E4" w:rsidRPr="005D2BC0" w:rsidRDefault="005279E4" w:rsidP="00CE46A3">
            <w:pPr>
              <w:ind w:right="-57"/>
              <w:jc w:val="center"/>
              <w:rPr>
                <w:sz w:val="20"/>
                <w:szCs w:val="20"/>
              </w:rPr>
            </w:pPr>
            <w:r>
              <w:rPr>
                <w:sz w:val="20"/>
                <w:szCs w:val="20"/>
              </w:rPr>
              <w:t>308,9</w:t>
            </w:r>
          </w:p>
        </w:tc>
        <w:tc>
          <w:tcPr>
            <w:tcW w:w="993" w:type="dxa"/>
            <w:shd w:val="clear" w:color="auto" w:fill="auto"/>
            <w:noWrap/>
            <w:vAlign w:val="center"/>
            <w:hideMark/>
          </w:tcPr>
          <w:p w:rsidR="005279E4" w:rsidRPr="00011914" w:rsidRDefault="007F0888" w:rsidP="00CE46A3">
            <w:pPr>
              <w:ind w:right="-57"/>
              <w:jc w:val="center"/>
              <w:rPr>
                <w:sz w:val="20"/>
                <w:szCs w:val="20"/>
              </w:rPr>
            </w:pPr>
            <w:r>
              <w:rPr>
                <w:sz w:val="20"/>
                <w:szCs w:val="20"/>
              </w:rPr>
              <w:t>-</w:t>
            </w:r>
            <w:r w:rsidR="005279E4" w:rsidRPr="00011914">
              <w:rPr>
                <w:sz w:val="20"/>
                <w:szCs w:val="20"/>
              </w:rPr>
              <w:t>158,6</w:t>
            </w:r>
          </w:p>
        </w:tc>
        <w:tc>
          <w:tcPr>
            <w:tcW w:w="868" w:type="dxa"/>
            <w:tcBorders>
              <w:right w:val="double" w:sz="4" w:space="0" w:color="auto"/>
            </w:tcBorders>
            <w:shd w:val="clear" w:color="auto" w:fill="auto"/>
            <w:noWrap/>
            <w:vAlign w:val="center"/>
            <w:hideMark/>
          </w:tcPr>
          <w:p w:rsidR="005279E4" w:rsidRPr="00011914" w:rsidRDefault="005279E4" w:rsidP="00CE46A3">
            <w:pPr>
              <w:ind w:right="-57"/>
              <w:jc w:val="center"/>
              <w:rPr>
                <w:sz w:val="20"/>
                <w:szCs w:val="20"/>
              </w:rPr>
            </w:pPr>
            <w:r w:rsidRPr="00011914">
              <w:rPr>
                <w:sz w:val="20"/>
                <w:szCs w:val="20"/>
              </w:rPr>
              <w:t>66,1%</w:t>
            </w:r>
          </w:p>
        </w:tc>
      </w:tr>
      <w:tr w:rsidR="005279E4" w:rsidRPr="00BD63EB" w:rsidTr="00CE46A3">
        <w:trPr>
          <w:trHeight w:val="20"/>
        </w:trPr>
        <w:tc>
          <w:tcPr>
            <w:tcW w:w="1134" w:type="dxa"/>
            <w:tcBorders>
              <w:left w:val="double" w:sz="4" w:space="0" w:color="auto"/>
            </w:tcBorders>
            <w:shd w:val="clear" w:color="auto" w:fill="auto"/>
            <w:noWrap/>
            <w:vAlign w:val="center"/>
            <w:hideMark/>
          </w:tcPr>
          <w:p w:rsidR="005279E4" w:rsidRPr="005D2BC0" w:rsidRDefault="005279E4" w:rsidP="00CE46A3">
            <w:pPr>
              <w:ind w:left="-57" w:right="-57"/>
              <w:jc w:val="right"/>
              <w:rPr>
                <w:sz w:val="20"/>
                <w:szCs w:val="20"/>
              </w:rPr>
            </w:pPr>
            <w:r w:rsidRPr="005D2BC0">
              <w:rPr>
                <w:sz w:val="20"/>
                <w:szCs w:val="20"/>
              </w:rPr>
              <w:t>9900051200</w:t>
            </w:r>
          </w:p>
        </w:tc>
        <w:tc>
          <w:tcPr>
            <w:tcW w:w="3615" w:type="dxa"/>
            <w:shd w:val="clear" w:color="auto" w:fill="auto"/>
            <w:vAlign w:val="center"/>
            <w:hideMark/>
          </w:tcPr>
          <w:p w:rsidR="005279E4" w:rsidRPr="005D2BC0" w:rsidRDefault="005279E4" w:rsidP="00CE46A3">
            <w:pPr>
              <w:rPr>
                <w:sz w:val="20"/>
                <w:szCs w:val="20"/>
              </w:rPr>
            </w:pPr>
            <w:r w:rsidRPr="005D2BC0">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РФ</w:t>
            </w:r>
          </w:p>
        </w:tc>
        <w:tc>
          <w:tcPr>
            <w:tcW w:w="1003" w:type="dxa"/>
            <w:shd w:val="clear" w:color="auto" w:fill="auto"/>
            <w:noWrap/>
            <w:vAlign w:val="center"/>
            <w:hideMark/>
          </w:tcPr>
          <w:p w:rsidR="005279E4" w:rsidRPr="005D2BC0" w:rsidRDefault="005279E4" w:rsidP="00CE46A3">
            <w:pPr>
              <w:ind w:right="-57"/>
              <w:jc w:val="center"/>
              <w:rPr>
                <w:sz w:val="20"/>
                <w:szCs w:val="20"/>
              </w:rPr>
            </w:pPr>
            <w:r>
              <w:rPr>
                <w:sz w:val="20"/>
                <w:szCs w:val="20"/>
              </w:rPr>
              <w:t>-</w:t>
            </w:r>
          </w:p>
        </w:tc>
        <w:tc>
          <w:tcPr>
            <w:tcW w:w="1123" w:type="dxa"/>
            <w:shd w:val="clear" w:color="auto" w:fill="auto"/>
            <w:noWrap/>
            <w:vAlign w:val="center"/>
            <w:hideMark/>
          </w:tcPr>
          <w:p w:rsidR="005279E4" w:rsidRPr="005D2BC0" w:rsidRDefault="005279E4" w:rsidP="00CE46A3">
            <w:pPr>
              <w:ind w:right="-57"/>
              <w:jc w:val="center"/>
              <w:rPr>
                <w:sz w:val="20"/>
                <w:szCs w:val="20"/>
              </w:rPr>
            </w:pPr>
            <w:r>
              <w:rPr>
                <w:sz w:val="20"/>
                <w:szCs w:val="20"/>
              </w:rPr>
              <w:t>72,0</w:t>
            </w:r>
          </w:p>
        </w:tc>
        <w:tc>
          <w:tcPr>
            <w:tcW w:w="1045" w:type="dxa"/>
            <w:shd w:val="clear" w:color="auto" w:fill="auto"/>
            <w:noWrap/>
            <w:vAlign w:val="center"/>
            <w:hideMark/>
          </w:tcPr>
          <w:p w:rsidR="005279E4" w:rsidRPr="005D2BC0" w:rsidRDefault="005279E4" w:rsidP="00CE46A3">
            <w:pPr>
              <w:ind w:right="-57"/>
              <w:jc w:val="center"/>
              <w:rPr>
                <w:sz w:val="20"/>
                <w:szCs w:val="20"/>
              </w:rPr>
            </w:pPr>
            <w:r>
              <w:rPr>
                <w:sz w:val="20"/>
                <w:szCs w:val="20"/>
              </w:rPr>
              <w:t>72,0</w:t>
            </w:r>
          </w:p>
        </w:tc>
        <w:tc>
          <w:tcPr>
            <w:tcW w:w="993" w:type="dxa"/>
            <w:shd w:val="clear" w:color="auto" w:fill="auto"/>
            <w:noWrap/>
            <w:vAlign w:val="center"/>
            <w:hideMark/>
          </w:tcPr>
          <w:p w:rsidR="005279E4" w:rsidRPr="00011914" w:rsidRDefault="005279E4" w:rsidP="00CE46A3">
            <w:pPr>
              <w:ind w:right="-57"/>
              <w:jc w:val="center"/>
              <w:rPr>
                <w:sz w:val="20"/>
                <w:szCs w:val="20"/>
              </w:rPr>
            </w:pPr>
            <w:r w:rsidRPr="00011914">
              <w:rPr>
                <w:sz w:val="20"/>
                <w:szCs w:val="20"/>
              </w:rPr>
              <w:t>0,0</w:t>
            </w:r>
          </w:p>
        </w:tc>
        <w:tc>
          <w:tcPr>
            <w:tcW w:w="868" w:type="dxa"/>
            <w:tcBorders>
              <w:right w:val="double" w:sz="4" w:space="0" w:color="auto"/>
            </w:tcBorders>
            <w:shd w:val="clear" w:color="auto" w:fill="auto"/>
            <w:noWrap/>
            <w:vAlign w:val="center"/>
            <w:hideMark/>
          </w:tcPr>
          <w:p w:rsidR="005279E4" w:rsidRPr="00011914" w:rsidRDefault="005279E4" w:rsidP="00CE46A3">
            <w:pPr>
              <w:ind w:right="-57"/>
              <w:jc w:val="center"/>
              <w:rPr>
                <w:sz w:val="20"/>
                <w:szCs w:val="20"/>
              </w:rPr>
            </w:pPr>
            <w:r w:rsidRPr="00011914">
              <w:rPr>
                <w:sz w:val="20"/>
                <w:szCs w:val="20"/>
              </w:rPr>
              <w:t>100,0%</w:t>
            </w:r>
          </w:p>
        </w:tc>
      </w:tr>
      <w:tr w:rsidR="005279E4" w:rsidRPr="00BD63EB" w:rsidTr="00CE46A3">
        <w:trPr>
          <w:trHeight w:val="20"/>
        </w:trPr>
        <w:tc>
          <w:tcPr>
            <w:tcW w:w="1134" w:type="dxa"/>
            <w:tcBorders>
              <w:left w:val="double" w:sz="4" w:space="0" w:color="auto"/>
              <w:bottom w:val="double" w:sz="4" w:space="0" w:color="auto"/>
            </w:tcBorders>
            <w:shd w:val="clear" w:color="auto" w:fill="auto"/>
            <w:noWrap/>
            <w:vAlign w:val="center"/>
            <w:hideMark/>
          </w:tcPr>
          <w:p w:rsidR="005279E4" w:rsidRPr="005D2BC0" w:rsidRDefault="005279E4" w:rsidP="00CE46A3">
            <w:pPr>
              <w:ind w:left="-57" w:right="-57"/>
              <w:jc w:val="right"/>
              <w:rPr>
                <w:sz w:val="20"/>
                <w:szCs w:val="20"/>
              </w:rPr>
            </w:pPr>
            <w:r w:rsidRPr="005D2BC0">
              <w:rPr>
                <w:sz w:val="20"/>
                <w:szCs w:val="20"/>
              </w:rPr>
              <w:t>9900080870</w:t>
            </w:r>
          </w:p>
        </w:tc>
        <w:tc>
          <w:tcPr>
            <w:tcW w:w="3615" w:type="dxa"/>
            <w:tcBorders>
              <w:bottom w:val="double" w:sz="4" w:space="0" w:color="auto"/>
            </w:tcBorders>
            <w:shd w:val="clear" w:color="auto" w:fill="auto"/>
            <w:vAlign w:val="center"/>
            <w:hideMark/>
          </w:tcPr>
          <w:p w:rsidR="005279E4" w:rsidRPr="005D2BC0" w:rsidRDefault="005279E4" w:rsidP="00CE46A3">
            <w:pPr>
              <w:rPr>
                <w:sz w:val="20"/>
                <w:szCs w:val="20"/>
              </w:rPr>
            </w:pPr>
            <w:r w:rsidRPr="005D2BC0">
              <w:rPr>
                <w:sz w:val="20"/>
                <w:szCs w:val="20"/>
              </w:rPr>
              <w:t>Исполнение судебных актов</w:t>
            </w:r>
          </w:p>
        </w:tc>
        <w:tc>
          <w:tcPr>
            <w:tcW w:w="1003" w:type="dxa"/>
            <w:tcBorders>
              <w:bottom w:val="double" w:sz="4" w:space="0" w:color="auto"/>
            </w:tcBorders>
            <w:shd w:val="clear" w:color="auto" w:fill="auto"/>
            <w:noWrap/>
            <w:vAlign w:val="center"/>
            <w:hideMark/>
          </w:tcPr>
          <w:p w:rsidR="005279E4" w:rsidRPr="005D2BC0" w:rsidRDefault="005279E4" w:rsidP="00CE46A3">
            <w:pPr>
              <w:ind w:right="-57"/>
              <w:jc w:val="center"/>
              <w:rPr>
                <w:sz w:val="20"/>
                <w:szCs w:val="20"/>
              </w:rPr>
            </w:pPr>
            <w:r>
              <w:rPr>
                <w:sz w:val="20"/>
                <w:szCs w:val="20"/>
              </w:rPr>
              <w:t>-</w:t>
            </w:r>
          </w:p>
        </w:tc>
        <w:tc>
          <w:tcPr>
            <w:tcW w:w="1123" w:type="dxa"/>
            <w:tcBorders>
              <w:bottom w:val="double" w:sz="4" w:space="0" w:color="auto"/>
            </w:tcBorders>
            <w:shd w:val="clear" w:color="auto" w:fill="auto"/>
            <w:noWrap/>
            <w:vAlign w:val="center"/>
            <w:hideMark/>
          </w:tcPr>
          <w:p w:rsidR="005279E4" w:rsidRPr="005D2BC0" w:rsidRDefault="005279E4" w:rsidP="00CE46A3">
            <w:pPr>
              <w:ind w:right="-57"/>
              <w:jc w:val="center"/>
              <w:rPr>
                <w:sz w:val="20"/>
                <w:szCs w:val="20"/>
              </w:rPr>
            </w:pPr>
            <w:r>
              <w:rPr>
                <w:sz w:val="20"/>
                <w:szCs w:val="20"/>
              </w:rPr>
              <w:t>73,0</w:t>
            </w:r>
          </w:p>
        </w:tc>
        <w:tc>
          <w:tcPr>
            <w:tcW w:w="1045" w:type="dxa"/>
            <w:tcBorders>
              <w:bottom w:val="double" w:sz="4" w:space="0" w:color="auto"/>
            </w:tcBorders>
            <w:shd w:val="clear" w:color="auto" w:fill="auto"/>
            <w:noWrap/>
            <w:vAlign w:val="center"/>
            <w:hideMark/>
          </w:tcPr>
          <w:p w:rsidR="005279E4" w:rsidRPr="005D2BC0" w:rsidRDefault="005279E4" w:rsidP="00CE46A3">
            <w:pPr>
              <w:ind w:right="-57"/>
              <w:jc w:val="center"/>
              <w:rPr>
                <w:sz w:val="20"/>
                <w:szCs w:val="20"/>
              </w:rPr>
            </w:pPr>
            <w:r>
              <w:rPr>
                <w:sz w:val="20"/>
                <w:szCs w:val="20"/>
              </w:rPr>
              <w:t>73,0</w:t>
            </w:r>
          </w:p>
        </w:tc>
        <w:tc>
          <w:tcPr>
            <w:tcW w:w="993" w:type="dxa"/>
            <w:tcBorders>
              <w:bottom w:val="double" w:sz="4" w:space="0" w:color="auto"/>
            </w:tcBorders>
            <w:shd w:val="clear" w:color="auto" w:fill="auto"/>
            <w:noWrap/>
            <w:vAlign w:val="center"/>
            <w:hideMark/>
          </w:tcPr>
          <w:p w:rsidR="005279E4" w:rsidRPr="00011914" w:rsidRDefault="005279E4" w:rsidP="00CE46A3">
            <w:pPr>
              <w:ind w:right="-57"/>
              <w:jc w:val="center"/>
              <w:rPr>
                <w:sz w:val="20"/>
                <w:szCs w:val="20"/>
              </w:rPr>
            </w:pPr>
            <w:r w:rsidRPr="00011914">
              <w:rPr>
                <w:sz w:val="20"/>
                <w:szCs w:val="20"/>
              </w:rPr>
              <w:t>0,0</w:t>
            </w:r>
          </w:p>
        </w:tc>
        <w:tc>
          <w:tcPr>
            <w:tcW w:w="868" w:type="dxa"/>
            <w:tcBorders>
              <w:bottom w:val="double" w:sz="4" w:space="0" w:color="auto"/>
              <w:right w:val="double" w:sz="4" w:space="0" w:color="auto"/>
            </w:tcBorders>
            <w:shd w:val="clear" w:color="auto" w:fill="auto"/>
            <w:noWrap/>
            <w:vAlign w:val="center"/>
            <w:hideMark/>
          </w:tcPr>
          <w:p w:rsidR="005279E4" w:rsidRPr="00011914" w:rsidRDefault="005279E4" w:rsidP="00CE46A3">
            <w:pPr>
              <w:ind w:right="-57"/>
              <w:jc w:val="center"/>
              <w:rPr>
                <w:sz w:val="20"/>
                <w:szCs w:val="20"/>
              </w:rPr>
            </w:pPr>
            <w:r w:rsidRPr="00011914">
              <w:rPr>
                <w:sz w:val="20"/>
                <w:szCs w:val="20"/>
              </w:rPr>
              <w:t>100,0%</w:t>
            </w:r>
          </w:p>
        </w:tc>
      </w:tr>
      <w:tr w:rsidR="005279E4" w:rsidRPr="00BD63EB" w:rsidTr="00CE46A3">
        <w:trPr>
          <w:trHeight w:val="20"/>
        </w:trPr>
        <w:tc>
          <w:tcPr>
            <w:tcW w:w="1134" w:type="dxa"/>
            <w:tcBorders>
              <w:top w:val="double" w:sz="4" w:space="0" w:color="auto"/>
              <w:left w:val="double" w:sz="4" w:space="0" w:color="auto"/>
            </w:tcBorders>
            <w:shd w:val="clear" w:color="auto" w:fill="auto"/>
            <w:noWrap/>
            <w:vAlign w:val="center"/>
            <w:hideMark/>
          </w:tcPr>
          <w:p w:rsidR="005279E4" w:rsidRPr="005D2BC0" w:rsidRDefault="005279E4" w:rsidP="00CE46A3">
            <w:pPr>
              <w:ind w:left="-57" w:right="-57"/>
              <w:jc w:val="right"/>
              <w:rPr>
                <w:b/>
                <w:sz w:val="20"/>
                <w:szCs w:val="20"/>
              </w:rPr>
            </w:pPr>
            <w:r w:rsidRPr="005D2BC0">
              <w:rPr>
                <w:b/>
                <w:sz w:val="20"/>
                <w:szCs w:val="20"/>
              </w:rPr>
              <w:t>0113</w:t>
            </w:r>
          </w:p>
        </w:tc>
        <w:tc>
          <w:tcPr>
            <w:tcW w:w="3615" w:type="dxa"/>
            <w:tcBorders>
              <w:top w:val="double" w:sz="4" w:space="0" w:color="auto"/>
            </w:tcBorders>
            <w:shd w:val="clear" w:color="auto" w:fill="auto"/>
            <w:vAlign w:val="center"/>
            <w:hideMark/>
          </w:tcPr>
          <w:p w:rsidR="005279E4" w:rsidRPr="005D2BC0" w:rsidRDefault="005279E4" w:rsidP="00CE46A3">
            <w:pPr>
              <w:ind w:left="-57" w:right="-113"/>
              <w:rPr>
                <w:b/>
                <w:sz w:val="20"/>
                <w:szCs w:val="20"/>
              </w:rPr>
            </w:pPr>
            <w:r w:rsidRPr="005D2BC0">
              <w:rPr>
                <w:b/>
                <w:sz w:val="20"/>
                <w:szCs w:val="20"/>
              </w:rPr>
              <w:t>Другие общегосударственные вопросы</w:t>
            </w:r>
          </w:p>
        </w:tc>
        <w:tc>
          <w:tcPr>
            <w:tcW w:w="1003" w:type="dxa"/>
            <w:tcBorders>
              <w:top w:val="double" w:sz="4" w:space="0" w:color="auto"/>
            </w:tcBorders>
            <w:shd w:val="clear" w:color="auto" w:fill="auto"/>
            <w:noWrap/>
            <w:vAlign w:val="center"/>
            <w:hideMark/>
          </w:tcPr>
          <w:p w:rsidR="005279E4" w:rsidRPr="00310FC2" w:rsidRDefault="005279E4" w:rsidP="00CE46A3">
            <w:pPr>
              <w:ind w:left="-57" w:right="-57"/>
              <w:jc w:val="center"/>
              <w:rPr>
                <w:b/>
                <w:sz w:val="20"/>
                <w:szCs w:val="20"/>
              </w:rPr>
            </w:pPr>
            <w:r w:rsidRPr="00310FC2">
              <w:rPr>
                <w:b/>
                <w:sz w:val="20"/>
                <w:szCs w:val="20"/>
              </w:rPr>
              <w:t>237 208,6</w:t>
            </w:r>
          </w:p>
        </w:tc>
        <w:tc>
          <w:tcPr>
            <w:tcW w:w="1123" w:type="dxa"/>
            <w:tcBorders>
              <w:top w:val="double" w:sz="4" w:space="0" w:color="auto"/>
            </w:tcBorders>
            <w:shd w:val="clear" w:color="auto" w:fill="auto"/>
            <w:noWrap/>
            <w:vAlign w:val="center"/>
            <w:hideMark/>
          </w:tcPr>
          <w:p w:rsidR="005279E4" w:rsidRPr="00310FC2" w:rsidRDefault="005279E4" w:rsidP="00CE46A3">
            <w:pPr>
              <w:ind w:right="-57"/>
              <w:jc w:val="center"/>
              <w:rPr>
                <w:b/>
                <w:sz w:val="20"/>
                <w:szCs w:val="20"/>
              </w:rPr>
            </w:pPr>
            <w:r w:rsidRPr="00310FC2">
              <w:rPr>
                <w:b/>
                <w:sz w:val="20"/>
                <w:szCs w:val="20"/>
              </w:rPr>
              <w:t>247 267,7</w:t>
            </w:r>
          </w:p>
        </w:tc>
        <w:tc>
          <w:tcPr>
            <w:tcW w:w="1045" w:type="dxa"/>
            <w:tcBorders>
              <w:top w:val="double" w:sz="4" w:space="0" w:color="auto"/>
            </w:tcBorders>
            <w:shd w:val="clear" w:color="auto" w:fill="auto"/>
            <w:noWrap/>
            <w:vAlign w:val="center"/>
            <w:hideMark/>
          </w:tcPr>
          <w:p w:rsidR="005279E4" w:rsidRPr="00310FC2" w:rsidRDefault="005279E4" w:rsidP="00CE46A3">
            <w:pPr>
              <w:ind w:right="-57"/>
              <w:jc w:val="center"/>
              <w:rPr>
                <w:b/>
                <w:sz w:val="20"/>
                <w:szCs w:val="20"/>
              </w:rPr>
            </w:pPr>
            <w:r w:rsidRPr="00310FC2">
              <w:rPr>
                <w:b/>
                <w:sz w:val="20"/>
                <w:szCs w:val="20"/>
              </w:rPr>
              <w:t>245 016,8</w:t>
            </w:r>
          </w:p>
        </w:tc>
        <w:tc>
          <w:tcPr>
            <w:tcW w:w="993" w:type="dxa"/>
            <w:tcBorders>
              <w:top w:val="double" w:sz="4" w:space="0" w:color="auto"/>
            </w:tcBorders>
            <w:shd w:val="clear" w:color="auto" w:fill="auto"/>
            <w:noWrap/>
            <w:vAlign w:val="center"/>
            <w:hideMark/>
          </w:tcPr>
          <w:p w:rsidR="005279E4" w:rsidRPr="00310FC2" w:rsidRDefault="007F0888" w:rsidP="00CE46A3">
            <w:pPr>
              <w:ind w:right="-57"/>
              <w:jc w:val="center"/>
              <w:rPr>
                <w:b/>
                <w:sz w:val="20"/>
                <w:szCs w:val="20"/>
              </w:rPr>
            </w:pPr>
            <w:r>
              <w:rPr>
                <w:b/>
                <w:sz w:val="20"/>
                <w:szCs w:val="20"/>
              </w:rPr>
              <w:t>-</w:t>
            </w:r>
            <w:r w:rsidR="005279E4" w:rsidRPr="00310FC2">
              <w:rPr>
                <w:b/>
                <w:sz w:val="20"/>
                <w:szCs w:val="20"/>
              </w:rPr>
              <w:t>2 250,9</w:t>
            </w:r>
          </w:p>
        </w:tc>
        <w:tc>
          <w:tcPr>
            <w:tcW w:w="868" w:type="dxa"/>
            <w:tcBorders>
              <w:top w:val="double" w:sz="4" w:space="0" w:color="auto"/>
              <w:right w:val="double" w:sz="4" w:space="0" w:color="auto"/>
            </w:tcBorders>
            <w:shd w:val="clear" w:color="auto" w:fill="auto"/>
            <w:noWrap/>
            <w:vAlign w:val="center"/>
            <w:hideMark/>
          </w:tcPr>
          <w:p w:rsidR="005279E4" w:rsidRPr="00310FC2" w:rsidRDefault="005279E4" w:rsidP="00CE46A3">
            <w:pPr>
              <w:ind w:right="-57"/>
              <w:jc w:val="center"/>
              <w:rPr>
                <w:b/>
                <w:sz w:val="20"/>
                <w:szCs w:val="20"/>
              </w:rPr>
            </w:pPr>
            <w:r w:rsidRPr="00310FC2">
              <w:rPr>
                <w:b/>
                <w:sz w:val="20"/>
                <w:szCs w:val="20"/>
              </w:rPr>
              <w:t>99,1%</w:t>
            </w:r>
          </w:p>
        </w:tc>
      </w:tr>
      <w:tr w:rsidR="005279E4" w:rsidRPr="00BD63EB" w:rsidTr="00CE46A3">
        <w:trPr>
          <w:trHeight w:val="20"/>
        </w:trPr>
        <w:tc>
          <w:tcPr>
            <w:tcW w:w="1134" w:type="dxa"/>
            <w:tcBorders>
              <w:left w:val="double" w:sz="4" w:space="0" w:color="auto"/>
            </w:tcBorders>
            <w:shd w:val="clear" w:color="auto" w:fill="auto"/>
            <w:noWrap/>
            <w:vAlign w:val="center"/>
            <w:hideMark/>
          </w:tcPr>
          <w:p w:rsidR="005279E4" w:rsidRPr="005D2BC0" w:rsidRDefault="005279E4" w:rsidP="00CE46A3">
            <w:pPr>
              <w:ind w:left="-57" w:right="-57"/>
              <w:jc w:val="right"/>
              <w:rPr>
                <w:sz w:val="20"/>
                <w:szCs w:val="20"/>
              </w:rPr>
            </w:pPr>
            <w:r w:rsidRPr="005D2BC0">
              <w:rPr>
                <w:sz w:val="20"/>
                <w:szCs w:val="20"/>
              </w:rPr>
              <w:t>9000000000</w:t>
            </w:r>
          </w:p>
        </w:tc>
        <w:tc>
          <w:tcPr>
            <w:tcW w:w="3615" w:type="dxa"/>
            <w:shd w:val="clear" w:color="auto" w:fill="auto"/>
            <w:vAlign w:val="center"/>
            <w:hideMark/>
          </w:tcPr>
          <w:p w:rsidR="005279E4" w:rsidRPr="005D2BC0" w:rsidRDefault="005279E4" w:rsidP="00CE46A3">
            <w:pPr>
              <w:rPr>
                <w:sz w:val="20"/>
                <w:szCs w:val="20"/>
              </w:rPr>
            </w:pPr>
            <w:r w:rsidRPr="005D2BC0">
              <w:rPr>
                <w:sz w:val="20"/>
                <w:szCs w:val="20"/>
              </w:rPr>
              <w:t>Обеспечение деятельности гос. органов</w:t>
            </w:r>
          </w:p>
        </w:tc>
        <w:tc>
          <w:tcPr>
            <w:tcW w:w="1003" w:type="dxa"/>
            <w:shd w:val="clear" w:color="auto" w:fill="auto"/>
            <w:noWrap/>
            <w:vAlign w:val="center"/>
            <w:hideMark/>
          </w:tcPr>
          <w:p w:rsidR="005279E4" w:rsidRPr="005D2BC0" w:rsidRDefault="005279E4" w:rsidP="00CE46A3">
            <w:pPr>
              <w:ind w:left="-57" w:right="-57"/>
              <w:jc w:val="center"/>
              <w:rPr>
                <w:sz w:val="20"/>
                <w:szCs w:val="20"/>
              </w:rPr>
            </w:pPr>
            <w:r w:rsidRPr="005D2BC0">
              <w:rPr>
                <w:sz w:val="20"/>
                <w:szCs w:val="20"/>
              </w:rPr>
              <w:t>66 217,8</w:t>
            </w:r>
          </w:p>
        </w:tc>
        <w:tc>
          <w:tcPr>
            <w:tcW w:w="1123" w:type="dxa"/>
            <w:shd w:val="clear" w:color="auto" w:fill="auto"/>
            <w:noWrap/>
            <w:vAlign w:val="center"/>
            <w:hideMark/>
          </w:tcPr>
          <w:p w:rsidR="005279E4" w:rsidRPr="005D2BC0" w:rsidRDefault="005279E4" w:rsidP="00CE46A3">
            <w:pPr>
              <w:ind w:right="-57"/>
              <w:jc w:val="center"/>
              <w:rPr>
                <w:sz w:val="20"/>
                <w:szCs w:val="20"/>
              </w:rPr>
            </w:pPr>
            <w:r>
              <w:rPr>
                <w:sz w:val="20"/>
                <w:szCs w:val="20"/>
              </w:rPr>
              <w:t>68 157,6</w:t>
            </w:r>
          </w:p>
        </w:tc>
        <w:tc>
          <w:tcPr>
            <w:tcW w:w="1045" w:type="dxa"/>
            <w:shd w:val="clear" w:color="auto" w:fill="auto"/>
            <w:noWrap/>
            <w:vAlign w:val="center"/>
            <w:hideMark/>
          </w:tcPr>
          <w:p w:rsidR="005279E4" w:rsidRPr="005D2BC0" w:rsidRDefault="005279E4" w:rsidP="00CE46A3">
            <w:pPr>
              <w:ind w:right="-57"/>
              <w:jc w:val="center"/>
              <w:rPr>
                <w:sz w:val="20"/>
                <w:szCs w:val="20"/>
              </w:rPr>
            </w:pPr>
            <w:r>
              <w:rPr>
                <w:sz w:val="20"/>
                <w:szCs w:val="20"/>
              </w:rPr>
              <w:t>66 936,2</w:t>
            </w:r>
          </w:p>
        </w:tc>
        <w:tc>
          <w:tcPr>
            <w:tcW w:w="993" w:type="dxa"/>
            <w:shd w:val="clear" w:color="auto" w:fill="auto"/>
            <w:noWrap/>
            <w:vAlign w:val="center"/>
            <w:hideMark/>
          </w:tcPr>
          <w:p w:rsidR="005279E4" w:rsidRPr="00310FC2" w:rsidRDefault="007F0888" w:rsidP="00CE46A3">
            <w:pPr>
              <w:jc w:val="center"/>
              <w:rPr>
                <w:sz w:val="20"/>
                <w:szCs w:val="20"/>
              </w:rPr>
            </w:pPr>
            <w:r>
              <w:rPr>
                <w:sz w:val="20"/>
                <w:szCs w:val="20"/>
              </w:rPr>
              <w:t>-</w:t>
            </w:r>
            <w:r w:rsidR="005279E4" w:rsidRPr="00310FC2">
              <w:rPr>
                <w:sz w:val="20"/>
                <w:szCs w:val="20"/>
              </w:rPr>
              <w:t>1 221,4</w:t>
            </w:r>
          </w:p>
        </w:tc>
        <w:tc>
          <w:tcPr>
            <w:tcW w:w="868" w:type="dxa"/>
            <w:tcBorders>
              <w:right w:val="double" w:sz="4" w:space="0" w:color="auto"/>
            </w:tcBorders>
            <w:shd w:val="clear" w:color="auto" w:fill="auto"/>
            <w:noWrap/>
            <w:vAlign w:val="center"/>
            <w:hideMark/>
          </w:tcPr>
          <w:p w:rsidR="005279E4" w:rsidRPr="00310FC2" w:rsidRDefault="005279E4" w:rsidP="00CE46A3">
            <w:pPr>
              <w:ind w:right="-57"/>
              <w:jc w:val="center"/>
              <w:rPr>
                <w:sz w:val="20"/>
                <w:szCs w:val="20"/>
              </w:rPr>
            </w:pPr>
            <w:r w:rsidRPr="00310FC2">
              <w:rPr>
                <w:sz w:val="20"/>
                <w:szCs w:val="20"/>
              </w:rPr>
              <w:t>98,2%</w:t>
            </w:r>
          </w:p>
        </w:tc>
      </w:tr>
      <w:tr w:rsidR="005279E4" w:rsidRPr="00BD63EB" w:rsidTr="00CE46A3">
        <w:trPr>
          <w:trHeight w:val="20"/>
        </w:trPr>
        <w:tc>
          <w:tcPr>
            <w:tcW w:w="1134" w:type="dxa"/>
            <w:tcBorders>
              <w:left w:val="double" w:sz="4" w:space="0" w:color="auto"/>
            </w:tcBorders>
            <w:shd w:val="clear" w:color="auto" w:fill="auto"/>
            <w:noWrap/>
            <w:vAlign w:val="center"/>
            <w:hideMark/>
          </w:tcPr>
          <w:p w:rsidR="005279E4" w:rsidRPr="005D2BC0" w:rsidRDefault="005279E4" w:rsidP="00CE46A3">
            <w:pPr>
              <w:ind w:left="-57" w:right="-57"/>
              <w:jc w:val="right"/>
              <w:rPr>
                <w:sz w:val="20"/>
                <w:szCs w:val="20"/>
              </w:rPr>
            </w:pPr>
            <w:r w:rsidRPr="005D2BC0">
              <w:rPr>
                <w:sz w:val="20"/>
                <w:szCs w:val="20"/>
              </w:rPr>
              <w:t>9900000000</w:t>
            </w:r>
          </w:p>
        </w:tc>
        <w:tc>
          <w:tcPr>
            <w:tcW w:w="3615" w:type="dxa"/>
            <w:shd w:val="clear" w:color="auto" w:fill="auto"/>
            <w:vAlign w:val="center"/>
            <w:hideMark/>
          </w:tcPr>
          <w:p w:rsidR="005279E4" w:rsidRPr="005D2BC0" w:rsidRDefault="005279E4" w:rsidP="00CE46A3">
            <w:pPr>
              <w:rPr>
                <w:sz w:val="20"/>
                <w:szCs w:val="20"/>
              </w:rPr>
            </w:pPr>
            <w:r w:rsidRPr="005D2BC0">
              <w:rPr>
                <w:sz w:val="20"/>
                <w:szCs w:val="20"/>
              </w:rPr>
              <w:t xml:space="preserve">Непрограммные расходы гос. органов </w:t>
            </w:r>
          </w:p>
        </w:tc>
        <w:tc>
          <w:tcPr>
            <w:tcW w:w="1003" w:type="dxa"/>
            <w:shd w:val="clear" w:color="auto" w:fill="auto"/>
            <w:noWrap/>
            <w:vAlign w:val="center"/>
            <w:hideMark/>
          </w:tcPr>
          <w:p w:rsidR="005279E4" w:rsidRPr="005D2BC0" w:rsidRDefault="005279E4" w:rsidP="00CE46A3">
            <w:pPr>
              <w:ind w:left="-57" w:right="-57"/>
              <w:jc w:val="center"/>
              <w:rPr>
                <w:sz w:val="20"/>
                <w:szCs w:val="20"/>
              </w:rPr>
            </w:pPr>
            <w:r w:rsidRPr="005D2BC0">
              <w:rPr>
                <w:sz w:val="20"/>
                <w:szCs w:val="20"/>
              </w:rPr>
              <w:t>170 990,8</w:t>
            </w:r>
          </w:p>
        </w:tc>
        <w:tc>
          <w:tcPr>
            <w:tcW w:w="1123" w:type="dxa"/>
            <w:shd w:val="clear" w:color="auto" w:fill="auto"/>
            <w:noWrap/>
            <w:vAlign w:val="center"/>
            <w:hideMark/>
          </w:tcPr>
          <w:p w:rsidR="005279E4" w:rsidRPr="00310FC2" w:rsidRDefault="005279E4" w:rsidP="00CE46A3">
            <w:pPr>
              <w:ind w:right="-57"/>
              <w:jc w:val="center"/>
              <w:rPr>
                <w:sz w:val="20"/>
                <w:szCs w:val="20"/>
              </w:rPr>
            </w:pPr>
            <w:r w:rsidRPr="00310FC2">
              <w:rPr>
                <w:sz w:val="20"/>
                <w:szCs w:val="20"/>
              </w:rPr>
              <w:t>179 110,1</w:t>
            </w:r>
          </w:p>
        </w:tc>
        <w:tc>
          <w:tcPr>
            <w:tcW w:w="1045" w:type="dxa"/>
            <w:shd w:val="clear" w:color="auto" w:fill="auto"/>
            <w:noWrap/>
            <w:vAlign w:val="center"/>
            <w:hideMark/>
          </w:tcPr>
          <w:p w:rsidR="005279E4" w:rsidRPr="00310FC2" w:rsidRDefault="005279E4" w:rsidP="00CE46A3">
            <w:pPr>
              <w:ind w:right="-57"/>
              <w:jc w:val="center"/>
              <w:rPr>
                <w:sz w:val="20"/>
                <w:szCs w:val="20"/>
              </w:rPr>
            </w:pPr>
            <w:r w:rsidRPr="00310FC2">
              <w:rPr>
                <w:sz w:val="20"/>
                <w:szCs w:val="20"/>
              </w:rPr>
              <w:t>178 080,6</w:t>
            </w:r>
          </w:p>
        </w:tc>
        <w:tc>
          <w:tcPr>
            <w:tcW w:w="993" w:type="dxa"/>
            <w:shd w:val="clear" w:color="auto" w:fill="auto"/>
            <w:noWrap/>
            <w:vAlign w:val="center"/>
            <w:hideMark/>
          </w:tcPr>
          <w:p w:rsidR="005279E4" w:rsidRPr="00310FC2" w:rsidRDefault="007F0888" w:rsidP="00CE46A3">
            <w:pPr>
              <w:ind w:right="-57"/>
              <w:jc w:val="center"/>
              <w:rPr>
                <w:sz w:val="20"/>
                <w:szCs w:val="20"/>
              </w:rPr>
            </w:pPr>
            <w:r>
              <w:rPr>
                <w:sz w:val="20"/>
                <w:szCs w:val="20"/>
              </w:rPr>
              <w:t>-</w:t>
            </w:r>
            <w:r w:rsidR="005279E4" w:rsidRPr="00310FC2">
              <w:rPr>
                <w:sz w:val="20"/>
                <w:szCs w:val="20"/>
              </w:rPr>
              <w:t>1 029,5</w:t>
            </w:r>
          </w:p>
        </w:tc>
        <w:tc>
          <w:tcPr>
            <w:tcW w:w="868" w:type="dxa"/>
            <w:tcBorders>
              <w:right w:val="double" w:sz="4" w:space="0" w:color="auto"/>
            </w:tcBorders>
            <w:shd w:val="clear" w:color="auto" w:fill="auto"/>
            <w:noWrap/>
            <w:vAlign w:val="center"/>
            <w:hideMark/>
          </w:tcPr>
          <w:p w:rsidR="005279E4" w:rsidRPr="00310FC2" w:rsidRDefault="005279E4" w:rsidP="00CE46A3">
            <w:pPr>
              <w:ind w:right="-57"/>
              <w:jc w:val="center"/>
              <w:rPr>
                <w:sz w:val="20"/>
                <w:szCs w:val="20"/>
              </w:rPr>
            </w:pPr>
            <w:r w:rsidRPr="00310FC2">
              <w:rPr>
                <w:sz w:val="20"/>
                <w:szCs w:val="20"/>
              </w:rPr>
              <w:t>99,4%</w:t>
            </w:r>
          </w:p>
        </w:tc>
      </w:tr>
      <w:tr w:rsidR="005279E4" w:rsidRPr="00BD63EB" w:rsidTr="00CE46A3">
        <w:trPr>
          <w:trHeight w:val="20"/>
        </w:trPr>
        <w:tc>
          <w:tcPr>
            <w:tcW w:w="1134" w:type="dxa"/>
            <w:tcBorders>
              <w:left w:val="double" w:sz="4" w:space="0" w:color="auto"/>
            </w:tcBorders>
            <w:shd w:val="clear" w:color="auto" w:fill="auto"/>
            <w:noWrap/>
            <w:vAlign w:val="center"/>
            <w:hideMark/>
          </w:tcPr>
          <w:p w:rsidR="005279E4" w:rsidRPr="005D2BC0" w:rsidRDefault="005279E4" w:rsidP="00CE46A3">
            <w:pPr>
              <w:ind w:left="-57" w:right="-57"/>
              <w:jc w:val="right"/>
              <w:rPr>
                <w:sz w:val="20"/>
                <w:szCs w:val="20"/>
              </w:rPr>
            </w:pPr>
            <w:r w:rsidRPr="005D2BC0">
              <w:rPr>
                <w:sz w:val="20"/>
                <w:szCs w:val="20"/>
              </w:rPr>
              <w:t>9900000590</w:t>
            </w:r>
          </w:p>
        </w:tc>
        <w:tc>
          <w:tcPr>
            <w:tcW w:w="3615" w:type="dxa"/>
            <w:shd w:val="clear" w:color="auto" w:fill="auto"/>
            <w:vAlign w:val="center"/>
            <w:hideMark/>
          </w:tcPr>
          <w:p w:rsidR="005279E4" w:rsidRPr="005D2BC0" w:rsidRDefault="005279E4" w:rsidP="00CE46A3">
            <w:pPr>
              <w:rPr>
                <w:sz w:val="20"/>
                <w:szCs w:val="20"/>
              </w:rPr>
            </w:pPr>
            <w:r w:rsidRPr="005D2BC0">
              <w:rPr>
                <w:sz w:val="20"/>
                <w:szCs w:val="20"/>
              </w:rPr>
              <w:t>Расходы на обеспечение деятельности (оказание услуг) казенных учреждений</w:t>
            </w:r>
          </w:p>
        </w:tc>
        <w:tc>
          <w:tcPr>
            <w:tcW w:w="1003" w:type="dxa"/>
            <w:shd w:val="clear" w:color="auto" w:fill="auto"/>
            <w:noWrap/>
            <w:vAlign w:val="center"/>
            <w:hideMark/>
          </w:tcPr>
          <w:p w:rsidR="005279E4" w:rsidRPr="005D2BC0" w:rsidRDefault="005279E4" w:rsidP="00CE46A3">
            <w:pPr>
              <w:ind w:right="-57"/>
              <w:jc w:val="center"/>
              <w:rPr>
                <w:sz w:val="20"/>
                <w:szCs w:val="20"/>
              </w:rPr>
            </w:pPr>
            <w:r>
              <w:rPr>
                <w:sz w:val="20"/>
                <w:szCs w:val="20"/>
              </w:rPr>
              <w:t>-</w:t>
            </w:r>
          </w:p>
        </w:tc>
        <w:tc>
          <w:tcPr>
            <w:tcW w:w="1123" w:type="dxa"/>
            <w:shd w:val="clear" w:color="auto" w:fill="auto"/>
            <w:noWrap/>
            <w:vAlign w:val="center"/>
            <w:hideMark/>
          </w:tcPr>
          <w:p w:rsidR="005279E4" w:rsidRPr="005D2BC0" w:rsidRDefault="005279E4" w:rsidP="00CE46A3">
            <w:pPr>
              <w:ind w:right="-57"/>
              <w:jc w:val="center"/>
              <w:rPr>
                <w:sz w:val="20"/>
                <w:szCs w:val="20"/>
              </w:rPr>
            </w:pPr>
            <w:r>
              <w:rPr>
                <w:sz w:val="20"/>
                <w:szCs w:val="20"/>
              </w:rPr>
              <w:t>26 758,7</w:t>
            </w:r>
          </w:p>
        </w:tc>
        <w:tc>
          <w:tcPr>
            <w:tcW w:w="1045" w:type="dxa"/>
            <w:shd w:val="clear" w:color="auto" w:fill="auto"/>
            <w:noWrap/>
            <w:vAlign w:val="center"/>
            <w:hideMark/>
          </w:tcPr>
          <w:p w:rsidR="005279E4" w:rsidRPr="005D2BC0" w:rsidRDefault="005279E4" w:rsidP="00CE46A3">
            <w:pPr>
              <w:ind w:right="-57"/>
              <w:jc w:val="center"/>
              <w:rPr>
                <w:sz w:val="20"/>
                <w:szCs w:val="20"/>
              </w:rPr>
            </w:pPr>
            <w:r>
              <w:rPr>
                <w:sz w:val="20"/>
                <w:szCs w:val="20"/>
              </w:rPr>
              <w:t>25 731,9</w:t>
            </w:r>
          </w:p>
        </w:tc>
        <w:tc>
          <w:tcPr>
            <w:tcW w:w="993" w:type="dxa"/>
            <w:shd w:val="clear" w:color="auto" w:fill="auto"/>
            <w:noWrap/>
            <w:vAlign w:val="center"/>
            <w:hideMark/>
          </w:tcPr>
          <w:p w:rsidR="005279E4" w:rsidRPr="00310FC2" w:rsidRDefault="007F0888" w:rsidP="00CE46A3">
            <w:pPr>
              <w:jc w:val="center"/>
              <w:rPr>
                <w:sz w:val="20"/>
                <w:szCs w:val="20"/>
              </w:rPr>
            </w:pPr>
            <w:r>
              <w:rPr>
                <w:sz w:val="20"/>
                <w:szCs w:val="20"/>
              </w:rPr>
              <w:t>-</w:t>
            </w:r>
            <w:r w:rsidR="005279E4" w:rsidRPr="00310FC2">
              <w:rPr>
                <w:sz w:val="20"/>
                <w:szCs w:val="20"/>
              </w:rPr>
              <w:t>1 026,8</w:t>
            </w:r>
          </w:p>
        </w:tc>
        <w:tc>
          <w:tcPr>
            <w:tcW w:w="868" w:type="dxa"/>
            <w:tcBorders>
              <w:right w:val="double" w:sz="4" w:space="0" w:color="auto"/>
            </w:tcBorders>
            <w:shd w:val="clear" w:color="auto" w:fill="auto"/>
            <w:noWrap/>
            <w:vAlign w:val="center"/>
            <w:hideMark/>
          </w:tcPr>
          <w:p w:rsidR="005279E4" w:rsidRPr="00310FC2" w:rsidRDefault="005279E4" w:rsidP="00CE46A3">
            <w:pPr>
              <w:ind w:right="-57"/>
              <w:jc w:val="center"/>
              <w:rPr>
                <w:sz w:val="20"/>
                <w:szCs w:val="20"/>
              </w:rPr>
            </w:pPr>
            <w:r w:rsidRPr="00310FC2">
              <w:rPr>
                <w:sz w:val="20"/>
                <w:szCs w:val="20"/>
              </w:rPr>
              <w:t>96,2%</w:t>
            </w:r>
          </w:p>
        </w:tc>
      </w:tr>
      <w:tr w:rsidR="005279E4" w:rsidRPr="00BD63EB" w:rsidTr="00CE46A3">
        <w:trPr>
          <w:trHeight w:val="20"/>
        </w:trPr>
        <w:tc>
          <w:tcPr>
            <w:tcW w:w="1134" w:type="dxa"/>
            <w:tcBorders>
              <w:left w:val="double" w:sz="4" w:space="0" w:color="auto"/>
              <w:bottom w:val="double" w:sz="4" w:space="0" w:color="auto"/>
            </w:tcBorders>
            <w:shd w:val="clear" w:color="auto" w:fill="auto"/>
            <w:noWrap/>
            <w:vAlign w:val="center"/>
            <w:hideMark/>
          </w:tcPr>
          <w:p w:rsidR="005279E4" w:rsidRPr="005D2BC0" w:rsidRDefault="005279E4" w:rsidP="00CE46A3">
            <w:pPr>
              <w:ind w:left="-57" w:right="-57"/>
              <w:jc w:val="right"/>
              <w:rPr>
                <w:sz w:val="20"/>
                <w:szCs w:val="20"/>
              </w:rPr>
            </w:pPr>
            <w:r w:rsidRPr="005D2BC0">
              <w:rPr>
                <w:sz w:val="20"/>
                <w:szCs w:val="20"/>
              </w:rPr>
              <w:t>9900059000</w:t>
            </w:r>
          </w:p>
        </w:tc>
        <w:tc>
          <w:tcPr>
            <w:tcW w:w="3615" w:type="dxa"/>
            <w:tcBorders>
              <w:bottom w:val="double" w:sz="4" w:space="0" w:color="auto"/>
            </w:tcBorders>
            <w:shd w:val="clear" w:color="auto" w:fill="auto"/>
            <w:vAlign w:val="center"/>
            <w:hideMark/>
          </w:tcPr>
          <w:p w:rsidR="005279E4" w:rsidRPr="005D2BC0" w:rsidRDefault="005279E4" w:rsidP="00CE46A3">
            <w:pPr>
              <w:rPr>
                <w:sz w:val="20"/>
                <w:szCs w:val="20"/>
              </w:rPr>
            </w:pPr>
            <w:r w:rsidRPr="005D2BC0">
              <w:rPr>
                <w:sz w:val="20"/>
                <w:szCs w:val="20"/>
              </w:rPr>
              <w:t>Осуществление переданных органам государственной власти субъектов РФ полномочий РФ на государственную регистрацию актов гражданского состояния</w:t>
            </w:r>
          </w:p>
        </w:tc>
        <w:tc>
          <w:tcPr>
            <w:tcW w:w="1003" w:type="dxa"/>
            <w:tcBorders>
              <w:bottom w:val="double" w:sz="4" w:space="0" w:color="auto"/>
            </w:tcBorders>
            <w:shd w:val="clear" w:color="auto" w:fill="auto"/>
            <w:noWrap/>
            <w:vAlign w:val="center"/>
            <w:hideMark/>
          </w:tcPr>
          <w:p w:rsidR="005279E4" w:rsidRPr="005D2BC0" w:rsidRDefault="005279E4" w:rsidP="00CE46A3">
            <w:pPr>
              <w:ind w:right="-57"/>
              <w:jc w:val="center"/>
              <w:rPr>
                <w:sz w:val="20"/>
                <w:szCs w:val="20"/>
              </w:rPr>
            </w:pPr>
            <w:r>
              <w:rPr>
                <w:sz w:val="20"/>
                <w:szCs w:val="20"/>
              </w:rPr>
              <w:t>-</w:t>
            </w:r>
          </w:p>
        </w:tc>
        <w:tc>
          <w:tcPr>
            <w:tcW w:w="1123" w:type="dxa"/>
            <w:tcBorders>
              <w:bottom w:val="double" w:sz="4" w:space="0" w:color="auto"/>
            </w:tcBorders>
            <w:shd w:val="clear" w:color="auto" w:fill="auto"/>
            <w:noWrap/>
            <w:vAlign w:val="center"/>
            <w:hideMark/>
          </w:tcPr>
          <w:p w:rsidR="005279E4" w:rsidRPr="005D2BC0" w:rsidRDefault="005279E4" w:rsidP="00CE46A3">
            <w:pPr>
              <w:ind w:right="-57"/>
              <w:jc w:val="center"/>
              <w:rPr>
                <w:sz w:val="20"/>
                <w:szCs w:val="20"/>
              </w:rPr>
            </w:pPr>
            <w:r>
              <w:rPr>
                <w:sz w:val="20"/>
                <w:szCs w:val="20"/>
              </w:rPr>
              <w:t>152 321,4</w:t>
            </w:r>
          </w:p>
        </w:tc>
        <w:tc>
          <w:tcPr>
            <w:tcW w:w="1045" w:type="dxa"/>
            <w:tcBorders>
              <w:bottom w:val="double" w:sz="4" w:space="0" w:color="auto"/>
            </w:tcBorders>
            <w:shd w:val="clear" w:color="auto" w:fill="auto"/>
            <w:noWrap/>
            <w:vAlign w:val="center"/>
            <w:hideMark/>
          </w:tcPr>
          <w:p w:rsidR="005279E4" w:rsidRPr="005D2BC0" w:rsidRDefault="005279E4" w:rsidP="00CE46A3">
            <w:pPr>
              <w:ind w:right="-57"/>
              <w:jc w:val="center"/>
              <w:rPr>
                <w:sz w:val="20"/>
                <w:szCs w:val="20"/>
              </w:rPr>
            </w:pPr>
            <w:r>
              <w:rPr>
                <w:sz w:val="20"/>
                <w:szCs w:val="20"/>
              </w:rPr>
              <w:t>152 348,7</w:t>
            </w:r>
          </w:p>
        </w:tc>
        <w:tc>
          <w:tcPr>
            <w:tcW w:w="993" w:type="dxa"/>
            <w:tcBorders>
              <w:bottom w:val="double" w:sz="4" w:space="0" w:color="auto"/>
            </w:tcBorders>
            <w:shd w:val="clear" w:color="auto" w:fill="auto"/>
            <w:noWrap/>
            <w:vAlign w:val="center"/>
            <w:hideMark/>
          </w:tcPr>
          <w:p w:rsidR="005279E4" w:rsidRPr="00310FC2" w:rsidRDefault="007F0888" w:rsidP="00CE46A3">
            <w:pPr>
              <w:jc w:val="center"/>
              <w:rPr>
                <w:sz w:val="20"/>
                <w:szCs w:val="20"/>
              </w:rPr>
            </w:pPr>
            <w:r>
              <w:rPr>
                <w:sz w:val="20"/>
                <w:szCs w:val="20"/>
              </w:rPr>
              <w:t>-</w:t>
            </w:r>
            <w:r w:rsidR="005279E4" w:rsidRPr="00310FC2">
              <w:rPr>
                <w:sz w:val="20"/>
                <w:szCs w:val="20"/>
              </w:rPr>
              <w:t>2,7</w:t>
            </w:r>
          </w:p>
        </w:tc>
        <w:tc>
          <w:tcPr>
            <w:tcW w:w="868" w:type="dxa"/>
            <w:tcBorders>
              <w:bottom w:val="double" w:sz="4" w:space="0" w:color="auto"/>
              <w:right w:val="double" w:sz="4" w:space="0" w:color="auto"/>
            </w:tcBorders>
            <w:shd w:val="clear" w:color="auto" w:fill="auto"/>
            <w:noWrap/>
            <w:vAlign w:val="center"/>
            <w:hideMark/>
          </w:tcPr>
          <w:p w:rsidR="005279E4" w:rsidRPr="00310FC2" w:rsidRDefault="005279E4" w:rsidP="00CE46A3">
            <w:pPr>
              <w:ind w:right="-57"/>
              <w:jc w:val="center"/>
              <w:rPr>
                <w:sz w:val="20"/>
                <w:szCs w:val="20"/>
              </w:rPr>
            </w:pPr>
            <w:r w:rsidRPr="00310FC2">
              <w:rPr>
                <w:sz w:val="20"/>
                <w:szCs w:val="20"/>
              </w:rPr>
              <w:t>100,0%</w:t>
            </w:r>
          </w:p>
        </w:tc>
      </w:tr>
      <w:tr w:rsidR="005279E4" w:rsidRPr="00BD63EB" w:rsidTr="00CE46A3">
        <w:trPr>
          <w:trHeight w:val="20"/>
        </w:trPr>
        <w:tc>
          <w:tcPr>
            <w:tcW w:w="1134" w:type="dxa"/>
            <w:tcBorders>
              <w:top w:val="double" w:sz="4" w:space="0" w:color="auto"/>
              <w:left w:val="double" w:sz="4" w:space="0" w:color="auto"/>
              <w:bottom w:val="double" w:sz="4" w:space="0" w:color="auto"/>
            </w:tcBorders>
            <w:shd w:val="clear" w:color="auto" w:fill="auto"/>
            <w:noWrap/>
            <w:vAlign w:val="center"/>
            <w:hideMark/>
          </w:tcPr>
          <w:p w:rsidR="005279E4" w:rsidRPr="005D2BC0" w:rsidRDefault="005279E4" w:rsidP="00CE46A3">
            <w:pPr>
              <w:ind w:left="-57" w:right="-57"/>
              <w:jc w:val="right"/>
              <w:rPr>
                <w:b/>
                <w:i/>
                <w:sz w:val="20"/>
                <w:szCs w:val="20"/>
              </w:rPr>
            </w:pPr>
            <w:r w:rsidRPr="005D2BC0">
              <w:rPr>
                <w:b/>
                <w:i/>
                <w:sz w:val="20"/>
                <w:szCs w:val="20"/>
              </w:rPr>
              <w:t>1000</w:t>
            </w:r>
          </w:p>
        </w:tc>
        <w:tc>
          <w:tcPr>
            <w:tcW w:w="3615" w:type="dxa"/>
            <w:tcBorders>
              <w:top w:val="double" w:sz="4" w:space="0" w:color="auto"/>
              <w:bottom w:val="double" w:sz="4" w:space="0" w:color="auto"/>
            </w:tcBorders>
            <w:shd w:val="clear" w:color="auto" w:fill="auto"/>
            <w:vAlign w:val="center"/>
            <w:hideMark/>
          </w:tcPr>
          <w:p w:rsidR="005279E4" w:rsidRPr="005D2BC0" w:rsidRDefault="005279E4" w:rsidP="00CE46A3">
            <w:pPr>
              <w:rPr>
                <w:b/>
                <w:i/>
                <w:sz w:val="20"/>
                <w:szCs w:val="20"/>
              </w:rPr>
            </w:pPr>
            <w:r w:rsidRPr="005D2BC0">
              <w:rPr>
                <w:b/>
                <w:i/>
                <w:sz w:val="20"/>
                <w:szCs w:val="20"/>
              </w:rPr>
              <w:t>СОЦИАЛЬНАЯ ПОЛИТИКА</w:t>
            </w:r>
          </w:p>
        </w:tc>
        <w:tc>
          <w:tcPr>
            <w:tcW w:w="1003" w:type="dxa"/>
            <w:tcBorders>
              <w:top w:val="double" w:sz="4" w:space="0" w:color="auto"/>
              <w:bottom w:val="double" w:sz="4" w:space="0" w:color="auto"/>
            </w:tcBorders>
            <w:shd w:val="clear" w:color="auto" w:fill="auto"/>
            <w:noWrap/>
            <w:vAlign w:val="center"/>
            <w:hideMark/>
          </w:tcPr>
          <w:p w:rsidR="005279E4" w:rsidRPr="005D2BC0" w:rsidRDefault="005279E4" w:rsidP="00CE46A3">
            <w:pPr>
              <w:ind w:left="-57" w:right="-57"/>
              <w:jc w:val="center"/>
              <w:rPr>
                <w:b/>
                <w:i/>
                <w:sz w:val="20"/>
                <w:szCs w:val="20"/>
              </w:rPr>
            </w:pPr>
            <w:r w:rsidRPr="005D2BC0">
              <w:rPr>
                <w:b/>
                <w:i/>
                <w:sz w:val="20"/>
                <w:szCs w:val="20"/>
              </w:rPr>
              <w:t>550,0</w:t>
            </w:r>
          </w:p>
        </w:tc>
        <w:tc>
          <w:tcPr>
            <w:tcW w:w="1123" w:type="dxa"/>
            <w:tcBorders>
              <w:top w:val="double" w:sz="4" w:space="0" w:color="auto"/>
              <w:bottom w:val="double" w:sz="4" w:space="0" w:color="auto"/>
            </w:tcBorders>
            <w:shd w:val="clear" w:color="auto" w:fill="auto"/>
            <w:noWrap/>
            <w:vAlign w:val="center"/>
            <w:hideMark/>
          </w:tcPr>
          <w:p w:rsidR="005279E4" w:rsidRPr="005D2BC0" w:rsidRDefault="005279E4" w:rsidP="00CE46A3">
            <w:pPr>
              <w:ind w:right="-57"/>
              <w:jc w:val="center"/>
              <w:rPr>
                <w:b/>
                <w:i/>
                <w:sz w:val="20"/>
                <w:szCs w:val="20"/>
              </w:rPr>
            </w:pPr>
            <w:r>
              <w:rPr>
                <w:b/>
                <w:i/>
                <w:sz w:val="20"/>
                <w:szCs w:val="20"/>
              </w:rPr>
              <w:t>1 050,0</w:t>
            </w:r>
          </w:p>
        </w:tc>
        <w:tc>
          <w:tcPr>
            <w:tcW w:w="1045" w:type="dxa"/>
            <w:tcBorders>
              <w:top w:val="double" w:sz="4" w:space="0" w:color="auto"/>
              <w:bottom w:val="double" w:sz="4" w:space="0" w:color="auto"/>
            </w:tcBorders>
            <w:shd w:val="clear" w:color="auto" w:fill="auto"/>
            <w:noWrap/>
            <w:vAlign w:val="center"/>
            <w:hideMark/>
          </w:tcPr>
          <w:p w:rsidR="005279E4" w:rsidRPr="005D2BC0" w:rsidRDefault="005279E4" w:rsidP="00CE46A3">
            <w:pPr>
              <w:ind w:right="-57"/>
              <w:jc w:val="center"/>
              <w:rPr>
                <w:b/>
                <w:i/>
                <w:sz w:val="20"/>
                <w:szCs w:val="20"/>
              </w:rPr>
            </w:pPr>
            <w:r>
              <w:rPr>
                <w:b/>
                <w:i/>
                <w:sz w:val="20"/>
                <w:szCs w:val="20"/>
              </w:rPr>
              <w:t>789,7</w:t>
            </w:r>
          </w:p>
        </w:tc>
        <w:tc>
          <w:tcPr>
            <w:tcW w:w="993" w:type="dxa"/>
            <w:tcBorders>
              <w:top w:val="double" w:sz="4" w:space="0" w:color="auto"/>
              <w:bottom w:val="double" w:sz="4" w:space="0" w:color="auto"/>
            </w:tcBorders>
            <w:shd w:val="clear" w:color="auto" w:fill="auto"/>
            <w:noWrap/>
            <w:vAlign w:val="center"/>
            <w:hideMark/>
          </w:tcPr>
          <w:p w:rsidR="005279E4" w:rsidRPr="005D2BC0" w:rsidRDefault="007F0888" w:rsidP="00CE46A3">
            <w:pPr>
              <w:ind w:right="-57"/>
              <w:jc w:val="center"/>
              <w:rPr>
                <w:b/>
                <w:i/>
                <w:sz w:val="20"/>
                <w:szCs w:val="20"/>
              </w:rPr>
            </w:pPr>
            <w:r>
              <w:rPr>
                <w:b/>
                <w:i/>
                <w:sz w:val="20"/>
                <w:szCs w:val="20"/>
              </w:rPr>
              <w:t>-</w:t>
            </w:r>
            <w:r w:rsidR="005279E4">
              <w:rPr>
                <w:b/>
                <w:i/>
                <w:sz w:val="20"/>
                <w:szCs w:val="20"/>
              </w:rPr>
              <w:t>260,3</w:t>
            </w:r>
          </w:p>
        </w:tc>
        <w:tc>
          <w:tcPr>
            <w:tcW w:w="868" w:type="dxa"/>
            <w:tcBorders>
              <w:top w:val="double" w:sz="4" w:space="0" w:color="auto"/>
              <w:bottom w:val="double" w:sz="4" w:space="0" w:color="auto"/>
              <w:right w:val="double" w:sz="4" w:space="0" w:color="auto"/>
            </w:tcBorders>
            <w:shd w:val="clear" w:color="auto" w:fill="auto"/>
            <w:noWrap/>
            <w:vAlign w:val="center"/>
            <w:hideMark/>
          </w:tcPr>
          <w:p w:rsidR="005279E4" w:rsidRPr="005D2BC0" w:rsidRDefault="005279E4" w:rsidP="00CE46A3">
            <w:pPr>
              <w:ind w:right="-57"/>
              <w:jc w:val="center"/>
              <w:rPr>
                <w:b/>
                <w:i/>
                <w:sz w:val="20"/>
                <w:szCs w:val="20"/>
              </w:rPr>
            </w:pPr>
            <w:r>
              <w:rPr>
                <w:b/>
                <w:i/>
                <w:sz w:val="20"/>
                <w:szCs w:val="20"/>
              </w:rPr>
              <w:t>75,2%</w:t>
            </w:r>
          </w:p>
        </w:tc>
      </w:tr>
      <w:tr w:rsidR="005279E4" w:rsidRPr="00BD63EB" w:rsidTr="00CE46A3">
        <w:trPr>
          <w:trHeight w:val="20"/>
        </w:trPr>
        <w:tc>
          <w:tcPr>
            <w:tcW w:w="1134" w:type="dxa"/>
            <w:tcBorders>
              <w:left w:val="double" w:sz="4" w:space="0" w:color="auto"/>
            </w:tcBorders>
            <w:shd w:val="clear" w:color="auto" w:fill="auto"/>
            <w:noWrap/>
            <w:vAlign w:val="center"/>
            <w:hideMark/>
          </w:tcPr>
          <w:p w:rsidR="005279E4" w:rsidRPr="005D2BC0" w:rsidRDefault="005279E4" w:rsidP="00CE46A3">
            <w:pPr>
              <w:ind w:left="-57" w:right="-57"/>
              <w:jc w:val="right"/>
              <w:rPr>
                <w:b/>
                <w:sz w:val="20"/>
                <w:szCs w:val="20"/>
              </w:rPr>
            </w:pPr>
            <w:r w:rsidRPr="005D2BC0">
              <w:rPr>
                <w:b/>
                <w:sz w:val="20"/>
                <w:szCs w:val="20"/>
              </w:rPr>
              <w:t>1006</w:t>
            </w:r>
          </w:p>
        </w:tc>
        <w:tc>
          <w:tcPr>
            <w:tcW w:w="3615" w:type="dxa"/>
            <w:shd w:val="clear" w:color="auto" w:fill="auto"/>
            <w:vAlign w:val="center"/>
            <w:hideMark/>
          </w:tcPr>
          <w:p w:rsidR="005279E4" w:rsidRPr="005D2BC0" w:rsidRDefault="005279E4" w:rsidP="00CE46A3">
            <w:pPr>
              <w:rPr>
                <w:b/>
                <w:sz w:val="20"/>
                <w:szCs w:val="20"/>
              </w:rPr>
            </w:pPr>
            <w:r w:rsidRPr="005D2BC0">
              <w:rPr>
                <w:b/>
                <w:sz w:val="20"/>
                <w:szCs w:val="20"/>
              </w:rPr>
              <w:t>Другие вопросы в области социальной политики</w:t>
            </w:r>
          </w:p>
        </w:tc>
        <w:tc>
          <w:tcPr>
            <w:tcW w:w="1003" w:type="dxa"/>
            <w:shd w:val="clear" w:color="auto" w:fill="auto"/>
            <w:noWrap/>
            <w:vAlign w:val="center"/>
            <w:hideMark/>
          </w:tcPr>
          <w:p w:rsidR="005279E4" w:rsidRPr="005D2BC0" w:rsidRDefault="005279E4" w:rsidP="00CE46A3">
            <w:pPr>
              <w:ind w:left="-57" w:right="-57"/>
              <w:jc w:val="center"/>
              <w:rPr>
                <w:b/>
                <w:sz w:val="20"/>
                <w:szCs w:val="20"/>
              </w:rPr>
            </w:pPr>
            <w:r w:rsidRPr="005D2BC0">
              <w:rPr>
                <w:b/>
                <w:sz w:val="20"/>
                <w:szCs w:val="20"/>
              </w:rPr>
              <w:t>550,0</w:t>
            </w:r>
          </w:p>
        </w:tc>
        <w:tc>
          <w:tcPr>
            <w:tcW w:w="1123" w:type="dxa"/>
            <w:shd w:val="clear" w:color="auto" w:fill="auto"/>
            <w:noWrap/>
            <w:vAlign w:val="center"/>
            <w:hideMark/>
          </w:tcPr>
          <w:p w:rsidR="005279E4" w:rsidRPr="00310FC2" w:rsidRDefault="005279E4" w:rsidP="00CE46A3">
            <w:pPr>
              <w:ind w:left="-57" w:right="-57"/>
              <w:jc w:val="center"/>
              <w:rPr>
                <w:b/>
                <w:sz w:val="20"/>
                <w:szCs w:val="20"/>
              </w:rPr>
            </w:pPr>
            <w:r w:rsidRPr="00310FC2">
              <w:rPr>
                <w:b/>
                <w:sz w:val="20"/>
                <w:szCs w:val="20"/>
              </w:rPr>
              <w:t>1 050,0</w:t>
            </w:r>
          </w:p>
        </w:tc>
        <w:tc>
          <w:tcPr>
            <w:tcW w:w="1045" w:type="dxa"/>
            <w:shd w:val="clear" w:color="auto" w:fill="auto"/>
            <w:noWrap/>
            <w:vAlign w:val="center"/>
            <w:hideMark/>
          </w:tcPr>
          <w:p w:rsidR="005279E4" w:rsidRPr="00310FC2" w:rsidRDefault="005279E4" w:rsidP="00CE46A3">
            <w:pPr>
              <w:ind w:left="-57" w:right="-57"/>
              <w:jc w:val="center"/>
              <w:rPr>
                <w:b/>
                <w:sz w:val="20"/>
                <w:szCs w:val="20"/>
              </w:rPr>
            </w:pPr>
            <w:r w:rsidRPr="00310FC2">
              <w:rPr>
                <w:b/>
                <w:sz w:val="20"/>
                <w:szCs w:val="20"/>
              </w:rPr>
              <w:t>789,</w:t>
            </w:r>
            <w:r>
              <w:rPr>
                <w:b/>
                <w:sz w:val="20"/>
                <w:szCs w:val="20"/>
              </w:rPr>
              <w:t>7</w:t>
            </w:r>
          </w:p>
        </w:tc>
        <w:tc>
          <w:tcPr>
            <w:tcW w:w="993" w:type="dxa"/>
            <w:shd w:val="clear" w:color="auto" w:fill="auto"/>
            <w:noWrap/>
            <w:vAlign w:val="center"/>
            <w:hideMark/>
          </w:tcPr>
          <w:p w:rsidR="005279E4" w:rsidRPr="005D2BC0" w:rsidRDefault="007F0888" w:rsidP="00CE46A3">
            <w:pPr>
              <w:ind w:right="-57"/>
              <w:jc w:val="center"/>
              <w:rPr>
                <w:b/>
                <w:sz w:val="20"/>
                <w:szCs w:val="20"/>
              </w:rPr>
            </w:pPr>
            <w:r>
              <w:rPr>
                <w:b/>
                <w:sz w:val="20"/>
                <w:szCs w:val="20"/>
              </w:rPr>
              <w:t>-</w:t>
            </w:r>
            <w:r w:rsidR="005279E4">
              <w:rPr>
                <w:b/>
                <w:sz w:val="20"/>
                <w:szCs w:val="20"/>
              </w:rPr>
              <w:t>260,3</w:t>
            </w:r>
          </w:p>
        </w:tc>
        <w:tc>
          <w:tcPr>
            <w:tcW w:w="868" w:type="dxa"/>
            <w:tcBorders>
              <w:right w:val="double" w:sz="4" w:space="0" w:color="auto"/>
            </w:tcBorders>
            <w:shd w:val="clear" w:color="auto" w:fill="auto"/>
            <w:noWrap/>
            <w:vAlign w:val="center"/>
            <w:hideMark/>
          </w:tcPr>
          <w:p w:rsidR="005279E4" w:rsidRPr="005D2BC0" w:rsidRDefault="005279E4" w:rsidP="00CE46A3">
            <w:pPr>
              <w:ind w:right="-57"/>
              <w:jc w:val="center"/>
              <w:rPr>
                <w:b/>
                <w:sz w:val="20"/>
                <w:szCs w:val="20"/>
              </w:rPr>
            </w:pPr>
            <w:r>
              <w:rPr>
                <w:b/>
                <w:sz w:val="20"/>
                <w:szCs w:val="20"/>
              </w:rPr>
              <w:t>75,2%</w:t>
            </w:r>
          </w:p>
        </w:tc>
      </w:tr>
      <w:tr w:rsidR="005279E4" w:rsidRPr="00BD63EB" w:rsidTr="00CE46A3">
        <w:trPr>
          <w:trHeight w:val="20"/>
        </w:trPr>
        <w:tc>
          <w:tcPr>
            <w:tcW w:w="1134" w:type="dxa"/>
            <w:tcBorders>
              <w:left w:val="double" w:sz="4" w:space="0" w:color="auto"/>
              <w:bottom w:val="double" w:sz="4" w:space="0" w:color="auto"/>
            </w:tcBorders>
            <w:shd w:val="clear" w:color="auto" w:fill="auto"/>
            <w:noWrap/>
            <w:vAlign w:val="center"/>
            <w:hideMark/>
          </w:tcPr>
          <w:p w:rsidR="005279E4" w:rsidRPr="005D2BC0" w:rsidRDefault="005279E4" w:rsidP="00CE46A3">
            <w:pPr>
              <w:ind w:left="-57" w:right="-57"/>
              <w:jc w:val="right"/>
              <w:rPr>
                <w:sz w:val="20"/>
                <w:szCs w:val="20"/>
              </w:rPr>
            </w:pPr>
            <w:r w:rsidRPr="005D2BC0">
              <w:rPr>
                <w:sz w:val="20"/>
                <w:szCs w:val="20"/>
              </w:rPr>
              <w:t>9900000000</w:t>
            </w:r>
          </w:p>
        </w:tc>
        <w:tc>
          <w:tcPr>
            <w:tcW w:w="3615" w:type="dxa"/>
            <w:tcBorders>
              <w:bottom w:val="double" w:sz="4" w:space="0" w:color="auto"/>
            </w:tcBorders>
            <w:shd w:val="clear" w:color="auto" w:fill="auto"/>
            <w:vAlign w:val="center"/>
            <w:hideMark/>
          </w:tcPr>
          <w:p w:rsidR="005279E4" w:rsidRPr="005D2BC0" w:rsidRDefault="005279E4" w:rsidP="00CE46A3">
            <w:pPr>
              <w:rPr>
                <w:sz w:val="20"/>
                <w:szCs w:val="20"/>
              </w:rPr>
            </w:pPr>
            <w:r w:rsidRPr="005D2BC0">
              <w:rPr>
                <w:sz w:val="20"/>
                <w:szCs w:val="20"/>
              </w:rPr>
              <w:t>Расходы на выплаты персоналу казенных учреждений</w:t>
            </w:r>
          </w:p>
        </w:tc>
        <w:tc>
          <w:tcPr>
            <w:tcW w:w="1003" w:type="dxa"/>
            <w:tcBorders>
              <w:bottom w:val="double" w:sz="4" w:space="0" w:color="auto"/>
            </w:tcBorders>
            <w:shd w:val="clear" w:color="auto" w:fill="auto"/>
            <w:noWrap/>
            <w:vAlign w:val="center"/>
            <w:hideMark/>
          </w:tcPr>
          <w:p w:rsidR="005279E4" w:rsidRPr="005D2BC0" w:rsidRDefault="005279E4" w:rsidP="00CE46A3">
            <w:pPr>
              <w:ind w:left="-57" w:right="-57"/>
              <w:jc w:val="center"/>
              <w:rPr>
                <w:sz w:val="20"/>
                <w:szCs w:val="20"/>
              </w:rPr>
            </w:pPr>
            <w:r w:rsidRPr="005D2BC0">
              <w:rPr>
                <w:sz w:val="20"/>
                <w:szCs w:val="20"/>
              </w:rPr>
              <w:t>550,0</w:t>
            </w:r>
          </w:p>
        </w:tc>
        <w:tc>
          <w:tcPr>
            <w:tcW w:w="1123" w:type="dxa"/>
            <w:tcBorders>
              <w:bottom w:val="double" w:sz="4" w:space="0" w:color="auto"/>
            </w:tcBorders>
            <w:shd w:val="clear" w:color="auto" w:fill="auto"/>
            <w:noWrap/>
            <w:vAlign w:val="center"/>
            <w:hideMark/>
          </w:tcPr>
          <w:p w:rsidR="005279E4" w:rsidRPr="00310FC2" w:rsidRDefault="005279E4" w:rsidP="00CE46A3">
            <w:pPr>
              <w:ind w:left="-57" w:right="-57"/>
              <w:jc w:val="center"/>
              <w:rPr>
                <w:sz w:val="20"/>
                <w:szCs w:val="20"/>
              </w:rPr>
            </w:pPr>
            <w:r w:rsidRPr="00310FC2">
              <w:rPr>
                <w:sz w:val="20"/>
                <w:szCs w:val="20"/>
              </w:rPr>
              <w:t>1 050,0</w:t>
            </w:r>
          </w:p>
        </w:tc>
        <w:tc>
          <w:tcPr>
            <w:tcW w:w="1045" w:type="dxa"/>
            <w:tcBorders>
              <w:bottom w:val="double" w:sz="4" w:space="0" w:color="auto"/>
            </w:tcBorders>
            <w:shd w:val="clear" w:color="auto" w:fill="auto"/>
            <w:noWrap/>
            <w:vAlign w:val="center"/>
            <w:hideMark/>
          </w:tcPr>
          <w:p w:rsidR="005279E4" w:rsidRPr="00310FC2" w:rsidRDefault="005279E4" w:rsidP="00CE46A3">
            <w:pPr>
              <w:ind w:left="-57" w:right="-57"/>
              <w:jc w:val="center"/>
              <w:rPr>
                <w:sz w:val="20"/>
                <w:szCs w:val="20"/>
              </w:rPr>
            </w:pPr>
            <w:r w:rsidRPr="00310FC2">
              <w:rPr>
                <w:sz w:val="20"/>
                <w:szCs w:val="20"/>
              </w:rPr>
              <w:t>789,</w:t>
            </w:r>
            <w:r>
              <w:rPr>
                <w:sz w:val="20"/>
                <w:szCs w:val="20"/>
              </w:rPr>
              <w:t>7</w:t>
            </w:r>
          </w:p>
        </w:tc>
        <w:tc>
          <w:tcPr>
            <w:tcW w:w="993" w:type="dxa"/>
            <w:tcBorders>
              <w:bottom w:val="double" w:sz="4" w:space="0" w:color="auto"/>
            </w:tcBorders>
            <w:shd w:val="clear" w:color="auto" w:fill="auto"/>
            <w:noWrap/>
            <w:vAlign w:val="center"/>
            <w:hideMark/>
          </w:tcPr>
          <w:p w:rsidR="005279E4" w:rsidRPr="005D2BC0" w:rsidRDefault="007F0888" w:rsidP="00CE46A3">
            <w:pPr>
              <w:ind w:right="-57"/>
              <w:jc w:val="center"/>
              <w:rPr>
                <w:sz w:val="20"/>
                <w:szCs w:val="20"/>
              </w:rPr>
            </w:pPr>
            <w:r>
              <w:rPr>
                <w:sz w:val="20"/>
                <w:szCs w:val="20"/>
              </w:rPr>
              <w:t>-</w:t>
            </w:r>
            <w:r w:rsidR="005279E4">
              <w:rPr>
                <w:sz w:val="20"/>
                <w:szCs w:val="20"/>
              </w:rPr>
              <w:t>260,3</w:t>
            </w:r>
          </w:p>
        </w:tc>
        <w:tc>
          <w:tcPr>
            <w:tcW w:w="868" w:type="dxa"/>
            <w:tcBorders>
              <w:bottom w:val="double" w:sz="4" w:space="0" w:color="auto"/>
              <w:right w:val="double" w:sz="4" w:space="0" w:color="auto"/>
            </w:tcBorders>
            <w:shd w:val="clear" w:color="auto" w:fill="auto"/>
            <w:noWrap/>
            <w:vAlign w:val="center"/>
            <w:hideMark/>
          </w:tcPr>
          <w:p w:rsidR="005279E4" w:rsidRPr="005D2BC0" w:rsidRDefault="005279E4" w:rsidP="00CE46A3">
            <w:pPr>
              <w:ind w:right="-57"/>
              <w:jc w:val="center"/>
              <w:rPr>
                <w:sz w:val="20"/>
                <w:szCs w:val="20"/>
              </w:rPr>
            </w:pPr>
            <w:r>
              <w:rPr>
                <w:sz w:val="20"/>
                <w:szCs w:val="20"/>
              </w:rPr>
              <w:t>75,2%</w:t>
            </w:r>
          </w:p>
        </w:tc>
      </w:tr>
    </w:tbl>
    <w:p w:rsidR="005279E4" w:rsidRPr="00821D05" w:rsidRDefault="005279E4" w:rsidP="005279E4">
      <w:pPr>
        <w:autoSpaceDE w:val="0"/>
        <w:autoSpaceDN w:val="0"/>
        <w:adjustRightInd w:val="0"/>
        <w:ind w:firstLine="709"/>
        <w:jc w:val="both"/>
      </w:pPr>
    </w:p>
    <w:p w:rsidR="007F0888" w:rsidRPr="007F0888" w:rsidRDefault="007F0888" w:rsidP="007F0888">
      <w:pPr>
        <w:autoSpaceDE w:val="0"/>
        <w:autoSpaceDN w:val="0"/>
        <w:adjustRightInd w:val="0"/>
        <w:ind w:firstLine="709"/>
        <w:jc w:val="both"/>
      </w:pPr>
      <w:r w:rsidRPr="007F0888">
        <w:t>Бюджетные назначения исполнены в сумме 686 605,8 тыс. руб., или на 92,8 процента. Объем неисполненных назначений составил 53 231,9 тыс. руб. и сложилось по причине:</w:t>
      </w:r>
    </w:p>
    <w:p w:rsidR="007F0888" w:rsidRPr="007F0888" w:rsidRDefault="007F0888" w:rsidP="007F0888">
      <w:pPr>
        <w:autoSpaceDE w:val="0"/>
        <w:autoSpaceDN w:val="0"/>
        <w:adjustRightInd w:val="0"/>
        <w:ind w:firstLine="709"/>
        <w:jc w:val="both"/>
      </w:pPr>
      <w:r w:rsidRPr="007F0888">
        <w:t>-40 043,3 тыс. руб. несвоевременное исполнение контрактов на выполнение работ по текущему ремонту помещений, занимаемых мировыми судьями Волгоградской области, со стороны подрядчиков;</w:t>
      </w:r>
    </w:p>
    <w:p w:rsidR="007F0888" w:rsidRDefault="007F0888" w:rsidP="007F0888">
      <w:pPr>
        <w:autoSpaceDE w:val="0"/>
        <w:autoSpaceDN w:val="0"/>
        <w:adjustRightInd w:val="0"/>
        <w:ind w:firstLine="709"/>
        <w:jc w:val="both"/>
      </w:pPr>
      <w:r w:rsidRPr="007F0888">
        <w:t>-13 188,6 тыс. руб. экономия, образовавшаяся по результатам проведения конкурсных процедур.</w:t>
      </w:r>
    </w:p>
    <w:p w:rsidR="00A20D59" w:rsidRPr="00A371A3" w:rsidRDefault="00A20D59" w:rsidP="007F0888">
      <w:pPr>
        <w:autoSpaceDE w:val="0"/>
        <w:autoSpaceDN w:val="0"/>
        <w:adjustRightInd w:val="0"/>
        <w:ind w:firstLine="709"/>
        <w:jc w:val="both"/>
      </w:pPr>
    </w:p>
    <w:p w:rsidR="00A20D59" w:rsidRDefault="00CE46A3" w:rsidP="00A20D59">
      <w:pPr>
        <w:autoSpaceDE w:val="0"/>
        <w:autoSpaceDN w:val="0"/>
        <w:adjustRightInd w:val="0"/>
        <w:ind w:firstLine="709"/>
        <w:jc w:val="both"/>
      </w:pPr>
      <w:r>
        <w:t xml:space="preserve">В 2019 году Облкомюстиции осуществлены расходы в размере 7 171,2 тыс. руб. </w:t>
      </w:r>
      <w:r w:rsidR="00A20D59">
        <w:t>по подразделу 0113 «Другие общегосударственные вопросы» на создание и содержание ГКУ «Дирекция», которое осуществляет мероприятия по материально-техническому и информационному обеспечению деятельности мировых судей Волгоградской области.</w:t>
      </w:r>
    </w:p>
    <w:p w:rsidR="00A20D59" w:rsidRDefault="00C11772" w:rsidP="00A20D59">
      <w:pPr>
        <w:autoSpaceDE w:val="0"/>
        <w:autoSpaceDN w:val="0"/>
        <w:adjustRightInd w:val="0"/>
        <w:ind w:firstLine="709"/>
        <w:jc w:val="both"/>
      </w:pPr>
      <w:r>
        <w:t>Н</w:t>
      </w:r>
      <w:r w:rsidR="00A20D59">
        <w:t xml:space="preserve">еобходимо отметить, что согласно ст. 18 БК РФ бюджетная классификация РФ является группировкой доходов, расходов и источников финансирования дефицитов бюджетов,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 </w:t>
      </w:r>
    </w:p>
    <w:p w:rsidR="00A20D59" w:rsidRDefault="00A20D59" w:rsidP="00A20D59">
      <w:pPr>
        <w:autoSpaceDE w:val="0"/>
        <w:autoSpaceDN w:val="0"/>
        <w:adjustRightInd w:val="0"/>
        <w:ind w:firstLine="709"/>
        <w:jc w:val="both"/>
      </w:pPr>
      <w:r>
        <w:t>Определение порядка формирования и применения кодов бюджетной классификации РФ, а также присвоение кодов составным частям бюджетной классификации РФ, которые являются едиными для бюджетов бюджетной системы РФ, осуществляются Министерством финансов РФ.</w:t>
      </w:r>
    </w:p>
    <w:p w:rsidR="00A20D59" w:rsidRDefault="00A20D59" w:rsidP="00A20D59">
      <w:pPr>
        <w:autoSpaceDE w:val="0"/>
        <w:autoSpaceDN w:val="0"/>
        <w:adjustRightInd w:val="0"/>
        <w:ind w:firstLine="709"/>
        <w:jc w:val="both"/>
      </w:pPr>
      <w:r>
        <w:t>Согласно ч. 15 п. 18.1 Порядка формирования и применения кодов бюджетной классификации Российской Федерации, их структуре и принципах назначения, утверждённого приказом Минфина России от 06.06.2019 № 85н (далее – Порядок), отнесение расходов на финансовое обеспечение выполнения функций государственными учреждениями, осуществляется по разделам и подразделам классификации расходов бюджетов исходя из осуществляемых указанными учреждениями функций. Согласно ч. 5 п. 18.2.1 указанного Порядка расходы на обеспечение деятельности федеральных судов, судов субъектов РФ и их аппаратов, расходы на развитие судебной системы России подлежат отражению по подразделу 0105 «Судебная система». По подразделу 0113 «Другие общегосударственные вопросы» классификации расходов бюджетов подлежат отражению расходы на выполнение функций по общегосударственным вопросам, не отнесенным к другим подразделам данного раздела классификации расходов бюджетов (ч. 19 п.18.2.1 Порядка).</w:t>
      </w:r>
    </w:p>
    <w:p w:rsidR="00A20D59" w:rsidRDefault="00A20D59" w:rsidP="00A20D59">
      <w:pPr>
        <w:autoSpaceDE w:val="0"/>
        <w:autoSpaceDN w:val="0"/>
        <w:adjustRightInd w:val="0"/>
        <w:ind w:firstLine="709"/>
        <w:jc w:val="both"/>
      </w:pPr>
      <w:r>
        <w:t>Таким образом, планирование и исполнение расходов на обеспечение выполнения функций Учреждением по обеспечению деятельности мировых судей по подразделу 0113 «Другие общегосударственные расходы» является нарушением положений ст. 18 БК РФ, п. 18.1, 18.2.1 Порядка и указывает на несоблюдение принципа прозрачности бюджета, который заключается в стабильности и (или) преемственности бюджетной классификации РФ, а также обеспечении сопоставимости показателей бюджета отчетного, текущего и очередного финансового года (ч. 5 ст. 36 БК РФ).</w:t>
      </w:r>
    </w:p>
    <w:p w:rsidR="00FF36F7" w:rsidRDefault="00A20D59" w:rsidP="009E0654">
      <w:pPr>
        <w:autoSpaceDE w:val="0"/>
        <w:autoSpaceDN w:val="0"/>
        <w:adjustRightInd w:val="0"/>
        <w:ind w:firstLine="709"/>
        <w:jc w:val="both"/>
      </w:pPr>
      <w:r>
        <w:t xml:space="preserve">КСП в своих заключениях на проект </w:t>
      </w:r>
      <w:r w:rsidR="00C11772">
        <w:t>з</w:t>
      </w:r>
      <w:r>
        <w:t>акона об областном бюджете на 2020</w:t>
      </w:r>
      <w:r w:rsidR="00C11772">
        <w:t>-2022 годы</w:t>
      </w:r>
      <w:r>
        <w:t xml:space="preserve"> от 19.11.2019 №01КСП-02-02/161 и на проект закона о внесении изменений в Закон о бюджете на 2020</w:t>
      </w:r>
      <w:r w:rsidR="00C11772">
        <w:t>-2022</w:t>
      </w:r>
      <w:r>
        <w:t xml:space="preserve"> год</w:t>
      </w:r>
      <w:r w:rsidR="00C11772">
        <w:t>ы</w:t>
      </w:r>
      <w:r>
        <w:t xml:space="preserve"> от 18.12.2019 №01КСП-02-02/200 </w:t>
      </w:r>
      <w:r w:rsidR="009E0654">
        <w:t xml:space="preserve">также </w:t>
      </w:r>
      <w:r w:rsidR="005C2662">
        <w:t xml:space="preserve">указывала на </w:t>
      </w:r>
      <w:r w:rsidR="009E0654">
        <w:t>н</w:t>
      </w:r>
      <w:r w:rsidR="009E0654" w:rsidRPr="009E0654">
        <w:t>арушени</w:t>
      </w:r>
      <w:r w:rsidR="009E0654">
        <w:t>я</w:t>
      </w:r>
      <w:r w:rsidR="009E0654" w:rsidRPr="009E0654">
        <w:t xml:space="preserve"> порядка применения бюджетной классификации РФ</w:t>
      </w:r>
      <w:r w:rsidR="009E0654">
        <w:t xml:space="preserve"> и отнесения расходов </w:t>
      </w:r>
      <w:r>
        <w:t>по материально-техническому обеспечению деятельности мировых судей</w:t>
      </w:r>
      <w:r w:rsidR="009E0654">
        <w:t xml:space="preserve"> на 2020-2022 годы в размере 545 </w:t>
      </w:r>
      <w:r w:rsidR="009E0654" w:rsidRPr="009E0654">
        <w:t>691,4 тыс. руб.</w:t>
      </w:r>
      <w:r>
        <w:t xml:space="preserve"> </w:t>
      </w:r>
      <w:r w:rsidR="009E0654">
        <w:t xml:space="preserve">на подраздел </w:t>
      </w:r>
      <w:r w:rsidR="009E0654" w:rsidRPr="009E0654">
        <w:t>подраздел 0113 «Другие общегосударственные вопросы»</w:t>
      </w:r>
      <w:r w:rsidR="009E0654">
        <w:t xml:space="preserve">, а не на подраздел </w:t>
      </w:r>
      <w:r w:rsidR="009E0654" w:rsidRPr="009E0654">
        <w:t>0105 «Судебная система»</w:t>
      </w:r>
      <w:r w:rsidR="009E0654">
        <w:t>.</w:t>
      </w:r>
    </w:p>
    <w:p w:rsidR="00A20D59" w:rsidRDefault="00A20D59" w:rsidP="007F0888">
      <w:pPr>
        <w:autoSpaceDE w:val="0"/>
        <w:autoSpaceDN w:val="0"/>
        <w:adjustRightInd w:val="0"/>
        <w:ind w:firstLine="709"/>
        <w:jc w:val="both"/>
      </w:pPr>
    </w:p>
    <w:p w:rsidR="009E0654" w:rsidRDefault="009E0654" w:rsidP="007F0888">
      <w:pPr>
        <w:autoSpaceDE w:val="0"/>
        <w:autoSpaceDN w:val="0"/>
        <w:adjustRightInd w:val="0"/>
        <w:ind w:firstLine="709"/>
        <w:jc w:val="both"/>
      </w:pPr>
    </w:p>
    <w:p w:rsidR="009E0654" w:rsidRDefault="009E0654" w:rsidP="007F0888">
      <w:pPr>
        <w:autoSpaceDE w:val="0"/>
        <w:autoSpaceDN w:val="0"/>
        <w:adjustRightInd w:val="0"/>
        <w:ind w:firstLine="709"/>
        <w:jc w:val="both"/>
      </w:pPr>
    </w:p>
    <w:p w:rsidR="009E0654" w:rsidRDefault="009E0654" w:rsidP="007F0888">
      <w:pPr>
        <w:autoSpaceDE w:val="0"/>
        <w:autoSpaceDN w:val="0"/>
        <w:adjustRightInd w:val="0"/>
        <w:ind w:firstLine="709"/>
        <w:jc w:val="both"/>
      </w:pPr>
    </w:p>
    <w:p w:rsidR="00A320D5" w:rsidRPr="00AC0391" w:rsidRDefault="00A320D5" w:rsidP="00A320D5">
      <w:pPr>
        <w:ind w:firstLine="708"/>
        <w:jc w:val="center"/>
        <w:rPr>
          <w:b/>
          <w:i/>
        </w:rPr>
      </w:pPr>
      <w:r w:rsidRPr="00AC0391">
        <w:rPr>
          <w:b/>
          <w:i/>
        </w:rPr>
        <w:lastRenderedPageBreak/>
        <w:t>Сравнительный анализ показателей</w:t>
      </w:r>
    </w:p>
    <w:p w:rsidR="00A320D5" w:rsidRPr="00AC0391" w:rsidRDefault="00A320D5" w:rsidP="00A320D5">
      <w:pPr>
        <w:ind w:firstLine="708"/>
        <w:jc w:val="center"/>
      </w:pPr>
      <w:r w:rsidRPr="00AC0391">
        <w:rPr>
          <w:b/>
          <w:i/>
        </w:rPr>
        <w:t>исполнения расходов областного бюджета за 2018 год и 2019 год</w:t>
      </w:r>
    </w:p>
    <w:p w:rsidR="00A320D5" w:rsidRPr="00AC0391" w:rsidRDefault="00A320D5" w:rsidP="00A320D5">
      <w:pPr>
        <w:ind w:firstLine="708"/>
        <w:jc w:val="right"/>
        <w:rPr>
          <w:i/>
          <w:sz w:val="22"/>
          <w:szCs w:val="22"/>
        </w:rPr>
      </w:pPr>
      <w:r w:rsidRPr="00AC0391">
        <w:rPr>
          <w:i/>
          <w:sz w:val="22"/>
          <w:szCs w:val="22"/>
        </w:rPr>
        <w:t>тыс. руб.</w:t>
      </w:r>
    </w:p>
    <w:tbl>
      <w:tblPr>
        <w:tblW w:w="98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993"/>
        <w:gridCol w:w="4677"/>
        <w:gridCol w:w="1040"/>
        <w:gridCol w:w="1050"/>
        <w:gridCol w:w="1040"/>
        <w:gridCol w:w="1000"/>
      </w:tblGrid>
      <w:tr w:rsidR="00A320D5" w:rsidRPr="00AC0391" w:rsidTr="000C6739">
        <w:trPr>
          <w:trHeight w:val="20"/>
        </w:trPr>
        <w:tc>
          <w:tcPr>
            <w:tcW w:w="993" w:type="dxa"/>
            <w:vMerge w:val="restart"/>
            <w:tcBorders>
              <w:top w:val="double" w:sz="4" w:space="0" w:color="auto"/>
              <w:left w:val="double" w:sz="4" w:space="0" w:color="auto"/>
            </w:tcBorders>
            <w:shd w:val="clear" w:color="auto" w:fill="auto"/>
            <w:vAlign w:val="center"/>
            <w:hideMark/>
          </w:tcPr>
          <w:p w:rsidR="00A320D5" w:rsidRPr="00AC0391" w:rsidRDefault="00A320D5" w:rsidP="000C6739">
            <w:pPr>
              <w:ind w:left="-57" w:right="-57"/>
              <w:jc w:val="center"/>
              <w:rPr>
                <w:sz w:val="20"/>
                <w:szCs w:val="20"/>
              </w:rPr>
            </w:pPr>
            <w:r w:rsidRPr="00AC0391">
              <w:rPr>
                <w:sz w:val="20"/>
                <w:szCs w:val="20"/>
              </w:rPr>
              <w:t>Раздел, подраздел</w:t>
            </w:r>
          </w:p>
        </w:tc>
        <w:tc>
          <w:tcPr>
            <w:tcW w:w="4677" w:type="dxa"/>
            <w:vMerge w:val="restart"/>
            <w:tcBorders>
              <w:top w:val="double" w:sz="4" w:space="0" w:color="auto"/>
            </w:tcBorders>
            <w:shd w:val="clear" w:color="auto" w:fill="auto"/>
            <w:vAlign w:val="center"/>
            <w:hideMark/>
          </w:tcPr>
          <w:p w:rsidR="00A320D5" w:rsidRPr="00AC0391" w:rsidRDefault="00A320D5" w:rsidP="000C6739">
            <w:pPr>
              <w:jc w:val="center"/>
              <w:rPr>
                <w:sz w:val="20"/>
                <w:szCs w:val="20"/>
              </w:rPr>
            </w:pPr>
            <w:r w:rsidRPr="00AC0391">
              <w:rPr>
                <w:sz w:val="20"/>
                <w:szCs w:val="20"/>
              </w:rPr>
              <w:t>Наименование показателя</w:t>
            </w:r>
          </w:p>
        </w:tc>
        <w:tc>
          <w:tcPr>
            <w:tcW w:w="1040" w:type="dxa"/>
            <w:vMerge w:val="restart"/>
            <w:tcBorders>
              <w:top w:val="double" w:sz="4" w:space="0" w:color="auto"/>
            </w:tcBorders>
            <w:shd w:val="clear" w:color="auto" w:fill="auto"/>
            <w:noWrap/>
            <w:vAlign w:val="center"/>
            <w:hideMark/>
          </w:tcPr>
          <w:p w:rsidR="00A320D5" w:rsidRPr="00AC0391" w:rsidRDefault="00A320D5" w:rsidP="000C6739">
            <w:pPr>
              <w:jc w:val="center"/>
              <w:rPr>
                <w:sz w:val="20"/>
                <w:szCs w:val="20"/>
              </w:rPr>
            </w:pPr>
            <w:r w:rsidRPr="00AC0391">
              <w:rPr>
                <w:sz w:val="20"/>
                <w:szCs w:val="20"/>
              </w:rPr>
              <w:t>2018 год</w:t>
            </w:r>
          </w:p>
        </w:tc>
        <w:tc>
          <w:tcPr>
            <w:tcW w:w="1050" w:type="dxa"/>
            <w:vMerge w:val="restart"/>
            <w:tcBorders>
              <w:top w:val="double" w:sz="4" w:space="0" w:color="auto"/>
            </w:tcBorders>
            <w:vAlign w:val="center"/>
          </w:tcPr>
          <w:p w:rsidR="00A320D5" w:rsidRPr="00AC0391" w:rsidRDefault="00A320D5" w:rsidP="000C6739">
            <w:pPr>
              <w:jc w:val="center"/>
              <w:rPr>
                <w:sz w:val="20"/>
                <w:szCs w:val="20"/>
              </w:rPr>
            </w:pPr>
            <w:r w:rsidRPr="00AC0391">
              <w:rPr>
                <w:sz w:val="20"/>
                <w:szCs w:val="20"/>
              </w:rPr>
              <w:t>2019 год</w:t>
            </w:r>
          </w:p>
        </w:tc>
        <w:tc>
          <w:tcPr>
            <w:tcW w:w="2040" w:type="dxa"/>
            <w:gridSpan w:val="2"/>
            <w:tcBorders>
              <w:top w:val="double" w:sz="4" w:space="0" w:color="auto"/>
              <w:right w:val="double" w:sz="4" w:space="0" w:color="auto"/>
            </w:tcBorders>
            <w:shd w:val="clear" w:color="auto" w:fill="auto"/>
            <w:vAlign w:val="center"/>
            <w:hideMark/>
          </w:tcPr>
          <w:p w:rsidR="00A320D5" w:rsidRPr="00AC0391" w:rsidRDefault="00A320D5" w:rsidP="000C6739">
            <w:pPr>
              <w:jc w:val="center"/>
              <w:rPr>
                <w:sz w:val="20"/>
                <w:szCs w:val="20"/>
              </w:rPr>
            </w:pPr>
            <w:r w:rsidRPr="00AC0391">
              <w:rPr>
                <w:sz w:val="20"/>
                <w:szCs w:val="20"/>
              </w:rPr>
              <w:t>Отклонение</w:t>
            </w:r>
          </w:p>
        </w:tc>
      </w:tr>
      <w:tr w:rsidR="00A320D5" w:rsidRPr="00AC0391" w:rsidTr="000C6739">
        <w:trPr>
          <w:trHeight w:val="20"/>
        </w:trPr>
        <w:tc>
          <w:tcPr>
            <w:tcW w:w="993" w:type="dxa"/>
            <w:vMerge/>
            <w:tcBorders>
              <w:left w:val="double" w:sz="4" w:space="0" w:color="auto"/>
              <w:bottom w:val="double" w:sz="4" w:space="0" w:color="auto"/>
            </w:tcBorders>
            <w:vAlign w:val="center"/>
            <w:hideMark/>
          </w:tcPr>
          <w:p w:rsidR="00A320D5" w:rsidRPr="00AC0391" w:rsidRDefault="00A320D5" w:rsidP="000C6739">
            <w:pPr>
              <w:rPr>
                <w:sz w:val="20"/>
                <w:szCs w:val="20"/>
              </w:rPr>
            </w:pPr>
          </w:p>
        </w:tc>
        <w:tc>
          <w:tcPr>
            <w:tcW w:w="4677" w:type="dxa"/>
            <w:vMerge/>
            <w:tcBorders>
              <w:bottom w:val="double" w:sz="4" w:space="0" w:color="auto"/>
            </w:tcBorders>
            <w:vAlign w:val="center"/>
            <w:hideMark/>
          </w:tcPr>
          <w:p w:rsidR="00A320D5" w:rsidRPr="00AC0391" w:rsidRDefault="00A320D5" w:rsidP="000C6739">
            <w:pPr>
              <w:rPr>
                <w:sz w:val="20"/>
                <w:szCs w:val="20"/>
              </w:rPr>
            </w:pPr>
          </w:p>
        </w:tc>
        <w:tc>
          <w:tcPr>
            <w:tcW w:w="1040" w:type="dxa"/>
            <w:vMerge/>
            <w:tcBorders>
              <w:bottom w:val="double" w:sz="4" w:space="0" w:color="auto"/>
            </w:tcBorders>
            <w:vAlign w:val="center"/>
            <w:hideMark/>
          </w:tcPr>
          <w:p w:rsidR="00A320D5" w:rsidRPr="00AC0391" w:rsidRDefault="00A320D5" w:rsidP="000C6739">
            <w:pPr>
              <w:rPr>
                <w:sz w:val="20"/>
                <w:szCs w:val="20"/>
              </w:rPr>
            </w:pPr>
          </w:p>
        </w:tc>
        <w:tc>
          <w:tcPr>
            <w:tcW w:w="1050" w:type="dxa"/>
            <w:vMerge/>
            <w:tcBorders>
              <w:bottom w:val="double" w:sz="4" w:space="0" w:color="auto"/>
            </w:tcBorders>
          </w:tcPr>
          <w:p w:rsidR="00A320D5" w:rsidRPr="00AC0391" w:rsidRDefault="00A320D5" w:rsidP="000C6739">
            <w:pPr>
              <w:jc w:val="center"/>
              <w:rPr>
                <w:sz w:val="20"/>
                <w:szCs w:val="20"/>
              </w:rPr>
            </w:pPr>
          </w:p>
        </w:tc>
        <w:tc>
          <w:tcPr>
            <w:tcW w:w="1040" w:type="dxa"/>
            <w:tcBorders>
              <w:bottom w:val="double" w:sz="4" w:space="0" w:color="auto"/>
            </w:tcBorders>
            <w:shd w:val="clear" w:color="auto" w:fill="auto"/>
            <w:noWrap/>
            <w:vAlign w:val="center"/>
            <w:hideMark/>
          </w:tcPr>
          <w:p w:rsidR="00A320D5" w:rsidRPr="00AC0391" w:rsidRDefault="00A320D5" w:rsidP="000C6739">
            <w:pPr>
              <w:jc w:val="center"/>
              <w:rPr>
                <w:sz w:val="20"/>
                <w:szCs w:val="20"/>
              </w:rPr>
            </w:pPr>
            <w:r w:rsidRPr="00AC0391">
              <w:rPr>
                <w:sz w:val="20"/>
                <w:szCs w:val="20"/>
              </w:rPr>
              <w:t>тыс. руб.</w:t>
            </w:r>
          </w:p>
        </w:tc>
        <w:tc>
          <w:tcPr>
            <w:tcW w:w="1000" w:type="dxa"/>
            <w:tcBorders>
              <w:bottom w:val="double" w:sz="4" w:space="0" w:color="auto"/>
              <w:right w:val="double" w:sz="4" w:space="0" w:color="auto"/>
            </w:tcBorders>
            <w:shd w:val="clear" w:color="auto" w:fill="auto"/>
            <w:noWrap/>
            <w:vAlign w:val="center"/>
            <w:hideMark/>
          </w:tcPr>
          <w:p w:rsidR="00A320D5" w:rsidRPr="00AC0391" w:rsidRDefault="00A320D5" w:rsidP="000C6739">
            <w:pPr>
              <w:jc w:val="center"/>
              <w:rPr>
                <w:sz w:val="20"/>
                <w:szCs w:val="20"/>
              </w:rPr>
            </w:pPr>
            <w:r w:rsidRPr="00AC0391">
              <w:rPr>
                <w:sz w:val="20"/>
                <w:szCs w:val="20"/>
              </w:rPr>
              <w:t>%</w:t>
            </w:r>
          </w:p>
        </w:tc>
      </w:tr>
      <w:tr w:rsidR="00A320D5" w:rsidRPr="00AC0391" w:rsidTr="000C6739">
        <w:trPr>
          <w:trHeight w:val="20"/>
        </w:trPr>
        <w:tc>
          <w:tcPr>
            <w:tcW w:w="5670" w:type="dxa"/>
            <w:gridSpan w:val="2"/>
            <w:tcBorders>
              <w:top w:val="double" w:sz="4" w:space="0" w:color="auto"/>
              <w:left w:val="double" w:sz="4" w:space="0" w:color="auto"/>
              <w:bottom w:val="double" w:sz="4" w:space="0" w:color="auto"/>
            </w:tcBorders>
            <w:shd w:val="clear" w:color="auto" w:fill="auto"/>
            <w:vAlign w:val="center"/>
            <w:hideMark/>
          </w:tcPr>
          <w:p w:rsidR="00A320D5" w:rsidRPr="00AC0391" w:rsidRDefault="00A320D5" w:rsidP="000C6739">
            <w:pPr>
              <w:rPr>
                <w:b/>
                <w:bCs/>
                <w:sz w:val="20"/>
                <w:szCs w:val="20"/>
              </w:rPr>
            </w:pPr>
            <w:r w:rsidRPr="00AC0391">
              <w:rPr>
                <w:b/>
                <w:bCs/>
                <w:sz w:val="20"/>
                <w:szCs w:val="20"/>
              </w:rPr>
              <w:t>Расходы бюджета – всего, в том числе:</w:t>
            </w:r>
          </w:p>
        </w:tc>
        <w:tc>
          <w:tcPr>
            <w:tcW w:w="1040" w:type="dxa"/>
            <w:tcBorders>
              <w:top w:val="double" w:sz="4" w:space="0" w:color="auto"/>
              <w:bottom w:val="double" w:sz="4" w:space="0" w:color="auto"/>
            </w:tcBorders>
            <w:shd w:val="clear" w:color="auto" w:fill="auto"/>
            <w:noWrap/>
            <w:vAlign w:val="center"/>
            <w:hideMark/>
          </w:tcPr>
          <w:p w:rsidR="00A320D5" w:rsidRPr="00AC0391" w:rsidRDefault="00A320D5" w:rsidP="000C6739">
            <w:pPr>
              <w:jc w:val="center"/>
              <w:rPr>
                <w:b/>
                <w:bCs/>
                <w:sz w:val="20"/>
                <w:szCs w:val="20"/>
              </w:rPr>
            </w:pPr>
            <w:r w:rsidRPr="00AC0391">
              <w:rPr>
                <w:b/>
                <w:bCs/>
                <w:sz w:val="20"/>
                <w:szCs w:val="20"/>
              </w:rPr>
              <w:t>602 121,4</w:t>
            </w:r>
          </w:p>
        </w:tc>
        <w:tc>
          <w:tcPr>
            <w:tcW w:w="1050" w:type="dxa"/>
            <w:tcBorders>
              <w:top w:val="double" w:sz="4" w:space="0" w:color="auto"/>
              <w:bottom w:val="double" w:sz="4" w:space="0" w:color="auto"/>
            </w:tcBorders>
            <w:vAlign w:val="center"/>
          </w:tcPr>
          <w:p w:rsidR="00A320D5" w:rsidRPr="00AC0391" w:rsidRDefault="00A320D5" w:rsidP="000C6739">
            <w:pPr>
              <w:ind w:right="-57"/>
              <w:jc w:val="center"/>
              <w:rPr>
                <w:b/>
                <w:bCs/>
                <w:sz w:val="20"/>
                <w:szCs w:val="20"/>
              </w:rPr>
            </w:pPr>
            <w:r w:rsidRPr="00AC0391">
              <w:rPr>
                <w:b/>
                <w:bCs/>
                <w:sz w:val="20"/>
                <w:szCs w:val="20"/>
              </w:rPr>
              <w:t>686 605,8</w:t>
            </w:r>
          </w:p>
        </w:tc>
        <w:tc>
          <w:tcPr>
            <w:tcW w:w="1040" w:type="dxa"/>
            <w:tcBorders>
              <w:top w:val="double" w:sz="4" w:space="0" w:color="auto"/>
              <w:bottom w:val="double" w:sz="4" w:space="0" w:color="auto"/>
            </w:tcBorders>
            <w:shd w:val="clear" w:color="auto" w:fill="auto"/>
            <w:noWrap/>
            <w:vAlign w:val="bottom"/>
            <w:hideMark/>
          </w:tcPr>
          <w:p w:rsidR="00A320D5" w:rsidRPr="00AC0391" w:rsidRDefault="00A320D5" w:rsidP="000C6739">
            <w:pPr>
              <w:ind w:right="-57"/>
              <w:jc w:val="center"/>
              <w:rPr>
                <w:b/>
                <w:bCs/>
                <w:sz w:val="20"/>
                <w:szCs w:val="20"/>
              </w:rPr>
            </w:pPr>
            <w:r w:rsidRPr="00AC0391">
              <w:rPr>
                <w:b/>
                <w:bCs/>
                <w:sz w:val="20"/>
                <w:szCs w:val="20"/>
              </w:rPr>
              <w:t>84 484,4</w:t>
            </w:r>
          </w:p>
        </w:tc>
        <w:tc>
          <w:tcPr>
            <w:tcW w:w="1000" w:type="dxa"/>
            <w:tcBorders>
              <w:top w:val="double" w:sz="4" w:space="0" w:color="auto"/>
              <w:bottom w:val="double" w:sz="4" w:space="0" w:color="auto"/>
              <w:right w:val="double" w:sz="4" w:space="0" w:color="auto"/>
            </w:tcBorders>
            <w:shd w:val="clear" w:color="auto" w:fill="auto"/>
            <w:noWrap/>
            <w:vAlign w:val="bottom"/>
            <w:hideMark/>
          </w:tcPr>
          <w:p w:rsidR="00A320D5" w:rsidRPr="00AC0391" w:rsidRDefault="00A320D5" w:rsidP="000C6739">
            <w:pPr>
              <w:ind w:right="-57"/>
              <w:jc w:val="center"/>
              <w:rPr>
                <w:b/>
                <w:bCs/>
                <w:sz w:val="20"/>
                <w:szCs w:val="20"/>
              </w:rPr>
            </w:pPr>
            <w:r w:rsidRPr="00AC0391">
              <w:rPr>
                <w:b/>
                <w:bCs/>
                <w:sz w:val="20"/>
                <w:szCs w:val="20"/>
              </w:rPr>
              <w:t>14,0%</w:t>
            </w:r>
          </w:p>
        </w:tc>
      </w:tr>
      <w:tr w:rsidR="00A320D5" w:rsidRPr="00AC0391" w:rsidTr="000C6739">
        <w:trPr>
          <w:trHeight w:val="20"/>
        </w:trPr>
        <w:tc>
          <w:tcPr>
            <w:tcW w:w="993" w:type="dxa"/>
            <w:tcBorders>
              <w:top w:val="double" w:sz="4" w:space="0" w:color="auto"/>
              <w:left w:val="double" w:sz="4" w:space="0" w:color="auto"/>
            </w:tcBorders>
            <w:shd w:val="clear" w:color="auto" w:fill="auto"/>
            <w:vAlign w:val="center"/>
            <w:hideMark/>
          </w:tcPr>
          <w:p w:rsidR="00A320D5" w:rsidRPr="00AC0391" w:rsidRDefault="00A320D5" w:rsidP="000C6739">
            <w:pPr>
              <w:jc w:val="center"/>
              <w:rPr>
                <w:b/>
                <w:i/>
                <w:sz w:val="20"/>
                <w:szCs w:val="20"/>
              </w:rPr>
            </w:pPr>
            <w:r w:rsidRPr="00AC0391">
              <w:rPr>
                <w:b/>
                <w:i/>
                <w:sz w:val="20"/>
                <w:szCs w:val="20"/>
              </w:rPr>
              <w:t>0100</w:t>
            </w:r>
          </w:p>
        </w:tc>
        <w:tc>
          <w:tcPr>
            <w:tcW w:w="4677" w:type="dxa"/>
            <w:tcBorders>
              <w:top w:val="double" w:sz="4" w:space="0" w:color="auto"/>
            </w:tcBorders>
            <w:shd w:val="clear" w:color="auto" w:fill="auto"/>
            <w:vAlign w:val="center"/>
            <w:hideMark/>
          </w:tcPr>
          <w:p w:rsidR="00A320D5" w:rsidRPr="00AC0391" w:rsidRDefault="00A320D5" w:rsidP="000C6739">
            <w:pPr>
              <w:rPr>
                <w:b/>
                <w:i/>
                <w:sz w:val="20"/>
                <w:szCs w:val="20"/>
              </w:rPr>
            </w:pPr>
            <w:r w:rsidRPr="00AC0391">
              <w:rPr>
                <w:b/>
                <w:i/>
                <w:sz w:val="20"/>
                <w:szCs w:val="20"/>
              </w:rPr>
              <w:t>Общегосударственные вопросы</w:t>
            </w:r>
          </w:p>
        </w:tc>
        <w:tc>
          <w:tcPr>
            <w:tcW w:w="1040" w:type="dxa"/>
            <w:tcBorders>
              <w:top w:val="double" w:sz="4" w:space="0" w:color="auto"/>
            </w:tcBorders>
            <w:shd w:val="clear" w:color="auto" w:fill="auto"/>
            <w:noWrap/>
            <w:vAlign w:val="center"/>
            <w:hideMark/>
          </w:tcPr>
          <w:p w:rsidR="00A320D5" w:rsidRPr="00AC0391" w:rsidRDefault="00A320D5" w:rsidP="000C6739">
            <w:pPr>
              <w:jc w:val="center"/>
              <w:rPr>
                <w:b/>
                <w:i/>
                <w:sz w:val="20"/>
                <w:szCs w:val="20"/>
              </w:rPr>
            </w:pPr>
            <w:r w:rsidRPr="00AC0391">
              <w:rPr>
                <w:b/>
                <w:i/>
                <w:sz w:val="20"/>
                <w:szCs w:val="20"/>
              </w:rPr>
              <w:t>601 234,4</w:t>
            </w:r>
          </w:p>
        </w:tc>
        <w:tc>
          <w:tcPr>
            <w:tcW w:w="1050" w:type="dxa"/>
            <w:tcBorders>
              <w:top w:val="double" w:sz="4" w:space="0" w:color="auto"/>
            </w:tcBorders>
            <w:vAlign w:val="center"/>
          </w:tcPr>
          <w:p w:rsidR="00A320D5" w:rsidRPr="00EB5B44" w:rsidRDefault="00A320D5" w:rsidP="000C6739">
            <w:pPr>
              <w:jc w:val="center"/>
              <w:rPr>
                <w:b/>
                <w:i/>
                <w:sz w:val="20"/>
                <w:szCs w:val="20"/>
                <w:lang w:val="en-US"/>
              </w:rPr>
            </w:pPr>
            <w:r w:rsidRPr="00AC0391">
              <w:rPr>
                <w:b/>
                <w:i/>
                <w:sz w:val="20"/>
                <w:szCs w:val="20"/>
              </w:rPr>
              <w:t>685 816,</w:t>
            </w:r>
            <w:r>
              <w:rPr>
                <w:b/>
                <w:i/>
                <w:sz w:val="20"/>
                <w:szCs w:val="20"/>
                <w:lang w:val="en-US"/>
              </w:rPr>
              <w:t>0</w:t>
            </w:r>
          </w:p>
        </w:tc>
        <w:tc>
          <w:tcPr>
            <w:tcW w:w="1040" w:type="dxa"/>
            <w:tcBorders>
              <w:top w:val="double" w:sz="4" w:space="0" w:color="auto"/>
            </w:tcBorders>
            <w:shd w:val="clear" w:color="auto" w:fill="auto"/>
            <w:noWrap/>
            <w:vAlign w:val="bottom"/>
            <w:hideMark/>
          </w:tcPr>
          <w:p w:rsidR="00A320D5" w:rsidRPr="00AC0391" w:rsidRDefault="00A320D5" w:rsidP="000C6739">
            <w:pPr>
              <w:jc w:val="center"/>
              <w:rPr>
                <w:b/>
                <w:i/>
                <w:sz w:val="20"/>
                <w:szCs w:val="20"/>
              </w:rPr>
            </w:pPr>
            <w:r w:rsidRPr="00AC0391">
              <w:rPr>
                <w:b/>
                <w:i/>
                <w:sz w:val="20"/>
                <w:szCs w:val="20"/>
              </w:rPr>
              <w:t>84 581,</w:t>
            </w:r>
            <w:r>
              <w:rPr>
                <w:b/>
                <w:i/>
                <w:sz w:val="20"/>
                <w:szCs w:val="20"/>
              </w:rPr>
              <w:t>6</w:t>
            </w:r>
          </w:p>
        </w:tc>
        <w:tc>
          <w:tcPr>
            <w:tcW w:w="1000" w:type="dxa"/>
            <w:tcBorders>
              <w:top w:val="double" w:sz="4" w:space="0" w:color="auto"/>
              <w:right w:val="double" w:sz="4" w:space="0" w:color="auto"/>
            </w:tcBorders>
            <w:shd w:val="clear" w:color="auto" w:fill="auto"/>
            <w:noWrap/>
            <w:vAlign w:val="bottom"/>
            <w:hideMark/>
          </w:tcPr>
          <w:p w:rsidR="00A320D5" w:rsidRPr="00AC0391" w:rsidRDefault="00A320D5" w:rsidP="000C6739">
            <w:pPr>
              <w:jc w:val="center"/>
              <w:rPr>
                <w:b/>
                <w:i/>
                <w:sz w:val="20"/>
                <w:szCs w:val="20"/>
              </w:rPr>
            </w:pPr>
            <w:r w:rsidRPr="00AC0391">
              <w:rPr>
                <w:b/>
                <w:i/>
                <w:sz w:val="20"/>
                <w:szCs w:val="20"/>
              </w:rPr>
              <w:t>14,1%</w:t>
            </w:r>
          </w:p>
        </w:tc>
      </w:tr>
      <w:tr w:rsidR="00A320D5" w:rsidRPr="00AC0391" w:rsidTr="000C6739">
        <w:trPr>
          <w:trHeight w:val="20"/>
        </w:trPr>
        <w:tc>
          <w:tcPr>
            <w:tcW w:w="993" w:type="dxa"/>
            <w:tcBorders>
              <w:left w:val="double" w:sz="4" w:space="0" w:color="auto"/>
            </w:tcBorders>
            <w:shd w:val="clear" w:color="auto" w:fill="auto"/>
            <w:vAlign w:val="center"/>
            <w:hideMark/>
          </w:tcPr>
          <w:p w:rsidR="00A320D5" w:rsidRPr="00AC0391" w:rsidRDefault="00A320D5" w:rsidP="000C6739">
            <w:pPr>
              <w:jc w:val="center"/>
              <w:rPr>
                <w:sz w:val="20"/>
                <w:szCs w:val="20"/>
              </w:rPr>
            </w:pPr>
            <w:r w:rsidRPr="00AC0391">
              <w:rPr>
                <w:sz w:val="20"/>
                <w:szCs w:val="20"/>
              </w:rPr>
              <w:t>0105</w:t>
            </w:r>
          </w:p>
        </w:tc>
        <w:tc>
          <w:tcPr>
            <w:tcW w:w="4677" w:type="dxa"/>
            <w:shd w:val="clear" w:color="auto" w:fill="auto"/>
            <w:vAlign w:val="center"/>
            <w:hideMark/>
          </w:tcPr>
          <w:p w:rsidR="00A320D5" w:rsidRPr="00AC0391" w:rsidRDefault="00A320D5" w:rsidP="000C6739">
            <w:pPr>
              <w:rPr>
                <w:sz w:val="20"/>
                <w:szCs w:val="20"/>
              </w:rPr>
            </w:pPr>
            <w:r w:rsidRPr="00AC0391">
              <w:rPr>
                <w:sz w:val="20"/>
                <w:szCs w:val="20"/>
              </w:rPr>
              <w:t>Судебная система</w:t>
            </w:r>
          </w:p>
        </w:tc>
        <w:tc>
          <w:tcPr>
            <w:tcW w:w="1040" w:type="dxa"/>
            <w:shd w:val="clear" w:color="auto" w:fill="auto"/>
            <w:noWrap/>
            <w:vAlign w:val="center"/>
            <w:hideMark/>
          </w:tcPr>
          <w:p w:rsidR="00A320D5" w:rsidRPr="00EB5B44" w:rsidRDefault="00A320D5" w:rsidP="000C6739">
            <w:pPr>
              <w:jc w:val="center"/>
              <w:rPr>
                <w:sz w:val="20"/>
                <w:szCs w:val="20"/>
                <w:lang w:val="en-US"/>
              </w:rPr>
            </w:pPr>
            <w:r w:rsidRPr="00AC0391">
              <w:rPr>
                <w:sz w:val="20"/>
                <w:szCs w:val="20"/>
              </w:rPr>
              <w:t>383 675,</w:t>
            </w:r>
            <w:r>
              <w:rPr>
                <w:sz w:val="20"/>
                <w:szCs w:val="20"/>
                <w:lang w:val="en-US"/>
              </w:rPr>
              <w:t>7</w:t>
            </w:r>
          </w:p>
        </w:tc>
        <w:tc>
          <w:tcPr>
            <w:tcW w:w="1050" w:type="dxa"/>
            <w:vAlign w:val="center"/>
          </w:tcPr>
          <w:p w:rsidR="00A320D5" w:rsidRPr="00AC0391" w:rsidRDefault="00A320D5" w:rsidP="000C6739">
            <w:pPr>
              <w:jc w:val="center"/>
              <w:rPr>
                <w:sz w:val="20"/>
                <w:szCs w:val="20"/>
              </w:rPr>
            </w:pPr>
            <w:r w:rsidRPr="00AC0391">
              <w:rPr>
                <w:sz w:val="20"/>
                <w:szCs w:val="20"/>
              </w:rPr>
              <w:t>440 799,3</w:t>
            </w:r>
          </w:p>
        </w:tc>
        <w:tc>
          <w:tcPr>
            <w:tcW w:w="1040" w:type="dxa"/>
            <w:shd w:val="clear" w:color="auto" w:fill="auto"/>
            <w:noWrap/>
            <w:vAlign w:val="bottom"/>
            <w:hideMark/>
          </w:tcPr>
          <w:p w:rsidR="00A320D5" w:rsidRPr="00AC0391" w:rsidRDefault="00A320D5" w:rsidP="000C6739">
            <w:pPr>
              <w:jc w:val="center"/>
              <w:rPr>
                <w:sz w:val="20"/>
                <w:szCs w:val="20"/>
              </w:rPr>
            </w:pPr>
            <w:r w:rsidRPr="00AC0391">
              <w:rPr>
                <w:sz w:val="20"/>
                <w:szCs w:val="20"/>
              </w:rPr>
              <w:t>57 123,</w:t>
            </w:r>
            <w:r>
              <w:rPr>
                <w:sz w:val="20"/>
                <w:szCs w:val="20"/>
              </w:rPr>
              <w:t>6</w:t>
            </w:r>
          </w:p>
        </w:tc>
        <w:tc>
          <w:tcPr>
            <w:tcW w:w="1000" w:type="dxa"/>
            <w:tcBorders>
              <w:right w:val="double" w:sz="4" w:space="0" w:color="auto"/>
            </w:tcBorders>
            <w:shd w:val="clear" w:color="auto" w:fill="auto"/>
            <w:noWrap/>
            <w:vAlign w:val="bottom"/>
            <w:hideMark/>
          </w:tcPr>
          <w:p w:rsidR="00A320D5" w:rsidRPr="00AC0391" w:rsidRDefault="00A320D5" w:rsidP="000C6739">
            <w:pPr>
              <w:jc w:val="center"/>
              <w:rPr>
                <w:sz w:val="20"/>
                <w:szCs w:val="20"/>
              </w:rPr>
            </w:pPr>
            <w:r w:rsidRPr="00AC0391">
              <w:rPr>
                <w:sz w:val="20"/>
                <w:szCs w:val="20"/>
              </w:rPr>
              <w:t>14,9%</w:t>
            </w:r>
          </w:p>
        </w:tc>
      </w:tr>
      <w:tr w:rsidR="00A320D5" w:rsidRPr="00AC0391" w:rsidTr="000C6739">
        <w:trPr>
          <w:trHeight w:val="20"/>
        </w:trPr>
        <w:tc>
          <w:tcPr>
            <w:tcW w:w="993" w:type="dxa"/>
            <w:tcBorders>
              <w:left w:val="double" w:sz="4" w:space="0" w:color="auto"/>
            </w:tcBorders>
            <w:shd w:val="clear" w:color="auto" w:fill="auto"/>
            <w:vAlign w:val="center"/>
            <w:hideMark/>
          </w:tcPr>
          <w:p w:rsidR="00A320D5" w:rsidRPr="00AC0391" w:rsidRDefault="00A320D5" w:rsidP="000C6739">
            <w:pPr>
              <w:jc w:val="center"/>
              <w:rPr>
                <w:sz w:val="20"/>
                <w:szCs w:val="20"/>
              </w:rPr>
            </w:pPr>
            <w:r w:rsidRPr="00AC0391">
              <w:rPr>
                <w:sz w:val="20"/>
                <w:szCs w:val="20"/>
              </w:rPr>
              <w:t>0113</w:t>
            </w:r>
          </w:p>
        </w:tc>
        <w:tc>
          <w:tcPr>
            <w:tcW w:w="4677" w:type="dxa"/>
            <w:shd w:val="clear" w:color="auto" w:fill="auto"/>
            <w:vAlign w:val="center"/>
            <w:hideMark/>
          </w:tcPr>
          <w:p w:rsidR="00A320D5" w:rsidRPr="00AC0391" w:rsidRDefault="00A320D5" w:rsidP="000C6739">
            <w:pPr>
              <w:rPr>
                <w:sz w:val="20"/>
                <w:szCs w:val="20"/>
              </w:rPr>
            </w:pPr>
            <w:r w:rsidRPr="00AC0391">
              <w:rPr>
                <w:sz w:val="20"/>
                <w:szCs w:val="20"/>
              </w:rPr>
              <w:t>Другие общегосударственные вопросы</w:t>
            </w:r>
          </w:p>
        </w:tc>
        <w:tc>
          <w:tcPr>
            <w:tcW w:w="1040" w:type="dxa"/>
            <w:shd w:val="clear" w:color="auto" w:fill="auto"/>
            <w:noWrap/>
            <w:vAlign w:val="center"/>
            <w:hideMark/>
          </w:tcPr>
          <w:p w:rsidR="00A320D5" w:rsidRPr="00AC0391" w:rsidRDefault="00A320D5" w:rsidP="000C6739">
            <w:pPr>
              <w:jc w:val="center"/>
              <w:rPr>
                <w:sz w:val="20"/>
                <w:szCs w:val="20"/>
              </w:rPr>
            </w:pPr>
            <w:r w:rsidRPr="00AC0391">
              <w:rPr>
                <w:sz w:val="20"/>
                <w:szCs w:val="20"/>
              </w:rPr>
              <w:t>217 558,7</w:t>
            </w:r>
          </w:p>
        </w:tc>
        <w:tc>
          <w:tcPr>
            <w:tcW w:w="1050" w:type="dxa"/>
            <w:vAlign w:val="center"/>
          </w:tcPr>
          <w:p w:rsidR="00A320D5" w:rsidRPr="00EB5B44" w:rsidRDefault="00A320D5" w:rsidP="000C6739">
            <w:pPr>
              <w:jc w:val="center"/>
              <w:rPr>
                <w:sz w:val="20"/>
                <w:szCs w:val="20"/>
                <w:lang w:val="en-US"/>
              </w:rPr>
            </w:pPr>
            <w:r w:rsidRPr="00AC0391">
              <w:rPr>
                <w:sz w:val="20"/>
                <w:szCs w:val="20"/>
              </w:rPr>
              <w:t>245 01</w:t>
            </w:r>
            <w:r>
              <w:rPr>
                <w:sz w:val="20"/>
                <w:szCs w:val="20"/>
              </w:rPr>
              <w:t>,</w:t>
            </w:r>
            <w:r>
              <w:rPr>
                <w:sz w:val="20"/>
                <w:szCs w:val="20"/>
                <w:lang w:val="en-US"/>
              </w:rPr>
              <w:t>7</w:t>
            </w:r>
          </w:p>
        </w:tc>
        <w:tc>
          <w:tcPr>
            <w:tcW w:w="1040" w:type="dxa"/>
            <w:shd w:val="clear" w:color="auto" w:fill="auto"/>
            <w:noWrap/>
            <w:vAlign w:val="bottom"/>
            <w:hideMark/>
          </w:tcPr>
          <w:p w:rsidR="00A320D5" w:rsidRPr="00AC0391" w:rsidRDefault="00A320D5" w:rsidP="000C6739">
            <w:pPr>
              <w:jc w:val="center"/>
              <w:rPr>
                <w:sz w:val="20"/>
                <w:szCs w:val="20"/>
              </w:rPr>
            </w:pPr>
            <w:r w:rsidRPr="00AC0391">
              <w:rPr>
                <w:sz w:val="20"/>
                <w:szCs w:val="20"/>
              </w:rPr>
              <w:t>27 458,</w:t>
            </w:r>
            <w:r>
              <w:rPr>
                <w:sz w:val="20"/>
                <w:szCs w:val="20"/>
              </w:rPr>
              <w:t>0</w:t>
            </w:r>
          </w:p>
        </w:tc>
        <w:tc>
          <w:tcPr>
            <w:tcW w:w="1000" w:type="dxa"/>
            <w:tcBorders>
              <w:right w:val="double" w:sz="4" w:space="0" w:color="auto"/>
            </w:tcBorders>
            <w:shd w:val="clear" w:color="auto" w:fill="auto"/>
            <w:noWrap/>
            <w:vAlign w:val="bottom"/>
            <w:hideMark/>
          </w:tcPr>
          <w:p w:rsidR="00A320D5" w:rsidRPr="00AC0391" w:rsidRDefault="00A320D5" w:rsidP="000C6739">
            <w:pPr>
              <w:jc w:val="center"/>
              <w:rPr>
                <w:sz w:val="20"/>
                <w:szCs w:val="20"/>
              </w:rPr>
            </w:pPr>
            <w:r w:rsidRPr="00AC0391">
              <w:rPr>
                <w:sz w:val="20"/>
                <w:szCs w:val="20"/>
              </w:rPr>
              <w:t>12,6%</w:t>
            </w:r>
          </w:p>
        </w:tc>
      </w:tr>
      <w:tr w:rsidR="00A320D5" w:rsidRPr="00AC0391" w:rsidTr="000C6739">
        <w:trPr>
          <w:trHeight w:val="20"/>
        </w:trPr>
        <w:tc>
          <w:tcPr>
            <w:tcW w:w="993" w:type="dxa"/>
            <w:tcBorders>
              <w:left w:val="double" w:sz="4" w:space="0" w:color="auto"/>
            </w:tcBorders>
            <w:shd w:val="clear" w:color="auto" w:fill="auto"/>
            <w:vAlign w:val="center"/>
            <w:hideMark/>
          </w:tcPr>
          <w:p w:rsidR="00A320D5" w:rsidRPr="00AC0391" w:rsidRDefault="00A320D5" w:rsidP="000C6739">
            <w:pPr>
              <w:jc w:val="center"/>
              <w:rPr>
                <w:b/>
                <w:i/>
                <w:sz w:val="20"/>
                <w:szCs w:val="20"/>
              </w:rPr>
            </w:pPr>
            <w:r w:rsidRPr="00AC0391">
              <w:rPr>
                <w:b/>
                <w:i/>
                <w:sz w:val="20"/>
                <w:szCs w:val="20"/>
              </w:rPr>
              <w:t>1000</w:t>
            </w:r>
          </w:p>
        </w:tc>
        <w:tc>
          <w:tcPr>
            <w:tcW w:w="4677" w:type="dxa"/>
            <w:shd w:val="clear" w:color="auto" w:fill="auto"/>
            <w:vAlign w:val="center"/>
            <w:hideMark/>
          </w:tcPr>
          <w:p w:rsidR="00A320D5" w:rsidRPr="00AC0391" w:rsidRDefault="00A320D5" w:rsidP="000C6739">
            <w:pPr>
              <w:rPr>
                <w:b/>
                <w:i/>
                <w:sz w:val="20"/>
                <w:szCs w:val="20"/>
              </w:rPr>
            </w:pPr>
            <w:r w:rsidRPr="00AC0391">
              <w:rPr>
                <w:b/>
                <w:i/>
                <w:sz w:val="20"/>
                <w:szCs w:val="20"/>
              </w:rPr>
              <w:t>Социальная политика</w:t>
            </w:r>
          </w:p>
        </w:tc>
        <w:tc>
          <w:tcPr>
            <w:tcW w:w="1040" w:type="dxa"/>
            <w:shd w:val="clear" w:color="auto" w:fill="auto"/>
            <w:noWrap/>
            <w:vAlign w:val="center"/>
            <w:hideMark/>
          </w:tcPr>
          <w:p w:rsidR="00A320D5" w:rsidRPr="00AC0391" w:rsidRDefault="00A320D5" w:rsidP="000C6739">
            <w:pPr>
              <w:jc w:val="center"/>
              <w:rPr>
                <w:b/>
                <w:i/>
                <w:sz w:val="20"/>
                <w:szCs w:val="20"/>
              </w:rPr>
            </w:pPr>
            <w:r w:rsidRPr="00AC0391">
              <w:rPr>
                <w:b/>
                <w:i/>
                <w:sz w:val="20"/>
                <w:szCs w:val="20"/>
              </w:rPr>
              <w:t>887,0</w:t>
            </w:r>
          </w:p>
        </w:tc>
        <w:tc>
          <w:tcPr>
            <w:tcW w:w="1050" w:type="dxa"/>
            <w:vAlign w:val="center"/>
          </w:tcPr>
          <w:p w:rsidR="00A320D5" w:rsidRPr="00AC0391" w:rsidRDefault="00A320D5" w:rsidP="000C6739">
            <w:pPr>
              <w:jc w:val="center"/>
              <w:rPr>
                <w:b/>
                <w:i/>
                <w:sz w:val="20"/>
                <w:szCs w:val="20"/>
              </w:rPr>
            </w:pPr>
            <w:r w:rsidRPr="000E2C84">
              <w:rPr>
                <w:b/>
                <w:i/>
                <w:sz w:val="20"/>
                <w:szCs w:val="20"/>
              </w:rPr>
              <w:t>789,</w:t>
            </w:r>
            <w:r>
              <w:rPr>
                <w:b/>
                <w:i/>
                <w:sz w:val="20"/>
                <w:szCs w:val="20"/>
              </w:rPr>
              <w:t>8</w:t>
            </w:r>
          </w:p>
        </w:tc>
        <w:tc>
          <w:tcPr>
            <w:tcW w:w="1040" w:type="dxa"/>
            <w:shd w:val="clear" w:color="auto" w:fill="auto"/>
            <w:noWrap/>
            <w:vAlign w:val="bottom"/>
            <w:hideMark/>
          </w:tcPr>
          <w:p w:rsidR="00A320D5" w:rsidRPr="00AC0391" w:rsidRDefault="00A320D5" w:rsidP="000C6739">
            <w:pPr>
              <w:jc w:val="center"/>
              <w:rPr>
                <w:b/>
                <w:i/>
                <w:sz w:val="20"/>
                <w:szCs w:val="20"/>
              </w:rPr>
            </w:pPr>
            <w:r>
              <w:rPr>
                <w:b/>
                <w:i/>
                <w:sz w:val="20"/>
                <w:szCs w:val="20"/>
              </w:rPr>
              <w:t>-97,2</w:t>
            </w:r>
          </w:p>
        </w:tc>
        <w:tc>
          <w:tcPr>
            <w:tcW w:w="1000" w:type="dxa"/>
            <w:tcBorders>
              <w:right w:val="double" w:sz="4" w:space="0" w:color="auto"/>
            </w:tcBorders>
            <w:shd w:val="clear" w:color="auto" w:fill="auto"/>
            <w:noWrap/>
            <w:vAlign w:val="bottom"/>
            <w:hideMark/>
          </w:tcPr>
          <w:p w:rsidR="00A320D5" w:rsidRPr="00AC0391" w:rsidRDefault="00A320D5" w:rsidP="000C6739">
            <w:pPr>
              <w:jc w:val="center"/>
              <w:rPr>
                <w:b/>
                <w:i/>
                <w:sz w:val="20"/>
                <w:szCs w:val="20"/>
              </w:rPr>
            </w:pPr>
            <w:r>
              <w:rPr>
                <w:b/>
                <w:i/>
                <w:sz w:val="20"/>
                <w:szCs w:val="20"/>
              </w:rPr>
              <w:t>-11,0%</w:t>
            </w:r>
          </w:p>
        </w:tc>
      </w:tr>
      <w:tr w:rsidR="00A320D5" w:rsidRPr="00AC0391" w:rsidTr="000C6739">
        <w:trPr>
          <w:trHeight w:val="20"/>
        </w:trPr>
        <w:tc>
          <w:tcPr>
            <w:tcW w:w="993" w:type="dxa"/>
            <w:tcBorders>
              <w:left w:val="double" w:sz="4" w:space="0" w:color="auto"/>
            </w:tcBorders>
            <w:shd w:val="clear" w:color="auto" w:fill="auto"/>
            <w:noWrap/>
            <w:vAlign w:val="center"/>
            <w:hideMark/>
          </w:tcPr>
          <w:p w:rsidR="00A320D5" w:rsidRPr="00AC0391" w:rsidRDefault="00A320D5" w:rsidP="000C6739">
            <w:pPr>
              <w:jc w:val="center"/>
              <w:rPr>
                <w:sz w:val="20"/>
                <w:szCs w:val="20"/>
              </w:rPr>
            </w:pPr>
            <w:r w:rsidRPr="00AC0391">
              <w:rPr>
                <w:sz w:val="20"/>
                <w:szCs w:val="20"/>
              </w:rPr>
              <w:t>1003</w:t>
            </w:r>
          </w:p>
        </w:tc>
        <w:tc>
          <w:tcPr>
            <w:tcW w:w="4677" w:type="dxa"/>
            <w:shd w:val="clear" w:color="auto" w:fill="auto"/>
            <w:vAlign w:val="center"/>
            <w:hideMark/>
          </w:tcPr>
          <w:p w:rsidR="00A320D5" w:rsidRPr="00AC0391" w:rsidRDefault="00A320D5" w:rsidP="000C6739">
            <w:pPr>
              <w:rPr>
                <w:sz w:val="20"/>
                <w:szCs w:val="20"/>
              </w:rPr>
            </w:pPr>
            <w:r w:rsidRPr="00AC0391">
              <w:rPr>
                <w:sz w:val="20"/>
                <w:szCs w:val="20"/>
              </w:rPr>
              <w:t>Социальное обеспечение населения</w:t>
            </w:r>
          </w:p>
        </w:tc>
        <w:tc>
          <w:tcPr>
            <w:tcW w:w="1040" w:type="dxa"/>
            <w:shd w:val="clear" w:color="auto" w:fill="auto"/>
            <w:noWrap/>
            <w:vAlign w:val="center"/>
            <w:hideMark/>
          </w:tcPr>
          <w:p w:rsidR="00A320D5" w:rsidRPr="00AC0391" w:rsidRDefault="00A320D5" w:rsidP="000C6739">
            <w:pPr>
              <w:jc w:val="center"/>
              <w:rPr>
                <w:sz w:val="20"/>
                <w:szCs w:val="20"/>
              </w:rPr>
            </w:pPr>
            <w:r w:rsidRPr="00AC0391">
              <w:rPr>
                <w:sz w:val="20"/>
                <w:szCs w:val="20"/>
              </w:rPr>
              <w:t>104,3</w:t>
            </w:r>
          </w:p>
        </w:tc>
        <w:tc>
          <w:tcPr>
            <w:tcW w:w="1050" w:type="dxa"/>
            <w:vAlign w:val="center"/>
          </w:tcPr>
          <w:p w:rsidR="00A320D5" w:rsidRPr="00AC0391" w:rsidRDefault="00A320D5" w:rsidP="000C6739">
            <w:pPr>
              <w:jc w:val="center"/>
              <w:rPr>
                <w:sz w:val="20"/>
                <w:szCs w:val="20"/>
              </w:rPr>
            </w:pPr>
            <w:r w:rsidRPr="00AC0391">
              <w:rPr>
                <w:sz w:val="20"/>
                <w:szCs w:val="20"/>
              </w:rPr>
              <w:t>0,0</w:t>
            </w:r>
          </w:p>
        </w:tc>
        <w:tc>
          <w:tcPr>
            <w:tcW w:w="1040" w:type="dxa"/>
            <w:shd w:val="clear" w:color="auto" w:fill="auto"/>
            <w:vAlign w:val="bottom"/>
            <w:hideMark/>
          </w:tcPr>
          <w:p w:rsidR="00A320D5" w:rsidRPr="00AC0391" w:rsidRDefault="00A320D5" w:rsidP="000C6739">
            <w:pPr>
              <w:jc w:val="center"/>
              <w:rPr>
                <w:sz w:val="20"/>
                <w:szCs w:val="20"/>
              </w:rPr>
            </w:pPr>
            <w:r w:rsidRPr="00AC0391">
              <w:rPr>
                <w:sz w:val="20"/>
                <w:szCs w:val="20"/>
              </w:rPr>
              <w:t>-104,3</w:t>
            </w:r>
          </w:p>
        </w:tc>
        <w:tc>
          <w:tcPr>
            <w:tcW w:w="1000" w:type="dxa"/>
            <w:tcBorders>
              <w:right w:val="double" w:sz="4" w:space="0" w:color="auto"/>
            </w:tcBorders>
            <w:shd w:val="clear" w:color="auto" w:fill="auto"/>
            <w:noWrap/>
            <w:vAlign w:val="bottom"/>
            <w:hideMark/>
          </w:tcPr>
          <w:p w:rsidR="00A320D5" w:rsidRPr="00AC0391" w:rsidRDefault="00A320D5" w:rsidP="000C6739">
            <w:pPr>
              <w:jc w:val="center"/>
              <w:rPr>
                <w:sz w:val="20"/>
                <w:szCs w:val="20"/>
              </w:rPr>
            </w:pPr>
            <w:r w:rsidRPr="00AC0391">
              <w:rPr>
                <w:sz w:val="20"/>
                <w:szCs w:val="20"/>
              </w:rPr>
              <w:t>-100,0%</w:t>
            </w:r>
          </w:p>
        </w:tc>
      </w:tr>
      <w:tr w:rsidR="00A320D5" w:rsidRPr="00AC0391" w:rsidTr="000C6739">
        <w:trPr>
          <w:trHeight w:val="20"/>
        </w:trPr>
        <w:tc>
          <w:tcPr>
            <w:tcW w:w="993" w:type="dxa"/>
            <w:tcBorders>
              <w:left w:val="double" w:sz="4" w:space="0" w:color="auto"/>
              <w:bottom w:val="double" w:sz="4" w:space="0" w:color="auto"/>
            </w:tcBorders>
            <w:shd w:val="clear" w:color="auto" w:fill="auto"/>
            <w:noWrap/>
            <w:vAlign w:val="center"/>
            <w:hideMark/>
          </w:tcPr>
          <w:p w:rsidR="00A320D5" w:rsidRPr="00AC0391" w:rsidRDefault="00A320D5" w:rsidP="000C6739">
            <w:pPr>
              <w:jc w:val="center"/>
              <w:rPr>
                <w:sz w:val="20"/>
                <w:szCs w:val="20"/>
              </w:rPr>
            </w:pPr>
            <w:r w:rsidRPr="00AC0391">
              <w:rPr>
                <w:sz w:val="20"/>
                <w:szCs w:val="20"/>
              </w:rPr>
              <w:t>1006</w:t>
            </w:r>
          </w:p>
        </w:tc>
        <w:tc>
          <w:tcPr>
            <w:tcW w:w="4677" w:type="dxa"/>
            <w:tcBorders>
              <w:bottom w:val="double" w:sz="4" w:space="0" w:color="auto"/>
            </w:tcBorders>
            <w:shd w:val="clear" w:color="auto" w:fill="auto"/>
            <w:vAlign w:val="center"/>
            <w:hideMark/>
          </w:tcPr>
          <w:p w:rsidR="00A320D5" w:rsidRPr="00AC0391" w:rsidRDefault="00A320D5" w:rsidP="000C6739">
            <w:pPr>
              <w:rPr>
                <w:sz w:val="20"/>
                <w:szCs w:val="20"/>
              </w:rPr>
            </w:pPr>
            <w:r w:rsidRPr="00AC0391">
              <w:rPr>
                <w:sz w:val="20"/>
                <w:szCs w:val="20"/>
              </w:rPr>
              <w:t>Другие вопросы в области социальной политики</w:t>
            </w:r>
          </w:p>
        </w:tc>
        <w:tc>
          <w:tcPr>
            <w:tcW w:w="1040" w:type="dxa"/>
            <w:tcBorders>
              <w:bottom w:val="double" w:sz="4" w:space="0" w:color="auto"/>
            </w:tcBorders>
            <w:shd w:val="clear" w:color="auto" w:fill="auto"/>
            <w:noWrap/>
            <w:vAlign w:val="center"/>
            <w:hideMark/>
          </w:tcPr>
          <w:p w:rsidR="00A320D5" w:rsidRPr="00AC0391" w:rsidRDefault="00A320D5" w:rsidP="000C6739">
            <w:pPr>
              <w:jc w:val="center"/>
              <w:rPr>
                <w:sz w:val="20"/>
                <w:szCs w:val="20"/>
              </w:rPr>
            </w:pPr>
            <w:r w:rsidRPr="00AC0391">
              <w:rPr>
                <w:sz w:val="20"/>
                <w:szCs w:val="20"/>
              </w:rPr>
              <w:t>782,7</w:t>
            </w:r>
          </w:p>
        </w:tc>
        <w:tc>
          <w:tcPr>
            <w:tcW w:w="1050" w:type="dxa"/>
            <w:tcBorders>
              <w:bottom w:val="double" w:sz="4" w:space="0" w:color="auto"/>
            </w:tcBorders>
            <w:vAlign w:val="center"/>
          </w:tcPr>
          <w:p w:rsidR="00A320D5" w:rsidRPr="00AC0391" w:rsidRDefault="00A320D5" w:rsidP="000C6739">
            <w:pPr>
              <w:jc w:val="center"/>
              <w:rPr>
                <w:sz w:val="20"/>
                <w:szCs w:val="20"/>
              </w:rPr>
            </w:pPr>
            <w:r w:rsidRPr="000E2C84">
              <w:rPr>
                <w:sz w:val="20"/>
                <w:szCs w:val="20"/>
              </w:rPr>
              <w:t>789,</w:t>
            </w:r>
            <w:r>
              <w:rPr>
                <w:sz w:val="20"/>
                <w:szCs w:val="20"/>
              </w:rPr>
              <w:t>8</w:t>
            </w:r>
          </w:p>
        </w:tc>
        <w:tc>
          <w:tcPr>
            <w:tcW w:w="1040" w:type="dxa"/>
            <w:tcBorders>
              <w:bottom w:val="double" w:sz="4" w:space="0" w:color="auto"/>
            </w:tcBorders>
            <w:shd w:val="clear" w:color="auto" w:fill="auto"/>
            <w:vAlign w:val="bottom"/>
            <w:hideMark/>
          </w:tcPr>
          <w:p w:rsidR="00A320D5" w:rsidRPr="00AC0391" w:rsidRDefault="00A320D5" w:rsidP="000C6739">
            <w:pPr>
              <w:jc w:val="center"/>
              <w:rPr>
                <w:sz w:val="20"/>
                <w:szCs w:val="20"/>
              </w:rPr>
            </w:pPr>
            <w:r>
              <w:rPr>
                <w:sz w:val="20"/>
                <w:szCs w:val="20"/>
              </w:rPr>
              <w:t>7,1</w:t>
            </w:r>
          </w:p>
        </w:tc>
        <w:tc>
          <w:tcPr>
            <w:tcW w:w="1000" w:type="dxa"/>
            <w:tcBorders>
              <w:bottom w:val="double" w:sz="4" w:space="0" w:color="auto"/>
              <w:right w:val="double" w:sz="4" w:space="0" w:color="auto"/>
            </w:tcBorders>
            <w:shd w:val="clear" w:color="auto" w:fill="auto"/>
            <w:noWrap/>
            <w:vAlign w:val="bottom"/>
            <w:hideMark/>
          </w:tcPr>
          <w:p w:rsidR="00A320D5" w:rsidRPr="00AC0391" w:rsidRDefault="00A320D5" w:rsidP="000C6739">
            <w:pPr>
              <w:jc w:val="center"/>
              <w:rPr>
                <w:sz w:val="20"/>
                <w:szCs w:val="20"/>
              </w:rPr>
            </w:pPr>
            <w:r>
              <w:rPr>
                <w:sz w:val="20"/>
                <w:szCs w:val="20"/>
              </w:rPr>
              <w:t>0,9</w:t>
            </w:r>
            <w:r w:rsidRPr="00AC0391">
              <w:rPr>
                <w:sz w:val="20"/>
                <w:szCs w:val="20"/>
              </w:rPr>
              <w:t>%</w:t>
            </w:r>
          </w:p>
        </w:tc>
      </w:tr>
    </w:tbl>
    <w:p w:rsidR="00A320D5" w:rsidRDefault="00A320D5" w:rsidP="00A320D5">
      <w:pPr>
        <w:ind w:firstLine="708"/>
        <w:jc w:val="both"/>
      </w:pPr>
    </w:p>
    <w:p w:rsidR="00A320D5" w:rsidRPr="00AF77E5" w:rsidRDefault="00A320D5" w:rsidP="00A320D5">
      <w:pPr>
        <w:ind w:firstLine="708"/>
        <w:jc w:val="both"/>
      </w:pPr>
      <w:r w:rsidRPr="00AF77E5">
        <w:t>Увеличение расходов Облкомюстиции в 201</w:t>
      </w:r>
      <w:r>
        <w:t>9</w:t>
      </w:r>
      <w:r w:rsidRPr="00AF77E5">
        <w:t xml:space="preserve"> году по сравнению с 201</w:t>
      </w:r>
      <w:r>
        <w:t>8</w:t>
      </w:r>
      <w:r w:rsidRPr="00AF77E5">
        <w:t xml:space="preserve"> годом на </w:t>
      </w:r>
      <w:r>
        <w:t>84 484,4</w:t>
      </w:r>
      <w:r w:rsidRPr="00AF77E5">
        <w:t xml:space="preserve"> тыс. руб., или на </w:t>
      </w:r>
      <w:r>
        <w:t>14,0</w:t>
      </w:r>
      <w:r w:rsidRPr="00AF77E5">
        <w:t xml:space="preserve"> % в основном обусловлено следующими факторами:</w:t>
      </w:r>
    </w:p>
    <w:p w:rsidR="00A320D5" w:rsidRDefault="00A320D5" w:rsidP="00A320D5">
      <w:pPr>
        <w:ind w:firstLine="708"/>
        <w:jc w:val="both"/>
      </w:pPr>
      <w:r w:rsidRPr="007E03BA">
        <w:t>-увеличение стоимости почтовых отправлений (+28 606,0 тыс. руб.);</w:t>
      </w:r>
    </w:p>
    <w:p w:rsidR="00A320D5" w:rsidRDefault="00A320D5" w:rsidP="00F10434">
      <w:pPr>
        <w:ind w:firstLine="708"/>
        <w:jc w:val="both"/>
      </w:pPr>
      <w:r w:rsidRPr="007E03BA">
        <w:t xml:space="preserve">-увеличение расходов на реализацию </w:t>
      </w:r>
      <w:r w:rsidR="00F10434">
        <w:t>ведомственной целевой программы «Развитие мировой юстиции в Волгоградской области на 2017-2019 годы»</w:t>
      </w:r>
      <w:r w:rsidR="00F10434" w:rsidRPr="007E03BA">
        <w:t xml:space="preserve"> </w:t>
      </w:r>
      <w:r w:rsidRPr="007E03BA">
        <w:t>(+25 859,9 тыс. руб.);</w:t>
      </w:r>
    </w:p>
    <w:p w:rsidR="00A320D5" w:rsidRDefault="00A320D5" w:rsidP="00A320D5">
      <w:pPr>
        <w:ind w:firstLine="708"/>
        <w:jc w:val="both"/>
      </w:pPr>
      <w:r>
        <w:t>-</w:t>
      </w:r>
      <w:r w:rsidRPr="00996515">
        <w:t>увеличение субвенции на осуществление переданных органам государственной власти субъектов РФ полномочий РФ на государственную регистрацию актов гражданского состояния (+18 798,3 тыс. руб.);</w:t>
      </w:r>
    </w:p>
    <w:p w:rsidR="00A320D5" w:rsidRDefault="00A320D5" w:rsidP="00A320D5">
      <w:pPr>
        <w:ind w:firstLine="708"/>
        <w:jc w:val="both"/>
      </w:pPr>
      <w:r>
        <w:t>-</w:t>
      </w:r>
      <w:r w:rsidRPr="00996515">
        <w:t xml:space="preserve">создание ГКУ </w:t>
      </w:r>
      <w:r>
        <w:t>«</w:t>
      </w:r>
      <w:r w:rsidRPr="00996515">
        <w:t>Дирекция</w:t>
      </w:r>
      <w:r>
        <w:t>»</w:t>
      </w:r>
      <w:r w:rsidRPr="00996515">
        <w:t xml:space="preserve"> (+7 171,2 тыс. руб.);</w:t>
      </w:r>
    </w:p>
    <w:p w:rsidR="00A320D5" w:rsidRDefault="00A320D5" w:rsidP="00A320D5">
      <w:pPr>
        <w:ind w:firstLine="708"/>
        <w:jc w:val="both"/>
      </w:pPr>
      <w:r>
        <w:t>-</w:t>
      </w:r>
      <w:r w:rsidR="00C11772">
        <w:t>премия государственным служащим</w:t>
      </w:r>
      <w:r w:rsidRPr="00996515">
        <w:t xml:space="preserve"> в соответствии с </w:t>
      </w:r>
      <w:r w:rsidR="00C11772">
        <w:t>п</w:t>
      </w:r>
      <w:r w:rsidRPr="00996515">
        <w:t xml:space="preserve">остановлением Администрации Волгоградской области от 23.12.2019 № 662-п «О мерах по реализации </w:t>
      </w:r>
      <w:r w:rsidR="00F10434">
        <w:t>п</w:t>
      </w:r>
      <w:r w:rsidRPr="00996515">
        <w:t>остановления Правительства РФ от 07.12.2019 № 1614 «Об утверждении Правил предоставления и распределения иных межбюджетных трансфертов в 2019 году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w:t>
      </w:r>
      <w:r>
        <w:t xml:space="preserve"> (</w:t>
      </w:r>
      <w:r w:rsidRPr="00996515">
        <w:t>+3 874,4</w:t>
      </w:r>
      <w:r>
        <w:t xml:space="preserve"> тыс. руб.).</w:t>
      </w:r>
    </w:p>
    <w:p w:rsidR="00EB3A3D" w:rsidRPr="00A320D5" w:rsidRDefault="00EB3A3D" w:rsidP="00F50F0C">
      <w:pPr>
        <w:autoSpaceDE w:val="0"/>
        <w:autoSpaceDN w:val="0"/>
        <w:adjustRightInd w:val="0"/>
        <w:ind w:firstLine="709"/>
        <w:jc w:val="both"/>
      </w:pPr>
    </w:p>
    <w:p w:rsidR="00A320D5" w:rsidRPr="00A320D5" w:rsidRDefault="00A320D5" w:rsidP="00A320D5">
      <w:pPr>
        <w:autoSpaceDE w:val="0"/>
        <w:autoSpaceDN w:val="0"/>
        <w:adjustRightInd w:val="0"/>
        <w:jc w:val="center"/>
        <w:rPr>
          <w:b/>
          <w:i/>
        </w:rPr>
      </w:pPr>
      <w:r w:rsidRPr="00A320D5">
        <w:rPr>
          <w:b/>
          <w:i/>
        </w:rPr>
        <w:t>Состояние дебиторской и кредиторской задолженности</w:t>
      </w:r>
    </w:p>
    <w:p w:rsidR="00A320D5" w:rsidRPr="00E70363" w:rsidRDefault="00A320D5" w:rsidP="00A320D5">
      <w:pPr>
        <w:autoSpaceDE w:val="0"/>
        <w:autoSpaceDN w:val="0"/>
        <w:adjustRightInd w:val="0"/>
        <w:ind w:firstLine="709"/>
        <w:jc w:val="both"/>
      </w:pPr>
      <w:r w:rsidRPr="00A320D5">
        <w:t>Информация о динамике дебиторской и кредиторской задолженности в 2019 году</w:t>
      </w:r>
      <w:r w:rsidRPr="00E70363">
        <w:t xml:space="preserve"> приведена в следующей таблице:</w:t>
      </w:r>
    </w:p>
    <w:p w:rsidR="00A320D5" w:rsidRPr="00E70363" w:rsidRDefault="00A320D5" w:rsidP="00A320D5">
      <w:pPr>
        <w:autoSpaceDE w:val="0"/>
        <w:autoSpaceDN w:val="0"/>
        <w:adjustRightInd w:val="0"/>
        <w:ind w:firstLine="709"/>
        <w:jc w:val="right"/>
      </w:pPr>
      <w:r w:rsidRPr="00E70363">
        <w:rPr>
          <w:i/>
          <w:sz w:val="22"/>
          <w:szCs w:val="22"/>
        </w:rPr>
        <w:t xml:space="preserve">                                                                    тыс. руб.</w:t>
      </w: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4536"/>
        <w:gridCol w:w="1418"/>
        <w:gridCol w:w="1417"/>
        <w:gridCol w:w="1134"/>
        <w:gridCol w:w="1134"/>
      </w:tblGrid>
      <w:tr w:rsidR="00A320D5" w:rsidRPr="00BD63EB" w:rsidTr="000C6739">
        <w:trPr>
          <w:trHeight w:val="20"/>
        </w:trPr>
        <w:tc>
          <w:tcPr>
            <w:tcW w:w="4536" w:type="dxa"/>
            <w:vMerge w:val="restart"/>
            <w:tcBorders>
              <w:top w:val="double" w:sz="4" w:space="0" w:color="auto"/>
              <w:left w:val="double" w:sz="4" w:space="0" w:color="auto"/>
              <w:right w:val="double" w:sz="4" w:space="0" w:color="auto"/>
            </w:tcBorders>
            <w:shd w:val="clear" w:color="auto" w:fill="auto"/>
            <w:vAlign w:val="center"/>
            <w:hideMark/>
          </w:tcPr>
          <w:p w:rsidR="00A320D5" w:rsidRPr="00E70363" w:rsidRDefault="00A320D5" w:rsidP="000C6739">
            <w:pPr>
              <w:jc w:val="center"/>
              <w:rPr>
                <w:b/>
                <w:bCs/>
                <w:sz w:val="20"/>
                <w:szCs w:val="20"/>
              </w:rPr>
            </w:pPr>
            <w:r w:rsidRPr="00E70363">
              <w:rPr>
                <w:b/>
                <w:bCs/>
                <w:sz w:val="20"/>
                <w:szCs w:val="20"/>
              </w:rPr>
              <w:t>Наименование показателя</w:t>
            </w:r>
          </w:p>
        </w:tc>
        <w:tc>
          <w:tcPr>
            <w:tcW w:w="2835" w:type="dxa"/>
            <w:gridSpan w:val="2"/>
            <w:tcBorders>
              <w:top w:val="double" w:sz="4" w:space="0" w:color="auto"/>
              <w:left w:val="double" w:sz="4" w:space="0" w:color="auto"/>
            </w:tcBorders>
            <w:shd w:val="clear" w:color="auto" w:fill="auto"/>
            <w:vAlign w:val="center"/>
            <w:hideMark/>
          </w:tcPr>
          <w:p w:rsidR="00A320D5" w:rsidRPr="00E70363" w:rsidRDefault="00A320D5" w:rsidP="000C6739">
            <w:pPr>
              <w:jc w:val="center"/>
              <w:rPr>
                <w:b/>
                <w:bCs/>
                <w:sz w:val="20"/>
                <w:szCs w:val="20"/>
              </w:rPr>
            </w:pPr>
            <w:r w:rsidRPr="00E70363">
              <w:rPr>
                <w:b/>
                <w:bCs/>
                <w:sz w:val="20"/>
                <w:szCs w:val="20"/>
              </w:rPr>
              <w:t>Сумма задолженности</w:t>
            </w:r>
          </w:p>
        </w:tc>
        <w:tc>
          <w:tcPr>
            <w:tcW w:w="2268" w:type="dxa"/>
            <w:gridSpan w:val="2"/>
            <w:tcBorders>
              <w:top w:val="double" w:sz="4" w:space="0" w:color="auto"/>
              <w:right w:val="double" w:sz="4" w:space="0" w:color="auto"/>
            </w:tcBorders>
            <w:shd w:val="clear" w:color="auto" w:fill="auto"/>
            <w:vAlign w:val="center"/>
            <w:hideMark/>
          </w:tcPr>
          <w:p w:rsidR="00A320D5" w:rsidRPr="00E70363" w:rsidRDefault="00A320D5" w:rsidP="000C6739">
            <w:pPr>
              <w:jc w:val="center"/>
              <w:rPr>
                <w:b/>
                <w:bCs/>
                <w:sz w:val="20"/>
                <w:szCs w:val="20"/>
              </w:rPr>
            </w:pPr>
            <w:r w:rsidRPr="00E70363">
              <w:rPr>
                <w:b/>
                <w:bCs/>
                <w:sz w:val="20"/>
                <w:szCs w:val="20"/>
              </w:rPr>
              <w:t>Отклонение (+/-)</w:t>
            </w:r>
          </w:p>
        </w:tc>
      </w:tr>
      <w:tr w:rsidR="00A320D5" w:rsidRPr="00BD63EB" w:rsidTr="000C6739">
        <w:trPr>
          <w:trHeight w:val="20"/>
        </w:trPr>
        <w:tc>
          <w:tcPr>
            <w:tcW w:w="4536" w:type="dxa"/>
            <w:vMerge/>
            <w:tcBorders>
              <w:left w:val="double" w:sz="4" w:space="0" w:color="auto"/>
              <w:bottom w:val="double" w:sz="4" w:space="0" w:color="auto"/>
              <w:right w:val="double" w:sz="4" w:space="0" w:color="auto"/>
            </w:tcBorders>
            <w:vAlign w:val="center"/>
            <w:hideMark/>
          </w:tcPr>
          <w:p w:rsidR="00A320D5" w:rsidRPr="00E70363" w:rsidRDefault="00A320D5" w:rsidP="000C6739">
            <w:pPr>
              <w:rPr>
                <w:b/>
                <w:bCs/>
                <w:sz w:val="20"/>
                <w:szCs w:val="20"/>
              </w:rPr>
            </w:pPr>
          </w:p>
        </w:tc>
        <w:tc>
          <w:tcPr>
            <w:tcW w:w="1418" w:type="dxa"/>
            <w:tcBorders>
              <w:left w:val="double" w:sz="4" w:space="0" w:color="auto"/>
              <w:bottom w:val="double" w:sz="4" w:space="0" w:color="auto"/>
            </w:tcBorders>
            <w:shd w:val="clear" w:color="auto" w:fill="auto"/>
            <w:vAlign w:val="center"/>
            <w:hideMark/>
          </w:tcPr>
          <w:p w:rsidR="00A320D5" w:rsidRPr="00E70363" w:rsidRDefault="00A320D5" w:rsidP="000C6739">
            <w:pPr>
              <w:jc w:val="center"/>
              <w:rPr>
                <w:b/>
                <w:bCs/>
                <w:sz w:val="20"/>
                <w:szCs w:val="20"/>
                <w:lang w:val="en-US"/>
              </w:rPr>
            </w:pPr>
            <w:r w:rsidRPr="00E70363">
              <w:rPr>
                <w:b/>
                <w:bCs/>
                <w:sz w:val="20"/>
                <w:szCs w:val="20"/>
              </w:rPr>
              <w:t>на 01.01.201</w:t>
            </w:r>
            <w:r w:rsidRPr="00E70363">
              <w:rPr>
                <w:b/>
                <w:bCs/>
                <w:sz w:val="20"/>
                <w:szCs w:val="20"/>
                <w:lang w:val="en-US"/>
              </w:rPr>
              <w:t>9</w:t>
            </w:r>
          </w:p>
        </w:tc>
        <w:tc>
          <w:tcPr>
            <w:tcW w:w="1417" w:type="dxa"/>
            <w:tcBorders>
              <w:bottom w:val="double" w:sz="4" w:space="0" w:color="auto"/>
            </w:tcBorders>
            <w:shd w:val="clear" w:color="auto" w:fill="auto"/>
            <w:vAlign w:val="center"/>
            <w:hideMark/>
          </w:tcPr>
          <w:p w:rsidR="00A320D5" w:rsidRPr="00E70363" w:rsidRDefault="00A320D5" w:rsidP="000C6739">
            <w:pPr>
              <w:jc w:val="center"/>
              <w:rPr>
                <w:b/>
                <w:bCs/>
                <w:sz w:val="20"/>
                <w:szCs w:val="20"/>
                <w:lang w:val="en-US"/>
              </w:rPr>
            </w:pPr>
            <w:r w:rsidRPr="00E70363">
              <w:rPr>
                <w:b/>
                <w:bCs/>
                <w:sz w:val="20"/>
                <w:szCs w:val="20"/>
              </w:rPr>
              <w:t>на 01.01.20</w:t>
            </w:r>
            <w:r w:rsidRPr="00E70363">
              <w:rPr>
                <w:b/>
                <w:bCs/>
                <w:sz w:val="20"/>
                <w:szCs w:val="20"/>
                <w:lang w:val="en-US"/>
              </w:rPr>
              <w:t>20</w:t>
            </w:r>
          </w:p>
        </w:tc>
        <w:tc>
          <w:tcPr>
            <w:tcW w:w="1134" w:type="dxa"/>
            <w:tcBorders>
              <w:bottom w:val="double" w:sz="4" w:space="0" w:color="auto"/>
            </w:tcBorders>
            <w:shd w:val="clear" w:color="auto" w:fill="auto"/>
            <w:vAlign w:val="center"/>
            <w:hideMark/>
          </w:tcPr>
          <w:p w:rsidR="00A320D5" w:rsidRPr="00E70363" w:rsidRDefault="00A320D5" w:rsidP="000C6739">
            <w:pPr>
              <w:jc w:val="center"/>
              <w:rPr>
                <w:b/>
                <w:bCs/>
                <w:sz w:val="20"/>
                <w:szCs w:val="20"/>
              </w:rPr>
            </w:pPr>
            <w:r w:rsidRPr="00E70363">
              <w:rPr>
                <w:b/>
                <w:bCs/>
                <w:sz w:val="20"/>
                <w:szCs w:val="20"/>
              </w:rPr>
              <w:t>тыс. руб.</w:t>
            </w:r>
          </w:p>
        </w:tc>
        <w:tc>
          <w:tcPr>
            <w:tcW w:w="1134" w:type="dxa"/>
            <w:tcBorders>
              <w:bottom w:val="double" w:sz="4" w:space="0" w:color="auto"/>
              <w:right w:val="double" w:sz="4" w:space="0" w:color="auto"/>
            </w:tcBorders>
            <w:shd w:val="clear" w:color="auto" w:fill="auto"/>
            <w:vAlign w:val="center"/>
            <w:hideMark/>
          </w:tcPr>
          <w:p w:rsidR="00A320D5" w:rsidRPr="00E70363" w:rsidRDefault="00A320D5" w:rsidP="000C6739">
            <w:pPr>
              <w:jc w:val="center"/>
              <w:rPr>
                <w:b/>
                <w:bCs/>
                <w:sz w:val="20"/>
                <w:szCs w:val="20"/>
              </w:rPr>
            </w:pPr>
            <w:r w:rsidRPr="00E70363">
              <w:rPr>
                <w:b/>
                <w:bCs/>
                <w:sz w:val="20"/>
                <w:szCs w:val="20"/>
              </w:rPr>
              <w:t>%</w:t>
            </w:r>
          </w:p>
        </w:tc>
      </w:tr>
      <w:tr w:rsidR="00A320D5" w:rsidRPr="00BD63EB" w:rsidTr="000C6739">
        <w:trPr>
          <w:trHeight w:val="20"/>
        </w:trPr>
        <w:tc>
          <w:tcPr>
            <w:tcW w:w="4536" w:type="dxa"/>
            <w:tcBorders>
              <w:top w:val="double" w:sz="4" w:space="0" w:color="auto"/>
              <w:left w:val="double" w:sz="4" w:space="0" w:color="auto"/>
              <w:right w:val="double" w:sz="4" w:space="0" w:color="auto"/>
            </w:tcBorders>
            <w:shd w:val="clear" w:color="auto" w:fill="auto"/>
            <w:vAlign w:val="center"/>
            <w:hideMark/>
          </w:tcPr>
          <w:p w:rsidR="00A320D5" w:rsidRPr="00AB79E5" w:rsidRDefault="00A320D5" w:rsidP="000C6739">
            <w:pPr>
              <w:rPr>
                <w:b/>
                <w:bCs/>
                <w:i/>
                <w:iCs/>
                <w:sz w:val="20"/>
                <w:szCs w:val="20"/>
              </w:rPr>
            </w:pPr>
            <w:r w:rsidRPr="00AB79E5">
              <w:rPr>
                <w:b/>
                <w:bCs/>
                <w:i/>
                <w:iCs/>
                <w:sz w:val="20"/>
                <w:szCs w:val="20"/>
              </w:rPr>
              <w:t>Дебиторская  задолженность ИТОГО</w:t>
            </w:r>
          </w:p>
        </w:tc>
        <w:tc>
          <w:tcPr>
            <w:tcW w:w="1418" w:type="dxa"/>
            <w:tcBorders>
              <w:top w:val="double" w:sz="4" w:space="0" w:color="auto"/>
              <w:left w:val="double" w:sz="4" w:space="0" w:color="auto"/>
            </w:tcBorders>
            <w:shd w:val="clear" w:color="auto" w:fill="auto"/>
            <w:vAlign w:val="center"/>
            <w:hideMark/>
          </w:tcPr>
          <w:p w:rsidR="00A320D5" w:rsidRPr="00AB79E5" w:rsidRDefault="00A320D5" w:rsidP="000C6739">
            <w:pPr>
              <w:jc w:val="right"/>
              <w:rPr>
                <w:b/>
                <w:bCs/>
                <w:i/>
                <w:iCs/>
                <w:sz w:val="20"/>
                <w:szCs w:val="20"/>
              </w:rPr>
            </w:pPr>
            <w:r w:rsidRPr="00AB79E5">
              <w:rPr>
                <w:b/>
                <w:bCs/>
                <w:i/>
                <w:iCs/>
                <w:sz w:val="20"/>
                <w:szCs w:val="20"/>
              </w:rPr>
              <w:t>5 459,9</w:t>
            </w:r>
          </w:p>
        </w:tc>
        <w:tc>
          <w:tcPr>
            <w:tcW w:w="1417" w:type="dxa"/>
            <w:tcBorders>
              <w:top w:val="double" w:sz="4" w:space="0" w:color="auto"/>
            </w:tcBorders>
            <w:shd w:val="clear" w:color="auto" w:fill="auto"/>
            <w:vAlign w:val="center"/>
            <w:hideMark/>
          </w:tcPr>
          <w:p w:rsidR="00A320D5" w:rsidRPr="00AB79E5" w:rsidRDefault="00A320D5" w:rsidP="000C6739">
            <w:pPr>
              <w:jc w:val="right"/>
              <w:rPr>
                <w:b/>
                <w:bCs/>
                <w:i/>
                <w:iCs/>
                <w:sz w:val="20"/>
                <w:szCs w:val="20"/>
              </w:rPr>
            </w:pPr>
            <w:r w:rsidRPr="00AB79E5">
              <w:rPr>
                <w:b/>
                <w:bCs/>
                <w:i/>
                <w:iCs/>
                <w:sz w:val="20"/>
                <w:szCs w:val="20"/>
              </w:rPr>
              <w:t>5466,9</w:t>
            </w:r>
          </w:p>
        </w:tc>
        <w:tc>
          <w:tcPr>
            <w:tcW w:w="1134" w:type="dxa"/>
            <w:tcBorders>
              <w:top w:val="double" w:sz="4" w:space="0" w:color="auto"/>
            </w:tcBorders>
            <w:shd w:val="clear" w:color="auto" w:fill="auto"/>
            <w:vAlign w:val="bottom"/>
            <w:hideMark/>
          </w:tcPr>
          <w:p w:rsidR="00A320D5" w:rsidRPr="00B04B2A" w:rsidRDefault="00A320D5" w:rsidP="000C6739">
            <w:pPr>
              <w:jc w:val="right"/>
              <w:rPr>
                <w:b/>
                <w:bCs/>
                <w:i/>
                <w:iCs/>
                <w:sz w:val="20"/>
                <w:szCs w:val="20"/>
              </w:rPr>
            </w:pPr>
            <w:r w:rsidRPr="00B04B2A">
              <w:rPr>
                <w:b/>
                <w:bCs/>
                <w:i/>
                <w:iCs/>
                <w:sz w:val="20"/>
                <w:szCs w:val="20"/>
              </w:rPr>
              <w:t>7,0</w:t>
            </w:r>
          </w:p>
        </w:tc>
        <w:tc>
          <w:tcPr>
            <w:tcW w:w="1134" w:type="dxa"/>
            <w:tcBorders>
              <w:top w:val="double" w:sz="4" w:space="0" w:color="auto"/>
              <w:right w:val="double" w:sz="4" w:space="0" w:color="auto"/>
            </w:tcBorders>
            <w:shd w:val="clear" w:color="auto" w:fill="auto"/>
            <w:vAlign w:val="bottom"/>
            <w:hideMark/>
          </w:tcPr>
          <w:p w:rsidR="00A320D5" w:rsidRPr="00B04B2A" w:rsidRDefault="00A320D5" w:rsidP="000C6739">
            <w:pPr>
              <w:jc w:val="right"/>
              <w:rPr>
                <w:b/>
                <w:bCs/>
                <w:i/>
                <w:iCs/>
                <w:sz w:val="20"/>
                <w:szCs w:val="20"/>
              </w:rPr>
            </w:pPr>
            <w:r w:rsidRPr="00B04B2A">
              <w:rPr>
                <w:b/>
                <w:bCs/>
                <w:i/>
                <w:iCs/>
                <w:sz w:val="20"/>
                <w:szCs w:val="20"/>
              </w:rPr>
              <w:t>0,1%</w:t>
            </w:r>
          </w:p>
        </w:tc>
      </w:tr>
      <w:tr w:rsidR="00A320D5" w:rsidRPr="00BD63EB" w:rsidTr="000C6739">
        <w:trPr>
          <w:trHeight w:val="20"/>
        </w:trPr>
        <w:tc>
          <w:tcPr>
            <w:tcW w:w="4536" w:type="dxa"/>
            <w:tcBorders>
              <w:left w:val="double" w:sz="4" w:space="0" w:color="auto"/>
              <w:right w:val="double" w:sz="4" w:space="0" w:color="auto"/>
            </w:tcBorders>
            <w:shd w:val="clear" w:color="auto" w:fill="auto"/>
            <w:vAlign w:val="center"/>
            <w:hideMark/>
          </w:tcPr>
          <w:p w:rsidR="00A320D5" w:rsidRPr="00AB79E5" w:rsidRDefault="00A320D5" w:rsidP="000C6739">
            <w:pPr>
              <w:rPr>
                <w:b/>
                <w:bCs/>
                <w:i/>
                <w:iCs/>
                <w:sz w:val="20"/>
                <w:szCs w:val="20"/>
              </w:rPr>
            </w:pPr>
            <w:r w:rsidRPr="00AB79E5">
              <w:rPr>
                <w:b/>
                <w:bCs/>
                <w:i/>
                <w:iCs/>
                <w:sz w:val="20"/>
                <w:szCs w:val="20"/>
              </w:rPr>
              <w:t xml:space="preserve"> </w:t>
            </w:r>
            <w:r w:rsidRPr="00AB79E5">
              <w:rPr>
                <w:i/>
                <w:iCs/>
                <w:sz w:val="20"/>
                <w:szCs w:val="20"/>
              </w:rPr>
              <w:t>в том числе:</w:t>
            </w:r>
          </w:p>
        </w:tc>
        <w:tc>
          <w:tcPr>
            <w:tcW w:w="1418" w:type="dxa"/>
            <w:tcBorders>
              <w:left w:val="double" w:sz="4" w:space="0" w:color="auto"/>
            </w:tcBorders>
            <w:shd w:val="clear" w:color="auto" w:fill="auto"/>
            <w:vAlign w:val="center"/>
            <w:hideMark/>
          </w:tcPr>
          <w:p w:rsidR="00A320D5" w:rsidRPr="00AB79E5" w:rsidRDefault="00A320D5" w:rsidP="000C6739">
            <w:pPr>
              <w:rPr>
                <w:b/>
                <w:bCs/>
                <w:i/>
                <w:iCs/>
                <w:sz w:val="20"/>
                <w:szCs w:val="20"/>
              </w:rPr>
            </w:pPr>
            <w:r w:rsidRPr="00AB79E5">
              <w:rPr>
                <w:b/>
                <w:bCs/>
                <w:i/>
                <w:iCs/>
                <w:sz w:val="20"/>
                <w:szCs w:val="20"/>
              </w:rPr>
              <w:t> </w:t>
            </w:r>
          </w:p>
        </w:tc>
        <w:tc>
          <w:tcPr>
            <w:tcW w:w="1417" w:type="dxa"/>
            <w:shd w:val="clear" w:color="auto" w:fill="auto"/>
            <w:vAlign w:val="center"/>
            <w:hideMark/>
          </w:tcPr>
          <w:p w:rsidR="00A320D5" w:rsidRPr="00AB79E5" w:rsidRDefault="00A320D5" w:rsidP="000C6739">
            <w:pPr>
              <w:rPr>
                <w:b/>
                <w:bCs/>
                <w:i/>
                <w:iCs/>
                <w:sz w:val="20"/>
                <w:szCs w:val="20"/>
              </w:rPr>
            </w:pPr>
          </w:p>
        </w:tc>
        <w:tc>
          <w:tcPr>
            <w:tcW w:w="1134" w:type="dxa"/>
            <w:shd w:val="clear" w:color="auto" w:fill="auto"/>
            <w:vAlign w:val="bottom"/>
            <w:hideMark/>
          </w:tcPr>
          <w:p w:rsidR="00A320D5" w:rsidRPr="007D3AEF" w:rsidRDefault="00A320D5" w:rsidP="000C6739">
            <w:pPr>
              <w:rPr>
                <w:b/>
                <w:bCs/>
                <w:i/>
                <w:iCs/>
                <w:sz w:val="20"/>
                <w:szCs w:val="20"/>
              </w:rPr>
            </w:pPr>
          </w:p>
        </w:tc>
        <w:tc>
          <w:tcPr>
            <w:tcW w:w="1134" w:type="dxa"/>
            <w:tcBorders>
              <w:right w:val="double" w:sz="4" w:space="0" w:color="auto"/>
            </w:tcBorders>
            <w:shd w:val="clear" w:color="auto" w:fill="auto"/>
            <w:vAlign w:val="bottom"/>
            <w:hideMark/>
          </w:tcPr>
          <w:p w:rsidR="00A320D5" w:rsidRPr="007D3AEF" w:rsidRDefault="00A320D5" w:rsidP="000C6739">
            <w:pPr>
              <w:rPr>
                <w:b/>
                <w:bCs/>
                <w:i/>
                <w:iCs/>
                <w:sz w:val="20"/>
                <w:szCs w:val="20"/>
              </w:rPr>
            </w:pPr>
          </w:p>
        </w:tc>
      </w:tr>
      <w:tr w:rsidR="00A320D5" w:rsidRPr="00BD63EB" w:rsidTr="000C6739">
        <w:trPr>
          <w:trHeight w:val="20"/>
        </w:trPr>
        <w:tc>
          <w:tcPr>
            <w:tcW w:w="4536" w:type="dxa"/>
            <w:tcBorders>
              <w:left w:val="double" w:sz="4" w:space="0" w:color="auto"/>
              <w:right w:val="double" w:sz="4" w:space="0" w:color="auto"/>
            </w:tcBorders>
            <w:shd w:val="clear" w:color="auto" w:fill="auto"/>
            <w:vAlign w:val="center"/>
            <w:hideMark/>
          </w:tcPr>
          <w:p w:rsidR="00A320D5" w:rsidRPr="00AB79E5" w:rsidRDefault="00A320D5" w:rsidP="000C6739">
            <w:pPr>
              <w:rPr>
                <w:sz w:val="20"/>
                <w:szCs w:val="20"/>
              </w:rPr>
            </w:pPr>
            <w:r w:rsidRPr="00AB79E5">
              <w:rPr>
                <w:sz w:val="20"/>
                <w:szCs w:val="20"/>
              </w:rPr>
              <w:t>расчеты по выданным авансам</w:t>
            </w:r>
          </w:p>
        </w:tc>
        <w:tc>
          <w:tcPr>
            <w:tcW w:w="1418" w:type="dxa"/>
            <w:tcBorders>
              <w:left w:val="double" w:sz="4" w:space="0" w:color="auto"/>
            </w:tcBorders>
            <w:shd w:val="clear" w:color="auto" w:fill="auto"/>
            <w:vAlign w:val="center"/>
            <w:hideMark/>
          </w:tcPr>
          <w:p w:rsidR="00A320D5" w:rsidRPr="00AB79E5" w:rsidRDefault="00A320D5" w:rsidP="000C6739">
            <w:pPr>
              <w:jc w:val="right"/>
              <w:rPr>
                <w:sz w:val="20"/>
                <w:szCs w:val="20"/>
              </w:rPr>
            </w:pPr>
            <w:r w:rsidRPr="00AB79E5">
              <w:rPr>
                <w:sz w:val="20"/>
                <w:szCs w:val="20"/>
              </w:rPr>
              <w:t>2 697,4</w:t>
            </w:r>
          </w:p>
        </w:tc>
        <w:tc>
          <w:tcPr>
            <w:tcW w:w="1417" w:type="dxa"/>
            <w:shd w:val="clear" w:color="auto" w:fill="auto"/>
            <w:vAlign w:val="center"/>
            <w:hideMark/>
          </w:tcPr>
          <w:p w:rsidR="00A320D5" w:rsidRPr="00AB79E5" w:rsidRDefault="00A320D5" w:rsidP="000C6739">
            <w:pPr>
              <w:jc w:val="right"/>
              <w:rPr>
                <w:sz w:val="20"/>
                <w:szCs w:val="20"/>
                <w:lang w:val="en-US"/>
              </w:rPr>
            </w:pPr>
            <w:r w:rsidRPr="00AB79E5">
              <w:rPr>
                <w:sz w:val="20"/>
                <w:szCs w:val="20"/>
                <w:lang w:val="en-US"/>
              </w:rPr>
              <w:t>1</w:t>
            </w:r>
            <w:r w:rsidRPr="00AB79E5">
              <w:rPr>
                <w:sz w:val="20"/>
                <w:szCs w:val="20"/>
              </w:rPr>
              <w:t xml:space="preserve"> </w:t>
            </w:r>
            <w:r w:rsidRPr="00AB79E5">
              <w:rPr>
                <w:sz w:val="20"/>
                <w:szCs w:val="20"/>
                <w:lang w:val="en-US"/>
              </w:rPr>
              <w:t>431</w:t>
            </w:r>
            <w:r w:rsidRPr="00AB79E5">
              <w:rPr>
                <w:sz w:val="20"/>
                <w:szCs w:val="20"/>
              </w:rPr>
              <w:t>,</w:t>
            </w:r>
            <w:r w:rsidRPr="00AB79E5">
              <w:rPr>
                <w:sz w:val="20"/>
                <w:szCs w:val="20"/>
                <w:lang w:val="en-US"/>
              </w:rPr>
              <w:t>6</w:t>
            </w:r>
          </w:p>
        </w:tc>
        <w:tc>
          <w:tcPr>
            <w:tcW w:w="1134" w:type="dxa"/>
            <w:shd w:val="clear" w:color="auto" w:fill="auto"/>
            <w:vAlign w:val="bottom"/>
            <w:hideMark/>
          </w:tcPr>
          <w:p w:rsidR="00A320D5" w:rsidRPr="00B04B2A" w:rsidRDefault="00A320D5" w:rsidP="000C6739">
            <w:pPr>
              <w:jc w:val="right"/>
              <w:rPr>
                <w:sz w:val="20"/>
                <w:szCs w:val="20"/>
                <w:lang w:val="en-US"/>
              </w:rPr>
            </w:pPr>
            <w:r w:rsidRPr="00B04B2A">
              <w:rPr>
                <w:sz w:val="20"/>
                <w:szCs w:val="20"/>
                <w:lang w:val="en-US"/>
              </w:rPr>
              <w:t>-1 265,8</w:t>
            </w:r>
          </w:p>
        </w:tc>
        <w:tc>
          <w:tcPr>
            <w:tcW w:w="1134" w:type="dxa"/>
            <w:tcBorders>
              <w:right w:val="double" w:sz="4" w:space="0" w:color="auto"/>
            </w:tcBorders>
            <w:shd w:val="clear" w:color="auto" w:fill="auto"/>
            <w:vAlign w:val="bottom"/>
            <w:hideMark/>
          </w:tcPr>
          <w:p w:rsidR="00A320D5" w:rsidRPr="00B04B2A" w:rsidRDefault="00A320D5" w:rsidP="000C6739">
            <w:pPr>
              <w:jc w:val="right"/>
              <w:rPr>
                <w:sz w:val="20"/>
                <w:szCs w:val="20"/>
                <w:lang w:val="en-US"/>
              </w:rPr>
            </w:pPr>
            <w:r w:rsidRPr="00B04B2A">
              <w:rPr>
                <w:sz w:val="20"/>
                <w:szCs w:val="20"/>
                <w:lang w:val="en-US"/>
              </w:rPr>
              <w:t>-46,9%</w:t>
            </w:r>
          </w:p>
        </w:tc>
      </w:tr>
      <w:tr w:rsidR="00A320D5" w:rsidRPr="00BD63EB" w:rsidTr="000C6739">
        <w:trPr>
          <w:trHeight w:val="20"/>
        </w:trPr>
        <w:tc>
          <w:tcPr>
            <w:tcW w:w="4536" w:type="dxa"/>
            <w:tcBorders>
              <w:left w:val="double" w:sz="4" w:space="0" w:color="auto"/>
              <w:right w:val="double" w:sz="4" w:space="0" w:color="auto"/>
            </w:tcBorders>
            <w:shd w:val="clear" w:color="auto" w:fill="auto"/>
            <w:vAlign w:val="center"/>
            <w:hideMark/>
          </w:tcPr>
          <w:p w:rsidR="00A320D5" w:rsidRPr="00AB79E5" w:rsidRDefault="00A320D5" w:rsidP="000C6739">
            <w:pPr>
              <w:rPr>
                <w:sz w:val="20"/>
                <w:szCs w:val="20"/>
              </w:rPr>
            </w:pPr>
            <w:r w:rsidRPr="00AB79E5">
              <w:rPr>
                <w:sz w:val="20"/>
                <w:szCs w:val="20"/>
              </w:rPr>
              <w:t>расчеты с подотчетными лицами</w:t>
            </w:r>
          </w:p>
        </w:tc>
        <w:tc>
          <w:tcPr>
            <w:tcW w:w="1418" w:type="dxa"/>
            <w:tcBorders>
              <w:left w:val="double" w:sz="4" w:space="0" w:color="auto"/>
            </w:tcBorders>
            <w:shd w:val="clear" w:color="auto" w:fill="auto"/>
            <w:vAlign w:val="center"/>
            <w:hideMark/>
          </w:tcPr>
          <w:p w:rsidR="00A320D5" w:rsidRPr="00AB79E5" w:rsidRDefault="00A320D5" w:rsidP="000C6739">
            <w:pPr>
              <w:jc w:val="right"/>
              <w:rPr>
                <w:sz w:val="20"/>
                <w:szCs w:val="20"/>
              </w:rPr>
            </w:pPr>
            <w:r w:rsidRPr="00AB79E5">
              <w:rPr>
                <w:sz w:val="20"/>
                <w:szCs w:val="20"/>
              </w:rPr>
              <w:t>1 139,8</w:t>
            </w:r>
          </w:p>
        </w:tc>
        <w:tc>
          <w:tcPr>
            <w:tcW w:w="1417" w:type="dxa"/>
            <w:shd w:val="clear" w:color="auto" w:fill="auto"/>
            <w:vAlign w:val="center"/>
            <w:hideMark/>
          </w:tcPr>
          <w:p w:rsidR="00A320D5" w:rsidRPr="00AB79E5" w:rsidRDefault="00A320D5" w:rsidP="000C6739">
            <w:pPr>
              <w:jc w:val="right"/>
              <w:rPr>
                <w:sz w:val="20"/>
                <w:szCs w:val="20"/>
              </w:rPr>
            </w:pPr>
            <w:r w:rsidRPr="00AB79E5">
              <w:rPr>
                <w:sz w:val="20"/>
                <w:szCs w:val="20"/>
              </w:rPr>
              <w:t>2 921,7</w:t>
            </w:r>
          </w:p>
        </w:tc>
        <w:tc>
          <w:tcPr>
            <w:tcW w:w="1134" w:type="dxa"/>
            <w:shd w:val="clear" w:color="auto" w:fill="auto"/>
            <w:vAlign w:val="bottom"/>
            <w:hideMark/>
          </w:tcPr>
          <w:p w:rsidR="00A320D5" w:rsidRPr="00B04B2A" w:rsidRDefault="00A320D5" w:rsidP="000C6739">
            <w:pPr>
              <w:jc w:val="right"/>
              <w:rPr>
                <w:sz w:val="20"/>
                <w:szCs w:val="20"/>
                <w:lang w:val="en-US"/>
              </w:rPr>
            </w:pPr>
            <w:r w:rsidRPr="00B04B2A">
              <w:rPr>
                <w:sz w:val="20"/>
                <w:szCs w:val="20"/>
                <w:lang w:val="en-US"/>
              </w:rPr>
              <w:t>1 781,9</w:t>
            </w:r>
          </w:p>
        </w:tc>
        <w:tc>
          <w:tcPr>
            <w:tcW w:w="1134" w:type="dxa"/>
            <w:tcBorders>
              <w:right w:val="double" w:sz="4" w:space="0" w:color="auto"/>
            </w:tcBorders>
            <w:shd w:val="clear" w:color="auto" w:fill="auto"/>
            <w:vAlign w:val="bottom"/>
            <w:hideMark/>
          </w:tcPr>
          <w:p w:rsidR="00A320D5" w:rsidRPr="00B04B2A" w:rsidRDefault="00A320D5" w:rsidP="000C6739">
            <w:pPr>
              <w:jc w:val="right"/>
              <w:rPr>
                <w:sz w:val="20"/>
                <w:szCs w:val="20"/>
                <w:lang w:val="en-US"/>
              </w:rPr>
            </w:pPr>
            <w:r w:rsidRPr="00B04B2A">
              <w:rPr>
                <w:sz w:val="20"/>
                <w:szCs w:val="20"/>
                <w:lang w:val="en-US"/>
              </w:rPr>
              <w:t>156,3%</w:t>
            </w:r>
          </w:p>
        </w:tc>
      </w:tr>
      <w:tr w:rsidR="00A320D5" w:rsidRPr="00BD63EB" w:rsidTr="000C6739">
        <w:trPr>
          <w:trHeight w:val="20"/>
        </w:trPr>
        <w:tc>
          <w:tcPr>
            <w:tcW w:w="4536" w:type="dxa"/>
            <w:tcBorders>
              <w:left w:val="double" w:sz="4" w:space="0" w:color="auto"/>
              <w:right w:val="double" w:sz="4" w:space="0" w:color="auto"/>
            </w:tcBorders>
            <w:shd w:val="clear" w:color="auto" w:fill="auto"/>
            <w:vAlign w:val="center"/>
            <w:hideMark/>
          </w:tcPr>
          <w:p w:rsidR="00A320D5" w:rsidRPr="00AB79E5" w:rsidRDefault="00A320D5" w:rsidP="000C6739">
            <w:pPr>
              <w:rPr>
                <w:sz w:val="20"/>
                <w:szCs w:val="20"/>
              </w:rPr>
            </w:pPr>
            <w:r w:rsidRPr="00AB79E5">
              <w:rPr>
                <w:sz w:val="20"/>
                <w:szCs w:val="20"/>
              </w:rPr>
              <w:t>расчеты по ущербу и иным доходам</w:t>
            </w:r>
          </w:p>
        </w:tc>
        <w:tc>
          <w:tcPr>
            <w:tcW w:w="1418" w:type="dxa"/>
            <w:tcBorders>
              <w:left w:val="double" w:sz="4" w:space="0" w:color="auto"/>
            </w:tcBorders>
            <w:shd w:val="clear" w:color="auto" w:fill="auto"/>
            <w:vAlign w:val="center"/>
            <w:hideMark/>
          </w:tcPr>
          <w:p w:rsidR="00A320D5" w:rsidRPr="00AB79E5" w:rsidRDefault="00A320D5" w:rsidP="000C6739">
            <w:pPr>
              <w:jc w:val="right"/>
              <w:rPr>
                <w:sz w:val="20"/>
                <w:szCs w:val="20"/>
              </w:rPr>
            </w:pPr>
            <w:r w:rsidRPr="00AB79E5">
              <w:rPr>
                <w:sz w:val="20"/>
                <w:szCs w:val="20"/>
              </w:rPr>
              <w:t>783,6</w:t>
            </w:r>
          </w:p>
        </w:tc>
        <w:tc>
          <w:tcPr>
            <w:tcW w:w="1417" w:type="dxa"/>
            <w:shd w:val="clear" w:color="auto" w:fill="auto"/>
            <w:vAlign w:val="center"/>
            <w:hideMark/>
          </w:tcPr>
          <w:p w:rsidR="00A320D5" w:rsidRPr="00AB79E5" w:rsidRDefault="00A320D5" w:rsidP="000C6739">
            <w:pPr>
              <w:jc w:val="right"/>
              <w:rPr>
                <w:sz w:val="20"/>
                <w:szCs w:val="20"/>
              </w:rPr>
            </w:pPr>
            <w:r w:rsidRPr="00AB79E5">
              <w:rPr>
                <w:sz w:val="20"/>
                <w:szCs w:val="20"/>
              </w:rPr>
              <w:t>332,0</w:t>
            </w:r>
          </w:p>
        </w:tc>
        <w:tc>
          <w:tcPr>
            <w:tcW w:w="1134" w:type="dxa"/>
            <w:shd w:val="clear" w:color="auto" w:fill="auto"/>
            <w:vAlign w:val="bottom"/>
            <w:hideMark/>
          </w:tcPr>
          <w:p w:rsidR="00A320D5" w:rsidRPr="00B04B2A" w:rsidRDefault="00A320D5" w:rsidP="000C6739">
            <w:pPr>
              <w:jc w:val="right"/>
              <w:rPr>
                <w:sz w:val="20"/>
                <w:szCs w:val="20"/>
                <w:lang w:val="en-US"/>
              </w:rPr>
            </w:pPr>
            <w:r w:rsidRPr="00B04B2A">
              <w:rPr>
                <w:sz w:val="20"/>
                <w:szCs w:val="20"/>
                <w:lang w:val="en-US"/>
              </w:rPr>
              <w:t>-451,6</w:t>
            </w:r>
          </w:p>
        </w:tc>
        <w:tc>
          <w:tcPr>
            <w:tcW w:w="1134" w:type="dxa"/>
            <w:tcBorders>
              <w:right w:val="double" w:sz="4" w:space="0" w:color="auto"/>
            </w:tcBorders>
            <w:shd w:val="clear" w:color="auto" w:fill="auto"/>
            <w:vAlign w:val="bottom"/>
            <w:hideMark/>
          </w:tcPr>
          <w:p w:rsidR="00A320D5" w:rsidRPr="00B04B2A" w:rsidRDefault="00A320D5" w:rsidP="000C6739">
            <w:pPr>
              <w:jc w:val="right"/>
              <w:rPr>
                <w:sz w:val="20"/>
                <w:szCs w:val="20"/>
                <w:lang w:val="en-US"/>
              </w:rPr>
            </w:pPr>
            <w:r w:rsidRPr="00B04B2A">
              <w:rPr>
                <w:sz w:val="20"/>
                <w:szCs w:val="20"/>
                <w:lang w:val="en-US"/>
              </w:rPr>
              <w:t>-57,6%</w:t>
            </w:r>
          </w:p>
        </w:tc>
      </w:tr>
      <w:tr w:rsidR="00A320D5" w:rsidRPr="00BD63EB" w:rsidTr="000C6739">
        <w:trPr>
          <w:trHeight w:val="20"/>
        </w:trPr>
        <w:tc>
          <w:tcPr>
            <w:tcW w:w="4536" w:type="dxa"/>
            <w:tcBorders>
              <w:left w:val="double" w:sz="4" w:space="0" w:color="auto"/>
              <w:bottom w:val="double" w:sz="4" w:space="0" w:color="auto"/>
              <w:right w:val="double" w:sz="4" w:space="0" w:color="auto"/>
            </w:tcBorders>
            <w:shd w:val="clear" w:color="auto" w:fill="auto"/>
            <w:vAlign w:val="center"/>
            <w:hideMark/>
          </w:tcPr>
          <w:p w:rsidR="00A320D5" w:rsidRPr="00AB79E5" w:rsidRDefault="00A320D5" w:rsidP="000C6739">
            <w:pPr>
              <w:rPr>
                <w:sz w:val="20"/>
                <w:szCs w:val="20"/>
              </w:rPr>
            </w:pPr>
            <w:r w:rsidRPr="00AB79E5">
              <w:rPr>
                <w:sz w:val="20"/>
                <w:szCs w:val="20"/>
              </w:rPr>
              <w:t>расчеты по платежам в бюджеты</w:t>
            </w:r>
          </w:p>
        </w:tc>
        <w:tc>
          <w:tcPr>
            <w:tcW w:w="1418" w:type="dxa"/>
            <w:tcBorders>
              <w:left w:val="double" w:sz="4" w:space="0" w:color="auto"/>
              <w:bottom w:val="double" w:sz="4" w:space="0" w:color="auto"/>
            </w:tcBorders>
            <w:shd w:val="clear" w:color="auto" w:fill="auto"/>
            <w:vAlign w:val="center"/>
            <w:hideMark/>
          </w:tcPr>
          <w:p w:rsidR="00A320D5" w:rsidRPr="00AB79E5" w:rsidRDefault="00A320D5" w:rsidP="000C6739">
            <w:pPr>
              <w:jc w:val="right"/>
              <w:rPr>
                <w:sz w:val="20"/>
                <w:szCs w:val="20"/>
              </w:rPr>
            </w:pPr>
            <w:r w:rsidRPr="00AB79E5">
              <w:rPr>
                <w:sz w:val="20"/>
                <w:szCs w:val="20"/>
              </w:rPr>
              <w:t>839,1</w:t>
            </w:r>
          </w:p>
        </w:tc>
        <w:tc>
          <w:tcPr>
            <w:tcW w:w="1417" w:type="dxa"/>
            <w:tcBorders>
              <w:bottom w:val="double" w:sz="4" w:space="0" w:color="auto"/>
            </w:tcBorders>
            <w:shd w:val="clear" w:color="auto" w:fill="auto"/>
            <w:vAlign w:val="center"/>
            <w:hideMark/>
          </w:tcPr>
          <w:p w:rsidR="00A320D5" w:rsidRPr="00AB79E5" w:rsidRDefault="00A320D5" w:rsidP="000C6739">
            <w:pPr>
              <w:jc w:val="right"/>
              <w:rPr>
                <w:sz w:val="20"/>
                <w:szCs w:val="20"/>
              </w:rPr>
            </w:pPr>
            <w:r w:rsidRPr="00AB79E5">
              <w:rPr>
                <w:sz w:val="20"/>
                <w:szCs w:val="20"/>
              </w:rPr>
              <w:t>781,6</w:t>
            </w:r>
          </w:p>
        </w:tc>
        <w:tc>
          <w:tcPr>
            <w:tcW w:w="1134" w:type="dxa"/>
            <w:tcBorders>
              <w:bottom w:val="double" w:sz="4" w:space="0" w:color="auto"/>
            </w:tcBorders>
            <w:shd w:val="clear" w:color="auto" w:fill="auto"/>
            <w:vAlign w:val="bottom"/>
            <w:hideMark/>
          </w:tcPr>
          <w:p w:rsidR="00A320D5" w:rsidRPr="00B04B2A" w:rsidRDefault="00A320D5" w:rsidP="000C6739">
            <w:pPr>
              <w:jc w:val="right"/>
              <w:rPr>
                <w:sz w:val="20"/>
                <w:szCs w:val="20"/>
                <w:lang w:val="en-US"/>
              </w:rPr>
            </w:pPr>
            <w:r w:rsidRPr="00B04B2A">
              <w:rPr>
                <w:sz w:val="20"/>
                <w:szCs w:val="20"/>
                <w:lang w:val="en-US"/>
              </w:rPr>
              <w:t>-57,5</w:t>
            </w:r>
          </w:p>
        </w:tc>
        <w:tc>
          <w:tcPr>
            <w:tcW w:w="1134" w:type="dxa"/>
            <w:tcBorders>
              <w:bottom w:val="double" w:sz="4" w:space="0" w:color="auto"/>
              <w:right w:val="double" w:sz="4" w:space="0" w:color="auto"/>
            </w:tcBorders>
            <w:shd w:val="clear" w:color="auto" w:fill="auto"/>
            <w:vAlign w:val="bottom"/>
            <w:hideMark/>
          </w:tcPr>
          <w:p w:rsidR="00A320D5" w:rsidRPr="00B04B2A" w:rsidRDefault="00A320D5" w:rsidP="000C6739">
            <w:pPr>
              <w:jc w:val="right"/>
              <w:rPr>
                <w:sz w:val="20"/>
                <w:szCs w:val="20"/>
                <w:lang w:val="en-US"/>
              </w:rPr>
            </w:pPr>
            <w:r w:rsidRPr="00B04B2A">
              <w:rPr>
                <w:sz w:val="20"/>
                <w:szCs w:val="20"/>
                <w:lang w:val="en-US"/>
              </w:rPr>
              <w:t>-6,9%</w:t>
            </w:r>
          </w:p>
        </w:tc>
      </w:tr>
      <w:tr w:rsidR="00A320D5" w:rsidRPr="00BD63EB" w:rsidTr="000C6739">
        <w:trPr>
          <w:trHeight w:val="20"/>
        </w:trPr>
        <w:tc>
          <w:tcPr>
            <w:tcW w:w="4536" w:type="dxa"/>
            <w:tcBorders>
              <w:top w:val="double" w:sz="4" w:space="0" w:color="auto"/>
              <w:left w:val="double" w:sz="4" w:space="0" w:color="auto"/>
              <w:right w:val="double" w:sz="4" w:space="0" w:color="auto"/>
            </w:tcBorders>
            <w:shd w:val="clear" w:color="auto" w:fill="auto"/>
            <w:vAlign w:val="center"/>
            <w:hideMark/>
          </w:tcPr>
          <w:p w:rsidR="00A320D5" w:rsidRPr="00AB79E5" w:rsidRDefault="00A320D5" w:rsidP="000C6739">
            <w:pPr>
              <w:rPr>
                <w:b/>
                <w:bCs/>
                <w:i/>
                <w:iCs/>
                <w:sz w:val="20"/>
                <w:szCs w:val="20"/>
              </w:rPr>
            </w:pPr>
            <w:r w:rsidRPr="00AB79E5">
              <w:rPr>
                <w:b/>
                <w:bCs/>
                <w:i/>
                <w:iCs/>
                <w:sz w:val="20"/>
                <w:szCs w:val="20"/>
              </w:rPr>
              <w:t xml:space="preserve">Кредиторская  задолженность ИТОГО </w:t>
            </w:r>
          </w:p>
        </w:tc>
        <w:tc>
          <w:tcPr>
            <w:tcW w:w="1418" w:type="dxa"/>
            <w:tcBorders>
              <w:top w:val="double" w:sz="4" w:space="0" w:color="auto"/>
              <w:left w:val="double" w:sz="4" w:space="0" w:color="auto"/>
            </w:tcBorders>
            <w:shd w:val="clear" w:color="auto" w:fill="auto"/>
            <w:vAlign w:val="center"/>
            <w:hideMark/>
          </w:tcPr>
          <w:p w:rsidR="00A320D5" w:rsidRPr="00AB79E5" w:rsidRDefault="00A320D5" w:rsidP="000C6739">
            <w:pPr>
              <w:jc w:val="right"/>
              <w:rPr>
                <w:b/>
                <w:bCs/>
                <w:i/>
                <w:iCs/>
                <w:sz w:val="20"/>
                <w:szCs w:val="20"/>
              </w:rPr>
            </w:pPr>
            <w:r w:rsidRPr="00AB79E5">
              <w:rPr>
                <w:b/>
                <w:bCs/>
                <w:i/>
                <w:iCs/>
                <w:sz w:val="20"/>
                <w:szCs w:val="20"/>
              </w:rPr>
              <w:t>24 486,7</w:t>
            </w:r>
          </w:p>
        </w:tc>
        <w:tc>
          <w:tcPr>
            <w:tcW w:w="1417" w:type="dxa"/>
            <w:tcBorders>
              <w:top w:val="double" w:sz="4" w:space="0" w:color="auto"/>
            </w:tcBorders>
            <w:shd w:val="clear" w:color="auto" w:fill="auto"/>
            <w:vAlign w:val="center"/>
            <w:hideMark/>
          </w:tcPr>
          <w:p w:rsidR="00A320D5" w:rsidRPr="00AB79E5" w:rsidRDefault="00A320D5" w:rsidP="000C6739">
            <w:pPr>
              <w:jc w:val="right"/>
              <w:rPr>
                <w:b/>
                <w:bCs/>
                <w:i/>
                <w:iCs/>
                <w:sz w:val="20"/>
                <w:szCs w:val="20"/>
              </w:rPr>
            </w:pPr>
            <w:r w:rsidRPr="00AB79E5">
              <w:rPr>
                <w:b/>
                <w:bCs/>
                <w:i/>
                <w:iCs/>
                <w:sz w:val="20"/>
                <w:szCs w:val="20"/>
              </w:rPr>
              <w:t>3 891,3</w:t>
            </w:r>
          </w:p>
        </w:tc>
        <w:tc>
          <w:tcPr>
            <w:tcW w:w="1134" w:type="dxa"/>
            <w:tcBorders>
              <w:top w:val="double" w:sz="4" w:space="0" w:color="auto"/>
            </w:tcBorders>
            <w:shd w:val="clear" w:color="auto" w:fill="auto"/>
            <w:vAlign w:val="bottom"/>
            <w:hideMark/>
          </w:tcPr>
          <w:p w:rsidR="00A320D5" w:rsidRPr="00B04B2A" w:rsidRDefault="00A320D5" w:rsidP="000C6739">
            <w:pPr>
              <w:jc w:val="right"/>
              <w:rPr>
                <w:b/>
                <w:bCs/>
                <w:i/>
                <w:iCs/>
                <w:sz w:val="20"/>
                <w:szCs w:val="20"/>
              </w:rPr>
            </w:pPr>
            <w:r w:rsidRPr="00B04B2A">
              <w:rPr>
                <w:b/>
                <w:bCs/>
                <w:i/>
                <w:iCs/>
                <w:sz w:val="20"/>
                <w:szCs w:val="20"/>
              </w:rPr>
              <w:t>-20 595,4</w:t>
            </w:r>
          </w:p>
        </w:tc>
        <w:tc>
          <w:tcPr>
            <w:tcW w:w="1134" w:type="dxa"/>
            <w:tcBorders>
              <w:top w:val="double" w:sz="4" w:space="0" w:color="auto"/>
              <w:right w:val="double" w:sz="4" w:space="0" w:color="auto"/>
            </w:tcBorders>
            <w:shd w:val="clear" w:color="auto" w:fill="auto"/>
            <w:vAlign w:val="bottom"/>
            <w:hideMark/>
          </w:tcPr>
          <w:p w:rsidR="00A320D5" w:rsidRPr="00B04B2A" w:rsidRDefault="00A320D5" w:rsidP="000C6739">
            <w:pPr>
              <w:jc w:val="right"/>
              <w:rPr>
                <w:b/>
                <w:bCs/>
                <w:i/>
                <w:iCs/>
                <w:sz w:val="20"/>
                <w:szCs w:val="20"/>
              </w:rPr>
            </w:pPr>
            <w:r w:rsidRPr="00B04B2A">
              <w:rPr>
                <w:b/>
                <w:bCs/>
                <w:i/>
                <w:iCs/>
                <w:sz w:val="20"/>
                <w:szCs w:val="20"/>
              </w:rPr>
              <w:t>-84,1%</w:t>
            </w:r>
          </w:p>
        </w:tc>
      </w:tr>
      <w:tr w:rsidR="00A320D5" w:rsidRPr="00BD63EB" w:rsidTr="000C6739">
        <w:trPr>
          <w:trHeight w:val="20"/>
        </w:trPr>
        <w:tc>
          <w:tcPr>
            <w:tcW w:w="4536" w:type="dxa"/>
            <w:tcBorders>
              <w:left w:val="double" w:sz="4" w:space="0" w:color="auto"/>
              <w:right w:val="double" w:sz="4" w:space="0" w:color="auto"/>
            </w:tcBorders>
            <w:shd w:val="clear" w:color="auto" w:fill="auto"/>
            <w:vAlign w:val="center"/>
            <w:hideMark/>
          </w:tcPr>
          <w:p w:rsidR="00A320D5" w:rsidRPr="00AB79E5" w:rsidRDefault="00A320D5" w:rsidP="000C6739">
            <w:pPr>
              <w:rPr>
                <w:i/>
                <w:iCs/>
                <w:sz w:val="20"/>
                <w:szCs w:val="20"/>
              </w:rPr>
            </w:pPr>
            <w:r w:rsidRPr="00AB79E5">
              <w:rPr>
                <w:i/>
                <w:iCs/>
                <w:sz w:val="20"/>
                <w:szCs w:val="20"/>
              </w:rPr>
              <w:t>в</w:t>
            </w:r>
            <w:r w:rsidRPr="00AB79E5">
              <w:rPr>
                <w:b/>
                <w:bCs/>
                <w:i/>
                <w:iCs/>
                <w:sz w:val="20"/>
                <w:szCs w:val="20"/>
              </w:rPr>
              <w:t xml:space="preserve"> </w:t>
            </w:r>
            <w:r w:rsidRPr="00AB79E5">
              <w:rPr>
                <w:i/>
                <w:iCs/>
                <w:sz w:val="20"/>
                <w:szCs w:val="20"/>
              </w:rPr>
              <w:t>том числе:</w:t>
            </w:r>
          </w:p>
        </w:tc>
        <w:tc>
          <w:tcPr>
            <w:tcW w:w="1418" w:type="dxa"/>
            <w:tcBorders>
              <w:left w:val="double" w:sz="4" w:space="0" w:color="auto"/>
            </w:tcBorders>
            <w:shd w:val="clear" w:color="auto" w:fill="auto"/>
            <w:vAlign w:val="center"/>
            <w:hideMark/>
          </w:tcPr>
          <w:p w:rsidR="00A320D5" w:rsidRPr="00AB79E5" w:rsidRDefault="00A320D5" w:rsidP="000C6739">
            <w:pPr>
              <w:rPr>
                <w:b/>
                <w:bCs/>
                <w:i/>
                <w:iCs/>
                <w:sz w:val="20"/>
                <w:szCs w:val="20"/>
              </w:rPr>
            </w:pPr>
            <w:r w:rsidRPr="00AB79E5">
              <w:rPr>
                <w:b/>
                <w:bCs/>
                <w:i/>
                <w:iCs/>
                <w:sz w:val="20"/>
                <w:szCs w:val="20"/>
              </w:rPr>
              <w:t> </w:t>
            </w:r>
          </w:p>
        </w:tc>
        <w:tc>
          <w:tcPr>
            <w:tcW w:w="1417" w:type="dxa"/>
            <w:shd w:val="clear" w:color="auto" w:fill="auto"/>
            <w:vAlign w:val="center"/>
            <w:hideMark/>
          </w:tcPr>
          <w:p w:rsidR="00A320D5" w:rsidRPr="00AB79E5" w:rsidRDefault="00A320D5" w:rsidP="000C6739">
            <w:pPr>
              <w:rPr>
                <w:b/>
                <w:bCs/>
                <w:i/>
                <w:iCs/>
                <w:sz w:val="20"/>
                <w:szCs w:val="20"/>
              </w:rPr>
            </w:pPr>
          </w:p>
        </w:tc>
        <w:tc>
          <w:tcPr>
            <w:tcW w:w="1134" w:type="dxa"/>
            <w:shd w:val="clear" w:color="auto" w:fill="auto"/>
            <w:vAlign w:val="bottom"/>
            <w:hideMark/>
          </w:tcPr>
          <w:p w:rsidR="00A320D5" w:rsidRPr="007D3AEF" w:rsidRDefault="00A320D5" w:rsidP="000C6739">
            <w:pPr>
              <w:rPr>
                <w:b/>
                <w:bCs/>
                <w:i/>
                <w:iCs/>
                <w:sz w:val="20"/>
                <w:szCs w:val="20"/>
              </w:rPr>
            </w:pPr>
          </w:p>
        </w:tc>
        <w:tc>
          <w:tcPr>
            <w:tcW w:w="1134" w:type="dxa"/>
            <w:tcBorders>
              <w:right w:val="double" w:sz="4" w:space="0" w:color="auto"/>
            </w:tcBorders>
            <w:shd w:val="clear" w:color="auto" w:fill="auto"/>
            <w:vAlign w:val="bottom"/>
            <w:hideMark/>
          </w:tcPr>
          <w:p w:rsidR="00A320D5" w:rsidRPr="007D3AEF" w:rsidRDefault="00A320D5" w:rsidP="000C6739">
            <w:pPr>
              <w:rPr>
                <w:b/>
                <w:bCs/>
                <w:i/>
                <w:iCs/>
                <w:sz w:val="20"/>
                <w:szCs w:val="20"/>
              </w:rPr>
            </w:pPr>
          </w:p>
        </w:tc>
      </w:tr>
      <w:tr w:rsidR="00A320D5" w:rsidRPr="00BD63EB" w:rsidTr="000C6739">
        <w:trPr>
          <w:trHeight w:val="20"/>
        </w:trPr>
        <w:tc>
          <w:tcPr>
            <w:tcW w:w="4536" w:type="dxa"/>
            <w:tcBorders>
              <w:left w:val="double" w:sz="4" w:space="0" w:color="auto"/>
              <w:right w:val="double" w:sz="4" w:space="0" w:color="auto"/>
            </w:tcBorders>
            <w:shd w:val="clear" w:color="auto" w:fill="auto"/>
            <w:vAlign w:val="center"/>
            <w:hideMark/>
          </w:tcPr>
          <w:p w:rsidR="00A320D5" w:rsidRPr="00AB79E5" w:rsidRDefault="00A320D5" w:rsidP="000C6739">
            <w:pPr>
              <w:rPr>
                <w:sz w:val="20"/>
                <w:szCs w:val="20"/>
              </w:rPr>
            </w:pPr>
            <w:r w:rsidRPr="00AB79E5">
              <w:rPr>
                <w:sz w:val="20"/>
                <w:szCs w:val="20"/>
              </w:rPr>
              <w:t>расчеты по принятым обязательствам</w:t>
            </w:r>
          </w:p>
        </w:tc>
        <w:tc>
          <w:tcPr>
            <w:tcW w:w="1418" w:type="dxa"/>
            <w:tcBorders>
              <w:left w:val="double" w:sz="4" w:space="0" w:color="auto"/>
            </w:tcBorders>
            <w:shd w:val="clear" w:color="auto" w:fill="auto"/>
            <w:vAlign w:val="center"/>
            <w:hideMark/>
          </w:tcPr>
          <w:p w:rsidR="00A320D5" w:rsidRPr="00AB79E5" w:rsidRDefault="00A320D5" w:rsidP="000C6739">
            <w:pPr>
              <w:jc w:val="right"/>
              <w:rPr>
                <w:sz w:val="20"/>
                <w:szCs w:val="20"/>
              </w:rPr>
            </w:pPr>
            <w:r w:rsidRPr="00AB79E5">
              <w:rPr>
                <w:sz w:val="20"/>
                <w:szCs w:val="20"/>
              </w:rPr>
              <w:t>24 272,9</w:t>
            </w:r>
          </w:p>
        </w:tc>
        <w:tc>
          <w:tcPr>
            <w:tcW w:w="1417" w:type="dxa"/>
            <w:shd w:val="clear" w:color="auto" w:fill="auto"/>
            <w:vAlign w:val="center"/>
            <w:hideMark/>
          </w:tcPr>
          <w:p w:rsidR="00A320D5" w:rsidRPr="00AB79E5" w:rsidRDefault="00A320D5" w:rsidP="000C6739">
            <w:pPr>
              <w:jc w:val="right"/>
              <w:rPr>
                <w:sz w:val="20"/>
                <w:szCs w:val="20"/>
              </w:rPr>
            </w:pPr>
            <w:r w:rsidRPr="00AB79E5">
              <w:rPr>
                <w:sz w:val="20"/>
                <w:szCs w:val="20"/>
              </w:rPr>
              <w:t>3 842,8</w:t>
            </w:r>
          </w:p>
        </w:tc>
        <w:tc>
          <w:tcPr>
            <w:tcW w:w="1134" w:type="dxa"/>
            <w:shd w:val="clear" w:color="auto" w:fill="auto"/>
            <w:vAlign w:val="bottom"/>
            <w:hideMark/>
          </w:tcPr>
          <w:p w:rsidR="00A320D5" w:rsidRPr="00B04B2A" w:rsidRDefault="00A320D5" w:rsidP="000C6739">
            <w:pPr>
              <w:jc w:val="right"/>
              <w:rPr>
                <w:sz w:val="20"/>
                <w:szCs w:val="20"/>
              </w:rPr>
            </w:pPr>
            <w:r w:rsidRPr="00B04B2A">
              <w:rPr>
                <w:sz w:val="20"/>
                <w:szCs w:val="20"/>
              </w:rPr>
              <w:t>-20 430,1</w:t>
            </w:r>
          </w:p>
        </w:tc>
        <w:tc>
          <w:tcPr>
            <w:tcW w:w="1134" w:type="dxa"/>
            <w:tcBorders>
              <w:right w:val="double" w:sz="4" w:space="0" w:color="auto"/>
            </w:tcBorders>
            <w:shd w:val="clear" w:color="auto" w:fill="auto"/>
            <w:vAlign w:val="bottom"/>
            <w:hideMark/>
          </w:tcPr>
          <w:p w:rsidR="00A320D5" w:rsidRPr="00B04B2A" w:rsidRDefault="00A320D5" w:rsidP="000C6739">
            <w:pPr>
              <w:jc w:val="right"/>
              <w:rPr>
                <w:sz w:val="20"/>
                <w:szCs w:val="20"/>
              </w:rPr>
            </w:pPr>
            <w:r w:rsidRPr="00B04B2A">
              <w:rPr>
                <w:sz w:val="20"/>
                <w:szCs w:val="20"/>
              </w:rPr>
              <w:t>-84,2%</w:t>
            </w:r>
          </w:p>
        </w:tc>
      </w:tr>
      <w:tr w:rsidR="00A320D5" w:rsidRPr="00BD63EB" w:rsidTr="000C6739">
        <w:trPr>
          <w:trHeight w:val="20"/>
        </w:trPr>
        <w:tc>
          <w:tcPr>
            <w:tcW w:w="4536" w:type="dxa"/>
            <w:tcBorders>
              <w:left w:val="double" w:sz="4" w:space="0" w:color="auto"/>
              <w:right w:val="double" w:sz="4" w:space="0" w:color="auto"/>
            </w:tcBorders>
            <w:shd w:val="clear" w:color="auto" w:fill="auto"/>
            <w:vAlign w:val="center"/>
            <w:hideMark/>
          </w:tcPr>
          <w:p w:rsidR="00A320D5" w:rsidRPr="00AB79E5" w:rsidRDefault="00A320D5" w:rsidP="000C6739">
            <w:pPr>
              <w:rPr>
                <w:sz w:val="20"/>
                <w:szCs w:val="20"/>
              </w:rPr>
            </w:pPr>
            <w:r w:rsidRPr="00AB79E5">
              <w:rPr>
                <w:sz w:val="20"/>
                <w:szCs w:val="20"/>
              </w:rPr>
              <w:t>расчеты по платежам в бюджеты</w:t>
            </w:r>
          </w:p>
        </w:tc>
        <w:tc>
          <w:tcPr>
            <w:tcW w:w="1418" w:type="dxa"/>
            <w:tcBorders>
              <w:left w:val="double" w:sz="4" w:space="0" w:color="auto"/>
            </w:tcBorders>
            <w:shd w:val="clear" w:color="auto" w:fill="auto"/>
            <w:vAlign w:val="center"/>
            <w:hideMark/>
          </w:tcPr>
          <w:p w:rsidR="00A320D5" w:rsidRPr="00AB79E5" w:rsidRDefault="00A320D5" w:rsidP="000C6739">
            <w:pPr>
              <w:jc w:val="right"/>
              <w:rPr>
                <w:sz w:val="20"/>
                <w:szCs w:val="20"/>
              </w:rPr>
            </w:pPr>
            <w:r w:rsidRPr="00AB79E5">
              <w:rPr>
                <w:sz w:val="20"/>
                <w:szCs w:val="20"/>
              </w:rPr>
              <w:t>0,0</w:t>
            </w:r>
          </w:p>
        </w:tc>
        <w:tc>
          <w:tcPr>
            <w:tcW w:w="1417" w:type="dxa"/>
            <w:shd w:val="clear" w:color="auto" w:fill="auto"/>
            <w:vAlign w:val="center"/>
            <w:hideMark/>
          </w:tcPr>
          <w:p w:rsidR="00A320D5" w:rsidRPr="00AB79E5" w:rsidRDefault="00A320D5" w:rsidP="000C6739">
            <w:pPr>
              <w:jc w:val="right"/>
              <w:rPr>
                <w:sz w:val="20"/>
                <w:szCs w:val="20"/>
              </w:rPr>
            </w:pPr>
            <w:r w:rsidRPr="00AB79E5">
              <w:rPr>
                <w:sz w:val="20"/>
                <w:szCs w:val="20"/>
              </w:rPr>
              <w:t>1,8</w:t>
            </w:r>
          </w:p>
        </w:tc>
        <w:tc>
          <w:tcPr>
            <w:tcW w:w="1134" w:type="dxa"/>
            <w:shd w:val="clear" w:color="auto" w:fill="auto"/>
            <w:vAlign w:val="bottom"/>
            <w:hideMark/>
          </w:tcPr>
          <w:p w:rsidR="00A320D5" w:rsidRPr="00B04B2A" w:rsidRDefault="00A320D5" w:rsidP="000C6739">
            <w:pPr>
              <w:jc w:val="right"/>
              <w:rPr>
                <w:sz w:val="20"/>
                <w:szCs w:val="20"/>
              </w:rPr>
            </w:pPr>
            <w:r w:rsidRPr="00B04B2A">
              <w:rPr>
                <w:sz w:val="20"/>
                <w:szCs w:val="20"/>
              </w:rPr>
              <w:t>1,8</w:t>
            </w:r>
          </w:p>
        </w:tc>
        <w:tc>
          <w:tcPr>
            <w:tcW w:w="1134" w:type="dxa"/>
            <w:tcBorders>
              <w:right w:val="double" w:sz="4" w:space="0" w:color="auto"/>
            </w:tcBorders>
            <w:shd w:val="clear" w:color="auto" w:fill="auto"/>
            <w:vAlign w:val="bottom"/>
            <w:hideMark/>
          </w:tcPr>
          <w:p w:rsidR="00A320D5" w:rsidRPr="00B04B2A" w:rsidRDefault="00A320D5" w:rsidP="000C6739">
            <w:pPr>
              <w:jc w:val="right"/>
              <w:rPr>
                <w:sz w:val="20"/>
                <w:szCs w:val="20"/>
              </w:rPr>
            </w:pPr>
            <w:r w:rsidRPr="00B04B2A">
              <w:rPr>
                <w:sz w:val="20"/>
                <w:szCs w:val="20"/>
              </w:rPr>
              <w:t>100,0%</w:t>
            </w:r>
          </w:p>
        </w:tc>
      </w:tr>
      <w:tr w:rsidR="00A320D5" w:rsidRPr="00BD63EB" w:rsidTr="000C6739">
        <w:trPr>
          <w:trHeight w:val="20"/>
        </w:trPr>
        <w:tc>
          <w:tcPr>
            <w:tcW w:w="4536" w:type="dxa"/>
            <w:tcBorders>
              <w:left w:val="double" w:sz="4" w:space="0" w:color="auto"/>
              <w:right w:val="double" w:sz="4" w:space="0" w:color="auto"/>
            </w:tcBorders>
            <w:shd w:val="clear" w:color="auto" w:fill="auto"/>
            <w:vAlign w:val="center"/>
            <w:hideMark/>
          </w:tcPr>
          <w:p w:rsidR="00A320D5" w:rsidRPr="00AB79E5" w:rsidRDefault="00A320D5" w:rsidP="000C6739">
            <w:pPr>
              <w:rPr>
                <w:sz w:val="20"/>
                <w:szCs w:val="20"/>
              </w:rPr>
            </w:pPr>
            <w:r w:rsidRPr="00AB79E5">
              <w:rPr>
                <w:sz w:val="20"/>
                <w:szCs w:val="20"/>
              </w:rPr>
              <w:t>расчеты по доходам</w:t>
            </w:r>
          </w:p>
        </w:tc>
        <w:tc>
          <w:tcPr>
            <w:tcW w:w="1418" w:type="dxa"/>
            <w:tcBorders>
              <w:left w:val="double" w:sz="4" w:space="0" w:color="auto"/>
            </w:tcBorders>
            <w:shd w:val="clear" w:color="auto" w:fill="auto"/>
            <w:vAlign w:val="center"/>
            <w:hideMark/>
          </w:tcPr>
          <w:p w:rsidR="00A320D5" w:rsidRPr="00AB79E5" w:rsidRDefault="00A320D5" w:rsidP="000C6739">
            <w:pPr>
              <w:jc w:val="right"/>
              <w:rPr>
                <w:sz w:val="20"/>
                <w:szCs w:val="20"/>
              </w:rPr>
            </w:pPr>
            <w:r w:rsidRPr="00AB79E5">
              <w:rPr>
                <w:sz w:val="20"/>
                <w:szCs w:val="20"/>
              </w:rPr>
              <w:t>135,3</w:t>
            </w:r>
          </w:p>
        </w:tc>
        <w:tc>
          <w:tcPr>
            <w:tcW w:w="1417" w:type="dxa"/>
            <w:shd w:val="clear" w:color="auto" w:fill="auto"/>
            <w:vAlign w:val="center"/>
            <w:hideMark/>
          </w:tcPr>
          <w:p w:rsidR="00A320D5" w:rsidRPr="00AB79E5" w:rsidRDefault="00A320D5" w:rsidP="000C6739">
            <w:pPr>
              <w:jc w:val="right"/>
              <w:rPr>
                <w:sz w:val="20"/>
                <w:szCs w:val="20"/>
              </w:rPr>
            </w:pPr>
            <w:r w:rsidRPr="00AB79E5">
              <w:rPr>
                <w:sz w:val="20"/>
                <w:szCs w:val="20"/>
              </w:rPr>
              <w:t>0,0</w:t>
            </w:r>
          </w:p>
        </w:tc>
        <w:tc>
          <w:tcPr>
            <w:tcW w:w="1134" w:type="dxa"/>
            <w:shd w:val="clear" w:color="auto" w:fill="auto"/>
            <w:vAlign w:val="bottom"/>
            <w:hideMark/>
          </w:tcPr>
          <w:p w:rsidR="00A320D5" w:rsidRPr="00B04B2A" w:rsidRDefault="00A320D5" w:rsidP="000C6739">
            <w:pPr>
              <w:jc w:val="right"/>
              <w:rPr>
                <w:sz w:val="20"/>
                <w:szCs w:val="20"/>
              </w:rPr>
            </w:pPr>
            <w:r w:rsidRPr="00B04B2A">
              <w:rPr>
                <w:sz w:val="20"/>
                <w:szCs w:val="20"/>
              </w:rPr>
              <w:t>-135,3</w:t>
            </w:r>
          </w:p>
        </w:tc>
        <w:tc>
          <w:tcPr>
            <w:tcW w:w="1134" w:type="dxa"/>
            <w:tcBorders>
              <w:right w:val="double" w:sz="4" w:space="0" w:color="auto"/>
            </w:tcBorders>
            <w:shd w:val="clear" w:color="auto" w:fill="auto"/>
            <w:vAlign w:val="bottom"/>
            <w:hideMark/>
          </w:tcPr>
          <w:p w:rsidR="00A320D5" w:rsidRPr="00B04B2A" w:rsidRDefault="00A320D5" w:rsidP="000C6739">
            <w:pPr>
              <w:jc w:val="right"/>
              <w:rPr>
                <w:sz w:val="20"/>
                <w:szCs w:val="20"/>
              </w:rPr>
            </w:pPr>
            <w:r w:rsidRPr="00B04B2A">
              <w:rPr>
                <w:sz w:val="20"/>
                <w:szCs w:val="20"/>
              </w:rPr>
              <w:t>-100,0%</w:t>
            </w:r>
          </w:p>
        </w:tc>
      </w:tr>
      <w:tr w:rsidR="00A320D5" w:rsidRPr="00BD63EB" w:rsidTr="000C6739">
        <w:trPr>
          <w:trHeight w:val="20"/>
        </w:trPr>
        <w:tc>
          <w:tcPr>
            <w:tcW w:w="4536" w:type="dxa"/>
            <w:tcBorders>
              <w:left w:val="double" w:sz="4" w:space="0" w:color="auto"/>
              <w:bottom w:val="double" w:sz="4" w:space="0" w:color="auto"/>
              <w:right w:val="double" w:sz="4" w:space="0" w:color="auto"/>
            </w:tcBorders>
            <w:shd w:val="clear" w:color="auto" w:fill="auto"/>
            <w:vAlign w:val="center"/>
            <w:hideMark/>
          </w:tcPr>
          <w:p w:rsidR="00A320D5" w:rsidRPr="00AB79E5" w:rsidRDefault="00A320D5" w:rsidP="000C6739">
            <w:pPr>
              <w:rPr>
                <w:sz w:val="20"/>
                <w:szCs w:val="20"/>
              </w:rPr>
            </w:pPr>
            <w:r w:rsidRPr="00AB79E5">
              <w:rPr>
                <w:sz w:val="20"/>
                <w:szCs w:val="20"/>
              </w:rPr>
              <w:t>расчеты с подотчетными лицами</w:t>
            </w:r>
          </w:p>
        </w:tc>
        <w:tc>
          <w:tcPr>
            <w:tcW w:w="1418" w:type="dxa"/>
            <w:tcBorders>
              <w:left w:val="double" w:sz="4" w:space="0" w:color="auto"/>
              <w:bottom w:val="double" w:sz="4" w:space="0" w:color="auto"/>
            </w:tcBorders>
            <w:shd w:val="clear" w:color="auto" w:fill="auto"/>
            <w:vAlign w:val="center"/>
            <w:hideMark/>
          </w:tcPr>
          <w:p w:rsidR="00A320D5" w:rsidRPr="00AB79E5" w:rsidRDefault="00A320D5" w:rsidP="000C6739">
            <w:pPr>
              <w:jc w:val="right"/>
              <w:rPr>
                <w:sz w:val="20"/>
                <w:szCs w:val="20"/>
              </w:rPr>
            </w:pPr>
            <w:r w:rsidRPr="00AB79E5">
              <w:rPr>
                <w:sz w:val="20"/>
                <w:szCs w:val="20"/>
              </w:rPr>
              <w:t>78,6</w:t>
            </w:r>
          </w:p>
        </w:tc>
        <w:tc>
          <w:tcPr>
            <w:tcW w:w="1417" w:type="dxa"/>
            <w:tcBorders>
              <w:bottom w:val="double" w:sz="4" w:space="0" w:color="auto"/>
            </w:tcBorders>
            <w:shd w:val="clear" w:color="auto" w:fill="auto"/>
            <w:vAlign w:val="center"/>
            <w:hideMark/>
          </w:tcPr>
          <w:p w:rsidR="00A320D5" w:rsidRPr="00AB79E5" w:rsidRDefault="00A320D5" w:rsidP="000C6739">
            <w:pPr>
              <w:jc w:val="right"/>
              <w:rPr>
                <w:sz w:val="20"/>
                <w:szCs w:val="20"/>
              </w:rPr>
            </w:pPr>
            <w:r w:rsidRPr="00AB79E5">
              <w:rPr>
                <w:sz w:val="20"/>
                <w:szCs w:val="20"/>
              </w:rPr>
              <w:t>46,7</w:t>
            </w:r>
          </w:p>
        </w:tc>
        <w:tc>
          <w:tcPr>
            <w:tcW w:w="1134" w:type="dxa"/>
            <w:tcBorders>
              <w:bottom w:val="double" w:sz="4" w:space="0" w:color="auto"/>
            </w:tcBorders>
            <w:shd w:val="clear" w:color="auto" w:fill="auto"/>
            <w:vAlign w:val="bottom"/>
            <w:hideMark/>
          </w:tcPr>
          <w:p w:rsidR="00A320D5" w:rsidRPr="00B04B2A" w:rsidRDefault="00A320D5" w:rsidP="000C6739">
            <w:pPr>
              <w:jc w:val="right"/>
              <w:rPr>
                <w:sz w:val="20"/>
                <w:szCs w:val="20"/>
              </w:rPr>
            </w:pPr>
            <w:r w:rsidRPr="00B04B2A">
              <w:rPr>
                <w:sz w:val="20"/>
                <w:szCs w:val="20"/>
              </w:rPr>
              <w:t>-31,9</w:t>
            </w:r>
          </w:p>
        </w:tc>
        <w:tc>
          <w:tcPr>
            <w:tcW w:w="1134" w:type="dxa"/>
            <w:tcBorders>
              <w:bottom w:val="double" w:sz="4" w:space="0" w:color="auto"/>
              <w:right w:val="double" w:sz="4" w:space="0" w:color="auto"/>
            </w:tcBorders>
            <w:shd w:val="clear" w:color="auto" w:fill="auto"/>
            <w:vAlign w:val="bottom"/>
            <w:hideMark/>
          </w:tcPr>
          <w:p w:rsidR="00A320D5" w:rsidRPr="00B04B2A" w:rsidRDefault="00A320D5" w:rsidP="000C6739">
            <w:pPr>
              <w:jc w:val="right"/>
              <w:rPr>
                <w:sz w:val="20"/>
                <w:szCs w:val="20"/>
              </w:rPr>
            </w:pPr>
            <w:r w:rsidRPr="00B04B2A">
              <w:rPr>
                <w:sz w:val="20"/>
                <w:szCs w:val="20"/>
              </w:rPr>
              <w:t>-40,6%</w:t>
            </w:r>
          </w:p>
        </w:tc>
      </w:tr>
    </w:tbl>
    <w:p w:rsidR="00A320D5" w:rsidRPr="008E070C" w:rsidRDefault="00A320D5" w:rsidP="00A320D5">
      <w:pPr>
        <w:autoSpaceDE w:val="0"/>
        <w:autoSpaceDN w:val="0"/>
        <w:adjustRightInd w:val="0"/>
        <w:ind w:firstLine="709"/>
        <w:jc w:val="both"/>
      </w:pPr>
    </w:p>
    <w:p w:rsidR="00A320D5" w:rsidRPr="008E070C" w:rsidRDefault="00A320D5" w:rsidP="00A320D5">
      <w:pPr>
        <w:autoSpaceDE w:val="0"/>
        <w:autoSpaceDN w:val="0"/>
        <w:adjustRightInd w:val="0"/>
        <w:ind w:firstLine="709"/>
        <w:jc w:val="both"/>
      </w:pPr>
      <w:r w:rsidRPr="008E070C">
        <w:t>Дебиторская задолженность Облкомюстиции в течение 2019 года практически не увеличилась и составила на конец года 5 466,9 тыс. рублей.</w:t>
      </w:r>
    </w:p>
    <w:p w:rsidR="00A320D5" w:rsidRPr="008E070C" w:rsidRDefault="00A320D5" w:rsidP="00A320D5">
      <w:pPr>
        <w:autoSpaceDE w:val="0"/>
        <w:autoSpaceDN w:val="0"/>
        <w:adjustRightInd w:val="0"/>
        <w:ind w:firstLine="709"/>
        <w:jc w:val="both"/>
      </w:pPr>
      <w:r w:rsidRPr="008E070C">
        <w:t>В структуре дебиторской задолженности Облкомюстиции на 01.01.2020 наибольшую долю занимает задолженность:</w:t>
      </w:r>
    </w:p>
    <w:p w:rsidR="00A320D5" w:rsidRPr="008E070C" w:rsidRDefault="00A320D5" w:rsidP="00A320D5">
      <w:pPr>
        <w:autoSpaceDE w:val="0"/>
        <w:autoSpaceDN w:val="0"/>
        <w:adjustRightInd w:val="0"/>
        <w:ind w:firstLine="567"/>
        <w:jc w:val="both"/>
      </w:pPr>
      <w:r w:rsidRPr="008E070C">
        <w:t>-2 921,7 тыс. руб. – по выданным под отчет государственны</w:t>
      </w:r>
      <w:r>
        <w:t>м</w:t>
      </w:r>
      <w:r w:rsidRPr="008E070C">
        <w:t xml:space="preserve"> знак</w:t>
      </w:r>
      <w:r>
        <w:t>ам</w:t>
      </w:r>
      <w:r w:rsidRPr="008E070C">
        <w:t xml:space="preserve"> почтовой оплаты;</w:t>
      </w:r>
    </w:p>
    <w:p w:rsidR="00A320D5" w:rsidRPr="008E070C" w:rsidRDefault="00A320D5" w:rsidP="00A320D5">
      <w:pPr>
        <w:autoSpaceDE w:val="0"/>
        <w:autoSpaceDN w:val="0"/>
        <w:adjustRightInd w:val="0"/>
        <w:ind w:firstLine="567"/>
        <w:jc w:val="both"/>
      </w:pPr>
      <w:r w:rsidRPr="008E070C">
        <w:lastRenderedPageBreak/>
        <w:t xml:space="preserve">-1 323,0 тыс. руб. </w:t>
      </w:r>
      <w:r>
        <w:t>–</w:t>
      </w:r>
      <w:r w:rsidRPr="008E070C">
        <w:t xml:space="preserve"> </w:t>
      </w:r>
      <w:r>
        <w:t>по авансовым перечислениям другим бюджетам бюджетной системы РФ (субвенция на регистрацию актов гражданского состояния);</w:t>
      </w:r>
    </w:p>
    <w:p w:rsidR="00A320D5" w:rsidRPr="008E070C" w:rsidRDefault="00A320D5" w:rsidP="00A320D5">
      <w:pPr>
        <w:autoSpaceDE w:val="0"/>
        <w:autoSpaceDN w:val="0"/>
        <w:adjustRightInd w:val="0"/>
        <w:ind w:firstLine="567"/>
        <w:jc w:val="both"/>
      </w:pPr>
      <w:r w:rsidRPr="008E070C">
        <w:t xml:space="preserve">-781,6 тыс. руб. - переплата по страховым взносам </w:t>
      </w:r>
      <w:r>
        <w:t>в фонды социального страхования.</w:t>
      </w:r>
    </w:p>
    <w:p w:rsidR="00A320D5" w:rsidRPr="008E070C" w:rsidRDefault="00A320D5" w:rsidP="00A320D5">
      <w:pPr>
        <w:autoSpaceDE w:val="0"/>
        <w:autoSpaceDN w:val="0"/>
        <w:adjustRightInd w:val="0"/>
        <w:ind w:firstLine="567"/>
        <w:jc w:val="both"/>
      </w:pPr>
    </w:p>
    <w:p w:rsidR="00A320D5" w:rsidRPr="008E070C" w:rsidRDefault="00A320D5" w:rsidP="00A320D5">
      <w:pPr>
        <w:autoSpaceDE w:val="0"/>
        <w:autoSpaceDN w:val="0"/>
        <w:adjustRightInd w:val="0"/>
        <w:ind w:firstLine="709"/>
        <w:jc w:val="both"/>
      </w:pPr>
      <w:r w:rsidRPr="008E070C">
        <w:t xml:space="preserve">Кредиторская задолженность на 01.01.2020 по сравнению с началом 2019 года уменьшилась с </w:t>
      </w:r>
      <w:r w:rsidR="00CA50C6" w:rsidRPr="00CA50C6">
        <w:t>24 486,7</w:t>
      </w:r>
      <w:r w:rsidR="00CA50C6" w:rsidRPr="00F2419D">
        <w:t xml:space="preserve"> </w:t>
      </w:r>
      <w:r w:rsidRPr="008E070C">
        <w:t xml:space="preserve">тыс. руб. до </w:t>
      </w:r>
      <w:r w:rsidR="00F10434" w:rsidRPr="00F10434">
        <w:t>3 891,3</w:t>
      </w:r>
      <w:r w:rsidR="00F10434">
        <w:t xml:space="preserve"> </w:t>
      </w:r>
      <w:r w:rsidR="00C11772">
        <w:t>тыс. руб., или в 6,3 раза,</w:t>
      </w:r>
      <w:r w:rsidRPr="008E070C">
        <w:t xml:space="preserve"> в основном состоит из задолженности за услуг</w:t>
      </w:r>
      <w:r>
        <w:t>и связи и коммунальные платежи.</w:t>
      </w:r>
    </w:p>
    <w:p w:rsidR="00A320D5" w:rsidRDefault="00A320D5" w:rsidP="00A320D5">
      <w:pPr>
        <w:autoSpaceDE w:val="0"/>
        <w:autoSpaceDN w:val="0"/>
        <w:adjustRightInd w:val="0"/>
        <w:ind w:firstLine="709"/>
        <w:jc w:val="both"/>
      </w:pPr>
      <w:r w:rsidRPr="008E070C">
        <w:t>Согласно отчётности на 01.01.2020 просроченные дебиторская и кредиторская задолженности отсутствовали.</w:t>
      </w:r>
    </w:p>
    <w:p w:rsidR="00A320D5" w:rsidRDefault="00A320D5" w:rsidP="00A320D5">
      <w:pPr>
        <w:autoSpaceDE w:val="0"/>
        <w:autoSpaceDN w:val="0"/>
        <w:adjustRightInd w:val="0"/>
        <w:ind w:firstLine="709"/>
        <w:jc w:val="both"/>
      </w:pPr>
    </w:p>
    <w:p w:rsidR="00A320D5" w:rsidRPr="004030A9" w:rsidRDefault="00A320D5" w:rsidP="00A320D5">
      <w:pPr>
        <w:ind w:firstLine="709"/>
        <w:jc w:val="center"/>
        <w:rPr>
          <w:b/>
          <w:i/>
        </w:rPr>
      </w:pPr>
      <w:r w:rsidRPr="004030A9">
        <w:rPr>
          <w:b/>
          <w:i/>
        </w:rPr>
        <w:t>Ведомственная целевая программа</w:t>
      </w:r>
    </w:p>
    <w:p w:rsidR="00A320D5" w:rsidRPr="004030A9" w:rsidRDefault="00A320D5" w:rsidP="00A320D5">
      <w:pPr>
        <w:ind w:firstLine="709"/>
        <w:jc w:val="center"/>
        <w:rPr>
          <w:b/>
          <w:i/>
        </w:rPr>
      </w:pPr>
      <w:r w:rsidRPr="004030A9">
        <w:rPr>
          <w:b/>
          <w:i/>
        </w:rPr>
        <w:t>«Развитие мировой юстиции в Волгоградской области на 2017-2019 годы»</w:t>
      </w:r>
    </w:p>
    <w:p w:rsidR="00A320D5" w:rsidRDefault="00A320D5" w:rsidP="00A320D5">
      <w:pPr>
        <w:ind w:firstLine="709"/>
        <w:jc w:val="both"/>
      </w:pPr>
      <w:r>
        <w:t>Программа утверждена приказом Облкомюстиции от 31.05.2017 № 02-06-03/172.</w:t>
      </w:r>
    </w:p>
    <w:p w:rsidR="00A320D5" w:rsidRPr="004030A9" w:rsidRDefault="00A320D5" w:rsidP="00A320D5">
      <w:pPr>
        <w:ind w:firstLine="709"/>
        <w:jc w:val="both"/>
      </w:pPr>
      <w:r w:rsidRPr="004030A9">
        <w:t>Цель программы – улучшение организационного обеспечения деятельности мировых судей Волгоградской области.</w:t>
      </w:r>
    </w:p>
    <w:p w:rsidR="00315AF2" w:rsidRDefault="00A320D5" w:rsidP="00A320D5">
      <w:pPr>
        <w:ind w:firstLine="709"/>
        <w:jc w:val="both"/>
      </w:pPr>
      <w:r w:rsidRPr="00EC5E23">
        <w:t>Программой в 2019 году предусмотрена реализация 15 мероприятий на общую сумму 111 348,2 тыс. рублей. Фактически в 201</w:t>
      </w:r>
      <w:r>
        <w:t>9</w:t>
      </w:r>
      <w:r w:rsidRPr="00EC5E23">
        <w:t xml:space="preserve"> году расходы</w:t>
      </w:r>
      <w:r>
        <w:t xml:space="preserve"> на исполнение этих мероприятий</w:t>
      </w:r>
      <w:r w:rsidRPr="00EC5E23">
        <w:t xml:space="preserve"> составили </w:t>
      </w:r>
      <w:r w:rsidR="00315AF2">
        <w:t xml:space="preserve">71 304,9 тыс. руб., </w:t>
      </w:r>
      <w:r w:rsidR="00315AF2" w:rsidRPr="00315AF2">
        <w:t>в том числе</w:t>
      </w:r>
      <w:r w:rsidR="00315AF2">
        <w:t xml:space="preserve"> погашена</w:t>
      </w:r>
      <w:r w:rsidR="00315AF2" w:rsidRPr="00315AF2">
        <w:t xml:space="preserve"> кредиторская за</w:t>
      </w:r>
      <w:r w:rsidR="00315AF2">
        <w:t xml:space="preserve">долженность </w:t>
      </w:r>
      <w:r w:rsidR="00C11772">
        <w:t xml:space="preserve">за 2018 год </w:t>
      </w:r>
      <w:r w:rsidR="00315AF2">
        <w:t>- 8 102,1 тыс. рублей. Б</w:t>
      </w:r>
      <w:r w:rsidR="00315AF2" w:rsidRPr="00315AF2">
        <w:t>юджетные назначения не исполнены в сумме 40</w:t>
      </w:r>
      <w:r w:rsidR="00315AF2">
        <w:t> </w:t>
      </w:r>
      <w:r w:rsidR="00315AF2" w:rsidRPr="00315AF2">
        <w:t>043,3</w:t>
      </w:r>
      <w:r w:rsidR="00315AF2">
        <w:t xml:space="preserve"> </w:t>
      </w:r>
      <w:r w:rsidR="00315AF2" w:rsidRPr="00315AF2">
        <w:t xml:space="preserve">тыс. руб. </w:t>
      </w:r>
      <w:r w:rsidR="00315AF2">
        <w:t xml:space="preserve">в связи с </w:t>
      </w:r>
      <w:r w:rsidR="00315AF2" w:rsidRPr="00315AF2">
        <w:t>несвоевременн</w:t>
      </w:r>
      <w:r w:rsidR="00315AF2">
        <w:t>ым</w:t>
      </w:r>
      <w:r w:rsidR="00315AF2" w:rsidRPr="00315AF2">
        <w:t xml:space="preserve"> исполнение</w:t>
      </w:r>
      <w:r w:rsidR="00315AF2">
        <w:t>м</w:t>
      </w:r>
      <w:r w:rsidR="00315AF2" w:rsidRPr="00315AF2">
        <w:t xml:space="preserve"> контрактов на выполнение работ по текущему ремонту помещений, занимаемых мировыми судьями Волгоградской области, со стороны подрядчиков</w:t>
      </w:r>
      <w:r w:rsidR="00315AF2">
        <w:t>.</w:t>
      </w:r>
    </w:p>
    <w:p w:rsidR="00A320D5" w:rsidRDefault="00A320D5" w:rsidP="00A320D5">
      <w:pPr>
        <w:ind w:firstLine="709"/>
        <w:jc w:val="both"/>
      </w:pPr>
      <w:r w:rsidRPr="00EC5E23">
        <w:t>Программой на 2019 год установлено 14 целевых показателей. Информация о достижени</w:t>
      </w:r>
      <w:r w:rsidR="00C11772">
        <w:t>и</w:t>
      </w:r>
      <w:r w:rsidRPr="00EC5E23">
        <w:t xml:space="preserve"> значений целевых показателей</w:t>
      </w:r>
      <w:r w:rsidRPr="004030A9">
        <w:t xml:space="preserve"> согласно ежегодному отчету о выполнении Программы</w:t>
      </w:r>
      <w:r>
        <w:t xml:space="preserve"> и информации</w:t>
      </w:r>
      <w:r w:rsidR="00C11772">
        <w:t>,</w:t>
      </w:r>
      <w:r>
        <w:t xml:space="preserve"> представленной Облкомюстом</w:t>
      </w:r>
      <w:r w:rsidRPr="004030A9">
        <w:t>,</w:t>
      </w:r>
      <w:r w:rsidRPr="00EC5E23">
        <w:t xml:space="preserve"> приведена в следующей таблице.</w:t>
      </w:r>
    </w:p>
    <w:p w:rsidR="00A320D5" w:rsidRDefault="00A320D5" w:rsidP="00A320D5">
      <w:pPr>
        <w:ind w:firstLine="709"/>
        <w:jc w:val="right"/>
        <w:rPr>
          <w:i/>
          <w:sz w:val="22"/>
          <w:szCs w:val="22"/>
        </w:rPr>
      </w:pPr>
    </w:p>
    <w:p w:rsidR="007905A3" w:rsidRDefault="007905A3" w:rsidP="00A320D5">
      <w:pPr>
        <w:ind w:firstLine="709"/>
        <w:jc w:val="right"/>
        <w:rPr>
          <w:i/>
          <w:sz w:val="22"/>
          <w:szCs w:val="22"/>
        </w:rPr>
      </w:pPr>
    </w:p>
    <w:p w:rsidR="00A320D5" w:rsidRPr="00EC5E23" w:rsidRDefault="00A320D5" w:rsidP="00A320D5">
      <w:pPr>
        <w:ind w:firstLine="709"/>
        <w:jc w:val="right"/>
        <w:rPr>
          <w:i/>
          <w:sz w:val="22"/>
          <w:szCs w:val="22"/>
        </w:rPr>
      </w:pPr>
      <w:r w:rsidRPr="00EC5E23">
        <w:rPr>
          <w:i/>
          <w:sz w:val="22"/>
          <w:szCs w:val="22"/>
        </w:rPr>
        <w:t>тыс. руб.</w:t>
      </w: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486"/>
        <w:gridCol w:w="5468"/>
        <w:gridCol w:w="1134"/>
        <w:gridCol w:w="709"/>
        <w:gridCol w:w="708"/>
        <w:gridCol w:w="1134"/>
      </w:tblGrid>
      <w:tr w:rsidR="00A320D5" w:rsidRPr="00EC5E23" w:rsidTr="000C6739">
        <w:trPr>
          <w:trHeight w:val="230"/>
          <w:tblHeader/>
        </w:trPr>
        <w:tc>
          <w:tcPr>
            <w:tcW w:w="486" w:type="dxa"/>
            <w:vMerge w:val="restart"/>
            <w:tcBorders>
              <w:top w:val="double" w:sz="4" w:space="0" w:color="auto"/>
              <w:left w:val="double" w:sz="4" w:space="0" w:color="auto"/>
            </w:tcBorders>
            <w:shd w:val="clear" w:color="auto" w:fill="auto"/>
            <w:vAlign w:val="center"/>
            <w:hideMark/>
          </w:tcPr>
          <w:p w:rsidR="00A320D5" w:rsidRPr="00EC5E23" w:rsidRDefault="00A320D5" w:rsidP="000C6739">
            <w:pPr>
              <w:jc w:val="center"/>
              <w:rPr>
                <w:sz w:val="20"/>
                <w:szCs w:val="20"/>
              </w:rPr>
            </w:pPr>
            <w:r w:rsidRPr="00EC5E23">
              <w:rPr>
                <w:sz w:val="20"/>
                <w:szCs w:val="20"/>
              </w:rPr>
              <w:t xml:space="preserve">№ </w:t>
            </w:r>
            <w:r w:rsidRPr="00EC5E23">
              <w:rPr>
                <w:sz w:val="20"/>
                <w:szCs w:val="20"/>
              </w:rPr>
              <w:br/>
              <w:t>п/п</w:t>
            </w:r>
          </w:p>
        </w:tc>
        <w:tc>
          <w:tcPr>
            <w:tcW w:w="5468" w:type="dxa"/>
            <w:vMerge w:val="restart"/>
            <w:tcBorders>
              <w:top w:val="double" w:sz="4" w:space="0" w:color="auto"/>
            </w:tcBorders>
            <w:shd w:val="clear" w:color="auto" w:fill="auto"/>
            <w:vAlign w:val="center"/>
            <w:hideMark/>
          </w:tcPr>
          <w:p w:rsidR="00A320D5" w:rsidRPr="00EC5E23" w:rsidRDefault="00A320D5" w:rsidP="000C6739">
            <w:pPr>
              <w:jc w:val="center"/>
              <w:rPr>
                <w:sz w:val="20"/>
                <w:szCs w:val="20"/>
              </w:rPr>
            </w:pPr>
            <w:r w:rsidRPr="00EC5E23">
              <w:rPr>
                <w:sz w:val="20"/>
                <w:szCs w:val="20"/>
              </w:rPr>
              <w:t>Целевые индикаторы и показатели</w:t>
            </w:r>
            <w:r w:rsidRPr="00EC5E23">
              <w:rPr>
                <w:sz w:val="20"/>
                <w:szCs w:val="20"/>
              </w:rPr>
              <w:br/>
              <w:t>(наименование)</w:t>
            </w:r>
          </w:p>
        </w:tc>
        <w:tc>
          <w:tcPr>
            <w:tcW w:w="1134" w:type="dxa"/>
            <w:vMerge w:val="restart"/>
            <w:tcBorders>
              <w:top w:val="double" w:sz="4" w:space="0" w:color="auto"/>
            </w:tcBorders>
            <w:shd w:val="clear" w:color="auto" w:fill="auto"/>
            <w:vAlign w:val="center"/>
            <w:hideMark/>
          </w:tcPr>
          <w:p w:rsidR="00A320D5" w:rsidRPr="00EC5E23" w:rsidRDefault="00A320D5" w:rsidP="000C6739">
            <w:pPr>
              <w:ind w:left="-57" w:right="-57"/>
              <w:jc w:val="center"/>
              <w:rPr>
                <w:sz w:val="20"/>
                <w:szCs w:val="20"/>
              </w:rPr>
            </w:pPr>
            <w:r w:rsidRPr="00EC5E23">
              <w:rPr>
                <w:sz w:val="20"/>
                <w:szCs w:val="20"/>
              </w:rPr>
              <w:t>Единица измерения</w:t>
            </w:r>
          </w:p>
        </w:tc>
        <w:tc>
          <w:tcPr>
            <w:tcW w:w="1417" w:type="dxa"/>
            <w:gridSpan w:val="2"/>
            <w:vMerge w:val="restart"/>
            <w:tcBorders>
              <w:top w:val="double" w:sz="4" w:space="0" w:color="auto"/>
            </w:tcBorders>
            <w:shd w:val="clear" w:color="auto" w:fill="auto"/>
            <w:vAlign w:val="center"/>
            <w:hideMark/>
          </w:tcPr>
          <w:p w:rsidR="00A320D5" w:rsidRPr="00EC5E23" w:rsidRDefault="00A320D5" w:rsidP="000C6739">
            <w:pPr>
              <w:jc w:val="center"/>
              <w:rPr>
                <w:sz w:val="20"/>
                <w:szCs w:val="20"/>
              </w:rPr>
            </w:pPr>
            <w:r w:rsidRPr="00EC5E23">
              <w:rPr>
                <w:sz w:val="20"/>
                <w:szCs w:val="20"/>
              </w:rPr>
              <w:t>Значения показателей</w:t>
            </w:r>
          </w:p>
        </w:tc>
        <w:tc>
          <w:tcPr>
            <w:tcW w:w="1134" w:type="dxa"/>
            <w:vMerge w:val="restart"/>
            <w:tcBorders>
              <w:top w:val="double" w:sz="4" w:space="0" w:color="auto"/>
              <w:right w:val="double" w:sz="4" w:space="0" w:color="auto"/>
            </w:tcBorders>
            <w:shd w:val="clear" w:color="auto" w:fill="auto"/>
            <w:vAlign w:val="center"/>
            <w:hideMark/>
          </w:tcPr>
          <w:p w:rsidR="00A320D5" w:rsidRPr="00EC5E23" w:rsidRDefault="00A320D5" w:rsidP="000C6739">
            <w:pPr>
              <w:ind w:left="-57" w:right="-57"/>
              <w:jc w:val="center"/>
              <w:rPr>
                <w:sz w:val="20"/>
                <w:szCs w:val="20"/>
              </w:rPr>
            </w:pPr>
            <w:r w:rsidRPr="00EC5E23">
              <w:rPr>
                <w:sz w:val="20"/>
                <w:szCs w:val="20"/>
              </w:rPr>
              <w:t>% исполнения</w:t>
            </w:r>
          </w:p>
        </w:tc>
      </w:tr>
      <w:tr w:rsidR="00A320D5" w:rsidRPr="00EC5E23" w:rsidTr="000C6739">
        <w:trPr>
          <w:trHeight w:val="230"/>
          <w:tblHeader/>
        </w:trPr>
        <w:tc>
          <w:tcPr>
            <w:tcW w:w="486" w:type="dxa"/>
            <w:vMerge/>
            <w:tcBorders>
              <w:left w:val="double" w:sz="4" w:space="0" w:color="auto"/>
            </w:tcBorders>
            <w:vAlign w:val="center"/>
            <w:hideMark/>
          </w:tcPr>
          <w:p w:rsidR="00A320D5" w:rsidRPr="00EC5E23" w:rsidRDefault="00A320D5" w:rsidP="000C6739">
            <w:pPr>
              <w:rPr>
                <w:sz w:val="20"/>
                <w:szCs w:val="20"/>
              </w:rPr>
            </w:pPr>
          </w:p>
        </w:tc>
        <w:tc>
          <w:tcPr>
            <w:tcW w:w="5468" w:type="dxa"/>
            <w:vMerge/>
            <w:vAlign w:val="center"/>
            <w:hideMark/>
          </w:tcPr>
          <w:p w:rsidR="00A320D5" w:rsidRPr="00EC5E23" w:rsidRDefault="00A320D5" w:rsidP="000C6739">
            <w:pPr>
              <w:rPr>
                <w:sz w:val="20"/>
                <w:szCs w:val="20"/>
              </w:rPr>
            </w:pPr>
          </w:p>
        </w:tc>
        <w:tc>
          <w:tcPr>
            <w:tcW w:w="1134" w:type="dxa"/>
            <w:vMerge/>
            <w:vAlign w:val="center"/>
            <w:hideMark/>
          </w:tcPr>
          <w:p w:rsidR="00A320D5" w:rsidRPr="00EC5E23" w:rsidRDefault="00A320D5" w:rsidP="000C6739">
            <w:pPr>
              <w:rPr>
                <w:sz w:val="20"/>
                <w:szCs w:val="20"/>
              </w:rPr>
            </w:pPr>
          </w:p>
        </w:tc>
        <w:tc>
          <w:tcPr>
            <w:tcW w:w="1417" w:type="dxa"/>
            <w:gridSpan w:val="2"/>
            <w:vMerge/>
            <w:vAlign w:val="center"/>
            <w:hideMark/>
          </w:tcPr>
          <w:p w:rsidR="00A320D5" w:rsidRPr="00EC5E23" w:rsidRDefault="00A320D5" w:rsidP="000C6739">
            <w:pPr>
              <w:rPr>
                <w:sz w:val="20"/>
                <w:szCs w:val="20"/>
              </w:rPr>
            </w:pPr>
          </w:p>
        </w:tc>
        <w:tc>
          <w:tcPr>
            <w:tcW w:w="1134" w:type="dxa"/>
            <w:vMerge/>
            <w:tcBorders>
              <w:right w:val="double" w:sz="4" w:space="0" w:color="auto"/>
            </w:tcBorders>
            <w:vAlign w:val="center"/>
            <w:hideMark/>
          </w:tcPr>
          <w:p w:rsidR="00A320D5" w:rsidRPr="00EC5E23" w:rsidRDefault="00A320D5" w:rsidP="000C6739">
            <w:pPr>
              <w:rPr>
                <w:sz w:val="20"/>
                <w:szCs w:val="20"/>
              </w:rPr>
            </w:pPr>
          </w:p>
        </w:tc>
      </w:tr>
      <w:tr w:rsidR="00A320D5" w:rsidRPr="00EC5E23" w:rsidTr="000C6739">
        <w:trPr>
          <w:trHeight w:val="20"/>
          <w:tblHeader/>
        </w:trPr>
        <w:tc>
          <w:tcPr>
            <w:tcW w:w="486" w:type="dxa"/>
            <w:vMerge/>
            <w:tcBorders>
              <w:left w:val="double" w:sz="4" w:space="0" w:color="auto"/>
              <w:bottom w:val="double" w:sz="4" w:space="0" w:color="auto"/>
            </w:tcBorders>
            <w:vAlign w:val="center"/>
            <w:hideMark/>
          </w:tcPr>
          <w:p w:rsidR="00A320D5" w:rsidRPr="00EC5E23" w:rsidRDefault="00A320D5" w:rsidP="000C6739">
            <w:pPr>
              <w:rPr>
                <w:sz w:val="20"/>
                <w:szCs w:val="20"/>
              </w:rPr>
            </w:pPr>
          </w:p>
        </w:tc>
        <w:tc>
          <w:tcPr>
            <w:tcW w:w="5468" w:type="dxa"/>
            <w:vMerge/>
            <w:tcBorders>
              <w:bottom w:val="double" w:sz="4" w:space="0" w:color="auto"/>
            </w:tcBorders>
            <w:vAlign w:val="center"/>
            <w:hideMark/>
          </w:tcPr>
          <w:p w:rsidR="00A320D5" w:rsidRPr="00EC5E23" w:rsidRDefault="00A320D5" w:rsidP="000C6739">
            <w:pPr>
              <w:rPr>
                <w:sz w:val="20"/>
                <w:szCs w:val="20"/>
              </w:rPr>
            </w:pPr>
          </w:p>
        </w:tc>
        <w:tc>
          <w:tcPr>
            <w:tcW w:w="1134" w:type="dxa"/>
            <w:vMerge/>
            <w:tcBorders>
              <w:bottom w:val="double" w:sz="4" w:space="0" w:color="auto"/>
            </w:tcBorders>
            <w:vAlign w:val="center"/>
            <w:hideMark/>
          </w:tcPr>
          <w:p w:rsidR="00A320D5" w:rsidRPr="00EC5E23" w:rsidRDefault="00A320D5" w:rsidP="000C6739">
            <w:pPr>
              <w:rPr>
                <w:sz w:val="20"/>
                <w:szCs w:val="20"/>
              </w:rPr>
            </w:pPr>
          </w:p>
        </w:tc>
        <w:tc>
          <w:tcPr>
            <w:tcW w:w="709" w:type="dxa"/>
            <w:tcBorders>
              <w:bottom w:val="double" w:sz="4" w:space="0" w:color="auto"/>
            </w:tcBorders>
            <w:shd w:val="clear" w:color="auto" w:fill="auto"/>
            <w:vAlign w:val="center"/>
            <w:hideMark/>
          </w:tcPr>
          <w:p w:rsidR="00A320D5" w:rsidRPr="00EC5E23" w:rsidRDefault="00A320D5" w:rsidP="000C6739">
            <w:pPr>
              <w:jc w:val="center"/>
              <w:rPr>
                <w:sz w:val="20"/>
                <w:szCs w:val="20"/>
              </w:rPr>
            </w:pPr>
            <w:r w:rsidRPr="00EC5E23">
              <w:rPr>
                <w:sz w:val="20"/>
                <w:szCs w:val="20"/>
              </w:rPr>
              <w:t>план</w:t>
            </w:r>
          </w:p>
        </w:tc>
        <w:tc>
          <w:tcPr>
            <w:tcW w:w="708" w:type="dxa"/>
            <w:tcBorders>
              <w:bottom w:val="double" w:sz="4" w:space="0" w:color="auto"/>
            </w:tcBorders>
            <w:shd w:val="clear" w:color="auto" w:fill="auto"/>
            <w:vAlign w:val="center"/>
            <w:hideMark/>
          </w:tcPr>
          <w:p w:rsidR="00A320D5" w:rsidRPr="00EC5E23" w:rsidRDefault="00A320D5" w:rsidP="000C6739">
            <w:pPr>
              <w:jc w:val="center"/>
              <w:rPr>
                <w:sz w:val="20"/>
                <w:szCs w:val="20"/>
              </w:rPr>
            </w:pPr>
            <w:r w:rsidRPr="00EC5E23">
              <w:rPr>
                <w:sz w:val="20"/>
                <w:szCs w:val="20"/>
              </w:rPr>
              <w:t>факт</w:t>
            </w:r>
          </w:p>
        </w:tc>
        <w:tc>
          <w:tcPr>
            <w:tcW w:w="1134" w:type="dxa"/>
            <w:vMerge/>
            <w:tcBorders>
              <w:bottom w:val="double" w:sz="4" w:space="0" w:color="auto"/>
              <w:right w:val="double" w:sz="4" w:space="0" w:color="auto"/>
            </w:tcBorders>
            <w:vAlign w:val="center"/>
            <w:hideMark/>
          </w:tcPr>
          <w:p w:rsidR="00A320D5" w:rsidRPr="00EC5E23" w:rsidRDefault="00A320D5" w:rsidP="000C6739">
            <w:pPr>
              <w:rPr>
                <w:sz w:val="20"/>
                <w:szCs w:val="20"/>
              </w:rPr>
            </w:pPr>
          </w:p>
        </w:tc>
      </w:tr>
      <w:tr w:rsidR="00A320D5" w:rsidRPr="00EC5E23" w:rsidTr="000C6739">
        <w:trPr>
          <w:trHeight w:val="20"/>
        </w:trPr>
        <w:tc>
          <w:tcPr>
            <w:tcW w:w="486" w:type="dxa"/>
            <w:tcBorders>
              <w:top w:val="double" w:sz="4" w:space="0" w:color="auto"/>
              <w:left w:val="double" w:sz="4" w:space="0" w:color="auto"/>
            </w:tcBorders>
            <w:shd w:val="clear" w:color="auto" w:fill="auto"/>
            <w:noWrap/>
            <w:vAlign w:val="center"/>
            <w:hideMark/>
          </w:tcPr>
          <w:p w:rsidR="00A320D5" w:rsidRPr="00EC5E23" w:rsidRDefault="00A320D5" w:rsidP="000C6739">
            <w:pPr>
              <w:jc w:val="center"/>
              <w:rPr>
                <w:sz w:val="20"/>
                <w:szCs w:val="20"/>
              </w:rPr>
            </w:pPr>
            <w:r w:rsidRPr="00EC5E23">
              <w:rPr>
                <w:sz w:val="20"/>
                <w:szCs w:val="20"/>
              </w:rPr>
              <w:t>1</w:t>
            </w:r>
          </w:p>
        </w:tc>
        <w:tc>
          <w:tcPr>
            <w:tcW w:w="5468" w:type="dxa"/>
            <w:tcBorders>
              <w:top w:val="double" w:sz="4" w:space="0" w:color="auto"/>
            </w:tcBorders>
            <w:shd w:val="clear" w:color="auto" w:fill="auto"/>
            <w:vAlign w:val="center"/>
            <w:hideMark/>
          </w:tcPr>
          <w:p w:rsidR="00A320D5" w:rsidRPr="00EC5E23" w:rsidRDefault="00A320D5" w:rsidP="000C6739">
            <w:pPr>
              <w:rPr>
                <w:sz w:val="20"/>
                <w:szCs w:val="20"/>
              </w:rPr>
            </w:pPr>
            <w:r w:rsidRPr="00EC5E23">
              <w:rPr>
                <w:sz w:val="20"/>
                <w:szCs w:val="20"/>
              </w:rPr>
              <w:t>Количество системных блоков на судебных участках, со сроком службы менее 7 лет, единиц</w:t>
            </w:r>
          </w:p>
        </w:tc>
        <w:tc>
          <w:tcPr>
            <w:tcW w:w="1134" w:type="dxa"/>
            <w:tcBorders>
              <w:top w:val="double" w:sz="4" w:space="0" w:color="auto"/>
            </w:tcBorders>
            <w:shd w:val="clear" w:color="auto" w:fill="auto"/>
            <w:vAlign w:val="center"/>
            <w:hideMark/>
          </w:tcPr>
          <w:p w:rsidR="00A320D5" w:rsidRPr="00EC5E23" w:rsidRDefault="00A320D5" w:rsidP="000C6739">
            <w:pPr>
              <w:jc w:val="center"/>
              <w:rPr>
                <w:sz w:val="20"/>
                <w:szCs w:val="20"/>
              </w:rPr>
            </w:pPr>
            <w:r w:rsidRPr="00EC5E23">
              <w:rPr>
                <w:sz w:val="20"/>
                <w:szCs w:val="20"/>
              </w:rPr>
              <w:t>единиц</w:t>
            </w:r>
          </w:p>
        </w:tc>
        <w:tc>
          <w:tcPr>
            <w:tcW w:w="709" w:type="dxa"/>
            <w:tcBorders>
              <w:top w:val="double" w:sz="4" w:space="0" w:color="auto"/>
            </w:tcBorders>
            <w:shd w:val="clear" w:color="auto" w:fill="auto"/>
            <w:noWrap/>
            <w:vAlign w:val="center"/>
            <w:hideMark/>
          </w:tcPr>
          <w:p w:rsidR="00A320D5" w:rsidRPr="00EC5E23" w:rsidRDefault="00A320D5" w:rsidP="000C6739">
            <w:pPr>
              <w:jc w:val="center"/>
              <w:rPr>
                <w:sz w:val="20"/>
                <w:szCs w:val="20"/>
              </w:rPr>
            </w:pPr>
            <w:r w:rsidRPr="00EC5E23">
              <w:rPr>
                <w:sz w:val="20"/>
                <w:szCs w:val="20"/>
              </w:rPr>
              <w:t>610</w:t>
            </w:r>
          </w:p>
        </w:tc>
        <w:tc>
          <w:tcPr>
            <w:tcW w:w="708" w:type="dxa"/>
            <w:tcBorders>
              <w:top w:val="double" w:sz="4" w:space="0" w:color="auto"/>
            </w:tcBorders>
            <w:shd w:val="clear" w:color="auto" w:fill="auto"/>
            <w:noWrap/>
            <w:vAlign w:val="center"/>
            <w:hideMark/>
          </w:tcPr>
          <w:p w:rsidR="00A320D5" w:rsidRPr="00EC5E23" w:rsidRDefault="00A320D5" w:rsidP="000C6739">
            <w:pPr>
              <w:jc w:val="center"/>
              <w:rPr>
                <w:sz w:val="20"/>
                <w:szCs w:val="20"/>
              </w:rPr>
            </w:pPr>
            <w:r>
              <w:rPr>
                <w:sz w:val="20"/>
                <w:szCs w:val="20"/>
              </w:rPr>
              <w:t>610</w:t>
            </w:r>
          </w:p>
        </w:tc>
        <w:tc>
          <w:tcPr>
            <w:tcW w:w="1134" w:type="dxa"/>
            <w:tcBorders>
              <w:top w:val="double" w:sz="4" w:space="0" w:color="auto"/>
              <w:right w:val="double" w:sz="4" w:space="0" w:color="auto"/>
            </w:tcBorders>
            <w:shd w:val="clear" w:color="auto" w:fill="auto"/>
            <w:noWrap/>
            <w:vAlign w:val="center"/>
            <w:hideMark/>
          </w:tcPr>
          <w:p w:rsidR="00A320D5" w:rsidRPr="00EC5E23" w:rsidRDefault="00A320D5" w:rsidP="000C6739">
            <w:pPr>
              <w:jc w:val="center"/>
              <w:rPr>
                <w:sz w:val="20"/>
                <w:szCs w:val="20"/>
              </w:rPr>
            </w:pPr>
            <w:r>
              <w:rPr>
                <w:sz w:val="20"/>
                <w:szCs w:val="20"/>
              </w:rPr>
              <w:t>100%</w:t>
            </w:r>
          </w:p>
        </w:tc>
      </w:tr>
      <w:tr w:rsidR="00A320D5" w:rsidRPr="00EC5E23" w:rsidTr="000C6739">
        <w:trPr>
          <w:trHeight w:val="20"/>
        </w:trPr>
        <w:tc>
          <w:tcPr>
            <w:tcW w:w="486" w:type="dxa"/>
            <w:tcBorders>
              <w:left w:val="double" w:sz="4" w:space="0" w:color="auto"/>
            </w:tcBorders>
            <w:shd w:val="clear" w:color="auto" w:fill="auto"/>
            <w:noWrap/>
            <w:vAlign w:val="center"/>
            <w:hideMark/>
          </w:tcPr>
          <w:p w:rsidR="00A320D5" w:rsidRPr="00EC5E23" w:rsidRDefault="00A320D5" w:rsidP="000C6739">
            <w:pPr>
              <w:jc w:val="center"/>
              <w:rPr>
                <w:sz w:val="20"/>
                <w:szCs w:val="20"/>
              </w:rPr>
            </w:pPr>
            <w:r w:rsidRPr="00EC5E23">
              <w:rPr>
                <w:sz w:val="20"/>
                <w:szCs w:val="20"/>
              </w:rPr>
              <w:t>2</w:t>
            </w:r>
          </w:p>
        </w:tc>
        <w:tc>
          <w:tcPr>
            <w:tcW w:w="5468" w:type="dxa"/>
            <w:shd w:val="clear" w:color="auto" w:fill="auto"/>
            <w:vAlign w:val="center"/>
            <w:hideMark/>
          </w:tcPr>
          <w:p w:rsidR="00A320D5" w:rsidRPr="00EC5E23" w:rsidRDefault="00A320D5" w:rsidP="000C6739">
            <w:pPr>
              <w:rPr>
                <w:sz w:val="20"/>
                <w:szCs w:val="20"/>
              </w:rPr>
            </w:pPr>
            <w:r w:rsidRPr="00EC5E23">
              <w:rPr>
                <w:sz w:val="20"/>
                <w:szCs w:val="20"/>
              </w:rPr>
              <w:t>Количество мониторов на судебных участках, со сроком службы менее 7 лет, единиц</w:t>
            </w:r>
          </w:p>
        </w:tc>
        <w:tc>
          <w:tcPr>
            <w:tcW w:w="1134" w:type="dxa"/>
            <w:shd w:val="clear" w:color="auto" w:fill="auto"/>
            <w:vAlign w:val="center"/>
            <w:hideMark/>
          </w:tcPr>
          <w:p w:rsidR="00A320D5" w:rsidRPr="00EC5E23" w:rsidRDefault="00A320D5" w:rsidP="000C6739">
            <w:pPr>
              <w:jc w:val="center"/>
              <w:rPr>
                <w:sz w:val="20"/>
                <w:szCs w:val="20"/>
              </w:rPr>
            </w:pPr>
            <w:r w:rsidRPr="00EC5E23">
              <w:rPr>
                <w:sz w:val="20"/>
                <w:szCs w:val="20"/>
              </w:rPr>
              <w:t>единиц</w:t>
            </w:r>
          </w:p>
        </w:tc>
        <w:tc>
          <w:tcPr>
            <w:tcW w:w="709" w:type="dxa"/>
            <w:shd w:val="clear" w:color="auto" w:fill="auto"/>
            <w:noWrap/>
            <w:vAlign w:val="center"/>
            <w:hideMark/>
          </w:tcPr>
          <w:p w:rsidR="00A320D5" w:rsidRPr="00EC5E23" w:rsidRDefault="00A320D5" w:rsidP="000C6739">
            <w:pPr>
              <w:jc w:val="center"/>
              <w:rPr>
                <w:sz w:val="20"/>
                <w:szCs w:val="20"/>
              </w:rPr>
            </w:pPr>
            <w:r w:rsidRPr="00EC5E23">
              <w:rPr>
                <w:sz w:val="20"/>
                <w:szCs w:val="20"/>
              </w:rPr>
              <w:t>54</w:t>
            </w:r>
          </w:p>
        </w:tc>
        <w:tc>
          <w:tcPr>
            <w:tcW w:w="708" w:type="dxa"/>
            <w:shd w:val="clear" w:color="auto" w:fill="auto"/>
            <w:noWrap/>
            <w:vAlign w:val="center"/>
            <w:hideMark/>
          </w:tcPr>
          <w:p w:rsidR="00A320D5" w:rsidRPr="00EC5E23" w:rsidRDefault="00A320D5" w:rsidP="000C6739">
            <w:pPr>
              <w:jc w:val="center"/>
              <w:rPr>
                <w:sz w:val="20"/>
                <w:szCs w:val="20"/>
              </w:rPr>
            </w:pPr>
            <w:r>
              <w:rPr>
                <w:sz w:val="20"/>
                <w:szCs w:val="20"/>
              </w:rPr>
              <w:t>54</w:t>
            </w:r>
          </w:p>
        </w:tc>
        <w:tc>
          <w:tcPr>
            <w:tcW w:w="1134" w:type="dxa"/>
            <w:tcBorders>
              <w:right w:val="double" w:sz="4" w:space="0" w:color="auto"/>
            </w:tcBorders>
            <w:shd w:val="clear" w:color="auto" w:fill="auto"/>
            <w:noWrap/>
            <w:vAlign w:val="center"/>
            <w:hideMark/>
          </w:tcPr>
          <w:p w:rsidR="00A320D5" w:rsidRPr="00EC5E23" w:rsidRDefault="00A320D5" w:rsidP="000C6739">
            <w:pPr>
              <w:jc w:val="center"/>
              <w:rPr>
                <w:sz w:val="20"/>
                <w:szCs w:val="20"/>
              </w:rPr>
            </w:pPr>
            <w:r>
              <w:rPr>
                <w:sz w:val="20"/>
                <w:szCs w:val="20"/>
              </w:rPr>
              <w:t>100%</w:t>
            </w:r>
          </w:p>
        </w:tc>
      </w:tr>
      <w:tr w:rsidR="00A320D5" w:rsidRPr="00EC5E23" w:rsidTr="000C6739">
        <w:trPr>
          <w:trHeight w:val="20"/>
        </w:trPr>
        <w:tc>
          <w:tcPr>
            <w:tcW w:w="486" w:type="dxa"/>
            <w:tcBorders>
              <w:left w:val="double" w:sz="4" w:space="0" w:color="auto"/>
            </w:tcBorders>
            <w:shd w:val="clear" w:color="auto" w:fill="auto"/>
            <w:noWrap/>
            <w:vAlign w:val="center"/>
            <w:hideMark/>
          </w:tcPr>
          <w:p w:rsidR="00A320D5" w:rsidRPr="00EC5E23" w:rsidRDefault="00A320D5" w:rsidP="000C6739">
            <w:pPr>
              <w:jc w:val="center"/>
              <w:rPr>
                <w:sz w:val="20"/>
                <w:szCs w:val="20"/>
              </w:rPr>
            </w:pPr>
            <w:r w:rsidRPr="00EC5E23">
              <w:rPr>
                <w:sz w:val="20"/>
                <w:szCs w:val="20"/>
              </w:rPr>
              <w:t>3</w:t>
            </w:r>
          </w:p>
        </w:tc>
        <w:tc>
          <w:tcPr>
            <w:tcW w:w="5468" w:type="dxa"/>
            <w:shd w:val="clear" w:color="auto" w:fill="auto"/>
            <w:vAlign w:val="center"/>
            <w:hideMark/>
          </w:tcPr>
          <w:p w:rsidR="00A320D5" w:rsidRPr="00EC5E23" w:rsidRDefault="00A320D5" w:rsidP="000C6739">
            <w:pPr>
              <w:rPr>
                <w:sz w:val="20"/>
                <w:szCs w:val="20"/>
              </w:rPr>
            </w:pPr>
            <w:r w:rsidRPr="00EC5E23">
              <w:rPr>
                <w:sz w:val="20"/>
                <w:szCs w:val="20"/>
              </w:rPr>
              <w:t>Количество принтеров на судебных участках, со сроком службы менее 7 лет, единиц</w:t>
            </w:r>
          </w:p>
        </w:tc>
        <w:tc>
          <w:tcPr>
            <w:tcW w:w="1134" w:type="dxa"/>
            <w:shd w:val="clear" w:color="auto" w:fill="auto"/>
            <w:vAlign w:val="center"/>
            <w:hideMark/>
          </w:tcPr>
          <w:p w:rsidR="00A320D5" w:rsidRPr="00EC5E23" w:rsidRDefault="00A320D5" w:rsidP="000C6739">
            <w:pPr>
              <w:jc w:val="center"/>
              <w:rPr>
                <w:sz w:val="20"/>
                <w:szCs w:val="20"/>
              </w:rPr>
            </w:pPr>
            <w:r w:rsidRPr="00EC5E23">
              <w:rPr>
                <w:sz w:val="20"/>
                <w:szCs w:val="20"/>
              </w:rPr>
              <w:t>единиц</w:t>
            </w:r>
          </w:p>
        </w:tc>
        <w:tc>
          <w:tcPr>
            <w:tcW w:w="709" w:type="dxa"/>
            <w:shd w:val="clear" w:color="auto" w:fill="auto"/>
            <w:noWrap/>
            <w:vAlign w:val="center"/>
            <w:hideMark/>
          </w:tcPr>
          <w:p w:rsidR="00A320D5" w:rsidRPr="00EC5E23" w:rsidRDefault="00A320D5" w:rsidP="000C6739">
            <w:pPr>
              <w:jc w:val="center"/>
              <w:rPr>
                <w:sz w:val="20"/>
                <w:szCs w:val="20"/>
              </w:rPr>
            </w:pPr>
            <w:r w:rsidRPr="00EC5E23">
              <w:rPr>
                <w:sz w:val="20"/>
                <w:szCs w:val="20"/>
              </w:rPr>
              <w:t>448</w:t>
            </w:r>
          </w:p>
        </w:tc>
        <w:tc>
          <w:tcPr>
            <w:tcW w:w="708" w:type="dxa"/>
            <w:shd w:val="clear" w:color="auto" w:fill="auto"/>
            <w:noWrap/>
            <w:vAlign w:val="center"/>
            <w:hideMark/>
          </w:tcPr>
          <w:p w:rsidR="00A320D5" w:rsidRPr="00EC5E23" w:rsidRDefault="00A320D5" w:rsidP="000C6739">
            <w:pPr>
              <w:jc w:val="center"/>
              <w:rPr>
                <w:sz w:val="20"/>
                <w:szCs w:val="20"/>
              </w:rPr>
            </w:pPr>
            <w:r>
              <w:rPr>
                <w:sz w:val="20"/>
                <w:szCs w:val="20"/>
              </w:rPr>
              <w:t>448</w:t>
            </w:r>
          </w:p>
        </w:tc>
        <w:tc>
          <w:tcPr>
            <w:tcW w:w="1134" w:type="dxa"/>
            <w:tcBorders>
              <w:right w:val="double" w:sz="4" w:space="0" w:color="auto"/>
            </w:tcBorders>
            <w:shd w:val="clear" w:color="auto" w:fill="auto"/>
            <w:noWrap/>
            <w:vAlign w:val="center"/>
            <w:hideMark/>
          </w:tcPr>
          <w:p w:rsidR="00A320D5" w:rsidRPr="00EC5E23" w:rsidRDefault="00A320D5" w:rsidP="000C6739">
            <w:pPr>
              <w:jc w:val="center"/>
              <w:rPr>
                <w:sz w:val="20"/>
                <w:szCs w:val="20"/>
              </w:rPr>
            </w:pPr>
            <w:r>
              <w:rPr>
                <w:sz w:val="20"/>
                <w:szCs w:val="20"/>
              </w:rPr>
              <w:t>100%</w:t>
            </w:r>
          </w:p>
        </w:tc>
      </w:tr>
      <w:tr w:rsidR="00A320D5" w:rsidRPr="00EC5E23" w:rsidTr="000C6739">
        <w:trPr>
          <w:trHeight w:val="20"/>
        </w:trPr>
        <w:tc>
          <w:tcPr>
            <w:tcW w:w="486" w:type="dxa"/>
            <w:tcBorders>
              <w:left w:val="double" w:sz="4" w:space="0" w:color="auto"/>
            </w:tcBorders>
            <w:shd w:val="clear" w:color="auto" w:fill="auto"/>
            <w:noWrap/>
            <w:vAlign w:val="center"/>
            <w:hideMark/>
          </w:tcPr>
          <w:p w:rsidR="00A320D5" w:rsidRPr="00EC5E23" w:rsidRDefault="00A320D5" w:rsidP="000C6739">
            <w:pPr>
              <w:jc w:val="center"/>
              <w:rPr>
                <w:sz w:val="20"/>
                <w:szCs w:val="20"/>
              </w:rPr>
            </w:pPr>
            <w:r w:rsidRPr="00EC5E23">
              <w:rPr>
                <w:sz w:val="20"/>
                <w:szCs w:val="20"/>
              </w:rPr>
              <w:t>4</w:t>
            </w:r>
          </w:p>
        </w:tc>
        <w:tc>
          <w:tcPr>
            <w:tcW w:w="5468" w:type="dxa"/>
            <w:shd w:val="clear" w:color="auto" w:fill="auto"/>
            <w:vAlign w:val="center"/>
            <w:hideMark/>
          </w:tcPr>
          <w:p w:rsidR="00A320D5" w:rsidRPr="00EC5E23" w:rsidRDefault="00A320D5" w:rsidP="000C6739">
            <w:pPr>
              <w:rPr>
                <w:sz w:val="20"/>
                <w:szCs w:val="20"/>
              </w:rPr>
            </w:pPr>
            <w:r w:rsidRPr="00EC5E23">
              <w:rPr>
                <w:sz w:val="20"/>
                <w:szCs w:val="20"/>
              </w:rPr>
              <w:t>Количество МФУ на судебных участках, со сроком службы менее 7 лет, единиц</w:t>
            </w:r>
          </w:p>
        </w:tc>
        <w:tc>
          <w:tcPr>
            <w:tcW w:w="1134" w:type="dxa"/>
            <w:shd w:val="clear" w:color="auto" w:fill="auto"/>
            <w:vAlign w:val="center"/>
            <w:hideMark/>
          </w:tcPr>
          <w:p w:rsidR="00A320D5" w:rsidRPr="00EC5E23" w:rsidRDefault="00A320D5" w:rsidP="000C6739">
            <w:pPr>
              <w:jc w:val="center"/>
              <w:rPr>
                <w:sz w:val="20"/>
                <w:szCs w:val="20"/>
              </w:rPr>
            </w:pPr>
            <w:r w:rsidRPr="00EC5E23">
              <w:rPr>
                <w:sz w:val="20"/>
                <w:szCs w:val="20"/>
              </w:rPr>
              <w:t>единиц</w:t>
            </w:r>
          </w:p>
        </w:tc>
        <w:tc>
          <w:tcPr>
            <w:tcW w:w="709" w:type="dxa"/>
            <w:shd w:val="clear" w:color="auto" w:fill="auto"/>
            <w:noWrap/>
            <w:vAlign w:val="center"/>
            <w:hideMark/>
          </w:tcPr>
          <w:p w:rsidR="00A320D5" w:rsidRPr="00EC5E23" w:rsidRDefault="00A320D5" w:rsidP="000C6739">
            <w:pPr>
              <w:jc w:val="center"/>
              <w:rPr>
                <w:sz w:val="20"/>
                <w:szCs w:val="20"/>
              </w:rPr>
            </w:pPr>
            <w:r w:rsidRPr="00EC5E23">
              <w:rPr>
                <w:sz w:val="20"/>
                <w:szCs w:val="20"/>
              </w:rPr>
              <w:t>145</w:t>
            </w:r>
          </w:p>
        </w:tc>
        <w:tc>
          <w:tcPr>
            <w:tcW w:w="708" w:type="dxa"/>
            <w:shd w:val="clear" w:color="auto" w:fill="auto"/>
            <w:noWrap/>
            <w:vAlign w:val="center"/>
            <w:hideMark/>
          </w:tcPr>
          <w:p w:rsidR="00A320D5" w:rsidRPr="00EC5E23" w:rsidRDefault="00A320D5" w:rsidP="000C6739">
            <w:pPr>
              <w:jc w:val="center"/>
              <w:rPr>
                <w:sz w:val="20"/>
                <w:szCs w:val="20"/>
              </w:rPr>
            </w:pPr>
            <w:r>
              <w:rPr>
                <w:sz w:val="20"/>
                <w:szCs w:val="20"/>
              </w:rPr>
              <w:t>145</w:t>
            </w:r>
          </w:p>
        </w:tc>
        <w:tc>
          <w:tcPr>
            <w:tcW w:w="1134" w:type="dxa"/>
            <w:tcBorders>
              <w:right w:val="double" w:sz="4" w:space="0" w:color="auto"/>
            </w:tcBorders>
            <w:shd w:val="clear" w:color="auto" w:fill="auto"/>
            <w:noWrap/>
            <w:vAlign w:val="center"/>
            <w:hideMark/>
          </w:tcPr>
          <w:p w:rsidR="00A320D5" w:rsidRPr="00EC5E23" w:rsidRDefault="00A320D5" w:rsidP="000C6739">
            <w:pPr>
              <w:jc w:val="center"/>
              <w:rPr>
                <w:sz w:val="20"/>
                <w:szCs w:val="20"/>
              </w:rPr>
            </w:pPr>
            <w:r>
              <w:rPr>
                <w:sz w:val="20"/>
                <w:szCs w:val="20"/>
              </w:rPr>
              <w:t>100%</w:t>
            </w:r>
          </w:p>
        </w:tc>
      </w:tr>
      <w:tr w:rsidR="00A320D5" w:rsidRPr="00EC5E23" w:rsidTr="000C6739">
        <w:trPr>
          <w:trHeight w:val="20"/>
        </w:trPr>
        <w:tc>
          <w:tcPr>
            <w:tcW w:w="486" w:type="dxa"/>
            <w:tcBorders>
              <w:left w:val="double" w:sz="4" w:space="0" w:color="auto"/>
            </w:tcBorders>
            <w:shd w:val="clear" w:color="auto" w:fill="auto"/>
            <w:noWrap/>
            <w:vAlign w:val="center"/>
            <w:hideMark/>
          </w:tcPr>
          <w:p w:rsidR="00A320D5" w:rsidRPr="00EC5E23" w:rsidRDefault="00A320D5" w:rsidP="000C6739">
            <w:pPr>
              <w:jc w:val="center"/>
              <w:rPr>
                <w:sz w:val="20"/>
                <w:szCs w:val="20"/>
              </w:rPr>
            </w:pPr>
            <w:r w:rsidRPr="00EC5E23">
              <w:rPr>
                <w:sz w:val="20"/>
                <w:szCs w:val="20"/>
              </w:rPr>
              <w:t>5</w:t>
            </w:r>
          </w:p>
        </w:tc>
        <w:tc>
          <w:tcPr>
            <w:tcW w:w="5468" w:type="dxa"/>
            <w:shd w:val="clear" w:color="auto" w:fill="auto"/>
            <w:vAlign w:val="center"/>
            <w:hideMark/>
          </w:tcPr>
          <w:p w:rsidR="00A320D5" w:rsidRPr="00EC5E23" w:rsidRDefault="00A320D5" w:rsidP="000C6739">
            <w:pPr>
              <w:rPr>
                <w:sz w:val="20"/>
                <w:szCs w:val="20"/>
              </w:rPr>
            </w:pPr>
            <w:r w:rsidRPr="00EC5E23">
              <w:rPr>
                <w:sz w:val="20"/>
                <w:szCs w:val="20"/>
              </w:rPr>
              <w:t>Количество серверов на судебных участках, со сроком службы менее 7 лет, единиц</w:t>
            </w:r>
          </w:p>
        </w:tc>
        <w:tc>
          <w:tcPr>
            <w:tcW w:w="1134" w:type="dxa"/>
            <w:shd w:val="clear" w:color="auto" w:fill="auto"/>
            <w:vAlign w:val="center"/>
            <w:hideMark/>
          </w:tcPr>
          <w:p w:rsidR="00A320D5" w:rsidRPr="00EC5E23" w:rsidRDefault="00A320D5" w:rsidP="000C6739">
            <w:pPr>
              <w:jc w:val="center"/>
              <w:rPr>
                <w:sz w:val="20"/>
                <w:szCs w:val="20"/>
              </w:rPr>
            </w:pPr>
            <w:r w:rsidRPr="00EC5E23">
              <w:rPr>
                <w:sz w:val="20"/>
                <w:szCs w:val="20"/>
              </w:rPr>
              <w:t>единиц</w:t>
            </w:r>
          </w:p>
        </w:tc>
        <w:tc>
          <w:tcPr>
            <w:tcW w:w="709" w:type="dxa"/>
            <w:shd w:val="clear" w:color="auto" w:fill="auto"/>
            <w:noWrap/>
            <w:vAlign w:val="center"/>
            <w:hideMark/>
          </w:tcPr>
          <w:p w:rsidR="00A320D5" w:rsidRPr="00954ECF" w:rsidRDefault="00A320D5" w:rsidP="000C6739">
            <w:pPr>
              <w:jc w:val="center"/>
              <w:rPr>
                <w:sz w:val="20"/>
                <w:szCs w:val="20"/>
                <w:lang w:val="en-US"/>
              </w:rPr>
            </w:pPr>
            <w:r>
              <w:rPr>
                <w:sz w:val="20"/>
                <w:szCs w:val="20"/>
                <w:lang w:val="en-US"/>
              </w:rPr>
              <w:t>46</w:t>
            </w:r>
          </w:p>
        </w:tc>
        <w:tc>
          <w:tcPr>
            <w:tcW w:w="708" w:type="dxa"/>
            <w:shd w:val="clear" w:color="auto" w:fill="auto"/>
            <w:noWrap/>
            <w:vAlign w:val="center"/>
            <w:hideMark/>
          </w:tcPr>
          <w:p w:rsidR="00A320D5" w:rsidRPr="00EC5E23" w:rsidRDefault="00A320D5" w:rsidP="000C6739">
            <w:pPr>
              <w:jc w:val="center"/>
              <w:rPr>
                <w:sz w:val="20"/>
                <w:szCs w:val="20"/>
              </w:rPr>
            </w:pPr>
            <w:r>
              <w:rPr>
                <w:sz w:val="20"/>
                <w:szCs w:val="20"/>
              </w:rPr>
              <w:t>46</w:t>
            </w:r>
          </w:p>
        </w:tc>
        <w:tc>
          <w:tcPr>
            <w:tcW w:w="1134" w:type="dxa"/>
            <w:tcBorders>
              <w:right w:val="double" w:sz="4" w:space="0" w:color="auto"/>
            </w:tcBorders>
            <w:shd w:val="clear" w:color="auto" w:fill="auto"/>
            <w:noWrap/>
            <w:vAlign w:val="center"/>
            <w:hideMark/>
          </w:tcPr>
          <w:p w:rsidR="00A320D5" w:rsidRPr="00EC5E23" w:rsidRDefault="00A320D5" w:rsidP="000C6739">
            <w:pPr>
              <w:jc w:val="center"/>
              <w:rPr>
                <w:sz w:val="20"/>
                <w:szCs w:val="20"/>
              </w:rPr>
            </w:pPr>
            <w:r>
              <w:rPr>
                <w:sz w:val="20"/>
                <w:szCs w:val="20"/>
              </w:rPr>
              <w:t>100%</w:t>
            </w:r>
          </w:p>
        </w:tc>
      </w:tr>
      <w:tr w:rsidR="00A320D5" w:rsidRPr="00EC5E23" w:rsidTr="000C6739">
        <w:trPr>
          <w:trHeight w:val="20"/>
        </w:trPr>
        <w:tc>
          <w:tcPr>
            <w:tcW w:w="486" w:type="dxa"/>
            <w:tcBorders>
              <w:left w:val="double" w:sz="4" w:space="0" w:color="auto"/>
            </w:tcBorders>
            <w:shd w:val="clear" w:color="auto" w:fill="auto"/>
            <w:noWrap/>
            <w:vAlign w:val="center"/>
            <w:hideMark/>
          </w:tcPr>
          <w:p w:rsidR="00A320D5" w:rsidRPr="00EC5E23" w:rsidRDefault="00A320D5" w:rsidP="000C6739">
            <w:pPr>
              <w:jc w:val="center"/>
              <w:rPr>
                <w:sz w:val="20"/>
                <w:szCs w:val="20"/>
              </w:rPr>
            </w:pPr>
            <w:r w:rsidRPr="00EC5E23">
              <w:rPr>
                <w:sz w:val="20"/>
                <w:szCs w:val="20"/>
              </w:rPr>
              <w:t>6</w:t>
            </w:r>
          </w:p>
        </w:tc>
        <w:tc>
          <w:tcPr>
            <w:tcW w:w="5468" w:type="dxa"/>
            <w:shd w:val="clear" w:color="auto" w:fill="auto"/>
            <w:vAlign w:val="center"/>
            <w:hideMark/>
          </w:tcPr>
          <w:p w:rsidR="00A320D5" w:rsidRPr="00EC5E23" w:rsidRDefault="00A320D5" w:rsidP="000C6739">
            <w:pPr>
              <w:rPr>
                <w:sz w:val="20"/>
                <w:szCs w:val="20"/>
              </w:rPr>
            </w:pPr>
            <w:r w:rsidRPr="00EC5E23">
              <w:rPr>
                <w:sz w:val="20"/>
                <w:szCs w:val="20"/>
              </w:rPr>
              <w:t>Количество судебных участков, обеспеченных средствами аудиопротоколирования, единиц</w:t>
            </w:r>
          </w:p>
        </w:tc>
        <w:tc>
          <w:tcPr>
            <w:tcW w:w="1134" w:type="dxa"/>
            <w:shd w:val="clear" w:color="auto" w:fill="auto"/>
            <w:vAlign w:val="center"/>
            <w:hideMark/>
          </w:tcPr>
          <w:p w:rsidR="00A320D5" w:rsidRPr="00EC5E23" w:rsidRDefault="00A320D5" w:rsidP="000C6739">
            <w:pPr>
              <w:jc w:val="center"/>
              <w:rPr>
                <w:sz w:val="20"/>
                <w:szCs w:val="20"/>
              </w:rPr>
            </w:pPr>
            <w:r w:rsidRPr="00EC5E23">
              <w:rPr>
                <w:sz w:val="20"/>
                <w:szCs w:val="20"/>
              </w:rPr>
              <w:t>единиц</w:t>
            </w:r>
          </w:p>
        </w:tc>
        <w:tc>
          <w:tcPr>
            <w:tcW w:w="709" w:type="dxa"/>
            <w:shd w:val="clear" w:color="auto" w:fill="auto"/>
            <w:vAlign w:val="center"/>
            <w:hideMark/>
          </w:tcPr>
          <w:p w:rsidR="00A320D5" w:rsidRPr="00EC5E23" w:rsidRDefault="00A320D5" w:rsidP="000C6739">
            <w:pPr>
              <w:jc w:val="center"/>
              <w:rPr>
                <w:sz w:val="20"/>
                <w:szCs w:val="20"/>
              </w:rPr>
            </w:pPr>
            <w:r w:rsidRPr="00EC5E23">
              <w:rPr>
                <w:sz w:val="20"/>
                <w:szCs w:val="20"/>
              </w:rPr>
              <w:t>145</w:t>
            </w:r>
          </w:p>
        </w:tc>
        <w:tc>
          <w:tcPr>
            <w:tcW w:w="708" w:type="dxa"/>
            <w:shd w:val="clear" w:color="auto" w:fill="auto"/>
            <w:vAlign w:val="center"/>
            <w:hideMark/>
          </w:tcPr>
          <w:p w:rsidR="00A320D5" w:rsidRPr="00EC5E23" w:rsidRDefault="00A320D5" w:rsidP="000C6739">
            <w:pPr>
              <w:jc w:val="center"/>
              <w:rPr>
                <w:sz w:val="20"/>
                <w:szCs w:val="20"/>
              </w:rPr>
            </w:pPr>
            <w:r>
              <w:rPr>
                <w:sz w:val="20"/>
                <w:szCs w:val="20"/>
              </w:rPr>
              <w:t>145</w:t>
            </w:r>
          </w:p>
        </w:tc>
        <w:tc>
          <w:tcPr>
            <w:tcW w:w="1134" w:type="dxa"/>
            <w:tcBorders>
              <w:right w:val="double" w:sz="4" w:space="0" w:color="auto"/>
            </w:tcBorders>
            <w:shd w:val="clear" w:color="auto" w:fill="auto"/>
            <w:vAlign w:val="center"/>
            <w:hideMark/>
          </w:tcPr>
          <w:p w:rsidR="00A320D5" w:rsidRPr="00EC5E23" w:rsidRDefault="00A320D5" w:rsidP="000C6739">
            <w:pPr>
              <w:jc w:val="center"/>
              <w:rPr>
                <w:sz w:val="20"/>
                <w:szCs w:val="20"/>
              </w:rPr>
            </w:pPr>
            <w:r>
              <w:rPr>
                <w:sz w:val="20"/>
                <w:szCs w:val="20"/>
              </w:rPr>
              <w:t>100%</w:t>
            </w:r>
          </w:p>
        </w:tc>
      </w:tr>
      <w:tr w:rsidR="00A320D5" w:rsidRPr="00EC5E23" w:rsidTr="000C6739">
        <w:trPr>
          <w:trHeight w:val="20"/>
        </w:trPr>
        <w:tc>
          <w:tcPr>
            <w:tcW w:w="486" w:type="dxa"/>
            <w:tcBorders>
              <w:left w:val="double" w:sz="4" w:space="0" w:color="auto"/>
            </w:tcBorders>
            <w:shd w:val="clear" w:color="auto" w:fill="auto"/>
            <w:noWrap/>
            <w:vAlign w:val="center"/>
            <w:hideMark/>
          </w:tcPr>
          <w:p w:rsidR="00A320D5" w:rsidRPr="00EC5E23" w:rsidRDefault="00A320D5" w:rsidP="000C6739">
            <w:pPr>
              <w:jc w:val="center"/>
              <w:rPr>
                <w:sz w:val="20"/>
                <w:szCs w:val="20"/>
              </w:rPr>
            </w:pPr>
            <w:r w:rsidRPr="00EC5E23">
              <w:rPr>
                <w:sz w:val="20"/>
                <w:szCs w:val="20"/>
              </w:rPr>
              <w:t>7</w:t>
            </w:r>
          </w:p>
        </w:tc>
        <w:tc>
          <w:tcPr>
            <w:tcW w:w="5468" w:type="dxa"/>
            <w:shd w:val="clear" w:color="auto" w:fill="auto"/>
            <w:vAlign w:val="center"/>
            <w:hideMark/>
          </w:tcPr>
          <w:p w:rsidR="00A320D5" w:rsidRPr="00EC5E23" w:rsidRDefault="00A320D5" w:rsidP="000C6739">
            <w:pPr>
              <w:rPr>
                <w:sz w:val="20"/>
                <w:szCs w:val="20"/>
              </w:rPr>
            </w:pPr>
            <w:r w:rsidRPr="00EC5E23">
              <w:rPr>
                <w:sz w:val="20"/>
                <w:szCs w:val="20"/>
              </w:rPr>
              <w:t>Средняя скорость подключения к сети Интернет на судебных участках для размещения информации о деятельности мировых судей, Мбит/сек</w:t>
            </w:r>
          </w:p>
        </w:tc>
        <w:tc>
          <w:tcPr>
            <w:tcW w:w="1134" w:type="dxa"/>
            <w:shd w:val="clear" w:color="auto" w:fill="auto"/>
            <w:vAlign w:val="center"/>
            <w:hideMark/>
          </w:tcPr>
          <w:p w:rsidR="00A320D5" w:rsidRPr="00EC5E23" w:rsidRDefault="00A320D5" w:rsidP="000C6739">
            <w:pPr>
              <w:jc w:val="center"/>
              <w:rPr>
                <w:sz w:val="20"/>
                <w:szCs w:val="20"/>
              </w:rPr>
            </w:pPr>
            <w:r w:rsidRPr="00EC5E23">
              <w:rPr>
                <w:sz w:val="20"/>
                <w:szCs w:val="20"/>
              </w:rPr>
              <w:t>Мбит/сек</w:t>
            </w:r>
          </w:p>
        </w:tc>
        <w:tc>
          <w:tcPr>
            <w:tcW w:w="709" w:type="dxa"/>
            <w:shd w:val="clear" w:color="auto" w:fill="auto"/>
            <w:vAlign w:val="center"/>
            <w:hideMark/>
          </w:tcPr>
          <w:p w:rsidR="00A320D5" w:rsidRPr="00EC5E23" w:rsidRDefault="00A320D5" w:rsidP="000C6739">
            <w:pPr>
              <w:jc w:val="center"/>
              <w:rPr>
                <w:sz w:val="20"/>
                <w:szCs w:val="20"/>
              </w:rPr>
            </w:pPr>
            <w:r w:rsidRPr="00EC5E23">
              <w:rPr>
                <w:sz w:val="20"/>
                <w:szCs w:val="20"/>
              </w:rPr>
              <w:t>2,73</w:t>
            </w:r>
          </w:p>
        </w:tc>
        <w:tc>
          <w:tcPr>
            <w:tcW w:w="708" w:type="dxa"/>
            <w:shd w:val="clear" w:color="auto" w:fill="auto"/>
            <w:vAlign w:val="center"/>
            <w:hideMark/>
          </w:tcPr>
          <w:p w:rsidR="00A320D5" w:rsidRPr="00EC5E23" w:rsidRDefault="00A320D5" w:rsidP="000C6739">
            <w:pPr>
              <w:jc w:val="center"/>
              <w:rPr>
                <w:sz w:val="20"/>
                <w:szCs w:val="20"/>
              </w:rPr>
            </w:pPr>
            <w:r>
              <w:rPr>
                <w:sz w:val="20"/>
                <w:szCs w:val="20"/>
              </w:rPr>
              <w:t>3,02</w:t>
            </w:r>
          </w:p>
        </w:tc>
        <w:tc>
          <w:tcPr>
            <w:tcW w:w="1134" w:type="dxa"/>
            <w:tcBorders>
              <w:right w:val="double" w:sz="4" w:space="0" w:color="auto"/>
            </w:tcBorders>
            <w:shd w:val="clear" w:color="auto" w:fill="auto"/>
            <w:vAlign w:val="center"/>
            <w:hideMark/>
          </w:tcPr>
          <w:p w:rsidR="00A320D5" w:rsidRPr="00EC5E23" w:rsidRDefault="00A320D5" w:rsidP="000C6739">
            <w:pPr>
              <w:jc w:val="center"/>
              <w:rPr>
                <w:sz w:val="20"/>
                <w:szCs w:val="20"/>
              </w:rPr>
            </w:pPr>
            <w:r w:rsidRPr="004030A9">
              <w:rPr>
                <w:sz w:val="20"/>
                <w:szCs w:val="20"/>
              </w:rPr>
              <w:t>1</w:t>
            </w:r>
            <w:r>
              <w:rPr>
                <w:sz w:val="20"/>
                <w:szCs w:val="20"/>
              </w:rPr>
              <w:t>1</w:t>
            </w:r>
            <w:r w:rsidRPr="004030A9">
              <w:rPr>
                <w:sz w:val="20"/>
                <w:szCs w:val="20"/>
              </w:rPr>
              <w:t>0</w:t>
            </w:r>
            <w:r>
              <w:rPr>
                <w:sz w:val="20"/>
                <w:szCs w:val="20"/>
              </w:rPr>
              <w:t>,6</w:t>
            </w:r>
            <w:r w:rsidRPr="004030A9">
              <w:rPr>
                <w:sz w:val="20"/>
                <w:szCs w:val="20"/>
              </w:rPr>
              <w:t>%</w:t>
            </w:r>
          </w:p>
        </w:tc>
      </w:tr>
      <w:tr w:rsidR="00A320D5" w:rsidRPr="00EC5E23" w:rsidTr="000C6739">
        <w:trPr>
          <w:trHeight w:val="20"/>
        </w:trPr>
        <w:tc>
          <w:tcPr>
            <w:tcW w:w="486" w:type="dxa"/>
            <w:tcBorders>
              <w:left w:val="double" w:sz="4" w:space="0" w:color="auto"/>
            </w:tcBorders>
            <w:shd w:val="clear" w:color="auto" w:fill="auto"/>
            <w:noWrap/>
            <w:vAlign w:val="center"/>
            <w:hideMark/>
          </w:tcPr>
          <w:p w:rsidR="00A320D5" w:rsidRPr="00EC5E23" w:rsidRDefault="00A320D5" w:rsidP="000C6739">
            <w:pPr>
              <w:jc w:val="center"/>
              <w:rPr>
                <w:sz w:val="20"/>
                <w:szCs w:val="20"/>
              </w:rPr>
            </w:pPr>
            <w:r w:rsidRPr="00EC5E23">
              <w:rPr>
                <w:sz w:val="20"/>
                <w:szCs w:val="20"/>
              </w:rPr>
              <w:t>8</w:t>
            </w:r>
          </w:p>
        </w:tc>
        <w:tc>
          <w:tcPr>
            <w:tcW w:w="5468" w:type="dxa"/>
            <w:shd w:val="clear" w:color="auto" w:fill="auto"/>
            <w:vAlign w:val="center"/>
            <w:hideMark/>
          </w:tcPr>
          <w:p w:rsidR="00A320D5" w:rsidRPr="00EC5E23" w:rsidRDefault="00A320D5" w:rsidP="000C6739">
            <w:pPr>
              <w:rPr>
                <w:sz w:val="20"/>
                <w:szCs w:val="20"/>
              </w:rPr>
            </w:pPr>
            <w:r w:rsidRPr="00EC5E23">
              <w:rPr>
                <w:sz w:val="20"/>
                <w:szCs w:val="20"/>
              </w:rPr>
              <w:t>Количество зданий (помещений), занимаемых мировыми судьями, в которых произведены ремонтные работы</w:t>
            </w:r>
          </w:p>
        </w:tc>
        <w:tc>
          <w:tcPr>
            <w:tcW w:w="1134" w:type="dxa"/>
            <w:shd w:val="clear" w:color="auto" w:fill="auto"/>
            <w:vAlign w:val="center"/>
            <w:hideMark/>
          </w:tcPr>
          <w:p w:rsidR="00A320D5" w:rsidRPr="00EC5E23" w:rsidRDefault="00A320D5" w:rsidP="000C6739">
            <w:pPr>
              <w:jc w:val="center"/>
              <w:rPr>
                <w:sz w:val="20"/>
                <w:szCs w:val="20"/>
              </w:rPr>
            </w:pPr>
            <w:r w:rsidRPr="00EC5E23">
              <w:rPr>
                <w:sz w:val="20"/>
                <w:szCs w:val="20"/>
              </w:rPr>
              <w:t>единиц</w:t>
            </w:r>
          </w:p>
        </w:tc>
        <w:tc>
          <w:tcPr>
            <w:tcW w:w="709" w:type="dxa"/>
            <w:shd w:val="clear" w:color="auto" w:fill="auto"/>
            <w:vAlign w:val="center"/>
            <w:hideMark/>
          </w:tcPr>
          <w:p w:rsidR="00A320D5" w:rsidRPr="00EC5E23" w:rsidRDefault="00A320D5" w:rsidP="000C6739">
            <w:pPr>
              <w:jc w:val="center"/>
              <w:rPr>
                <w:sz w:val="20"/>
                <w:szCs w:val="20"/>
              </w:rPr>
            </w:pPr>
            <w:r w:rsidRPr="00EC5E23">
              <w:rPr>
                <w:sz w:val="20"/>
                <w:szCs w:val="20"/>
              </w:rPr>
              <w:t>48</w:t>
            </w:r>
          </w:p>
        </w:tc>
        <w:tc>
          <w:tcPr>
            <w:tcW w:w="708" w:type="dxa"/>
            <w:shd w:val="clear" w:color="auto" w:fill="auto"/>
            <w:noWrap/>
            <w:vAlign w:val="center"/>
            <w:hideMark/>
          </w:tcPr>
          <w:p w:rsidR="00A320D5" w:rsidRPr="00EC5E23" w:rsidRDefault="00A320D5" w:rsidP="000C6739">
            <w:pPr>
              <w:jc w:val="center"/>
              <w:rPr>
                <w:sz w:val="20"/>
                <w:szCs w:val="20"/>
              </w:rPr>
            </w:pPr>
            <w:r>
              <w:rPr>
                <w:sz w:val="20"/>
                <w:szCs w:val="20"/>
              </w:rPr>
              <w:t>48</w:t>
            </w:r>
          </w:p>
        </w:tc>
        <w:tc>
          <w:tcPr>
            <w:tcW w:w="1134" w:type="dxa"/>
            <w:tcBorders>
              <w:right w:val="double" w:sz="4" w:space="0" w:color="auto"/>
            </w:tcBorders>
            <w:shd w:val="clear" w:color="auto" w:fill="auto"/>
            <w:noWrap/>
            <w:vAlign w:val="center"/>
            <w:hideMark/>
          </w:tcPr>
          <w:p w:rsidR="00A320D5" w:rsidRPr="00EC5E23" w:rsidRDefault="00A320D5" w:rsidP="000C6739">
            <w:pPr>
              <w:jc w:val="center"/>
              <w:rPr>
                <w:sz w:val="20"/>
                <w:szCs w:val="20"/>
              </w:rPr>
            </w:pPr>
            <w:r>
              <w:rPr>
                <w:sz w:val="20"/>
                <w:szCs w:val="20"/>
              </w:rPr>
              <w:t>100%</w:t>
            </w:r>
          </w:p>
        </w:tc>
      </w:tr>
      <w:tr w:rsidR="00A320D5" w:rsidRPr="00EC5E23" w:rsidTr="000C6739">
        <w:trPr>
          <w:trHeight w:val="20"/>
        </w:trPr>
        <w:tc>
          <w:tcPr>
            <w:tcW w:w="486" w:type="dxa"/>
            <w:tcBorders>
              <w:left w:val="double" w:sz="4" w:space="0" w:color="auto"/>
            </w:tcBorders>
            <w:shd w:val="clear" w:color="auto" w:fill="auto"/>
            <w:noWrap/>
            <w:vAlign w:val="center"/>
            <w:hideMark/>
          </w:tcPr>
          <w:p w:rsidR="00A320D5" w:rsidRPr="00EC5E23" w:rsidRDefault="00A320D5" w:rsidP="000C6739">
            <w:pPr>
              <w:jc w:val="center"/>
              <w:rPr>
                <w:sz w:val="20"/>
                <w:szCs w:val="20"/>
              </w:rPr>
            </w:pPr>
            <w:r w:rsidRPr="00EC5E23">
              <w:rPr>
                <w:sz w:val="20"/>
                <w:szCs w:val="20"/>
              </w:rPr>
              <w:t>9</w:t>
            </w:r>
          </w:p>
        </w:tc>
        <w:tc>
          <w:tcPr>
            <w:tcW w:w="5468" w:type="dxa"/>
            <w:shd w:val="clear" w:color="auto" w:fill="auto"/>
            <w:vAlign w:val="center"/>
            <w:hideMark/>
          </w:tcPr>
          <w:p w:rsidR="00A320D5" w:rsidRPr="00EC5E23" w:rsidRDefault="00A320D5" w:rsidP="000C6739">
            <w:pPr>
              <w:rPr>
                <w:sz w:val="20"/>
                <w:szCs w:val="20"/>
              </w:rPr>
            </w:pPr>
            <w:r w:rsidRPr="00EC5E23">
              <w:rPr>
                <w:sz w:val="20"/>
                <w:szCs w:val="20"/>
              </w:rPr>
              <w:t>Количество установленных в зданиях (помещениях), занимаемых мировыми судьями систем кондиционирования воздуха</w:t>
            </w:r>
          </w:p>
        </w:tc>
        <w:tc>
          <w:tcPr>
            <w:tcW w:w="1134" w:type="dxa"/>
            <w:shd w:val="clear" w:color="auto" w:fill="auto"/>
            <w:noWrap/>
            <w:vAlign w:val="center"/>
            <w:hideMark/>
          </w:tcPr>
          <w:p w:rsidR="00A320D5" w:rsidRPr="00EC5E23" w:rsidRDefault="00A320D5" w:rsidP="000C6739">
            <w:pPr>
              <w:jc w:val="center"/>
              <w:rPr>
                <w:sz w:val="20"/>
                <w:szCs w:val="20"/>
              </w:rPr>
            </w:pPr>
            <w:r w:rsidRPr="00EC5E23">
              <w:rPr>
                <w:sz w:val="20"/>
                <w:szCs w:val="20"/>
              </w:rPr>
              <w:t>единиц</w:t>
            </w:r>
          </w:p>
        </w:tc>
        <w:tc>
          <w:tcPr>
            <w:tcW w:w="709" w:type="dxa"/>
            <w:shd w:val="clear" w:color="auto" w:fill="auto"/>
            <w:noWrap/>
            <w:vAlign w:val="center"/>
            <w:hideMark/>
          </w:tcPr>
          <w:p w:rsidR="00A320D5" w:rsidRPr="00EC5E23" w:rsidRDefault="00A320D5" w:rsidP="000C6739">
            <w:pPr>
              <w:jc w:val="center"/>
              <w:rPr>
                <w:sz w:val="20"/>
                <w:szCs w:val="20"/>
              </w:rPr>
            </w:pPr>
            <w:r w:rsidRPr="00EC5E23">
              <w:rPr>
                <w:sz w:val="20"/>
                <w:szCs w:val="20"/>
              </w:rPr>
              <w:t>531</w:t>
            </w:r>
          </w:p>
        </w:tc>
        <w:tc>
          <w:tcPr>
            <w:tcW w:w="708" w:type="dxa"/>
            <w:shd w:val="clear" w:color="auto" w:fill="auto"/>
            <w:noWrap/>
            <w:vAlign w:val="center"/>
            <w:hideMark/>
          </w:tcPr>
          <w:p w:rsidR="00A320D5" w:rsidRPr="00EC5E23" w:rsidRDefault="00A320D5" w:rsidP="000C6739">
            <w:pPr>
              <w:jc w:val="center"/>
              <w:rPr>
                <w:sz w:val="20"/>
                <w:szCs w:val="20"/>
              </w:rPr>
            </w:pPr>
            <w:r>
              <w:rPr>
                <w:sz w:val="20"/>
                <w:szCs w:val="20"/>
              </w:rPr>
              <w:t>531</w:t>
            </w:r>
          </w:p>
        </w:tc>
        <w:tc>
          <w:tcPr>
            <w:tcW w:w="1134" w:type="dxa"/>
            <w:tcBorders>
              <w:right w:val="double" w:sz="4" w:space="0" w:color="auto"/>
            </w:tcBorders>
            <w:shd w:val="clear" w:color="auto" w:fill="auto"/>
            <w:noWrap/>
            <w:vAlign w:val="center"/>
            <w:hideMark/>
          </w:tcPr>
          <w:p w:rsidR="00A320D5" w:rsidRPr="00EC5E23" w:rsidRDefault="00A320D5" w:rsidP="000C6739">
            <w:pPr>
              <w:jc w:val="center"/>
              <w:rPr>
                <w:sz w:val="20"/>
                <w:szCs w:val="20"/>
              </w:rPr>
            </w:pPr>
            <w:r>
              <w:rPr>
                <w:sz w:val="20"/>
                <w:szCs w:val="20"/>
              </w:rPr>
              <w:t>100%</w:t>
            </w:r>
          </w:p>
        </w:tc>
      </w:tr>
      <w:tr w:rsidR="00A320D5" w:rsidRPr="00EC5E23" w:rsidTr="000C6739">
        <w:trPr>
          <w:trHeight w:val="20"/>
        </w:trPr>
        <w:tc>
          <w:tcPr>
            <w:tcW w:w="486" w:type="dxa"/>
            <w:tcBorders>
              <w:left w:val="double" w:sz="4" w:space="0" w:color="auto"/>
            </w:tcBorders>
            <w:shd w:val="clear" w:color="auto" w:fill="auto"/>
            <w:noWrap/>
            <w:vAlign w:val="center"/>
            <w:hideMark/>
          </w:tcPr>
          <w:p w:rsidR="00A320D5" w:rsidRPr="00EC5E23" w:rsidRDefault="00A320D5" w:rsidP="000C6739">
            <w:pPr>
              <w:jc w:val="center"/>
              <w:rPr>
                <w:sz w:val="20"/>
                <w:szCs w:val="20"/>
              </w:rPr>
            </w:pPr>
            <w:r w:rsidRPr="00EC5E23">
              <w:rPr>
                <w:sz w:val="20"/>
                <w:szCs w:val="20"/>
              </w:rPr>
              <w:t>10</w:t>
            </w:r>
          </w:p>
        </w:tc>
        <w:tc>
          <w:tcPr>
            <w:tcW w:w="5468" w:type="dxa"/>
            <w:shd w:val="clear" w:color="auto" w:fill="auto"/>
            <w:vAlign w:val="center"/>
            <w:hideMark/>
          </w:tcPr>
          <w:p w:rsidR="00A320D5" w:rsidRPr="00EC5E23" w:rsidRDefault="00A320D5" w:rsidP="000C6739">
            <w:pPr>
              <w:rPr>
                <w:sz w:val="20"/>
                <w:szCs w:val="20"/>
              </w:rPr>
            </w:pPr>
            <w:r w:rsidRPr="00EC5E23">
              <w:rPr>
                <w:sz w:val="20"/>
                <w:szCs w:val="20"/>
              </w:rPr>
              <w:t xml:space="preserve">Количество зданий (помещений), занимаемых мировыми судьями, </w:t>
            </w:r>
            <w:r>
              <w:rPr>
                <w:sz w:val="20"/>
                <w:szCs w:val="20"/>
              </w:rPr>
              <w:t>оснащенных системами видеонаблюдения</w:t>
            </w:r>
          </w:p>
        </w:tc>
        <w:tc>
          <w:tcPr>
            <w:tcW w:w="1134" w:type="dxa"/>
            <w:shd w:val="clear" w:color="auto" w:fill="auto"/>
            <w:noWrap/>
            <w:vAlign w:val="center"/>
            <w:hideMark/>
          </w:tcPr>
          <w:p w:rsidR="00A320D5" w:rsidRPr="00EC5E23" w:rsidRDefault="00A320D5" w:rsidP="000C6739">
            <w:pPr>
              <w:jc w:val="center"/>
              <w:rPr>
                <w:sz w:val="20"/>
                <w:szCs w:val="20"/>
              </w:rPr>
            </w:pPr>
            <w:r w:rsidRPr="00EC5E23">
              <w:rPr>
                <w:sz w:val="20"/>
                <w:szCs w:val="20"/>
              </w:rPr>
              <w:t>единиц</w:t>
            </w:r>
          </w:p>
        </w:tc>
        <w:tc>
          <w:tcPr>
            <w:tcW w:w="709" w:type="dxa"/>
            <w:shd w:val="clear" w:color="auto" w:fill="auto"/>
            <w:noWrap/>
            <w:vAlign w:val="center"/>
            <w:hideMark/>
          </w:tcPr>
          <w:p w:rsidR="00A320D5" w:rsidRPr="00EC5E23" w:rsidRDefault="00A320D5" w:rsidP="000C6739">
            <w:pPr>
              <w:jc w:val="center"/>
              <w:rPr>
                <w:sz w:val="20"/>
                <w:szCs w:val="20"/>
              </w:rPr>
            </w:pPr>
            <w:r w:rsidRPr="00EC5E23">
              <w:rPr>
                <w:sz w:val="20"/>
                <w:szCs w:val="20"/>
              </w:rPr>
              <w:t>41</w:t>
            </w:r>
          </w:p>
        </w:tc>
        <w:tc>
          <w:tcPr>
            <w:tcW w:w="708" w:type="dxa"/>
            <w:shd w:val="clear" w:color="auto" w:fill="auto"/>
            <w:noWrap/>
            <w:vAlign w:val="center"/>
            <w:hideMark/>
          </w:tcPr>
          <w:p w:rsidR="00A320D5" w:rsidRPr="00EC5E23" w:rsidRDefault="00A320D5" w:rsidP="000C6739">
            <w:pPr>
              <w:jc w:val="center"/>
              <w:rPr>
                <w:sz w:val="20"/>
                <w:szCs w:val="20"/>
              </w:rPr>
            </w:pPr>
            <w:r>
              <w:rPr>
                <w:sz w:val="20"/>
                <w:szCs w:val="20"/>
              </w:rPr>
              <w:t>41</w:t>
            </w:r>
          </w:p>
        </w:tc>
        <w:tc>
          <w:tcPr>
            <w:tcW w:w="1134" w:type="dxa"/>
            <w:tcBorders>
              <w:right w:val="double" w:sz="4" w:space="0" w:color="auto"/>
            </w:tcBorders>
            <w:shd w:val="clear" w:color="auto" w:fill="auto"/>
            <w:noWrap/>
            <w:vAlign w:val="center"/>
            <w:hideMark/>
          </w:tcPr>
          <w:p w:rsidR="00A320D5" w:rsidRPr="00EC5E23" w:rsidRDefault="00A320D5" w:rsidP="000C6739">
            <w:pPr>
              <w:jc w:val="center"/>
              <w:rPr>
                <w:sz w:val="20"/>
                <w:szCs w:val="20"/>
              </w:rPr>
            </w:pPr>
            <w:r>
              <w:rPr>
                <w:sz w:val="20"/>
                <w:szCs w:val="20"/>
              </w:rPr>
              <w:t>100%</w:t>
            </w:r>
          </w:p>
        </w:tc>
      </w:tr>
      <w:tr w:rsidR="00A320D5" w:rsidRPr="00EC5E23" w:rsidTr="000C6739">
        <w:trPr>
          <w:trHeight w:val="20"/>
        </w:trPr>
        <w:tc>
          <w:tcPr>
            <w:tcW w:w="486" w:type="dxa"/>
            <w:tcBorders>
              <w:left w:val="double" w:sz="4" w:space="0" w:color="auto"/>
            </w:tcBorders>
            <w:shd w:val="clear" w:color="auto" w:fill="auto"/>
            <w:noWrap/>
            <w:vAlign w:val="center"/>
            <w:hideMark/>
          </w:tcPr>
          <w:p w:rsidR="00A320D5" w:rsidRPr="00EC5E23" w:rsidRDefault="00A320D5" w:rsidP="000C6739">
            <w:pPr>
              <w:jc w:val="center"/>
              <w:rPr>
                <w:sz w:val="20"/>
                <w:szCs w:val="20"/>
              </w:rPr>
            </w:pPr>
            <w:r w:rsidRPr="00EC5E23">
              <w:rPr>
                <w:sz w:val="20"/>
                <w:szCs w:val="20"/>
              </w:rPr>
              <w:t>11</w:t>
            </w:r>
          </w:p>
        </w:tc>
        <w:tc>
          <w:tcPr>
            <w:tcW w:w="5468" w:type="dxa"/>
            <w:shd w:val="clear" w:color="auto" w:fill="auto"/>
            <w:vAlign w:val="center"/>
            <w:hideMark/>
          </w:tcPr>
          <w:p w:rsidR="00A320D5" w:rsidRPr="00EC5E23" w:rsidRDefault="00A320D5" w:rsidP="000C6739">
            <w:pPr>
              <w:rPr>
                <w:sz w:val="20"/>
                <w:szCs w:val="20"/>
              </w:rPr>
            </w:pPr>
            <w:r w:rsidRPr="00EC5E23">
              <w:rPr>
                <w:sz w:val="20"/>
                <w:szCs w:val="20"/>
              </w:rPr>
              <w:t>Количество зданий (помещений), занимаемых мировыми судьями</w:t>
            </w:r>
            <w:r w:rsidR="00C11772">
              <w:rPr>
                <w:sz w:val="20"/>
                <w:szCs w:val="20"/>
              </w:rPr>
              <w:t>,</w:t>
            </w:r>
            <w:r w:rsidRPr="00EC5E23">
              <w:rPr>
                <w:sz w:val="20"/>
                <w:szCs w:val="20"/>
              </w:rPr>
              <w:t xml:space="preserve"> оборудованных  пожарно-охранной сигнализацией</w:t>
            </w:r>
          </w:p>
        </w:tc>
        <w:tc>
          <w:tcPr>
            <w:tcW w:w="1134" w:type="dxa"/>
            <w:shd w:val="clear" w:color="auto" w:fill="auto"/>
            <w:noWrap/>
            <w:vAlign w:val="center"/>
            <w:hideMark/>
          </w:tcPr>
          <w:p w:rsidR="00A320D5" w:rsidRPr="00EC5E23" w:rsidRDefault="00A320D5" w:rsidP="000C6739">
            <w:pPr>
              <w:jc w:val="center"/>
              <w:rPr>
                <w:sz w:val="20"/>
                <w:szCs w:val="20"/>
              </w:rPr>
            </w:pPr>
            <w:r w:rsidRPr="00EC5E23">
              <w:rPr>
                <w:sz w:val="20"/>
                <w:szCs w:val="20"/>
              </w:rPr>
              <w:t>единиц</w:t>
            </w:r>
          </w:p>
        </w:tc>
        <w:tc>
          <w:tcPr>
            <w:tcW w:w="709" w:type="dxa"/>
            <w:shd w:val="clear" w:color="auto" w:fill="auto"/>
            <w:noWrap/>
            <w:vAlign w:val="center"/>
            <w:hideMark/>
          </w:tcPr>
          <w:p w:rsidR="00A320D5" w:rsidRPr="00EC5E23" w:rsidRDefault="00A320D5" w:rsidP="000C6739">
            <w:pPr>
              <w:jc w:val="center"/>
              <w:rPr>
                <w:sz w:val="20"/>
                <w:szCs w:val="20"/>
              </w:rPr>
            </w:pPr>
            <w:r w:rsidRPr="00EC5E23">
              <w:rPr>
                <w:sz w:val="20"/>
                <w:szCs w:val="20"/>
              </w:rPr>
              <w:t>21</w:t>
            </w:r>
          </w:p>
        </w:tc>
        <w:tc>
          <w:tcPr>
            <w:tcW w:w="708" w:type="dxa"/>
            <w:shd w:val="clear" w:color="auto" w:fill="auto"/>
            <w:noWrap/>
            <w:vAlign w:val="center"/>
            <w:hideMark/>
          </w:tcPr>
          <w:p w:rsidR="00A320D5" w:rsidRPr="00EC5E23" w:rsidRDefault="00A320D5" w:rsidP="000C6739">
            <w:pPr>
              <w:jc w:val="center"/>
              <w:rPr>
                <w:sz w:val="20"/>
                <w:szCs w:val="20"/>
              </w:rPr>
            </w:pPr>
            <w:r>
              <w:rPr>
                <w:sz w:val="20"/>
                <w:szCs w:val="20"/>
              </w:rPr>
              <w:t>21</w:t>
            </w:r>
          </w:p>
        </w:tc>
        <w:tc>
          <w:tcPr>
            <w:tcW w:w="1134" w:type="dxa"/>
            <w:tcBorders>
              <w:right w:val="double" w:sz="4" w:space="0" w:color="auto"/>
            </w:tcBorders>
            <w:shd w:val="clear" w:color="auto" w:fill="auto"/>
            <w:noWrap/>
            <w:vAlign w:val="center"/>
            <w:hideMark/>
          </w:tcPr>
          <w:p w:rsidR="00A320D5" w:rsidRPr="00EC5E23" w:rsidRDefault="00A320D5" w:rsidP="000C6739">
            <w:pPr>
              <w:jc w:val="center"/>
              <w:rPr>
                <w:sz w:val="20"/>
                <w:szCs w:val="20"/>
              </w:rPr>
            </w:pPr>
            <w:r>
              <w:rPr>
                <w:sz w:val="20"/>
                <w:szCs w:val="20"/>
              </w:rPr>
              <w:t>100%</w:t>
            </w:r>
          </w:p>
        </w:tc>
      </w:tr>
      <w:tr w:rsidR="00A320D5" w:rsidRPr="00EC5E23" w:rsidTr="000C6739">
        <w:trPr>
          <w:trHeight w:val="20"/>
        </w:trPr>
        <w:tc>
          <w:tcPr>
            <w:tcW w:w="486" w:type="dxa"/>
            <w:tcBorders>
              <w:left w:val="double" w:sz="4" w:space="0" w:color="auto"/>
            </w:tcBorders>
            <w:shd w:val="clear" w:color="auto" w:fill="auto"/>
            <w:noWrap/>
            <w:vAlign w:val="center"/>
            <w:hideMark/>
          </w:tcPr>
          <w:p w:rsidR="00A320D5" w:rsidRPr="00EC5E23" w:rsidRDefault="00A320D5" w:rsidP="000C6739">
            <w:pPr>
              <w:jc w:val="center"/>
              <w:rPr>
                <w:sz w:val="20"/>
                <w:szCs w:val="20"/>
              </w:rPr>
            </w:pPr>
            <w:r w:rsidRPr="00EC5E23">
              <w:rPr>
                <w:sz w:val="20"/>
                <w:szCs w:val="20"/>
              </w:rPr>
              <w:t>12</w:t>
            </w:r>
          </w:p>
        </w:tc>
        <w:tc>
          <w:tcPr>
            <w:tcW w:w="5468" w:type="dxa"/>
            <w:shd w:val="clear" w:color="auto" w:fill="auto"/>
            <w:vAlign w:val="center"/>
            <w:hideMark/>
          </w:tcPr>
          <w:p w:rsidR="00A320D5" w:rsidRPr="00EC5E23" w:rsidRDefault="00A320D5" w:rsidP="000C6739">
            <w:pPr>
              <w:rPr>
                <w:sz w:val="20"/>
                <w:szCs w:val="20"/>
              </w:rPr>
            </w:pPr>
            <w:r w:rsidRPr="00EC5E23">
              <w:rPr>
                <w:sz w:val="20"/>
                <w:szCs w:val="20"/>
              </w:rPr>
              <w:t>Количество судебных участков, в которых произведена замена мебели</w:t>
            </w:r>
          </w:p>
        </w:tc>
        <w:tc>
          <w:tcPr>
            <w:tcW w:w="1134" w:type="dxa"/>
            <w:shd w:val="clear" w:color="auto" w:fill="auto"/>
            <w:noWrap/>
            <w:vAlign w:val="center"/>
            <w:hideMark/>
          </w:tcPr>
          <w:p w:rsidR="00A320D5" w:rsidRPr="00EC5E23" w:rsidRDefault="00A320D5" w:rsidP="000C6739">
            <w:pPr>
              <w:jc w:val="center"/>
              <w:rPr>
                <w:sz w:val="20"/>
                <w:szCs w:val="20"/>
              </w:rPr>
            </w:pPr>
            <w:r w:rsidRPr="00EC5E23">
              <w:rPr>
                <w:sz w:val="20"/>
                <w:szCs w:val="20"/>
              </w:rPr>
              <w:t>единиц</w:t>
            </w:r>
          </w:p>
        </w:tc>
        <w:tc>
          <w:tcPr>
            <w:tcW w:w="709" w:type="dxa"/>
            <w:shd w:val="clear" w:color="auto" w:fill="auto"/>
            <w:noWrap/>
            <w:vAlign w:val="center"/>
            <w:hideMark/>
          </w:tcPr>
          <w:p w:rsidR="00A320D5" w:rsidRPr="00EC5E23" w:rsidRDefault="00A320D5" w:rsidP="000C6739">
            <w:pPr>
              <w:jc w:val="center"/>
              <w:rPr>
                <w:sz w:val="20"/>
                <w:szCs w:val="20"/>
              </w:rPr>
            </w:pPr>
            <w:r w:rsidRPr="00EC5E23">
              <w:rPr>
                <w:sz w:val="20"/>
                <w:szCs w:val="20"/>
              </w:rPr>
              <w:t>145</w:t>
            </w:r>
          </w:p>
        </w:tc>
        <w:tc>
          <w:tcPr>
            <w:tcW w:w="708" w:type="dxa"/>
            <w:shd w:val="clear" w:color="auto" w:fill="auto"/>
            <w:noWrap/>
            <w:vAlign w:val="center"/>
            <w:hideMark/>
          </w:tcPr>
          <w:p w:rsidR="00A320D5" w:rsidRPr="00EC5E23" w:rsidRDefault="00A320D5" w:rsidP="000C6739">
            <w:pPr>
              <w:jc w:val="center"/>
              <w:rPr>
                <w:sz w:val="20"/>
                <w:szCs w:val="20"/>
              </w:rPr>
            </w:pPr>
            <w:r>
              <w:rPr>
                <w:sz w:val="20"/>
                <w:szCs w:val="20"/>
              </w:rPr>
              <w:t>145</w:t>
            </w:r>
          </w:p>
        </w:tc>
        <w:tc>
          <w:tcPr>
            <w:tcW w:w="1134" w:type="dxa"/>
            <w:tcBorders>
              <w:right w:val="double" w:sz="4" w:space="0" w:color="auto"/>
            </w:tcBorders>
            <w:shd w:val="clear" w:color="auto" w:fill="auto"/>
            <w:noWrap/>
            <w:vAlign w:val="center"/>
            <w:hideMark/>
          </w:tcPr>
          <w:p w:rsidR="00A320D5" w:rsidRPr="00EC5E23" w:rsidRDefault="00A320D5" w:rsidP="000C6739">
            <w:pPr>
              <w:jc w:val="center"/>
              <w:rPr>
                <w:sz w:val="20"/>
                <w:szCs w:val="20"/>
              </w:rPr>
            </w:pPr>
            <w:r>
              <w:rPr>
                <w:sz w:val="20"/>
                <w:szCs w:val="20"/>
              </w:rPr>
              <w:t>100%</w:t>
            </w:r>
          </w:p>
        </w:tc>
      </w:tr>
      <w:tr w:rsidR="00A320D5" w:rsidRPr="00EC5E23" w:rsidTr="000C6739">
        <w:trPr>
          <w:trHeight w:val="20"/>
        </w:trPr>
        <w:tc>
          <w:tcPr>
            <w:tcW w:w="486" w:type="dxa"/>
            <w:tcBorders>
              <w:left w:val="double" w:sz="4" w:space="0" w:color="auto"/>
            </w:tcBorders>
            <w:shd w:val="clear" w:color="auto" w:fill="auto"/>
            <w:noWrap/>
            <w:vAlign w:val="center"/>
            <w:hideMark/>
          </w:tcPr>
          <w:p w:rsidR="00A320D5" w:rsidRPr="00EC5E23" w:rsidRDefault="00A320D5" w:rsidP="000C6739">
            <w:pPr>
              <w:jc w:val="center"/>
              <w:rPr>
                <w:sz w:val="20"/>
                <w:szCs w:val="20"/>
              </w:rPr>
            </w:pPr>
            <w:r w:rsidRPr="00EC5E23">
              <w:rPr>
                <w:sz w:val="20"/>
                <w:szCs w:val="20"/>
              </w:rPr>
              <w:lastRenderedPageBreak/>
              <w:t>13</w:t>
            </w:r>
          </w:p>
        </w:tc>
        <w:tc>
          <w:tcPr>
            <w:tcW w:w="5468" w:type="dxa"/>
            <w:shd w:val="clear" w:color="auto" w:fill="auto"/>
            <w:vAlign w:val="center"/>
            <w:hideMark/>
          </w:tcPr>
          <w:p w:rsidR="00A320D5" w:rsidRPr="00EC5E23" w:rsidRDefault="00A320D5" w:rsidP="000C6739">
            <w:pPr>
              <w:rPr>
                <w:sz w:val="20"/>
                <w:szCs w:val="20"/>
              </w:rPr>
            </w:pPr>
            <w:r w:rsidRPr="00EC5E23">
              <w:rPr>
                <w:sz w:val="20"/>
                <w:szCs w:val="20"/>
              </w:rPr>
              <w:t>Количество обновленного газового оборудования, установленного в зданиях (помещениях), занимаемых мировыми судьями,</w:t>
            </w:r>
          </w:p>
        </w:tc>
        <w:tc>
          <w:tcPr>
            <w:tcW w:w="1134" w:type="dxa"/>
            <w:shd w:val="clear" w:color="auto" w:fill="auto"/>
            <w:noWrap/>
            <w:vAlign w:val="center"/>
            <w:hideMark/>
          </w:tcPr>
          <w:p w:rsidR="00A320D5" w:rsidRPr="00EC5E23" w:rsidRDefault="00A320D5" w:rsidP="000C6739">
            <w:pPr>
              <w:jc w:val="center"/>
              <w:rPr>
                <w:sz w:val="20"/>
                <w:szCs w:val="20"/>
              </w:rPr>
            </w:pPr>
            <w:r w:rsidRPr="00EC5E23">
              <w:rPr>
                <w:sz w:val="20"/>
                <w:szCs w:val="20"/>
              </w:rPr>
              <w:t>единиц</w:t>
            </w:r>
          </w:p>
        </w:tc>
        <w:tc>
          <w:tcPr>
            <w:tcW w:w="709" w:type="dxa"/>
            <w:shd w:val="clear" w:color="auto" w:fill="auto"/>
            <w:noWrap/>
            <w:vAlign w:val="center"/>
            <w:hideMark/>
          </w:tcPr>
          <w:p w:rsidR="00A320D5" w:rsidRPr="00EC5E23" w:rsidRDefault="00A320D5" w:rsidP="000C6739">
            <w:pPr>
              <w:jc w:val="center"/>
              <w:rPr>
                <w:sz w:val="20"/>
                <w:szCs w:val="20"/>
              </w:rPr>
            </w:pPr>
            <w:r w:rsidRPr="00EC5E23">
              <w:rPr>
                <w:sz w:val="20"/>
                <w:szCs w:val="20"/>
              </w:rPr>
              <w:t>2</w:t>
            </w:r>
          </w:p>
        </w:tc>
        <w:tc>
          <w:tcPr>
            <w:tcW w:w="708" w:type="dxa"/>
            <w:shd w:val="clear" w:color="auto" w:fill="auto"/>
            <w:noWrap/>
            <w:vAlign w:val="center"/>
            <w:hideMark/>
          </w:tcPr>
          <w:p w:rsidR="00A320D5" w:rsidRPr="00EC5E23" w:rsidRDefault="00A320D5" w:rsidP="000C6739">
            <w:pPr>
              <w:jc w:val="center"/>
              <w:rPr>
                <w:sz w:val="20"/>
                <w:szCs w:val="20"/>
              </w:rPr>
            </w:pPr>
            <w:r>
              <w:rPr>
                <w:sz w:val="20"/>
                <w:szCs w:val="20"/>
              </w:rPr>
              <w:t>2</w:t>
            </w:r>
          </w:p>
        </w:tc>
        <w:tc>
          <w:tcPr>
            <w:tcW w:w="1134" w:type="dxa"/>
            <w:tcBorders>
              <w:right w:val="double" w:sz="4" w:space="0" w:color="auto"/>
            </w:tcBorders>
            <w:shd w:val="clear" w:color="auto" w:fill="auto"/>
            <w:noWrap/>
            <w:vAlign w:val="center"/>
            <w:hideMark/>
          </w:tcPr>
          <w:p w:rsidR="00A320D5" w:rsidRPr="00EC5E23" w:rsidRDefault="00A320D5" w:rsidP="000C6739">
            <w:pPr>
              <w:jc w:val="center"/>
              <w:rPr>
                <w:sz w:val="20"/>
                <w:szCs w:val="20"/>
              </w:rPr>
            </w:pPr>
            <w:r>
              <w:rPr>
                <w:sz w:val="20"/>
                <w:szCs w:val="20"/>
              </w:rPr>
              <w:t>100%</w:t>
            </w:r>
          </w:p>
        </w:tc>
      </w:tr>
      <w:tr w:rsidR="00A320D5" w:rsidRPr="00EC5E23" w:rsidTr="000C6739">
        <w:trPr>
          <w:trHeight w:val="20"/>
        </w:trPr>
        <w:tc>
          <w:tcPr>
            <w:tcW w:w="486" w:type="dxa"/>
            <w:tcBorders>
              <w:left w:val="double" w:sz="4" w:space="0" w:color="auto"/>
              <w:bottom w:val="double" w:sz="4" w:space="0" w:color="auto"/>
            </w:tcBorders>
            <w:shd w:val="clear" w:color="auto" w:fill="auto"/>
            <w:noWrap/>
            <w:vAlign w:val="center"/>
            <w:hideMark/>
          </w:tcPr>
          <w:p w:rsidR="00A320D5" w:rsidRPr="00EC5E23" w:rsidRDefault="00A320D5" w:rsidP="000C6739">
            <w:pPr>
              <w:jc w:val="center"/>
              <w:rPr>
                <w:sz w:val="20"/>
                <w:szCs w:val="20"/>
              </w:rPr>
            </w:pPr>
            <w:r w:rsidRPr="00EC5E23">
              <w:rPr>
                <w:sz w:val="20"/>
                <w:szCs w:val="20"/>
              </w:rPr>
              <w:t>14</w:t>
            </w:r>
          </w:p>
        </w:tc>
        <w:tc>
          <w:tcPr>
            <w:tcW w:w="5468" w:type="dxa"/>
            <w:tcBorders>
              <w:bottom w:val="double" w:sz="4" w:space="0" w:color="auto"/>
            </w:tcBorders>
            <w:shd w:val="clear" w:color="auto" w:fill="auto"/>
            <w:vAlign w:val="center"/>
            <w:hideMark/>
          </w:tcPr>
          <w:p w:rsidR="00A320D5" w:rsidRPr="00EC5E23" w:rsidRDefault="00A320D5" w:rsidP="000C6739">
            <w:pPr>
              <w:rPr>
                <w:sz w:val="20"/>
                <w:szCs w:val="20"/>
              </w:rPr>
            </w:pPr>
            <w:r w:rsidRPr="00EC5E23">
              <w:rPr>
                <w:sz w:val="20"/>
                <w:szCs w:val="20"/>
              </w:rPr>
              <w:t>Количество работников, направленных на повышение квалификации и прохождение профессиональной переподготовки в соответствии с расчетной потребностью</w:t>
            </w:r>
          </w:p>
        </w:tc>
        <w:tc>
          <w:tcPr>
            <w:tcW w:w="1134" w:type="dxa"/>
            <w:tcBorders>
              <w:bottom w:val="double" w:sz="4" w:space="0" w:color="auto"/>
            </w:tcBorders>
            <w:shd w:val="clear" w:color="auto" w:fill="auto"/>
            <w:noWrap/>
            <w:vAlign w:val="center"/>
            <w:hideMark/>
          </w:tcPr>
          <w:p w:rsidR="00A320D5" w:rsidRPr="00EC5E23" w:rsidRDefault="00A320D5" w:rsidP="000C6739">
            <w:pPr>
              <w:jc w:val="center"/>
              <w:rPr>
                <w:sz w:val="20"/>
                <w:szCs w:val="20"/>
              </w:rPr>
            </w:pPr>
            <w:r w:rsidRPr="00EC5E23">
              <w:rPr>
                <w:sz w:val="20"/>
                <w:szCs w:val="20"/>
              </w:rPr>
              <w:t>человек</w:t>
            </w:r>
          </w:p>
        </w:tc>
        <w:tc>
          <w:tcPr>
            <w:tcW w:w="709" w:type="dxa"/>
            <w:tcBorders>
              <w:bottom w:val="double" w:sz="4" w:space="0" w:color="auto"/>
            </w:tcBorders>
            <w:shd w:val="clear" w:color="auto" w:fill="auto"/>
            <w:noWrap/>
            <w:vAlign w:val="center"/>
            <w:hideMark/>
          </w:tcPr>
          <w:p w:rsidR="00A320D5" w:rsidRPr="00EC5E23" w:rsidRDefault="00A320D5" w:rsidP="000C6739">
            <w:pPr>
              <w:jc w:val="center"/>
              <w:rPr>
                <w:sz w:val="20"/>
                <w:szCs w:val="20"/>
              </w:rPr>
            </w:pPr>
            <w:r w:rsidRPr="00EC5E23">
              <w:rPr>
                <w:sz w:val="20"/>
                <w:szCs w:val="20"/>
              </w:rPr>
              <w:t>66</w:t>
            </w:r>
          </w:p>
        </w:tc>
        <w:tc>
          <w:tcPr>
            <w:tcW w:w="708" w:type="dxa"/>
            <w:tcBorders>
              <w:bottom w:val="double" w:sz="4" w:space="0" w:color="auto"/>
            </w:tcBorders>
            <w:shd w:val="clear" w:color="auto" w:fill="auto"/>
            <w:noWrap/>
            <w:vAlign w:val="center"/>
            <w:hideMark/>
          </w:tcPr>
          <w:p w:rsidR="00A320D5" w:rsidRPr="00EC5E23" w:rsidRDefault="00A320D5" w:rsidP="000C6739">
            <w:pPr>
              <w:jc w:val="center"/>
              <w:rPr>
                <w:sz w:val="20"/>
                <w:szCs w:val="20"/>
              </w:rPr>
            </w:pPr>
            <w:r>
              <w:rPr>
                <w:sz w:val="20"/>
                <w:szCs w:val="20"/>
              </w:rPr>
              <w:t>66</w:t>
            </w:r>
          </w:p>
        </w:tc>
        <w:tc>
          <w:tcPr>
            <w:tcW w:w="1134" w:type="dxa"/>
            <w:tcBorders>
              <w:bottom w:val="double" w:sz="4" w:space="0" w:color="auto"/>
              <w:right w:val="double" w:sz="4" w:space="0" w:color="auto"/>
            </w:tcBorders>
            <w:shd w:val="clear" w:color="auto" w:fill="auto"/>
            <w:noWrap/>
            <w:vAlign w:val="center"/>
            <w:hideMark/>
          </w:tcPr>
          <w:p w:rsidR="00A320D5" w:rsidRPr="00EC5E23" w:rsidRDefault="00A320D5" w:rsidP="000C6739">
            <w:pPr>
              <w:jc w:val="center"/>
              <w:rPr>
                <w:sz w:val="20"/>
                <w:szCs w:val="20"/>
              </w:rPr>
            </w:pPr>
            <w:r>
              <w:rPr>
                <w:sz w:val="20"/>
                <w:szCs w:val="20"/>
              </w:rPr>
              <w:t>100%</w:t>
            </w:r>
          </w:p>
        </w:tc>
      </w:tr>
    </w:tbl>
    <w:p w:rsidR="00A320D5" w:rsidRPr="004030A9" w:rsidRDefault="00A320D5" w:rsidP="00A320D5">
      <w:pPr>
        <w:ind w:firstLine="709"/>
        <w:jc w:val="both"/>
      </w:pPr>
    </w:p>
    <w:p w:rsidR="00A320D5" w:rsidRPr="00720812" w:rsidRDefault="00A320D5" w:rsidP="00A320D5">
      <w:pPr>
        <w:ind w:firstLine="709"/>
        <w:jc w:val="both"/>
      </w:pPr>
      <w:r w:rsidRPr="00720812">
        <w:t>Согласно ежегодному отчету о выполнении Программы</w:t>
      </w:r>
      <w:r>
        <w:t xml:space="preserve"> и </w:t>
      </w:r>
      <w:r w:rsidRPr="00720812">
        <w:t>информации</w:t>
      </w:r>
      <w:r w:rsidR="00C11772">
        <w:t>,</w:t>
      </w:r>
      <w:r w:rsidRPr="00720812">
        <w:t xml:space="preserve"> представленной Облкомюстом, ожидаемый результат достигнут по всем показателям.</w:t>
      </w:r>
    </w:p>
    <w:p w:rsidR="00A320D5" w:rsidRDefault="00A320D5" w:rsidP="00A320D5">
      <w:pPr>
        <w:ind w:firstLine="709"/>
        <w:jc w:val="center"/>
        <w:rPr>
          <w:b/>
          <w:i/>
        </w:rPr>
      </w:pPr>
    </w:p>
    <w:p w:rsidR="00A320D5" w:rsidRPr="00155B4E" w:rsidRDefault="00A320D5" w:rsidP="00A320D5">
      <w:pPr>
        <w:ind w:firstLine="709"/>
        <w:jc w:val="center"/>
        <w:rPr>
          <w:b/>
          <w:i/>
        </w:rPr>
      </w:pPr>
      <w:r w:rsidRPr="00155B4E">
        <w:rPr>
          <w:b/>
          <w:i/>
        </w:rPr>
        <w:t>Состояние внутреннего финансового аудита</w:t>
      </w:r>
    </w:p>
    <w:p w:rsidR="00A320D5" w:rsidRPr="00155B4E" w:rsidRDefault="00A320D5" w:rsidP="00A320D5">
      <w:pPr>
        <w:autoSpaceDE w:val="0"/>
        <w:autoSpaceDN w:val="0"/>
        <w:adjustRightInd w:val="0"/>
        <w:ind w:firstLine="709"/>
        <w:jc w:val="both"/>
      </w:pPr>
      <w:r w:rsidRPr="00155B4E">
        <w:t>Статьей 160.2-1 БК РФ определены бюджетные полномочия главного распорядителя (распорядителя) бюджетных средств, главного администратора (администратора) доходов бюджета по осуществлению внутреннего финансового аудита.</w:t>
      </w:r>
    </w:p>
    <w:p w:rsidR="00A320D5" w:rsidRPr="00155B4E" w:rsidRDefault="00A320D5" w:rsidP="00A320D5">
      <w:pPr>
        <w:autoSpaceDE w:val="0"/>
        <w:autoSpaceDN w:val="0"/>
        <w:adjustRightInd w:val="0"/>
        <w:ind w:firstLine="709"/>
        <w:jc w:val="both"/>
        <w:rPr>
          <w:rFonts w:eastAsia="Calibri"/>
        </w:rPr>
      </w:pPr>
      <w:r>
        <w:rPr>
          <w:rFonts w:eastAsia="Calibri"/>
        </w:rPr>
        <w:t>В</w:t>
      </w:r>
      <w:r w:rsidRPr="00155B4E">
        <w:rPr>
          <w:rFonts w:eastAsia="Calibri"/>
        </w:rPr>
        <w:t xml:space="preserve"> Облкомюстиции организована система внутреннего финансового аудита. Приказом Облкомюстиции от 30.09.2014 № 02-06-03/188 утвержден Порядок осуществления внутреннего финансового аудита.</w:t>
      </w:r>
    </w:p>
    <w:p w:rsidR="00A320D5" w:rsidRPr="00155B4E" w:rsidRDefault="00A320D5" w:rsidP="00A320D5">
      <w:pPr>
        <w:autoSpaceDE w:val="0"/>
        <w:autoSpaceDN w:val="0"/>
        <w:adjustRightInd w:val="0"/>
        <w:ind w:firstLine="720"/>
        <w:jc w:val="both"/>
        <w:rPr>
          <w:rFonts w:eastAsia="Calibri"/>
        </w:rPr>
      </w:pPr>
      <w:r w:rsidRPr="00155B4E">
        <w:rPr>
          <w:rFonts w:eastAsia="Calibri"/>
        </w:rPr>
        <w:t>В штатном расписании Облкомюстиции предусмотрен сектор внутреннего финансового аудита численностью 1 штатная единица.</w:t>
      </w:r>
    </w:p>
    <w:p w:rsidR="00A320D5" w:rsidRPr="00A03F1E" w:rsidRDefault="00A320D5" w:rsidP="00A320D5">
      <w:pPr>
        <w:ind w:firstLine="709"/>
        <w:jc w:val="both"/>
        <w:rPr>
          <w:rFonts w:eastAsia="Calibri"/>
        </w:rPr>
      </w:pPr>
      <w:r w:rsidRPr="00A03F1E">
        <w:rPr>
          <w:rFonts w:eastAsia="Calibri"/>
        </w:rPr>
        <w:t>Мероприятия предусмотрены планом внутреннего финансового аудита на 2019 год, утвержденным приказом Облкомюстиции от 20.12.2018 №02-02-06-03/225, и исполнены полностью.</w:t>
      </w:r>
    </w:p>
    <w:p w:rsidR="00A320D5" w:rsidRDefault="00A320D5" w:rsidP="00A320D5">
      <w:pPr>
        <w:ind w:firstLine="709"/>
        <w:jc w:val="both"/>
        <w:rPr>
          <w:rFonts w:eastAsia="Calibri"/>
        </w:rPr>
      </w:pPr>
      <w:r w:rsidRPr="00A03F1E">
        <w:rPr>
          <w:rFonts w:eastAsia="Calibri"/>
        </w:rPr>
        <w:t>В Облкомюстиции проведены 4 камеральные проверки структурных подразделений по оценке эффективности системы внутреннего финансового контроля в отношении расходов бюджета, осуществления полномочий главного администратора доходов бюджета, исполнения судебных актов по обращению взыскания на средства бюджета, достоверности и полноты бюджетной отчётности. Проведён финансовый аудит в виде комбинированной проверки эффективности системы внутреннего финансового контроля в отношении формирования и исполнения сметы ГКУ «Юрбюро». В результате аудита установлено, что финансовый контроль осуществлялся на должном уровне, бюджетная отчётность является достоверной.</w:t>
      </w:r>
    </w:p>
    <w:p w:rsidR="00A320D5" w:rsidRPr="008E070C" w:rsidRDefault="00A320D5" w:rsidP="00A320D5">
      <w:pPr>
        <w:autoSpaceDE w:val="0"/>
        <w:autoSpaceDN w:val="0"/>
        <w:adjustRightInd w:val="0"/>
        <w:ind w:firstLine="709"/>
        <w:jc w:val="both"/>
      </w:pPr>
    </w:p>
    <w:p w:rsidR="00410EA9" w:rsidRPr="00574ECC" w:rsidRDefault="00410EA9" w:rsidP="00410EA9">
      <w:pPr>
        <w:autoSpaceDE w:val="0"/>
        <w:autoSpaceDN w:val="0"/>
        <w:adjustRightInd w:val="0"/>
        <w:ind w:firstLine="720"/>
        <w:jc w:val="both"/>
        <w:rPr>
          <w:rFonts w:eastAsia="Calibri"/>
          <w:b/>
        </w:rPr>
      </w:pPr>
      <w:r w:rsidRPr="00574ECC">
        <w:rPr>
          <w:rFonts w:eastAsia="Calibri"/>
          <w:b/>
        </w:rPr>
        <w:t>Выводы:</w:t>
      </w:r>
    </w:p>
    <w:p w:rsidR="00574ECC" w:rsidRDefault="00574ECC" w:rsidP="00410EA9">
      <w:pPr>
        <w:autoSpaceDE w:val="0"/>
        <w:autoSpaceDN w:val="0"/>
        <w:adjustRightInd w:val="0"/>
        <w:ind w:firstLine="720"/>
        <w:jc w:val="both"/>
      </w:pPr>
      <w:r w:rsidRPr="00574ECC">
        <w:t xml:space="preserve">В нарушение положений ст. 18 БК РФ, п. 18.1, 18.2.1 Порядка Обкомюстции исполнены </w:t>
      </w:r>
      <w:r>
        <w:t>в 2019 году и запланированы на 2020-20</w:t>
      </w:r>
      <w:r w:rsidR="00C11772">
        <w:t>22</w:t>
      </w:r>
      <w:r>
        <w:t xml:space="preserve"> годы </w:t>
      </w:r>
      <w:r w:rsidRPr="00574ECC">
        <w:t>расход</w:t>
      </w:r>
      <w:r>
        <w:t>ы</w:t>
      </w:r>
      <w:r w:rsidRPr="00574ECC">
        <w:t xml:space="preserve"> на обеспечение выполнения функций ГКУ «Дирекция» по подразделу 0113 «Другие общегосударственные расходы»</w:t>
      </w:r>
      <w:r w:rsidR="009E0654">
        <w:t xml:space="preserve">, которые следовало отразить по подразделу </w:t>
      </w:r>
      <w:r w:rsidR="009E0654" w:rsidRPr="009E0654">
        <w:t>0105 «Судебная система».</w:t>
      </w:r>
    </w:p>
    <w:p w:rsidR="009E0654" w:rsidRDefault="009E0654" w:rsidP="00410EA9">
      <w:pPr>
        <w:autoSpaceDE w:val="0"/>
        <w:autoSpaceDN w:val="0"/>
        <w:adjustRightInd w:val="0"/>
        <w:ind w:firstLine="720"/>
        <w:jc w:val="both"/>
      </w:pPr>
    </w:p>
    <w:p w:rsidR="0067069D" w:rsidRPr="002A42EC" w:rsidRDefault="0067069D" w:rsidP="0067069D">
      <w:pPr>
        <w:autoSpaceDE w:val="0"/>
        <w:autoSpaceDN w:val="0"/>
        <w:adjustRightInd w:val="0"/>
        <w:spacing w:line="240" w:lineRule="exact"/>
        <w:ind w:left="709"/>
        <w:contextualSpacing/>
        <w:jc w:val="both"/>
        <w:rPr>
          <w:b/>
          <w:i/>
        </w:rPr>
      </w:pPr>
      <w:r w:rsidRPr="002A42EC">
        <w:rPr>
          <w:b/>
          <w:i/>
        </w:rPr>
        <w:t>Предложения:</w:t>
      </w:r>
    </w:p>
    <w:p w:rsidR="0067069D" w:rsidRPr="002A42EC" w:rsidRDefault="0067069D" w:rsidP="0067069D">
      <w:pPr>
        <w:autoSpaceDE w:val="0"/>
        <w:autoSpaceDN w:val="0"/>
        <w:adjustRightInd w:val="0"/>
        <w:ind w:firstLine="709"/>
        <w:contextualSpacing/>
        <w:jc w:val="both"/>
        <w:rPr>
          <w:rFonts w:eastAsiaTheme="minorHAnsi"/>
          <w:lang w:eastAsia="en-US"/>
        </w:rPr>
      </w:pPr>
      <w:r w:rsidRPr="002A42EC">
        <w:rPr>
          <w:b/>
          <w:i/>
        </w:rPr>
        <w:t xml:space="preserve">Комитету </w:t>
      </w:r>
      <w:r>
        <w:rPr>
          <w:b/>
          <w:i/>
        </w:rPr>
        <w:t>юстиции</w:t>
      </w:r>
      <w:r w:rsidRPr="002A42EC">
        <w:rPr>
          <w:b/>
          <w:i/>
        </w:rPr>
        <w:t xml:space="preserve"> Волгоградской области</w:t>
      </w:r>
      <w:r>
        <w:rPr>
          <w:b/>
          <w:i/>
        </w:rPr>
        <w:t xml:space="preserve"> </w:t>
      </w:r>
      <w:r w:rsidRPr="0067069D">
        <w:rPr>
          <w:spacing w:val="-1"/>
        </w:rPr>
        <w:t>инициировать</w:t>
      </w:r>
      <w:r w:rsidRPr="0067069D">
        <w:rPr>
          <w:b/>
          <w:spacing w:val="-1"/>
        </w:rPr>
        <w:t xml:space="preserve"> </w:t>
      </w:r>
      <w:r w:rsidRPr="0067069D">
        <w:rPr>
          <w:spacing w:val="-1"/>
        </w:rPr>
        <w:t xml:space="preserve">внесение изменений в </w:t>
      </w:r>
      <w:r>
        <w:rPr>
          <w:spacing w:val="-1"/>
        </w:rPr>
        <w:t xml:space="preserve">Закон </w:t>
      </w:r>
      <w:r w:rsidRPr="0067069D">
        <w:rPr>
          <w:spacing w:val="-1"/>
        </w:rPr>
        <w:t xml:space="preserve">Волгоградской области от 21.11.2019 № 97-ОД «Об областном бюджете на 2020 год и на плановый период 2021 и 2022 годов» с целью </w:t>
      </w:r>
      <w:r w:rsidRPr="0067069D">
        <w:t>перераспределения ассигновани</w:t>
      </w:r>
      <w:r w:rsidR="00996C1B">
        <w:t>й</w:t>
      </w:r>
      <w:r w:rsidRPr="0067069D">
        <w:t xml:space="preserve"> на материально-техническое обеспечение мировых судей и их аппаратов с подраздела 0113 «Другие общегосударственные вопросы» на подраздел 0105 «Судебная система».</w:t>
      </w:r>
    </w:p>
    <w:p w:rsidR="009E0654" w:rsidRPr="00574ECC" w:rsidRDefault="009E0654" w:rsidP="00410EA9">
      <w:pPr>
        <w:autoSpaceDE w:val="0"/>
        <w:autoSpaceDN w:val="0"/>
        <w:adjustRightInd w:val="0"/>
        <w:ind w:firstLine="720"/>
        <w:jc w:val="both"/>
      </w:pPr>
    </w:p>
    <w:p w:rsidR="00574ECC" w:rsidRDefault="00574ECC" w:rsidP="00410EA9">
      <w:pPr>
        <w:autoSpaceDE w:val="0"/>
        <w:autoSpaceDN w:val="0"/>
        <w:adjustRightInd w:val="0"/>
        <w:ind w:firstLine="720"/>
        <w:jc w:val="both"/>
        <w:rPr>
          <w:rFonts w:eastAsia="Calibri"/>
          <w:b/>
          <w:i/>
        </w:rPr>
      </w:pPr>
    </w:p>
    <w:p w:rsidR="00574ECC" w:rsidRDefault="00574ECC" w:rsidP="00410EA9">
      <w:pPr>
        <w:autoSpaceDE w:val="0"/>
        <w:autoSpaceDN w:val="0"/>
        <w:adjustRightInd w:val="0"/>
        <w:ind w:firstLine="720"/>
        <w:jc w:val="both"/>
        <w:rPr>
          <w:rFonts w:eastAsia="Calibri"/>
          <w:b/>
          <w:i/>
        </w:rPr>
      </w:pPr>
    </w:p>
    <w:p w:rsidR="00574ECC" w:rsidRDefault="00574ECC" w:rsidP="00410EA9">
      <w:pPr>
        <w:autoSpaceDE w:val="0"/>
        <w:autoSpaceDN w:val="0"/>
        <w:adjustRightInd w:val="0"/>
        <w:ind w:firstLine="720"/>
        <w:jc w:val="both"/>
        <w:rPr>
          <w:rFonts w:eastAsia="Calibri"/>
          <w:b/>
          <w:i/>
        </w:rPr>
      </w:pPr>
    </w:p>
    <w:p w:rsidR="00574ECC" w:rsidRPr="00574ECC" w:rsidRDefault="00574ECC" w:rsidP="00410EA9">
      <w:pPr>
        <w:autoSpaceDE w:val="0"/>
        <w:autoSpaceDN w:val="0"/>
        <w:adjustRightInd w:val="0"/>
        <w:ind w:firstLine="720"/>
        <w:jc w:val="both"/>
        <w:rPr>
          <w:rFonts w:eastAsia="Calibri"/>
          <w:b/>
          <w:i/>
        </w:rPr>
      </w:pPr>
    </w:p>
    <w:p w:rsidR="00410EA9" w:rsidRPr="00574ECC" w:rsidRDefault="00410EA9" w:rsidP="00410EA9">
      <w:pPr>
        <w:autoSpaceDE w:val="0"/>
        <w:autoSpaceDN w:val="0"/>
        <w:adjustRightInd w:val="0"/>
        <w:ind w:firstLine="720"/>
        <w:jc w:val="both"/>
        <w:rPr>
          <w:rFonts w:eastAsia="Calibri"/>
          <w:b/>
          <w:i/>
        </w:rPr>
      </w:pPr>
      <w:r w:rsidRPr="00574ECC">
        <w:rPr>
          <w:rFonts w:eastAsia="Calibri"/>
          <w:b/>
          <w:i/>
        </w:rPr>
        <w:t>Аудитор                                                                                                Н.Л. Ноздрюхина</w:t>
      </w:r>
    </w:p>
    <w:sectPr w:rsidR="00410EA9" w:rsidRPr="00574ECC" w:rsidSect="00574ECC">
      <w:headerReference w:type="default" r:id="rId8"/>
      <w:pgSz w:w="11906" w:h="16838"/>
      <w:pgMar w:top="1134" w:right="567"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7A1" w:rsidRDefault="00AE47A1" w:rsidP="007E4D30">
      <w:r>
        <w:separator/>
      </w:r>
    </w:p>
  </w:endnote>
  <w:endnote w:type="continuationSeparator" w:id="0">
    <w:p w:rsidR="00AE47A1" w:rsidRDefault="00AE47A1" w:rsidP="007E4D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7A1" w:rsidRDefault="00AE47A1" w:rsidP="007E4D30">
      <w:r>
        <w:separator/>
      </w:r>
    </w:p>
  </w:footnote>
  <w:footnote w:type="continuationSeparator" w:id="0">
    <w:p w:rsidR="00AE47A1" w:rsidRDefault="00AE47A1" w:rsidP="007E4D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0C6" w:rsidRDefault="00CA50C6">
    <w:pPr>
      <w:pStyle w:val="aa"/>
      <w:jc w:val="center"/>
    </w:pPr>
    <w:sdt>
      <w:sdtPr>
        <w:id w:val="8743594"/>
        <w:docPartObj>
          <w:docPartGallery w:val="Page Numbers (Top of Page)"/>
          <w:docPartUnique/>
        </w:docPartObj>
      </w:sdtPr>
      <w:sdtContent>
        <w:fldSimple w:instr=" PAGE   \* MERGEFORMAT ">
          <w:r w:rsidR="00F2419D">
            <w:rPr>
              <w:noProof/>
            </w:rPr>
            <w:t>7</w:t>
          </w:r>
        </w:fldSimple>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569C9"/>
    <w:multiLevelType w:val="hybridMultilevel"/>
    <w:tmpl w:val="2134428C"/>
    <w:lvl w:ilvl="0" w:tplc="5068050C">
      <w:start w:val="1"/>
      <w:numFmt w:val="decimal"/>
      <w:lvlText w:val="%1."/>
      <w:lvlJc w:val="left"/>
      <w:pPr>
        <w:ind w:left="1429" w:hanging="360"/>
      </w:pPr>
      <w:rPr>
        <w:b/>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6696960"/>
    <w:multiLevelType w:val="hybridMultilevel"/>
    <w:tmpl w:val="D8D4B614"/>
    <w:lvl w:ilvl="0" w:tplc="C3040438">
      <w:start w:val="1"/>
      <w:numFmt w:val="bullet"/>
      <w:pStyle w:val="a"/>
      <w:lvlText w:val=""/>
      <w:lvlJc w:val="left"/>
      <w:pPr>
        <w:tabs>
          <w:tab w:val="num" w:pos="1490"/>
        </w:tabs>
        <w:ind w:left="14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F700650"/>
    <w:multiLevelType w:val="hybridMultilevel"/>
    <w:tmpl w:val="18027B8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73F72BBC"/>
    <w:multiLevelType w:val="hybridMultilevel"/>
    <w:tmpl w:val="C25E1656"/>
    <w:lvl w:ilvl="0" w:tplc="69E048C8">
      <w:start w:val="1"/>
      <w:numFmt w:val="decimal"/>
      <w:lvlText w:val="%1."/>
      <w:lvlJc w:val="left"/>
      <w:pPr>
        <w:ind w:left="1429" w:hanging="360"/>
      </w:pPr>
      <w:rPr>
        <w:b/>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drawingGridHorizontalSpacing w:val="120"/>
  <w:displayHorizontalDrawingGridEvery w:val="2"/>
  <w:characterSpacingControl w:val="doNotCompress"/>
  <w:hdrShapeDefaults>
    <o:shapedefaults v:ext="edit" spidmax="106498"/>
  </w:hdrShapeDefaults>
  <w:footnotePr>
    <w:footnote w:id="-1"/>
    <w:footnote w:id="0"/>
  </w:footnotePr>
  <w:endnotePr>
    <w:endnote w:id="-1"/>
    <w:endnote w:id="0"/>
  </w:endnotePr>
  <w:compat/>
  <w:rsids>
    <w:rsidRoot w:val="0025054E"/>
    <w:rsid w:val="00000DC6"/>
    <w:rsid w:val="0000211E"/>
    <w:rsid w:val="00003410"/>
    <w:rsid w:val="00003B19"/>
    <w:rsid w:val="000078D0"/>
    <w:rsid w:val="000152BD"/>
    <w:rsid w:val="0001589A"/>
    <w:rsid w:val="00021365"/>
    <w:rsid w:val="0002635F"/>
    <w:rsid w:val="000273B2"/>
    <w:rsid w:val="00031391"/>
    <w:rsid w:val="0003489E"/>
    <w:rsid w:val="00037DEB"/>
    <w:rsid w:val="000417A0"/>
    <w:rsid w:val="00042BFD"/>
    <w:rsid w:val="00042C5D"/>
    <w:rsid w:val="00043D17"/>
    <w:rsid w:val="00045AA4"/>
    <w:rsid w:val="00047951"/>
    <w:rsid w:val="00055F48"/>
    <w:rsid w:val="0005601E"/>
    <w:rsid w:val="00056615"/>
    <w:rsid w:val="00067541"/>
    <w:rsid w:val="00067A8E"/>
    <w:rsid w:val="00070BDD"/>
    <w:rsid w:val="00070D4B"/>
    <w:rsid w:val="00070F46"/>
    <w:rsid w:val="000719EB"/>
    <w:rsid w:val="00071BCE"/>
    <w:rsid w:val="00072617"/>
    <w:rsid w:val="00074574"/>
    <w:rsid w:val="00075AE4"/>
    <w:rsid w:val="00076DA1"/>
    <w:rsid w:val="0007713E"/>
    <w:rsid w:val="00077BCC"/>
    <w:rsid w:val="000813FE"/>
    <w:rsid w:val="000821B6"/>
    <w:rsid w:val="000834EB"/>
    <w:rsid w:val="00085584"/>
    <w:rsid w:val="00085945"/>
    <w:rsid w:val="000861E1"/>
    <w:rsid w:val="00090909"/>
    <w:rsid w:val="00091507"/>
    <w:rsid w:val="0009262F"/>
    <w:rsid w:val="00092A5C"/>
    <w:rsid w:val="000941DC"/>
    <w:rsid w:val="0009694C"/>
    <w:rsid w:val="000A2582"/>
    <w:rsid w:val="000A3AFD"/>
    <w:rsid w:val="000A53B7"/>
    <w:rsid w:val="000A5BA8"/>
    <w:rsid w:val="000B0F68"/>
    <w:rsid w:val="000B3DF6"/>
    <w:rsid w:val="000B5501"/>
    <w:rsid w:val="000C077E"/>
    <w:rsid w:val="000C0A05"/>
    <w:rsid w:val="000C1F73"/>
    <w:rsid w:val="000C5B90"/>
    <w:rsid w:val="000C6739"/>
    <w:rsid w:val="000C74D4"/>
    <w:rsid w:val="000D1DA3"/>
    <w:rsid w:val="000D55D5"/>
    <w:rsid w:val="000D6DBF"/>
    <w:rsid w:val="000D6F7A"/>
    <w:rsid w:val="000E4FE2"/>
    <w:rsid w:val="000E6514"/>
    <w:rsid w:val="000E69CF"/>
    <w:rsid w:val="000E78FD"/>
    <w:rsid w:val="000F2BC8"/>
    <w:rsid w:val="000F4180"/>
    <w:rsid w:val="000F7776"/>
    <w:rsid w:val="000F7BE3"/>
    <w:rsid w:val="000F7F45"/>
    <w:rsid w:val="0010005B"/>
    <w:rsid w:val="001033D2"/>
    <w:rsid w:val="001046B3"/>
    <w:rsid w:val="001124CD"/>
    <w:rsid w:val="00112637"/>
    <w:rsid w:val="00112FAA"/>
    <w:rsid w:val="001164DE"/>
    <w:rsid w:val="00117278"/>
    <w:rsid w:val="00117450"/>
    <w:rsid w:val="0012210E"/>
    <w:rsid w:val="0012283D"/>
    <w:rsid w:val="00126F3C"/>
    <w:rsid w:val="00127FC0"/>
    <w:rsid w:val="0013163A"/>
    <w:rsid w:val="0013243A"/>
    <w:rsid w:val="00134108"/>
    <w:rsid w:val="00135817"/>
    <w:rsid w:val="00135FB5"/>
    <w:rsid w:val="001378B2"/>
    <w:rsid w:val="00137999"/>
    <w:rsid w:val="00140EF8"/>
    <w:rsid w:val="00142110"/>
    <w:rsid w:val="001421C1"/>
    <w:rsid w:val="0014310F"/>
    <w:rsid w:val="001445CD"/>
    <w:rsid w:val="00151DF3"/>
    <w:rsid w:val="0015716F"/>
    <w:rsid w:val="001608B3"/>
    <w:rsid w:val="00163BDC"/>
    <w:rsid w:val="001642C2"/>
    <w:rsid w:val="00164DA0"/>
    <w:rsid w:val="00170E11"/>
    <w:rsid w:val="00174E03"/>
    <w:rsid w:val="00176765"/>
    <w:rsid w:val="00176C62"/>
    <w:rsid w:val="00177A47"/>
    <w:rsid w:val="0018177F"/>
    <w:rsid w:val="00184BDC"/>
    <w:rsid w:val="00184D0F"/>
    <w:rsid w:val="00187F92"/>
    <w:rsid w:val="00190F10"/>
    <w:rsid w:val="0019389F"/>
    <w:rsid w:val="00195584"/>
    <w:rsid w:val="00196161"/>
    <w:rsid w:val="00196DBD"/>
    <w:rsid w:val="001979CF"/>
    <w:rsid w:val="00197BD3"/>
    <w:rsid w:val="001B06BE"/>
    <w:rsid w:val="001B5A55"/>
    <w:rsid w:val="001B5DDC"/>
    <w:rsid w:val="001B66F9"/>
    <w:rsid w:val="001B7E3C"/>
    <w:rsid w:val="001C4A02"/>
    <w:rsid w:val="001C7EE9"/>
    <w:rsid w:val="001D0895"/>
    <w:rsid w:val="001D7075"/>
    <w:rsid w:val="001E3516"/>
    <w:rsid w:val="001F02DE"/>
    <w:rsid w:val="001F45E0"/>
    <w:rsid w:val="001F5ABD"/>
    <w:rsid w:val="001F6081"/>
    <w:rsid w:val="001F6849"/>
    <w:rsid w:val="00201CE8"/>
    <w:rsid w:val="002073F2"/>
    <w:rsid w:val="002123C3"/>
    <w:rsid w:val="00212E85"/>
    <w:rsid w:val="00213B9C"/>
    <w:rsid w:val="00213D88"/>
    <w:rsid w:val="00216D9B"/>
    <w:rsid w:val="00217B0B"/>
    <w:rsid w:val="00217C91"/>
    <w:rsid w:val="00223544"/>
    <w:rsid w:val="00223D2E"/>
    <w:rsid w:val="00223DBE"/>
    <w:rsid w:val="00224CD6"/>
    <w:rsid w:val="00224D10"/>
    <w:rsid w:val="00232BE9"/>
    <w:rsid w:val="00233262"/>
    <w:rsid w:val="00240926"/>
    <w:rsid w:val="0024352A"/>
    <w:rsid w:val="00244A12"/>
    <w:rsid w:val="0025054E"/>
    <w:rsid w:val="00251C8C"/>
    <w:rsid w:val="00254E21"/>
    <w:rsid w:val="0025529F"/>
    <w:rsid w:val="0025539F"/>
    <w:rsid w:val="002562F3"/>
    <w:rsid w:val="00260734"/>
    <w:rsid w:val="00262440"/>
    <w:rsid w:val="00263300"/>
    <w:rsid w:val="00264776"/>
    <w:rsid w:val="00265695"/>
    <w:rsid w:val="00270E39"/>
    <w:rsid w:val="0027237A"/>
    <w:rsid w:val="00272E32"/>
    <w:rsid w:val="002732B0"/>
    <w:rsid w:val="0027464C"/>
    <w:rsid w:val="00274BBC"/>
    <w:rsid w:val="0027599A"/>
    <w:rsid w:val="00275D32"/>
    <w:rsid w:val="0027711D"/>
    <w:rsid w:val="0028227A"/>
    <w:rsid w:val="00286668"/>
    <w:rsid w:val="0029046C"/>
    <w:rsid w:val="00290B24"/>
    <w:rsid w:val="00290B5F"/>
    <w:rsid w:val="00291F54"/>
    <w:rsid w:val="00292BEC"/>
    <w:rsid w:val="00295E94"/>
    <w:rsid w:val="00297DF3"/>
    <w:rsid w:val="002A0E9C"/>
    <w:rsid w:val="002A1456"/>
    <w:rsid w:val="002B1FCA"/>
    <w:rsid w:val="002B22A6"/>
    <w:rsid w:val="002B49AE"/>
    <w:rsid w:val="002B7596"/>
    <w:rsid w:val="002C001F"/>
    <w:rsid w:val="002C29D9"/>
    <w:rsid w:val="002C4525"/>
    <w:rsid w:val="002C48B4"/>
    <w:rsid w:val="002D3962"/>
    <w:rsid w:val="002D65D9"/>
    <w:rsid w:val="002D7F02"/>
    <w:rsid w:val="002E34E9"/>
    <w:rsid w:val="002E55E9"/>
    <w:rsid w:val="002F0BE8"/>
    <w:rsid w:val="002F291A"/>
    <w:rsid w:val="002F2E78"/>
    <w:rsid w:val="002F44E5"/>
    <w:rsid w:val="002F4D5C"/>
    <w:rsid w:val="002F5BBA"/>
    <w:rsid w:val="00300562"/>
    <w:rsid w:val="003008D4"/>
    <w:rsid w:val="00300F93"/>
    <w:rsid w:val="00301CA2"/>
    <w:rsid w:val="00302B4E"/>
    <w:rsid w:val="00302C4F"/>
    <w:rsid w:val="0030318A"/>
    <w:rsid w:val="00304548"/>
    <w:rsid w:val="00304E31"/>
    <w:rsid w:val="003071C6"/>
    <w:rsid w:val="00307798"/>
    <w:rsid w:val="00311335"/>
    <w:rsid w:val="003126C5"/>
    <w:rsid w:val="003127F2"/>
    <w:rsid w:val="003128B1"/>
    <w:rsid w:val="00313AE4"/>
    <w:rsid w:val="00315AF2"/>
    <w:rsid w:val="00317952"/>
    <w:rsid w:val="0032498C"/>
    <w:rsid w:val="00325A90"/>
    <w:rsid w:val="00325E6D"/>
    <w:rsid w:val="00326519"/>
    <w:rsid w:val="003308B4"/>
    <w:rsid w:val="00331581"/>
    <w:rsid w:val="0033429A"/>
    <w:rsid w:val="00334F51"/>
    <w:rsid w:val="003352EE"/>
    <w:rsid w:val="0033658F"/>
    <w:rsid w:val="00336E02"/>
    <w:rsid w:val="0033771F"/>
    <w:rsid w:val="0034020F"/>
    <w:rsid w:val="00340AAD"/>
    <w:rsid w:val="00340F8C"/>
    <w:rsid w:val="003429EB"/>
    <w:rsid w:val="003467E0"/>
    <w:rsid w:val="003505C9"/>
    <w:rsid w:val="00350E4E"/>
    <w:rsid w:val="00352635"/>
    <w:rsid w:val="00354EEE"/>
    <w:rsid w:val="003612AD"/>
    <w:rsid w:val="00362305"/>
    <w:rsid w:val="0036346A"/>
    <w:rsid w:val="00364887"/>
    <w:rsid w:val="003654EF"/>
    <w:rsid w:val="00366054"/>
    <w:rsid w:val="003668C4"/>
    <w:rsid w:val="00367FCF"/>
    <w:rsid w:val="00370FB8"/>
    <w:rsid w:val="00373767"/>
    <w:rsid w:val="00373FC4"/>
    <w:rsid w:val="00374B43"/>
    <w:rsid w:val="00374C94"/>
    <w:rsid w:val="00374F01"/>
    <w:rsid w:val="0037725A"/>
    <w:rsid w:val="00380F0A"/>
    <w:rsid w:val="003828CF"/>
    <w:rsid w:val="00382E39"/>
    <w:rsid w:val="00385016"/>
    <w:rsid w:val="0038509D"/>
    <w:rsid w:val="00387867"/>
    <w:rsid w:val="003946C7"/>
    <w:rsid w:val="00395FC2"/>
    <w:rsid w:val="0039766A"/>
    <w:rsid w:val="00397F2B"/>
    <w:rsid w:val="003A026B"/>
    <w:rsid w:val="003A3D37"/>
    <w:rsid w:val="003B15D9"/>
    <w:rsid w:val="003B1CD3"/>
    <w:rsid w:val="003B3273"/>
    <w:rsid w:val="003B6CC1"/>
    <w:rsid w:val="003C150A"/>
    <w:rsid w:val="003C4FBD"/>
    <w:rsid w:val="003D0144"/>
    <w:rsid w:val="003D2944"/>
    <w:rsid w:val="003D2E7E"/>
    <w:rsid w:val="003D39DC"/>
    <w:rsid w:val="003D68F4"/>
    <w:rsid w:val="003E0307"/>
    <w:rsid w:val="003E1EF8"/>
    <w:rsid w:val="003E2255"/>
    <w:rsid w:val="003E230F"/>
    <w:rsid w:val="003E397A"/>
    <w:rsid w:val="003E7B9B"/>
    <w:rsid w:val="003F3CED"/>
    <w:rsid w:val="003F70BE"/>
    <w:rsid w:val="00402052"/>
    <w:rsid w:val="004021C8"/>
    <w:rsid w:val="00402DB5"/>
    <w:rsid w:val="00402FB2"/>
    <w:rsid w:val="00403724"/>
    <w:rsid w:val="00410EA9"/>
    <w:rsid w:val="0041244D"/>
    <w:rsid w:val="00414504"/>
    <w:rsid w:val="00415EA5"/>
    <w:rsid w:val="00417C12"/>
    <w:rsid w:val="004203C0"/>
    <w:rsid w:val="00423F22"/>
    <w:rsid w:val="004254FD"/>
    <w:rsid w:val="0042761D"/>
    <w:rsid w:val="00430E12"/>
    <w:rsid w:val="004333CC"/>
    <w:rsid w:val="00433C9F"/>
    <w:rsid w:val="00434382"/>
    <w:rsid w:val="0043778A"/>
    <w:rsid w:val="00443395"/>
    <w:rsid w:val="00444B81"/>
    <w:rsid w:val="00446FE7"/>
    <w:rsid w:val="004528AD"/>
    <w:rsid w:val="00453101"/>
    <w:rsid w:val="00454035"/>
    <w:rsid w:val="004554CE"/>
    <w:rsid w:val="00455770"/>
    <w:rsid w:val="00462D42"/>
    <w:rsid w:val="004644DF"/>
    <w:rsid w:val="00471CF2"/>
    <w:rsid w:val="00472E15"/>
    <w:rsid w:val="00473D2E"/>
    <w:rsid w:val="0047548E"/>
    <w:rsid w:val="00475E63"/>
    <w:rsid w:val="00477420"/>
    <w:rsid w:val="00481175"/>
    <w:rsid w:val="00481E36"/>
    <w:rsid w:val="00482FC3"/>
    <w:rsid w:val="00483501"/>
    <w:rsid w:val="00486873"/>
    <w:rsid w:val="00490B14"/>
    <w:rsid w:val="00492A7C"/>
    <w:rsid w:val="004930CF"/>
    <w:rsid w:val="00494D1D"/>
    <w:rsid w:val="00494DC1"/>
    <w:rsid w:val="00497E93"/>
    <w:rsid w:val="004A160B"/>
    <w:rsid w:val="004A27E3"/>
    <w:rsid w:val="004A3DCA"/>
    <w:rsid w:val="004A5363"/>
    <w:rsid w:val="004A5B28"/>
    <w:rsid w:val="004A7BA9"/>
    <w:rsid w:val="004B6C0E"/>
    <w:rsid w:val="004C2705"/>
    <w:rsid w:val="004C4944"/>
    <w:rsid w:val="004C5CB3"/>
    <w:rsid w:val="004C629B"/>
    <w:rsid w:val="004D2858"/>
    <w:rsid w:val="004D43E5"/>
    <w:rsid w:val="004E1707"/>
    <w:rsid w:val="004E271D"/>
    <w:rsid w:val="004E395C"/>
    <w:rsid w:val="004E4751"/>
    <w:rsid w:val="004E4EC9"/>
    <w:rsid w:val="004E787A"/>
    <w:rsid w:val="004F188F"/>
    <w:rsid w:val="004F2CCB"/>
    <w:rsid w:val="004F684F"/>
    <w:rsid w:val="00501078"/>
    <w:rsid w:val="00502590"/>
    <w:rsid w:val="005028F8"/>
    <w:rsid w:val="00506491"/>
    <w:rsid w:val="00510C9D"/>
    <w:rsid w:val="00513B62"/>
    <w:rsid w:val="005245E6"/>
    <w:rsid w:val="00525431"/>
    <w:rsid w:val="00527813"/>
    <w:rsid w:val="005279E4"/>
    <w:rsid w:val="005316DD"/>
    <w:rsid w:val="005326BA"/>
    <w:rsid w:val="005333A7"/>
    <w:rsid w:val="00533660"/>
    <w:rsid w:val="005361EB"/>
    <w:rsid w:val="00536844"/>
    <w:rsid w:val="005377D8"/>
    <w:rsid w:val="0054020D"/>
    <w:rsid w:val="0054184F"/>
    <w:rsid w:val="005439C0"/>
    <w:rsid w:val="0054497B"/>
    <w:rsid w:val="00544D78"/>
    <w:rsid w:val="00545088"/>
    <w:rsid w:val="00546133"/>
    <w:rsid w:val="00550161"/>
    <w:rsid w:val="005508F9"/>
    <w:rsid w:val="00551F21"/>
    <w:rsid w:val="00552733"/>
    <w:rsid w:val="00555EF3"/>
    <w:rsid w:val="005566B5"/>
    <w:rsid w:val="00560322"/>
    <w:rsid w:val="0056121D"/>
    <w:rsid w:val="005626B9"/>
    <w:rsid w:val="00563B7E"/>
    <w:rsid w:val="0056490F"/>
    <w:rsid w:val="005650FA"/>
    <w:rsid w:val="005733FD"/>
    <w:rsid w:val="0057370F"/>
    <w:rsid w:val="00574ECC"/>
    <w:rsid w:val="00575D93"/>
    <w:rsid w:val="00575ED2"/>
    <w:rsid w:val="00576F1F"/>
    <w:rsid w:val="00582D55"/>
    <w:rsid w:val="005850DD"/>
    <w:rsid w:val="00593E03"/>
    <w:rsid w:val="00597366"/>
    <w:rsid w:val="00597C66"/>
    <w:rsid w:val="005A17D7"/>
    <w:rsid w:val="005A1C61"/>
    <w:rsid w:val="005A6A76"/>
    <w:rsid w:val="005B1351"/>
    <w:rsid w:val="005B182E"/>
    <w:rsid w:val="005B3488"/>
    <w:rsid w:val="005B515A"/>
    <w:rsid w:val="005B6CB5"/>
    <w:rsid w:val="005B7F13"/>
    <w:rsid w:val="005C2662"/>
    <w:rsid w:val="005C2783"/>
    <w:rsid w:val="005C31E4"/>
    <w:rsid w:val="005C5D2A"/>
    <w:rsid w:val="005D0A29"/>
    <w:rsid w:val="005D207F"/>
    <w:rsid w:val="005D270B"/>
    <w:rsid w:val="005D361F"/>
    <w:rsid w:val="005D53A0"/>
    <w:rsid w:val="005D7722"/>
    <w:rsid w:val="005E3D43"/>
    <w:rsid w:val="005E524E"/>
    <w:rsid w:val="005F1C06"/>
    <w:rsid w:val="005F4EF6"/>
    <w:rsid w:val="005F701B"/>
    <w:rsid w:val="005F72A5"/>
    <w:rsid w:val="005F757D"/>
    <w:rsid w:val="00604430"/>
    <w:rsid w:val="00610B8C"/>
    <w:rsid w:val="00611188"/>
    <w:rsid w:val="006206DA"/>
    <w:rsid w:val="00620B73"/>
    <w:rsid w:val="00625A98"/>
    <w:rsid w:val="00633E4C"/>
    <w:rsid w:val="0063689B"/>
    <w:rsid w:val="006401DA"/>
    <w:rsid w:val="00640382"/>
    <w:rsid w:val="00641CED"/>
    <w:rsid w:val="006425E2"/>
    <w:rsid w:val="00645654"/>
    <w:rsid w:val="00650040"/>
    <w:rsid w:val="00657E72"/>
    <w:rsid w:val="00662C47"/>
    <w:rsid w:val="006654A5"/>
    <w:rsid w:val="0066602A"/>
    <w:rsid w:val="00666900"/>
    <w:rsid w:val="006674DA"/>
    <w:rsid w:val="0066763B"/>
    <w:rsid w:val="0067069D"/>
    <w:rsid w:val="006711E9"/>
    <w:rsid w:val="00671277"/>
    <w:rsid w:val="00671996"/>
    <w:rsid w:val="00673E4A"/>
    <w:rsid w:val="006770CD"/>
    <w:rsid w:val="00677FB0"/>
    <w:rsid w:val="00680E3B"/>
    <w:rsid w:val="00683392"/>
    <w:rsid w:val="006836B3"/>
    <w:rsid w:val="00686CEA"/>
    <w:rsid w:val="00686F93"/>
    <w:rsid w:val="00687366"/>
    <w:rsid w:val="006964D1"/>
    <w:rsid w:val="0069724B"/>
    <w:rsid w:val="006A36BD"/>
    <w:rsid w:val="006A6394"/>
    <w:rsid w:val="006A6EAB"/>
    <w:rsid w:val="006B0454"/>
    <w:rsid w:val="006B2C56"/>
    <w:rsid w:val="006B3C22"/>
    <w:rsid w:val="006B64A1"/>
    <w:rsid w:val="006C17D8"/>
    <w:rsid w:val="006C1D78"/>
    <w:rsid w:val="006C215C"/>
    <w:rsid w:val="006C298F"/>
    <w:rsid w:val="006C79D2"/>
    <w:rsid w:val="006D08AE"/>
    <w:rsid w:val="006D11CF"/>
    <w:rsid w:val="006D1D03"/>
    <w:rsid w:val="006D3420"/>
    <w:rsid w:val="006D52AB"/>
    <w:rsid w:val="006D59C9"/>
    <w:rsid w:val="006D6FBF"/>
    <w:rsid w:val="006E04F0"/>
    <w:rsid w:val="006E0E98"/>
    <w:rsid w:val="006E1077"/>
    <w:rsid w:val="006E2177"/>
    <w:rsid w:val="006E2679"/>
    <w:rsid w:val="006E2951"/>
    <w:rsid w:val="006E3F29"/>
    <w:rsid w:val="006F076E"/>
    <w:rsid w:val="006F539D"/>
    <w:rsid w:val="006F55B1"/>
    <w:rsid w:val="006F5633"/>
    <w:rsid w:val="006F59BF"/>
    <w:rsid w:val="00701DC8"/>
    <w:rsid w:val="007045BE"/>
    <w:rsid w:val="00705250"/>
    <w:rsid w:val="0071187F"/>
    <w:rsid w:val="00715965"/>
    <w:rsid w:val="00720986"/>
    <w:rsid w:val="00722BFA"/>
    <w:rsid w:val="00726FA0"/>
    <w:rsid w:val="007316F8"/>
    <w:rsid w:val="007322C5"/>
    <w:rsid w:val="00732F6E"/>
    <w:rsid w:val="00734ABF"/>
    <w:rsid w:val="007363B5"/>
    <w:rsid w:val="00736C49"/>
    <w:rsid w:val="0074011C"/>
    <w:rsid w:val="007420BC"/>
    <w:rsid w:val="0074257C"/>
    <w:rsid w:val="00747C17"/>
    <w:rsid w:val="00750A83"/>
    <w:rsid w:val="00751E6F"/>
    <w:rsid w:val="00753F18"/>
    <w:rsid w:val="00757C6B"/>
    <w:rsid w:val="00760326"/>
    <w:rsid w:val="007613BC"/>
    <w:rsid w:val="0076173E"/>
    <w:rsid w:val="00761F35"/>
    <w:rsid w:val="00763A05"/>
    <w:rsid w:val="007642E6"/>
    <w:rsid w:val="00764767"/>
    <w:rsid w:val="007753BD"/>
    <w:rsid w:val="00776B75"/>
    <w:rsid w:val="00780E33"/>
    <w:rsid w:val="0078273D"/>
    <w:rsid w:val="00783FDB"/>
    <w:rsid w:val="00784DFB"/>
    <w:rsid w:val="007850EB"/>
    <w:rsid w:val="00786AC6"/>
    <w:rsid w:val="00787029"/>
    <w:rsid w:val="007905A3"/>
    <w:rsid w:val="00793094"/>
    <w:rsid w:val="00793D25"/>
    <w:rsid w:val="00794686"/>
    <w:rsid w:val="007946FC"/>
    <w:rsid w:val="007959CE"/>
    <w:rsid w:val="00796028"/>
    <w:rsid w:val="00797829"/>
    <w:rsid w:val="007A09B2"/>
    <w:rsid w:val="007A2CE2"/>
    <w:rsid w:val="007A71FD"/>
    <w:rsid w:val="007A79E7"/>
    <w:rsid w:val="007B51AC"/>
    <w:rsid w:val="007B6460"/>
    <w:rsid w:val="007B7701"/>
    <w:rsid w:val="007C3B03"/>
    <w:rsid w:val="007C4F64"/>
    <w:rsid w:val="007C7AE3"/>
    <w:rsid w:val="007C7CD0"/>
    <w:rsid w:val="007D2740"/>
    <w:rsid w:val="007D2F84"/>
    <w:rsid w:val="007D3659"/>
    <w:rsid w:val="007D37F8"/>
    <w:rsid w:val="007D405A"/>
    <w:rsid w:val="007D57B7"/>
    <w:rsid w:val="007D6DA8"/>
    <w:rsid w:val="007E0743"/>
    <w:rsid w:val="007E4090"/>
    <w:rsid w:val="007E4D30"/>
    <w:rsid w:val="007E62B5"/>
    <w:rsid w:val="007E7B96"/>
    <w:rsid w:val="007E7D8D"/>
    <w:rsid w:val="007E7FA5"/>
    <w:rsid w:val="007F0888"/>
    <w:rsid w:val="007F15F4"/>
    <w:rsid w:val="007F4CF9"/>
    <w:rsid w:val="007F6C71"/>
    <w:rsid w:val="00800451"/>
    <w:rsid w:val="0080537E"/>
    <w:rsid w:val="00807617"/>
    <w:rsid w:val="00813CB0"/>
    <w:rsid w:val="00814C46"/>
    <w:rsid w:val="00816C3F"/>
    <w:rsid w:val="00820AC3"/>
    <w:rsid w:val="00820E88"/>
    <w:rsid w:val="008219CE"/>
    <w:rsid w:val="00822A37"/>
    <w:rsid w:val="008319B8"/>
    <w:rsid w:val="0083321F"/>
    <w:rsid w:val="00834E26"/>
    <w:rsid w:val="008371AC"/>
    <w:rsid w:val="008422B2"/>
    <w:rsid w:val="00843A5E"/>
    <w:rsid w:val="008462E8"/>
    <w:rsid w:val="00850102"/>
    <w:rsid w:val="0085500C"/>
    <w:rsid w:val="00856668"/>
    <w:rsid w:val="00866EB5"/>
    <w:rsid w:val="0087097E"/>
    <w:rsid w:val="00870DC2"/>
    <w:rsid w:val="008716D3"/>
    <w:rsid w:val="00871D8A"/>
    <w:rsid w:val="00872D1E"/>
    <w:rsid w:val="00873D57"/>
    <w:rsid w:val="00874E33"/>
    <w:rsid w:val="008814E7"/>
    <w:rsid w:val="00884DF0"/>
    <w:rsid w:val="00886B58"/>
    <w:rsid w:val="00886FBE"/>
    <w:rsid w:val="008907A1"/>
    <w:rsid w:val="00890945"/>
    <w:rsid w:val="00891924"/>
    <w:rsid w:val="00894740"/>
    <w:rsid w:val="008970F4"/>
    <w:rsid w:val="00897A24"/>
    <w:rsid w:val="008A11AB"/>
    <w:rsid w:val="008A20C6"/>
    <w:rsid w:val="008A571B"/>
    <w:rsid w:val="008B0245"/>
    <w:rsid w:val="008B195A"/>
    <w:rsid w:val="008B2BD2"/>
    <w:rsid w:val="008B3A19"/>
    <w:rsid w:val="008B403C"/>
    <w:rsid w:val="008B4542"/>
    <w:rsid w:val="008B532F"/>
    <w:rsid w:val="008C319C"/>
    <w:rsid w:val="008C3494"/>
    <w:rsid w:val="008D2372"/>
    <w:rsid w:val="008D6266"/>
    <w:rsid w:val="008D6F8F"/>
    <w:rsid w:val="008E5B49"/>
    <w:rsid w:val="008E6345"/>
    <w:rsid w:val="008E660D"/>
    <w:rsid w:val="008E75F7"/>
    <w:rsid w:val="008F04E4"/>
    <w:rsid w:val="008F2B60"/>
    <w:rsid w:val="008F2FC7"/>
    <w:rsid w:val="008F3A6E"/>
    <w:rsid w:val="008F6276"/>
    <w:rsid w:val="008F68F9"/>
    <w:rsid w:val="009031B7"/>
    <w:rsid w:val="00903B44"/>
    <w:rsid w:val="009056A3"/>
    <w:rsid w:val="00905942"/>
    <w:rsid w:val="00910238"/>
    <w:rsid w:val="0091087D"/>
    <w:rsid w:val="0091202F"/>
    <w:rsid w:val="00914C33"/>
    <w:rsid w:val="00915794"/>
    <w:rsid w:val="009160E5"/>
    <w:rsid w:val="00916288"/>
    <w:rsid w:val="00916762"/>
    <w:rsid w:val="00917766"/>
    <w:rsid w:val="00920A2D"/>
    <w:rsid w:val="00921DAF"/>
    <w:rsid w:val="00923BBF"/>
    <w:rsid w:val="00927FC4"/>
    <w:rsid w:val="00931775"/>
    <w:rsid w:val="009322C0"/>
    <w:rsid w:val="00932CB7"/>
    <w:rsid w:val="00933180"/>
    <w:rsid w:val="00933E68"/>
    <w:rsid w:val="00934A59"/>
    <w:rsid w:val="0093778F"/>
    <w:rsid w:val="00942861"/>
    <w:rsid w:val="00942FFD"/>
    <w:rsid w:val="0094423F"/>
    <w:rsid w:val="009459CE"/>
    <w:rsid w:val="0094607B"/>
    <w:rsid w:val="00947809"/>
    <w:rsid w:val="009510C0"/>
    <w:rsid w:val="00953F6C"/>
    <w:rsid w:val="00954780"/>
    <w:rsid w:val="009621EA"/>
    <w:rsid w:val="00966B34"/>
    <w:rsid w:val="00967A8C"/>
    <w:rsid w:val="00970060"/>
    <w:rsid w:val="00970F88"/>
    <w:rsid w:val="00972E14"/>
    <w:rsid w:val="00977DB2"/>
    <w:rsid w:val="00981832"/>
    <w:rsid w:val="00984C95"/>
    <w:rsid w:val="0098522E"/>
    <w:rsid w:val="009870DB"/>
    <w:rsid w:val="00987141"/>
    <w:rsid w:val="009875A9"/>
    <w:rsid w:val="00995B13"/>
    <w:rsid w:val="0099640E"/>
    <w:rsid w:val="0099652A"/>
    <w:rsid w:val="00996C1B"/>
    <w:rsid w:val="009A0EED"/>
    <w:rsid w:val="009A2427"/>
    <w:rsid w:val="009A483B"/>
    <w:rsid w:val="009A6376"/>
    <w:rsid w:val="009A7420"/>
    <w:rsid w:val="009B2171"/>
    <w:rsid w:val="009B6460"/>
    <w:rsid w:val="009C337C"/>
    <w:rsid w:val="009C3650"/>
    <w:rsid w:val="009C384D"/>
    <w:rsid w:val="009C4352"/>
    <w:rsid w:val="009C53A3"/>
    <w:rsid w:val="009D131E"/>
    <w:rsid w:val="009D29F6"/>
    <w:rsid w:val="009D2F9B"/>
    <w:rsid w:val="009D41C3"/>
    <w:rsid w:val="009D44D5"/>
    <w:rsid w:val="009D55F6"/>
    <w:rsid w:val="009E0654"/>
    <w:rsid w:val="009E0AEE"/>
    <w:rsid w:val="009E1862"/>
    <w:rsid w:val="009E2BD7"/>
    <w:rsid w:val="009E2D8E"/>
    <w:rsid w:val="009E2E95"/>
    <w:rsid w:val="009E3FE2"/>
    <w:rsid w:val="009E44C7"/>
    <w:rsid w:val="009E768F"/>
    <w:rsid w:val="009E7D6E"/>
    <w:rsid w:val="009F4096"/>
    <w:rsid w:val="009F4A7D"/>
    <w:rsid w:val="009F5C2D"/>
    <w:rsid w:val="009F6980"/>
    <w:rsid w:val="009F734A"/>
    <w:rsid w:val="00A00AD8"/>
    <w:rsid w:val="00A04E98"/>
    <w:rsid w:val="00A04EE9"/>
    <w:rsid w:val="00A05634"/>
    <w:rsid w:val="00A05D2D"/>
    <w:rsid w:val="00A06854"/>
    <w:rsid w:val="00A10975"/>
    <w:rsid w:val="00A139CB"/>
    <w:rsid w:val="00A13F53"/>
    <w:rsid w:val="00A158B9"/>
    <w:rsid w:val="00A16DC9"/>
    <w:rsid w:val="00A17D80"/>
    <w:rsid w:val="00A20D59"/>
    <w:rsid w:val="00A20ECF"/>
    <w:rsid w:val="00A23444"/>
    <w:rsid w:val="00A2466F"/>
    <w:rsid w:val="00A31889"/>
    <w:rsid w:val="00A320D5"/>
    <w:rsid w:val="00A333A1"/>
    <w:rsid w:val="00A35CC6"/>
    <w:rsid w:val="00A369F6"/>
    <w:rsid w:val="00A371A3"/>
    <w:rsid w:val="00A42245"/>
    <w:rsid w:val="00A42B96"/>
    <w:rsid w:val="00A43137"/>
    <w:rsid w:val="00A439B7"/>
    <w:rsid w:val="00A51D87"/>
    <w:rsid w:val="00A5621F"/>
    <w:rsid w:val="00A562F4"/>
    <w:rsid w:val="00A57972"/>
    <w:rsid w:val="00A6005F"/>
    <w:rsid w:val="00A67209"/>
    <w:rsid w:val="00A67873"/>
    <w:rsid w:val="00A75B68"/>
    <w:rsid w:val="00A76771"/>
    <w:rsid w:val="00A773C3"/>
    <w:rsid w:val="00A77DEB"/>
    <w:rsid w:val="00A850F4"/>
    <w:rsid w:val="00A905B6"/>
    <w:rsid w:val="00A90ABB"/>
    <w:rsid w:val="00A93FF9"/>
    <w:rsid w:val="00AA1F67"/>
    <w:rsid w:val="00AA3D83"/>
    <w:rsid w:val="00AA5EB6"/>
    <w:rsid w:val="00AB0BD5"/>
    <w:rsid w:val="00AB2D0E"/>
    <w:rsid w:val="00AB4B47"/>
    <w:rsid w:val="00AC25B1"/>
    <w:rsid w:val="00AC28FB"/>
    <w:rsid w:val="00AC4609"/>
    <w:rsid w:val="00AD07B7"/>
    <w:rsid w:val="00AD1696"/>
    <w:rsid w:val="00AD2243"/>
    <w:rsid w:val="00AD47FA"/>
    <w:rsid w:val="00AD702B"/>
    <w:rsid w:val="00AE0E44"/>
    <w:rsid w:val="00AE19F3"/>
    <w:rsid w:val="00AE47A1"/>
    <w:rsid w:val="00AE6B51"/>
    <w:rsid w:val="00AE72FF"/>
    <w:rsid w:val="00AE775A"/>
    <w:rsid w:val="00AF01A8"/>
    <w:rsid w:val="00AF6D6F"/>
    <w:rsid w:val="00B02EE4"/>
    <w:rsid w:val="00B02EF0"/>
    <w:rsid w:val="00B033EF"/>
    <w:rsid w:val="00B03F5E"/>
    <w:rsid w:val="00B054A0"/>
    <w:rsid w:val="00B10CBC"/>
    <w:rsid w:val="00B245C8"/>
    <w:rsid w:val="00B2601C"/>
    <w:rsid w:val="00B36329"/>
    <w:rsid w:val="00B44855"/>
    <w:rsid w:val="00B45543"/>
    <w:rsid w:val="00B45CC5"/>
    <w:rsid w:val="00B473ED"/>
    <w:rsid w:val="00B5224C"/>
    <w:rsid w:val="00B6396B"/>
    <w:rsid w:val="00B64B06"/>
    <w:rsid w:val="00B65C9D"/>
    <w:rsid w:val="00B678B6"/>
    <w:rsid w:val="00B71B89"/>
    <w:rsid w:val="00B7330C"/>
    <w:rsid w:val="00B80C8B"/>
    <w:rsid w:val="00B81D0E"/>
    <w:rsid w:val="00B82136"/>
    <w:rsid w:val="00B82AF9"/>
    <w:rsid w:val="00B85715"/>
    <w:rsid w:val="00B92DF9"/>
    <w:rsid w:val="00B96D35"/>
    <w:rsid w:val="00BA06A2"/>
    <w:rsid w:val="00BA285B"/>
    <w:rsid w:val="00BA46D1"/>
    <w:rsid w:val="00BB2118"/>
    <w:rsid w:val="00BB222D"/>
    <w:rsid w:val="00BB4CD5"/>
    <w:rsid w:val="00BB4D9A"/>
    <w:rsid w:val="00BB4E2B"/>
    <w:rsid w:val="00BC047E"/>
    <w:rsid w:val="00BC1538"/>
    <w:rsid w:val="00BC2744"/>
    <w:rsid w:val="00BC431A"/>
    <w:rsid w:val="00BC65B9"/>
    <w:rsid w:val="00BC684A"/>
    <w:rsid w:val="00BD410C"/>
    <w:rsid w:val="00BD55D6"/>
    <w:rsid w:val="00BD58F2"/>
    <w:rsid w:val="00BE35FD"/>
    <w:rsid w:val="00BE52C7"/>
    <w:rsid w:val="00BE546B"/>
    <w:rsid w:val="00BF06E6"/>
    <w:rsid w:val="00BF1323"/>
    <w:rsid w:val="00BF2361"/>
    <w:rsid w:val="00BF499F"/>
    <w:rsid w:val="00C00310"/>
    <w:rsid w:val="00C01EA2"/>
    <w:rsid w:val="00C02D59"/>
    <w:rsid w:val="00C03818"/>
    <w:rsid w:val="00C04B46"/>
    <w:rsid w:val="00C061EF"/>
    <w:rsid w:val="00C07149"/>
    <w:rsid w:val="00C11608"/>
    <w:rsid w:val="00C11772"/>
    <w:rsid w:val="00C13B56"/>
    <w:rsid w:val="00C231B9"/>
    <w:rsid w:val="00C23720"/>
    <w:rsid w:val="00C30622"/>
    <w:rsid w:val="00C34BB3"/>
    <w:rsid w:val="00C350EA"/>
    <w:rsid w:val="00C3712B"/>
    <w:rsid w:val="00C37788"/>
    <w:rsid w:val="00C44604"/>
    <w:rsid w:val="00C47DDF"/>
    <w:rsid w:val="00C52F19"/>
    <w:rsid w:val="00C6556A"/>
    <w:rsid w:val="00C80DEA"/>
    <w:rsid w:val="00C87947"/>
    <w:rsid w:val="00C90CAD"/>
    <w:rsid w:val="00CA1475"/>
    <w:rsid w:val="00CA2927"/>
    <w:rsid w:val="00CA34D9"/>
    <w:rsid w:val="00CA41B6"/>
    <w:rsid w:val="00CA50C6"/>
    <w:rsid w:val="00CA786A"/>
    <w:rsid w:val="00CB0722"/>
    <w:rsid w:val="00CB335D"/>
    <w:rsid w:val="00CB3E0E"/>
    <w:rsid w:val="00CB5DAC"/>
    <w:rsid w:val="00CC0DC9"/>
    <w:rsid w:val="00CC35D0"/>
    <w:rsid w:val="00CC3789"/>
    <w:rsid w:val="00CC5351"/>
    <w:rsid w:val="00CC59DE"/>
    <w:rsid w:val="00CC624E"/>
    <w:rsid w:val="00CC708A"/>
    <w:rsid w:val="00CC77AB"/>
    <w:rsid w:val="00CD01F7"/>
    <w:rsid w:val="00CD0415"/>
    <w:rsid w:val="00CD0D33"/>
    <w:rsid w:val="00CD21B4"/>
    <w:rsid w:val="00CD342E"/>
    <w:rsid w:val="00CD510B"/>
    <w:rsid w:val="00CE1CA3"/>
    <w:rsid w:val="00CE342D"/>
    <w:rsid w:val="00CE46A3"/>
    <w:rsid w:val="00CE4CFC"/>
    <w:rsid w:val="00CE69EE"/>
    <w:rsid w:val="00CE7AD3"/>
    <w:rsid w:val="00CF173C"/>
    <w:rsid w:val="00CF23EF"/>
    <w:rsid w:val="00CF3052"/>
    <w:rsid w:val="00CF612E"/>
    <w:rsid w:val="00D068D6"/>
    <w:rsid w:val="00D12E23"/>
    <w:rsid w:val="00D14B22"/>
    <w:rsid w:val="00D2043F"/>
    <w:rsid w:val="00D230B0"/>
    <w:rsid w:val="00D23BE7"/>
    <w:rsid w:val="00D24C72"/>
    <w:rsid w:val="00D30021"/>
    <w:rsid w:val="00D31121"/>
    <w:rsid w:val="00D3128D"/>
    <w:rsid w:val="00D3197F"/>
    <w:rsid w:val="00D333B6"/>
    <w:rsid w:val="00D3384B"/>
    <w:rsid w:val="00D33E28"/>
    <w:rsid w:val="00D35C04"/>
    <w:rsid w:val="00D35F63"/>
    <w:rsid w:val="00D4347C"/>
    <w:rsid w:val="00D448D3"/>
    <w:rsid w:val="00D454D9"/>
    <w:rsid w:val="00D4561D"/>
    <w:rsid w:val="00D462B0"/>
    <w:rsid w:val="00D47E93"/>
    <w:rsid w:val="00D535E6"/>
    <w:rsid w:val="00D56C7E"/>
    <w:rsid w:val="00D67DE4"/>
    <w:rsid w:val="00D71EC6"/>
    <w:rsid w:val="00D754F5"/>
    <w:rsid w:val="00D76501"/>
    <w:rsid w:val="00D82615"/>
    <w:rsid w:val="00D831FF"/>
    <w:rsid w:val="00D83C7B"/>
    <w:rsid w:val="00D84C21"/>
    <w:rsid w:val="00D85B92"/>
    <w:rsid w:val="00D9046B"/>
    <w:rsid w:val="00D90F98"/>
    <w:rsid w:val="00D92A42"/>
    <w:rsid w:val="00D92E39"/>
    <w:rsid w:val="00D94DB7"/>
    <w:rsid w:val="00DA2FC4"/>
    <w:rsid w:val="00DA3C93"/>
    <w:rsid w:val="00DA563B"/>
    <w:rsid w:val="00DA7620"/>
    <w:rsid w:val="00DB0B7E"/>
    <w:rsid w:val="00DB1132"/>
    <w:rsid w:val="00DB434A"/>
    <w:rsid w:val="00DB5EFE"/>
    <w:rsid w:val="00DB6F31"/>
    <w:rsid w:val="00DB789D"/>
    <w:rsid w:val="00DC0F25"/>
    <w:rsid w:val="00DC1149"/>
    <w:rsid w:val="00DC14D8"/>
    <w:rsid w:val="00DC4320"/>
    <w:rsid w:val="00DD0BED"/>
    <w:rsid w:val="00DD23DB"/>
    <w:rsid w:val="00DD780D"/>
    <w:rsid w:val="00DE57F1"/>
    <w:rsid w:val="00DF4B71"/>
    <w:rsid w:val="00DF5988"/>
    <w:rsid w:val="00E00C71"/>
    <w:rsid w:val="00E04FAD"/>
    <w:rsid w:val="00E05CA7"/>
    <w:rsid w:val="00E071C2"/>
    <w:rsid w:val="00E07A03"/>
    <w:rsid w:val="00E127B4"/>
    <w:rsid w:val="00E14F70"/>
    <w:rsid w:val="00E16FEB"/>
    <w:rsid w:val="00E176CC"/>
    <w:rsid w:val="00E177C7"/>
    <w:rsid w:val="00E20805"/>
    <w:rsid w:val="00E214D5"/>
    <w:rsid w:val="00E24EF9"/>
    <w:rsid w:val="00E26375"/>
    <w:rsid w:val="00E274D9"/>
    <w:rsid w:val="00E307B3"/>
    <w:rsid w:val="00E36137"/>
    <w:rsid w:val="00E36B3F"/>
    <w:rsid w:val="00E36CF9"/>
    <w:rsid w:val="00E37A29"/>
    <w:rsid w:val="00E41B59"/>
    <w:rsid w:val="00E420A1"/>
    <w:rsid w:val="00E425F2"/>
    <w:rsid w:val="00E43BB1"/>
    <w:rsid w:val="00E45F65"/>
    <w:rsid w:val="00E519C7"/>
    <w:rsid w:val="00E54701"/>
    <w:rsid w:val="00E56435"/>
    <w:rsid w:val="00E56B96"/>
    <w:rsid w:val="00E60CE2"/>
    <w:rsid w:val="00E64F94"/>
    <w:rsid w:val="00E65921"/>
    <w:rsid w:val="00E65CEB"/>
    <w:rsid w:val="00E66324"/>
    <w:rsid w:val="00E67778"/>
    <w:rsid w:val="00E67E20"/>
    <w:rsid w:val="00E700D4"/>
    <w:rsid w:val="00E73F1C"/>
    <w:rsid w:val="00E75164"/>
    <w:rsid w:val="00E753D9"/>
    <w:rsid w:val="00E8356C"/>
    <w:rsid w:val="00E856A5"/>
    <w:rsid w:val="00E86920"/>
    <w:rsid w:val="00E874F6"/>
    <w:rsid w:val="00E8775F"/>
    <w:rsid w:val="00E91889"/>
    <w:rsid w:val="00E94596"/>
    <w:rsid w:val="00E971C9"/>
    <w:rsid w:val="00EA1F8F"/>
    <w:rsid w:val="00EA3B33"/>
    <w:rsid w:val="00EA589A"/>
    <w:rsid w:val="00EA59C6"/>
    <w:rsid w:val="00EA69CC"/>
    <w:rsid w:val="00EA73E6"/>
    <w:rsid w:val="00EA754B"/>
    <w:rsid w:val="00EA7C48"/>
    <w:rsid w:val="00EB0839"/>
    <w:rsid w:val="00EB1E01"/>
    <w:rsid w:val="00EB23A4"/>
    <w:rsid w:val="00EB23AA"/>
    <w:rsid w:val="00EB27D5"/>
    <w:rsid w:val="00EB3A3D"/>
    <w:rsid w:val="00EB459A"/>
    <w:rsid w:val="00EB7630"/>
    <w:rsid w:val="00EC0AFF"/>
    <w:rsid w:val="00EC4197"/>
    <w:rsid w:val="00EC65ED"/>
    <w:rsid w:val="00EC68B4"/>
    <w:rsid w:val="00ED1ED9"/>
    <w:rsid w:val="00ED32AB"/>
    <w:rsid w:val="00ED3F0D"/>
    <w:rsid w:val="00ED53A7"/>
    <w:rsid w:val="00ED6977"/>
    <w:rsid w:val="00EE041D"/>
    <w:rsid w:val="00EE1306"/>
    <w:rsid w:val="00EE1BFB"/>
    <w:rsid w:val="00EE20C6"/>
    <w:rsid w:val="00EE5EB6"/>
    <w:rsid w:val="00EF0DE8"/>
    <w:rsid w:val="00EF10D7"/>
    <w:rsid w:val="00EF57CB"/>
    <w:rsid w:val="00F025D6"/>
    <w:rsid w:val="00F0575A"/>
    <w:rsid w:val="00F05E74"/>
    <w:rsid w:val="00F05F56"/>
    <w:rsid w:val="00F063B4"/>
    <w:rsid w:val="00F0766A"/>
    <w:rsid w:val="00F10261"/>
    <w:rsid w:val="00F10434"/>
    <w:rsid w:val="00F12173"/>
    <w:rsid w:val="00F1632A"/>
    <w:rsid w:val="00F202C7"/>
    <w:rsid w:val="00F21970"/>
    <w:rsid w:val="00F2419D"/>
    <w:rsid w:val="00F30239"/>
    <w:rsid w:val="00F3082A"/>
    <w:rsid w:val="00F316FE"/>
    <w:rsid w:val="00F3193A"/>
    <w:rsid w:val="00F50F0C"/>
    <w:rsid w:val="00F50FE5"/>
    <w:rsid w:val="00F51CEC"/>
    <w:rsid w:val="00F51F0F"/>
    <w:rsid w:val="00F52B39"/>
    <w:rsid w:val="00F542D2"/>
    <w:rsid w:val="00F55C3C"/>
    <w:rsid w:val="00F60CAB"/>
    <w:rsid w:val="00F63F5F"/>
    <w:rsid w:val="00F67330"/>
    <w:rsid w:val="00F67901"/>
    <w:rsid w:val="00F70101"/>
    <w:rsid w:val="00F76F26"/>
    <w:rsid w:val="00F83D87"/>
    <w:rsid w:val="00F87E95"/>
    <w:rsid w:val="00F9277F"/>
    <w:rsid w:val="00F94A3D"/>
    <w:rsid w:val="00F953AC"/>
    <w:rsid w:val="00FA3216"/>
    <w:rsid w:val="00FA3EA1"/>
    <w:rsid w:val="00FA48DA"/>
    <w:rsid w:val="00FA6846"/>
    <w:rsid w:val="00FA762B"/>
    <w:rsid w:val="00FA7C01"/>
    <w:rsid w:val="00FB1CB3"/>
    <w:rsid w:val="00FB2970"/>
    <w:rsid w:val="00FB2FA4"/>
    <w:rsid w:val="00FB3A62"/>
    <w:rsid w:val="00FB4484"/>
    <w:rsid w:val="00FC47D8"/>
    <w:rsid w:val="00FC6953"/>
    <w:rsid w:val="00FC7446"/>
    <w:rsid w:val="00FC7616"/>
    <w:rsid w:val="00FD091D"/>
    <w:rsid w:val="00FD39C2"/>
    <w:rsid w:val="00FD4A1D"/>
    <w:rsid w:val="00FD4B5D"/>
    <w:rsid w:val="00FD64CB"/>
    <w:rsid w:val="00FE1BD4"/>
    <w:rsid w:val="00FE1DC2"/>
    <w:rsid w:val="00FE22A4"/>
    <w:rsid w:val="00FE56D5"/>
    <w:rsid w:val="00FE76FC"/>
    <w:rsid w:val="00FF121E"/>
    <w:rsid w:val="00FF1BB7"/>
    <w:rsid w:val="00FF1C4E"/>
    <w:rsid w:val="00FF2F20"/>
    <w:rsid w:val="00FF3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92BE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25054E"/>
    <w:pPr>
      <w:autoSpaceDE w:val="0"/>
      <w:autoSpaceDN w:val="0"/>
      <w:adjustRightInd w:val="0"/>
      <w:spacing w:before="108" w:after="108"/>
      <w:jc w:val="center"/>
      <w:outlineLvl w:val="0"/>
    </w:pPr>
    <w:rPr>
      <w:rFonts w:ascii="Arial" w:hAnsi="Arial"/>
      <w:b/>
      <w:bCs/>
      <w:color w:val="000080"/>
      <w:sz w:val="18"/>
      <w:szCs w:val="18"/>
    </w:rPr>
  </w:style>
  <w:style w:type="paragraph" w:styleId="2">
    <w:name w:val="heading 2"/>
    <w:basedOn w:val="a0"/>
    <w:next w:val="a0"/>
    <w:link w:val="20"/>
    <w:uiPriority w:val="99"/>
    <w:semiHidden/>
    <w:unhideWhenUsed/>
    <w:qFormat/>
    <w:rsid w:val="0025054E"/>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semiHidden/>
    <w:unhideWhenUsed/>
    <w:qFormat/>
    <w:rsid w:val="0025054E"/>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25054E"/>
    <w:rPr>
      <w:rFonts w:ascii="Arial" w:eastAsia="Times New Roman" w:hAnsi="Arial" w:cs="Times New Roman"/>
      <w:b/>
      <w:bCs/>
      <w:color w:val="000080"/>
      <w:sz w:val="18"/>
      <w:szCs w:val="18"/>
      <w:lang w:eastAsia="ru-RU"/>
    </w:rPr>
  </w:style>
  <w:style w:type="character" w:customStyle="1" w:styleId="20">
    <w:name w:val="Заголовок 2 Знак"/>
    <w:basedOn w:val="a1"/>
    <w:link w:val="2"/>
    <w:uiPriority w:val="99"/>
    <w:semiHidden/>
    <w:rsid w:val="0025054E"/>
    <w:rPr>
      <w:rFonts w:ascii="Arial" w:eastAsia="Times New Roman" w:hAnsi="Arial" w:cs="Arial"/>
      <w:b/>
      <w:bCs/>
      <w:i/>
      <w:iCs/>
      <w:sz w:val="28"/>
      <w:szCs w:val="28"/>
      <w:lang w:eastAsia="ru-RU"/>
    </w:rPr>
  </w:style>
  <w:style w:type="character" w:customStyle="1" w:styleId="30">
    <w:name w:val="Заголовок 3 Знак"/>
    <w:basedOn w:val="a1"/>
    <w:link w:val="3"/>
    <w:uiPriority w:val="99"/>
    <w:semiHidden/>
    <w:rsid w:val="0025054E"/>
    <w:rPr>
      <w:rFonts w:ascii="Cambria" w:eastAsia="Times New Roman" w:hAnsi="Cambria" w:cs="Times New Roman"/>
      <w:b/>
      <w:bCs/>
      <w:sz w:val="26"/>
      <w:szCs w:val="26"/>
      <w:lang w:eastAsia="ru-RU"/>
    </w:rPr>
  </w:style>
  <w:style w:type="character" w:styleId="a4">
    <w:name w:val="Hyperlink"/>
    <w:basedOn w:val="a1"/>
    <w:uiPriority w:val="99"/>
    <w:semiHidden/>
    <w:unhideWhenUsed/>
    <w:rsid w:val="0025054E"/>
    <w:rPr>
      <w:rFonts w:ascii="Times New Roman" w:hAnsi="Times New Roman" w:cs="Times New Roman" w:hint="default"/>
      <w:color w:val="0000FF"/>
      <w:u w:val="single"/>
    </w:rPr>
  </w:style>
  <w:style w:type="character" w:styleId="a5">
    <w:name w:val="FollowedHyperlink"/>
    <w:basedOn w:val="a1"/>
    <w:uiPriority w:val="99"/>
    <w:semiHidden/>
    <w:unhideWhenUsed/>
    <w:rsid w:val="0025054E"/>
    <w:rPr>
      <w:color w:val="800080" w:themeColor="followedHyperlink"/>
      <w:u w:val="single"/>
    </w:rPr>
  </w:style>
  <w:style w:type="paragraph" w:styleId="a6">
    <w:name w:val="footnote text"/>
    <w:basedOn w:val="a0"/>
    <w:link w:val="11"/>
    <w:uiPriority w:val="99"/>
    <w:semiHidden/>
    <w:unhideWhenUsed/>
    <w:rsid w:val="0025054E"/>
    <w:rPr>
      <w:rFonts w:ascii="Calibri" w:hAnsi="Calibri"/>
      <w:sz w:val="20"/>
      <w:szCs w:val="20"/>
      <w:lang w:eastAsia="en-US"/>
    </w:rPr>
  </w:style>
  <w:style w:type="character" w:customStyle="1" w:styleId="a7">
    <w:name w:val="Текст сноски Знак"/>
    <w:basedOn w:val="a1"/>
    <w:link w:val="a6"/>
    <w:uiPriority w:val="99"/>
    <w:semiHidden/>
    <w:rsid w:val="0025054E"/>
    <w:rPr>
      <w:rFonts w:ascii="Times New Roman" w:eastAsia="Times New Roman" w:hAnsi="Times New Roman" w:cs="Times New Roman"/>
      <w:sz w:val="20"/>
      <w:szCs w:val="20"/>
      <w:lang w:eastAsia="ru-RU"/>
    </w:rPr>
  </w:style>
  <w:style w:type="paragraph" w:styleId="a8">
    <w:name w:val="annotation text"/>
    <w:basedOn w:val="a0"/>
    <w:link w:val="12"/>
    <w:uiPriority w:val="99"/>
    <w:semiHidden/>
    <w:unhideWhenUsed/>
    <w:rsid w:val="0025054E"/>
    <w:rPr>
      <w:sz w:val="20"/>
      <w:szCs w:val="20"/>
    </w:rPr>
  </w:style>
  <w:style w:type="character" w:customStyle="1" w:styleId="a9">
    <w:name w:val="Текст примечания Знак"/>
    <w:basedOn w:val="a1"/>
    <w:link w:val="a8"/>
    <w:uiPriority w:val="99"/>
    <w:semiHidden/>
    <w:rsid w:val="0025054E"/>
    <w:rPr>
      <w:rFonts w:ascii="Times New Roman" w:eastAsia="Times New Roman" w:hAnsi="Times New Roman" w:cs="Times New Roman"/>
      <w:sz w:val="20"/>
      <w:szCs w:val="20"/>
      <w:lang w:eastAsia="ru-RU"/>
    </w:rPr>
  </w:style>
  <w:style w:type="paragraph" w:styleId="aa">
    <w:name w:val="header"/>
    <w:basedOn w:val="a0"/>
    <w:link w:val="ab"/>
    <w:uiPriority w:val="99"/>
    <w:unhideWhenUsed/>
    <w:rsid w:val="0025054E"/>
    <w:pPr>
      <w:tabs>
        <w:tab w:val="center" w:pos="4677"/>
        <w:tab w:val="right" w:pos="9355"/>
      </w:tabs>
    </w:pPr>
  </w:style>
  <w:style w:type="character" w:customStyle="1" w:styleId="ab">
    <w:name w:val="Верхний колонтитул Знак"/>
    <w:basedOn w:val="a1"/>
    <w:link w:val="aa"/>
    <w:uiPriority w:val="99"/>
    <w:rsid w:val="0025054E"/>
    <w:rPr>
      <w:rFonts w:ascii="Times New Roman" w:eastAsia="Times New Roman" w:hAnsi="Times New Roman" w:cs="Times New Roman"/>
      <w:sz w:val="24"/>
      <w:szCs w:val="24"/>
      <w:lang w:eastAsia="ru-RU"/>
    </w:rPr>
  </w:style>
  <w:style w:type="paragraph" w:styleId="ac">
    <w:name w:val="footer"/>
    <w:basedOn w:val="a0"/>
    <w:link w:val="ad"/>
    <w:uiPriority w:val="99"/>
    <w:semiHidden/>
    <w:unhideWhenUsed/>
    <w:rsid w:val="0025054E"/>
    <w:pPr>
      <w:tabs>
        <w:tab w:val="center" w:pos="4677"/>
        <w:tab w:val="right" w:pos="9355"/>
      </w:tabs>
    </w:pPr>
  </w:style>
  <w:style w:type="character" w:customStyle="1" w:styleId="ad">
    <w:name w:val="Нижний колонтитул Знак"/>
    <w:basedOn w:val="a1"/>
    <w:link w:val="ac"/>
    <w:uiPriority w:val="99"/>
    <w:semiHidden/>
    <w:rsid w:val="0025054E"/>
    <w:rPr>
      <w:rFonts w:ascii="Times New Roman" w:eastAsia="Times New Roman" w:hAnsi="Times New Roman" w:cs="Times New Roman"/>
      <w:sz w:val="24"/>
      <w:szCs w:val="24"/>
      <w:lang w:eastAsia="ru-RU"/>
    </w:rPr>
  </w:style>
  <w:style w:type="paragraph" w:styleId="ae">
    <w:name w:val="Title"/>
    <w:basedOn w:val="a0"/>
    <w:link w:val="af"/>
    <w:uiPriority w:val="99"/>
    <w:qFormat/>
    <w:rsid w:val="0025054E"/>
    <w:pPr>
      <w:jc w:val="center"/>
    </w:pPr>
    <w:rPr>
      <w:b/>
      <w:bCs/>
    </w:rPr>
  </w:style>
  <w:style w:type="character" w:customStyle="1" w:styleId="af">
    <w:name w:val="Название Знак"/>
    <w:basedOn w:val="a1"/>
    <w:link w:val="ae"/>
    <w:uiPriority w:val="99"/>
    <w:rsid w:val="0025054E"/>
    <w:rPr>
      <w:rFonts w:ascii="Times New Roman" w:eastAsia="Times New Roman" w:hAnsi="Times New Roman" w:cs="Times New Roman"/>
      <w:b/>
      <w:bCs/>
      <w:sz w:val="24"/>
      <w:szCs w:val="24"/>
      <w:lang w:eastAsia="ru-RU"/>
    </w:rPr>
  </w:style>
  <w:style w:type="paragraph" w:styleId="af0">
    <w:name w:val="Body Text"/>
    <w:basedOn w:val="a0"/>
    <w:link w:val="af1"/>
    <w:uiPriority w:val="99"/>
    <w:semiHidden/>
    <w:unhideWhenUsed/>
    <w:rsid w:val="0025054E"/>
    <w:pPr>
      <w:jc w:val="both"/>
    </w:pPr>
    <w:rPr>
      <w:szCs w:val="20"/>
    </w:rPr>
  </w:style>
  <w:style w:type="character" w:customStyle="1" w:styleId="af1">
    <w:name w:val="Основной текст Знак"/>
    <w:basedOn w:val="a1"/>
    <w:link w:val="af0"/>
    <w:uiPriority w:val="99"/>
    <w:semiHidden/>
    <w:rsid w:val="0025054E"/>
    <w:rPr>
      <w:rFonts w:ascii="Times New Roman" w:eastAsia="Times New Roman" w:hAnsi="Times New Roman" w:cs="Times New Roman"/>
      <w:sz w:val="24"/>
      <w:szCs w:val="20"/>
      <w:lang w:eastAsia="ru-RU"/>
    </w:rPr>
  </w:style>
  <w:style w:type="paragraph" w:styleId="af2">
    <w:name w:val="Body Text Indent"/>
    <w:basedOn w:val="a0"/>
    <w:link w:val="af3"/>
    <w:uiPriority w:val="99"/>
    <w:unhideWhenUsed/>
    <w:rsid w:val="0025054E"/>
    <w:pPr>
      <w:spacing w:after="120"/>
      <w:ind w:left="283"/>
    </w:pPr>
  </w:style>
  <w:style w:type="character" w:customStyle="1" w:styleId="af3">
    <w:name w:val="Основной текст с отступом Знак"/>
    <w:basedOn w:val="a1"/>
    <w:link w:val="af2"/>
    <w:uiPriority w:val="99"/>
    <w:rsid w:val="0025054E"/>
    <w:rPr>
      <w:rFonts w:ascii="Times New Roman" w:eastAsia="Times New Roman" w:hAnsi="Times New Roman" w:cs="Times New Roman"/>
      <w:sz w:val="24"/>
      <w:szCs w:val="24"/>
      <w:lang w:eastAsia="ru-RU"/>
    </w:rPr>
  </w:style>
  <w:style w:type="paragraph" w:styleId="21">
    <w:name w:val="Body Text 2"/>
    <w:basedOn w:val="a0"/>
    <w:link w:val="22"/>
    <w:uiPriority w:val="99"/>
    <w:semiHidden/>
    <w:unhideWhenUsed/>
    <w:rsid w:val="0025054E"/>
    <w:pPr>
      <w:spacing w:after="120" w:line="480" w:lineRule="auto"/>
    </w:pPr>
  </w:style>
  <w:style w:type="character" w:customStyle="1" w:styleId="22">
    <w:name w:val="Основной текст 2 Знак"/>
    <w:basedOn w:val="a1"/>
    <w:link w:val="21"/>
    <w:uiPriority w:val="99"/>
    <w:semiHidden/>
    <w:rsid w:val="0025054E"/>
    <w:rPr>
      <w:rFonts w:ascii="Times New Roman" w:eastAsia="Times New Roman" w:hAnsi="Times New Roman" w:cs="Times New Roman"/>
      <w:sz w:val="24"/>
      <w:szCs w:val="24"/>
      <w:lang w:eastAsia="ru-RU"/>
    </w:rPr>
  </w:style>
  <w:style w:type="paragraph" w:styleId="23">
    <w:name w:val="Body Text Indent 2"/>
    <w:basedOn w:val="a0"/>
    <w:link w:val="24"/>
    <w:uiPriority w:val="99"/>
    <w:semiHidden/>
    <w:unhideWhenUsed/>
    <w:rsid w:val="0025054E"/>
    <w:pPr>
      <w:spacing w:after="120" w:line="480" w:lineRule="auto"/>
      <w:ind w:left="283"/>
    </w:pPr>
  </w:style>
  <w:style w:type="character" w:customStyle="1" w:styleId="24">
    <w:name w:val="Основной текст с отступом 2 Знак"/>
    <w:basedOn w:val="a1"/>
    <w:link w:val="23"/>
    <w:uiPriority w:val="99"/>
    <w:semiHidden/>
    <w:rsid w:val="0025054E"/>
    <w:rPr>
      <w:rFonts w:ascii="Times New Roman" w:eastAsia="Times New Roman" w:hAnsi="Times New Roman" w:cs="Times New Roman"/>
      <w:sz w:val="24"/>
      <w:szCs w:val="24"/>
      <w:lang w:eastAsia="ru-RU"/>
    </w:rPr>
  </w:style>
  <w:style w:type="paragraph" w:styleId="31">
    <w:name w:val="Body Text Indent 3"/>
    <w:basedOn w:val="a0"/>
    <w:link w:val="32"/>
    <w:uiPriority w:val="99"/>
    <w:semiHidden/>
    <w:unhideWhenUsed/>
    <w:rsid w:val="0025054E"/>
    <w:pPr>
      <w:spacing w:after="120"/>
      <w:ind w:left="283"/>
    </w:pPr>
    <w:rPr>
      <w:sz w:val="16"/>
      <w:szCs w:val="16"/>
    </w:rPr>
  </w:style>
  <w:style w:type="character" w:customStyle="1" w:styleId="32">
    <w:name w:val="Основной текст с отступом 3 Знак"/>
    <w:basedOn w:val="a1"/>
    <w:link w:val="31"/>
    <w:uiPriority w:val="99"/>
    <w:semiHidden/>
    <w:rsid w:val="0025054E"/>
    <w:rPr>
      <w:rFonts w:ascii="Times New Roman" w:eastAsia="Times New Roman" w:hAnsi="Times New Roman" w:cs="Times New Roman"/>
      <w:sz w:val="16"/>
      <w:szCs w:val="16"/>
      <w:lang w:eastAsia="ru-RU"/>
    </w:rPr>
  </w:style>
  <w:style w:type="paragraph" w:styleId="af4">
    <w:name w:val="annotation subject"/>
    <w:basedOn w:val="a8"/>
    <w:next w:val="a8"/>
    <w:link w:val="13"/>
    <w:uiPriority w:val="99"/>
    <w:semiHidden/>
    <w:unhideWhenUsed/>
    <w:rsid w:val="0025054E"/>
    <w:rPr>
      <w:b/>
      <w:bCs/>
    </w:rPr>
  </w:style>
  <w:style w:type="character" w:customStyle="1" w:styleId="af5">
    <w:name w:val="Тема примечания Знак"/>
    <w:basedOn w:val="a9"/>
    <w:link w:val="af4"/>
    <w:uiPriority w:val="99"/>
    <w:semiHidden/>
    <w:rsid w:val="0025054E"/>
    <w:rPr>
      <w:b/>
      <w:bCs/>
    </w:rPr>
  </w:style>
  <w:style w:type="paragraph" w:styleId="af6">
    <w:name w:val="Balloon Text"/>
    <w:basedOn w:val="a0"/>
    <w:link w:val="af7"/>
    <w:uiPriority w:val="99"/>
    <w:semiHidden/>
    <w:unhideWhenUsed/>
    <w:rsid w:val="0025054E"/>
    <w:rPr>
      <w:rFonts w:ascii="Tahoma" w:hAnsi="Tahoma" w:cs="Tahoma"/>
      <w:sz w:val="16"/>
      <w:szCs w:val="16"/>
    </w:rPr>
  </w:style>
  <w:style w:type="character" w:customStyle="1" w:styleId="af7">
    <w:name w:val="Текст выноски Знак"/>
    <w:basedOn w:val="a1"/>
    <w:link w:val="af6"/>
    <w:uiPriority w:val="99"/>
    <w:semiHidden/>
    <w:rsid w:val="0025054E"/>
    <w:rPr>
      <w:rFonts w:ascii="Tahoma" w:eastAsia="Times New Roman" w:hAnsi="Tahoma" w:cs="Tahoma"/>
      <w:sz w:val="16"/>
      <w:szCs w:val="16"/>
      <w:lang w:eastAsia="ru-RU"/>
    </w:rPr>
  </w:style>
  <w:style w:type="paragraph" w:styleId="af8">
    <w:name w:val="List Paragraph"/>
    <w:basedOn w:val="a0"/>
    <w:uiPriority w:val="34"/>
    <w:qFormat/>
    <w:rsid w:val="0025054E"/>
    <w:pPr>
      <w:widowControl w:val="0"/>
      <w:autoSpaceDN w:val="0"/>
      <w:adjustRightInd w:val="0"/>
      <w:spacing w:after="200" w:line="276" w:lineRule="auto"/>
      <w:ind w:left="720"/>
    </w:pPr>
    <w:rPr>
      <w:rFonts w:ascii="Calibri" w:hAnsi="Calibri" w:cs="Calibri"/>
      <w:sz w:val="22"/>
      <w:szCs w:val="22"/>
      <w:lang w:eastAsia="en-US"/>
    </w:rPr>
  </w:style>
  <w:style w:type="paragraph" w:customStyle="1" w:styleId="a">
    <w:name w:val="Пробный"/>
    <w:basedOn w:val="a0"/>
    <w:uiPriority w:val="99"/>
    <w:rsid w:val="0025054E"/>
    <w:pPr>
      <w:numPr>
        <w:numId w:val="1"/>
      </w:numPr>
      <w:jc w:val="both"/>
    </w:pPr>
    <w:rPr>
      <w:sz w:val="28"/>
      <w:szCs w:val="28"/>
    </w:rPr>
  </w:style>
  <w:style w:type="paragraph" w:customStyle="1" w:styleId="af9">
    <w:name w:val="Заголовок статьи"/>
    <w:basedOn w:val="a0"/>
    <w:next w:val="a0"/>
    <w:uiPriority w:val="99"/>
    <w:rsid w:val="0025054E"/>
    <w:pPr>
      <w:autoSpaceDE w:val="0"/>
      <w:autoSpaceDN w:val="0"/>
      <w:adjustRightInd w:val="0"/>
      <w:ind w:left="1612" w:hanging="892"/>
      <w:jc w:val="both"/>
    </w:pPr>
    <w:rPr>
      <w:rFonts w:ascii="Arial" w:hAnsi="Arial"/>
      <w:sz w:val="18"/>
      <w:szCs w:val="18"/>
    </w:rPr>
  </w:style>
  <w:style w:type="paragraph" w:customStyle="1" w:styleId="afa">
    <w:name w:val="Комментарий"/>
    <w:basedOn w:val="a0"/>
    <w:next w:val="a0"/>
    <w:uiPriority w:val="99"/>
    <w:rsid w:val="0025054E"/>
    <w:pPr>
      <w:autoSpaceDE w:val="0"/>
      <w:autoSpaceDN w:val="0"/>
      <w:adjustRightInd w:val="0"/>
      <w:ind w:left="170"/>
      <w:jc w:val="both"/>
    </w:pPr>
    <w:rPr>
      <w:rFonts w:ascii="Arial" w:hAnsi="Arial"/>
      <w:i/>
      <w:iCs/>
      <w:color w:val="800080"/>
      <w:sz w:val="18"/>
      <w:szCs w:val="18"/>
    </w:rPr>
  </w:style>
  <w:style w:type="paragraph" w:customStyle="1" w:styleId="afb">
    <w:name w:val="Прижатый влево"/>
    <w:basedOn w:val="a0"/>
    <w:next w:val="a0"/>
    <w:uiPriority w:val="99"/>
    <w:rsid w:val="0025054E"/>
    <w:pPr>
      <w:autoSpaceDE w:val="0"/>
      <w:autoSpaceDN w:val="0"/>
      <w:adjustRightInd w:val="0"/>
    </w:pPr>
    <w:rPr>
      <w:rFonts w:ascii="Arial" w:hAnsi="Arial" w:cs="Arial"/>
    </w:rPr>
  </w:style>
  <w:style w:type="paragraph" w:customStyle="1" w:styleId="afc">
    <w:name w:val="Таблицы (моноширинный)"/>
    <w:basedOn w:val="a0"/>
    <w:next w:val="a0"/>
    <w:uiPriority w:val="99"/>
    <w:rsid w:val="0025054E"/>
    <w:pPr>
      <w:autoSpaceDE w:val="0"/>
      <w:autoSpaceDN w:val="0"/>
      <w:adjustRightInd w:val="0"/>
      <w:jc w:val="both"/>
    </w:pPr>
    <w:rPr>
      <w:rFonts w:ascii="Courier New" w:hAnsi="Courier New" w:cs="Courier New"/>
    </w:rPr>
  </w:style>
  <w:style w:type="paragraph" w:customStyle="1" w:styleId="ConsNormal">
    <w:name w:val="ConsNormal"/>
    <w:uiPriority w:val="99"/>
    <w:rsid w:val="0025054E"/>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25054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d">
    <w:name w:val="Колонтитул (правый)"/>
    <w:basedOn w:val="a0"/>
    <w:next w:val="a0"/>
    <w:uiPriority w:val="99"/>
    <w:rsid w:val="0025054E"/>
    <w:pPr>
      <w:autoSpaceDE w:val="0"/>
      <w:autoSpaceDN w:val="0"/>
      <w:adjustRightInd w:val="0"/>
      <w:jc w:val="right"/>
    </w:pPr>
    <w:rPr>
      <w:rFonts w:ascii="Arial" w:hAnsi="Arial" w:cs="Arial"/>
      <w:sz w:val="18"/>
      <w:szCs w:val="18"/>
    </w:rPr>
  </w:style>
  <w:style w:type="paragraph" w:customStyle="1" w:styleId="ConsPlusNonformat">
    <w:name w:val="ConsPlusNonformat"/>
    <w:uiPriority w:val="99"/>
    <w:rsid w:val="0025054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Абзац списка1"/>
    <w:basedOn w:val="a0"/>
    <w:uiPriority w:val="99"/>
    <w:rsid w:val="0025054E"/>
    <w:pPr>
      <w:widowControl w:val="0"/>
      <w:autoSpaceDN w:val="0"/>
      <w:adjustRightInd w:val="0"/>
      <w:spacing w:after="200" w:line="276" w:lineRule="auto"/>
      <w:ind w:left="720"/>
    </w:pPr>
    <w:rPr>
      <w:rFonts w:ascii="Calibri" w:hAnsi="Calibri" w:cs="Calibri"/>
      <w:sz w:val="22"/>
      <w:szCs w:val="22"/>
      <w:lang w:eastAsia="en-US"/>
    </w:rPr>
  </w:style>
  <w:style w:type="paragraph" w:customStyle="1" w:styleId="afe">
    <w:name w:val="Нормальный (таблица)"/>
    <w:basedOn w:val="a0"/>
    <w:next w:val="a0"/>
    <w:uiPriority w:val="99"/>
    <w:rsid w:val="0025054E"/>
    <w:pPr>
      <w:autoSpaceDE w:val="0"/>
      <w:autoSpaceDN w:val="0"/>
      <w:adjustRightInd w:val="0"/>
      <w:jc w:val="both"/>
    </w:pPr>
    <w:rPr>
      <w:rFonts w:ascii="Arial" w:hAnsi="Arial" w:cs="Arial"/>
      <w:lang w:eastAsia="en-US"/>
    </w:rPr>
  </w:style>
  <w:style w:type="character" w:customStyle="1" w:styleId="ConsPlusCell">
    <w:name w:val="ConsPlusCell Знак"/>
    <w:link w:val="ConsPlusCell0"/>
    <w:uiPriority w:val="99"/>
    <w:locked/>
    <w:rsid w:val="0025054E"/>
    <w:rPr>
      <w:sz w:val="24"/>
      <w:szCs w:val="24"/>
    </w:rPr>
  </w:style>
  <w:style w:type="paragraph" w:customStyle="1" w:styleId="ConsPlusCell0">
    <w:name w:val="ConsPlusCell"/>
    <w:link w:val="ConsPlusCell"/>
    <w:uiPriority w:val="99"/>
    <w:rsid w:val="0025054E"/>
    <w:pPr>
      <w:autoSpaceDE w:val="0"/>
      <w:autoSpaceDN w:val="0"/>
      <w:adjustRightInd w:val="0"/>
      <w:spacing w:after="0" w:line="240" w:lineRule="auto"/>
    </w:pPr>
    <w:rPr>
      <w:sz w:val="24"/>
      <w:szCs w:val="24"/>
    </w:rPr>
  </w:style>
  <w:style w:type="paragraph" w:customStyle="1" w:styleId="b-b2b-toption-rowtype-data">
    <w:name w:val="b-b2b-toption-row__type-data"/>
    <w:basedOn w:val="a0"/>
    <w:rsid w:val="0025054E"/>
    <w:pPr>
      <w:spacing w:before="100" w:beforeAutospacing="1" w:after="100" w:afterAutospacing="1"/>
    </w:pPr>
  </w:style>
  <w:style w:type="paragraph" w:customStyle="1" w:styleId="25">
    <w:name w:val="Знак Знак2 Знак Знак Знак"/>
    <w:basedOn w:val="a0"/>
    <w:rsid w:val="0025054E"/>
    <w:pPr>
      <w:spacing w:before="100" w:beforeAutospacing="1" w:after="100" w:afterAutospacing="1"/>
    </w:pPr>
    <w:rPr>
      <w:rFonts w:ascii="Tahoma" w:hAnsi="Tahoma"/>
      <w:sz w:val="20"/>
      <w:szCs w:val="20"/>
      <w:lang w:val="en-US" w:eastAsia="en-US"/>
    </w:rPr>
  </w:style>
  <w:style w:type="character" w:styleId="aff">
    <w:name w:val="annotation reference"/>
    <w:basedOn w:val="a1"/>
    <w:uiPriority w:val="99"/>
    <w:semiHidden/>
    <w:unhideWhenUsed/>
    <w:rsid w:val="0025054E"/>
    <w:rPr>
      <w:sz w:val="16"/>
      <w:szCs w:val="16"/>
    </w:rPr>
  </w:style>
  <w:style w:type="character" w:styleId="aff0">
    <w:name w:val="page number"/>
    <w:basedOn w:val="a1"/>
    <w:uiPriority w:val="99"/>
    <w:semiHidden/>
    <w:unhideWhenUsed/>
    <w:rsid w:val="0025054E"/>
    <w:rPr>
      <w:rFonts w:ascii="Times New Roman" w:hAnsi="Times New Roman" w:cs="Times New Roman" w:hint="default"/>
    </w:rPr>
  </w:style>
  <w:style w:type="character" w:customStyle="1" w:styleId="aff1">
    <w:name w:val="Цветовое выделение"/>
    <w:uiPriority w:val="99"/>
    <w:rsid w:val="0025054E"/>
    <w:rPr>
      <w:b/>
      <w:bCs w:val="0"/>
      <w:color w:val="000080"/>
      <w:sz w:val="18"/>
    </w:rPr>
  </w:style>
  <w:style w:type="character" w:customStyle="1" w:styleId="aff2">
    <w:name w:val="Гипертекстовая ссылка"/>
    <w:basedOn w:val="aff1"/>
    <w:uiPriority w:val="99"/>
    <w:rsid w:val="0025054E"/>
    <w:rPr>
      <w:rFonts w:ascii="Times New Roman" w:hAnsi="Times New Roman" w:cs="Times New Roman" w:hint="default"/>
      <w:bCs/>
      <w:color w:val="008000"/>
      <w:szCs w:val="18"/>
      <w:u w:val="single"/>
    </w:rPr>
  </w:style>
  <w:style w:type="character" w:customStyle="1" w:styleId="12">
    <w:name w:val="Текст примечания Знак1"/>
    <w:basedOn w:val="a1"/>
    <w:link w:val="a8"/>
    <w:uiPriority w:val="99"/>
    <w:semiHidden/>
    <w:locked/>
    <w:rsid w:val="0025054E"/>
    <w:rPr>
      <w:rFonts w:ascii="Times New Roman" w:eastAsia="Times New Roman" w:hAnsi="Times New Roman" w:cs="Times New Roman"/>
      <w:sz w:val="20"/>
      <w:szCs w:val="20"/>
      <w:lang w:eastAsia="ru-RU"/>
    </w:rPr>
  </w:style>
  <w:style w:type="character" w:customStyle="1" w:styleId="CommentTextChar1">
    <w:name w:val="Comment Text Char1"/>
    <w:basedOn w:val="a1"/>
    <w:uiPriority w:val="99"/>
    <w:semiHidden/>
    <w:locked/>
    <w:rsid w:val="0025054E"/>
    <w:rPr>
      <w:rFonts w:ascii="Times New Roman" w:hAnsi="Times New Roman" w:cs="Times New Roman" w:hint="default"/>
      <w:sz w:val="20"/>
      <w:szCs w:val="20"/>
    </w:rPr>
  </w:style>
  <w:style w:type="character" w:customStyle="1" w:styleId="13">
    <w:name w:val="Тема примечания Знак1"/>
    <w:basedOn w:val="12"/>
    <w:link w:val="af4"/>
    <w:uiPriority w:val="99"/>
    <w:semiHidden/>
    <w:locked/>
    <w:rsid w:val="0025054E"/>
    <w:rPr>
      <w:b/>
      <w:bCs/>
    </w:rPr>
  </w:style>
  <w:style w:type="character" w:customStyle="1" w:styleId="CommentSubjectChar1">
    <w:name w:val="Comment Subject Char1"/>
    <w:basedOn w:val="a9"/>
    <w:uiPriority w:val="99"/>
    <w:semiHidden/>
    <w:locked/>
    <w:rsid w:val="0025054E"/>
    <w:rPr>
      <w:b/>
      <w:bCs/>
    </w:rPr>
  </w:style>
  <w:style w:type="character" w:customStyle="1" w:styleId="11">
    <w:name w:val="Текст сноски Знак1"/>
    <w:basedOn w:val="a1"/>
    <w:link w:val="a6"/>
    <w:uiPriority w:val="99"/>
    <w:semiHidden/>
    <w:locked/>
    <w:rsid w:val="0025054E"/>
    <w:rPr>
      <w:rFonts w:ascii="Calibri" w:eastAsia="Times New Roman" w:hAnsi="Calibri" w:cs="Times New Roman"/>
      <w:sz w:val="20"/>
      <w:szCs w:val="20"/>
    </w:rPr>
  </w:style>
  <w:style w:type="character" w:customStyle="1" w:styleId="FootnoteTextChar1">
    <w:name w:val="Footnote Text Char1"/>
    <w:basedOn w:val="a1"/>
    <w:uiPriority w:val="99"/>
    <w:semiHidden/>
    <w:locked/>
    <w:rsid w:val="0025054E"/>
    <w:rPr>
      <w:rFonts w:ascii="Times New Roman" w:hAnsi="Times New Roman" w:cs="Times New Roman" w:hint="default"/>
      <w:sz w:val="20"/>
      <w:szCs w:val="20"/>
    </w:rPr>
  </w:style>
  <w:style w:type="character" w:customStyle="1" w:styleId="aff3">
    <w:name w:val="Сравнение редакций. Удаленный фрагмент"/>
    <w:uiPriority w:val="99"/>
    <w:rsid w:val="0025054E"/>
    <w:rPr>
      <w:color w:val="000000"/>
      <w:shd w:val="clear" w:color="auto" w:fill="C4C413"/>
    </w:rPr>
  </w:style>
  <w:style w:type="character" w:customStyle="1" w:styleId="b-b2b-toption-rowtype-name">
    <w:name w:val="b-b2b-toption-row__type-name"/>
    <w:basedOn w:val="a1"/>
    <w:rsid w:val="0025054E"/>
  </w:style>
  <w:style w:type="character" w:customStyle="1" w:styleId="apple-converted-space">
    <w:name w:val="apple-converted-space"/>
    <w:basedOn w:val="a1"/>
    <w:rsid w:val="0025054E"/>
  </w:style>
  <w:style w:type="character" w:customStyle="1" w:styleId="b-b2b-toption-rowtype-content">
    <w:name w:val="b-b2b-toption-row__type-content"/>
    <w:basedOn w:val="a1"/>
    <w:rsid w:val="0025054E"/>
  </w:style>
  <w:style w:type="table" w:styleId="aff4">
    <w:name w:val="Table Grid"/>
    <w:basedOn w:val="a2"/>
    <w:rsid w:val="002505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Strong"/>
    <w:basedOn w:val="a1"/>
    <w:uiPriority w:val="22"/>
    <w:qFormat/>
    <w:rsid w:val="0025054E"/>
    <w:rPr>
      <w:b/>
      <w:bCs/>
    </w:rPr>
  </w:style>
  <w:style w:type="paragraph" w:customStyle="1" w:styleId="210">
    <w:name w:val="Основной текст 21"/>
    <w:basedOn w:val="a0"/>
    <w:rsid w:val="0009262F"/>
    <w:pPr>
      <w:widowControl w:val="0"/>
      <w:overflowPunct w:val="0"/>
      <w:autoSpaceDE w:val="0"/>
      <w:autoSpaceDN w:val="0"/>
      <w:adjustRightInd w:val="0"/>
      <w:ind w:firstLine="709"/>
      <w:jc w:val="both"/>
      <w:textAlignment w:val="baseline"/>
    </w:pPr>
    <w:rPr>
      <w:spacing w:val="-2"/>
      <w:sz w:val="28"/>
      <w:szCs w:val="20"/>
    </w:rPr>
  </w:style>
</w:styles>
</file>

<file path=word/webSettings.xml><?xml version="1.0" encoding="utf-8"?>
<w:webSettings xmlns:r="http://schemas.openxmlformats.org/officeDocument/2006/relationships" xmlns:w="http://schemas.openxmlformats.org/wordprocessingml/2006/main">
  <w:divs>
    <w:div w:id="16664963">
      <w:bodyDiv w:val="1"/>
      <w:marLeft w:val="0"/>
      <w:marRight w:val="0"/>
      <w:marTop w:val="0"/>
      <w:marBottom w:val="0"/>
      <w:divBdr>
        <w:top w:val="none" w:sz="0" w:space="0" w:color="auto"/>
        <w:left w:val="none" w:sz="0" w:space="0" w:color="auto"/>
        <w:bottom w:val="none" w:sz="0" w:space="0" w:color="auto"/>
        <w:right w:val="none" w:sz="0" w:space="0" w:color="auto"/>
      </w:divBdr>
    </w:div>
    <w:div w:id="157187331">
      <w:bodyDiv w:val="1"/>
      <w:marLeft w:val="0"/>
      <w:marRight w:val="0"/>
      <w:marTop w:val="0"/>
      <w:marBottom w:val="0"/>
      <w:divBdr>
        <w:top w:val="none" w:sz="0" w:space="0" w:color="auto"/>
        <w:left w:val="none" w:sz="0" w:space="0" w:color="auto"/>
        <w:bottom w:val="none" w:sz="0" w:space="0" w:color="auto"/>
        <w:right w:val="none" w:sz="0" w:space="0" w:color="auto"/>
      </w:divBdr>
    </w:div>
    <w:div w:id="214659577">
      <w:bodyDiv w:val="1"/>
      <w:marLeft w:val="0"/>
      <w:marRight w:val="0"/>
      <w:marTop w:val="0"/>
      <w:marBottom w:val="0"/>
      <w:divBdr>
        <w:top w:val="none" w:sz="0" w:space="0" w:color="auto"/>
        <w:left w:val="none" w:sz="0" w:space="0" w:color="auto"/>
        <w:bottom w:val="none" w:sz="0" w:space="0" w:color="auto"/>
        <w:right w:val="none" w:sz="0" w:space="0" w:color="auto"/>
      </w:divBdr>
    </w:div>
    <w:div w:id="784615114">
      <w:bodyDiv w:val="1"/>
      <w:marLeft w:val="0"/>
      <w:marRight w:val="0"/>
      <w:marTop w:val="0"/>
      <w:marBottom w:val="0"/>
      <w:divBdr>
        <w:top w:val="none" w:sz="0" w:space="0" w:color="auto"/>
        <w:left w:val="none" w:sz="0" w:space="0" w:color="auto"/>
        <w:bottom w:val="none" w:sz="0" w:space="0" w:color="auto"/>
        <w:right w:val="none" w:sz="0" w:space="0" w:color="auto"/>
      </w:divBdr>
    </w:div>
    <w:div w:id="796342034">
      <w:bodyDiv w:val="1"/>
      <w:marLeft w:val="0"/>
      <w:marRight w:val="0"/>
      <w:marTop w:val="0"/>
      <w:marBottom w:val="0"/>
      <w:divBdr>
        <w:top w:val="none" w:sz="0" w:space="0" w:color="auto"/>
        <w:left w:val="none" w:sz="0" w:space="0" w:color="auto"/>
        <w:bottom w:val="none" w:sz="0" w:space="0" w:color="auto"/>
        <w:right w:val="none" w:sz="0" w:space="0" w:color="auto"/>
      </w:divBdr>
    </w:div>
    <w:div w:id="1501847318">
      <w:bodyDiv w:val="1"/>
      <w:marLeft w:val="0"/>
      <w:marRight w:val="0"/>
      <w:marTop w:val="0"/>
      <w:marBottom w:val="0"/>
      <w:divBdr>
        <w:top w:val="none" w:sz="0" w:space="0" w:color="auto"/>
        <w:left w:val="none" w:sz="0" w:space="0" w:color="auto"/>
        <w:bottom w:val="none" w:sz="0" w:space="0" w:color="auto"/>
        <w:right w:val="none" w:sz="0" w:space="0" w:color="auto"/>
      </w:divBdr>
    </w:div>
    <w:div w:id="1521697549">
      <w:bodyDiv w:val="1"/>
      <w:marLeft w:val="0"/>
      <w:marRight w:val="0"/>
      <w:marTop w:val="0"/>
      <w:marBottom w:val="0"/>
      <w:divBdr>
        <w:top w:val="none" w:sz="0" w:space="0" w:color="auto"/>
        <w:left w:val="none" w:sz="0" w:space="0" w:color="auto"/>
        <w:bottom w:val="none" w:sz="0" w:space="0" w:color="auto"/>
        <w:right w:val="none" w:sz="0" w:space="0" w:color="auto"/>
      </w:divBdr>
    </w:div>
    <w:div w:id="1684286744">
      <w:bodyDiv w:val="1"/>
      <w:marLeft w:val="0"/>
      <w:marRight w:val="0"/>
      <w:marTop w:val="0"/>
      <w:marBottom w:val="0"/>
      <w:divBdr>
        <w:top w:val="none" w:sz="0" w:space="0" w:color="auto"/>
        <w:left w:val="none" w:sz="0" w:space="0" w:color="auto"/>
        <w:bottom w:val="none" w:sz="0" w:space="0" w:color="auto"/>
        <w:right w:val="none" w:sz="0" w:space="0" w:color="auto"/>
      </w:divBdr>
    </w:div>
    <w:div w:id="1771395325">
      <w:bodyDiv w:val="1"/>
      <w:marLeft w:val="0"/>
      <w:marRight w:val="0"/>
      <w:marTop w:val="0"/>
      <w:marBottom w:val="0"/>
      <w:divBdr>
        <w:top w:val="none" w:sz="0" w:space="0" w:color="auto"/>
        <w:left w:val="none" w:sz="0" w:space="0" w:color="auto"/>
        <w:bottom w:val="none" w:sz="0" w:space="0" w:color="auto"/>
        <w:right w:val="none" w:sz="0" w:space="0" w:color="auto"/>
      </w:divBdr>
    </w:div>
    <w:div w:id="1864702946">
      <w:bodyDiv w:val="1"/>
      <w:marLeft w:val="0"/>
      <w:marRight w:val="0"/>
      <w:marTop w:val="0"/>
      <w:marBottom w:val="0"/>
      <w:divBdr>
        <w:top w:val="none" w:sz="0" w:space="0" w:color="auto"/>
        <w:left w:val="none" w:sz="0" w:space="0" w:color="auto"/>
        <w:bottom w:val="none" w:sz="0" w:space="0" w:color="auto"/>
        <w:right w:val="none" w:sz="0" w:space="0" w:color="auto"/>
      </w:divBdr>
    </w:div>
    <w:div w:id="1921213554">
      <w:bodyDiv w:val="1"/>
      <w:marLeft w:val="0"/>
      <w:marRight w:val="0"/>
      <w:marTop w:val="0"/>
      <w:marBottom w:val="0"/>
      <w:divBdr>
        <w:top w:val="none" w:sz="0" w:space="0" w:color="auto"/>
        <w:left w:val="none" w:sz="0" w:space="0" w:color="auto"/>
        <w:bottom w:val="none" w:sz="0" w:space="0" w:color="auto"/>
        <w:right w:val="none" w:sz="0" w:space="0" w:color="auto"/>
      </w:divBdr>
    </w:div>
    <w:div w:id="1953900133">
      <w:bodyDiv w:val="1"/>
      <w:marLeft w:val="0"/>
      <w:marRight w:val="0"/>
      <w:marTop w:val="0"/>
      <w:marBottom w:val="0"/>
      <w:divBdr>
        <w:top w:val="none" w:sz="0" w:space="0" w:color="auto"/>
        <w:left w:val="none" w:sz="0" w:space="0" w:color="auto"/>
        <w:bottom w:val="none" w:sz="0" w:space="0" w:color="auto"/>
        <w:right w:val="none" w:sz="0" w:space="0" w:color="auto"/>
      </w:divBdr>
    </w:div>
    <w:div w:id="1981839040">
      <w:bodyDiv w:val="1"/>
      <w:marLeft w:val="0"/>
      <w:marRight w:val="0"/>
      <w:marTop w:val="0"/>
      <w:marBottom w:val="0"/>
      <w:divBdr>
        <w:top w:val="none" w:sz="0" w:space="0" w:color="auto"/>
        <w:left w:val="none" w:sz="0" w:space="0" w:color="auto"/>
        <w:bottom w:val="none" w:sz="0" w:space="0" w:color="auto"/>
        <w:right w:val="none" w:sz="0" w:space="0" w:color="auto"/>
      </w:divBdr>
    </w:div>
    <w:div w:id="211978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8946F-B47E-4DB2-9EB7-67FA424E6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3195</Words>
  <Characters>18215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КСП</Company>
  <LinksUpToDate>false</LinksUpToDate>
  <CharactersWithSpaces>21368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Виктор_2</dc:creator>
  <cp:lastModifiedBy>Куликов</cp:lastModifiedBy>
  <cp:revision>10</cp:revision>
  <cp:lastPrinted>2020-03-16T04:54:00Z</cp:lastPrinted>
  <dcterms:created xsi:type="dcterms:W3CDTF">2020-03-03T09:54:00Z</dcterms:created>
  <dcterms:modified xsi:type="dcterms:W3CDTF">2020-03-16T05:37:00Z</dcterms:modified>
</cp:coreProperties>
</file>