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D62305" w14:textId="77777777" w:rsidR="000B4AB3" w:rsidRDefault="000B4AB3" w:rsidP="00232B31">
      <w:pPr>
        <w:tabs>
          <w:tab w:val="left" w:pos="180"/>
          <w:tab w:val="left" w:pos="360"/>
        </w:tabs>
        <w:ind w:left="6379" w:firstLine="284"/>
        <w:rPr>
          <w:b/>
        </w:rPr>
      </w:pPr>
    </w:p>
    <w:p w14:paraId="000A4353" w14:textId="77777777" w:rsidR="00232B31" w:rsidRPr="00CE0DB8" w:rsidRDefault="00232B31" w:rsidP="00232B31">
      <w:pPr>
        <w:tabs>
          <w:tab w:val="left" w:pos="180"/>
          <w:tab w:val="left" w:pos="360"/>
        </w:tabs>
        <w:ind w:left="6379" w:firstLine="284"/>
        <w:rPr>
          <w:b/>
        </w:rPr>
      </w:pPr>
      <w:r w:rsidRPr="00CE0DB8">
        <w:rPr>
          <w:b/>
        </w:rPr>
        <w:t>УТВЕРЖДАЮ</w:t>
      </w:r>
    </w:p>
    <w:p w14:paraId="24C565BA" w14:textId="77777777" w:rsidR="00232B31" w:rsidRPr="00CE0DB8" w:rsidRDefault="00232B31" w:rsidP="00232B31">
      <w:pPr>
        <w:tabs>
          <w:tab w:val="left" w:pos="180"/>
          <w:tab w:val="left" w:pos="360"/>
        </w:tabs>
        <w:ind w:left="283"/>
      </w:pP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</w:r>
      <w:r w:rsidR="00D9500C" w:rsidRPr="00CE0DB8">
        <w:t>председатель контрольно</w:t>
      </w:r>
      <w:r w:rsidRPr="00CE0DB8">
        <w:t>-счётной</w:t>
      </w:r>
    </w:p>
    <w:p w14:paraId="43DC483E" w14:textId="77777777" w:rsidR="00232B31" w:rsidRPr="00CE0DB8" w:rsidRDefault="00232B31" w:rsidP="00232B31">
      <w:pPr>
        <w:tabs>
          <w:tab w:val="left" w:pos="180"/>
          <w:tab w:val="left" w:pos="360"/>
        </w:tabs>
        <w:ind w:left="283"/>
      </w:pP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  <w:t>палаты Волгоградской области</w:t>
      </w:r>
    </w:p>
    <w:p w14:paraId="74CC586C" w14:textId="77777777" w:rsidR="00232B31" w:rsidRPr="00CE0DB8" w:rsidRDefault="00232B31" w:rsidP="00232B31">
      <w:pPr>
        <w:tabs>
          <w:tab w:val="left" w:pos="180"/>
          <w:tab w:val="left" w:pos="360"/>
        </w:tabs>
        <w:ind w:left="283"/>
      </w:pP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</w:r>
    </w:p>
    <w:p w14:paraId="5E6928A2" w14:textId="77777777" w:rsidR="00232B31" w:rsidRPr="00CE0DB8" w:rsidRDefault="00232B31" w:rsidP="00232B31">
      <w:pPr>
        <w:tabs>
          <w:tab w:val="left" w:pos="180"/>
          <w:tab w:val="left" w:pos="360"/>
        </w:tabs>
        <w:ind w:left="283"/>
      </w:pP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  <w:t>_________________ И.А. Дьяченко</w:t>
      </w:r>
    </w:p>
    <w:p w14:paraId="0348C35E" w14:textId="77777777" w:rsidR="00232B31" w:rsidRPr="00CE0DB8" w:rsidRDefault="00232B31" w:rsidP="00232B31">
      <w:pPr>
        <w:tabs>
          <w:tab w:val="left" w:pos="180"/>
          <w:tab w:val="left" w:pos="360"/>
        </w:tabs>
        <w:ind w:left="283"/>
      </w:pP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</w:r>
      <w:r w:rsidRPr="00CE0DB8">
        <w:tab/>
        <w:t xml:space="preserve">____ </w:t>
      </w:r>
      <w:r w:rsidR="00D9500C" w:rsidRPr="00CE0DB8">
        <w:t>марта</w:t>
      </w:r>
      <w:r w:rsidRPr="00CE0DB8">
        <w:t xml:space="preserve"> 202</w:t>
      </w:r>
      <w:r w:rsidR="00D9500C" w:rsidRPr="00CE0DB8">
        <w:t>1</w:t>
      </w:r>
      <w:r w:rsidRPr="00CE0DB8">
        <w:t xml:space="preserve"> года </w:t>
      </w:r>
    </w:p>
    <w:p w14:paraId="197BB1EF" w14:textId="77777777" w:rsidR="00232B31" w:rsidRPr="00CE0DB8" w:rsidRDefault="00232B31" w:rsidP="00232B31">
      <w:pPr>
        <w:jc w:val="center"/>
        <w:rPr>
          <w:b/>
          <w:i/>
        </w:rPr>
      </w:pPr>
    </w:p>
    <w:p w14:paraId="3965EDED" w14:textId="77777777" w:rsidR="002C247E" w:rsidRPr="00CE0DB8" w:rsidRDefault="002C247E" w:rsidP="00232B31">
      <w:pPr>
        <w:jc w:val="center"/>
        <w:rPr>
          <w:b/>
          <w:i/>
        </w:rPr>
      </w:pPr>
    </w:p>
    <w:p w14:paraId="16656E3F" w14:textId="77777777" w:rsidR="00471F84" w:rsidRPr="00CE0DB8" w:rsidRDefault="00471F84" w:rsidP="00232B31">
      <w:pPr>
        <w:jc w:val="center"/>
        <w:rPr>
          <w:b/>
          <w:i/>
        </w:rPr>
      </w:pPr>
    </w:p>
    <w:p w14:paraId="4C4335DC" w14:textId="77777777" w:rsidR="00232B31" w:rsidRPr="00CE0DB8" w:rsidRDefault="00232B31" w:rsidP="00232B31">
      <w:pPr>
        <w:jc w:val="center"/>
        <w:rPr>
          <w:b/>
        </w:rPr>
      </w:pPr>
      <w:r w:rsidRPr="00CE0DB8">
        <w:rPr>
          <w:b/>
        </w:rPr>
        <w:t>ЗАКЛЮЧЕНИЕ</w:t>
      </w:r>
    </w:p>
    <w:p w14:paraId="497623FF" w14:textId="77777777" w:rsidR="00232B31" w:rsidRPr="00CE0DB8" w:rsidRDefault="00232B31" w:rsidP="00232B31">
      <w:pPr>
        <w:ind w:left="283"/>
        <w:jc w:val="center"/>
        <w:rPr>
          <w:b/>
        </w:rPr>
      </w:pPr>
      <w:r w:rsidRPr="00CE0DB8">
        <w:rPr>
          <w:b/>
          <w:color w:val="000000"/>
        </w:rPr>
        <w:t xml:space="preserve">по результатам </w:t>
      </w:r>
      <w:r w:rsidRPr="00CE0DB8">
        <w:rPr>
          <w:b/>
        </w:rPr>
        <w:t>внешней проверки бюджетной отчетности и</w:t>
      </w:r>
    </w:p>
    <w:p w14:paraId="544FB6C4" w14:textId="77777777" w:rsidR="00232B31" w:rsidRPr="00CE0DB8" w:rsidRDefault="00232B31" w:rsidP="00232B31">
      <w:pPr>
        <w:ind w:left="283"/>
        <w:jc w:val="center"/>
        <w:rPr>
          <w:b/>
        </w:rPr>
      </w:pPr>
      <w:r w:rsidRPr="00CE0DB8">
        <w:rPr>
          <w:b/>
        </w:rPr>
        <w:t>отдельных вопросов исполнения областного бюджета за 20</w:t>
      </w:r>
      <w:r w:rsidR="00D9500C" w:rsidRPr="00CE0DB8">
        <w:rPr>
          <w:b/>
        </w:rPr>
        <w:t>20</w:t>
      </w:r>
      <w:r w:rsidRPr="00CE0DB8">
        <w:rPr>
          <w:b/>
        </w:rPr>
        <w:t xml:space="preserve"> год</w:t>
      </w:r>
    </w:p>
    <w:p w14:paraId="112361D6" w14:textId="77777777" w:rsidR="00232B31" w:rsidRPr="00CE0DB8" w:rsidRDefault="00232B31" w:rsidP="00232B31">
      <w:pPr>
        <w:ind w:left="283"/>
        <w:jc w:val="center"/>
        <w:rPr>
          <w:b/>
        </w:rPr>
      </w:pPr>
      <w:r w:rsidRPr="00CE0DB8">
        <w:rPr>
          <w:b/>
        </w:rPr>
        <w:t xml:space="preserve">главным администратором средств областного бюджета – </w:t>
      </w:r>
    </w:p>
    <w:p w14:paraId="156D000C" w14:textId="77777777" w:rsidR="00232B31" w:rsidRPr="00CE0DB8" w:rsidRDefault="00232B31" w:rsidP="00232B31">
      <w:pPr>
        <w:ind w:left="283"/>
        <w:jc w:val="center"/>
        <w:rPr>
          <w:b/>
        </w:rPr>
      </w:pPr>
      <w:r w:rsidRPr="00CE0DB8">
        <w:rPr>
          <w:b/>
        </w:rPr>
        <w:t>комитетом государственной охраны объектов культурного наследия Волгоградской области</w:t>
      </w:r>
    </w:p>
    <w:p w14:paraId="11A793C5" w14:textId="77777777" w:rsidR="00232B31" w:rsidRPr="00CE0DB8" w:rsidRDefault="00232B31" w:rsidP="00232B31">
      <w:pPr>
        <w:ind w:left="283"/>
        <w:jc w:val="center"/>
        <w:rPr>
          <w:b/>
        </w:rPr>
      </w:pPr>
    </w:p>
    <w:p w14:paraId="64DCA403" w14:textId="77777777" w:rsidR="00232B31" w:rsidRPr="00CE0DB8" w:rsidRDefault="00232B31" w:rsidP="00232B31">
      <w:pPr>
        <w:ind w:firstLine="720"/>
        <w:jc w:val="both"/>
      </w:pPr>
      <w:r w:rsidRPr="00CE0DB8">
        <w:t xml:space="preserve">В соответствии с п.3.1.26 </w:t>
      </w:r>
      <w:r w:rsidR="00B47978" w:rsidRPr="00CE0DB8">
        <w:t>П</w:t>
      </w:r>
      <w:r w:rsidRPr="00CE0DB8">
        <w:t xml:space="preserve">лана работы контрольно-счетной палаты Волгоградской области (далее – КСП), утвержденного постановлением коллегии КСП от </w:t>
      </w:r>
      <w:r w:rsidR="00D9500C" w:rsidRPr="00CE0DB8">
        <w:t>03.12.2020 № 13/3</w:t>
      </w:r>
      <w:r w:rsidRPr="00CE0DB8">
        <w:t>, в целях подготовки заключения на годовой отчет об испо</w:t>
      </w:r>
      <w:r w:rsidR="008C0C85" w:rsidRPr="00CE0DB8">
        <w:t>лнении областного бюджета за 2020</w:t>
      </w:r>
      <w:r w:rsidRPr="00CE0DB8">
        <w:t xml:space="preserve"> год проведена внешняя камеральная проверка бюджетной отчетности и отдельных вопросов исполнения областного бюджета за 20</w:t>
      </w:r>
      <w:r w:rsidR="00D9500C" w:rsidRPr="00CE0DB8">
        <w:t>20</w:t>
      </w:r>
      <w:r w:rsidRPr="00CE0DB8">
        <w:t xml:space="preserve"> год главным администратором средств областного бюджета – комитетом государственной охраны объектов культурного</w:t>
      </w:r>
      <w:r w:rsidR="00D9500C" w:rsidRPr="00CE0DB8">
        <w:t xml:space="preserve"> наследия Волгоградской области</w:t>
      </w:r>
      <w:r w:rsidRPr="00CE0DB8">
        <w:t xml:space="preserve"> (далее - Комитет).</w:t>
      </w:r>
    </w:p>
    <w:p w14:paraId="7F8CF0CF" w14:textId="77777777" w:rsidR="00F81F14" w:rsidRPr="00CE0DB8" w:rsidRDefault="000E078F" w:rsidP="00904609">
      <w:pPr>
        <w:autoSpaceDE w:val="0"/>
        <w:autoSpaceDN w:val="0"/>
        <w:adjustRightInd w:val="0"/>
        <w:ind w:firstLine="708"/>
        <w:jc w:val="both"/>
      </w:pPr>
      <w:r w:rsidRPr="00CE0DB8">
        <w:t xml:space="preserve">Комитет является органом исполнительной власти Волгоградской области, уполномоченным </w:t>
      </w:r>
      <w:r w:rsidRPr="00CE0DB8">
        <w:rPr>
          <w:rFonts w:eastAsiaTheme="minorHAnsi"/>
          <w:lang w:eastAsia="en-US"/>
        </w:rPr>
        <w:t>в сфере сохранения, использования, популяризации и государственной охраны объектов культурного наследия на территории Волгоградской области</w:t>
      </w:r>
      <w:r w:rsidR="00232B31" w:rsidRPr="00CE0DB8">
        <w:rPr>
          <w:rFonts w:eastAsiaTheme="minorHAnsi"/>
          <w:lang w:eastAsia="en-US"/>
        </w:rPr>
        <w:t>.</w:t>
      </w:r>
      <w:r w:rsidR="00824B3A" w:rsidRPr="00CE0DB8">
        <w:rPr>
          <w:rFonts w:eastAsiaTheme="minorHAnsi"/>
          <w:lang w:eastAsia="en-US"/>
        </w:rPr>
        <w:t xml:space="preserve"> </w:t>
      </w:r>
      <w:r w:rsidR="002F5F38" w:rsidRPr="00CE0DB8">
        <w:rPr>
          <w:rFonts w:eastAsiaTheme="minorHAnsi"/>
          <w:lang w:eastAsia="en-US"/>
        </w:rPr>
        <w:t xml:space="preserve">На начало и конец 2020 года </w:t>
      </w:r>
      <w:r w:rsidR="002F5F38" w:rsidRPr="00CE0DB8">
        <w:t>ш</w:t>
      </w:r>
      <w:r w:rsidR="00EE7318" w:rsidRPr="00CE0DB8">
        <w:t xml:space="preserve">татная численность Комитета утверждена в количестве </w:t>
      </w:r>
      <w:r w:rsidR="006808D2" w:rsidRPr="00CE0DB8">
        <w:t>30</w:t>
      </w:r>
      <w:r w:rsidR="00EE7318" w:rsidRPr="00CE0DB8">
        <w:t xml:space="preserve"> единиц, в том числе </w:t>
      </w:r>
      <w:r w:rsidR="005811E2" w:rsidRPr="00CE0DB8">
        <w:t>25</w:t>
      </w:r>
      <w:r w:rsidR="00EE7318" w:rsidRPr="00CE0DB8">
        <w:t xml:space="preserve"> государственных гражданских служащих Волгоградской области</w:t>
      </w:r>
      <w:r w:rsidR="00223134" w:rsidRPr="00CE0DB8">
        <w:t xml:space="preserve">, </w:t>
      </w:r>
      <w:r w:rsidR="002F5F38" w:rsidRPr="00CE0DB8">
        <w:t xml:space="preserve">количество </w:t>
      </w:r>
      <w:r w:rsidR="00EE7318" w:rsidRPr="00CE0DB8">
        <w:t>вакантн</w:t>
      </w:r>
      <w:r w:rsidR="00C178C9" w:rsidRPr="00CE0DB8">
        <w:t>ы</w:t>
      </w:r>
      <w:r w:rsidR="002F5F38" w:rsidRPr="00CE0DB8">
        <w:t>х</w:t>
      </w:r>
      <w:r w:rsidR="00C178C9" w:rsidRPr="00CE0DB8">
        <w:t xml:space="preserve"> </w:t>
      </w:r>
      <w:r w:rsidR="00EE7318" w:rsidRPr="00CE0DB8">
        <w:t>должност</w:t>
      </w:r>
      <w:r w:rsidR="002F5F38" w:rsidRPr="00CE0DB8">
        <w:t>ей увеличилось с 1-й на начало года до 2-х на конец года</w:t>
      </w:r>
      <w:r w:rsidR="00EE7318" w:rsidRPr="00CE0DB8">
        <w:t>.</w:t>
      </w:r>
    </w:p>
    <w:p w14:paraId="5CFF40B7" w14:textId="77777777" w:rsidR="00904609" w:rsidRPr="00CE0DB8" w:rsidRDefault="00904609" w:rsidP="00174D2E">
      <w:pPr>
        <w:ind w:firstLine="680"/>
        <w:jc w:val="both"/>
      </w:pPr>
      <w:r w:rsidRPr="00CE0DB8">
        <w:t xml:space="preserve">Законом Волгоградской области </w:t>
      </w:r>
      <w:r w:rsidR="00D9500C" w:rsidRPr="00CE0DB8">
        <w:t>от 21.11.2019 № 97-ОД «Об областном бюджете на 2020 год и на плановый период 2021 и 2022 годов» (далее -</w:t>
      </w:r>
      <w:r w:rsidRPr="00CE0DB8">
        <w:t xml:space="preserve"> Закон об областном бюджете) Комитет включен в перечень главных администраторов доходов областного бюджета и главных распорядите</w:t>
      </w:r>
      <w:r w:rsidR="00D9500C" w:rsidRPr="00CE0DB8">
        <w:t>лей средств областного бюджета.</w:t>
      </w:r>
    </w:p>
    <w:p w14:paraId="47628EB6" w14:textId="77777777" w:rsidR="00904609" w:rsidRPr="00CE0DB8" w:rsidRDefault="00904609" w:rsidP="00174D2E">
      <w:pPr>
        <w:ind w:firstLine="709"/>
        <w:jc w:val="both"/>
      </w:pPr>
      <w:r w:rsidRPr="00CE0DB8">
        <w:t xml:space="preserve">Комитет является учредителем </w:t>
      </w:r>
      <w:r w:rsidR="00CE4107" w:rsidRPr="00CE0DB8">
        <w:t>государственно</w:t>
      </w:r>
      <w:r w:rsidRPr="00CE0DB8">
        <w:t>го</w:t>
      </w:r>
      <w:r w:rsidR="00CE4107" w:rsidRPr="00CE0DB8">
        <w:t xml:space="preserve"> бюджетно</w:t>
      </w:r>
      <w:r w:rsidRPr="00CE0DB8">
        <w:t>го</w:t>
      </w:r>
      <w:r w:rsidR="00CE4107" w:rsidRPr="00CE0DB8">
        <w:t xml:space="preserve"> учреждени</w:t>
      </w:r>
      <w:r w:rsidRPr="00CE0DB8">
        <w:t>я</w:t>
      </w:r>
      <w:r w:rsidR="00D9500C" w:rsidRPr="00CE0DB8">
        <w:t xml:space="preserve"> «</w:t>
      </w:r>
      <w:r w:rsidR="00CE4107" w:rsidRPr="00CE0DB8">
        <w:t>Волгоградский областной научно-производственный центр по охране памятников истории и культуры</w:t>
      </w:r>
      <w:r w:rsidR="00D9500C" w:rsidRPr="00CE0DB8">
        <w:t>»</w:t>
      </w:r>
      <w:r w:rsidR="00CE4107" w:rsidRPr="00CE0DB8">
        <w:t xml:space="preserve"> (далее</w:t>
      </w:r>
      <w:r w:rsidR="00D9500C" w:rsidRPr="00CE0DB8">
        <w:t xml:space="preserve"> -</w:t>
      </w:r>
      <w:r w:rsidR="00524E34" w:rsidRPr="00CE0DB8">
        <w:t xml:space="preserve"> ГБУ ВО НПЦ)</w:t>
      </w:r>
      <w:r w:rsidR="00CE4107" w:rsidRPr="00CE0DB8">
        <w:t>.</w:t>
      </w:r>
      <w:r w:rsidR="001C79F6" w:rsidRPr="00CE0DB8">
        <w:t xml:space="preserve"> В 2020 году штатная численность ГБУ ВО НПЦ увеличилась в 3 раза (с 29 на начало года до 87 на конец года).</w:t>
      </w:r>
    </w:p>
    <w:p w14:paraId="2B09BAFA" w14:textId="77777777" w:rsidR="00904609" w:rsidRPr="00CE0DB8" w:rsidRDefault="00904609" w:rsidP="00174D2E">
      <w:pPr>
        <w:ind w:firstLine="708"/>
        <w:jc w:val="both"/>
      </w:pPr>
      <w:r w:rsidRPr="00CE0DB8">
        <w:t xml:space="preserve">Полномочия по ведению бюджетного учета и составлению отчётности Комитета осуществляет государственное казенное учреждение Волгоградской области «Центр </w:t>
      </w:r>
      <w:r w:rsidR="00D9500C" w:rsidRPr="00CE0DB8">
        <w:t>бюджетного учета и отчетности».</w:t>
      </w:r>
    </w:p>
    <w:p w14:paraId="2F56E103" w14:textId="77777777" w:rsidR="002C247E" w:rsidRPr="00CE0DB8" w:rsidRDefault="002C247E" w:rsidP="002C247E">
      <w:pPr>
        <w:jc w:val="center"/>
        <w:rPr>
          <w:b/>
          <w:i/>
        </w:rPr>
      </w:pPr>
    </w:p>
    <w:p w14:paraId="330301EA" w14:textId="77777777" w:rsidR="00904609" w:rsidRPr="00CE0DB8" w:rsidRDefault="00904609" w:rsidP="002C247E">
      <w:pPr>
        <w:jc w:val="center"/>
        <w:rPr>
          <w:b/>
          <w:i/>
        </w:rPr>
      </w:pPr>
      <w:r w:rsidRPr="00CE0DB8">
        <w:rPr>
          <w:b/>
          <w:i/>
        </w:rPr>
        <w:t>Бюджетная (бухгалтерская) отчётность</w:t>
      </w:r>
    </w:p>
    <w:p w14:paraId="156D2EF9" w14:textId="77777777" w:rsidR="002C247E" w:rsidRPr="00CE0DB8" w:rsidRDefault="002C247E" w:rsidP="002C247E">
      <w:pPr>
        <w:jc w:val="center"/>
        <w:rPr>
          <w:b/>
          <w:i/>
        </w:rPr>
      </w:pPr>
    </w:p>
    <w:p w14:paraId="18AFCC71" w14:textId="77777777" w:rsidR="00F6070E" w:rsidRPr="00CE0DB8" w:rsidRDefault="00F6070E" w:rsidP="00F6070E">
      <w:pPr>
        <w:ind w:firstLine="709"/>
        <w:jc w:val="both"/>
      </w:pPr>
      <w:r w:rsidRPr="00CE0DB8">
        <w:t xml:space="preserve">Сводная бюджетная </w:t>
      </w:r>
      <w:r w:rsidR="00D9500C" w:rsidRPr="00CE0DB8">
        <w:rPr>
          <w:bCs/>
        </w:rPr>
        <w:t>отчетность Комитета за 2020</w:t>
      </w:r>
      <w:r w:rsidRPr="00CE0DB8">
        <w:rPr>
          <w:bCs/>
        </w:rPr>
        <w:t xml:space="preserve"> год представлена к </w:t>
      </w:r>
      <w:r w:rsidRPr="00CE0DB8">
        <w:t>прове</w:t>
      </w:r>
      <w:r w:rsidR="00D9500C" w:rsidRPr="00CE0DB8">
        <w:t>рке в составе, определенном ст. </w:t>
      </w:r>
      <w:r w:rsidRPr="00CE0DB8">
        <w:t>264.1 Б</w:t>
      </w:r>
      <w:r w:rsidR="00D9500C" w:rsidRPr="00CE0DB8">
        <w:t xml:space="preserve">юджетного кодекса </w:t>
      </w:r>
      <w:r w:rsidRPr="00CE0DB8">
        <w:t xml:space="preserve">РФ </w:t>
      </w:r>
      <w:r w:rsidR="00D0462A" w:rsidRPr="00CE0DB8">
        <w:t xml:space="preserve">(далее – БК РФ) </w:t>
      </w:r>
      <w:r w:rsidRPr="00CE0DB8">
        <w:t>и Инструкцией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от 28.12.2010 № 191н.</w:t>
      </w:r>
    </w:p>
    <w:p w14:paraId="2B42D78E" w14:textId="77777777" w:rsidR="00EF094E" w:rsidRPr="00CE0DB8" w:rsidRDefault="00F6070E" w:rsidP="00F6070E">
      <w:pPr>
        <w:ind w:firstLine="709"/>
        <w:jc w:val="both"/>
        <w:rPr>
          <w:color w:val="000099"/>
        </w:rPr>
      </w:pPr>
      <w:r w:rsidRPr="00CE0DB8">
        <w:t xml:space="preserve">Проверкой достоверности </w:t>
      </w:r>
      <w:r w:rsidR="00B47978" w:rsidRPr="00CE0DB8">
        <w:t xml:space="preserve">сводной </w:t>
      </w:r>
      <w:r w:rsidRPr="00CE0DB8">
        <w:t>бюджетной отчетности нарушения</w:t>
      </w:r>
      <w:r w:rsidRPr="00CE0DB8">
        <w:rPr>
          <w:rFonts w:eastAsiaTheme="minorHAnsi"/>
          <w:lang w:eastAsia="en-US"/>
        </w:rPr>
        <w:t xml:space="preserve"> требований </w:t>
      </w:r>
      <w:r w:rsidR="00B47978" w:rsidRPr="00CE0DB8">
        <w:rPr>
          <w:rFonts w:eastAsiaTheme="minorHAnsi"/>
          <w:lang w:eastAsia="en-US"/>
        </w:rPr>
        <w:t>Инструкции №</w:t>
      </w:r>
      <w:r w:rsidR="00D0462A" w:rsidRPr="00CE0DB8">
        <w:rPr>
          <w:rFonts w:eastAsiaTheme="minorHAnsi"/>
          <w:lang w:eastAsia="en-US"/>
        </w:rPr>
        <w:t> </w:t>
      </w:r>
      <w:r w:rsidR="00B47978" w:rsidRPr="00CE0DB8">
        <w:rPr>
          <w:rFonts w:eastAsiaTheme="minorHAnsi"/>
          <w:lang w:eastAsia="en-US"/>
        </w:rPr>
        <w:t xml:space="preserve">191н </w:t>
      </w:r>
      <w:r w:rsidRPr="00CE0DB8">
        <w:rPr>
          <w:rFonts w:eastAsiaTheme="minorHAnsi"/>
          <w:lang w:eastAsia="en-US"/>
        </w:rPr>
        <w:t>к бюджетному учету</w:t>
      </w:r>
      <w:r w:rsidRPr="00CE0DB8">
        <w:t xml:space="preserve"> не установлены</w:t>
      </w:r>
      <w:r w:rsidR="002F5F38" w:rsidRPr="00CE0DB8">
        <w:t xml:space="preserve"> </w:t>
      </w:r>
      <w:r w:rsidR="002B46D6" w:rsidRPr="00CE0DB8">
        <w:rPr>
          <w:color w:val="000099"/>
        </w:rPr>
        <w:t>(приложение №</w:t>
      </w:r>
      <w:r w:rsidR="00595FB0" w:rsidRPr="00CE0DB8">
        <w:rPr>
          <w:color w:val="000099"/>
        </w:rPr>
        <w:t> </w:t>
      </w:r>
      <w:r w:rsidR="002B46D6" w:rsidRPr="00CE0DB8">
        <w:rPr>
          <w:color w:val="000099"/>
        </w:rPr>
        <w:t>1)</w:t>
      </w:r>
      <w:r w:rsidRPr="00CE0DB8">
        <w:rPr>
          <w:color w:val="000099"/>
        </w:rPr>
        <w:t>.</w:t>
      </w:r>
    </w:p>
    <w:p w14:paraId="3E542785" w14:textId="77777777" w:rsidR="00F6070E" w:rsidRPr="00CE0DB8" w:rsidRDefault="00F6070E" w:rsidP="00F6070E">
      <w:pPr>
        <w:ind w:firstLine="709"/>
        <w:jc w:val="both"/>
      </w:pPr>
      <w:r w:rsidRPr="00CE0DB8">
        <w:t xml:space="preserve">Бухгалтерская </w:t>
      </w:r>
      <w:r w:rsidRPr="00CE0DB8">
        <w:rPr>
          <w:bCs/>
        </w:rPr>
        <w:t xml:space="preserve">отчетность </w:t>
      </w:r>
      <w:r w:rsidRPr="00CE0DB8">
        <w:t>ГБУ ВО НПЦ</w:t>
      </w:r>
      <w:r w:rsidRPr="00CE0DB8">
        <w:rPr>
          <w:bCs/>
        </w:rPr>
        <w:t xml:space="preserve"> за 20</w:t>
      </w:r>
      <w:r w:rsidR="00595FB0" w:rsidRPr="00CE0DB8">
        <w:rPr>
          <w:bCs/>
        </w:rPr>
        <w:t>20</w:t>
      </w:r>
      <w:r w:rsidRPr="00CE0DB8">
        <w:rPr>
          <w:bCs/>
        </w:rPr>
        <w:t xml:space="preserve"> год представлена к </w:t>
      </w:r>
      <w:r w:rsidRPr="00CE0DB8">
        <w:t xml:space="preserve">проверке в составе, определенном </w:t>
      </w:r>
      <w:r w:rsidRPr="00CE0DB8">
        <w:rPr>
          <w:rFonts w:eastAsiaTheme="minorHAnsi"/>
          <w:lang w:eastAsia="en-US"/>
        </w:rPr>
        <w:t>Инструкцией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</w:t>
      </w:r>
      <w:r w:rsidRPr="00CE0DB8">
        <w:t xml:space="preserve">, утвержденной приказом Минфина РФ </w:t>
      </w:r>
      <w:r w:rsidRPr="00CE0DB8">
        <w:rPr>
          <w:rFonts w:eastAsiaTheme="minorHAnsi"/>
          <w:lang w:eastAsia="en-US"/>
        </w:rPr>
        <w:t>от 25.03.2011 №</w:t>
      </w:r>
      <w:r w:rsidR="00595FB0" w:rsidRPr="00CE0DB8">
        <w:rPr>
          <w:rFonts w:eastAsiaTheme="minorHAnsi"/>
          <w:lang w:eastAsia="en-US"/>
        </w:rPr>
        <w:t> </w:t>
      </w:r>
      <w:r w:rsidRPr="00CE0DB8">
        <w:rPr>
          <w:rFonts w:eastAsiaTheme="minorHAnsi"/>
          <w:lang w:eastAsia="en-US"/>
        </w:rPr>
        <w:t>33н</w:t>
      </w:r>
      <w:r w:rsidR="00B47978" w:rsidRPr="00CE0DB8">
        <w:rPr>
          <w:rFonts w:eastAsiaTheme="minorHAnsi"/>
          <w:lang w:eastAsia="en-US"/>
        </w:rPr>
        <w:t xml:space="preserve"> (далее </w:t>
      </w:r>
      <w:r w:rsidR="00595FB0" w:rsidRPr="00CE0DB8">
        <w:rPr>
          <w:rFonts w:eastAsiaTheme="minorHAnsi"/>
          <w:lang w:eastAsia="en-US"/>
        </w:rPr>
        <w:t xml:space="preserve">- </w:t>
      </w:r>
      <w:r w:rsidR="00B47978" w:rsidRPr="00CE0DB8">
        <w:rPr>
          <w:rFonts w:eastAsiaTheme="minorHAnsi"/>
          <w:lang w:eastAsia="en-US"/>
        </w:rPr>
        <w:t>Инструкция №</w:t>
      </w:r>
      <w:r w:rsidR="00595FB0" w:rsidRPr="00CE0DB8">
        <w:rPr>
          <w:rFonts w:eastAsiaTheme="minorHAnsi"/>
          <w:lang w:eastAsia="en-US"/>
        </w:rPr>
        <w:t> </w:t>
      </w:r>
      <w:r w:rsidR="00B47978" w:rsidRPr="00CE0DB8">
        <w:rPr>
          <w:rFonts w:eastAsiaTheme="minorHAnsi"/>
          <w:lang w:eastAsia="en-US"/>
        </w:rPr>
        <w:t>33н)</w:t>
      </w:r>
      <w:r w:rsidRPr="00CE0DB8">
        <w:t>.</w:t>
      </w:r>
    </w:p>
    <w:p w14:paraId="3D7CF75A" w14:textId="77777777" w:rsidR="001C79F6" w:rsidRPr="00CE0DB8" w:rsidRDefault="00F6070E" w:rsidP="002F5F38">
      <w:pPr>
        <w:ind w:firstLine="709"/>
        <w:jc w:val="both"/>
      </w:pPr>
      <w:r w:rsidRPr="00CE0DB8">
        <w:lastRenderedPageBreak/>
        <w:t>Проверкой достоверности бухгалтерской о</w:t>
      </w:r>
      <w:r w:rsidR="002F5F38" w:rsidRPr="00CE0DB8">
        <w:t>тчетности ГБУ ВО НПЦ установлен</w:t>
      </w:r>
      <w:r w:rsidR="001C79F6" w:rsidRPr="00CE0DB8">
        <w:t>ы нарушения требований к бухгалтерскому учету, которые не повлекли искажения бюджетной отчетности.</w:t>
      </w:r>
    </w:p>
    <w:p w14:paraId="7E2A0FF5" w14:textId="77777777" w:rsidR="00595FB0" w:rsidRPr="00CE0DB8" w:rsidRDefault="001C79F6" w:rsidP="002F5F38">
      <w:pPr>
        <w:ind w:firstLine="709"/>
        <w:jc w:val="both"/>
      </w:pPr>
      <w:r w:rsidRPr="00CE0DB8">
        <w:t xml:space="preserve">Так, </w:t>
      </w:r>
      <w:r w:rsidR="00595FB0" w:rsidRPr="00CE0DB8">
        <w:rPr>
          <w:rFonts w:eastAsiaTheme="minorHAnsi"/>
          <w:lang w:eastAsia="en-US"/>
        </w:rPr>
        <w:t xml:space="preserve">в нарушение п. 9, 72.1 </w:t>
      </w:r>
      <w:r w:rsidR="00595FB0" w:rsidRPr="00CE0DB8">
        <w:t>Инструкции № 33н</w:t>
      </w:r>
      <w:r w:rsidR="00595FB0" w:rsidRPr="00CE0DB8">
        <w:rPr>
          <w:rFonts w:eastAsiaTheme="minorHAnsi"/>
          <w:lang w:eastAsia="en-US"/>
        </w:rPr>
        <w:t xml:space="preserve"> и п. 16</w:t>
      </w:r>
      <w:r w:rsidR="00C178C9" w:rsidRPr="00CE0DB8">
        <w:rPr>
          <w:rFonts w:eastAsiaTheme="minorHAnsi"/>
          <w:lang w:eastAsia="en-US"/>
        </w:rPr>
        <w:t>3, 167</w:t>
      </w:r>
      <w:r w:rsidR="00595FB0" w:rsidRPr="00CE0DB8">
        <w:rPr>
          <w:rFonts w:eastAsiaTheme="minorHAnsi"/>
          <w:lang w:eastAsia="en-US"/>
        </w:rPr>
        <w:t xml:space="preserve"> </w:t>
      </w:r>
      <w:r w:rsidR="002F5F38" w:rsidRPr="00CE0DB8">
        <w:t>п</w:t>
      </w:r>
      <w:r w:rsidR="00595FB0" w:rsidRPr="00CE0DB8">
        <w:t xml:space="preserve">риказа Минфина России от </w:t>
      </w:r>
      <w:r w:rsidR="00C178C9" w:rsidRPr="00CE0DB8">
        <w:t>16</w:t>
      </w:r>
      <w:r w:rsidR="00595FB0" w:rsidRPr="00CE0DB8">
        <w:t>.12.2010 № 1</w:t>
      </w:r>
      <w:r w:rsidR="00C178C9" w:rsidRPr="00CE0DB8">
        <w:t>74</w:t>
      </w:r>
      <w:r w:rsidR="00595FB0" w:rsidRPr="00CE0DB8">
        <w:t xml:space="preserve">н «Об утверждении Плана счетов бухгалтерского учета </w:t>
      </w:r>
      <w:r w:rsidR="00C178C9" w:rsidRPr="00CE0DB8">
        <w:rPr>
          <w:rFonts w:eastAsiaTheme="minorHAnsi"/>
          <w:lang w:eastAsia="en-US"/>
        </w:rPr>
        <w:t>бюджетных</w:t>
      </w:r>
      <w:r w:rsidR="00595FB0" w:rsidRPr="00CE0DB8">
        <w:t xml:space="preserve"> учреждений и Инструкции по его применению» раздел 4 «Сведения о принятых и неисполненных обязательствах» (ф. 0503775) по операциям по принятию учреждением обязательств на 43 832,5 тыс. руб. сформирован не на основании данных главной книги и других регистров бухгалтерского учета, так как в главной книге учреждения бухгалтерский счет 050207000 «Принимаемые обязательства» не велся.</w:t>
      </w:r>
    </w:p>
    <w:p w14:paraId="2EB32929" w14:textId="77777777" w:rsidR="00595FB0" w:rsidRPr="00CE0DB8" w:rsidRDefault="00595FB0" w:rsidP="00595FB0">
      <w:pPr>
        <w:autoSpaceDE w:val="0"/>
        <w:autoSpaceDN w:val="0"/>
        <w:adjustRightInd w:val="0"/>
        <w:ind w:firstLine="709"/>
        <w:jc w:val="both"/>
      </w:pPr>
      <w:r w:rsidRPr="00CE0DB8">
        <w:t>В ходе проверки учреждением нарушение устранено путем включения в главную книгу счета 050207000 «Принимаемые обязательства» (письмо от 22.02.2021 № 01-2-86).</w:t>
      </w:r>
    </w:p>
    <w:p w14:paraId="2A3EC6D0" w14:textId="77777777" w:rsidR="005C3566" w:rsidRPr="00CE0DB8" w:rsidRDefault="00F6070E" w:rsidP="004800DE">
      <w:pPr>
        <w:autoSpaceDE w:val="0"/>
        <w:autoSpaceDN w:val="0"/>
        <w:adjustRightInd w:val="0"/>
        <w:ind w:firstLine="680"/>
        <w:jc w:val="both"/>
        <w:rPr>
          <w:rFonts w:eastAsiaTheme="minorHAnsi"/>
          <w:lang w:eastAsia="en-US"/>
        </w:rPr>
      </w:pPr>
      <w:r w:rsidRPr="00CE0DB8">
        <w:rPr>
          <w:rFonts w:eastAsiaTheme="minorHAnsi"/>
          <w:lang w:eastAsia="en-US"/>
        </w:rPr>
        <w:t xml:space="preserve">Кроме того, установлены нарушения </w:t>
      </w:r>
      <w:r w:rsidR="005C3566" w:rsidRPr="00CE0DB8">
        <w:rPr>
          <w:rFonts w:eastAsiaTheme="minorHAnsi"/>
          <w:lang w:eastAsia="en-US"/>
        </w:rPr>
        <w:t xml:space="preserve">положений </w:t>
      </w:r>
      <w:r w:rsidR="005511FF" w:rsidRPr="00CE0DB8">
        <w:rPr>
          <w:rFonts w:eastAsiaTheme="minorHAnsi"/>
          <w:lang w:eastAsia="en-US"/>
        </w:rPr>
        <w:t xml:space="preserve">п. 56 </w:t>
      </w:r>
      <w:r w:rsidR="005C3566" w:rsidRPr="00CE0DB8">
        <w:rPr>
          <w:rFonts w:eastAsiaTheme="minorHAnsi"/>
          <w:lang w:eastAsia="en-US"/>
        </w:rPr>
        <w:t>Инст</w:t>
      </w:r>
      <w:r w:rsidR="00595FB0" w:rsidRPr="00CE0DB8">
        <w:rPr>
          <w:rFonts w:eastAsiaTheme="minorHAnsi"/>
          <w:lang w:eastAsia="en-US"/>
        </w:rPr>
        <w:t xml:space="preserve">рукции № 33н в части </w:t>
      </w:r>
      <w:r w:rsidR="00041C34" w:rsidRPr="00CE0DB8">
        <w:rPr>
          <w:rFonts w:eastAsiaTheme="minorHAnsi"/>
          <w:lang w:eastAsia="en-US"/>
        </w:rPr>
        <w:t xml:space="preserve">отсутствия в </w:t>
      </w:r>
      <w:r w:rsidR="00595FB0" w:rsidRPr="00CE0DB8">
        <w:rPr>
          <w:rFonts w:eastAsiaTheme="minorHAnsi"/>
          <w:lang w:eastAsia="en-US"/>
        </w:rPr>
        <w:t>пояснительной записк</w:t>
      </w:r>
      <w:r w:rsidR="00041C34" w:rsidRPr="00CE0DB8">
        <w:rPr>
          <w:rFonts w:eastAsiaTheme="minorHAnsi"/>
          <w:lang w:eastAsia="en-US"/>
        </w:rPr>
        <w:t>е</w:t>
      </w:r>
      <w:r w:rsidR="00C178C9" w:rsidRPr="00CE0DB8">
        <w:rPr>
          <w:rFonts w:eastAsiaTheme="minorHAnsi"/>
          <w:lang w:eastAsia="en-US"/>
        </w:rPr>
        <w:t xml:space="preserve"> </w:t>
      </w:r>
      <w:r w:rsidR="00041C34" w:rsidRPr="00CE0DB8">
        <w:t>ГБУ ВО НПЦ</w:t>
      </w:r>
      <w:r w:rsidR="002F5F38" w:rsidRPr="00CE0DB8">
        <w:t xml:space="preserve"> </w:t>
      </w:r>
      <w:r w:rsidR="005511FF" w:rsidRPr="00CE0DB8">
        <w:t>(ф. 0503760)</w:t>
      </w:r>
      <w:r w:rsidR="00041C34" w:rsidRPr="00CE0DB8">
        <w:t xml:space="preserve"> информации о</w:t>
      </w:r>
      <w:r w:rsidR="00041C34" w:rsidRPr="00CE0DB8">
        <w:rPr>
          <w:rFonts w:eastAsiaTheme="minorHAnsi"/>
          <w:lang w:eastAsia="en-US"/>
        </w:rPr>
        <w:t xml:space="preserve"> мерах по повышению квалификации и переподготовке специалистов учреждения, численности работников, стоимости имущества, </w:t>
      </w:r>
      <w:r w:rsidR="004800DE" w:rsidRPr="00CE0DB8">
        <w:rPr>
          <w:rFonts w:eastAsiaTheme="minorHAnsi"/>
          <w:lang w:eastAsia="en-US"/>
        </w:rPr>
        <w:t>техническом состоянии, эффективности использования, обеспеченности учреждения основными фондами и др.,</w:t>
      </w:r>
      <w:r w:rsidR="005C3566" w:rsidRPr="00CE0DB8">
        <w:rPr>
          <w:rFonts w:eastAsiaTheme="minorHAnsi"/>
          <w:lang w:eastAsia="en-US"/>
        </w:rPr>
        <w:t xml:space="preserve"> а также представления в составе бюджетной отчетности </w:t>
      </w:r>
      <w:r w:rsidR="00595FB0" w:rsidRPr="00CE0DB8">
        <w:rPr>
          <w:rFonts w:eastAsiaTheme="minorHAnsi"/>
          <w:lang w:eastAsia="en-US"/>
        </w:rPr>
        <w:t>6</w:t>
      </w:r>
      <w:r w:rsidR="005C3566" w:rsidRPr="00CE0DB8">
        <w:rPr>
          <w:rFonts w:eastAsiaTheme="minorHAnsi"/>
          <w:lang w:eastAsia="en-US"/>
        </w:rPr>
        <w:t xml:space="preserve"> форм, не имеющи</w:t>
      </w:r>
      <w:r w:rsidR="004800DE" w:rsidRPr="00CE0DB8">
        <w:rPr>
          <w:rFonts w:eastAsiaTheme="minorHAnsi"/>
          <w:lang w:eastAsia="en-US"/>
        </w:rPr>
        <w:t>х числовых значений показателей (п. 10 Инструкции № 33н), которые в ходе проверки не устранены.</w:t>
      </w:r>
    </w:p>
    <w:p w14:paraId="455DE6E3" w14:textId="77777777" w:rsidR="00041C34" w:rsidRPr="00CE0DB8" w:rsidRDefault="00041C34" w:rsidP="002C247E">
      <w:pPr>
        <w:autoSpaceDE w:val="0"/>
        <w:autoSpaceDN w:val="0"/>
        <w:adjustRightInd w:val="0"/>
        <w:ind w:firstLine="357"/>
        <w:jc w:val="center"/>
        <w:rPr>
          <w:b/>
        </w:rPr>
      </w:pPr>
    </w:p>
    <w:p w14:paraId="3E6F7DB0" w14:textId="77777777" w:rsidR="00A376AB" w:rsidRPr="00CE0DB8" w:rsidRDefault="00A376AB" w:rsidP="002C247E">
      <w:pPr>
        <w:autoSpaceDE w:val="0"/>
        <w:autoSpaceDN w:val="0"/>
        <w:adjustRightInd w:val="0"/>
        <w:ind w:firstLine="357"/>
        <w:jc w:val="center"/>
        <w:rPr>
          <w:b/>
        </w:rPr>
      </w:pPr>
      <w:r w:rsidRPr="00CE0DB8">
        <w:rPr>
          <w:b/>
        </w:rPr>
        <w:t>Исполнение плановых назначений по закрепленным доходам</w:t>
      </w:r>
    </w:p>
    <w:p w14:paraId="5635A001" w14:textId="77777777" w:rsidR="002C247E" w:rsidRPr="00CE0DB8" w:rsidRDefault="002C247E" w:rsidP="002C247E">
      <w:pPr>
        <w:autoSpaceDE w:val="0"/>
        <w:autoSpaceDN w:val="0"/>
        <w:adjustRightInd w:val="0"/>
        <w:ind w:firstLine="357"/>
        <w:jc w:val="center"/>
        <w:rPr>
          <w:b/>
          <w:bCs/>
        </w:rPr>
      </w:pPr>
    </w:p>
    <w:p w14:paraId="624822C0" w14:textId="77777777" w:rsidR="00EE7318" w:rsidRPr="00CE0DB8" w:rsidRDefault="00F614AD" w:rsidP="002C247E">
      <w:pPr>
        <w:autoSpaceDE w:val="0"/>
        <w:autoSpaceDN w:val="0"/>
        <w:adjustRightInd w:val="0"/>
        <w:ind w:firstLine="680"/>
        <w:jc w:val="both"/>
        <w:outlineLvl w:val="0"/>
        <w:rPr>
          <w:rFonts w:eastAsiaTheme="minorHAnsi"/>
          <w:color w:val="000099"/>
          <w:lang w:eastAsia="en-US"/>
        </w:rPr>
      </w:pPr>
      <w:r w:rsidRPr="00CE0DB8">
        <w:t>Д</w:t>
      </w:r>
      <w:r w:rsidR="00EE7318" w:rsidRPr="00CE0DB8">
        <w:t>оход</w:t>
      </w:r>
      <w:r w:rsidRPr="00CE0DB8">
        <w:t>ы</w:t>
      </w:r>
      <w:r w:rsidR="00EE7318" w:rsidRPr="00CE0DB8">
        <w:t xml:space="preserve"> за 20</w:t>
      </w:r>
      <w:r w:rsidR="00595FB0" w:rsidRPr="00CE0DB8">
        <w:t>20</w:t>
      </w:r>
      <w:r w:rsidR="00EE7318" w:rsidRPr="00CE0DB8">
        <w:t xml:space="preserve"> год исполнены в сумме </w:t>
      </w:r>
      <w:r w:rsidR="00595FB0" w:rsidRPr="00CE0DB8">
        <w:rPr>
          <w:color w:val="000000"/>
        </w:rPr>
        <w:t>2 946,3 </w:t>
      </w:r>
      <w:r w:rsidR="00595FB0" w:rsidRPr="00CE0DB8">
        <w:rPr>
          <w:rFonts w:eastAsiaTheme="minorHAnsi"/>
          <w:lang w:eastAsia="en-US"/>
        </w:rPr>
        <w:t>тыс. руб., или в 1,8 раза больше запланированного</w:t>
      </w:r>
      <w:r w:rsidR="00C178C9" w:rsidRPr="00CE0DB8">
        <w:rPr>
          <w:rFonts w:eastAsiaTheme="minorHAnsi"/>
          <w:lang w:eastAsia="en-US"/>
        </w:rPr>
        <w:t xml:space="preserve"> </w:t>
      </w:r>
      <w:r w:rsidR="005F431F" w:rsidRPr="00CE0DB8">
        <w:rPr>
          <w:rFonts w:eastAsiaTheme="minorHAnsi"/>
          <w:color w:val="000099"/>
          <w:lang w:eastAsia="en-US"/>
        </w:rPr>
        <w:t>(таблица №</w:t>
      </w:r>
      <w:r w:rsidR="00595FB0" w:rsidRPr="00CE0DB8">
        <w:rPr>
          <w:rFonts w:eastAsiaTheme="minorHAnsi"/>
          <w:color w:val="000099"/>
          <w:lang w:eastAsia="en-US"/>
        </w:rPr>
        <w:t> </w:t>
      </w:r>
      <w:r w:rsidR="00593221" w:rsidRPr="00CE0DB8">
        <w:rPr>
          <w:rFonts w:eastAsiaTheme="minorHAnsi"/>
          <w:color w:val="000099"/>
          <w:lang w:eastAsia="en-US"/>
        </w:rPr>
        <w:t>1</w:t>
      </w:r>
      <w:r w:rsidR="005F431F" w:rsidRPr="00CE0DB8">
        <w:rPr>
          <w:rFonts w:eastAsiaTheme="minorHAnsi"/>
          <w:color w:val="000099"/>
          <w:lang w:eastAsia="en-US"/>
        </w:rPr>
        <w:t>)</w:t>
      </w:r>
      <w:r w:rsidR="005C7DD4" w:rsidRPr="00CE0DB8">
        <w:rPr>
          <w:rFonts w:eastAsiaTheme="minorHAnsi"/>
          <w:color w:val="000099"/>
          <w:lang w:eastAsia="en-US"/>
        </w:rPr>
        <w:t>.</w:t>
      </w:r>
    </w:p>
    <w:p w14:paraId="0469F82B" w14:textId="77777777" w:rsidR="003147BD" w:rsidRPr="00CE0DB8" w:rsidRDefault="005F431F" w:rsidP="002C247E">
      <w:pPr>
        <w:ind w:left="7513"/>
        <w:rPr>
          <w:color w:val="000099"/>
        </w:rPr>
      </w:pPr>
      <w:r w:rsidRPr="00CE0DB8">
        <w:rPr>
          <w:color w:val="000099"/>
        </w:rPr>
        <w:t>Таблица №</w:t>
      </w:r>
      <w:r w:rsidR="00595FB0" w:rsidRPr="00CE0DB8">
        <w:rPr>
          <w:color w:val="000099"/>
        </w:rPr>
        <w:t> </w:t>
      </w:r>
      <w:r w:rsidR="00593221" w:rsidRPr="00CE0DB8">
        <w:rPr>
          <w:color w:val="000099"/>
        </w:rPr>
        <w:t>1</w:t>
      </w:r>
      <w:r w:rsidRPr="00CE0DB8">
        <w:rPr>
          <w:color w:val="000099"/>
        </w:rPr>
        <w:t xml:space="preserve">, </w:t>
      </w:r>
      <w:r w:rsidR="003147BD" w:rsidRPr="00CE0DB8">
        <w:rPr>
          <w:color w:val="000099"/>
        </w:rPr>
        <w:t>тыс.</w:t>
      </w:r>
      <w:r w:rsidR="00595FB0" w:rsidRPr="00CE0DB8">
        <w:rPr>
          <w:color w:val="000099"/>
        </w:rPr>
        <w:t> </w:t>
      </w:r>
      <w:r w:rsidR="003147BD" w:rsidRPr="00CE0DB8">
        <w:rPr>
          <w:color w:val="000099"/>
        </w:rPr>
        <w:t>руб.</w:t>
      </w:r>
    </w:p>
    <w:p w14:paraId="706249FB" w14:textId="77777777" w:rsidR="002C247E" w:rsidRPr="00CE0DB8" w:rsidRDefault="002C247E" w:rsidP="002C247E">
      <w:pPr>
        <w:ind w:left="7513"/>
        <w:rPr>
          <w:color w:val="000099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417"/>
        <w:gridCol w:w="1276"/>
        <w:gridCol w:w="1261"/>
        <w:gridCol w:w="1291"/>
      </w:tblGrid>
      <w:tr w:rsidR="00595FB0" w:rsidRPr="00CE0DB8" w14:paraId="603F18FD" w14:textId="77777777" w:rsidTr="0087358B">
        <w:trPr>
          <w:trHeight w:val="307"/>
          <w:tblHeader/>
        </w:trPr>
        <w:tc>
          <w:tcPr>
            <w:tcW w:w="4678" w:type="dxa"/>
            <w:shd w:val="clear" w:color="auto" w:fill="auto"/>
            <w:vAlign w:val="center"/>
            <w:hideMark/>
          </w:tcPr>
          <w:p w14:paraId="05BD2384" w14:textId="77777777" w:rsidR="00595FB0" w:rsidRPr="00CE0DB8" w:rsidRDefault="00595FB0" w:rsidP="0087358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E0DB8">
              <w:rPr>
                <w:bCs/>
                <w:color w:val="000000"/>
                <w:sz w:val="18"/>
                <w:szCs w:val="18"/>
              </w:rPr>
              <w:t>Наименование доходов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4081FD9" w14:textId="77777777" w:rsidR="00595FB0" w:rsidRPr="00CE0DB8" w:rsidRDefault="00595FB0" w:rsidP="0087358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E0DB8">
              <w:rPr>
                <w:bCs/>
                <w:color w:val="000000"/>
                <w:sz w:val="18"/>
                <w:szCs w:val="18"/>
              </w:rPr>
              <w:t>Утверждено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6BA97B6" w14:textId="77777777" w:rsidR="00595FB0" w:rsidRPr="00CE0DB8" w:rsidRDefault="00595FB0" w:rsidP="0087358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E0DB8">
              <w:rPr>
                <w:bCs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F5AC65B" w14:textId="77777777" w:rsidR="00595FB0" w:rsidRPr="00CE0DB8" w:rsidRDefault="00595FB0" w:rsidP="0087358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E0DB8">
              <w:rPr>
                <w:color w:val="000000"/>
                <w:sz w:val="18"/>
                <w:szCs w:val="18"/>
              </w:rPr>
              <w:t xml:space="preserve">Отклонение 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18787577" w14:textId="77777777" w:rsidR="00595FB0" w:rsidRPr="00CE0DB8" w:rsidRDefault="00595FB0" w:rsidP="0087358B">
            <w:pPr>
              <w:ind w:left="-104" w:right="-108"/>
              <w:jc w:val="center"/>
              <w:rPr>
                <w:bCs/>
                <w:color w:val="000000"/>
                <w:sz w:val="18"/>
                <w:szCs w:val="18"/>
              </w:rPr>
            </w:pPr>
            <w:r w:rsidRPr="00CE0DB8">
              <w:rPr>
                <w:color w:val="000000"/>
                <w:sz w:val="18"/>
                <w:szCs w:val="18"/>
              </w:rPr>
              <w:t xml:space="preserve">Исполнение </w:t>
            </w:r>
          </w:p>
        </w:tc>
      </w:tr>
      <w:tr w:rsidR="00595FB0" w:rsidRPr="00CE0DB8" w14:paraId="28BC7AA3" w14:textId="77777777" w:rsidTr="0087358B">
        <w:trPr>
          <w:trHeight w:val="20"/>
        </w:trPr>
        <w:tc>
          <w:tcPr>
            <w:tcW w:w="4678" w:type="dxa"/>
            <w:shd w:val="clear" w:color="auto" w:fill="auto"/>
            <w:vAlign w:val="center"/>
            <w:hideMark/>
          </w:tcPr>
          <w:p w14:paraId="6FAE9C0A" w14:textId="77777777" w:rsidR="00595FB0" w:rsidRPr="00CE0DB8" w:rsidRDefault="00595FB0" w:rsidP="0087358B">
            <w:pPr>
              <w:rPr>
                <w:b/>
                <w:sz w:val="18"/>
                <w:szCs w:val="18"/>
              </w:rPr>
            </w:pPr>
            <w:r w:rsidRPr="00CE0DB8">
              <w:rPr>
                <w:b/>
                <w:sz w:val="18"/>
                <w:szCs w:val="18"/>
              </w:rPr>
              <w:t>Всего по Комитету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A52EAF" w14:textId="77777777" w:rsidR="00595FB0" w:rsidRPr="00CE0DB8" w:rsidRDefault="00595FB0" w:rsidP="0087358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E0DB8">
              <w:rPr>
                <w:b/>
                <w:color w:val="000000"/>
                <w:sz w:val="18"/>
                <w:szCs w:val="18"/>
              </w:rPr>
              <w:t>1643,4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3FCBD94" w14:textId="77777777" w:rsidR="00595FB0" w:rsidRPr="00CE0DB8" w:rsidRDefault="00595FB0" w:rsidP="0087358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E0DB8">
              <w:rPr>
                <w:b/>
                <w:color w:val="000000"/>
                <w:sz w:val="18"/>
                <w:szCs w:val="18"/>
              </w:rPr>
              <w:t>2946,3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14:paraId="62018D9D" w14:textId="77777777" w:rsidR="00595FB0" w:rsidRPr="00CE0DB8" w:rsidRDefault="00595FB0" w:rsidP="0087358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E0DB8">
              <w:rPr>
                <w:b/>
                <w:color w:val="000000"/>
                <w:sz w:val="18"/>
                <w:szCs w:val="18"/>
              </w:rPr>
              <w:t>1302,9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70A2985F" w14:textId="77777777" w:rsidR="00595FB0" w:rsidRPr="00CE0DB8" w:rsidRDefault="00595FB0" w:rsidP="0087358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E0DB8">
              <w:rPr>
                <w:b/>
                <w:color w:val="000000"/>
                <w:sz w:val="18"/>
                <w:szCs w:val="18"/>
              </w:rPr>
              <w:t>1,8 раз</w:t>
            </w:r>
          </w:p>
        </w:tc>
      </w:tr>
      <w:tr w:rsidR="00595FB0" w:rsidRPr="00CE0DB8" w14:paraId="4855F022" w14:textId="77777777" w:rsidTr="0087358B">
        <w:trPr>
          <w:trHeight w:val="20"/>
        </w:trPr>
        <w:tc>
          <w:tcPr>
            <w:tcW w:w="4678" w:type="dxa"/>
            <w:shd w:val="clear" w:color="auto" w:fill="auto"/>
            <w:vAlign w:val="center"/>
          </w:tcPr>
          <w:p w14:paraId="61B97815" w14:textId="77777777" w:rsidR="00595FB0" w:rsidRPr="00CE0DB8" w:rsidRDefault="00595FB0" w:rsidP="0087358B">
            <w:pPr>
              <w:rPr>
                <w:b/>
                <w:sz w:val="18"/>
                <w:szCs w:val="18"/>
              </w:rPr>
            </w:pPr>
            <w:r w:rsidRPr="00CE0DB8">
              <w:rPr>
                <w:rFonts w:eastAsiaTheme="minorHAnsi"/>
                <w:b/>
                <w:sz w:val="18"/>
                <w:szCs w:val="18"/>
                <w:lang w:eastAsia="en-US"/>
              </w:rPr>
              <w:t>Налоговые и неналоговые доходы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340B8AA" w14:textId="77777777" w:rsidR="00595FB0" w:rsidRPr="00CE0DB8" w:rsidRDefault="00595FB0" w:rsidP="0087358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E0DB8">
              <w:rPr>
                <w:b/>
                <w:color w:val="000000"/>
                <w:sz w:val="18"/>
                <w:szCs w:val="18"/>
              </w:rPr>
              <w:t>1643,4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4F90EFA" w14:textId="77777777" w:rsidR="00595FB0" w:rsidRPr="00CE0DB8" w:rsidRDefault="00595FB0" w:rsidP="0087358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E0DB8">
              <w:rPr>
                <w:b/>
                <w:color w:val="000000"/>
                <w:sz w:val="18"/>
                <w:szCs w:val="18"/>
              </w:rPr>
              <w:t>1762,5</w:t>
            </w:r>
          </w:p>
        </w:tc>
        <w:tc>
          <w:tcPr>
            <w:tcW w:w="1261" w:type="dxa"/>
            <w:shd w:val="clear" w:color="auto" w:fill="auto"/>
            <w:noWrap/>
            <w:vAlign w:val="bottom"/>
          </w:tcPr>
          <w:p w14:paraId="61C04FA8" w14:textId="77777777" w:rsidR="00595FB0" w:rsidRPr="00CE0DB8" w:rsidRDefault="00595FB0" w:rsidP="0087358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E0DB8">
              <w:rPr>
                <w:b/>
                <w:color w:val="000000"/>
                <w:sz w:val="18"/>
                <w:szCs w:val="18"/>
              </w:rPr>
              <w:t>119,1</w:t>
            </w:r>
          </w:p>
        </w:tc>
        <w:tc>
          <w:tcPr>
            <w:tcW w:w="1291" w:type="dxa"/>
            <w:shd w:val="clear" w:color="auto" w:fill="auto"/>
            <w:noWrap/>
            <w:vAlign w:val="bottom"/>
          </w:tcPr>
          <w:p w14:paraId="29BCBAC5" w14:textId="77777777" w:rsidR="00595FB0" w:rsidRPr="00CE0DB8" w:rsidRDefault="00595FB0" w:rsidP="0087358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E0DB8">
              <w:rPr>
                <w:b/>
                <w:color w:val="000000"/>
                <w:sz w:val="18"/>
                <w:szCs w:val="18"/>
              </w:rPr>
              <w:t>7,2%</w:t>
            </w:r>
          </w:p>
        </w:tc>
      </w:tr>
      <w:tr w:rsidR="00595FB0" w:rsidRPr="00CE0DB8" w14:paraId="2F0358DA" w14:textId="77777777" w:rsidTr="0087358B">
        <w:trPr>
          <w:trHeight w:val="20"/>
        </w:trPr>
        <w:tc>
          <w:tcPr>
            <w:tcW w:w="4678" w:type="dxa"/>
            <w:shd w:val="clear" w:color="auto" w:fill="auto"/>
            <w:vAlign w:val="center"/>
            <w:hideMark/>
          </w:tcPr>
          <w:p w14:paraId="23EA16A7" w14:textId="77777777" w:rsidR="00595FB0" w:rsidRPr="00CE0DB8" w:rsidRDefault="00595FB0" w:rsidP="0087358B">
            <w:pPr>
              <w:jc w:val="both"/>
              <w:rPr>
                <w:color w:val="000000"/>
                <w:sz w:val="18"/>
                <w:szCs w:val="18"/>
              </w:rPr>
            </w:pPr>
            <w:r w:rsidRPr="00CE0DB8">
              <w:rPr>
                <w:color w:val="000000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73D763" w14:textId="77777777" w:rsidR="00595FB0" w:rsidRPr="00CE0DB8" w:rsidRDefault="00595FB0" w:rsidP="0087358B">
            <w:pPr>
              <w:jc w:val="center"/>
              <w:rPr>
                <w:color w:val="000000"/>
                <w:sz w:val="18"/>
                <w:szCs w:val="18"/>
              </w:rPr>
            </w:pPr>
            <w:r w:rsidRPr="00CE0DB8">
              <w:rPr>
                <w:color w:val="000000"/>
                <w:sz w:val="18"/>
                <w:szCs w:val="18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51ADF30" w14:textId="77777777" w:rsidR="00595FB0" w:rsidRPr="00CE0DB8" w:rsidRDefault="00595FB0" w:rsidP="0087358B">
            <w:pPr>
              <w:jc w:val="center"/>
              <w:rPr>
                <w:color w:val="000000"/>
                <w:sz w:val="18"/>
                <w:szCs w:val="18"/>
              </w:rPr>
            </w:pPr>
            <w:r w:rsidRPr="00CE0DB8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14:paraId="72F0EF54" w14:textId="77777777" w:rsidR="00595FB0" w:rsidRPr="00CE0DB8" w:rsidRDefault="00595FB0" w:rsidP="0087358B">
            <w:pPr>
              <w:jc w:val="center"/>
              <w:rPr>
                <w:color w:val="000000"/>
                <w:sz w:val="18"/>
                <w:szCs w:val="18"/>
              </w:rPr>
            </w:pPr>
            <w:r w:rsidRPr="00CE0DB8">
              <w:rPr>
                <w:color w:val="000000"/>
                <w:sz w:val="18"/>
                <w:szCs w:val="18"/>
              </w:rPr>
              <w:t>-23,4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201A60E1" w14:textId="77777777" w:rsidR="00595FB0" w:rsidRPr="00CE0DB8" w:rsidRDefault="00595FB0" w:rsidP="0087358B">
            <w:pPr>
              <w:jc w:val="center"/>
              <w:rPr>
                <w:color w:val="000000"/>
                <w:sz w:val="18"/>
                <w:szCs w:val="18"/>
              </w:rPr>
            </w:pPr>
            <w:r w:rsidRPr="00CE0DB8">
              <w:rPr>
                <w:color w:val="000000"/>
                <w:sz w:val="18"/>
                <w:szCs w:val="18"/>
              </w:rPr>
              <w:t>-52,7%</w:t>
            </w:r>
          </w:p>
        </w:tc>
      </w:tr>
      <w:tr w:rsidR="00595FB0" w:rsidRPr="00CE0DB8" w14:paraId="5895ACBA" w14:textId="77777777" w:rsidTr="0087358B">
        <w:trPr>
          <w:trHeight w:val="20"/>
        </w:trPr>
        <w:tc>
          <w:tcPr>
            <w:tcW w:w="4678" w:type="dxa"/>
            <w:shd w:val="clear" w:color="auto" w:fill="auto"/>
            <w:vAlign w:val="center"/>
            <w:hideMark/>
          </w:tcPr>
          <w:p w14:paraId="2E74771E" w14:textId="77777777" w:rsidR="00595FB0" w:rsidRPr="00CE0DB8" w:rsidRDefault="00595FB0" w:rsidP="0087358B">
            <w:pPr>
              <w:jc w:val="both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0A7E28" w14:textId="77777777" w:rsidR="00595FB0" w:rsidRPr="00CE0DB8" w:rsidRDefault="00595FB0" w:rsidP="0087358B">
            <w:pPr>
              <w:jc w:val="center"/>
              <w:rPr>
                <w:color w:val="000000"/>
                <w:sz w:val="18"/>
                <w:szCs w:val="18"/>
              </w:rPr>
            </w:pPr>
            <w:r w:rsidRPr="00CE0DB8">
              <w:rPr>
                <w:color w:val="000000"/>
                <w:sz w:val="18"/>
                <w:szCs w:val="18"/>
              </w:rPr>
              <w:t>1599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E96B094" w14:textId="77777777" w:rsidR="00595FB0" w:rsidRPr="00CE0DB8" w:rsidRDefault="00595FB0" w:rsidP="0087358B">
            <w:pPr>
              <w:jc w:val="center"/>
              <w:rPr>
                <w:color w:val="000000"/>
                <w:sz w:val="18"/>
                <w:szCs w:val="18"/>
              </w:rPr>
            </w:pPr>
            <w:r w:rsidRPr="00CE0DB8">
              <w:rPr>
                <w:color w:val="000000"/>
                <w:sz w:val="18"/>
                <w:szCs w:val="18"/>
              </w:rPr>
              <w:t>1741,5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14:paraId="3600F4C2" w14:textId="77777777" w:rsidR="00595FB0" w:rsidRPr="00CE0DB8" w:rsidRDefault="00595FB0" w:rsidP="0087358B">
            <w:pPr>
              <w:jc w:val="center"/>
              <w:rPr>
                <w:color w:val="000000"/>
                <w:sz w:val="18"/>
                <w:szCs w:val="18"/>
              </w:rPr>
            </w:pPr>
            <w:r w:rsidRPr="00CE0DB8">
              <w:rPr>
                <w:color w:val="000000"/>
                <w:sz w:val="18"/>
                <w:szCs w:val="18"/>
              </w:rPr>
              <w:t>142,5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5DBA8BE5" w14:textId="77777777" w:rsidR="00595FB0" w:rsidRPr="00CE0DB8" w:rsidRDefault="00595FB0" w:rsidP="0087358B">
            <w:pPr>
              <w:jc w:val="center"/>
              <w:rPr>
                <w:color w:val="000000"/>
                <w:sz w:val="18"/>
                <w:szCs w:val="18"/>
              </w:rPr>
            </w:pPr>
            <w:r w:rsidRPr="00CE0DB8">
              <w:rPr>
                <w:color w:val="000000"/>
                <w:sz w:val="18"/>
                <w:szCs w:val="18"/>
              </w:rPr>
              <w:t>8,9 %</w:t>
            </w:r>
          </w:p>
        </w:tc>
      </w:tr>
      <w:tr w:rsidR="00595FB0" w:rsidRPr="00CE0DB8" w14:paraId="59BF71DC" w14:textId="77777777" w:rsidTr="0087358B">
        <w:trPr>
          <w:trHeight w:val="20"/>
        </w:trPr>
        <w:tc>
          <w:tcPr>
            <w:tcW w:w="4678" w:type="dxa"/>
            <w:shd w:val="clear" w:color="auto" w:fill="auto"/>
            <w:vAlign w:val="center"/>
            <w:hideMark/>
          </w:tcPr>
          <w:p w14:paraId="011041ED" w14:textId="77777777" w:rsidR="00595FB0" w:rsidRPr="00CE0DB8" w:rsidRDefault="00595FB0" w:rsidP="0087358B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CE0DB8">
              <w:rPr>
                <w:b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BDD938" w14:textId="77777777" w:rsidR="00595FB0" w:rsidRPr="00CE0DB8" w:rsidRDefault="00595FB0" w:rsidP="0087358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E0DB8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943150E" w14:textId="77777777" w:rsidR="00595FB0" w:rsidRPr="00CE0DB8" w:rsidRDefault="00595FB0" w:rsidP="0087358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E0DB8">
              <w:rPr>
                <w:b/>
                <w:color w:val="000000"/>
                <w:sz w:val="18"/>
                <w:szCs w:val="18"/>
              </w:rPr>
              <w:t>1183,8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14:paraId="1D8BABFB" w14:textId="77777777" w:rsidR="00595FB0" w:rsidRPr="00CE0DB8" w:rsidRDefault="00595FB0" w:rsidP="0087358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E0DB8">
              <w:rPr>
                <w:b/>
                <w:color w:val="000000"/>
                <w:sz w:val="18"/>
                <w:szCs w:val="18"/>
              </w:rPr>
              <w:t>1183,8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12517342" w14:textId="77777777" w:rsidR="00595FB0" w:rsidRPr="00CE0DB8" w:rsidRDefault="00595FB0" w:rsidP="0087358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E0DB8">
              <w:rPr>
                <w:b/>
                <w:color w:val="000000"/>
                <w:sz w:val="18"/>
                <w:szCs w:val="18"/>
              </w:rPr>
              <w:t>100 %</w:t>
            </w:r>
          </w:p>
        </w:tc>
      </w:tr>
      <w:tr w:rsidR="00595FB0" w:rsidRPr="00CE0DB8" w14:paraId="7483E994" w14:textId="77777777" w:rsidTr="004446EC">
        <w:trPr>
          <w:trHeight w:val="20"/>
        </w:trPr>
        <w:tc>
          <w:tcPr>
            <w:tcW w:w="4678" w:type="dxa"/>
            <w:shd w:val="clear" w:color="auto" w:fill="auto"/>
            <w:vAlign w:val="center"/>
            <w:hideMark/>
          </w:tcPr>
          <w:p w14:paraId="207FD852" w14:textId="77777777" w:rsidR="00595FB0" w:rsidRPr="00CE0DB8" w:rsidRDefault="00595FB0" w:rsidP="00CA516C">
            <w:pPr>
              <w:rPr>
                <w:iCs/>
                <w:color w:val="000000"/>
                <w:sz w:val="18"/>
                <w:szCs w:val="18"/>
              </w:rPr>
            </w:pPr>
            <w:r w:rsidRPr="00CE0DB8">
              <w:rPr>
                <w:iCs/>
                <w:color w:val="000000"/>
                <w:sz w:val="18"/>
                <w:szCs w:val="18"/>
              </w:rPr>
              <w:t xml:space="preserve">Субсидии бюджетам субъектов РФ </w:t>
            </w:r>
            <w:r w:rsidRPr="00CE0DB8">
              <w:rPr>
                <w:sz w:val="18"/>
                <w:szCs w:val="18"/>
              </w:rPr>
              <w:t xml:space="preserve">на </w:t>
            </w:r>
            <w:proofErr w:type="spellStart"/>
            <w:r w:rsidRPr="00CE0DB8">
              <w:rPr>
                <w:sz w:val="18"/>
                <w:szCs w:val="18"/>
              </w:rPr>
              <w:t>софинансирование</w:t>
            </w:r>
            <w:proofErr w:type="spellEnd"/>
            <w:r w:rsidRPr="00CE0DB8">
              <w:rPr>
                <w:sz w:val="18"/>
                <w:szCs w:val="18"/>
              </w:rPr>
              <w:t xml:space="preserve"> расходных обязательств субъектов РФ, связанных с реализацией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9A7BA2" w14:textId="77777777" w:rsidR="00595FB0" w:rsidRPr="00CE0DB8" w:rsidRDefault="00595FB0" w:rsidP="004446EC">
            <w:pPr>
              <w:jc w:val="center"/>
              <w:rPr>
                <w:color w:val="000000"/>
                <w:sz w:val="18"/>
                <w:szCs w:val="18"/>
              </w:rPr>
            </w:pPr>
            <w:r w:rsidRPr="00CE0DB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85D862" w14:textId="77777777" w:rsidR="00595FB0" w:rsidRPr="00CE0DB8" w:rsidRDefault="00595FB0" w:rsidP="004446EC">
            <w:pPr>
              <w:jc w:val="center"/>
              <w:rPr>
                <w:color w:val="000000"/>
                <w:sz w:val="18"/>
                <w:szCs w:val="18"/>
              </w:rPr>
            </w:pPr>
            <w:r w:rsidRPr="00CE0DB8">
              <w:rPr>
                <w:color w:val="000000"/>
                <w:sz w:val="18"/>
                <w:szCs w:val="18"/>
              </w:rPr>
              <w:t>1183,8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14:paraId="01CAFBFA" w14:textId="77777777" w:rsidR="00595FB0" w:rsidRPr="00CE0DB8" w:rsidRDefault="00595FB0" w:rsidP="004446EC">
            <w:pPr>
              <w:jc w:val="center"/>
              <w:rPr>
                <w:color w:val="000000"/>
                <w:sz w:val="18"/>
                <w:szCs w:val="18"/>
              </w:rPr>
            </w:pPr>
            <w:r w:rsidRPr="00CE0DB8">
              <w:rPr>
                <w:color w:val="000000"/>
                <w:sz w:val="18"/>
                <w:szCs w:val="18"/>
              </w:rPr>
              <w:t>1183,8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3314729" w14:textId="77777777" w:rsidR="00595FB0" w:rsidRPr="00CE0DB8" w:rsidRDefault="00595FB0" w:rsidP="004446EC">
            <w:pPr>
              <w:jc w:val="center"/>
              <w:rPr>
                <w:color w:val="000000"/>
                <w:sz w:val="18"/>
                <w:szCs w:val="18"/>
              </w:rPr>
            </w:pPr>
            <w:r w:rsidRPr="00CE0DB8">
              <w:rPr>
                <w:color w:val="000000"/>
                <w:sz w:val="18"/>
                <w:szCs w:val="18"/>
              </w:rPr>
              <w:t>100 %</w:t>
            </w:r>
          </w:p>
        </w:tc>
      </w:tr>
    </w:tbl>
    <w:p w14:paraId="03A4C303" w14:textId="77777777" w:rsidR="00595FB0" w:rsidRPr="00CE0DB8" w:rsidRDefault="00595FB0" w:rsidP="00595FB0">
      <w:pPr>
        <w:ind w:firstLine="680"/>
        <w:jc w:val="both"/>
      </w:pPr>
    </w:p>
    <w:p w14:paraId="62DA0176" w14:textId="77777777" w:rsidR="00595FB0" w:rsidRPr="00CE0DB8" w:rsidRDefault="00595FB0" w:rsidP="00595FB0">
      <w:pPr>
        <w:ind w:firstLine="680"/>
        <w:jc w:val="both"/>
      </w:pPr>
      <w:r w:rsidRPr="00CE0DB8">
        <w:t>Отклонение суммы фактических поступлений от плановых назначений на 1 302,9 тыс. руб. связано</w:t>
      </w:r>
      <w:r w:rsidR="002F5F38" w:rsidRPr="00CE0DB8">
        <w:t>, в основном,</w:t>
      </w:r>
      <w:r w:rsidRPr="00CE0DB8">
        <w:t xml:space="preserve"> с получением в конце 2020 года межбюджетного трансферта </w:t>
      </w:r>
      <w:r w:rsidR="00A46B6C" w:rsidRPr="00CE0DB8">
        <w:t xml:space="preserve">из </w:t>
      </w:r>
      <w:r w:rsidRPr="00CE0DB8">
        <w:t xml:space="preserve">федерального бюджета – субсидии на </w:t>
      </w:r>
      <w:proofErr w:type="spellStart"/>
      <w:r w:rsidRPr="00CE0DB8">
        <w:t>софинансирование</w:t>
      </w:r>
      <w:proofErr w:type="spellEnd"/>
      <w:r w:rsidRPr="00CE0DB8">
        <w:t xml:space="preserve"> расходных обязательств субъекта РФ, связанных с реализацией федеральной целевой программы «Увековечение памяти погибших при защите Отечества на 2019 -</w:t>
      </w:r>
      <w:r w:rsidR="008E75A8" w:rsidRPr="00CE0DB8">
        <w:t xml:space="preserve"> 2024 годы» (1 183,8 тыс. руб.)</w:t>
      </w:r>
      <w:r w:rsidR="00543E39" w:rsidRPr="00CE0DB8">
        <w:t>.</w:t>
      </w:r>
    </w:p>
    <w:p w14:paraId="6076EE9F" w14:textId="77777777" w:rsidR="005879D6" w:rsidRPr="00CE0DB8" w:rsidRDefault="005879D6" w:rsidP="00595FB0">
      <w:pPr>
        <w:autoSpaceDE w:val="0"/>
        <w:autoSpaceDN w:val="0"/>
        <w:adjustRightInd w:val="0"/>
        <w:ind w:firstLine="709"/>
        <w:jc w:val="both"/>
        <w:outlineLvl w:val="2"/>
      </w:pPr>
      <w:r w:rsidRPr="00CE0DB8">
        <w:t>Перевыполнение назначений по штрафам и санкциям обусловлено поступлением незапланированных доходов в сумме 142,5 тыс. руб. в конце декабря 2020 года.</w:t>
      </w:r>
    </w:p>
    <w:p w14:paraId="4DAD3309" w14:textId="77777777" w:rsidR="002C247E" w:rsidRPr="00CE0DB8" w:rsidRDefault="002C247E" w:rsidP="002C247E">
      <w:pPr>
        <w:autoSpaceDE w:val="0"/>
        <w:autoSpaceDN w:val="0"/>
        <w:adjustRightInd w:val="0"/>
        <w:ind w:firstLine="539"/>
        <w:jc w:val="center"/>
        <w:rPr>
          <w:b/>
        </w:rPr>
      </w:pPr>
    </w:p>
    <w:p w14:paraId="088BC1FB" w14:textId="77777777" w:rsidR="003147BD" w:rsidRPr="00CE0DB8" w:rsidRDefault="003147BD" w:rsidP="002C247E">
      <w:pPr>
        <w:autoSpaceDE w:val="0"/>
        <w:autoSpaceDN w:val="0"/>
        <w:adjustRightInd w:val="0"/>
        <w:ind w:firstLine="539"/>
        <w:jc w:val="center"/>
        <w:rPr>
          <w:b/>
        </w:rPr>
      </w:pPr>
      <w:r w:rsidRPr="00CE0DB8">
        <w:rPr>
          <w:b/>
        </w:rPr>
        <w:t>Исполнение расходов</w:t>
      </w:r>
    </w:p>
    <w:p w14:paraId="749D6843" w14:textId="77777777" w:rsidR="002C247E" w:rsidRPr="00CE0DB8" w:rsidRDefault="002C247E" w:rsidP="002C247E">
      <w:pPr>
        <w:autoSpaceDE w:val="0"/>
        <w:autoSpaceDN w:val="0"/>
        <w:adjustRightInd w:val="0"/>
        <w:ind w:firstLine="539"/>
        <w:jc w:val="center"/>
        <w:rPr>
          <w:b/>
        </w:rPr>
      </w:pPr>
    </w:p>
    <w:p w14:paraId="55B5C760" w14:textId="77777777" w:rsidR="00D0462A" w:rsidRPr="00CE0DB8" w:rsidRDefault="00A404CF" w:rsidP="00D0462A">
      <w:pPr>
        <w:autoSpaceDE w:val="0"/>
        <w:autoSpaceDN w:val="0"/>
        <w:adjustRightInd w:val="0"/>
        <w:ind w:firstLine="709"/>
        <w:jc w:val="both"/>
      </w:pPr>
      <w:r w:rsidRPr="00CE0DB8">
        <w:t xml:space="preserve">Законом </w:t>
      </w:r>
      <w:r w:rsidR="00223134" w:rsidRPr="00CE0DB8">
        <w:t>о</w:t>
      </w:r>
      <w:r w:rsidRPr="00CE0DB8">
        <w:t xml:space="preserve">б областном бюджете </w:t>
      </w:r>
      <w:r w:rsidR="00531A1F" w:rsidRPr="00CE0DB8">
        <w:t xml:space="preserve">в окончательной редакции </w:t>
      </w:r>
      <w:r w:rsidR="003147BD" w:rsidRPr="00CE0DB8">
        <w:t xml:space="preserve">Комитету утверждены ассигнования в сумме </w:t>
      </w:r>
      <w:r w:rsidR="008B2BEC" w:rsidRPr="00CE0DB8">
        <w:t xml:space="preserve">в сумме </w:t>
      </w:r>
      <w:r w:rsidR="00D0462A" w:rsidRPr="00CE0DB8">
        <w:t>100 660,6 тыс. </w:t>
      </w:r>
      <w:r w:rsidR="003147BD" w:rsidRPr="00CE0DB8">
        <w:t>руб</w:t>
      </w:r>
      <w:r w:rsidR="008B2BEC" w:rsidRPr="00CE0DB8">
        <w:t>лей.</w:t>
      </w:r>
      <w:r w:rsidR="00824B3A" w:rsidRPr="00CE0DB8">
        <w:t xml:space="preserve"> </w:t>
      </w:r>
      <w:r w:rsidR="008B2BEC" w:rsidRPr="00CE0DB8">
        <w:t>Б</w:t>
      </w:r>
      <w:r w:rsidR="003147BD" w:rsidRPr="00CE0DB8">
        <w:t>юджетные назначения в соответствии с бюджетной росписью</w:t>
      </w:r>
      <w:r w:rsidR="00824B3A" w:rsidRPr="00CE0DB8">
        <w:t xml:space="preserve"> </w:t>
      </w:r>
      <w:r w:rsidR="0009236D" w:rsidRPr="00CE0DB8">
        <w:t xml:space="preserve">составили </w:t>
      </w:r>
      <w:r w:rsidR="00D0462A" w:rsidRPr="00CE0DB8">
        <w:t>84 684 тыс. руб., или на 15 976,6 тыс. руб. (- 1</w:t>
      </w:r>
      <w:r w:rsidR="00543E39" w:rsidRPr="00CE0DB8">
        <w:t>5,9</w:t>
      </w:r>
      <w:r w:rsidR="00D0462A" w:rsidRPr="00CE0DB8">
        <w:t> %) меньше утвержденного объёма ассигнований Законом об областном бюджете (100 660,6 тыс. руб.).</w:t>
      </w:r>
    </w:p>
    <w:p w14:paraId="39AEA397" w14:textId="77777777" w:rsidR="00D0462A" w:rsidRPr="00CE0DB8" w:rsidRDefault="00D0462A" w:rsidP="00D0462A">
      <w:pPr>
        <w:autoSpaceDE w:val="0"/>
        <w:autoSpaceDN w:val="0"/>
        <w:adjustRightInd w:val="0"/>
        <w:ind w:firstLine="709"/>
        <w:jc w:val="both"/>
      </w:pPr>
      <w:r w:rsidRPr="00CE0DB8">
        <w:t xml:space="preserve">Расхождение сложилось в связи с внесением изменений в бюджетную роспись в соответствии со ст. 217 БК РФ и ст. 41.1 </w:t>
      </w:r>
      <w:r w:rsidRPr="00CE0DB8">
        <w:rPr>
          <w:rFonts w:eastAsiaTheme="minorHAnsi"/>
          <w:lang w:eastAsia="en-US"/>
        </w:rPr>
        <w:t>Закона Волгоградской области от 11.06.2008 № 1694-ОД «О бюджетном процессе в Волгоградской области»</w:t>
      </w:r>
      <w:r w:rsidRPr="00CE0DB8">
        <w:t>:</w:t>
      </w:r>
    </w:p>
    <w:p w14:paraId="7BC6990A" w14:textId="77777777" w:rsidR="00D0462A" w:rsidRPr="00CE0DB8" w:rsidRDefault="00D0462A" w:rsidP="00D0462A">
      <w:pPr>
        <w:autoSpaceDE w:val="0"/>
        <w:autoSpaceDN w:val="0"/>
        <w:adjustRightInd w:val="0"/>
        <w:ind w:firstLine="709"/>
        <w:jc w:val="both"/>
      </w:pPr>
      <w:r w:rsidRPr="00CE0DB8">
        <w:lastRenderedPageBreak/>
        <w:t>-сокращены ассигнования на субсидии ГБУ ВО НПЦ на 11 487,4 тыс. руб., или на 17,1 %</w:t>
      </w:r>
      <w:r w:rsidR="00E740A6" w:rsidRPr="00CE0DB8">
        <w:t xml:space="preserve">, </w:t>
      </w:r>
      <w:r w:rsidRPr="00CE0DB8">
        <w:t>в связи с экономией бюджетных средств при проведении конкурентных процедур для обеспечения государственных нужд</w:t>
      </w:r>
      <w:r w:rsidR="00E740A6" w:rsidRPr="00CE0DB8">
        <w:t xml:space="preserve"> (8 216,9 тыс. руб.) и обеспечение деятельности учреждения (3 270,5 тыс. руб.)</w:t>
      </w:r>
      <w:r w:rsidRPr="00CE0DB8">
        <w:t>.</w:t>
      </w:r>
    </w:p>
    <w:p w14:paraId="0CEA15E3" w14:textId="77777777" w:rsidR="00D0462A" w:rsidRPr="00CE0DB8" w:rsidRDefault="00D0462A" w:rsidP="00D0462A">
      <w:pPr>
        <w:autoSpaceDE w:val="0"/>
        <w:autoSpaceDN w:val="0"/>
        <w:adjustRightInd w:val="0"/>
        <w:ind w:firstLine="709"/>
        <w:jc w:val="both"/>
      </w:pPr>
      <w:r w:rsidRPr="00CE0DB8">
        <w:t>-сокращены ассигнования на обеспечение деятельности государственных органов Волгоградской области на 5 965,</w:t>
      </w:r>
      <w:r w:rsidR="00543E39" w:rsidRPr="00CE0DB8">
        <w:t>7</w:t>
      </w:r>
      <w:r w:rsidRPr="00CE0DB8">
        <w:t xml:space="preserve"> тыс. руб., или на 22,9 % за счет средств областного бюджета в связи с проведением организационно-штатных мероприятий </w:t>
      </w:r>
      <w:r w:rsidR="001C79F6" w:rsidRPr="00CE0DB8">
        <w:t>в целях сокращения</w:t>
      </w:r>
      <w:r w:rsidRPr="00CE0DB8">
        <w:t xml:space="preserve"> расходов на выплату персоналу Комитета, которые направлены на финансирование ГБУ ВО НПЦ</w:t>
      </w:r>
      <w:r w:rsidR="00A46B6C" w:rsidRPr="00CE0DB8">
        <w:t xml:space="preserve"> (подробнее далее по тексту)</w:t>
      </w:r>
      <w:r w:rsidR="00CA516C" w:rsidRPr="00CE0DB8">
        <w:t>;</w:t>
      </w:r>
    </w:p>
    <w:p w14:paraId="0B5665AF" w14:textId="77777777" w:rsidR="00D0462A" w:rsidRPr="00CE0DB8" w:rsidRDefault="00D0462A" w:rsidP="00D0462A">
      <w:pPr>
        <w:autoSpaceDE w:val="0"/>
        <w:autoSpaceDN w:val="0"/>
        <w:adjustRightInd w:val="0"/>
        <w:ind w:firstLine="709"/>
        <w:jc w:val="both"/>
      </w:pPr>
      <w:r w:rsidRPr="00CE0DB8">
        <w:t xml:space="preserve">-выделены из федерального бюджета субсидии на </w:t>
      </w:r>
      <w:proofErr w:type="spellStart"/>
      <w:r w:rsidRPr="00CE0DB8">
        <w:t>софинансирование</w:t>
      </w:r>
      <w:proofErr w:type="spellEnd"/>
      <w:r w:rsidRPr="00CE0DB8">
        <w:t xml:space="preserve"> расходных обязательств субъектов РФ, связанных с реализацией Федеральной целевой программы «Увековечение памяти погибших при защите отечества на 2019 – 2024 годы» в сумме </w:t>
      </w:r>
      <w:r w:rsidRPr="00CE0DB8">
        <w:rPr>
          <w:rFonts w:eastAsiaTheme="minorHAnsi"/>
          <w:lang w:eastAsia="en-US"/>
        </w:rPr>
        <w:t>1 183,8 </w:t>
      </w:r>
      <w:r w:rsidRPr="00CE0DB8">
        <w:t xml:space="preserve">тыс. руб., соответственно на эти цели предусмотрены ассигнования из областного бюджета в сумме </w:t>
      </w:r>
      <w:r w:rsidRPr="00CE0DB8">
        <w:rPr>
          <w:rFonts w:eastAsiaTheme="minorHAnsi"/>
          <w:lang w:eastAsia="en-US"/>
        </w:rPr>
        <w:t>192,7 </w:t>
      </w:r>
      <w:r w:rsidR="00543E39" w:rsidRPr="00CE0DB8">
        <w:t>тыс. руб.;</w:t>
      </w:r>
    </w:p>
    <w:p w14:paraId="0C87913E" w14:textId="77777777" w:rsidR="00543E39" w:rsidRPr="00CE0DB8" w:rsidRDefault="00543E39" w:rsidP="00D0462A">
      <w:pPr>
        <w:autoSpaceDE w:val="0"/>
        <w:autoSpaceDN w:val="0"/>
        <w:adjustRightInd w:val="0"/>
        <w:ind w:firstLine="709"/>
        <w:jc w:val="both"/>
      </w:pPr>
      <w:r w:rsidRPr="00CE0DB8">
        <w:t>-</w:t>
      </w:r>
      <w:r w:rsidR="00CA516C" w:rsidRPr="00CE0DB8">
        <w:t>осуществлены расходы на исполнение судебных актов в сумме 100 тыс. рублей.</w:t>
      </w:r>
    </w:p>
    <w:p w14:paraId="47DBA082" w14:textId="25544C0C" w:rsidR="00D0462A" w:rsidRPr="00CE0DB8" w:rsidRDefault="003147BD" w:rsidP="00D0462A">
      <w:pPr>
        <w:autoSpaceDE w:val="0"/>
        <w:autoSpaceDN w:val="0"/>
        <w:adjustRightInd w:val="0"/>
        <w:ind w:firstLine="709"/>
        <w:jc w:val="both"/>
      </w:pPr>
      <w:r w:rsidRPr="00CE0DB8">
        <w:t xml:space="preserve">Анализ исполнения бюджетных назначений Комитета представлен </w:t>
      </w:r>
      <w:r w:rsidRPr="00CE0DB8">
        <w:rPr>
          <w:color w:val="000099"/>
        </w:rPr>
        <w:t xml:space="preserve">в </w:t>
      </w:r>
      <w:r w:rsidR="00EE4B8A" w:rsidRPr="00CE0DB8">
        <w:rPr>
          <w:color w:val="000099"/>
        </w:rPr>
        <w:t>п</w:t>
      </w:r>
      <w:r w:rsidR="00167F2C" w:rsidRPr="00CE0DB8">
        <w:rPr>
          <w:color w:val="000099"/>
        </w:rPr>
        <w:t>риложении №</w:t>
      </w:r>
      <w:r w:rsidR="00D0462A" w:rsidRPr="00CE0DB8">
        <w:rPr>
          <w:color w:val="000099"/>
        </w:rPr>
        <w:t> </w:t>
      </w:r>
      <w:r w:rsidR="002B46D6" w:rsidRPr="00CE0DB8">
        <w:rPr>
          <w:color w:val="000099"/>
        </w:rPr>
        <w:t>2</w:t>
      </w:r>
      <w:r w:rsidRPr="00CE0DB8">
        <w:rPr>
          <w:color w:val="000099"/>
        </w:rPr>
        <w:t>.</w:t>
      </w:r>
      <w:r w:rsidR="00FA4CEF" w:rsidRPr="00CE0DB8">
        <w:rPr>
          <w:color w:val="000099"/>
        </w:rPr>
        <w:t xml:space="preserve"> </w:t>
      </w:r>
      <w:r w:rsidR="00D0462A" w:rsidRPr="00CE0DB8">
        <w:t xml:space="preserve">Исполнение кассовых расходов составило </w:t>
      </w:r>
      <w:r w:rsidR="00D0462A" w:rsidRPr="00CE0DB8">
        <w:rPr>
          <w:bCs/>
        </w:rPr>
        <w:t>76 178,6 </w:t>
      </w:r>
      <w:r w:rsidR="00D0462A" w:rsidRPr="00CE0DB8">
        <w:t>тыс. руб., или 90 % от утвержденных показателей сводной бюджетной росписи (84 684 тыс. руб.), общая сумма неисполненных назначений составила 8 505,4 тыс. руб., или 10 % и сложилась в объеме более 5 % по подразделу 0801 «Культура» в связи с экономией средств по перечислению ГБУ ВО НПЦ субсидии на иные цели, сложившейся</w:t>
      </w:r>
      <w:r w:rsidR="00E740A6" w:rsidRPr="00CE0DB8">
        <w:t>, как указано выше,</w:t>
      </w:r>
      <w:r w:rsidR="00D0462A" w:rsidRPr="00CE0DB8">
        <w:t xml:space="preserve"> по результатам проведения конкурентных процедур.</w:t>
      </w:r>
    </w:p>
    <w:p w14:paraId="4FA982C7" w14:textId="77777777" w:rsidR="002C247E" w:rsidRPr="00CE0DB8" w:rsidRDefault="002C247E" w:rsidP="002C247E">
      <w:pPr>
        <w:ind w:firstLine="709"/>
        <w:jc w:val="both"/>
        <w:rPr>
          <w:b/>
        </w:rPr>
      </w:pPr>
    </w:p>
    <w:p w14:paraId="350AE72F" w14:textId="77777777" w:rsidR="001C391D" w:rsidRPr="00CE0DB8" w:rsidRDefault="003147BD" w:rsidP="002C247E">
      <w:pPr>
        <w:ind w:firstLine="709"/>
        <w:jc w:val="both"/>
        <w:rPr>
          <w:color w:val="000099"/>
        </w:rPr>
      </w:pPr>
      <w:r w:rsidRPr="00CE0DB8">
        <w:rPr>
          <w:b/>
        </w:rPr>
        <w:t>Сравнительный анализ показателей исполнения расходов Комитета за отчетный и предыдущий год</w:t>
      </w:r>
      <w:r w:rsidR="00377D0B" w:rsidRPr="00CE0DB8">
        <w:t xml:space="preserve"> представлен в </w:t>
      </w:r>
      <w:r w:rsidRPr="00CE0DB8">
        <w:rPr>
          <w:color w:val="000099"/>
        </w:rPr>
        <w:t>таблице</w:t>
      </w:r>
      <w:r w:rsidR="005F431F" w:rsidRPr="00CE0DB8">
        <w:rPr>
          <w:color w:val="000099"/>
        </w:rPr>
        <w:t xml:space="preserve"> №</w:t>
      </w:r>
      <w:r w:rsidR="00D0462A" w:rsidRPr="00CE0DB8">
        <w:rPr>
          <w:color w:val="000099"/>
        </w:rPr>
        <w:t> </w:t>
      </w:r>
      <w:r w:rsidR="00593221" w:rsidRPr="00CE0DB8">
        <w:rPr>
          <w:color w:val="000099"/>
        </w:rPr>
        <w:t>2</w:t>
      </w:r>
      <w:r w:rsidRPr="00CE0DB8">
        <w:rPr>
          <w:color w:val="000099"/>
        </w:rPr>
        <w:t>.</w:t>
      </w:r>
    </w:p>
    <w:p w14:paraId="7E53B636" w14:textId="2DF62295" w:rsidR="003147BD" w:rsidRPr="00CE0DB8" w:rsidRDefault="005F431F" w:rsidP="002C247E">
      <w:pPr>
        <w:tabs>
          <w:tab w:val="left" w:pos="0"/>
        </w:tabs>
        <w:ind w:firstLine="709"/>
        <w:jc w:val="right"/>
        <w:rPr>
          <w:color w:val="000099"/>
        </w:rPr>
      </w:pPr>
      <w:r w:rsidRPr="00CE0DB8">
        <w:rPr>
          <w:color w:val="000099"/>
        </w:rPr>
        <w:t>Таблица №</w:t>
      </w:r>
      <w:r w:rsidR="00D0462A" w:rsidRPr="00CE0DB8">
        <w:rPr>
          <w:color w:val="000099"/>
        </w:rPr>
        <w:t> </w:t>
      </w:r>
      <w:r w:rsidR="00593221" w:rsidRPr="00CE0DB8">
        <w:rPr>
          <w:color w:val="000099"/>
        </w:rPr>
        <w:t>2</w:t>
      </w:r>
      <w:r w:rsidRPr="00CE0DB8">
        <w:rPr>
          <w:color w:val="000099"/>
        </w:rPr>
        <w:t xml:space="preserve">, </w:t>
      </w:r>
      <w:r w:rsidR="003147BD" w:rsidRPr="00CE0DB8">
        <w:rPr>
          <w:color w:val="000099"/>
        </w:rPr>
        <w:t>тыс.</w:t>
      </w:r>
      <w:r w:rsidR="00D0462A" w:rsidRPr="00CE0DB8">
        <w:rPr>
          <w:color w:val="000099"/>
        </w:rPr>
        <w:t> </w:t>
      </w:r>
      <w:r w:rsidR="003147BD" w:rsidRPr="00CE0DB8">
        <w:rPr>
          <w:color w:val="000099"/>
        </w:rPr>
        <w:t>руб.</w:t>
      </w:r>
    </w:p>
    <w:p w14:paraId="6C822209" w14:textId="77777777" w:rsidR="00471F84" w:rsidRPr="00CE0DB8" w:rsidRDefault="00471F84" w:rsidP="002C247E">
      <w:pPr>
        <w:tabs>
          <w:tab w:val="left" w:pos="0"/>
        </w:tabs>
        <w:ind w:firstLine="709"/>
        <w:jc w:val="right"/>
        <w:rPr>
          <w:color w:val="000099"/>
        </w:rPr>
      </w:pP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9"/>
        <w:gridCol w:w="1144"/>
        <w:gridCol w:w="1134"/>
        <w:gridCol w:w="1134"/>
        <w:gridCol w:w="1134"/>
        <w:gridCol w:w="1195"/>
      </w:tblGrid>
      <w:tr w:rsidR="00D0462A" w:rsidRPr="00CE0DB8" w14:paraId="38A228B1" w14:textId="77777777" w:rsidTr="0087358B">
        <w:trPr>
          <w:trHeight w:val="270"/>
          <w:tblHeader/>
          <w:jc w:val="center"/>
        </w:trPr>
        <w:tc>
          <w:tcPr>
            <w:tcW w:w="4009" w:type="dxa"/>
            <w:vMerge w:val="restart"/>
            <w:shd w:val="clear" w:color="auto" w:fill="auto"/>
            <w:vAlign w:val="center"/>
            <w:hideMark/>
          </w:tcPr>
          <w:p w14:paraId="5760AD2D" w14:textId="77777777" w:rsidR="00D0462A" w:rsidRPr="00CE0DB8" w:rsidRDefault="00D0462A" w:rsidP="0087358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E0DB8">
              <w:rPr>
                <w:b/>
                <w:bCs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44" w:type="dxa"/>
            <w:vMerge w:val="restart"/>
            <w:shd w:val="clear" w:color="auto" w:fill="auto"/>
            <w:vAlign w:val="center"/>
            <w:hideMark/>
          </w:tcPr>
          <w:p w14:paraId="32E08591" w14:textId="77777777" w:rsidR="00D0462A" w:rsidRPr="00CE0DB8" w:rsidRDefault="00D0462A" w:rsidP="0087358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E0DB8">
              <w:rPr>
                <w:b/>
                <w:bCs/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14:paraId="6A70ECEE" w14:textId="77777777" w:rsidR="00D0462A" w:rsidRPr="00CE0DB8" w:rsidRDefault="00D0462A" w:rsidP="0087358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E0DB8">
              <w:rPr>
                <w:b/>
                <w:bCs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29" w:type="dxa"/>
            <w:gridSpan w:val="2"/>
            <w:shd w:val="clear" w:color="auto" w:fill="auto"/>
            <w:noWrap/>
            <w:vAlign w:val="bottom"/>
            <w:hideMark/>
          </w:tcPr>
          <w:p w14:paraId="093E5DD3" w14:textId="77777777" w:rsidR="00D0462A" w:rsidRPr="00CE0DB8" w:rsidRDefault="00D0462A" w:rsidP="0087358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E0DB8">
              <w:rPr>
                <w:b/>
                <w:bCs/>
                <w:color w:val="000000"/>
                <w:sz w:val="18"/>
                <w:szCs w:val="18"/>
              </w:rPr>
              <w:t>Отклонение</w:t>
            </w:r>
          </w:p>
        </w:tc>
      </w:tr>
      <w:tr w:rsidR="00D0462A" w:rsidRPr="00CE0DB8" w14:paraId="7130D931" w14:textId="77777777" w:rsidTr="0087358B">
        <w:trPr>
          <w:trHeight w:val="270"/>
          <w:tblHeader/>
          <w:jc w:val="center"/>
        </w:trPr>
        <w:tc>
          <w:tcPr>
            <w:tcW w:w="4009" w:type="dxa"/>
            <w:vMerge/>
            <w:shd w:val="clear" w:color="auto" w:fill="auto"/>
            <w:vAlign w:val="center"/>
            <w:hideMark/>
          </w:tcPr>
          <w:p w14:paraId="3FFFDB41" w14:textId="77777777" w:rsidR="00D0462A" w:rsidRPr="00CE0DB8" w:rsidRDefault="00D0462A" w:rsidP="0087358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44" w:type="dxa"/>
            <w:vMerge/>
            <w:shd w:val="clear" w:color="auto" w:fill="auto"/>
            <w:vAlign w:val="bottom"/>
            <w:hideMark/>
          </w:tcPr>
          <w:p w14:paraId="558B14FE" w14:textId="77777777" w:rsidR="00D0462A" w:rsidRPr="00CE0DB8" w:rsidRDefault="00D0462A" w:rsidP="0087358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B13FF2" w14:textId="77777777" w:rsidR="00D0462A" w:rsidRPr="00CE0DB8" w:rsidRDefault="00D0462A" w:rsidP="0087358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E0DB8">
              <w:rPr>
                <w:b/>
                <w:b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EF016D" w14:textId="77777777" w:rsidR="00D0462A" w:rsidRPr="00CE0DB8" w:rsidRDefault="00D0462A" w:rsidP="0087358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E0DB8">
              <w:rPr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169C9F" w14:textId="77777777" w:rsidR="00D0462A" w:rsidRPr="00CE0DB8" w:rsidRDefault="00D0462A" w:rsidP="0087358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E0DB8">
              <w:rPr>
                <w:b/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3835A6D" w14:textId="77777777" w:rsidR="00D0462A" w:rsidRPr="00CE0DB8" w:rsidRDefault="00D0462A" w:rsidP="0087358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E0DB8">
              <w:rPr>
                <w:b/>
                <w:bCs/>
                <w:color w:val="000000"/>
                <w:sz w:val="18"/>
                <w:szCs w:val="18"/>
              </w:rPr>
              <w:t>%, раз</w:t>
            </w:r>
          </w:p>
        </w:tc>
      </w:tr>
      <w:tr w:rsidR="00D0462A" w:rsidRPr="00CE0DB8" w14:paraId="2668C56C" w14:textId="77777777" w:rsidTr="0087358B">
        <w:trPr>
          <w:trHeight w:val="163"/>
          <w:jc w:val="center"/>
        </w:trPr>
        <w:tc>
          <w:tcPr>
            <w:tcW w:w="4009" w:type="dxa"/>
            <w:shd w:val="clear" w:color="auto" w:fill="auto"/>
            <w:vAlign w:val="bottom"/>
            <w:hideMark/>
          </w:tcPr>
          <w:p w14:paraId="7A092595" w14:textId="77777777" w:rsidR="00D0462A" w:rsidRPr="00CE0DB8" w:rsidRDefault="00D0462A" w:rsidP="0087358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CE0DB8">
              <w:rPr>
                <w:b/>
                <w:bCs/>
                <w:color w:val="000000"/>
                <w:sz w:val="18"/>
                <w:szCs w:val="18"/>
              </w:rPr>
              <w:t>Расходы бюджета - всего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4BF3BDD7" w14:textId="77777777" w:rsidR="00D0462A" w:rsidRPr="00CE0DB8" w:rsidRDefault="00D0462A" w:rsidP="0087358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C6AC8E" w14:textId="77777777" w:rsidR="00D0462A" w:rsidRPr="00CE0DB8" w:rsidRDefault="00D0462A" w:rsidP="0087358B">
            <w:pPr>
              <w:jc w:val="center"/>
              <w:rPr>
                <w:b/>
                <w:bCs/>
                <w:sz w:val="18"/>
                <w:szCs w:val="18"/>
              </w:rPr>
            </w:pPr>
            <w:r w:rsidRPr="00CE0DB8">
              <w:rPr>
                <w:b/>
                <w:bCs/>
                <w:sz w:val="18"/>
                <w:szCs w:val="18"/>
              </w:rPr>
              <w:t>49531,2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D6C06B" w14:textId="77777777" w:rsidR="00D0462A" w:rsidRPr="00CE0DB8" w:rsidRDefault="00D0462A" w:rsidP="0087358B">
            <w:pPr>
              <w:jc w:val="center"/>
              <w:rPr>
                <w:b/>
                <w:bCs/>
                <w:sz w:val="18"/>
                <w:szCs w:val="18"/>
              </w:rPr>
            </w:pPr>
            <w:r w:rsidRPr="00CE0DB8">
              <w:rPr>
                <w:b/>
                <w:bCs/>
                <w:sz w:val="18"/>
                <w:szCs w:val="18"/>
              </w:rPr>
              <w:t>76178,6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A093E1" w14:textId="77777777" w:rsidR="00D0462A" w:rsidRPr="00CE0DB8" w:rsidRDefault="00D0462A" w:rsidP="0087358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CE0DB8">
              <w:rPr>
                <w:b/>
                <w:bCs/>
                <w:iCs/>
                <w:sz w:val="18"/>
                <w:szCs w:val="18"/>
              </w:rPr>
              <w:t>26647,4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14:paraId="7055CB65" w14:textId="77777777" w:rsidR="00D0462A" w:rsidRPr="00CE0DB8" w:rsidRDefault="00D0462A" w:rsidP="0087358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CE0DB8">
              <w:rPr>
                <w:b/>
                <w:bCs/>
                <w:iCs/>
                <w:sz w:val="18"/>
                <w:szCs w:val="18"/>
              </w:rPr>
              <w:t>53,8 %</w:t>
            </w:r>
          </w:p>
        </w:tc>
      </w:tr>
      <w:tr w:rsidR="00D0462A" w:rsidRPr="00CE0DB8" w14:paraId="0D908893" w14:textId="77777777" w:rsidTr="0087358B">
        <w:trPr>
          <w:trHeight w:val="199"/>
          <w:jc w:val="center"/>
        </w:trPr>
        <w:tc>
          <w:tcPr>
            <w:tcW w:w="4009" w:type="dxa"/>
            <w:shd w:val="clear" w:color="auto" w:fill="auto"/>
            <w:vAlign w:val="bottom"/>
            <w:hideMark/>
          </w:tcPr>
          <w:p w14:paraId="1C6A9116" w14:textId="77777777" w:rsidR="00D0462A" w:rsidRPr="00CE0DB8" w:rsidRDefault="00D0462A" w:rsidP="0087358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CE0DB8">
              <w:rPr>
                <w:b/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3F4CAC18" w14:textId="77777777" w:rsidR="00D0462A" w:rsidRPr="00CE0DB8" w:rsidRDefault="00D0462A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0800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72E9E9" w14:textId="77777777" w:rsidR="00D0462A" w:rsidRPr="00CE0DB8" w:rsidRDefault="00D0462A" w:rsidP="0087358B">
            <w:pPr>
              <w:jc w:val="center"/>
              <w:rPr>
                <w:b/>
                <w:bCs/>
                <w:sz w:val="18"/>
                <w:szCs w:val="18"/>
              </w:rPr>
            </w:pPr>
            <w:r w:rsidRPr="00CE0DB8">
              <w:rPr>
                <w:b/>
                <w:bCs/>
                <w:sz w:val="18"/>
                <w:szCs w:val="18"/>
              </w:rPr>
              <w:t>49531,2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847DA5" w14:textId="77777777" w:rsidR="00D0462A" w:rsidRPr="00CE0DB8" w:rsidRDefault="00D0462A" w:rsidP="0087358B">
            <w:pPr>
              <w:jc w:val="center"/>
              <w:rPr>
                <w:b/>
                <w:bCs/>
                <w:sz w:val="18"/>
                <w:szCs w:val="18"/>
              </w:rPr>
            </w:pPr>
            <w:r w:rsidRPr="00CE0DB8">
              <w:rPr>
                <w:b/>
                <w:bCs/>
                <w:sz w:val="18"/>
                <w:szCs w:val="18"/>
              </w:rPr>
              <w:t>76178,6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D4C8EE" w14:textId="77777777" w:rsidR="00D0462A" w:rsidRPr="00CE0DB8" w:rsidRDefault="00D0462A" w:rsidP="0087358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CE0DB8">
              <w:rPr>
                <w:b/>
                <w:bCs/>
                <w:iCs/>
                <w:sz w:val="18"/>
                <w:szCs w:val="18"/>
              </w:rPr>
              <w:t>26647,4</w:t>
            </w:r>
          </w:p>
        </w:tc>
        <w:tc>
          <w:tcPr>
            <w:tcW w:w="1195" w:type="dxa"/>
            <w:shd w:val="clear" w:color="000000" w:fill="FFFFFF"/>
            <w:noWrap/>
            <w:vAlign w:val="center"/>
            <w:hideMark/>
          </w:tcPr>
          <w:p w14:paraId="112D2FD4" w14:textId="77777777" w:rsidR="00D0462A" w:rsidRPr="00CE0DB8" w:rsidRDefault="00D0462A" w:rsidP="00A46B6C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CE0DB8">
              <w:rPr>
                <w:b/>
                <w:bCs/>
                <w:iCs/>
                <w:sz w:val="18"/>
                <w:szCs w:val="18"/>
              </w:rPr>
              <w:t>53,8 </w:t>
            </w:r>
            <w:r w:rsidR="00A46B6C" w:rsidRPr="00CE0DB8">
              <w:rPr>
                <w:b/>
                <w:bCs/>
                <w:iCs/>
                <w:sz w:val="18"/>
                <w:szCs w:val="18"/>
              </w:rPr>
              <w:t>%</w:t>
            </w:r>
          </w:p>
        </w:tc>
      </w:tr>
      <w:tr w:rsidR="00D0462A" w:rsidRPr="00CE0DB8" w14:paraId="200227AF" w14:textId="77777777" w:rsidTr="0087358B">
        <w:trPr>
          <w:trHeight w:val="285"/>
          <w:jc w:val="center"/>
        </w:trPr>
        <w:tc>
          <w:tcPr>
            <w:tcW w:w="4009" w:type="dxa"/>
            <w:shd w:val="clear" w:color="auto" w:fill="auto"/>
            <w:vAlign w:val="bottom"/>
            <w:hideMark/>
          </w:tcPr>
          <w:p w14:paraId="7CD4177C" w14:textId="77777777" w:rsidR="00D0462A" w:rsidRPr="00CE0DB8" w:rsidRDefault="00D0462A" w:rsidP="0087358B">
            <w:pPr>
              <w:rPr>
                <w:bCs/>
                <w:iCs/>
                <w:sz w:val="18"/>
                <w:szCs w:val="18"/>
              </w:rPr>
            </w:pPr>
            <w:r w:rsidRPr="00CE0DB8">
              <w:rPr>
                <w:bCs/>
                <w:iCs/>
                <w:sz w:val="18"/>
                <w:szCs w:val="18"/>
              </w:rPr>
              <w:t>Культура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6F95F711" w14:textId="77777777" w:rsidR="00D0462A" w:rsidRPr="00CE0DB8" w:rsidRDefault="00D0462A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0801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342D4D" w14:textId="77777777" w:rsidR="00D0462A" w:rsidRPr="00CE0DB8" w:rsidRDefault="00D0462A" w:rsidP="0087358B">
            <w:pPr>
              <w:jc w:val="center"/>
              <w:rPr>
                <w:bCs/>
                <w:iCs/>
                <w:sz w:val="18"/>
                <w:szCs w:val="18"/>
              </w:rPr>
            </w:pPr>
            <w:r w:rsidRPr="00CE0DB8">
              <w:rPr>
                <w:bCs/>
                <w:iCs/>
                <w:sz w:val="18"/>
                <w:szCs w:val="18"/>
              </w:rPr>
              <w:t>18122,1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BAD2FD" w14:textId="77777777" w:rsidR="00D0462A" w:rsidRPr="00CE0DB8" w:rsidRDefault="00D0462A" w:rsidP="0087358B">
            <w:pPr>
              <w:jc w:val="center"/>
              <w:rPr>
                <w:bCs/>
                <w:iCs/>
                <w:sz w:val="18"/>
                <w:szCs w:val="18"/>
              </w:rPr>
            </w:pPr>
            <w:r w:rsidRPr="00CE0DB8">
              <w:rPr>
                <w:bCs/>
                <w:iCs/>
                <w:sz w:val="18"/>
                <w:szCs w:val="18"/>
              </w:rPr>
              <w:t>47503,8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3D22F4" w14:textId="77777777" w:rsidR="00D0462A" w:rsidRPr="00CE0DB8" w:rsidRDefault="00D0462A" w:rsidP="0087358B">
            <w:pPr>
              <w:jc w:val="center"/>
              <w:rPr>
                <w:bCs/>
                <w:iCs/>
                <w:sz w:val="18"/>
                <w:szCs w:val="18"/>
              </w:rPr>
            </w:pPr>
            <w:r w:rsidRPr="00CE0DB8">
              <w:rPr>
                <w:bCs/>
                <w:iCs/>
                <w:sz w:val="18"/>
                <w:szCs w:val="18"/>
              </w:rPr>
              <w:t>29381,7</w:t>
            </w:r>
          </w:p>
        </w:tc>
        <w:tc>
          <w:tcPr>
            <w:tcW w:w="1195" w:type="dxa"/>
            <w:shd w:val="clear" w:color="000000" w:fill="FFFFFF"/>
            <w:noWrap/>
            <w:vAlign w:val="center"/>
            <w:hideMark/>
          </w:tcPr>
          <w:p w14:paraId="0572CBD4" w14:textId="77777777" w:rsidR="00D0462A" w:rsidRPr="00CE0DB8" w:rsidRDefault="00D0462A" w:rsidP="0087358B">
            <w:pPr>
              <w:jc w:val="center"/>
              <w:rPr>
                <w:bCs/>
                <w:iCs/>
                <w:sz w:val="18"/>
                <w:szCs w:val="18"/>
              </w:rPr>
            </w:pPr>
            <w:r w:rsidRPr="00CE0DB8">
              <w:rPr>
                <w:bCs/>
                <w:iCs/>
                <w:sz w:val="18"/>
                <w:szCs w:val="18"/>
              </w:rPr>
              <w:t>2,6 раза</w:t>
            </w:r>
          </w:p>
        </w:tc>
      </w:tr>
      <w:tr w:rsidR="00D0462A" w:rsidRPr="00CE0DB8" w14:paraId="385315F8" w14:textId="77777777" w:rsidTr="0087358B">
        <w:trPr>
          <w:trHeight w:val="132"/>
          <w:jc w:val="center"/>
        </w:trPr>
        <w:tc>
          <w:tcPr>
            <w:tcW w:w="4009" w:type="dxa"/>
            <w:shd w:val="clear" w:color="auto" w:fill="auto"/>
            <w:vAlign w:val="bottom"/>
            <w:hideMark/>
          </w:tcPr>
          <w:p w14:paraId="0DB929BD" w14:textId="77777777" w:rsidR="00D0462A" w:rsidRPr="00CE0DB8" w:rsidRDefault="00D0462A" w:rsidP="0087358B">
            <w:pPr>
              <w:rPr>
                <w:bCs/>
                <w:iCs/>
                <w:sz w:val="18"/>
                <w:szCs w:val="18"/>
              </w:rPr>
            </w:pPr>
            <w:r w:rsidRPr="00CE0DB8">
              <w:rPr>
                <w:bCs/>
                <w:iCs/>
                <w:sz w:val="18"/>
                <w:szCs w:val="18"/>
              </w:rPr>
              <w:t>Другие вопросы в области культуры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1382DDE0" w14:textId="77777777" w:rsidR="00D0462A" w:rsidRPr="00CE0DB8" w:rsidRDefault="00D0462A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0804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86A648" w14:textId="77777777" w:rsidR="00D0462A" w:rsidRPr="00CE0DB8" w:rsidRDefault="00D0462A" w:rsidP="0087358B">
            <w:pPr>
              <w:jc w:val="center"/>
              <w:rPr>
                <w:bCs/>
                <w:iCs/>
                <w:sz w:val="18"/>
                <w:szCs w:val="18"/>
              </w:rPr>
            </w:pPr>
            <w:r w:rsidRPr="00CE0DB8">
              <w:rPr>
                <w:bCs/>
                <w:iCs/>
                <w:sz w:val="18"/>
                <w:szCs w:val="18"/>
              </w:rPr>
              <w:t>31409,1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A5CBB5" w14:textId="77777777" w:rsidR="00D0462A" w:rsidRPr="00CE0DB8" w:rsidRDefault="00D0462A" w:rsidP="0087358B">
            <w:pPr>
              <w:jc w:val="center"/>
              <w:rPr>
                <w:bCs/>
                <w:iCs/>
                <w:sz w:val="18"/>
                <w:szCs w:val="18"/>
              </w:rPr>
            </w:pPr>
            <w:r w:rsidRPr="00CE0DB8">
              <w:rPr>
                <w:bCs/>
                <w:iCs/>
                <w:sz w:val="18"/>
                <w:szCs w:val="18"/>
              </w:rPr>
              <w:t>28674,8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84B765" w14:textId="77777777" w:rsidR="00D0462A" w:rsidRPr="00CE0DB8" w:rsidRDefault="00D0462A" w:rsidP="0087358B">
            <w:pPr>
              <w:jc w:val="center"/>
              <w:rPr>
                <w:bCs/>
                <w:iCs/>
                <w:sz w:val="18"/>
                <w:szCs w:val="18"/>
              </w:rPr>
            </w:pPr>
            <w:r w:rsidRPr="00CE0DB8">
              <w:rPr>
                <w:bCs/>
                <w:iCs/>
                <w:sz w:val="18"/>
                <w:szCs w:val="18"/>
              </w:rPr>
              <w:t>-2734,3</w:t>
            </w:r>
          </w:p>
        </w:tc>
        <w:tc>
          <w:tcPr>
            <w:tcW w:w="1195" w:type="dxa"/>
            <w:shd w:val="clear" w:color="000000" w:fill="FFFFFF"/>
            <w:noWrap/>
            <w:vAlign w:val="center"/>
            <w:hideMark/>
          </w:tcPr>
          <w:p w14:paraId="637C72F5" w14:textId="77777777" w:rsidR="00D0462A" w:rsidRPr="00CE0DB8" w:rsidRDefault="00D0462A" w:rsidP="0087358B">
            <w:pPr>
              <w:jc w:val="center"/>
              <w:rPr>
                <w:bCs/>
                <w:iCs/>
                <w:sz w:val="18"/>
                <w:szCs w:val="18"/>
              </w:rPr>
            </w:pPr>
            <w:r w:rsidRPr="00CE0DB8">
              <w:rPr>
                <w:bCs/>
                <w:iCs/>
                <w:sz w:val="18"/>
                <w:szCs w:val="18"/>
              </w:rPr>
              <w:t>-8,7 %</w:t>
            </w:r>
          </w:p>
        </w:tc>
      </w:tr>
    </w:tbl>
    <w:p w14:paraId="667E9353" w14:textId="77777777" w:rsidR="00D0462A" w:rsidRPr="00CE0DB8" w:rsidRDefault="00D0462A" w:rsidP="00D0462A">
      <w:pPr>
        <w:tabs>
          <w:tab w:val="left" w:pos="0"/>
        </w:tabs>
        <w:ind w:firstLine="709"/>
        <w:jc w:val="both"/>
      </w:pPr>
    </w:p>
    <w:p w14:paraId="20E6B4E4" w14:textId="77777777" w:rsidR="00D0462A" w:rsidRPr="00CE0DB8" w:rsidRDefault="00D0462A" w:rsidP="00D0462A">
      <w:pPr>
        <w:tabs>
          <w:tab w:val="left" w:pos="0"/>
        </w:tabs>
        <w:ind w:firstLine="709"/>
        <w:jc w:val="both"/>
      </w:pPr>
      <w:r w:rsidRPr="00CE0DB8">
        <w:t xml:space="preserve">В 2020 году расходы Комитета относительно показателя 2019 года увеличились на </w:t>
      </w:r>
      <w:r w:rsidRPr="00CE0DB8">
        <w:rPr>
          <w:bCs/>
          <w:iCs/>
        </w:rPr>
        <w:t>26 647,4 </w:t>
      </w:r>
      <w:r w:rsidRPr="00CE0DB8">
        <w:t>тыс. руб. (+53,8%), в том числе по подразделам:</w:t>
      </w:r>
    </w:p>
    <w:p w14:paraId="4DB64B38" w14:textId="77777777" w:rsidR="00D0462A" w:rsidRPr="00CE0DB8" w:rsidRDefault="00D0462A" w:rsidP="00D0462A">
      <w:pPr>
        <w:tabs>
          <w:tab w:val="left" w:pos="0"/>
        </w:tabs>
        <w:ind w:firstLine="709"/>
        <w:jc w:val="both"/>
      </w:pPr>
      <w:r w:rsidRPr="00CE0DB8">
        <w:t xml:space="preserve">-0801 «Культура» в связи с увеличением расходов на </w:t>
      </w:r>
      <w:r w:rsidRPr="00CE0DB8">
        <w:rPr>
          <w:bCs/>
          <w:iCs/>
        </w:rPr>
        <w:t>29 381,7 </w:t>
      </w:r>
      <w:r w:rsidRPr="00CE0DB8">
        <w:t>тыс. руб. (в 2,6 раза) на предоставление субсидий подведомственному учреждению ГБУ ВО НПЦ на выполнение государственного задания на 6 340,7 тыс. руб. (32,6 %) и на иные цели на 23 816,3 тыс. руб. (85 %);</w:t>
      </w:r>
    </w:p>
    <w:p w14:paraId="65708C9E" w14:textId="77777777" w:rsidR="002C247E" w:rsidRPr="00CE0DB8" w:rsidRDefault="00D0462A" w:rsidP="00524E34">
      <w:pPr>
        <w:tabs>
          <w:tab w:val="left" w:pos="0"/>
        </w:tabs>
        <w:ind w:firstLine="709"/>
        <w:jc w:val="both"/>
        <w:rPr>
          <w:rFonts w:eastAsiaTheme="minorHAnsi"/>
        </w:rPr>
      </w:pPr>
      <w:r w:rsidRPr="00CE0DB8">
        <w:t>-0804 «Другие вопросы в области культуры» уменьшились на 2 734,3 тыс. руб.</w:t>
      </w:r>
      <w:r w:rsidR="00524E34" w:rsidRPr="00CE0DB8">
        <w:t xml:space="preserve">, в основном, </w:t>
      </w:r>
      <w:r w:rsidRPr="00CE0DB8">
        <w:t xml:space="preserve">в связи с уменьшением </w:t>
      </w:r>
      <w:r w:rsidR="0077532A" w:rsidRPr="00CE0DB8">
        <w:t xml:space="preserve">на 4 053,7 тыс. руб. </w:t>
      </w:r>
      <w:r w:rsidRPr="00CE0DB8">
        <w:t xml:space="preserve">размера предоставленной в 2020 году субсидии из федерального бюджета на </w:t>
      </w:r>
      <w:proofErr w:type="spellStart"/>
      <w:r w:rsidRPr="00CE0DB8">
        <w:t>софинансирование</w:t>
      </w:r>
      <w:proofErr w:type="spellEnd"/>
      <w:r w:rsidRPr="00CE0DB8">
        <w:t xml:space="preserve"> расходных обязательств субъектов РФ, связанных с реализацией Федеральной целевой программы «Увековечение памяти погибших при защите </w:t>
      </w:r>
      <w:r w:rsidR="0077532A" w:rsidRPr="00CE0DB8">
        <w:t>отечества на 2019 – 2024 годы»</w:t>
      </w:r>
      <w:r w:rsidR="00524E34" w:rsidRPr="00CE0DB8">
        <w:t xml:space="preserve"> и увеличением расходов по субвенции </w:t>
      </w:r>
      <w:r w:rsidR="00524E34" w:rsidRPr="00CE0DB8">
        <w:rPr>
          <w:rFonts w:eastAsiaTheme="minorHAnsi"/>
        </w:rPr>
        <w:t>из федерального бюджета по государственной охране ОКН и государственному надзору в области охраны ОКН на 1 410,6 тыс. рублей.</w:t>
      </w:r>
    </w:p>
    <w:p w14:paraId="29CF6B1B" w14:textId="77777777" w:rsidR="00524E34" w:rsidRPr="00CE0DB8" w:rsidRDefault="00524E34" w:rsidP="00524E34">
      <w:pPr>
        <w:tabs>
          <w:tab w:val="left" w:pos="0"/>
        </w:tabs>
        <w:ind w:firstLine="709"/>
        <w:jc w:val="both"/>
        <w:rPr>
          <w:b/>
        </w:rPr>
      </w:pPr>
    </w:p>
    <w:p w14:paraId="154CBF41" w14:textId="77777777" w:rsidR="003147BD" w:rsidRPr="00CE0DB8" w:rsidRDefault="003147BD" w:rsidP="002C247E">
      <w:pPr>
        <w:tabs>
          <w:tab w:val="left" w:pos="0"/>
        </w:tabs>
        <w:jc w:val="center"/>
        <w:rPr>
          <w:b/>
        </w:rPr>
      </w:pPr>
      <w:r w:rsidRPr="00CE0DB8">
        <w:rPr>
          <w:b/>
        </w:rPr>
        <w:t>Состояние дебиторской и кредиторской задолженностей</w:t>
      </w:r>
    </w:p>
    <w:p w14:paraId="3C51EF4A" w14:textId="77777777" w:rsidR="002C247E" w:rsidRPr="00CE0DB8" w:rsidRDefault="002C247E" w:rsidP="002C247E">
      <w:pPr>
        <w:tabs>
          <w:tab w:val="left" w:pos="0"/>
        </w:tabs>
        <w:jc w:val="center"/>
        <w:rPr>
          <w:b/>
        </w:rPr>
      </w:pPr>
    </w:p>
    <w:p w14:paraId="2E55B915" w14:textId="77777777" w:rsidR="006C3394" w:rsidRPr="00CE0DB8" w:rsidRDefault="003147BD" w:rsidP="002C247E">
      <w:pPr>
        <w:ind w:firstLine="709"/>
        <w:jc w:val="both"/>
        <w:rPr>
          <w:color w:val="000099"/>
        </w:rPr>
      </w:pPr>
      <w:r w:rsidRPr="00CE0DB8">
        <w:t xml:space="preserve">Информация о динамике дебиторской и кредиторской задолженностей Комитета </w:t>
      </w:r>
      <w:r w:rsidR="00CE433E" w:rsidRPr="00CE0DB8">
        <w:t xml:space="preserve">и подведомственных ему учреждений </w:t>
      </w:r>
      <w:r w:rsidRPr="00CE0DB8">
        <w:t xml:space="preserve">представлена </w:t>
      </w:r>
      <w:r w:rsidRPr="00CE0DB8">
        <w:rPr>
          <w:color w:val="000099"/>
        </w:rPr>
        <w:t>в таблице</w:t>
      </w:r>
      <w:r w:rsidR="005F431F" w:rsidRPr="00CE0DB8">
        <w:rPr>
          <w:color w:val="000099"/>
        </w:rPr>
        <w:t xml:space="preserve"> №</w:t>
      </w:r>
      <w:r w:rsidR="00D0462A" w:rsidRPr="00CE0DB8">
        <w:rPr>
          <w:color w:val="000099"/>
        </w:rPr>
        <w:t> </w:t>
      </w:r>
      <w:r w:rsidR="00593221" w:rsidRPr="00CE0DB8">
        <w:rPr>
          <w:color w:val="000099"/>
        </w:rPr>
        <w:t>3</w:t>
      </w:r>
      <w:r w:rsidRPr="00CE0DB8">
        <w:rPr>
          <w:color w:val="000099"/>
        </w:rPr>
        <w:t>.</w:t>
      </w:r>
    </w:p>
    <w:p w14:paraId="29AA343F" w14:textId="77777777" w:rsidR="00471F84" w:rsidRPr="00CE0DB8" w:rsidRDefault="00471F84" w:rsidP="003147BD">
      <w:pPr>
        <w:ind w:firstLine="709"/>
        <w:jc w:val="right"/>
        <w:rPr>
          <w:color w:val="000099"/>
        </w:rPr>
      </w:pPr>
    </w:p>
    <w:p w14:paraId="01A311A8" w14:textId="77777777" w:rsidR="00471F84" w:rsidRPr="00CE0DB8" w:rsidRDefault="00471F84" w:rsidP="003147BD">
      <w:pPr>
        <w:ind w:firstLine="709"/>
        <w:jc w:val="right"/>
        <w:rPr>
          <w:color w:val="000099"/>
        </w:rPr>
      </w:pPr>
    </w:p>
    <w:p w14:paraId="67E9196B" w14:textId="77777777" w:rsidR="00471F84" w:rsidRPr="00CE0DB8" w:rsidRDefault="00471F84" w:rsidP="003147BD">
      <w:pPr>
        <w:ind w:firstLine="709"/>
        <w:jc w:val="right"/>
        <w:rPr>
          <w:color w:val="000099"/>
        </w:rPr>
      </w:pPr>
    </w:p>
    <w:p w14:paraId="74811155" w14:textId="77777777" w:rsidR="00471F84" w:rsidRPr="00CE0DB8" w:rsidRDefault="00471F84" w:rsidP="003147BD">
      <w:pPr>
        <w:ind w:firstLine="709"/>
        <w:jc w:val="right"/>
        <w:rPr>
          <w:color w:val="000099"/>
        </w:rPr>
      </w:pPr>
    </w:p>
    <w:p w14:paraId="1682F207" w14:textId="77777777" w:rsidR="003147BD" w:rsidRPr="00CE0DB8" w:rsidRDefault="005F431F" w:rsidP="003147BD">
      <w:pPr>
        <w:ind w:firstLine="709"/>
        <w:jc w:val="right"/>
        <w:rPr>
          <w:color w:val="000099"/>
        </w:rPr>
      </w:pPr>
      <w:r w:rsidRPr="00CE0DB8">
        <w:rPr>
          <w:color w:val="000099"/>
        </w:rPr>
        <w:lastRenderedPageBreak/>
        <w:t>Таблица №</w:t>
      </w:r>
      <w:r w:rsidR="00D0462A" w:rsidRPr="00CE0DB8">
        <w:rPr>
          <w:color w:val="000099"/>
        </w:rPr>
        <w:t> </w:t>
      </w:r>
      <w:r w:rsidR="00593221" w:rsidRPr="00CE0DB8">
        <w:rPr>
          <w:color w:val="000099"/>
        </w:rPr>
        <w:t>3</w:t>
      </w:r>
      <w:r w:rsidRPr="00CE0DB8">
        <w:rPr>
          <w:color w:val="000099"/>
        </w:rPr>
        <w:t xml:space="preserve">, </w:t>
      </w:r>
      <w:r w:rsidR="003147BD" w:rsidRPr="00CE0DB8">
        <w:rPr>
          <w:color w:val="000099"/>
        </w:rPr>
        <w:t>тыс.</w:t>
      </w:r>
      <w:r w:rsidR="00D0462A" w:rsidRPr="00CE0DB8">
        <w:rPr>
          <w:color w:val="000099"/>
        </w:rPr>
        <w:t> </w:t>
      </w:r>
      <w:r w:rsidR="003147BD" w:rsidRPr="00CE0DB8">
        <w:rPr>
          <w:color w:val="000099"/>
        </w:rPr>
        <w:t xml:space="preserve"> руб.</w:t>
      </w:r>
    </w:p>
    <w:tbl>
      <w:tblPr>
        <w:tblW w:w="9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6"/>
        <w:gridCol w:w="1140"/>
        <w:gridCol w:w="1140"/>
        <w:gridCol w:w="1122"/>
        <w:gridCol w:w="1829"/>
      </w:tblGrid>
      <w:tr w:rsidR="00D0462A" w:rsidRPr="00CE0DB8" w14:paraId="48B4A1E6" w14:textId="77777777" w:rsidTr="0087358B">
        <w:trPr>
          <w:tblHeader/>
          <w:jc w:val="center"/>
        </w:trPr>
        <w:tc>
          <w:tcPr>
            <w:tcW w:w="4426" w:type="dxa"/>
            <w:vMerge w:val="restart"/>
            <w:shd w:val="clear" w:color="auto" w:fill="auto"/>
            <w:vAlign w:val="center"/>
            <w:hideMark/>
          </w:tcPr>
          <w:p w14:paraId="388BABAB" w14:textId="77777777" w:rsidR="00D0462A" w:rsidRPr="00CE0DB8" w:rsidRDefault="00D0462A" w:rsidP="0087358B">
            <w:pPr>
              <w:jc w:val="center"/>
              <w:rPr>
                <w:b/>
                <w:bCs/>
                <w:sz w:val="18"/>
                <w:szCs w:val="18"/>
              </w:rPr>
            </w:pPr>
            <w:r w:rsidRPr="00CE0DB8">
              <w:rPr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40" w:type="dxa"/>
            <w:vMerge w:val="restart"/>
            <w:shd w:val="clear" w:color="auto" w:fill="auto"/>
            <w:vAlign w:val="center"/>
            <w:hideMark/>
          </w:tcPr>
          <w:p w14:paraId="614590A4" w14:textId="77777777" w:rsidR="00D0462A" w:rsidRPr="00CE0DB8" w:rsidRDefault="00D0462A" w:rsidP="0087358B">
            <w:pPr>
              <w:jc w:val="center"/>
              <w:rPr>
                <w:b/>
                <w:bCs/>
                <w:sz w:val="18"/>
                <w:szCs w:val="18"/>
              </w:rPr>
            </w:pPr>
            <w:r w:rsidRPr="00CE0DB8">
              <w:rPr>
                <w:b/>
                <w:bCs/>
                <w:sz w:val="18"/>
                <w:szCs w:val="18"/>
              </w:rPr>
              <w:t>на 01.01.2020</w:t>
            </w:r>
          </w:p>
        </w:tc>
        <w:tc>
          <w:tcPr>
            <w:tcW w:w="1140" w:type="dxa"/>
            <w:vMerge w:val="restart"/>
            <w:shd w:val="clear" w:color="auto" w:fill="auto"/>
            <w:vAlign w:val="center"/>
            <w:hideMark/>
          </w:tcPr>
          <w:p w14:paraId="44CAD565" w14:textId="77777777" w:rsidR="00D0462A" w:rsidRPr="00CE0DB8" w:rsidRDefault="00D0462A" w:rsidP="0087358B">
            <w:pPr>
              <w:jc w:val="center"/>
              <w:rPr>
                <w:b/>
                <w:bCs/>
                <w:sz w:val="18"/>
                <w:szCs w:val="18"/>
              </w:rPr>
            </w:pPr>
            <w:r w:rsidRPr="00CE0DB8">
              <w:rPr>
                <w:b/>
                <w:bCs/>
                <w:sz w:val="18"/>
                <w:szCs w:val="18"/>
              </w:rPr>
              <w:t>на 01.01.2021</w:t>
            </w:r>
          </w:p>
        </w:tc>
        <w:tc>
          <w:tcPr>
            <w:tcW w:w="2951" w:type="dxa"/>
            <w:gridSpan w:val="2"/>
            <w:shd w:val="clear" w:color="auto" w:fill="auto"/>
            <w:vAlign w:val="center"/>
            <w:hideMark/>
          </w:tcPr>
          <w:p w14:paraId="34695A29" w14:textId="77777777" w:rsidR="00D0462A" w:rsidRPr="00CE0DB8" w:rsidRDefault="00D0462A" w:rsidP="0087358B">
            <w:pPr>
              <w:jc w:val="center"/>
              <w:rPr>
                <w:b/>
                <w:bCs/>
                <w:sz w:val="18"/>
                <w:szCs w:val="18"/>
              </w:rPr>
            </w:pPr>
            <w:r w:rsidRPr="00CE0DB8">
              <w:rPr>
                <w:b/>
                <w:bCs/>
                <w:sz w:val="18"/>
                <w:szCs w:val="18"/>
              </w:rPr>
              <w:t>Отклонение</w:t>
            </w:r>
          </w:p>
        </w:tc>
      </w:tr>
      <w:tr w:rsidR="00D0462A" w:rsidRPr="00CE0DB8" w14:paraId="04B06C07" w14:textId="77777777" w:rsidTr="0087358B">
        <w:trPr>
          <w:tblHeader/>
          <w:jc w:val="center"/>
        </w:trPr>
        <w:tc>
          <w:tcPr>
            <w:tcW w:w="4426" w:type="dxa"/>
            <w:vMerge/>
            <w:shd w:val="clear" w:color="auto" w:fill="auto"/>
            <w:vAlign w:val="center"/>
            <w:hideMark/>
          </w:tcPr>
          <w:p w14:paraId="54B3C793" w14:textId="77777777" w:rsidR="00D0462A" w:rsidRPr="00CE0DB8" w:rsidRDefault="00D0462A" w:rsidP="0087358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0" w:type="dxa"/>
            <w:vMerge/>
            <w:shd w:val="clear" w:color="auto" w:fill="auto"/>
            <w:vAlign w:val="center"/>
            <w:hideMark/>
          </w:tcPr>
          <w:p w14:paraId="0FFC3623" w14:textId="77777777" w:rsidR="00D0462A" w:rsidRPr="00CE0DB8" w:rsidRDefault="00D0462A" w:rsidP="0087358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0" w:type="dxa"/>
            <w:vMerge/>
            <w:shd w:val="clear" w:color="auto" w:fill="auto"/>
            <w:vAlign w:val="center"/>
            <w:hideMark/>
          </w:tcPr>
          <w:p w14:paraId="59B5871F" w14:textId="77777777" w:rsidR="00D0462A" w:rsidRPr="00CE0DB8" w:rsidRDefault="00D0462A" w:rsidP="0087358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240DA920" w14:textId="77777777" w:rsidR="00D0462A" w:rsidRPr="00CE0DB8" w:rsidRDefault="00D0462A" w:rsidP="0087358B">
            <w:pPr>
              <w:jc w:val="center"/>
              <w:rPr>
                <w:b/>
                <w:bCs/>
                <w:sz w:val="18"/>
                <w:szCs w:val="18"/>
              </w:rPr>
            </w:pPr>
            <w:r w:rsidRPr="00CE0DB8">
              <w:rPr>
                <w:b/>
                <w:bCs/>
                <w:sz w:val="18"/>
                <w:szCs w:val="18"/>
              </w:rPr>
              <w:t>тыс. руб.</w:t>
            </w:r>
          </w:p>
        </w:tc>
        <w:tc>
          <w:tcPr>
            <w:tcW w:w="1829" w:type="dxa"/>
            <w:shd w:val="clear" w:color="auto" w:fill="auto"/>
            <w:vAlign w:val="center"/>
            <w:hideMark/>
          </w:tcPr>
          <w:p w14:paraId="3B1DE394" w14:textId="77777777" w:rsidR="00D0462A" w:rsidRPr="00CE0DB8" w:rsidRDefault="00D0462A" w:rsidP="0087358B">
            <w:pPr>
              <w:jc w:val="center"/>
              <w:rPr>
                <w:b/>
                <w:bCs/>
                <w:sz w:val="18"/>
                <w:szCs w:val="18"/>
              </w:rPr>
            </w:pPr>
            <w:r w:rsidRPr="00CE0DB8">
              <w:rPr>
                <w:b/>
                <w:bCs/>
                <w:sz w:val="18"/>
                <w:szCs w:val="18"/>
              </w:rPr>
              <w:t>%, раз</w:t>
            </w:r>
          </w:p>
        </w:tc>
      </w:tr>
      <w:tr w:rsidR="00D0462A" w:rsidRPr="00CE0DB8" w14:paraId="07ECE92D" w14:textId="77777777" w:rsidTr="0087358B">
        <w:trPr>
          <w:jc w:val="center"/>
        </w:trPr>
        <w:tc>
          <w:tcPr>
            <w:tcW w:w="4426" w:type="dxa"/>
            <w:shd w:val="clear" w:color="auto" w:fill="auto"/>
            <w:vAlign w:val="center"/>
            <w:hideMark/>
          </w:tcPr>
          <w:p w14:paraId="7F2CF20D" w14:textId="77777777" w:rsidR="00D0462A" w:rsidRPr="00CE0DB8" w:rsidRDefault="00D0462A" w:rsidP="0087358B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CE0DB8">
              <w:rPr>
                <w:b/>
                <w:bCs/>
                <w:iCs/>
                <w:sz w:val="18"/>
                <w:szCs w:val="18"/>
              </w:rPr>
              <w:t xml:space="preserve">Дебит. задолженность ИТОГО: </w:t>
            </w:r>
            <w:r w:rsidRPr="00CE0DB8">
              <w:rPr>
                <w:b/>
                <w:sz w:val="18"/>
                <w:szCs w:val="18"/>
              </w:rPr>
              <w:t>в том числе</w:t>
            </w:r>
            <w:r w:rsidRPr="00CE0DB8">
              <w:rPr>
                <w:sz w:val="18"/>
                <w:szCs w:val="18"/>
              </w:rPr>
              <w:t>: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7A4ECEAF" w14:textId="77777777" w:rsidR="00D0462A" w:rsidRPr="00CE0DB8" w:rsidRDefault="00D0462A" w:rsidP="0087358B">
            <w:pPr>
              <w:jc w:val="center"/>
              <w:rPr>
                <w:b/>
                <w:sz w:val="18"/>
                <w:szCs w:val="18"/>
              </w:rPr>
            </w:pPr>
            <w:r w:rsidRPr="00CE0DB8">
              <w:rPr>
                <w:b/>
                <w:sz w:val="18"/>
                <w:szCs w:val="18"/>
              </w:rPr>
              <w:t>3752,0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C5C1A6B" w14:textId="77777777" w:rsidR="00D0462A" w:rsidRPr="00CE0DB8" w:rsidRDefault="00D0462A" w:rsidP="0087358B">
            <w:pPr>
              <w:jc w:val="center"/>
              <w:rPr>
                <w:b/>
                <w:sz w:val="18"/>
                <w:szCs w:val="18"/>
              </w:rPr>
            </w:pPr>
            <w:r w:rsidRPr="00CE0DB8">
              <w:rPr>
                <w:b/>
                <w:sz w:val="18"/>
                <w:szCs w:val="18"/>
              </w:rPr>
              <w:t>122748,8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346E44AD" w14:textId="77777777" w:rsidR="00D0462A" w:rsidRPr="00CE0DB8" w:rsidRDefault="00D0462A" w:rsidP="0087358B">
            <w:pPr>
              <w:jc w:val="center"/>
              <w:rPr>
                <w:b/>
                <w:sz w:val="18"/>
                <w:szCs w:val="18"/>
              </w:rPr>
            </w:pPr>
            <w:r w:rsidRPr="00CE0DB8">
              <w:rPr>
                <w:b/>
                <w:sz w:val="18"/>
                <w:szCs w:val="18"/>
              </w:rPr>
              <w:t>+118996,8</w:t>
            </w:r>
          </w:p>
        </w:tc>
        <w:tc>
          <w:tcPr>
            <w:tcW w:w="1829" w:type="dxa"/>
            <w:shd w:val="clear" w:color="auto" w:fill="auto"/>
            <w:vAlign w:val="center"/>
            <w:hideMark/>
          </w:tcPr>
          <w:p w14:paraId="054D7778" w14:textId="77777777" w:rsidR="00D0462A" w:rsidRPr="00CE0DB8" w:rsidRDefault="00D0462A" w:rsidP="0087358B">
            <w:pPr>
              <w:jc w:val="center"/>
              <w:rPr>
                <w:b/>
                <w:sz w:val="18"/>
                <w:szCs w:val="18"/>
              </w:rPr>
            </w:pPr>
            <w:r w:rsidRPr="00CE0DB8">
              <w:rPr>
                <w:b/>
                <w:sz w:val="18"/>
                <w:szCs w:val="18"/>
              </w:rPr>
              <w:t>в 32,7 раза</w:t>
            </w:r>
          </w:p>
        </w:tc>
      </w:tr>
      <w:tr w:rsidR="00D0462A" w:rsidRPr="00CE0DB8" w14:paraId="1E858227" w14:textId="77777777" w:rsidTr="0087358B">
        <w:trPr>
          <w:jc w:val="center"/>
        </w:trPr>
        <w:tc>
          <w:tcPr>
            <w:tcW w:w="4426" w:type="dxa"/>
            <w:vAlign w:val="center"/>
            <w:hideMark/>
          </w:tcPr>
          <w:p w14:paraId="26BA07C4" w14:textId="77777777" w:rsidR="00D0462A" w:rsidRPr="00CE0DB8" w:rsidRDefault="00D0462A" w:rsidP="0087358B">
            <w:pPr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расчеты по доходам</w:t>
            </w:r>
          </w:p>
        </w:tc>
        <w:tc>
          <w:tcPr>
            <w:tcW w:w="1140" w:type="dxa"/>
            <w:vAlign w:val="center"/>
            <w:hideMark/>
          </w:tcPr>
          <w:p w14:paraId="49C8A852" w14:textId="77777777" w:rsidR="00D0462A" w:rsidRPr="00CE0DB8" w:rsidRDefault="00D0462A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3707,7</w:t>
            </w:r>
          </w:p>
        </w:tc>
        <w:tc>
          <w:tcPr>
            <w:tcW w:w="1140" w:type="dxa"/>
            <w:vAlign w:val="center"/>
            <w:hideMark/>
          </w:tcPr>
          <w:p w14:paraId="31EE1B85" w14:textId="77777777" w:rsidR="00D0462A" w:rsidRPr="00CE0DB8" w:rsidRDefault="00D0462A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107360,7</w:t>
            </w:r>
          </w:p>
        </w:tc>
        <w:tc>
          <w:tcPr>
            <w:tcW w:w="1122" w:type="dxa"/>
            <w:vAlign w:val="center"/>
            <w:hideMark/>
          </w:tcPr>
          <w:p w14:paraId="16A28CF8" w14:textId="77777777" w:rsidR="00D0462A" w:rsidRPr="00CE0DB8" w:rsidRDefault="00D0462A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+103653</w:t>
            </w:r>
          </w:p>
        </w:tc>
        <w:tc>
          <w:tcPr>
            <w:tcW w:w="1829" w:type="dxa"/>
            <w:vAlign w:val="center"/>
            <w:hideMark/>
          </w:tcPr>
          <w:p w14:paraId="7506BCCA" w14:textId="77777777" w:rsidR="00D0462A" w:rsidRPr="00CE0DB8" w:rsidRDefault="00D0462A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в 29 раз</w:t>
            </w:r>
          </w:p>
        </w:tc>
      </w:tr>
      <w:tr w:rsidR="00D0462A" w:rsidRPr="00CE0DB8" w14:paraId="543ABF6A" w14:textId="77777777" w:rsidTr="0087358B">
        <w:trPr>
          <w:jc w:val="center"/>
        </w:trPr>
        <w:tc>
          <w:tcPr>
            <w:tcW w:w="4426" w:type="dxa"/>
            <w:vAlign w:val="center"/>
            <w:hideMark/>
          </w:tcPr>
          <w:p w14:paraId="02DED3E2" w14:textId="77777777" w:rsidR="00D0462A" w:rsidRPr="00CE0DB8" w:rsidRDefault="00D0462A" w:rsidP="0087358B">
            <w:pPr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расчеты по выданным авансам</w:t>
            </w:r>
          </w:p>
        </w:tc>
        <w:tc>
          <w:tcPr>
            <w:tcW w:w="1140" w:type="dxa"/>
            <w:vAlign w:val="center"/>
            <w:hideMark/>
          </w:tcPr>
          <w:p w14:paraId="3973440B" w14:textId="77777777" w:rsidR="00D0462A" w:rsidRPr="00CE0DB8" w:rsidRDefault="00D0462A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9,3</w:t>
            </w:r>
          </w:p>
        </w:tc>
        <w:tc>
          <w:tcPr>
            <w:tcW w:w="1140" w:type="dxa"/>
            <w:vAlign w:val="center"/>
            <w:hideMark/>
          </w:tcPr>
          <w:p w14:paraId="160623A8" w14:textId="77777777" w:rsidR="00D0462A" w:rsidRPr="00CE0DB8" w:rsidRDefault="00D0462A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15385,3</w:t>
            </w:r>
          </w:p>
        </w:tc>
        <w:tc>
          <w:tcPr>
            <w:tcW w:w="1122" w:type="dxa"/>
            <w:vAlign w:val="center"/>
            <w:hideMark/>
          </w:tcPr>
          <w:p w14:paraId="04929D5B" w14:textId="77777777" w:rsidR="00D0462A" w:rsidRPr="00CE0DB8" w:rsidRDefault="00D0462A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+15376</w:t>
            </w:r>
          </w:p>
        </w:tc>
        <w:tc>
          <w:tcPr>
            <w:tcW w:w="1829" w:type="dxa"/>
            <w:vAlign w:val="center"/>
            <w:hideMark/>
          </w:tcPr>
          <w:p w14:paraId="07AB5DD1" w14:textId="77777777" w:rsidR="00D0462A" w:rsidRPr="00CE0DB8" w:rsidRDefault="00D0462A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в 1654 раза</w:t>
            </w:r>
          </w:p>
        </w:tc>
      </w:tr>
      <w:tr w:rsidR="00D0462A" w:rsidRPr="00CE0DB8" w14:paraId="57DE119D" w14:textId="77777777" w:rsidTr="0087358B">
        <w:trPr>
          <w:jc w:val="center"/>
        </w:trPr>
        <w:tc>
          <w:tcPr>
            <w:tcW w:w="4426" w:type="dxa"/>
            <w:vAlign w:val="center"/>
            <w:hideMark/>
          </w:tcPr>
          <w:p w14:paraId="6CCE30F4" w14:textId="77777777" w:rsidR="00D0462A" w:rsidRPr="00CE0DB8" w:rsidRDefault="00D0462A" w:rsidP="0087358B">
            <w:pPr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расчеты по платежам в бюджеты</w:t>
            </w:r>
          </w:p>
        </w:tc>
        <w:tc>
          <w:tcPr>
            <w:tcW w:w="1140" w:type="dxa"/>
            <w:vAlign w:val="center"/>
            <w:hideMark/>
          </w:tcPr>
          <w:p w14:paraId="3D38EC9D" w14:textId="77777777" w:rsidR="00D0462A" w:rsidRPr="00CE0DB8" w:rsidRDefault="00D0462A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35,0</w:t>
            </w:r>
          </w:p>
        </w:tc>
        <w:tc>
          <w:tcPr>
            <w:tcW w:w="1140" w:type="dxa"/>
            <w:vAlign w:val="center"/>
            <w:hideMark/>
          </w:tcPr>
          <w:p w14:paraId="4BDA1322" w14:textId="77777777" w:rsidR="00D0462A" w:rsidRPr="00CE0DB8" w:rsidRDefault="00D0462A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0</w:t>
            </w:r>
          </w:p>
        </w:tc>
        <w:tc>
          <w:tcPr>
            <w:tcW w:w="1122" w:type="dxa"/>
            <w:vAlign w:val="center"/>
            <w:hideMark/>
          </w:tcPr>
          <w:p w14:paraId="081CDFDD" w14:textId="77777777" w:rsidR="00D0462A" w:rsidRPr="00CE0DB8" w:rsidRDefault="00D0462A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-35,0</w:t>
            </w:r>
          </w:p>
        </w:tc>
        <w:tc>
          <w:tcPr>
            <w:tcW w:w="1829" w:type="dxa"/>
            <w:vAlign w:val="center"/>
            <w:hideMark/>
          </w:tcPr>
          <w:p w14:paraId="56C4D2F6" w14:textId="77777777" w:rsidR="00D0462A" w:rsidRPr="00CE0DB8" w:rsidRDefault="00D0462A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-100 %</w:t>
            </w:r>
          </w:p>
        </w:tc>
      </w:tr>
      <w:tr w:rsidR="00D0462A" w:rsidRPr="00CE0DB8" w14:paraId="370C0224" w14:textId="77777777" w:rsidTr="0087358B">
        <w:trPr>
          <w:jc w:val="center"/>
        </w:trPr>
        <w:tc>
          <w:tcPr>
            <w:tcW w:w="4426" w:type="dxa"/>
            <w:vAlign w:val="center"/>
            <w:hideMark/>
          </w:tcPr>
          <w:p w14:paraId="7D56A39A" w14:textId="77777777" w:rsidR="00D0462A" w:rsidRPr="00CE0DB8" w:rsidRDefault="00D0462A" w:rsidP="0087358B">
            <w:pPr>
              <w:rPr>
                <w:bCs/>
                <w:iCs/>
                <w:sz w:val="18"/>
                <w:szCs w:val="18"/>
              </w:rPr>
            </w:pPr>
            <w:r w:rsidRPr="00CE0DB8">
              <w:rPr>
                <w:bCs/>
                <w:iCs/>
                <w:sz w:val="18"/>
                <w:szCs w:val="18"/>
              </w:rPr>
              <w:t>расчеты по ущербу и иным доходам</w:t>
            </w:r>
          </w:p>
        </w:tc>
        <w:tc>
          <w:tcPr>
            <w:tcW w:w="1140" w:type="dxa"/>
            <w:vAlign w:val="center"/>
            <w:hideMark/>
          </w:tcPr>
          <w:p w14:paraId="7FCF368A" w14:textId="77777777" w:rsidR="00D0462A" w:rsidRPr="00CE0DB8" w:rsidRDefault="00D0462A" w:rsidP="0087358B">
            <w:pPr>
              <w:jc w:val="center"/>
              <w:rPr>
                <w:bCs/>
                <w:iCs/>
                <w:sz w:val="18"/>
                <w:szCs w:val="18"/>
              </w:rPr>
            </w:pPr>
            <w:r w:rsidRPr="00CE0DB8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140" w:type="dxa"/>
            <w:vAlign w:val="center"/>
            <w:hideMark/>
          </w:tcPr>
          <w:p w14:paraId="4B6C460A" w14:textId="77777777" w:rsidR="00D0462A" w:rsidRPr="00CE0DB8" w:rsidRDefault="00D0462A" w:rsidP="0087358B">
            <w:pPr>
              <w:jc w:val="center"/>
              <w:rPr>
                <w:bCs/>
                <w:iCs/>
                <w:sz w:val="18"/>
                <w:szCs w:val="18"/>
              </w:rPr>
            </w:pPr>
            <w:r w:rsidRPr="00CE0DB8">
              <w:rPr>
                <w:bCs/>
                <w:iCs/>
                <w:sz w:val="18"/>
                <w:szCs w:val="18"/>
              </w:rPr>
              <w:t>2,8</w:t>
            </w:r>
          </w:p>
        </w:tc>
        <w:tc>
          <w:tcPr>
            <w:tcW w:w="1122" w:type="dxa"/>
            <w:vAlign w:val="center"/>
            <w:hideMark/>
          </w:tcPr>
          <w:p w14:paraId="13C7DBDB" w14:textId="77777777" w:rsidR="00D0462A" w:rsidRPr="00CE0DB8" w:rsidRDefault="00D0462A" w:rsidP="0087358B">
            <w:pPr>
              <w:jc w:val="center"/>
              <w:rPr>
                <w:bCs/>
                <w:iCs/>
                <w:sz w:val="18"/>
                <w:szCs w:val="18"/>
              </w:rPr>
            </w:pPr>
            <w:r w:rsidRPr="00CE0DB8">
              <w:rPr>
                <w:bCs/>
                <w:iCs/>
                <w:sz w:val="18"/>
                <w:szCs w:val="18"/>
              </w:rPr>
              <w:t>+2,8</w:t>
            </w:r>
          </w:p>
        </w:tc>
        <w:tc>
          <w:tcPr>
            <w:tcW w:w="1829" w:type="dxa"/>
            <w:vAlign w:val="center"/>
            <w:hideMark/>
          </w:tcPr>
          <w:p w14:paraId="754A1B73" w14:textId="77777777" w:rsidR="00D0462A" w:rsidRPr="00CE0DB8" w:rsidRDefault="00D0462A" w:rsidP="0087358B">
            <w:pPr>
              <w:jc w:val="center"/>
              <w:rPr>
                <w:bCs/>
                <w:iCs/>
                <w:sz w:val="18"/>
                <w:szCs w:val="18"/>
              </w:rPr>
            </w:pPr>
            <w:r w:rsidRPr="00CE0DB8">
              <w:rPr>
                <w:bCs/>
                <w:iCs/>
                <w:sz w:val="18"/>
                <w:szCs w:val="18"/>
              </w:rPr>
              <w:t>100 %</w:t>
            </w:r>
          </w:p>
        </w:tc>
      </w:tr>
      <w:tr w:rsidR="00D0462A" w:rsidRPr="00CE0DB8" w14:paraId="1A28BB71" w14:textId="77777777" w:rsidTr="0087358B">
        <w:trPr>
          <w:jc w:val="center"/>
        </w:trPr>
        <w:tc>
          <w:tcPr>
            <w:tcW w:w="4426" w:type="dxa"/>
            <w:vAlign w:val="center"/>
            <w:hideMark/>
          </w:tcPr>
          <w:p w14:paraId="62BAE030" w14:textId="77777777" w:rsidR="00D0462A" w:rsidRPr="00CE0DB8" w:rsidRDefault="00D0462A" w:rsidP="0087358B">
            <w:pPr>
              <w:rPr>
                <w:b/>
                <w:bCs/>
                <w:iCs/>
                <w:sz w:val="18"/>
                <w:szCs w:val="18"/>
              </w:rPr>
            </w:pPr>
            <w:r w:rsidRPr="00CE0DB8">
              <w:rPr>
                <w:b/>
                <w:bCs/>
                <w:iCs/>
                <w:sz w:val="18"/>
                <w:szCs w:val="18"/>
              </w:rPr>
              <w:t xml:space="preserve">Кредит. задолженность ИТОГО: </w:t>
            </w:r>
            <w:r w:rsidRPr="00CE0DB8">
              <w:rPr>
                <w:b/>
                <w:sz w:val="18"/>
                <w:szCs w:val="18"/>
              </w:rPr>
              <w:t>в том числе:</w:t>
            </w:r>
          </w:p>
        </w:tc>
        <w:tc>
          <w:tcPr>
            <w:tcW w:w="1140" w:type="dxa"/>
            <w:vAlign w:val="center"/>
            <w:hideMark/>
          </w:tcPr>
          <w:p w14:paraId="36378BB9" w14:textId="77777777" w:rsidR="00D0462A" w:rsidRPr="00CE0DB8" w:rsidRDefault="00D0462A" w:rsidP="0087358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CE0DB8">
              <w:rPr>
                <w:b/>
                <w:bCs/>
                <w:iCs/>
                <w:sz w:val="18"/>
                <w:szCs w:val="18"/>
              </w:rPr>
              <w:t>31,1</w:t>
            </w:r>
          </w:p>
        </w:tc>
        <w:tc>
          <w:tcPr>
            <w:tcW w:w="1140" w:type="dxa"/>
            <w:hideMark/>
          </w:tcPr>
          <w:p w14:paraId="0BF7FC78" w14:textId="77777777" w:rsidR="00D0462A" w:rsidRPr="00CE0DB8" w:rsidRDefault="00D0462A" w:rsidP="0087358B">
            <w:pPr>
              <w:jc w:val="center"/>
            </w:pPr>
            <w:r w:rsidRPr="00CE0DB8">
              <w:rPr>
                <w:sz w:val="18"/>
                <w:szCs w:val="18"/>
              </w:rPr>
              <w:t>0</w:t>
            </w:r>
          </w:p>
        </w:tc>
        <w:tc>
          <w:tcPr>
            <w:tcW w:w="1122" w:type="dxa"/>
            <w:vAlign w:val="center"/>
            <w:hideMark/>
          </w:tcPr>
          <w:p w14:paraId="439D4D47" w14:textId="77777777" w:rsidR="00D0462A" w:rsidRPr="00CE0DB8" w:rsidRDefault="00D0462A" w:rsidP="0087358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CE0DB8">
              <w:rPr>
                <w:b/>
                <w:bCs/>
                <w:iCs/>
                <w:sz w:val="18"/>
                <w:szCs w:val="18"/>
              </w:rPr>
              <w:t>-31,1</w:t>
            </w:r>
          </w:p>
        </w:tc>
        <w:tc>
          <w:tcPr>
            <w:tcW w:w="1829" w:type="dxa"/>
            <w:vAlign w:val="center"/>
            <w:hideMark/>
          </w:tcPr>
          <w:p w14:paraId="04AA73CA" w14:textId="77777777" w:rsidR="00D0462A" w:rsidRPr="00CE0DB8" w:rsidRDefault="00D0462A" w:rsidP="0087358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CE0DB8">
              <w:rPr>
                <w:b/>
                <w:bCs/>
                <w:iCs/>
                <w:sz w:val="18"/>
                <w:szCs w:val="18"/>
              </w:rPr>
              <w:t>-100%</w:t>
            </w:r>
          </w:p>
        </w:tc>
      </w:tr>
      <w:tr w:rsidR="00D0462A" w:rsidRPr="00CE0DB8" w14:paraId="637AA581" w14:textId="77777777" w:rsidTr="0087358B">
        <w:trPr>
          <w:jc w:val="center"/>
        </w:trPr>
        <w:tc>
          <w:tcPr>
            <w:tcW w:w="4426" w:type="dxa"/>
            <w:vAlign w:val="center"/>
            <w:hideMark/>
          </w:tcPr>
          <w:p w14:paraId="27AB943A" w14:textId="77777777" w:rsidR="00D0462A" w:rsidRPr="00CE0DB8" w:rsidRDefault="00D0462A" w:rsidP="0087358B">
            <w:pPr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расчеты по принятым обязательствам</w:t>
            </w:r>
          </w:p>
        </w:tc>
        <w:tc>
          <w:tcPr>
            <w:tcW w:w="1140" w:type="dxa"/>
            <w:vAlign w:val="center"/>
            <w:hideMark/>
          </w:tcPr>
          <w:p w14:paraId="7C62350E" w14:textId="77777777" w:rsidR="00D0462A" w:rsidRPr="00CE0DB8" w:rsidRDefault="00D0462A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31,1</w:t>
            </w:r>
          </w:p>
        </w:tc>
        <w:tc>
          <w:tcPr>
            <w:tcW w:w="1140" w:type="dxa"/>
            <w:hideMark/>
          </w:tcPr>
          <w:p w14:paraId="5E9A5EEF" w14:textId="77777777" w:rsidR="00D0462A" w:rsidRPr="00CE0DB8" w:rsidRDefault="00D0462A" w:rsidP="0087358B">
            <w:pPr>
              <w:jc w:val="center"/>
            </w:pPr>
            <w:r w:rsidRPr="00CE0DB8">
              <w:rPr>
                <w:sz w:val="18"/>
                <w:szCs w:val="18"/>
              </w:rPr>
              <w:t>0</w:t>
            </w:r>
          </w:p>
        </w:tc>
        <w:tc>
          <w:tcPr>
            <w:tcW w:w="1122" w:type="dxa"/>
            <w:vAlign w:val="center"/>
            <w:hideMark/>
          </w:tcPr>
          <w:p w14:paraId="6338D29C" w14:textId="77777777" w:rsidR="00D0462A" w:rsidRPr="00CE0DB8" w:rsidRDefault="00D0462A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-31,1</w:t>
            </w:r>
          </w:p>
        </w:tc>
        <w:tc>
          <w:tcPr>
            <w:tcW w:w="1829" w:type="dxa"/>
            <w:vAlign w:val="center"/>
            <w:hideMark/>
          </w:tcPr>
          <w:p w14:paraId="15F49812" w14:textId="77777777" w:rsidR="00D0462A" w:rsidRPr="00CE0DB8" w:rsidRDefault="00D0462A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-100%</w:t>
            </w:r>
          </w:p>
        </w:tc>
      </w:tr>
    </w:tbl>
    <w:p w14:paraId="732C4431" w14:textId="77777777" w:rsidR="006D4510" w:rsidRPr="00CE0DB8" w:rsidRDefault="006D4510" w:rsidP="006D4510">
      <w:pPr>
        <w:ind w:firstLine="720"/>
        <w:jc w:val="both"/>
      </w:pPr>
    </w:p>
    <w:p w14:paraId="0440EF16" w14:textId="77777777" w:rsidR="00904F47" w:rsidRPr="00CE0DB8" w:rsidRDefault="00904F47" w:rsidP="00904F47">
      <w:pPr>
        <w:ind w:firstLine="720"/>
        <w:jc w:val="both"/>
      </w:pPr>
      <w:r w:rsidRPr="00CE0DB8">
        <w:t>Дебиторская задолженность в течение 2020 года увеличилась на 118 996,8 тыс. руб., или в 32,7 раза, в основном</w:t>
      </w:r>
      <w:r w:rsidR="0077532A" w:rsidRPr="00CE0DB8">
        <w:t>,</w:t>
      </w:r>
      <w:r w:rsidRPr="00CE0DB8">
        <w:t xml:space="preserve"> за счет увеличения задолженности по доходам на плановый период 2021-2023 годов по субсидии на «Увековечение памяти погибших при защите Отечества на 2019 - 2024 годы» на 104 436,8 тыс. руб. и выданным авансам на 15 376 тыс. рублей.</w:t>
      </w:r>
    </w:p>
    <w:p w14:paraId="4A20C608" w14:textId="1E766C26" w:rsidR="00D409D8" w:rsidRPr="00CE0DB8" w:rsidRDefault="00D409D8" w:rsidP="00904F47">
      <w:pPr>
        <w:ind w:firstLine="720"/>
        <w:jc w:val="both"/>
      </w:pPr>
      <w:r w:rsidRPr="00CE0DB8">
        <w:t>Дебиторская задолженность (без учета доходов будущих периодов</w:t>
      </w:r>
      <w:r w:rsidR="008353DC" w:rsidRPr="00CE0DB8">
        <w:t xml:space="preserve"> и авансов</w:t>
      </w:r>
      <w:r w:rsidRPr="00CE0DB8">
        <w:t xml:space="preserve">) на конец 2020 года составила 1 015,3 тыс. руб., в т.ч. сложившаяся в связи </w:t>
      </w:r>
      <w:proofErr w:type="spellStart"/>
      <w:r w:rsidRPr="00CE0DB8">
        <w:t>неперечислением</w:t>
      </w:r>
      <w:proofErr w:type="spellEnd"/>
      <w:r w:rsidRPr="00CE0DB8">
        <w:t xml:space="preserve"> в добровольном порядке административных штрафов </w:t>
      </w:r>
      <w:r w:rsidR="00BE69EF" w:rsidRPr="00CE0DB8">
        <w:t xml:space="preserve">(просроченная) </w:t>
      </w:r>
      <w:r w:rsidRPr="00CE0DB8">
        <w:t>в сумме 907,5 тыс. руб. (Комитетом проводится работа по ее взысканию</w:t>
      </w:r>
      <w:r w:rsidR="00615446" w:rsidRPr="00CE0DB8">
        <w:t xml:space="preserve"> путем направления писем в адрес нарушителей законодательства и службы судебных приставов</w:t>
      </w:r>
      <w:r w:rsidRPr="00CE0DB8">
        <w:t xml:space="preserve">), и неиспользованием остатка субсидии на иные цели ГБУ ВО НПЦ в сумме 107,8 тыс. руб., подлежащего </w:t>
      </w:r>
      <w:r w:rsidR="008758AF" w:rsidRPr="00CE0DB8">
        <w:t>возврату</w:t>
      </w:r>
      <w:r w:rsidRPr="00CE0DB8">
        <w:t xml:space="preserve"> в бюджет в 2021 году.</w:t>
      </w:r>
    </w:p>
    <w:p w14:paraId="6659ECBB" w14:textId="77777777" w:rsidR="00273BA2" w:rsidRPr="00CE0DB8" w:rsidRDefault="00273BA2" w:rsidP="00273BA2">
      <w:pPr>
        <w:ind w:firstLine="709"/>
        <w:jc w:val="both"/>
      </w:pPr>
      <w:r w:rsidRPr="00CE0DB8">
        <w:t>Доля дебиторской задолженности по доходам на 31.12.2020 относительно кассового исполнения по доходам в отчетном году (без учета доходов будущих периодов) составила 34,5 % (</w:t>
      </w:r>
      <w:bookmarkStart w:id="0" w:name="_Hlk66189059"/>
      <w:r w:rsidRPr="00CE0DB8">
        <w:t xml:space="preserve">1 015,3 тыс. руб. </w:t>
      </w:r>
      <w:bookmarkEnd w:id="0"/>
      <w:r w:rsidRPr="00CE0DB8">
        <w:t>/</w:t>
      </w:r>
      <w:r w:rsidRPr="00CE0DB8">
        <w:rPr>
          <w:color w:val="000000"/>
        </w:rPr>
        <w:t xml:space="preserve"> 2 946,3</w:t>
      </w:r>
      <w:r w:rsidRPr="00CE0DB8">
        <w:t> тыс. руб. х 100 %), что более 10 % и в соответствии со Стандартом финансового контроля КСП свидетельствует о неудовлетворительной работе Комитета по администрированию доходов.</w:t>
      </w:r>
    </w:p>
    <w:p w14:paraId="22DBBB3F" w14:textId="77777777" w:rsidR="006D4510" w:rsidRPr="00CE0DB8" w:rsidRDefault="006D4510" w:rsidP="006D4510">
      <w:pPr>
        <w:ind w:firstLine="720"/>
        <w:jc w:val="both"/>
      </w:pPr>
      <w:r w:rsidRPr="00CE0DB8">
        <w:t>Кредиторская задолженность за 2020 год по субсидии подведомственному учреждению ГБУ ВО НПЦ</w:t>
      </w:r>
      <w:r w:rsidR="003C457F" w:rsidRPr="00CE0DB8">
        <w:t xml:space="preserve"> уменьшилась на 31,1 тыс. руб. и </w:t>
      </w:r>
      <w:r w:rsidR="0077532A" w:rsidRPr="00CE0DB8">
        <w:t>на конец 2020 года отсутствует</w:t>
      </w:r>
      <w:r w:rsidR="003C457F" w:rsidRPr="00CE0DB8">
        <w:t>.</w:t>
      </w:r>
    </w:p>
    <w:p w14:paraId="62AB1648" w14:textId="77777777" w:rsidR="003C457F" w:rsidRPr="00CE0DB8" w:rsidRDefault="003C457F" w:rsidP="003C457F">
      <w:pPr>
        <w:rPr>
          <w:b/>
        </w:rPr>
      </w:pPr>
    </w:p>
    <w:p w14:paraId="5882C36A" w14:textId="77777777" w:rsidR="003147BD" w:rsidRPr="00CE0DB8" w:rsidRDefault="003147BD" w:rsidP="002C247E">
      <w:pPr>
        <w:jc w:val="center"/>
        <w:rPr>
          <w:b/>
        </w:rPr>
      </w:pPr>
      <w:r w:rsidRPr="00CE0DB8">
        <w:rPr>
          <w:b/>
        </w:rPr>
        <w:t>Анализ достижения поставленных целей и ожидаемых результатов</w:t>
      </w:r>
    </w:p>
    <w:p w14:paraId="2B8F8BA1" w14:textId="77777777" w:rsidR="002C247E" w:rsidRPr="00CE0DB8" w:rsidRDefault="002C247E" w:rsidP="002C247E">
      <w:pPr>
        <w:jc w:val="center"/>
        <w:rPr>
          <w:b/>
          <w:i/>
        </w:rPr>
      </w:pPr>
    </w:p>
    <w:p w14:paraId="3CEC7C53" w14:textId="77777777" w:rsidR="0012100E" w:rsidRPr="00CE0DB8" w:rsidRDefault="00620D6E" w:rsidP="002C247E">
      <w:pPr>
        <w:jc w:val="center"/>
        <w:rPr>
          <w:b/>
          <w:i/>
        </w:rPr>
      </w:pPr>
      <w:r w:rsidRPr="00CE0DB8">
        <w:rPr>
          <w:b/>
          <w:i/>
        </w:rPr>
        <w:t>Г</w:t>
      </w:r>
      <w:r w:rsidR="0012100E" w:rsidRPr="00CE0DB8">
        <w:rPr>
          <w:b/>
          <w:i/>
        </w:rPr>
        <w:t>осударственн</w:t>
      </w:r>
      <w:r w:rsidR="008D0BC1" w:rsidRPr="00CE0DB8">
        <w:rPr>
          <w:b/>
          <w:i/>
        </w:rPr>
        <w:t>ая</w:t>
      </w:r>
      <w:r w:rsidR="0012100E" w:rsidRPr="00CE0DB8">
        <w:rPr>
          <w:b/>
          <w:i/>
        </w:rPr>
        <w:t xml:space="preserve"> программ</w:t>
      </w:r>
      <w:r w:rsidR="008D0BC1" w:rsidRPr="00CE0DB8">
        <w:rPr>
          <w:b/>
          <w:i/>
        </w:rPr>
        <w:t>а</w:t>
      </w:r>
    </w:p>
    <w:p w14:paraId="576A5803" w14:textId="77777777" w:rsidR="00C71D61" w:rsidRPr="00CE0DB8" w:rsidRDefault="00C71D61" w:rsidP="00C71D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E0DB8">
        <w:rPr>
          <w:rFonts w:eastAsiaTheme="minorHAnsi"/>
          <w:lang w:eastAsia="en-US"/>
        </w:rPr>
        <w:t xml:space="preserve">Комитет в 2020 году являлся соисполнителем </w:t>
      </w:r>
      <w:r w:rsidRPr="00CE0DB8">
        <w:t>государственной программ</w:t>
      </w:r>
      <w:r w:rsidR="005879D6" w:rsidRPr="00CE0DB8">
        <w:t>е</w:t>
      </w:r>
      <w:r w:rsidRPr="00CE0DB8">
        <w:t xml:space="preserve"> Волгоградской области «Развитие культуры </w:t>
      </w:r>
      <w:r w:rsidRPr="00CE0DB8">
        <w:rPr>
          <w:rFonts w:eastAsiaTheme="minorHAnsi"/>
          <w:lang w:eastAsia="en-US"/>
        </w:rPr>
        <w:t xml:space="preserve">в </w:t>
      </w:r>
      <w:r w:rsidRPr="00CE0DB8">
        <w:t>Волгоградской области», утвержденной постановлением Администрации Волгоградской области от 08.05.2015 № 217-п (далее - Госпрограмма)</w:t>
      </w:r>
      <w:r w:rsidRPr="00CE0DB8">
        <w:rPr>
          <w:rFonts w:eastAsiaTheme="minorHAnsi"/>
          <w:lang w:eastAsia="en-US"/>
        </w:rPr>
        <w:t>.</w:t>
      </w:r>
    </w:p>
    <w:p w14:paraId="25BF5F75" w14:textId="77777777" w:rsidR="00C71D61" w:rsidRPr="00CE0DB8" w:rsidRDefault="00C71D61" w:rsidP="002165EE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E0DB8">
        <w:rPr>
          <w:rFonts w:eastAsiaTheme="minorHAnsi"/>
          <w:lang w:eastAsia="en-US"/>
        </w:rPr>
        <w:t>За счёт областного бюджета в 2020 году Госпрограммой Комитету предусмотрено финансирование в сумме 67 208,1 тыс. руб. по подпрограмме «Сохранение объектов культурного и исторического наследия, обеспечение доступа населения к культурным ценностям и информации».</w:t>
      </w:r>
    </w:p>
    <w:p w14:paraId="39BDC25A" w14:textId="569966C6" w:rsidR="00A8358A" w:rsidRPr="00CE0DB8" w:rsidRDefault="00A8358A" w:rsidP="002165EE">
      <w:pPr>
        <w:autoSpaceDE w:val="0"/>
        <w:autoSpaceDN w:val="0"/>
        <w:adjustRightInd w:val="0"/>
        <w:ind w:firstLine="708"/>
        <w:jc w:val="both"/>
      </w:pPr>
      <w:r w:rsidRPr="00CE0DB8">
        <w:t>Б</w:t>
      </w:r>
      <w:r w:rsidR="003147BD" w:rsidRPr="00CE0DB8">
        <w:t>юджетные назначе</w:t>
      </w:r>
      <w:r w:rsidR="00082D75" w:rsidRPr="00CE0DB8">
        <w:t xml:space="preserve">ния </w:t>
      </w:r>
      <w:r w:rsidR="00562132" w:rsidRPr="00CE0DB8">
        <w:t xml:space="preserve">по бюджетной росписи </w:t>
      </w:r>
      <w:r w:rsidR="00082D75" w:rsidRPr="00CE0DB8">
        <w:t xml:space="preserve">утверждены в </w:t>
      </w:r>
      <w:r w:rsidR="00185B7A" w:rsidRPr="00CE0DB8">
        <w:t>размере</w:t>
      </w:r>
      <w:r w:rsidR="00DE0097" w:rsidRPr="00CE0DB8">
        <w:t xml:space="preserve"> </w:t>
      </w:r>
      <w:r w:rsidR="00C71D61" w:rsidRPr="00CE0DB8">
        <w:rPr>
          <w:rFonts w:eastAsiaTheme="minorHAnsi"/>
          <w:bCs/>
          <w:lang w:eastAsia="en-US"/>
        </w:rPr>
        <w:t>55 720,7 </w:t>
      </w:r>
      <w:r w:rsidR="003147BD" w:rsidRPr="00CE0DB8">
        <w:t>тыс.</w:t>
      </w:r>
      <w:r w:rsidR="00C71D61" w:rsidRPr="00CE0DB8">
        <w:t> </w:t>
      </w:r>
      <w:r w:rsidR="003147BD" w:rsidRPr="00CE0DB8">
        <w:t xml:space="preserve">руб., </w:t>
      </w:r>
      <w:r w:rsidRPr="00CE0DB8">
        <w:t xml:space="preserve">или на </w:t>
      </w:r>
      <w:r w:rsidR="00C71D61" w:rsidRPr="00CE0DB8">
        <w:t>11 487,4 </w:t>
      </w:r>
      <w:r w:rsidRPr="00CE0DB8">
        <w:t>тыс.</w:t>
      </w:r>
      <w:r w:rsidR="00C71D61" w:rsidRPr="00CE0DB8">
        <w:t> </w:t>
      </w:r>
      <w:r w:rsidRPr="00CE0DB8">
        <w:t>руб. (</w:t>
      </w:r>
      <w:r w:rsidR="00615446" w:rsidRPr="00CE0DB8">
        <w:t>17</w:t>
      </w:r>
      <w:r w:rsidR="00C71D61" w:rsidRPr="00CE0DB8">
        <w:t>,</w:t>
      </w:r>
      <w:r w:rsidR="00615446" w:rsidRPr="00CE0DB8">
        <w:t>1</w:t>
      </w:r>
      <w:r w:rsidR="00C71D61" w:rsidRPr="00CE0DB8">
        <w:t> %</w:t>
      </w:r>
      <w:r w:rsidRPr="00CE0DB8">
        <w:t>) меньше</w:t>
      </w:r>
      <w:r w:rsidR="000E5C17" w:rsidRPr="00CE0DB8">
        <w:t>,</w:t>
      </w:r>
      <w:r w:rsidRPr="00CE0DB8">
        <w:t xml:space="preserve"> чем предусмотрено Законом об об</w:t>
      </w:r>
      <w:r w:rsidR="00622531" w:rsidRPr="00CE0DB8">
        <w:t>ластном бюджете и Госпрограммой</w:t>
      </w:r>
      <w:r w:rsidR="00814C7D" w:rsidRPr="00CE0DB8">
        <w:t xml:space="preserve"> (67 208,1 тыс. руб.)</w:t>
      </w:r>
      <w:r w:rsidRPr="00CE0DB8">
        <w:t>.</w:t>
      </w:r>
    </w:p>
    <w:p w14:paraId="3FD5CF09" w14:textId="77777777" w:rsidR="00A8358A" w:rsidRPr="00CE0DB8" w:rsidRDefault="00A8358A" w:rsidP="002165EE">
      <w:pPr>
        <w:autoSpaceDE w:val="0"/>
        <w:autoSpaceDN w:val="0"/>
        <w:adjustRightInd w:val="0"/>
        <w:ind w:firstLine="708"/>
        <w:jc w:val="both"/>
      </w:pPr>
      <w:r w:rsidRPr="00CE0DB8">
        <w:t>И</w:t>
      </w:r>
      <w:r w:rsidR="003147BD" w:rsidRPr="00CE0DB8">
        <w:t>сполнение кассо</w:t>
      </w:r>
      <w:r w:rsidR="00082D75" w:rsidRPr="00CE0DB8">
        <w:t xml:space="preserve">вых расходов составило </w:t>
      </w:r>
      <w:r w:rsidR="00C71D61" w:rsidRPr="00CE0DB8">
        <w:rPr>
          <w:rFonts w:eastAsiaTheme="minorHAnsi"/>
          <w:bCs/>
          <w:lang w:eastAsia="en-US"/>
        </w:rPr>
        <w:t>47 503,8 </w:t>
      </w:r>
      <w:r w:rsidR="00082D75" w:rsidRPr="00CE0DB8">
        <w:t xml:space="preserve">тыс. руб., или </w:t>
      </w:r>
      <w:r w:rsidR="00C71D61" w:rsidRPr="00CE0DB8">
        <w:t>85</w:t>
      </w:r>
      <w:r w:rsidR="00456000" w:rsidRPr="00CE0DB8">
        <w:t>,</w:t>
      </w:r>
      <w:r w:rsidR="00C71D61" w:rsidRPr="00CE0DB8">
        <w:t>3 </w:t>
      </w:r>
      <w:r w:rsidR="003147BD" w:rsidRPr="00CE0DB8">
        <w:t>% от бюджетных назначений</w:t>
      </w:r>
      <w:r w:rsidR="00185B7A" w:rsidRPr="00CE0DB8">
        <w:t xml:space="preserve">, </w:t>
      </w:r>
      <w:r w:rsidR="00150C64" w:rsidRPr="00CE0DB8">
        <w:t xml:space="preserve">неисполнение </w:t>
      </w:r>
      <w:r w:rsidR="00C71D61" w:rsidRPr="00CE0DB8">
        <w:t>–</w:t>
      </w:r>
      <w:r w:rsidR="00DE0097" w:rsidRPr="00CE0DB8">
        <w:t xml:space="preserve"> </w:t>
      </w:r>
      <w:r w:rsidR="00C71D61" w:rsidRPr="00CE0DB8">
        <w:t>8 216,9 </w:t>
      </w:r>
      <w:r w:rsidR="00150C64" w:rsidRPr="00CE0DB8">
        <w:t>тыс.</w:t>
      </w:r>
      <w:r w:rsidR="00C71D61" w:rsidRPr="00CE0DB8">
        <w:t> </w:t>
      </w:r>
      <w:r w:rsidR="00150C64" w:rsidRPr="00CE0DB8">
        <w:t xml:space="preserve">руб., </w:t>
      </w:r>
      <w:r w:rsidR="00185B7A" w:rsidRPr="00CE0DB8">
        <w:t>что обусловлено</w:t>
      </w:r>
      <w:r w:rsidR="00DE0097" w:rsidRPr="00CE0DB8">
        <w:t xml:space="preserve"> экономией бюджетных средств при проведении ГБУ ВО НПЦ конкурентных процедур для обеспечения государственных нужд.</w:t>
      </w:r>
    </w:p>
    <w:p w14:paraId="08746C08" w14:textId="77777777" w:rsidR="00EE4B8A" w:rsidRPr="00CE0DB8" w:rsidRDefault="00AC1B77" w:rsidP="002165EE">
      <w:pPr>
        <w:autoSpaceDE w:val="0"/>
        <w:autoSpaceDN w:val="0"/>
        <w:adjustRightInd w:val="0"/>
        <w:ind w:firstLine="708"/>
        <w:jc w:val="both"/>
        <w:rPr>
          <w:color w:val="0000CC"/>
        </w:rPr>
      </w:pPr>
      <w:r w:rsidRPr="00CE0DB8">
        <w:t xml:space="preserve">В рамках подпрограммы осуществлялась реализация 1 мероприятия </w:t>
      </w:r>
      <w:r w:rsidR="000E5C17" w:rsidRPr="00CE0DB8">
        <w:t xml:space="preserve">- </w:t>
      </w:r>
      <w:r w:rsidRPr="00CE0DB8">
        <w:t xml:space="preserve">субсидирование на финансовое обеспечение государственного задания на оказание государственных услуг (выполнение работ) и на иные цели ГБУ ВО НПЦ. </w:t>
      </w:r>
      <w:r w:rsidR="006F114D" w:rsidRPr="00CE0DB8">
        <w:t xml:space="preserve">Достижение непосредственных результатов реализации мероприятия при выполнении показателей государственного задания и использования субсидии на иные цели отражено </w:t>
      </w:r>
      <w:r w:rsidR="006F114D" w:rsidRPr="00CE0DB8">
        <w:rPr>
          <w:color w:val="0000CC"/>
        </w:rPr>
        <w:t xml:space="preserve">в </w:t>
      </w:r>
      <w:r w:rsidR="00EE4B8A" w:rsidRPr="00CE0DB8">
        <w:rPr>
          <w:color w:val="0000CC"/>
        </w:rPr>
        <w:t xml:space="preserve">приложении </w:t>
      </w:r>
      <w:r w:rsidR="006F114D" w:rsidRPr="00CE0DB8">
        <w:rPr>
          <w:color w:val="0000CC"/>
        </w:rPr>
        <w:t>№</w:t>
      </w:r>
      <w:r w:rsidR="00ED20E9" w:rsidRPr="00CE0DB8">
        <w:rPr>
          <w:color w:val="0000CC"/>
        </w:rPr>
        <w:t> </w:t>
      </w:r>
      <w:r w:rsidR="00EE4B8A" w:rsidRPr="00CE0DB8">
        <w:rPr>
          <w:color w:val="0000CC"/>
        </w:rPr>
        <w:t>3</w:t>
      </w:r>
      <w:r w:rsidR="00ED20E9" w:rsidRPr="00CE0DB8">
        <w:rPr>
          <w:color w:val="0000CC"/>
        </w:rPr>
        <w:t>.</w:t>
      </w:r>
    </w:p>
    <w:p w14:paraId="756127A0" w14:textId="77777777" w:rsidR="00ED20E9" w:rsidRPr="00CE0DB8" w:rsidRDefault="00ED20E9" w:rsidP="002165EE">
      <w:pPr>
        <w:ind w:firstLine="708"/>
        <w:jc w:val="both"/>
      </w:pPr>
      <w:r w:rsidRPr="00CE0DB8">
        <w:t xml:space="preserve">Как видно из </w:t>
      </w:r>
      <w:r w:rsidRPr="00CE0DB8">
        <w:rPr>
          <w:color w:val="1F497D" w:themeColor="text2"/>
        </w:rPr>
        <w:t>приложения № 3</w:t>
      </w:r>
      <w:r w:rsidRPr="00CE0DB8">
        <w:t xml:space="preserve"> из 5 непосредственных результатов</w:t>
      </w:r>
      <w:r w:rsidR="00562132" w:rsidRPr="00CE0DB8">
        <w:t>,</w:t>
      </w:r>
      <w:r w:rsidRPr="00CE0DB8">
        <w:t xml:space="preserve"> запланированных в рамках финансирования за счет субсидии на выполнение учреждением государственного задания</w:t>
      </w:r>
      <w:r w:rsidR="00562132" w:rsidRPr="00CE0DB8">
        <w:t>,</w:t>
      </w:r>
      <w:r w:rsidRPr="00CE0DB8">
        <w:t xml:space="preserve"> ГБУ ВО НПЦ в 2020 году достигнуто только 3 непосредственных результата, за счет субсидии на иные цели - 1 непосредственный результат из 5</w:t>
      </w:r>
      <w:r w:rsidR="00F3309D" w:rsidRPr="00CE0DB8">
        <w:t xml:space="preserve"> предусмотренных Программой</w:t>
      </w:r>
      <w:r w:rsidRPr="00CE0DB8">
        <w:t>.</w:t>
      </w:r>
    </w:p>
    <w:p w14:paraId="2B3A1239" w14:textId="77777777" w:rsidR="00ED20E9" w:rsidRPr="00CE0DB8" w:rsidRDefault="00ED20E9" w:rsidP="002165EE">
      <w:pPr>
        <w:ind w:firstLine="709"/>
        <w:jc w:val="both"/>
      </w:pPr>
      <w:r w:rsidRPr="00CE0DB8">
        <w:t>Неисполнение государственного задания сложилось в пределах допустимого отклонения (не более 5 процентов) в соответствии с п.</w:t>
      </w:r>
      <w:r w:rsidR="002165EE" w:rsidRPr="00CE0DB8">
        <w:t> </w:t>
      </w:r>
      <w:r w:rsidRPr="00CE0DB8">
        <w:t>3 П</w:t>
      </w:r>
      <w:r w:rsidRPr="00CE0DB8">
        <w:rPr>
          <w:rFonts w:eastAsiaTheme="minorHAnsi"/>
          <w:lang w:eastAsia="en-US"/>
        </w:rPr>
        <w:t xml:space="preserve">оложения о формировании государственного </w:t>
      </w:r>
      <w:r w:rsidRPr="00CE0DB8">
        <w:rPr>
          <w:rFonts w:eastAsiaTheme="minorHAnsi"/>
          <w:lang w:eastAsia="en-US"/>
        </w:rPr>
        <w:lastRenderedPageBreak/>
        <w:t xml:space="preserve">задания на оказание государственных услуг (выполнение работ) в отношении государственных учреждений Волгоградской области и финансовом обеспечении выполнения государственного задания, утвержденного </w:t>
      </w:r>
      <w:proofErr w:type="gramStart"/>
      <w:r w:rsidRPr="00CE0DB8">
        <w:rPr>
          <w:rFonts w:eastAsiaTheme="minorHAnsi"/>
          <w:lang w:eastAsia="en-US"/>
        </w:rPr>
        <w:t>постановлением</w:t>
      </w:r>
      <w:proofErr w:type="gramEnd"/>
      <w:r w:rsidRPr="00CE0DB8">
        <w:rPr>
          <w:rFonts w:eastAsiaTheme="minorHAnsi"/>
          <w:lang w:eastAsia="en-US"/>
        </w:rPr>
        <w:t xml:space="preserve"> Администрация Волгоградской области от 30.12.2015 № 818-п.</w:t>
      </w:r>
    </w:p>
    <w:p w14:paraId="6DD9DA2A" w14:textId="77777777" w:rsidR="00ED20E9" w:rsidRPr="00CE0DB8" w:rsidRDefault="00ED20E9" w:rsidP="002165EE">
      <w:pPr>
        <w:ind w:firstLine="709"/>
        <w:jc w:val="both"/>
      </w:pPr>
      <w:r w:rsidRPr="00CE0DB8">
        <w:t xml:space="preserve">При этом </w:t>
      </w:r>
      <w:r w:rsidR="00282ED0" w:rsidRPr="00CE0DB8">
        <w:t xml:space="preserve">только 23.12.2020 </w:t>
      </w:r>
      <w:r w:rsidRPr="00CE0DB8">
        <w:t xml:space="preserve">Комитетом в адрес ответственного исполнителя Госпрограммы – комитета культуры Волгоградской области </w:t>
      </w:r>
      <w:r w:rsidR="002F3185" w:rsidRPr="00CE0DB8">
        <w:t xml:space="preserve">(далее - </w:t>
      </w:r>
      <w:proofErr w:type="spellStart"/>
      <w:r w:rsidR="002F3185" w:rsidRPr="00CE0DB8">
        <w:t>Облкомкультуры</w:t>
      </w:r>
      <w:proofErr w:type="spellEnd"/>
      <w:r w:rsidR="002F3185" w:rsidRPr="00CE0DB8">
        <w:t xml:space="preserve">) </w:t>
      </w:r>
      <w:r w:rsidRPr="00CE0DB8">
        <w:t>направлено письмо с предложением внесения изменений в запланированные Комитету непосредственные результаты</w:t>
      </w:r>
      <w:r w:rsidR="002F3185" w:rsidRPr="00CE0DB8">
        <w:t xml:space="preserve"> и целевые показатели</w:t>
      </w:r>
      <w:r w:rsidRPr="00CE0DB8">
        <w:t>.</w:t>
      </w:r>
    </w:p>
    <w:p w14:paraId="599365B5" w14:textId="77777777" w:rsidR="0040486C" w:rsidRPr="00CE0DB8" w:rsidRDefault="0040486C" w:rsidP="0040486C">
      <w:pPr>
        <w:ind w:firstLine="680"/>
        <w:jc w:val="both"/>
        <w:rPr>
          <w:color w:val="000099"/>
        </w:rPr>
      </w:pPr>
      <w:r w:rsidRPr="00CE0DB8">
        <w:t xml:space="preserve">Информация о достижении </w:t>
      </w:r>
      <w:r w:rsidR="00427585" w:rsidRPr="00CE0DB8">
        <w:t xml:space="preserve">Комитетом </w:t>
      </w:r>
      <w:r w:rsidRPr="00CE0DB8">
        <w:t>значений целевых показателей Госпрограммы в 20</w:t>
      </w:r>
      <w:r w:rsidR="006839FB" w:rsidRPr="00CE0DB8">
        <w:t>20</w:t>
      </w:r>
      <w:r w:rsidRPr="00CE0DB8">
        <w:t xml:space="preserve"> году представлена </w:t>
      </w:r>
      <w:r w:rsidRPr="00CE0DB8">
        <w:rPr>
          <w:color w:val="000099"/>
        </w:rPr>
        <w:t>в таблице №</w:t>
      </w:r>
      <w:r w:rsidR="006839FB" w:rsidRPr="00CE0DB8">
        <w:rPr>
          <w:color w:val="000099"/>
        </w:rPr>
        <w:t> </w:t>
      </w:r>
      <w:r w:rsidR="00EE4B8A" w:rsidRPr="00CE0DB8">
        <w:rPr>
          <w:color w:val="000099"/>
        </w:rPr>
        <w:t>4</w:t>
      </w:r>
      <w:r w:rsidRPr="00CE0DB8">
        <w:rPr>
          <w:color w:val="000099"/>
        </w:rPr>
        <w:t>.</w:t>
      </w:r>
    </w:p>
    <w:p w14:paraId="06B1B2B0" w14:textId="77777777" w:rsidR="0040486C" w:rsidRPr="00CE0DB8" w:rsidRDefault="0040486C" w:rsidP="0040486C">
      <w:pPr>
        <w:ind w:firstLine="680"/>
        <w:jc w:val="right"/>
        <w:rPr>
          <w:color w:val="000099"/>
        </w:rPr>
      </w:pPr>
      <w:r w:rsidRPr="00CE0DB8">
        <w:rPr>
          <w:color w:val="000099"/>
        </w:rPr>
        <w:t>Таблица №</w:t>
      </w:r>
      <w:r w:rsidR="006839FB" w:rsidRPr="00CE0DB8">
        <w:rPr>
          <w:color w:val="000099"/>
        </w:rPr>
        <w:t> </w:t>
      </w:r>
      <w:r w:rsidR="00EE4B8A" w:rsidRPr="00CE0DB8">
        <w:rPr>
          <w:color w:val="000099"/>
        </w:rPr>
        <w:t>4</w:t>
      </w:r>
    </w:p>
    <w:tbl>
      <w:tblPr>
        <w:tblW w:w="99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5386"/>
        <w:gridCol w:w="567"/>
        <w:gridCol w:w="596"/>
        <w:gridCol w:w="709"/>
        <w:gridCol w:w="680"/>
        <w:gridCol w:w="1702"/>
      </w:tblGrid>
      <w:tr w:rsidR="006839FB" w:rsidRPr="00CE0DB8" w14:paraId="5B8141C5" w14:textId="77777777" w:rsidTr="0087358B">
        <w:trPr>
          <w:trHeight w:val="20"/>
          <w:tblHeader/>
        </w:trPr>
        <w:tc>
          <w:tcPr>
            <w:tcW w:w="284" w:type="dxa"/>
            <w:vMerge w:val="restart"/>
            <w:shd w:val="clear" w:color="auto" w:fill="auto"/>
            <w:vAlign w:val="center"/>
            <w:hideMark/>
          </w:tcPr>
          <w:p w14:paraId="6A20CCEC" w14:textId="77777777" w:rsidR="006839FB" w:rsidRPr="00CE0DB8" w:rsidRDefault="006839FB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№</w:t>
            </w:r>
          </w:p>
        </w:tc>
        <w:tc>
          <w:tcPr>
            <w:tcW w:w="5386" w:type="dxa"/>
            <w:vMerge w:val="restart"/>
            <w:shd w:val="clear" w:color="auto" w:fill="auto"/>
            <w:vAlign w:val="center"/>
            <w:hideMark/>
          </w:tcPr>
          <w:p w14:paraId="0762626A" w14:textId="77777777" w:rsidR="006839FB" w:rsidRPr="00CE0DB8" w:rsidRDefault="006839FB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Целевой показатель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64662677" w14:textId="77777777" w:rsidR="006839FB" w:rsidRPr="00CE0DB8" w:rsidRDefault="006839FB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Ед. изм.</w:t>
            </w:r>
          </w:p>
        </w:tc>
        <w:tc>
          <w:tcPr>
            <w:tcW w:w="1985" w:type="dxa"/>
            <w:gridSpan w:val="3"/>
            <w:vAlign w:val="center"/>
          </w:tcPr>
          <w:p w14:paraId="3DDE98A5" w14:textId="77777777" w:rsidR="006839FB" w:rsidRPr="00CE0DB8" w:rsidRDefault="006839FB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Значения целевых показателей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F92BD9F" w14:textId="77777777" w:rsidR="006839FB" w:rsidRPr="00CE0DB8" w:rsidRDefault="006839FB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Расчет показателя</w:t>
            </w:r>
          </w:p>
        </w:tc>
      </w:tr>
      <w:tr w:rsidR="006839FB" w:rsidRPr="00CE0DB8" w14:paraId="681C9F7A" w14:textId="77777777" w:rsidTr="0087358B">
        <w:trPr>
          <w:trHeight w:val="20"/>
          <w:tblHeader/>
        </w:trPr>
        <w:tc>
          <w:tcPr>
            <w:tcW w:w="284" w:type="dxa"/>
            <w:vMerge/>
            <w:shd w:val="clear" w:color="auto" w:fill="auto"/>
            <w:vAlign w:val="center"/>
            <w:hideMark/>
          </w:tcPr>
          <w:p w14:paraId="08C50793" w14:textId="77777777" w:rsidR="006839FB" w:rsidRPr="00CE0DB8" w:rsidRDefault="006839FB" w:rsidP="0087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86" w:type="dxa"/>
            <w:vMerge/>
            <w:shd w:val="clear" w:color="auto" w:fill="auto"/>
            <w:vAlign w:val="center"/>
            <w:hideMark/>
          </w:tcPr>
          <w:p w14:paraId="09C04030" w14:textId="77777777" w:rsidR="006839FB" w:rsidRPr="00CE0DB8" w:rsidRDefault="006839FB" w:rsidP="0087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14:paraId="2F6B243D" w14:textId="77777777" w:rsidR="006839FB" w:rsidRPr="00CE0DB8" w:rsidRDefault="006839FB" w:rsidP="0087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vMerge w:val="restart"/>
            <w:vAlign w:val="center"/>
          </w:tcPr>
          <w:p w14:paraId="3C5A17D8" w14:textId="77777777" w:rsidR="006839FB" w:rsidRPr="00CE0DB8" w:rsidRDefault="006839FB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2019</w:t>
            </w:r>
          </w:p>
          <w:p w14:paraId="67519195" w14:textId="77777777" w:rsidR="006839FB" w:rsidRPr="00CE0DB8" w:rsidRDefault="006839FB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факт</w:t>
            </w:r>
          </w:p>
        </w:tc>
        <w:tc>
          <w:tcPr>
            <w:tcW w:w="1389" w:type="dxa"/>
            <w:gridSpan w:val="2"/>
            <w:shd w:val="clear" w:color="auto" w:fill="auto"/>
            <w:noWrap/>
            <w:vAlign w:val="center"/>
            <w:hideMark/>
          </w:tcPr>
          <w:p w14:paraId="3F4AF259" w14:textId="77777777" w:rsidR="006839FB" w:rsidRPr="00CE0DB8" w:rsidRDefault="006839FB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2020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14:paraId="3940056B" w14:textId="77777777" w:rsidR="006839FB" w:rsidRPr="00CE0DB8" w:rsidRDefault="006839FB" w:rsidP="0087358B">
            <w:pPr>
              <w:jc w:val="center"/>
              <w:rPr>
                <w:sz w:val="18"/>
                <w:szCs w:val="18"/>
              </w:rPr>
            </w:pPr>
          </w:p>
        </w:tc>
      </w:tr>
      <w:tr w:rsidR="006839FB" w:rsidRPr="00CE0DB8" w14:paraId="75514CAC" w14:textId="77777777" w:rsidTr="0087358B">
        <w:trPr>
          <w:trHeight w:val="20"/>
          <w:tblHeader/>
        </w:trPr>
        <w:tc>
          <w:tcPr>
            <w:tcW w:w="284" w:type="dxa"/>
            <w:vMerge/>
            <w:shd w:val="clear" w:color="auto" w:fill="auto"/>
            <w:vAlign w:val="center"/>
            <w:hideMark/>
          </w:tcPr>
          <w:p w14:paraId="2D1F01B5" w14:textId="77777777" w:rsidR="006839FB" w:rsidRPr="00CE0DB8" w:rsidRDefault="006839FB" w:rsidP="0087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86" w:type="dxa"/>
            <w:vMerge/>
            <w:shd w:val="clear" w:color="auto" w:fill="auto"/>
            <w:vAlign w:val="center"/>
            <w:hideMark/>
          </w:tcPr>
          <w:p w14:paraId="1991564C" w14:textId="77777777" w:rsidR="006839FB" w:rsidRPr="00CE0DB8" w:rsidRDefault="006839FB" w:rsidP="0087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14:paraId="77A85768" w14:textId="77777777" w:rsidR="006839FB" w:rsidRPr="00CE0DB8" w:rsidRDefault="006839FB" w:rsidP="0087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vMerge/>
            <w:vAlign w:val="center"/>
          </w:tcPr>
          <w:p w14:paraId="102E1AA8" w14:textId="77777777" w:rsidR="006839FB" w:rsidRPr="00CE0DB8" w:rsidRDefault="006839FB" w:rsidP="0087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C16BD5" w14:textId="77777777" w:rsidR="006839FB" w:rsidRPr="00CE0DB8" w:rsidRDefault="006839FB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план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3E52AB30" w14:textId="77777777" w:rsidR="006839FB" w:rsidRPr="00CE0DB8" w:rsidRDefault="006839FB" w:rsidP="0087358B">
            <w:pPr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отчет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047E1DFE" w14:textId="77777777" w:rsidR="006839FB" w:rsidRPr="00CE0DB8" w:rsidRDefault="006839FB" w:rsidP="0087358B">
            <w:pPr>
              <w:jc w:val="center"/>
              <w:rPr>
                <w:sz w:val="18"/>
                <w:szCs w:val="18"/>
              </w:rPr>
            </w:pPr>
          </w:p>
        </w:tc>
      </w:tr>
      <w:tr w:rsidR="006839FB" w:rsidRPr="00CE0DB8" w14:paraId="066F4F48" w14:textId="77777777" w:rsidTr="0087358B">
        <w:trPr>
          <w:trHeight w:val="20"/>
        </w:trPr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4AF7538D" w14:textId="77777777" w:rsidR="006839FB" w:rsidRPr="00CE0DB8" w:rsidRDefault="006839FB" w:rsidP="008735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14:paraId="0D4D25D0" w14:textId="77777777" w:rsidR="006839FB" w:rsidRPr="00CE0DB8" w:rsidRDefault="006839FB" w:rsidP="0087358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 xml:space="preserve">Доля объектов культурного наследия (памятников истории и культуры) </w:t>
            </w:r>
            <w:r w:rsidRPr="00CE0DB8">
              <w:rPr>
                <w:sz w:val="18"/>
                <w:szCs w:val="18"/>
                <w:u w:val="single"/>
              </w:rPr>
              <w:t>с утвержденным предметом</w:t>
            </w:r>
            <w:r w:rsidRPr="00CE0DB8">
              <w:rPr>
                <w:sz w:val="18"/>
                <w:szCs w:val="18"/>
              </w:rPr>
              <w:t xml:space="preserve"> охраны от общего количества объектов культурного наследия, расположенных на территории Волгоградской области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3B04B04" w14:textId="77777777" w:rsidR="006839FB" w:rsidRPr="00CE0DB8" w:rsidRDefault="006839FB" w:rsidP="008735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%</w:t>
            </w:r>
          </w:p>
        </w:tc>
        <w:tc>
          <w:tcPr>
            <w:tcW w:w="596" w:type="dxa"/>
            <w:vAlign w:val="center"/>
          </w:tcPr>
          <w:p w14:paraId="7D3AC9F7" w14:textId="77777777" w:rsidR="006839FB" w:rsidRPr="00CE0DB8" w:rsidRDefault="006839FB" w:rsidP="008735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40,8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63100D" w14:textId="77777777" w:rsidR="006839FB" w:rsidRPr="00CE0DB8" w:rsidRDefault="006839FB" w:rsidP="008735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44,9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14:paraId="1A6B9E5D" w14:textId="77777777" w:rsidR="006839FB" w:rsidRPr="00CE0DB8" w:rsidRDefault="006839FB" w:rsidP="008735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41,7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DA70EE2" w14:textId="77777777" w:rsidR="00822A59" w:rsidRPr="00CE0DB8" w:rsidRDefault="006839FB" w:rsidP="008735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1122ед./2689ед.*</w:t>
            </w:r>
          </w:p>
          <w:p w14:paraId="7CF2B74F" w14:textId="77777777" w:rsidR="006839FB" w:rsidRPr="00CE0DB8" w:rsidRDefault="006839FB" w:rsidP="008735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100%</w:t>
            </w:r>
          </w:p>
        </w:tc>
      </w:tr>
      <w:tr w:rsidR="006839FB" w:rsidRPr="00CE0DB8" w14:paraId="15904998" w14:textId="77777777" w:rsidTr="0087358B">
        <w:trPr>
          <w:trHeight w:val="20"/>
        </w:trPr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7741411D" w14:textId="77777777" w:rsidR="006839FB" w:rsidRPr="00CE0DB8" w:rsidRDefault="006839FB" w:rsidP="008735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2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14:paraId="1D6BEC13" w14:textId="77777777" w:rsidR="006839FB" w:rsidRPr="00CE0DB8" w:rsidRDefault="006839FB" w:rsidP="0087358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 xml:space="preserve">Доля объектов культурного наследия (памятников истории и культуры) </w:t>
            </w:r>
            <w:r w:rsidRPr="00CE0DB8">
              <w:rPr>
                <w:sz w:val="18"/>
                <w:szCs w:val="18"/>
                <w:u w:val="single"/>
              </w:rPr>
              <w:t>с установленными границами</w:t>
            </w:r>
            <w:r w:rsidRPr="00CE0DB8">
              <w:rPr>
                <w:sz w:val="18"/>
                <w:szCs w:val="18"/>
              </w:rPr>
              <w:t xml:space="preserve"> территории от общего количества объектов культурного наследия, расположенных на территории Волгоградской области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04C562A" w14:textId="77777777" w:rsidR="006839FB" w:rsidRPr="00CE0DB8" w:rsidRDefault="006839FB" w:rsidP="008735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%</w:t>
            </w:r>
          </w:p>
        </w:tc>
        <w:tc>
          <w:tcPr>
            <w:tcW w:w="596" w:type="dxa"/>
            <w:vAlign w:val="center"/>
          </w:tcPr>
          <w:p w14:paraId="1B926B1E" w14:textId="77777777" w:rsidR="006839FB" w:rsidRPr="00CE0DB8" w:rsidRDefault="006839FB" w:rsidP="008735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21,4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2419EA" w14:textId="77777777" w:rsidR="006839FB" w:rsidRPr="00CE0DB8" w:rsidRDefault="006839FB" w:rsidP="008735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23,8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14:paraId="130312CF" w14:textId="77777777" w:rsidR="006839FB" w:rsidRPr="00CE0DB8" w:rsidRDefault="006839FB" w:rsidP="008735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23,1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7F538C8" w14:textId="77777777" w:rsidR="006839FB" w:rsidRPr="00CE0DB8" w:rsidRDefault="006839FB" w:rsidP="008735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622 ед./2689 ед.*100%</w:t>
            </w:r>
          </w:p>
        </w:tc>
      </w:tr>
      <w:tr w:rsidR="006839FB" w:rsidRPr="00CE0DB8" w14:paraId="1DCA11C9" w14:textId="77777777" w:rsidTr="0087358B">
        <w:trPr>
          <w:trHeight w:val="20"/>
        </w:trPr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5B640649" w14:textId="77777777" w:rsidR="006839FB" w:rsidRPr="00CE0DB8" w:rsidRDefault="006839FB" w:rsidP="008735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3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14:paraId="275215F5" w14:textId="77777777" w:rsidR="006839FB" w:rsidRPr="00CE0DB8" w:rsidRDefault="006839FB" w:rsidP="0087358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18"/>
                <w:szCs w:val="18"/>
              </w:rPr>
            </w:pPr>
            <w:bookmarkStart w:id="1" w:name="_Hlk64622286"/>
            <w:r w:rsidRPr="00CE0DB8">
              <w:rPr>
                <w:sz w:val="18"/>
                <w:szCs w:val="18"/>
              </w:rPr>
              <w:t xml:space="preserve">Доля объектов культурного наследия (памятников истории и культуры) </w:t>
            </w:r>
            <w:r w:rsidRPr="00CE0DB8">
              <w:rPr>
                <w:sz w:val="18"/>
                <w:szCs w:val="18"/>
                <w:u w:val="single"/>
              </w:rPr>
              <w:t>с утвержденными охранными</w:t>
            </w:r>
            <w:r w:rsidRPr="00CE0DB8">
              <w:rPr>
                <w:sz w:val="18"/>
                <w:szCs w:val="18"/>
              </w:rPr>
              <w:t xml:space="preserve"> обязательствами от общего количества объектов культурного наследия, расположенных на территории Волгоградской области, требующих обеспечения охранными обязательствами</w:t>
            </w:r>
            <w:bookmarkEnd w:id="1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3212003" w14:textId="77777777" w:rsidR="006839FB" w:rsidRPr="00CE0DB8" w:rsidRDefault="006839FB" w:rsidP="008735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%</w:t>
            </w:r>
          </w:p>
        </w:tc>
        <w:tc>
          <w:tcPr>
            <w:tcW w:w="596" w:type="dxa"/>
            <w:vAlign w:val="center"/>
          </w:tcPr>
          <w:p w14:paraId="78D5DBEB" w14:textId="77777777" w:rsidR="006839FB" w:rsidRPr="00CE0DB8" w:rsidRDefault="006839FB" w:rsidP="008735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1,7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62B57D" w14:textId="77777777" w:rsidR="006839FB" w:rsidRPr="00CE0DB8" w:rsidRDefault="006839FB" w:rsidP="008735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4,4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14:paraId="48D964A3" w14:textId="77777777" w:rsidR="006839FB" w:rsidRPr="00CE0DB8" w:rsidRDefault="006839FB" w:rsidP="008735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>5,4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6F68E17" w14:textId="77777777" w:rsidR="006839FB" w:rsidRPr="00CE0DB8" w:rsidRDefault="006839FB" w:rsidP="008735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0DB8">
              <w:rPr>
                <w:sz w:val="18"/>
                <w:szCs w:val="18"/>
              </w:rPr>
              <w:t xml:space="preserve">140 ед./2591 ед. (за минусом 98 ед. </w:t>
            </w:r>
            <w:proofErr w:type="spellStart"/>
            <w:r w:rsidRPr="00CE0DB8">
              <w:rPr>
                <w:sz w:val="18"/>
                <w:szCs w:val="18"/>
              </w:rPr>
              <w:t>дос</w:t>
            </w:r>
            <w:proofErr w:type="spellEnd"/>
            <w:r w:rsidRPr="00CE0DB8">
              <w:rPr>
                <w:sz w:val="18"/>
                <w:szCs w:val="18"/>
              </w:rPr>
              <w:t>. места) *100 %</w:t>
            </w:r>
          </w:p>
          <w:p w14:paraId="4BB5F021" w14:textId="77777777" w:rsidR="006839FB" w:rsidRPr="00CE0DB8" w:rsidRDefault="006839FB" w:rsidP="008735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 w14:paraId="6C18FFCB" w14:textId="77777777" w:rsidR="00174D2E" w:rsidRPr="00CE0DB8" w:rsidRDefault="00174D2E" w:rsidP="00174D2E">
      <w:pPr>
        <w:ind w:firstLine="709"/>
        <w:jc w:val="both"/>
        <w:rPr>
          <w:rFonts w:eastAsiaTheme="minorHAnsi"/>
          <w:lang w:eastAsia="en-US"/>
        </w:rPr>
      </w:pPr>
    </w:p>
    <w:p w14:paraId="1619FC4B" w14:textId="77777777" w:rsidR="00174D2E" w:rsidRPr="00CE0DB8" w:rsidRDefault="00174D2E" w:rsidP="00174D2E">
      <w:pPr>
        <w:ind w:firstLine="709"/>
        <w:jc w:val="both"/>
        <w:rPr>
          <w:rFonts w:eastAsiaTheme="minorHAnsi"/>
          <w:lang w:eastAsia="en-US"/>
        </w:rPr>
      </w:pPr>
      <w:r w:rsidRPr="00CE0DB8">
        <w:rPr>
          <w:rFonts w:eastAsiaTheme="minorHAnsi"/>
          <w:lang w:eastAsia="en-US"/>
        </w:rPr>
        <w:t>Как следует из таблицы № 4 в 2020 году</w:t>
      </w:r>
      <w:r w:rsidR="00CE1E07" w:rsidRPr="00CE0DB8">
        <w:rPr>
          <w:rFonts w:eastAsiaTheme="minorHAnsi"/>
          <w:lang w:eastAsia="en-US"/>
        </w:rPr>
        <w:t xml:space="preserve"> Комитетом </w:t>
      </w:r>
      <w:r w:rsidR="00287B21" w:rsidRPr="00CE0DB8">
        <w:rPr>
          <w:rFonts w:eastAsiaTheme="minorHAnsi"/>
          <w:lang w:eastAsia="en-US"/>
        </w:rPr>
        <w:t xml:space="preserve">не </w:t>
      </w:r>
      <w:r w:rsidRPr="00CE0DB8">
        <w:rPr>
          <w:rFonts w:eastAsiaTheme="minorHAnsi"/>
          <w:lang w:eastAsia="en-US"/>
        </w:rPr>
        <w:t>достигнуты значения 2 из 3 целевых показателей.</w:t>
      </w:r>
    </w:p>
    <w:p w14:paraId="7DF0924C" w14:textId="7E9925AF" w:rsidR="00E21EB5" w:rsidRPr="00CE0DB8" w:rsidRDefault="00150C64" w:rsidP="006839FB">
      <w:pPr>
        <w:ind w:firstLine="709"/>
        <w:jc w:val="both"/>
      </w:pPr>
      <w:r w:rsidRPr="00CE0DB8">
        <w:t>Согласно письму</w:t>
      </w:r>
      <w:r w:rsidR="0040486C" w:rsidRPr="00CE0DB8">
        <w:t xml:space="preserve"> Комитета</w:t>
      </w:r>
      <w:r w:rsidRPr="00CE0DB8">
        <w:t>, направленному в адрес ответственного исполнителя Госпрограммы о достижении значений целевых показателей государственной программы за 20</w:t>
      </w:r>
      <w:r w:rsidR="00D50E02" w:rsidRPr="00CE0DB8">
        <w:t>20</w:t>
      </w:r>
      <w:r w:rsidRPr="00CE0DB8">
        <w:t xml:space="preserve"> год, не достигнуто плановое значение всех целевых показателей, что обусловлено </w:t>
      </w:r>
      <w:r w:rsidR="00D50E02" w:rsidRPr="00CE0DB8">
        <w:t>«</w:t>
      </w:r>
      <w:r w:rsidRPr="00CE0DB8">
        <w:rPr>
          <w:i/>
        </w:rPr>
        <w:t>отсутствием достаточных трудовых ресурсов в Комитете</w:t>
      </w:r>
      <w:r w:rsidR="00D50E02" w:rsidRPr="00CE0DB8">
        <w:rPr>
          <w:i/>
        </w:rPr>
        <w:t>»</w:t>
      </w:r>
      <w:r w:rsidRPr="00CE0DB8">
        <w:rPr>
          <w:i/>
        </w:rPr>
        <w:t>.</w:t>
      </w:r>
      <w:r w:rsidR="00DE0097" w:rsidRPr="00CE0DB8">
        <w:rPr>
          <w:i/>
        </w:rPr>
        <w:t xml:space="preserve"> </w:t>
      </w:r>
      <w:r w:rsidR="00377D0B" w:rsidRPr="00CE0DB8">
        <w:t>Ч</w:t>
      </w:r>
      <w:r w:rsidR="00E21EB5" w:rsidRPr="00CE0DB8">
        <w:t>исленность сотрудников Комитета, необходимая для выполнения мероприятий по государственной охране ОКН,</w:t>
      </w:r>
      <w:r w:rsidR="00814C7D" w:rsidRPr="00CE0DB8">
        <w:t xml:space="preserve"> рассчитанная в соответствии с м</w:t>
      </w:r>
      <w:r w:rsidR="00E21EB5" w:rsidRPr="00CE0DB8">
        <w:t>етодикой</w:t>
      </w:r>
      <w:r w:rsidR="00814C7D" w:rsidRPr="00CE0DB8">
        <w:t xml:space="preserve"> </w:t>
      </w:r>
      <w:r w:rsidR="00814C7D" w:rsidRPr="00CE0DB8">
        <w:rPr>
          <w:rFonts w:eastAsiaTheme="minorHAnsi"/>
          <w:lang w:eastAsia="en-US"/>
        </w:rPr>
        <w:t>распределения субвенций, предоставляемых из федерального бюджета бюджетам субъектов РФ на осуществление переданных органам государственной власти субъектов РФ полномочий РФ по государственной охране объектов культурного наследия федерального значения</w:t>
      </w:r>
      <w:r w:rsidR="00E21EB5" w:rsidRPr="00CE0DB8">
        <w:t xml:space="preserve">, утвержденной </w:t>
      </w:r>
      <w:r w:rsidR="008353DC" w:rsidRPr="00CE0DB8">
        <w:t>п</w:t>
      </w:r>
      <w:r w:rsidR="00E21EB5" w:rsidRPr="00CE0DB8">
        <w:t xml:space="preserve">остановлением </w:t>
      </w:r>
      <w:r w:rsidR="00814C7D" w:rsidRPr="00CE0DB8">
        <w:rPr>
          <w:rFonts w:eastAsiaTheme="minorHAnsi"/>
          <w:lang w:eastAsia="en-US"/>
        </w:rPr>
        <w:t xml:space="preserve">Правительства РФ от 31.12.2009 </w:t>
      </w:r>
      <w:r w:rsidR="00E21EB5" w:rsidRPr="00CE0DB8">
        <w:t>№</w:t>
      </w:r>
      <w:r w:rsidR="0087358B" w:rsidRPr="00CE0DB8">
        <w:t> </w:t>
      </w:r>
      <w:r w:rsidR="00E21EB5" w:rsidRPr="00CE0DB8">
        <w:t xml:space="preserve">1183, должна составлять </w:t>
      </w:r>
      <w:r w:rsidR="0087358B" w:rsidRPr="00CE0DB8">
        <w:rPr>
          <w:rFonts w:eastAsiaTheme="minorHAnsi"/>
          <w:lang w:eastAsia="en-US"/>
        </w:rPr>
        <w:t xml:space="preserve">37,6 </w:t>
      </w:r>
      <w:r w:rsidR="00E21EB5" w:rsidRPr="00CE0DB8">
        <w:t>ед., из них 10,7 ед. по ОКН федерального значения, т</w:t>
      </w:r>
      <w:r w:rsidR="0087358B" w:rsidRPr="00CE0DB8">
        <w:t xml:space="preserve">огда как </w:t>
      </w:r>
      <w:r w:rsidR="00E21EB5" w:rsidRPr="00CE0DB8">
        <w:t xml:space="preserve">полномочия по государственной охране ОКН </w:t>
      </w:r>
      <w:r w:rsidR="0054230E" w:rsidRPr="00CE0DB8">
        <w:rPr>
          <w:rFonts w:eastAsiaTheme="minorHAnsi"/>
          <w:lang w:eastAsia="en-US"/>
        </w:rPr>
        <w:t>в отношении памятников как федерального, так и регионального значения</w:t>
      </w:r>
      <w:r w:rsidR="00DE0097" w:rsidRPr="00CE0DB8">
        <w:rPr>
          <w:rFonts w:eastAsiaTheme="minorHAnsi"/>
          <w:lang w:eastAsia="en-US"/>
        </w:rPr>
        <w:t xml:space="preserve"> </w:t>
      </w:r>
      <w:r w:rsidR="00083CED" w:rsidRPr="00CE0DB8">
        <w:t xml:space="preserve">в Комитете </w:t>
      </w:r>
      <w:r w:rsidR="002224FF" w:rsidRPr="00CE0DB8">
        <w:t xml:space="preserve">осуществляют </w:t>
      </w:r>
      <w:r w:rsidR="005511FF" w:rsidRPr="00CE0DB8">
        <w:t xml:space="preserve">всего </w:t>
      </w:r>
      <w:r w:rsidR="0087358B" w:rsidRPr="00CE0DB8">
        <w:t>1</w:t>
      </w:r>
      <w:r w:rsidR="0054230E" w:rsidRPr="00CE0DB8">
        <w:t>2</w:t>
      </w:r>
      <w:r w:rsidR="001E17CE" w:rsidRPr="00CE0DB8">
        <w:t xml:space="preserve"> </w:t>
      </w:r>
      <w:r w:rsidR="00083CED" w:rsidRPr="00CE0DB8">
        <w:t>штатных единиц</w:t>
      </w:r>
      <w:r w:rsidR="0087358B" w:rsidRPr="00CE0DB8">
        <w:t>.</w:t>
      </w:r>
    </w:p>
    <w:p w14:paraId="112971A3" w14:textId="77777777" w:rsidR="00106F1D" w:rsidRPr="00CE0DB8" w:rsidRDefault="00106F1D" w:rsidP="00780C53">
      <w:pPr>
        <w:ind w:firstLine="709"/>
        <w:jc w:val="both"/>
        <w:rPr>
          <w:rFonts w:eastAsiaTheme="minorHAnsi"/>
          <w:lang w:eastAsia="en-US"/>
        </w:rPr>
      </w:pPr>
      <w:r w:rsidRPr="00CE0DB8">
        <w:rPr>
          <w:rFonts w:eastAsiaTheme="minorHAnsi"/>
          <w:lang w:eastAsia="en-US"/>
        </w:rPr>
        <w:t>То есть, нехватка штатной численности работников Комитета, непосредственно осуществляющих</w:t>
      </w:r>
      <w:r w:rsidRPr="00CE0DB8">
        <w:t xml:space="preserve"> мероприятия по государственной охране ОКН, составляет 25,6 штатных единицы (37,6 - 12)</w:t>
      </w:r>
      <w:r w:rsidR="0054230E" w:rsidRPr="00CE0DB8">
        <w:t>.</w:t>
      </w:r>
    </w:p>
    <w:p w14:paraId="7DF92FC9" w14:textId="77777777" w:rsidR="00780C53" w:rsidRPr="00CE0DB8" w:rsidRDefault="004A5450" w:rsidP="00780C53">
      <w:pPr>
        <w:ind w:firstLine="709"/>
        <w:jc w:val="both"/>
      </w:pPr>
      <w:r w:rsidRPr="00CE0DB8">
        <w:rPr>
          <w:rFonts w:eastAsia="Calibri"/>
        </w:rPr>
        <w:t xml:space="preserve">В 2020 году в целях экономии бюджетных средств </w:t>
      </w:r>
      <w:r w:rsidR="00D966E6" w:rsidRPr="00CE0DB8">
        <w:t>штатная численность</w:t>
      </w:r>
      <w:r w:rsidR="00D966E6" w:rsidRPr="00CE0DB8">
        <w:rPr>
          <w:rFonts w:eastAsia="Calibri"/>
        </w:rPr>
        <w:t xml:space="preserve"> Комитета не менялась, а </w:t>
      </w:r>
      <w:r w:rsidRPr="00CE0DB8">
        <w:t>увеличена</w:t>
      </w:r>
      <w:r w:rsidR="001E17CE" w:rsidRPr="00CE0DB8">
        <w:t xml:space="preserve"> </w:t>
      </w:r>
      <w:r w:rsidR="0087358B" w:rsidRPr="00CE0DB8">
        <w:rPr>
          <w:rFonts w:eastAsia="Calibri"/>
        </w:rPr>
        <w:t xml:space="preserve">штатная численность </w:t>
      </w:r>
      <w:r w:rsidR="00780C53" w:rsidRPr="00CE0DB8">
        <w:t>ГБУ ВО НПЦ</w:t>
      </w:r>
      <w:r w:rsidR="001E17CE" w:rsidRPr="00CE0DB8">
        <w:t xml:space="preserve"> </w:t>
      </w:r>
      <w:r w:rsidR="00780C53" w:rsidRPr="00CE0DB8">
        <w:t>на 58 штатных единиц (с 29 до 87), в т.ч. на 26 штатных единиц за счет субсидии на выполнение государственного задания, на 32 штатных единицы за счет внебюджетной деятельности.</w:t>
      </w:r>
    </w:p>
    <w:p w14:paraId="5BAB2D5A" w14:textId="77777777" w:rsidR="00780C53" w:rsidRPr="00CE0DB8" w:rsidRDefault="00780C53" w:rsidP="00780C53">
      <w:pPr>
        <w:ind w:firstLine="709"/>
        <w:jc w:val="both"/>
      </w:pPr>
      <w:r w:rsidRPr="00CE0DB8">
        <w:rPr>
          <w:rFonts w:eastAsiaTheme="minorHAnsi"/>
          <w:lang w:eastAsia="en-US"/>
        </w:rPr>
        <w:t xml:space="preserve">Увеличение штатной численности </w:t>
      </w:r>
      <w:r w:rsidRPr="00CE0DB8">
        <w:t>ГБУ ВО НПЦ осуществлено в т.ч. путем введения 4 новых отделов – мониторинга ОКН, сохранения ОКН, общего, а т</w:t>
      </w:r>
      <w:r w:rsidR="00DE0097" w:rsidRPr="00CE0DB8">
        <w:t>акже охраны и использования ОКН и позволит выполнить задачи в сфере охраны объектов культуры наследия на территории Волгоградской области.</w:t>
      </w:r>
    </w:p>
    <w:p w14:paraId="50F7AEEF" w14:textId="77777777" w:rsidR="00D409D8" w:rsidRPr="00CE0DB8" w:rsidRDefault="00D409D8" w:rsidP="002C247E">
      <w:pPr>
        <w:autoSpaceDE w:val="0"/>
        <w:autoSpaceDN w:val="0"/>
        <w:adjustRightInd w:val="0"/>
        <w:ind w:firstLine="709"/>
        <w:jc w:val="center"/>
        <w:rPr>
          <w:b/>
          <w:i/>
        </w:rPr>
      </w:pPr>
    </w:p>
    <w:p w14:paraId="48FEED7A" w14:textId="77777777" w:rsidR="00471F84" w:rsidRPr="00CE0DB8" w:rsidRDefault="00471F84" w:rsidP="002C247E">
      <w:pPr>
        <w:autoSpaceDE w:val="0"/>
        <w:autoSpaceDN w:val="0"/>
        <w:adjustRightInd w:val="0"/>
        <w:ind w:firstLine="709"/>
        <w:jc w:val="center"/>
        <w:rPr>
          <w:b/>
          <w:i/>
        </w:rPr>
      </w:pPr>
    </w:p>
    <w:p w14:paraId="76E93550" w14:textId="77777777" w:rsidR="0012100E" w:rsidRPr="00CE0DB8" w:rsidRDefault="00EC149E" w:rsidP="002C247E">
      <w:pPr>
        <w:autoSpaceDE w:val="0"/>
        <w:autoSpaceDN w:val="0"/>
        <w:adjustRightInd w:val="0"/>
        <w:ind w:firstLine="709"/>
        <w:jc w:val="center"/>
        <w:rPr>
          <w:b/>
          <w:i/>
        </w:rPr>
      </w:pPr>
      <w:r w:rsidRPr="00CE0DB8">
        <w:rPr>
          <w:b/>
          <w:i/>
        </w:rPr>
        <w:lastRenderedPageBreak/>
        <w:t>В</w:t>
      </w:r>
      <w:r w:rsidR="0012100E" w:rsidRPr="00CE0DB8">
        <w:rPr>
          <w:b/>
          <w:i/>
        </w:rPr>
        <w:t>едомственн</w:t>
      </w:r>
      <w:r w:rsidRPr="00CE0DB8">
        <w:rPr>
          <w:b/>
          <w:i/>
        </w:rPr>
        <w:t xml:space="preserve">ая целевая </w:t>
      </w:r>
      <w:r w:rsidR="0012100E" w:rsidRPr="00CE0DB8">
        <w:rPr>
          <w:b/>
          <w:i/>
        </w:rPr>
        <w:t>программ</w:t>
      </w:r>
      <w:r w:rsidRPr="00CE0DB8">
        <w:rPr>
          <w:b/>
          <w:i/>
        </w:rPr>
        <w:t>а</w:t>
      </w:r>
    </w:p>
    <w:p w14:paraId="6BAF2FA7" w14:textId="77777777" w:rsidR="002C247E" w:rsidRPr="00CE0DB8" w:rsidRDefault="002C247E" w:rsidP="002C247E">
      <w:pPr>
        <w:autoSpaceDE w:val="0"/>
        <w:autoSpaceDN w:val="0"/>
        <w:adjustRightInd w:val="0"/>
        <w:ind w:firstLine="709"/>
        <w:jc w:val="center"/>
        <w:rPr>
          <w:b/>
          <w:i/>
        </w:rPr>
      </w:pPr>
    </w:p>
    <w:p w14:paraId="3AC40198" w14:textId="77777777" w:rsidR="0012100E" w:rsidRPr="00CE0DB8" w:rsidRDefault="00C500F2" w:rsidP="000D54A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99"/>
          <w:lang w:eastAsia="en-US"/>
        </w:rPr>
      </w:pPr>
      <w:r w:rsidRPr="00CE0DB8">
        <w:rPr>
          <w:rFonts w:eastAsiaTheme="minorHAnsi"/>
          <w:lang w:eastAsia="en-US"/>
        </w:rPr>
        <w:t>Комитет в 2020 году являлся исполнителем ведомственной</w:t>
      </w:r>
      <w:r w:rsidRPr="00CE0DB8">
        <w:t xml:space="preserve"> целевой программы «Увековечение памяти погибших при защите Отечества», утвержденной приказом Комитета от 17.12.2019 № 275 (далее - ВЦП)</w:t>
      </w:r>
      <w:r w:rsidRPr="00CE0DB8">
        <w:rPr>
          <w:rFonts w:eastAsiaTheme="minorHAnsi"/>
          <w:lang w:eastAsia="en-US"/>
        </w:rPr>
        <w:t xml:space="preserve">. </w:t>
      </w:r>
      <w:r w:rsidR="00736AAB" w:rsidRPr="00CE0DB8">
        <w:rPr>
          <w:rFonts w:eastAsiaTheme="minorHAnsi"/>
          <w:lang w:eastAsia="en-US"/>
        </w:rPr>
        <w:t xml:space="preserve">Целевые показатели результативности ВЦП </w:t>
      </w:r>
      <w:r w:rsidR="00144C19" w:rsidRPr="00CE0DB8">
        <w:rPr>
          <w:rFonts w:eastAsiaTheme="minorHAnsi"/>
          <w:lang w:eastAsia="en-US"/>
        </w:rPr>
        <w:t xml:space="preserve">и их исполнение </w:t>
      </w:r>
      <w:r w:rsidR="00736AAB" w:rsidRPr="00CE0DB8">
        <w:rPr>
          <w:rFonts w:eastAsiaTheme="minorHAnsi"/>
          <w:lang w:eastAsia="en-US"/>
        </w:rPr>
        <w:t xml:space="preserve">отражены </w:t>
      </w:r>
      <w:r w:rsidR="00736AAB" w:rsidRPr="00CE0DB8">
        <w:rPr>
          <w:rFonts w:eastAsiaTheme="minorHAnsi"/>
          <w:color w:val="000099"/>
          <w:lang w:eastAsia="en-US"/>
        </w:rPr>
        <w:t>в таблице №</w:t>
      </w:r>
      <w:r w:rsidRPr="00CE0DB8">
        <w:rPr>
          <w:rFonts w:eastAsiaTheme="minorHAnsi"/>
          <w:color w:val="000099"/>
          <w:lang w:eastAsia="en-US"/>
        </w:rPr>
        <w:t> </w:t>
      </w:r>
      <w:r w:rsidR="00EE4B8A" w:rsidRPr="00CE0DB8">
        <w:rPr>
          <w:rFonts w:eastAsiaTheme="minorHAnsi"/>
          <w:color w:val="000099"/>
          <w:lang w:eastAsia="en-US"/>
        </w:rPr>
        <w:t>5</w:t>
      </w:r>
      <w:r w:rsidR="00D966E6" w:rsidRPr="00CE0DB8">
        <w:rPr>
          <w:rFonts w:eastAsiaTheme="minorHAnsi"/>
          <w:color w:val="000099"/>
          <w:lang w:eastAsia="en-US"/>
        </w:rPr>
        <w:t>.</w:t>
      </w:r>
    </w:p>
    <w:p w14:paraId="0C7DFBAA" w14:textId="77777777" w:rsidR="00736AAB" w:rsidRPr="00CE0DB8" w:rsidRDefault="00736AAB" w:rsidP="000D54A1">
      <w:pPr>
        <w:autoSpaceDE w:val="0"/>
        <w:autoSpaceDN w:val="0"/>
        <w:adjustRightInd w:val="0"/>
        <w:ind w:firstLine="709"/>
        <w:jc w:val="right"/>
        <w:rPr>
          <w:rFonts w:eastAsiaTheme="minorHAnsi"/>
          <w:color w:val="000099"/>
          <w:lang w:eastAsia="en-US"/>
        </w:rPr>
      </w:pPr>
      <w:r w:rsidRPr="00CE0DB8">
        <w:rPr>
          <w:rFonts w:eastAsiaTheme="minorHAnsi"/>
          <w:color w:val="000099"/>
          <w:lang w:eastAsia="en-US"/>
        </w:rPr>
        <w:t>Таблица №</w:t>
      </w:r>
      <w:r w:rsidR="00C500F2" w:rsidRPr="00CE0DB8">
        <w:rPr>
          <w:rFonts w:eastAsiaTheme="minorHAnsi"/>
          <w:color w:val="000099"/>
          <w:lang w:eastAsia="en-US"/>
        </w:rPr>
        <w:t> </w:t>
      </w:r>
      <w:r w:rsidR="00EE4B8A" w:rsidRPr="00CE0DB8">
        <w:rPr>
          <w:rFonts w:eastAsiaTheme="minorHAnsi"/>
          <w:color w:val="000099"/>
          <w:lang w:eastAsia="en-US"/>
        </w:rPr>
        <w:t>5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62"/>
        <w:gridCol w:w="1134"/>
        <w:gridCol w:w="1417"/>
        <w:gridCol w:w="1382"/>
      </w:tblGrid>
      <w:tr w:rsidR="00C500F2" w:rsidRPr="00CE0DB8" w14:paraId="64FCCFE2" w14:textId="77777777" w:rsidTr="0087358B">
        <w:trPr>
          <w:tblHeader/>
        </w:trPr>
        <w:tc>
          <w:tcPr>
            <w:tcW w:w="6062" w:type="dxa"/>
          </w:tcPr>
          <w:p w14:paraId="582C5B42" w14:textId="77777777" w:rsidR="00C500F2" w:rsidRPr="00CE0DB8" w:rsidRDefault="00C500F2" w:rsidP="00873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E0DB8">
              <w:rPr>
                <w:rFonts w:eastAsiaTheme="minorHAnsi"/>
                <w:sz w:val="20"/>
                <w:szCs w:val="20"/>
                <w:lang w:eastAsia="en-US"/>
              </w:rPr>
              <w:t>Наименование целевого индикатора</w:t>
            </w:r>
          </w:p>
        </w:tc>
        <w:tc>
          <w:tcPr>
            <w:tcW w:w="1134" w:type="dxa"/>
          </w:tcPr>
          <w:p w14:paraId="38B5DD27" w14:textId="77777777" w:rsidR="00C500F2" w:rsidRPr="00CE0DB8" w:rsidRDefault="00C500F2" w:rsidP="00873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E0DB8">
              <w:rPr>
                <w:rFonts w:eastAsiaTheme="minorHAnsi"/>
                <w:sz w:val="20"/>
                <w:szCs w:val="20"/>
                <w:lang w:eastAsia="en-US"/>
              </w:rPr>
              <w:t>Ед. измерения</w:t>
            </w:r>
          </w:p>
        </w:tc>
        <w:tc>
          <w:tcPr>
            <w:tcW w:w="1417" w:type="dxa"/>
          </w:tcPr>
          <w:p w14:paraId="33F1E368" w14:textId="77777777" w:rsidR="00C500F2" w:rsidRPr="00CE0DB8" w:rsidRDefault="00C500F2" w:rsidP="00873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E0DB8">
              <w:rPr>
                <w:rFonts w:eastAsiaTheme="minorHAnsi"/>
                <w:sz w:val="20"/>
                <w:szCs w:val="20"/>
                <w:lang w:eastAsia="en-US"/>
              </w:rPr>
              <w:t>Плановое значение на 2020 год</w:t>
            </w:r>
          </w:p>
        </w:tc>
        <w:tc>
          <w:tcPr>
            <w:tcW w:w="1382" w:type="dxa"/>
          </w:tcPr>
          <w:p w14:paraId="61ADD622" w14:textId="77777777" w:rsidR="00C500F2" w:rsidRPr="00CE0DB8" w:rsidRDefault="00C500F2" w:rsidP="00873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E0DB8">
              <w:rPr>
                <w:rFonts w:eastAsiaTheme="minorHAnsi"/>
                <w:sz w:val="20"/>
                <w:szCs w:val="20"/>
                <w:lang w:eastAsia="en-US"/>
              </w:rPr>
              <w:t>Фактическое значение за 2020 год</w:t>
            </w:r>
          </w:p>
        </w:tc>
      </w:tr>
      <w:tr w:rsidR="00C500F2" w:rsidRPr="00CE0DB8" w14:paraId="3FF59BCB" w14:textId="77777777" w:rsidTr="0087358B">
        <w:tc>
          <w:tcPr>
            <w:tcW w:w="6062" w:type="dxa"/>
          </w:tcPr>
          <w:p w14:paraId="51C002C4" w14:textId="77777777" w:rsidR="00C500F2" w:rsidRPr="00CE0DB8" w:rsidRDefault="00C500F2" w:rsidP="008735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E0DB8">
              <w:rPr>
                <w:rFonts w:eastAsiaTheme="minorHAnsi"/>
                <w:sz w:val="20"/>
                <w:szCs w:val="20"/>
                <w:lang w:eastAsia="en-US"/>
              </w:rPr>
              <w:t>Количество восстановленных воинских захоронений (ежегодно)</w:t>
            </w:r>
          </w:p>
        </w:tc>
        <w:tc>
          <w:tcPr>
            <w:tcW w:w="1134" w:type="dxa"/>
          </w:tcPr>
          <w:p w14:paraId="4E370819" w14:textId="77777777" w:rsidR="00C500F2" w:rsidRPr="00CE0DB8" w:rsidRDefault="00C500F2" w:rsidP="00873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E0DB8">
              <w:rPr>
                <w:rFonts w:eastAsiaTheme="minorHAnsi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</w:tcPr>
          <w:p w14:paraId="303E7A54" w14:textId="77777777" w:rsidR="00C500F2" w:rsidRPr="00CE0DB8" w:rsidRDefault="00C500F2" w:rsidP="00873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E0DB8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82" w:type="dxa"/>
          </w:tcPr>
          <w:p w14:paraId="67E7BAC9" w14:textId="77777777" w:rsidR="00C500F2" w:rsidRPr="00CE0DB8" w:rsidRDefault="00C500F2" w:rsidP="00873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E0DB8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</w:tr>
      <w:tr w:rsidR="00C500F2" w:rsidRPr="00CE0DB8" w14:paraId="0D762389" w14:textId="77777777" w:rsidTr="0087358B">
        <w:tc>
          <w:tcPr>
            <w:tcW w:w="6062" w:type="dxa"/>
          </w:tcPr>
          <w:p w14:paraId="4C668E5E" w14:textId="77777777" w:rsidR="00C500F2" w:rsidRPr="00CE0DB8" w:rsidRDefault="00C500F2" w:rsidP="008735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E0DB8">
              <w:rPr>
                <w:rFonts w:eastAsiaTheme="minorHAnsi"/>
                <w:sz w:val="20"/>
                <w:szCs w:val="20"/>
                <w:lang w:eastAsia="en-US"/>
              </w:rPr>
              <w:t>Количество установленных мемориальных знаков на воинских захоронениях (ежегодно)</w:t>
            </w:r>
          </w:p>
        </w:tc>
        <w:tc>
          <w:tcPr>
            <w:tcW w:w="1134" w:type="dxa"/>
          </w:tcPr>
          <w:p w14:paraId="15707AE7" w14:textId="77777777" w:rsidR="00C500F2" w:rsidRPr="00CE0DB8" w:rsidRDefault="00C500F2" w:rsidP="0087358B">
            <w:pPr>
              <w:jc w:val="center"/>
            </w:pPr>
            <w:r w:rsidRPr="00CE0DB8">
              <w:rPr>
                <w:rFonts w:eastAsiaTheme="minorHAnsi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</w:tcPr>
          <w:p w14:paraId="17279FBA" w14:textId="77777777" w:rsidR="00C500F2" w:rsidRPr="00CE0DB8" w:rsidRDefault="00C500F2" w:rsidP="00873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E0DB8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82" w:type="dxa"/>
          </w:tcPr>
          <w:p w14:paraId="662751B3" w14:textId="77777777" w:rsidR="00C500F2" w:rsidRPr="00CE0DB8" w:rsidRDefault="00C500F2" w:rsidP="00873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E0DB8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</w:tr>
      <w:tr w:rsidR="00C500F2" w:rsidRPr="00CE0DB8" w14:paraId="7D1CA675" w14:textId="77777777" w:rsidTr="0087358B">
        <w:tc>
          <w:tcPr>
            <w:tcW w:w="6062" w:type="dxa"/>
          </w:tcPr>
          <w:p w14:paraId="083DFAA4" w14:textId="77777777" w:rsidR="00C500F2" w:rsidRPr="00CE0DB8" w:rsidRDefault="00C500F2" w:rsidP="008735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E0DB8">
              <w:rPr>
                <w:rFonts w:eastAsiaTheme="minorHAnsi"/>
                <w:sz w:val="20"/>
                <w:szCs w:val="20"/>
                <w:lang w:eastAsia="en-US"/>
              </w:rPr>
              <w:t>Количество имен погибших при защите Отечества, нанесенных на мемориальные сооружения воинских захоронений по месту захоронения (нарастающим итогом)</w:t>
            </w:r>
          </w:p>
        </w:tc>
        <w:tc>
          <w:tcPr>
            <w:tcW w:w="1134" w:type="dxa"/>
          </w:tcPr>
          <w:p w14:paraId="4CC51E13" w14:textId="77777777" w:rsidR="00C500F2" w:rsidRPr="00CE0DB8" w:rsidRDefault="00C500F2" w:rsidP="0087358B">
            <w:pPr>
              <w:jc w:val="center"/>
            </w:pPr>
            <w:r w:rsidRPr="00CE0DB8">
              <w:rPr>
                <w:rFonts w:eastAsiaTheme="minorHAnsi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</w:tcPr>
          <w:p w14:paraId="411F9718" w14:textId="77777777" w:rsidR="00C500F2" w:rsidRPr="00CE0DB8" w:rsidRDefault="00C500F2" w:rsidP="00873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E0DB8">
              <w:rPr>
                <w:rFonts w:eastAsiaTheme="minorHAnsi"/>
                <w:sz w:val="20"/>
                <w:szCs w:val="20"/>
                <w:lang w:eastAsia="en-US"/>
              </w:rPr>
              <w:t>184</w:t>
            </w:r>
          </w:p>
        </w:tc>
        <w:tc>
          <w:tcPr>
            <w:tcW w:w="1382" w:type="dxa"/>
          </w:tcPr>
          <w:p w14:paraId="73F4458A" w14:textId="77777777" w:rsidR="00C500F2" w:rsidRPr="00CE0DB8" w:rsidRDefault="00C500F2" w:rsidP="00873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E0DB8">
              <w:rPr>
                <w:rFonts w:eastAsiaTheme="minorHAnsi"/>
                <w:sz w:val="20"/>
                <w:szCs w:val="20"/>
                <w:lang w:eastAsia="en-US"/>
              </w:rPr>
              <w:t>184</w:t>
            </w:r>
          </w:p>
        </w:tc>
      </w:tr>
    </w:tbl>
    <w:p w14:paraId="4F2AC2ED" w14:textId="77777777" w:rsidR="002C247E" w:rsidRPr="00CE0DB8" w:rsidRDefault="002C247E" w:rsidP="00C500F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14:paraId="3684D1A5" w14:textId="5C0C67B3" w:rsidR="00C500F2" w:rsidRPr="00CE0DB8" w:rsidRDefault="00C500F2" w:rsidP="00C500F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E0DB8">
        <w:rPr>
          <w:rFonts w:eastAsiaTheme="minorHAnsi"/>
          <w:lang w:eastAsia="en-US"/>
        </w:rPr>
        <w:t>В рамках реализации ВЦП предусмотрена реализация трех мероприятий</w:t>
      </w:r>
      <w:r w:rsidR="002060D8" w:rsidRPr="00CE0DB8">
        <w:rPr>
          <w:rFonts w:eastAsiaTheme="minorHAnsi"/>
          <w:lang w:eastAsia="en-US"/>
        </w:rPr>
        <w:t>:</w:t>
      </w:r>
      <w:r w:rsidRPr="00CE0DB8">
        <w:rPr>
          <w:rFonts w:eastAsiaTheme="minorHAnsi"/>
          <w:lang w:eastAsia="en-US"/>
        </w:rPr>
        <w:t xml:space="preserve"> проведение восстановительных работ, установка мемориальных знаков на воинских захоронениях, нанесение имен (воинских званий, фамилий и инициалов) погибших при защите Отечества на мемориальные сооружения воинских захоронений с общим объемом финансирования 1529,5 тыс. руб., из них за счет средств федерального бюджета 1183,8 тыс. руб., средств областного бюджета – 192,7 тыс. руб., средств местных бюджетов – 153 тыс. рублей. В 2020 году запланированные бюджетные ассигнования израсходованы в полном объеме.</w:t>
      </w:r>
    </w:p>
    <w:p w14:paraId="206B6EBA" w14:textId="75BFD99E" w:rsidR="00C500F2" w:rsidRPr="00CE0DB8" w:rsidRDefault="00C500F2" w:rsidP="00C500F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E0DB8">
        <w:rPr>
          <w:rFonts w:eastAsiaTheme="minorHAnsi"/>
          <w:lang w:eastAsia="en-US"/>
        </w:rPr>
        <w:t xml:space="preserve">Администрацией Волгоградской областью в 2020 году заключено Соглашение о предоставлении субсидии из федерального бюджета от 26.12.2019 № 187-09-2020-058 с Министерством обороны РФ, предметом которого является предоставление субсидии в сумме 1183,8 тыс. руб. на </w:t>
      </w:r>
      <w:proofErr w:type="spellStart"/>
      <w:r w:rsidRPr="00CE0DB8">
        <w:rPr>
          <w:rFonts w:eastAsiaTheme="minorHAnsi"/>
          <w:lang w:eastAsia="en-US"/>
        </w:rPr>
        <w:t>софинансирование</w:t>
      </w:r>
      <w:proofErr w:type="spellEnd"/>
      <w:r w:rsidRPr="00CE0DB8">
        <w:rPr>
          <w:rFonts w:eastAsiaTheme="minorHAnsi"/>
          <w:lang w:eastAsia="en-US"/>
        </w:rPr>
        <w:t xml:space="preserve"> расходных обязательств субъектов РФ, связанных с реализацией ФЦП «Увековечение памяти погибших при защите отечества на 2019 - 2024 годы, утвержденных постановлением Правительства РФ от 10.08.2019 № 1036» (далее - Постановление № 1036, ФЦП Увековечение памяти погибших)</w:t>
      </w:r>
      <w:r w:rsidR="00CE1E07" w:rsidRPr="00CE0DB8">
        <w:rPr>
          <w:rFonts w:eastAsiaTheme="minorHAnsi"/>
          <w:lang w:eastAsia="en-US"/>
        </w:rPr>
        <w:t>, которым установлены целевые показатели результативности использования субсидии (таблица № 5).</w:t>
      </w:r>
    </w:p>
    <w:p w14:paraId="5483897F" w14:textId="77777777" w:rsidR="0087358B" w:rsidRPr="00CE0DB8" w:rsidRDefault="004D697F" w:rsidP="0087358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8" w:history="1">
        <w:r w:rsidR="0087358B" w:rsidRPr="00CE0DB8">
          <w:rPr>
            <w:rFonts w:eastAsiaTheme="minorHAnsi"/>
            <w:lang w:eastAsia="en-US"/>
          </w:rPr>
          <w:t>Порядок</w:t>
        </w:r>
      </w:hyperlink>
      <w:r w:rsidR="0087358B" w:rsidRPr="00CE0DB8">
        <w:rPr>
          <w:rFonts w:eastAsiaTheme="minorHAnsi"/>
          <w:lang w:eastAsia="en-US"/>
        </w:rPr>
        <w:t xml:space="preserve"> предоставления и распределения в 2020 году субсидии из областного бюджета бюджетам муниципальных образований Волгоградской области на </w:t>
      </w:r>
      <w:proofErr w:type="spellStart"/>
      <w:r w:rsidR="0087358B" w:rsidRPr="00CE0DB8">
        <w:rPr>
          <w:rFonts w:eastAsiaTheme="minorHAnsi"/>
          <w:lang w:eastAsia="en-US"/>
        </w:rPr>
        <w:t>софинансирование</w:t>
      </w:r>
      <w:proofErr w:type="spellEnd"/>
      <w:r w:rsidR="0087358B" w:rsidRPr="00CE0DB8">
        <w:rPr>
          <w:rFonts w:eastAsiaTheme="minorHAnsi"/>
          <w:lang w:eastAsia="en-US"/>
        </w:rPr>
        <w:t xml:space="preserve"> расходных обязательств, связанных с реализацией ФЦП Увековечение памяти погибших, утвержден постановлением Администрации Волгоградской области от 18.05.2020№ 280-п (далее - Порядок № 280-п).</w:t>
      </w:r>
    </w:p>
    <w:p w14:paraId="553EA241" w14:textId="62F32E0B" w:rsidR="0087358B" w:rsidRPr="00CE0DB8" w:rsidRDefault="0087358B" w:rsidP="0087358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E0DB8">
        <w:rPr>
          <w:rFonts w:eastAsiaTheme="minorHAnsi"/>
          <w:lang w:eastAsia="en-US"/>
        </w:rPr>
        <w:t>Согласно п. </w:t>
      </w:r>
      <w:r w:rsidRPr="00CE0DB8">
        <w:rPr>
          <w:rFonts w:eastAsiaTheme="minorHAnsi"/>
        </w:rPr>
        <w:t>4</w:t>
      </w:r>
      <w:r w:rsidR="00FA4CEF" w:rsidRPr="00CE0DB8">
        <w:rPr>
          <w:rFonts w:eastAsiaTheme="minorHAnsi"/>
        </w:rPr>
        <w:t xml:space="preserve"> </w:t>
      </w:r>
      <w:r w:rsidR="00CE1E07" w:rsidRPr="00CE0DB8">
        <w:rPr>
          <w:rFonts w:eastAsiaTheme="minorHAnsi"/>
          <w:lang w:eastAsia="en-US"/>
        </w:rPr>
        <w:t>п</w:t>
      </w:r>
      <w:r w:rsidRPr="00CE0DB8">
        <w:rPr>
          <w:rFonts w:eastAsiaTheme="minorHAnsi"/>
          <w:lang w:eastAsia="en-US"/>
        </w:rPr>
        <w:t xml:space="preserve">орядка </w:t>
      </w:r>
      <w:r w:rsidR="00CE1E07" w:rsidRPr="00CE0DB8">
        <w:rPr>
          <w:rFonts w:eastAsiaTheme="minorHAnsi"/>
          <w:lang w:eastAsia="en-US"/>
        </w:rPr>
        <w:t xml:space="preserve">предоставления и распределения в 2020 году субсидии из областного бюджета бюджетам муниципальных образований Волгоградской области на </w:t>
      </w:r>
      <w:proofErr w:type="spellStart"/>
      <w:r w:rsidR="00CE1E07" w:rsidRPr="00CE0DB8">
        <w:rPr>
          <w:rFonts w:eastAsiaTheme="minorHAnsi"/>
          <w:lang w:eastAsia="en-US"/>
        </w:rPr>
        <w:t>софинансирование</w:t>
      </w:r>
      <w:proofErr w:type="spellEnd"/>
      <w:r w:rsidR="00CE1E07" w:rsidRPr="00CE0DB8">
        <w:rPr>
          <w:rFonts w:eastAsiaTheme="minorHAnsi"/>
          <w:lang w:eastAsia="en-US"/>
        </w:rPr>
        <w:t xml:space="preserve"> расходных обязательств, связанных с реализацией ФЦП Увековечение памяти погибших, утвержденного постановлением Администрации Волгоградской области от 18.05.2020</w:t>
      </w:r>
      <w:r w:rsidR="00FA4CEF" w:rsidRPr="00CE0DB8">
        <w:rPr>
          <w:rFonts w:eastAsiaTheme="minorHAnsi"/>
          <w:lang w:eastAsia="en-US"/>
        </w:rPr>
        <w:t xml:space="preserve"> </w:t>
      </w:r>
      <w:r w:rsidR="00CE1E07" w:rsidRPr="00CE0DB8">
        <w:rPr>
          <w:rFonts w:eastAsiaTheme="minorHAnsi"/>
          <w:lang w:eastAsia="en-US"/>
        </w:rPr>
        <w:t>№ 280-п,</w:t>
      </w:r>
      <w:r w:rsidRPr="00CE0DB8">
        <w:rPr>
          <w:rFonts w:eastAsiaTheme="minorHAnsi"/>
          <w:lang w:eastAsia="en-US"/>
        </w:rPr>
        <w:t xml:space="preserve"> субсидия предоставляется муниципальным образованиям Волгоградской области, соответствующим критерию конкурсного отбора</w:t>
      </w:r>
      <w:r w:rsidR="00814C7D" w:rsidRPr="00CE0DB8">
        <w:rPr>
          <w:rFonts w:eastAsiaTheme="minorHAnsi"/>
          <w:lang w:eastAsia="en-US"/>
        </w:rPr>
        <w:t>,</w:t>
      </w:r>
      <w:r w:rsidRPr="00CE0DB8">
        <w:rPr>
          <w:rFonts w:eastAsiaTheme="minorHAnsi"/>
          <w:lang w:eastAsia="en-US"/>
        </w:rPr>
        <w:t xml:space="preserve"> - наличие на территории муниципального образования воинских захоронений, в отношении которых требуется реализация соответствующих мероприятий.</w:t>
      </w:r>
    </w:p>
    <w:p w14:paraId="5EE37EA3" w14:textId="77777777" w:rsidR="0087358B" w:rsidRPr="00CE0DB8" w:rsidRDefault="0087358B" w:rsidP="0087358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E0DB8">
        <w:rPr>
          <w:rFonts w:eastAsiaTheme="minorHAnsi"/>
          <w:lang w:eastAsia="en-US"/>
        </w:rPr>
        <w:t xml:space="preserve">В проверяемом периоде на участие в конкурсе подано только одно заявление, а именно 15.06.2020 № 2668 </w:t>
      </w:r>
      <w:r w:rsidR="002060D8" w:rsidRPr="00CE0DB8">
        <w:rPr>
          <w:rFonts w:eastAsiaTheme="minorHAnsi"/>
          <w:lang w:eastAsia="en-US"/>
        </w:rPr>
        <w:t xml:space="preserve">от </w:t>
      </w:r>
      <w:r w:rsidRPr="00CE0DB8">
        <w:rPr>
          <w:rFonts w:eastAsiaTheme="minorHAnsi"/>
          <w:lang w:eastAsia="en-US"/>
        </w:rPr>
        <w:t>Администраци</w:t>
      </w:r>
      <w:r w:rsidR="002060D8" w:rsidRPr="00CE0DB8">
        <w:rPr>
          <w:rFonts w:eastAsiaTheme="minorHAnsi"/>
          <w:lang w:eastAsia="en-US"/>
        </w:rPr>
        <w:t>и</w:t>
      </w:r>
      <w:r w:rsidRPr="00CE0DB8">
        <w:rPr>
          <w:rFonts w:eastAsiaTheme="minorHAnsi"/>
          <w:lang w:eastAsia="en-US"/>
        </w:rPr>
        <w:t xml:space="preserve"> Кумылженского муниципального района.</w:t>
      </w:r>
    </w:p>
    <w:p w14:paraId="587E2A0D" w14:textId="77777777" w:rsidR="0087358B" w:rsidRPr="00CE0DB8" w:rsidRDefault="0087358B" w:rsidP="0087358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E0DB8">
        <w:rPr>
          <w:rFonts w:eastAsiaTheme="minorHAnsi"/>
          <w:lang w:eastAsia="en-US"/>
        </w:rPr>
        <w:t>В соответствии с отчетом о достижении значений показателей результативности по состоянию на 01.01.2021 показатель «Количество установленных мемориальных знаков на воинских захоронениях» перевыполнен в 2 раза, а 2 других запланированных показателя выполнены на 100 процентов.</w:t>
      </w:r>
    </w:p>
    <w:p w14:paraId="7B2011B5" w14:textId="77777777" w:rsidR="0087358B" w:rsidRPr="00CE0DB8" w:rsidRDefault="0087358B" w:rsidP="0087358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E0DB8">
        <w:rPr>
          <w:rFonts w:eastAsiaTheme="minorHAnsi"/>
          <w:lang w:eastAsia="en-US"/>
        </w:rPr>
        <w:t>В 2020 году работы выполнены на братских могилах х. </w:t>
      </w:r>
      <w:proofErr w:type="spellStart"/>
      <w:r w:rsidRPr="00CE0DB8">
        <w:rPr>
          <w:rFonts w:eastAsiaTheme="minorHAnsi"/>
          <w:lang w:eastAsia="en-US"/>
        </w:rPr>
        <w:t>Заольховский</w:t>
      </w:r>
      <w:proofErr w:type="spellEnd"/>
      <w:r w:rsidRPr="00CE0DB8">
        <w:rPr>
          <w:rFonts w:eastAsiaTheme="minorHAnsi"/>
          <w:lang w:eastAsia="en-US"/>
        </w:rPr>
        <w:t>, Еланский, Попов и ст. Слащевская Кумылженского муниципального района.</w:t>
      </w:r>
    </w:p>
    <w:p w14:paraId="1854368E" w14:textId="263A4B0B" w:rsidR="0087358B" w:rsidRPr="00CE0DB8" w:rsidRDefault="0087358B" w:rsidP="0087358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E0DB8">
        <w:rPr>
          <w:rFonts w:eastAsiaTheme="minorHAnsi"/>
          <w:lang w:eastAsia="en-US"/>
        </w:rPr>
        <w:t>Согласно отчету о расходовании субсидии запланирован</w:t>
      </w:r>
      <w:r w:rsidR="002060D8" w:rsidRPr="00CE0DB8">
        <w:rPr>
          <w:rFonts w:eastAsiaTheme="minorHAnsi"/>
          <w:lang w:eastAsia="en-US"/>
        </w:rPr>
        <w:t>н</w:t>
      </w:r>
      <w:r w:rsidRPr="00CE0DB8">
        <w:rPr>
          <w:rFonts w:eastAsiaTheme="minorHAnsi"/>
          <w:lang w:eastAsia="en-US"/>
        </w:rPr>
        <w:t>ы</w:t>
      </w:r>
      <w:r w:rsidR="002060D8" w:rsidRPr="00CE0DB8">
        <w:rPr>
          <w:rFonts w:eastAsiaTheme="minorHAnsi"/>
          <w:lang w:eastAsia="en-US"/>
        </w:rPr>
        <w:t>й</w:t>
      </w:r>
      <w:r w:rsidRPr="00CE0DB8">
        <w:rPr>
          <w:rFonts w:eastAsiaTheme="minorHAnsi"/>
          <w:lang w:eastAsia="en-US"/>
        </w:rPr>
        <w:t xml:space="preserve"> объем средств 1529,5 тыс. руб. по состоянию на 01.01.2021 израсходован в полном объеме.</w:t>
      </w:r>
    </w:p>
    <w:p w14:paraId="71BDAB57" w14:textId="77777777" w:rsidR="00F6667B" w:rsidRPr="00CE0DB8" w:rsidRDefault="00F6667B" w:rsidP="00174D2E">
      <w:pPr>
        <w:ind w:firstLine="720"/>
        <w:jc w:val="center"/>
        <w:rPr>
          <w:b/>
        </w:rPr>
      </w:pPr>
      <w:r w:rsidRPr="00CE0DB8">
        <w:rPr>
          <w:b/>
        </w:rPr>
        <w:lastRenderedPageBreak/>
        <w:t>Анализ исполнения Комитетом переданных полномочий</w:t>
      </w:r>
    </w:p>
    <w:p w14:paraId="14632CEF" w14:textId="77777777" w:rsidR="00174D2E" w:rsidRPr="00CE0DB8" w:rsidRDefault="00174D2E" w:rsidP="00174D2E">
      <w:pPr>
        <w:ind w:firstLine="720"/>
        <w:jc w:val="center"/>
        <w:rPr>
          <w:b/>
        </w:rPr>
      </w:pPr>
    </w:p>
    <w:p w14:paraId="3BBF77E9" w14:textId="77777777" w:rsidR="00F6667B" w:rsidRPr="00CE0DB8" w:rsidRDefault="00F6667B" w:rsidP="000D54A1">
      <w:pPr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r w:rsidRPr="00CE0DB8">
        <w:rPr>
          <w:rFonts w:eastAsiaTheme="minorHAnsi"/>
        </w:rPr>
        <w:t xml:space="preserve">В соответствии с п.1 ст.9.1 Федерального закона от 25.06.2002 №73-ФЗ «Об объектах культурного наследия (памятниках истории и культуры) народов РФ» (далее Закон №73-ФЗ) и п.2.2. </w:t>
      </w:r>
      <w:r w:rsidR="00814C7D" w:rsidRPr="00CE0DB8">
        <w:t xml:space="preserve">постановления Губернатора Волгоградской области от 19.12.2016 № 697-п «Об утверждении положения о комитете государственной охраны объектов культурного наследия Волгоградской области» </w:t>
      </w:r>
      <w:r w:rsidRPr="00CE0DB8">
        <w:rPr>
          <w:rFonts w:eastAsiaTheme="minorHAnsi"/>
        </w:rPr>
        <w:t xml:space="preserve">Комитет в отношении </w:t>
      </w:r>
      <w:r w:rsidR="00EE4B8A" w:rsidRPr="00CE0DB8">
        <w:rPr>
          <w:rFonts w:eastAsiaTheme="minorHAnsi"/>
        </w:rPr>
        <w:t>ОКН</w:t>
      </w:r>
      <w:r w:rsidRPr="00CE0DB8">
        <w:rPr>
          <w:rFonts w:eastAsiaTheme="minorHAnsi"/>
        </w:rPr>
        <w:t xml:space="preserve"> федерального значения (за исключением отдельных объектов культурного наследия, перечень которых устанавливается Правительством РФ) осуществляет полномочия, переданные РФ, по государственной охране ОКН и государственн</w:t>
      </w:r>
      <w:r w:rsidR="009946CB" w:rsidRPr="00CE0DB8">
        <w:rPr>
          <w:rFonts w:eastAsiaTheme="minorHAnsi"/>
        </w:rPr>
        <w:t>ому</w:t>
      </w:r>
      <w:r w:rsidRPr="00CE0DB8">
        <w:rPr>
          <w:rFonts w:eastAsiaTheme="minorHAnsi"/>
        </w:rPr>
        <w:t xml:space="preserve"> надзор</w:t>
      </w:r>
      <w:r w:rsidR="009946CB" w:rsidRPr="00CE0DB8">
        <w:rPr>
          <w:rFonts w:eastAsiaTheme="minorHAnsi"/>
        </w:rPr>
        <w:t>у</w:t>
      </w:r>
      <w:r w:rsidRPr="00CE0DB8">
        <w:rPr>
          <w:rFonts w:eastAsiaTheme="minorHAnsi"/>
        </w:rPr>
        <w:t xml:space="preserve"> в области охраны ОКН (далее </w:t>
      </w:r>
      <w:r w:rsidR="009D03EE" w:rsidRPr="00CE0DB8">
        <w:rPr>
          <w:rFonts w:eastAsiaTheme="minorHAnsi"/>
        </w:rPr>
        <w:t xml:space="preserve">- </w:t>
      </w:r>
      <w:r w:rsidRPr="00CE0DB8">
        <w:rPr>
          <w:rFonts w:eastAsiaTheme="minorHAnsi"/>
        </w:rPr>
        <w:t>переданные полномочия).</w:t>
      </w:r>
    </w:p>
    <w:p w14:paraId="3B67EA21" w14:textId="13C8DEF5" w:rsidR="00BD1707" w:rsidRPr="00CE0DB8" w:rsidRDefault="00BD1707" w:rsidP="00BD170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</w:rPr>
      </w:pPr>
      <w:r w:rsidRPr="00CE0DB8">
        <w:rPr>
          <w:rFonts w:eastAsiaTheme="minorHAnsi"/>
        </w:rPr>
        <w:t>Объем субвенции на 2020 год составил 7413,5 тыс. руб., или на 3,8 % больше, чем расчетный размер субвенции на 2019 год (7142 тыс. руб.)</w:t>
      </w:r>
      <w:r w:rsidR="00814C7D" w:rsidRPr="00CE0DB8">
        <w:rPr>
          <w:rFonts w:eastAsiaTheme="minorHAnsi"/>
        </w:rPr>
        <w:t>,</w:t>
      </w:r>
      <w:r w:rsidR="009D03EE" w:rsidRPr="00CE0DB8">
        <w:rPr>
          <w:rFonts w:eastAsiaTheme="minorHAnsi"/>
        </w:rPr>
        <w:t xml:space="preserve"> в связи с увеличением расходов на оплату труда работников, осуществляющих переданные полномочия.</w:t>
      </w:r>
    </w:p>
    <w:p w14:paraId="1C8DCE94" w14:textId="77777777" w:rsidR="00F6667B" w:rsidRPr="00CE0DB8" w:rsidRDefault="00F6667B" w:rsidP="000D54A1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</w:rPr>
      </w:pPr>
      <w:r w:rsidRPr="00CE0DB8">
        <w:rPr>
          <w:rFonts w:eastAsiaTheme="minorHAnsi"/>
        </w:rPr>
        <w:t>Кассовое исполнение за счет средств федерального бюджета в 20</w:t>
      </w:r>
      <w:r w:rsidR="00BD1707" w:rsidRPr="00CE0DB8">
        <w:rPr>
          <w:rFonts w:eastAsiaTheme="minorHAnsi"/>
        </w:rPr>
        <w:t>20</w:t>
      </w:r>
      <w:r w:rsidRPr="00CE0DB8">
        <w:rPr>
          <w:rFonts w:eastAsiaTheme="minorHAnsi"/>
        </w:rPr>
        <w:t xml:space="preserve"> году составило </w:t>
      </w:r>
      <w:r w:rsidR="00BD1707" w:rsidRPr="00CE0DB8">
        <w:rPr>
          <w:rFonts w:eastAsiaTheme="minorHAnsi"/>
        </w:rPr>
        <w:t>7 410,4 </w:t>
      </w:r>
      <w:r w:rsidRPr="00CE0DB8">
        <w:rPr>
          <w:rFonts w:eastAsiaTheme="minorHAnsi"/>
        </w:rPr>
        <w:t>тыс.</w:t>
      </w:r>
      <w:r w:rsidR="00BD1707" w:rsidRPr="00CE0DB8">
        <w:rPr>
          <w:rFonts w:eastAsiaTheme="minorHAnsi"/>
        </w:rPr>
        <w:t> </w:t>
      </w:r>
      <w:r w:rsidRPr="00CE0DB8">
        <w:rPr>
          <w:rFonts w:eastAsiaTheme="minorHAnsi"/>
        </w:rPr>
        <w:t xml:space="preserve">руб., неисполненные назначения составили </w:t>
      </w:r>
      <w:r w:rsidR="00BD1707" w:rsidRPr="00CE0DB8">
        <w:rPr>
          <w:rFonts w:eastAsiaTheme="minorHAnsi"/>
        </w:rPr>
        <w:t>3,1 </w:t>
      </w:r>
      <w:r w:rsidRPr="00CE0DB8">
        <w:rPr>
          <w:rFonts w:eastAsiaTheme="minorHAnsi"/>
        </w:rPr>
        <w:t>тыс.</w:t>
      </w:r>
      <w:r w:rsidR="00BD1707" w:rsidRPr="00CE0DB8">
        <w:rPr>
          <w:rFonts w:eastAsiaTheme="minorHAnsi"/>
        </w:rPr>
        <w:t> </w:t>
      </w:r>
      <w:r w:rsidRPr="00CE0DB8">
        <w:rPr>
          <w:rFonts w:eastAsiaTheme="minorHAnsi"/>
        </w:rPr>
        <w:t xml:space="preserve">рублей. </w:t>
      </w:r>
    </w:p>
    <w:p w14:paraId="073ACE66" w14:textId="77777777" w:rsidR="00F6667B" w:rsidRPr="00CE0DB8" w:rsidRDefault="00F6667B" w:rsidP="000D54A1">
      <w:pPr>
        <w:ind w:firstLine="709"/>
        <w:jc w:val="both"/>
      </w:pPr>
      <w:r w:rsidRPr="00CE0DB8">
        <w:t>Кроме того, следует отметить, что расчет объема субвенции Министерством культуры РФ на 20</w:t>
      </w:r>
      <w:r w:rsidR="00BD1707" w:rsidRPr="00CE0DB8">
        <w:t>20</w:t>
      </w:r>
      <w:r w:rsidRPr="00CE0DB8">
        <w:t xml:space="preserve"> год произведен на 1157 ОКН (36 ед. памятников истории и культуры +1121 ед. объект</w:t>
      </w:r>
      <w:r w:rsidR="00780C53" w:rsidRPr="00CE0DB8">
        <w:t>ов археологического наследия).</w:t>
      </w:r>
    </w:p>
    <w:p w14:paraId="760CCF3B" w14:textId="77777777" w:rsidR="00F6667B" w:rsidRPr="00CE0DB8" w:rsidRDefault="00F6667B" w:rsidP="000D54A1">
      <w:pPr>
        <w:ind w:firstLine="709"/>
        <w:jc w:val="both"/>
      </w:pPr>
      <w:r w:rsidRPr="00CE0DB8">
        <w:t xml:space="preserve">При этом по данным формы статистического наблюдения ОКН №1-ОПИК </w:t>
      </w:r>
      <w:r w:rsidR="00BD1707" w:rsidRPr="00CE0DB8">
        <w:t>«</w:t>
      </w:r>
      <w:r w:rsidRPr="00CE0DB8">
        <w:t>Сведения об объектах культурного наследия</w:t>
      </w:r>
      <w:r w:rsidR="00BD1707" w:rsidRPr="00CE0DB8">
        <w:t>»</w:t>
      </w:r>
      <w:r w:rsidRPr="00CE0DB8">
        <w:t xml:space="preserve"> за 201</w:t>
      </w:r>
      <w:r w:rsidR="00BD1707" w:rsidRPr="00CE0DB8">
        <w:t>9</w:t>
      </w:r>
      <w:r w:rsidRPr="00CE0DB8">
        <w:t xml:space="preserve"> год на территории Волго</w:t>
      </w:r>
      <w:r w:rsidR="00BD1707" w:rsidRPr="00CE0DB8">
        <w:t>градской области расположено 1293</w:t>
      </w:r>
      <w:r w:rsidRPr="00CE0DB8">
        <w:t xml:space="preserve"> ОКН федерального значения, из них 2</w:t>
      </w:r>
      <w:r w:rsidR="00BD1707" w:rsidRPr="00CE0DB8">
        <w:t>9</w:t>
      </w:r>
      <w:r w:rsidRPr="00CE0DB8">
        <w:t xml:space="preserve"> ОКН федерального значения, полномочия по государственной охране которых осуществляются Министерством культуры РФ.</w:t>
      </w:r>
    </w:p>
    <w:p w14:paraId="647702C4" w14:textId="77777777" w:rsidR="00F6667B" w:rsidRPr="00CE0DB8" w:rsidRDefault="00F6667B" w:rsidP="000D54A1">
      <w:pPr>
        <w:ind w:firstLine="709"/>
        <w:jc w:val="both"/>
      </w:pPr>
      <w:r w:rsidRPr="00CE0DB8">
        <w:t>В соответствии со ст. 64 Закона № 73-ФЗ к ОКН федерального значения, принятым на государственную охрану в соответствии с законодательством РФ, относятся ОКН</w:t>
      </w:r>
      <w:r w:rsidR="009946CB" w:rsidRPr="00CE0DB8">
        <w:t>,</w:t>
      </w:r>
      <w:r w:rsidRPr="00CE0DB8">
        <w:t xml:space="preserve"> включенные в Единый государственный реестр объектов культурного наследия (памятников истории и культуры) народов РФ (далее – Единый реестр) и одновременно зарегистрированные в Едином реестре на основании п. 5 Положения о едином государственном реестре объектов культурного наследия (памятников истории и культуры) народов РФ, утвержденного приказом Министерства культуры РФ от 03.10.2011 № 954. Регистрация Министерством культуры РФ в Едином реестре осуществляется посредством присвоения ОКН регистрационных номеров.</w:t>
      </w:r>
    </w:p>
    <w:p w14:paraId="44B20E9E" w14:textId="1C1E222A" w:rsidR="00F6667B" w:rsidRPr="00CE0DB8" w:rsidRDefault="0041754E" w:rsidP="000D54A1">
      <w:pPr>
        <w:ind w:firstLine="709"/>
        <w:jc w:val="both"/>
      </w:pPr>
      <w:r w:rsidRPr="00CE0DB8">
        <w:t xml:space="preserve">По пояснениям Комитета </w:t>
      </w:r>
      <w:r w:rsidR="00F6667B" w:rsidRPr="00CE0DB8">
        <w:t>в Единый реестр внесены сведения о 12</w:t>
      </w:r>
      <w:r w:rsidRPr="00CE0DB8">
        <w:t>93</w:t>
      </w:r>
      <w:r w:rsidR="00F6667B" w:rsidRPr="00CE0DB8">
        <w:t xml:space="preserve"> ОКН, однако из них только </w:t>
      </w:r>
      <w:r w:rsidR="00471F84" w:rsidRPr="00CE0DB8">
        <w:t>1186 ОКН (</w:t>
      </w:r>
      <w:r w:rsidR="00F6667B" w:rsidRPr="00CE0DB8">
        <w:t>1157</w:t>
      </w:r>
      <w:r w:rsidR="00471F84" w:rsidRPr="00CE0DB8">
        <w:t>+29)</w:t>
      </w:r>
      <w:r w:rsidR="00F6667B" w:rsidRPr="00CE0DB8">
        <w:t xml:space="preserve"> пр</w:t>
      </w:r>
      <w:r w:rsidRPr="00CE0DB8">
        <w:t>исвоены регистрационные номера.</w:t>
      </w:r>
    </w:p>
    <w:p w14:paraId="7DE78F13" w14:textId="77777777" w:rsidR="00F6667B" w:rsidRPr="00CE0DB8" w:rsidRDefault="00F6667B" w:rsidP="000D54A1">
      <w:pPr>
        <w:ind w:firstLine="709"/>
        <w:jc w:val="both"/>
      </w:pPr>
      <w:r w:rsidRPr="00CE0DB8">
        <w:t>Таким образом, на момент проверки имеется несоответствие общего количества ОКН федерального значения по данным федерального статистического наблюдения и данным Единого реестра о ко</w:t>
      </w:r>
      <w:r w:rsidR="00BD1707" w:rsidRPr="00CE0DB8">
        <w:t>личестве зарегистрированных ОКН</w:t>
      </w:r>
      <w:r w:rsidRPr="00CE0DB8">
        <w:t xml:space="preserve"> и, как следствие, в расчете субвенции на 20</w:t>
      </w:r>
      <w:r w:rsidR="008C0C85" w:rsidRPr="00CE0DB8">
        <w:t>20</w:t>
      </w:r>
      <w:r w:rsidRPr="00CE0DB8">
        <w:t xml:space="preserve"> год Министерством культуры не были </w:t>
      </w:r>
      <w:r w:rsidR="00BD1707" w:rsidRPr="00CE0DB8">
        <w:t>учтены 107 ОКН (1293-29-1157).</w:t>
      </w:r>
    </w:p>
    <w:p w14:paraId="3768B747" w14:textId="77777777" w:rsidR="00F6667B" w:rsidRPr="00CE0DB8" w:rsidRDefault="00F6667B" w:rsidP="000D54A1">
      <w:pPr>
        <w:ind w:firstLine="709"/>
        <w:jc w:val="both"/>
        <w:rPr>
          <w:rFonts w:eastAsiaTheme="minorHAnsi"/>
        </w:rPr>
      </w:pPr>
      <w:r w:rsidRPr="00CE0DB8">
        <w:rPr>
          <w:rFonts w:eastAsiaTheme="minorHAnsi"/>
        </w:rPr>
        <w:t>В соответствии с Постановлением №</w:t>
      </w:r>
      <w:r w:rsidR="00E3367A" w:rsidRPr="00CE0DB8">
        <w:rPr>
          <w:rFonts w:eastAsiaTheme="minorHAnsi"/>
        </w:rPr>
        <w:t> </w:t>
      </w:r>
      <w:r w:rsidRPr="00CE0DB8">
        <w:rPr>
          <w:rFonts w:eastAsiaTheme="minorHAnsi"/>
        </w:rPr>
        <w:t>1183 расчетная штатная численность на исполнение переданных полномочий РФ по их государственной охране на 10</w:t>
      </w:r>
      <w:r w:rsidR="00174D2E" w:rsidRPr="00CE0DB8">
        <w:rPr>
          <w:rFonts w:eastAsiaTheme="minorHAnsi"/>
        </w:rPr>
        <w:t>7</w:t>
      </w:r>
      <w:r w:rsidRPr="00CE0DB8">
        <w:rPr>
          <w:rFonts w:eastAsiaTheme="minorHAnsi"/>
        </w:rPr>
        <w:t xml:space="preserve"> ОКН составляет 1 ед., соответственно объем недополученной субвенции составляет </w:t>
      </w:r>
      <w:r w:rsidR="00E3367A" w:rsidRPr="00CE0DB8">
        <w:rPr>
          <w:rFonts w:eastAsiaTheme="minorHAnsi"/>
        </w:rPr>
        <w:t>692,9 </w:t>
      </w:r>
      <w:r w:rsidRPr="00CE0DB8">
        <w:rPr>
          <w:rFonts w:eastAsiaTheme="minorHAnsi"/>
        </w:rPr>
        <w:t>тыс.</w:t>
      </w:r>
      <w:r w:rsidR="00E3367A" w:rsidRPr="00CE0DB8">
        <w:rPr>
          <w:rFonts w:eastAsiaTheme="minorHAnsi"/>
        </w:rPr>
        <w:t> руб.,</w:t>
      </w:r>
      <w:r w:rsidRPr="00CE0DB8">
        <w:t xml:space="preserve"> что</w:t>
      </w:r>
      <w:r w:rsidRPr="00CE0DB8">
        <w:rPr>
          <w:rFonts w:eastAsiaTheme="minorHAnsi"/>
        </w:rPr>
        <w:t xml:space="preserve"> влечет риски ненадлежащего исполнения переданных полномочий.</w:t>
      </w:r>
    </w:p>
    <w:p w14:paraId="474BDD82" w14:textId="7E314E33" w:rsidR="00E3367A" w:rsidRPr="00CE0DB8" w:rsidRDefault="00E3367A" w:rsidP="00E3367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E0DB8">
        <w:rPr>
          <w:rFonts w:eastAsiaTheme="minorHAnsi"/>
          <w:lang w:eastAsia="en-US"/>
        </w:rPr>
        <w:t>Доля ОКН</w:t>
      </w:r>
      <w:r w:rsidR="00814C7D" w:rsidRPr="00CE0DB8">
        <w:rPr>
          <w:rFonts w:eastAsiaTheme="minorHAnsi"/>
          <w:lang w:eastAsia="en-US"/>
        </w:rPr>
        <w:t>,</w:t>
      </w:r>
      <w:r w:rsidRPr="00CE0DB8">
        <w:rPr>
          <w:rFonts w:eastAsiaTheme="minorHAnsi"/>
          <w:lang w:eastAsia="en-US"/>
        </w:rPr>
        <w:t xml:space="preserve"> в отношении которых были осуществлены Комитетом плановые мероприятия по контролю за их состояниям, в общем числе объектов культурного наследия федерального значения за 2020год составило 27,3 % (345 ед./</w:t>
      </w:r>
      <w:r w:rsidR="008353DC" w:rsidRPr="00CE0DB8">
        <w:rPr>
          <w:rFonts w:eastAsiaTheme="minorHAnsi"/>
          <w:lang w:eastAsia="en-US"/>
        </w:rPr>
        <w:t xml:space="preserve"> </w:t>
      </w:r>
      <w:r w:rsidRPr="00CE0DB8">
        <w:rPr>
          <w:rFonts w:eastAsiaTheme="minorHAnsi"/>
          <w:lang w:eastAsia="en-US"/>
        </w:rPr>
        <w:t>(12</w:t>
      </w:r>
      <w:r w:rsidR="00814C7D" w:rsidRPr="00CE0DB8">
        <w:rPr>
          <w:rFonts w:eastAsiaTheme="minorHAnsi"/>
          <w:lang w:eastAsia="en-US"/>
        </w:rPr>
        <w:t>93</w:t>
      </w:r>
      <w:r w:rsidRPr="00CE0DB8">
        <w:rPr>
          <w:rFonts w:eastAsiaTheme="minorHAnsi"/>
          <w:lang w:eastAsia="en-US"/>
        </w:rPr>
        <w:t xml:space="preserve">-29 </w:t>
      </w:r>
      <w:proofErr w:type="gramStart"/>
      <w:r w:rsidRPr="00CE0DB8">
        <w:rPr>
          <w:rFonts w:eastAsiaTheme="minorHAnsi"/>
          <w:lang w:eastAsia="en-US"/>
        </w:rPr>
        <w:t>ед.)*</w:t>
      </w:r>
      <w:proofErr w:type="gramEnd"/>
      <w:r w:rsidRPr="00CE0DB8">
        <w:rPr>
          <w:rFonts w:eastAsiaTheme="minorHAnsi"/>
          <w:lang w:eastAsia="en-US"/>
        </w:rPr>
        <w:t>100), что превышает целевое значение</w:t>
      </w:r>
      <w:r w:rsidR="00282ED0" w:rsidRPr="00CE0DB8">
        <w:rPr>
          <w:rFonts w:eastAsiaTheme="minorHAnsi"/>
          <w:lang w:eastAsia="en-US"/>
        </w:rPr>
        <w:t xml:space="preserve">, установленное </w:t>
      </w:r>
      <w:r w:rsidR="002F5F38" w:rsidRPr="00CE0DB8">
        <w:rPr>
          <w:rFonts w:eastAsiaTheme="minorHAnsi"/>
          <w:lang w:eastAsia="en-US"/>
        </w:rPr>
        <w:t>п</w:t>
      </w:r>
      <w:r w:rsidR="00282ED0" w:rsidRPr="00CE0DB8">
        <w:rPr>
          <w:rFonts w:eastAsiaTheme="minorHAnsi"/>
          <w:lang w:eastAsia="en-US"/>
        </w:rPr>
        <w:t>риказом Министерства культуры РФ от 20.04.2016 № 876 в размере 20 процентов.</w:t>
      </w:r>
    </w:p>
    <w:p w14:paraId="447D9F57" w14:textId="77777777" w:rsidR="004D690F" w:rsidRPr="00CE0DB8" w:rsidRDefault="004D690F" w:rsidP="002C247E">
      <w:pPr>
        <w:ind w:firstLine="680"/>
        <w:jc w:val="center"/>
        <w:rPr>
          <w:b/>
        </w:rPr>
      </w:pPr>
    </w:p>
    <w:p w14:paraId="2256A1A7" w14:textId="77777777" w:rsidR="009432E9" w:rsidRPr="00CE0DB8" w:rsidRDefault="009432E9" w:rsidP="002C247E">
      <w:pPr>
        <w:ind w:firstLine="680"/>
        <w:jc w:val="center"/>
        <w:rPr>
          <w:b/>
        </w:rPr>
      </w:pPr>
      <w:r w:rsidRPr="00CE0DB8">
        <w:rPr>
          <w:b/>
        </w:rPr>
        <w:t>Состояние внутреннего финансового аудита</w:t>
      </w:r>
    </w:p>
    <w:p w14:paraId="70843D5C" w14:textId="77777777" w:rsidR="002C247E" w:rsidRPr="00CE0DB8" w:rsidRDefault="002C247E" w:rsidP="002C247E">
      <w:pPr>
        <w:ind w:firstLine="680"/>
        <w:jc w:val="center"/>
        <w:rPr>
          <w:b/>
        </w:rPr>
      </w:pPr>
    </w:p>
    <w:p w14:paraId="1C32ED62" w14:textId="77777777" w:rsidR="009432E9" w:rsidRPr="00CE0DB8" w:rsidRDefault="009432E9" w:rsidP="000D54A1">
      <w:pPr>
        <w:ind w:firstLine="709"/>
        <w:jc w:val="both"/>
      </w:pPr>
      <w:r w:rsidRPr="00CE0DB8">
        <w:t xml:space="preserve">В структуре Комитета предусмотрен </w:t>
      </w:r>
      <w:r w:rsidR="00BE3AC9" w:rsidRPr="00CE0DB8">
        <w:t xml:space="preserve">сектор финансового </w:t>
      </w:r>
      <w:r w:rsidRPr="00CE0DB8">
        <w:t xml:space="preserve">аудита. В соответствии с </w:t>
      </w:r>
      <w:r w:rsidR="009946CB" w:rsidRPr="00CE0DB8">
        <w:t>П</w:t>
      </w:r>
      <w:r w:rsidRPr="00CE0DB8">
        <w:t>оложением о</w:t>
      </w:r>
      <w:r w:rsidR="00BE3AC9" w:rsidRPr="00CE0DB8">
        <w:t xml:space="preserve"> секторе внутреннего финансового аудита</w:t>
      </w:r>
      <w:r w:rsidRPr="00CE0DB8">
        <w:t xml:space="preserve">, утвержденным председателем Комитета </w:t>
      </w:r>
      <w:r w:rsidR="00BE3AC9" w:rsidRPr="00CE0DB8">
        <w:t>19.12.2017 №</w:t>
      </w:r>
      <w:r w:rsidR="000D54A1" w:rsidRPr="00CE0DB8">
        <w:t> </w:t>
      </w:r>
      <w:r w:rsidR="00BE3AC9" w:rsidRPr="00CE0DB8">
        <w:t>195</w:t>
      </w:r>
      <w:r w:rsidRPr="00CE0DB8">
        <w:t xml:space="preserve">, </w:t>
      </w:r>
      <w:r w:rsidR="00BE3AC9" w:rsidRPr="00CE0DB8">
        <w:t>сектор</w:t>
      </w:r>
      <w:r w:rsidRPr="00CE0DB8">
        <w:t xml:space="preserve"> подчиняется непосредственно председателю Комитета.</w:t>
      </w:r>
    </w:p>
    <w:p w14:paraId="68C97EEC" w14:textId="77777777" w:rsidR="000D54A1" w:rsidRPr="00CE0DB8" w:rsidRDefault="000D54A1" w:rsidP="000D54A1">
      <w:pPr>
        <w:autoSpaceDE w:val="0"/>
        <w:autoSpaceDN w:val="0"/>
        <w:adjustRightInd w:val="0"/>
        <w:ind w:firstLine="709"/>
        <w:jc w:val="both"/>
        <w:rPr>
          <w:color w:val="000099"/>
        </w:rPr>
      </w:pPr>
      <w:r w:rsidRPr="00CE0DB8">
        <w:rPr>
          <w:rFonts w:eastAsia="Calibri"/>
        </w:rPr>
        <w:t xml:space="preserve">В 2020 году в соответствии с планом внутреннего финансового аудита на 2020 год, утвержденным приказом Комитета от 23.12.09.2019 № 291, Комитетом запланировано проведение 5 аудиторских проверок, которые согласно </w:t>
      </w:r>
      <w:r w:rsidR="008D4F10" w:rsidRPr="00CE0DB8">
        <w:rPr>
          <w:rFonts w:eastAsia="Calibri"/>
        </w:rPr>
        <w:t>отчет</w:t>
      </w:r>
      <w:r w:rsidR="003F6858" w:rsidRPr="00CE0DB8">
        <w:rPr>
          <w:rFonts w:eastAsia="Calibri"/>
        </w:rPr>
        <w:t>у</w:t>
      </w:r>
      <w:r w:rsidRPr="00CE0DB8">
        <w:rPr>
          <w:rFonts w:eastAsia="Calibri"/>
        </w:rPr>
        <w:t xml:space="preserve"> Комитета проведены в 2020 году</w:t>
      </w:r>
      <w:r w:rsidRPr="00CE0DB8">
        <w:t xml:space="preserve">. </w:t>
      </w:r>
      <w:r w:rsidRPr="00CE0DB8">
        <w:lastRenderedPageBreak/>
        <w:t>В ходе аудиторских проверок установлены факты нарушения процедур составления и утверждения бюджетной сметы, а также</w:t>
      </w:r>
      <w:r w:rsidR="00824B3A" w:rsidRPr="00CE0DB8">
        <w:t xml:space="preserve"> </w:t>
      </w:r>
      <w:proofErr w:type="spellStart"/>
      <w:r w:rsidRPr="00CE0DB8">
        <w:t>неразмещения</w:t>
      </w:r>
      <w:proofErr w:type="spellEnd"/>
      <w:r w:rsidRPr="00CE0DB8">
        <w:t xml:space="preserve"> ГБУ ВО НПЦ отчетов о выполнении государственного задания в сети интернет. </w:t>
      </w:r>
      <w:r w:rsidR="003F6858" w:rsidRPr="00CE0DB8">
        <w:t xml:space="preserve">По результатам проверок даны рекомендации по устранению выявленных нарушений, которые устранены в 2021 году </w:t>
      </w:r>
      <w:r w:rsidRPr="00CE0DB8">
        <w:t xml:space="preserve">Информация о состоянии внутреннего финансового аудита приведена в </w:t>
      </w:r>
      <w:r w:rsidRPr="00CE0DB8">
        <w:rPr>
          <w:color w:val="000099"/>
        </w:rPr>
        <w:t>приложении № 4.</w:t>
      </w:r>
    </w:p>
    <w:p w14:paraId="15171807" w14:textId="77777777" w:rsidR="003F6858" w:rsidRPr="00CE0DB8" w:rsidRDefault="003F6858" w:rsidP="002C247E">
      <w:pPr>
        <w:autoSpaceDE w:val="0"/>
        <w:autoSpaceDN w:val="0"/>
        <w:adjustRightInd w:val="0"/>
        <w:ind w:firstLine="709"/>
        <w:jc w:val="center"/>
        <w:rPr>
          <w:b/>
        </w:rPr>
      </w:pPr>
    </w:p>
    <w:p w14:paraId="3201746C" w14:textId="77777777" w:rsidR="00593221" w:rsidRPr="00CE0DB8" w:rsidRDefault="00593221" w:rsidP="002C247E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CE0DB8">
        <w:rPr>
          <w:b/>
        </w:rPr>
        <w:t>Выводы</w:t>
      </w:r>
    </w:p>
    <w:p w14:paraId="7CDC2FB1" w14:textId="77777777" w:rsidR="00822A59" w:rsidRPr="00CE0DB8" w:rsidRDefault="00822A59" w:rsidP="002C247E">
      <w:pPr>
        <w:autoSpaceDE w:val="0"/>
        <w:autoSpaceDN w:val="0"/>
        <w:adjustRightInd w:val="0"/>
        <w:ind w:firstLine="709"/>
        <w:jc w:val="center"/>
        <w:rPr>
          <w:b/>
        </w:rPr>
      </w:pPr>
    </w:p>
    <w:p w14:paraId="261E9F0D" w14:textId="77777777" w:rsidR="00800093" w:rsidRPr="00CE0DB8" w:rsidRDefault="00B06123" w:rsidP="00800093">
      <w:pPr>
        <w:ind w:firstLine="709"/>
        <w:jc w:val="both"/>
      </w:pPr>
      <w:r w:rsidRPr="00CE0DB8">
        <w:rPr>
          <w:b/>
        </w:rPr>
        <w:t>1.</w:t>
      </w:r>
      <w:r w:rsidR="00800093" w:rsidRPr="00CE0DB8">
        <w:rPr>
          <w:b/>
        </w:rPr>
        <w:t> </w:t>
      </w:r>
      <w:r w:rsidRPr="00CE0DB8">
        <w:t>Проверкой достоверности бухгалтерской отчетности ГБУ ВО НПЦ установлены нарушения</w:t>
      </w:r>
      <w:r w:rsidR="005511FF" w:rsidRPr="00CE0DB8">
        <w:rPr>
          <w:rFonts w:eastAsiaTheme="minorHAnsi"/>
          <w:lang w:eastAsia="en-US"/>
        </w:rPr>
        <w:t xml:space="preserve"> требований</w:t>
      </w:r>
      <w:r w:rsidR="00824B3A" w:rsidRPr="00CE0DB8">
        <w:rPr>
          <w:rFonts w:eastAsiaTheme="minorHAnsi"/>
          <w:lang w:eastAsia="en-US"/>
        </w:rPr>
        <w:t xml:space="preserve"> </w:t>
      </w:r>
      <w:r w:rsidR="005511FF" w:rsidRPr="00CE0DB8">
        <w:rPr>
          <w:rFonts w:eastAsiaTheme="minorHAnsi"/>
          <w:lang w:eastAsia="en-US"/>
        </w:rPr>
        <w:t xml:space="preserve">п. 56 </w:t>
      </w:r>
      <w:r w:rsidRPr="00CE0DB8">
        <w:rPr>
          <w:rFonts w:eastAsiaTheme="minorHAnsi"/>
          <w:lang w:eastAsia="en-US"/>
        </w:rPr>
        <w:t>Инструкции №</w:t>
      </w:r>
      <w:r w:rsidR="005511FF" w:rsidRPr="00CE0DB8">
        <w:rPr>
          <w:rFonts w:eastAsiaTheme="minorHAnsi"/>
          <w:lang w:eastAsia="en-US"/>
        </w:rPr>
        <w:t> </w:t>
      </w:r>
      <w:r w:rsidRPr="00CE0DB8">
        <w:rPr>
          <w:rFonts w:eastAsiaTheme="minorHAnsi"/>
          <w:lang w:eastAsia="en-US"/>
        </w:rPr>
        <w:t>33н</w:t>
      </w:r>
      <w:r w:rsidR="00800093" w:rsidRPr="00CE0DB8">
        <w:rPr>
          <w:rFonts w:eastAsiaTheme="minorHAnsi"/>
          <w:lang w:eastAsia="en-US"/>
        </w:rPr>
        <w:t xml:space="preserve"> в части </w:t>
      </w:r>
      <w:r w:rsidR="008D4F10" w:rsidRPr="00CE0DB8">
        <w:rPr>
          <w:rFonts w:eastAsiaTheme="minorHAnsi"/>
          <w:lang w:eastAsia="en-US"/>
        </w:rPr>
        <w:t xml:space="preserve">отсутствия в пояснительной записке </w:t>
      </w:r>
      <w:r w:rsidR="008D4F10" w:rsidRPr="00CE0DB8">
        <w:t>ГБУ ВО НПЦ информации о</w:t>
      </w:r>
      <w:r w:rsidR="008D4F10" w:rsidRPr="00CE0DB8">
        <w:rPr>
          <w:rFonts w:eastAsiaTheme="minorHAnsi"/>
          <w:lang w:eastAsia="en-US"/>
        </w:rPr>
        <w:t xml:space="preserve"> мерах по повышению квалификации и переподготовке специалистов учреждения, численности работников, стоимости имущества, техническом состоянии, эффективности использования, обеспеченности учреждения основными фондами и др.</w:t>
      </w:r>
      <w:r w:rsidR="00800093" w:rsidRPr="00CE0DB8">
        <w:rPr>
          <w:rFonts w:eastAsiaTheme="minorHAnsi"/>
          <w:lang w:eastAsia="en-US"/>
        </w:rPr>
        <w:t xml:space="preserve">, а также представления в составе бюджетной отчетности 6 форм, не имеющих числовых значений показателей, </w:t>
      </w:r>
      <w:r w:rsidR="001C79F6" w:rsidRPr="00CE0DB8">
        <w:t xml:space="preserve">которые не повлекли искажения бюджетной отчетности. </w:t>
      </w:r>
      <w:r w:rsidR="00800093" w:rsidRPr="00CE0DB8">
        <w:rPr>
          <w:rFonts w:eastAsiaTheme="minorHAnsi"/>
          <w:lang w:eastAsia="en-US"/>
        </w:rPr>
        <w:t>Кроме того,</w:t>
      </w:r>
      <w:r w:rsidR="00824B3A" w:rsidRPr="00CE0DB8">
        <w:rPr>
          <w:rFonts w:eastAsiaTheme="minorHAnsi"/>
          <w:lang w:eastAsia="en-US"/>
        </w:rPr>
        <w:t xml:space="preserve"> </w:t>
      </w:r>
      <w:r w:rsidR="00800093" w:rsidRPr="00CE0DB8">
        <w:rPr>
          <w:rFonts w:eastAsiaTheme="minorHAnsi"/>
          <w:lang w:eastAsia="en-US"/>
        </w:rPr>
        <w:t xml:space="preserve">в нарушение п. 9, 72.1 </w:t>
      </w:r>
      <w:r w:rsidR="00800093" w:rsidRPr="00CE0DB8">
        <w:t>Инструкции № 33н</w:t>
      </w:r>
      <w:r w:rsidR="00822A59" w:rsidRPr="00CE0DB8">
        <w:rPr>
          <w:rFonts w:eastAsiaTheme="minorHAnsi"/>
          <w:lang w:eastAsia="en-US"/>
        </w:rPr>
        <w:t xml:space="preserve"> и п. 163, 167 </w:t>
      </w:r>
      <w:r w:rsidR="002F5F38" w:rsidRPr="00CE0DB8">
        <w:t>п</w:t>
      </w:r>
      <w:r w:rsidR="00822A59" w:rsidRPr="00CE0DB8">
        <w:t xml:space="preserve">риказа Минфина России от 16.12.2010 № 174н «Об утверждении Плана счетов бухгалтерского учета </w:t>
      </w:r>
      <w:r w:rsidR="00822A59" w:rsidRPr="00CE0DB8">
        <w:rPr>
          <w:rFonts w:eastAsiaTheme="minorHAnsi"/>
          <w:lang w:eastAsia="en-US"/>
        </w:rPr>
        <w:t>бюджетных</w:t>
      </w:r>
      <w:r w:rsidR="00822A59" w:rsidRPr="00CE0DB8">
        <w:t xml:space="preserve"> учреждений и Инструкции по его применению» </w:t>
      </w:r>
      <w:r w:rsidR="00800093" w:rsidRPr="00CE0DB8">
        <w:t>раздел 4 «Сведения о принятых и неисполненных обязательствах» (ф. 0503775) по операциям по принятию учреждением обязательств на 43 832,5 тыс. руб. сформирован не на основании данных главной книги и других регистров бухгалтерского учета, так как в главной книге учреждения бухгалтерский счет 050207000 «Принимаемые обязательства» не велся</w:t>
      </w:r>
      <w:r w:rsidR="00574E5F" w:rsidRPr="00CE0DB8">
        <w:t xml:space="preserve"> (нарушение устранено в ходе проверки путем включения в главную книгу счета 050207000 «Принимаемые обязательства»)</w:t>
      </w:r>
      <w:r w:rsidR="00800093" w:rsidRPr="00CE0DB8">
        <w:t>.</w:t>
      </w:r>
    </w:p>
    <w:p w14:paraId="7FC87209" w14:textId="77777777" w:rsidR="00273BA2" w:rsidRPr="00CE0DB8" w:rsidRDefault="0040486C" w:rsidP="00273BA2">
      <w:pPr>
        <w:ind w:firstLine="709"/>
        <w:jc w:val="both"/>
      </w:pPr>
      <w:r w:rsidRPr="00CE0DB8">
        <w:rPr>
          <w:rFonts w:eastAsiaTheme="minorHAnsi"/>
          <w:b/>
          <w:lang w:eastAsia="en-US"/>
        </w:rPr>
        <w:t>2.</w:t>
      </w:r>
      <w:r w:rsidR="00574E5F" w:rsidRPr="00CE0DB8">
        <w:rPr>
          <w:rFonts w:eastAsiaTheme="minorHAnsi"/>
          <w:b/>
          <w:lang w:eastAsia="en-US"/>
        </w:rPr>
        <w:t> </w:t>
      </w:r>
      <w:r w:rsidR="00273BA2" w:rsidRPr="00CE0DB8">
        <w:t>Доля дебиторской задолженности по доходам на 31.12.2020 относительно кассового исполнения по доходам в отчетном году (без учета доходов будущих периодов) составила 34,5 % (1 015,3 тыс. руб. /</w:t>
      </w:r>
      <w:r w:rsidR="00273BA2" w:rsidRPr="00CE0DB8">
        <w:rPr>
          <w:color w:val="000000"/>
        </w:rPr>
        <w:t xml:space="preserve"> 2 946,3</w:t>
      </w:r>
      <w:r w:rsidR="00273BA2" w:rsidRPr="00CE0DB8">
        <w:t> тыс. руб. х 100 %), что составляет более 10 % и в соответствии со Стандартом финансового контроля КСП свидетельствует о неудовлетворительной работе Комитета по администрированию доходов.</w:t>
      </w:r>
      <w:r w:rsidR="003F6858" w:rsidRPr="00CE0DB8">
        <w:t xml:space="preserve"> Комитетом проводится работа по взысканию дебиторской задолженности путем направления писем в адрес нарушителей законодательства и службы судебных приставов.</w:t>
      </w:r>
    </w:p>
    <w:p w14:paraId="47CBCBF0" w14:textId="77777777" w:rsidR="00F83125" w:rsidRPr="00CE0DB8" w:rsidRDefault="00F83125" w:rsidP="00F83125">
      <w:pPr>
        <w:ind w:firstLine="720"/>
        <w:jc w:val="both"/>
      </w:pPr>
      <w:r w:rsidRPr="00CE0DB8">
        <w:t xml:space="preserve">На конец 2020 года просроченная дебиторская задолженность в связи </w:t>
      </w:r>
      <w:proofErr w:type="spellStart"/>
      <w:r w:rsidRPr="00CE0DB8">
        <w:t>неперечислением</w:t>
      </w:r>
      <w:proofErr w:type="spellEnd"/>
      <w:r w:rsidRPr="00CE0DB8">
        <w:t xml:space="preserve"> в добровольном порядке административных штрафов составляет 907,5 тыс. руб., Комитетом проводится работа по ее взысканию. Кроме того, на конец 2020 года числилась дебиторская задолженность в сумме 107,8 тыс. руб., сложившаяся в результате неиспользования остатка субсидии на иные цели ГБУ ВО НПЦ, подлежащего </w:t>
      </w:r>
      <w:r w:rsidR="00DE0097" w:rsidRPr="00CE0DB8">
        <w:t>возврату</w:t>
      </w:r>
      <w:r w:rsidRPr="00CE0DB8">
        <w:t xml:space="preserve"> в бюджет.</w:t>
      </w:r>
    </w:p>
    <w:p w14:paraId="705B9C03" w14:textId="77777777" w:rsidR="00377D0B" w:rsidRPr="00CE0DB8" w:rsidRDefault="007B6EA8" w:rsidP="00273BA2">
      <w:pPr>
        <w:pStyle w:val="a5"/>
        <w:tabs>
          <w:tab w:val="left" w:pos="993"/>
        </w:tabs>
        <w:autoSpaceDE w:val="0"/>
        <w:autoSpaceDN w:val="0"/>
        <w:adjustRightInd w:val="0"/>
        <w:spacing w:after="0"/>
        <w:ind w:left="0" w:firstLine="709"/>
        <w:outlineLvl w:val="2"/>
        <w:rPr>
          <w:rFonts w:eastAsiaTheme="minorHAnsi"/>
        </w:rPr>
      </w:pPr>
      <w:r w:rsidRPr="00CE0DB8">
        <w:rPr>
          <w:b/>
        </w:rPr>
        <w:t>3</w:t>
      </w:r>
      <w:r w:rsidR="00B16394" w:rsidRPr="00CE0DB8">
        <w:rPr>
          <w:b/>
        </w:rPr>
        <w:t>.</w:t>
      </w:r>
      <w:r w:rsidR="00174D2E" w:rsidRPr="00CE0DB8">
        <w:t> </w:t>
      </w:r>
      <w:r w:rsidR="00377D0B" w:rsidRPr="00CE0DB8">
        <w:t>Несоответствие общего количества ОКН федерального значения по данным федерального статистического наблюдения и данным об их рег</w:t>
      </w:r>
      <w:r w:rsidR="00174D2E" w:rsidRPr="00CE0DB8">
        <w:t xml:space="preserve">истрации в Едином реестре ОКН </w:t>
      </w:r>
      <w:r w:rsidR="00377D0B" w:rsidRPr="00CE0DB8">
        <w:t>привело к расчету Министерст</w:t>
      </w:r>
      <w:r w:rsidR="00174D2E" w:rsidRPr="00CE0DB8">
        <w:t>вом культуры РФ субвенции на 2020 год без учета 107</w:t>
      </w:r>
      <w:r w:rsidR="00377D0B" w:rsidRPr="00CE0DB8">
        <w:t xml:space="preserve"> ОКН федерального значения. О</w:t>
      </w:r>
      <w:r w:rsidR="00377D0B" w:rsidRPr="00CE0DB8">
        <w:rPr>
          <w:rFonts w:eastAsiaTheme="minorHAnsi"/>
        </w:rPr>
        <w:t xml:space="preserve">бъем недополученной субвенции составляет </w:t>
      </w:r>
      <w:r w:rsidR="00174D2E" w:rsidRPr="00CE0DB8">
        <w:rPr>
          <w:rFonts w:eastAsiaTheme="minorHAnsi"/>
        </w:rPr>
        <w:t>692,9 </w:t>
      </w:r>
      <w:r w:rsidR="00377D0B" w:rsidRPr="00CE0DB8">
        <w:rPr>
          <w:rFonts w:eastAsiaTheme="minorHAnsi"/>
        </w:rPr>
        <w:t>тыс.</w:t>
      </w:r>
      <w:r w:rsidR="00174D2E" w:rsidRPr="00CE0DB8">
        <w:rPr>
          <w:rFonts w:eastAsiaTheme="minorHAnsi"/>
        </w:rPr>
        <w:t> </w:t>
      </w:r>
      <w:r w:rsidR="00377D0B" w:rsidRPr="00CE0DB8">
        <w:rPr>
          <w:rFonts w:eastAsiaTheme="minorHAnsi"/>
        </w:rPr>
        <w:t>руб</w:t>
      </w:r>
      <w:r w:rsidR="00377D0B" w:rsidRPr="00CE0DB8">
        <w:t>., что влечет риски ненадлежащего исполнения переданных полномочий РФ по 10</w:t>
      </w:r>
      <w:r w:rsidR="00174D2E" w:rsidRPr="00CE0DB8">
        <w:t>7</w:t>
      </w:r>
      <w:r w:rsidR="00377D0B" w:rsidRPr="00CE0DB8">
        <w:t xml:space="preserve"> ОКН в соответствии с</w:t>
      </w:r>
      <w:r w:rsidR="00377D0B" w:rsidRPr="00CE0DB8">
        <w:rPr>
          <w:rFonts w:eastAsiaTheme="minorHAnsi"/>
        </w:rPr>
        <w:t xml:space="preserve"> п.</w:t>
      </w:r>
      <w:r w:rsidR="00552478" w:rsidRPr="00CE0DB8">
        <w:rPr>
          <w:rFonts w:eastAsiaTheme="minorHAnsi"/>
        </w:rPr>
        <w:t> </w:t>
      </w:r>
      <w:r w:rsidR="00377D0B" w:rsidRPr="00CE0DB8">
        <w:rPr>
          <w:rFonts w:eastAsiaTheme="minorHAnsi"/>
        </w:rPr>
        <w:t>1 ст.</w:t>
      </w:r>
      <w:r w:rsidR="00552478" w:rsidRPr="00CE0DB8">
        <w:rPr>
          <w:rFonts w:eastAsiaTheme="minorHAnsi"/>
        </w:rPr>
        <w:t> </w:t>
      </w:r>
      <w:r w:rsidR="00377D0B" w:rsidRPr="00CE0DB8">
        <w:rPr>
          <w:rFonts w:eastAsiaTheme="minorHAnsi"/>
        </w:rPr>
        <w:t>9.1 Закона №</w:t>
      </w:r>
      <w:r w:rsidR="00552478" w:rsidRPr="00CE0DB8">
        <w:rPr>
          <w:rFonts w:eastAsiaTheme="minorHAnsi"/>
        </w:rPr>
        <w:t> </w:t>
      </w:r>
      <w:r w:rsidR="00377D0B" w:rsidRPr="00CE0DB8">
        <w:rPr>
          <w:rFonts w:eastAsiaTheme="minorHAnsi"/>
        </w:rPr>
        <w:t>73-ФЗ.</w:t>
      </w:r>
    </w:p>
    <w:p w14:paraId="057D1987" w14:textId="77777777" w:rsidR="002F3185" w:rsidRPr="00CE0DB8" w:rsidRDefault="002F3185" w:rsidP="002F3185">
      <w:pPr>
        <w:ind w:firstLine="708"/>
        <w:jc w:val="both"/>
        <w:rPr>
          <w:rFonts w:eastAsiaTheme="minorHAnsi"/>
          <w:lang w:eastAsia="en-US"/>
        </w:rPr>
      </w:pPr>
      <w:r w:rsidRPr="00CE0DB8">
        <w:rPr>
          <w:rFonts w:eastAsiaTheme="minorHAnsi"/>
          <w:b/>
        </w:rPr>
        <w:t>4. </w:t>
      </w:r>
      <w:r w:rsidRPr="00CE0DB8">
        <w:t xml:space="preserve">В 2020 году из 10 предусмотренных Программой непосредственных результатов ГБУ ВО НПЦ достигнуто только 4 непосредственных результата и </w:t>
      </w:r>
      <w:r w:rsidR="00282ED0" w:rsidRPr="00CE0DB8">
        <w:rPr>
          <w:rFonts w:eastAsiaTheme="minorHAnsi"/>
          <w:lang w:eastAsia="en-US"/>
        </w:rPr>
        <w:t>1</w:t>
      </w:r>
      <w:r w:rsidRPr="00CE0DB8">
        <w:rPr>
          <w:rFonts w:eastAsiaTheme="minorHAnsi"/>
          <w:lang w:eastAsia="en-US"/>
        </w:rPr>
        <w:t xml:space="preserve"> из 3 целевых показател</w:t>
      </w:r>
      <w:r w:rsidR="00282ED0" w:rsidRPr="00CE0DB8">
        <w:rPr>
          <w:rFonts w:eastAsiaTheme="minorHAnsi"/>
          <w:lang w:eastAsia="en-US"/>
        </w:rPr>
        <w:t>ей</w:t>
      </w:r>
      <w:r w:rsidRPr="00CE0DB8">
        <w:rPr>
          <w:rFonts w:eastAsiaTheme="minorHAnsi"/>
          <w:lang w:eastAsia="en-US"/>
        </w:rPr>
        <w:t>.</w:t>
      </w:r>
    </w:p>
    <w:p w14:paraId="2B48FC07" w14:textId="77777777" w:rsidR="002F3185" w:rsidRPr="00CE0DB8" w:rsidRDefault="002F3185" w:rsidP="002F3185">
      <w:pPr>
        <w:ind w:firstLine="709"/>
        <w:jc w:val="both"/>
      </w:pPr>
      <w:bookmarkStart w:id="2" w:name="_Hlk66186936"/>
      <w:r w:rsidRPr="00CE0DB8">
        <w:t xml:space="preserve">При этом Комитетом в адрес ответственного исполнителя Госпрограммы – </w:t>
      </w:r>
      <w:proofErr w:type="spellStart"/>
      <w:r w:rsidRPr="00CE0DB8">
        <w:t>Облкомкультуры</w:t>
      </w:r>
      <w:proofErr w:type="spellEnd"/>
      <w:r w:rsidRPr="00CE0DB8">
        <w:t xml:space="preserve"> направлено письмо с предложением внесения изменений в запланированные Комитету непосредственные результаты и целевые показатели только 23.12.2020.</w:t>
      </w:r>
    </w:p>
    <w:bookmarkEnd w:id="2"/>
    <w:p w14:paraId="29F963EC" w14:textId="77777777" w:rsidR="00174D2E" w:rsidRPr="00CE0DB8" w:rsidRDefault="00174D2E" w:rsidP="002F3185">
      <w:pPr>
        <w:ind w:firstLine="709"/>
        <w:jc w:val="both"/>
        <w:rPr>
          <w:rFonts w:eastAsiaTheme="minorHAnsi"/>
          <w:b/>
        </w:rPr>
      </w:pPr>
    </w:p>
    <w:p w14:paraId="5F7B243B" w14:textId="77777777" w:rsidR="00593221" w:rsidRPr="00CE0DB8" w:rsidRDefault="00593221" w:rsidP="00174D2E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CE0DB8">
        <w:rPr>
          <w:b/>
        </w:rPr>
        <w:t>Предложения</w:t>
      </w:r>
      <w:r w:rsidR="003D1980" w:rsidRPr="00CE0DB8">
        <w:rPr>
          <w:b/>
        </w:rPr>
        <w:t xml:space="preserve"> Комитету:</w:t>
      </w:r>
    </w:p>
    <w:p w14:paraId="1229E0ED" w14:textId="77777777" w:rsidR="00174D2E" w:rsidRPr="00CE0DB8" w:rsidRDefault="00174D2E" w:rsidP="00174D2E">
      <w:pPr>
        <w:autoSpaceDE w:val="0"/>
        <w:autoSpaceDN w:val="0"/>
        <w:adjustRightInd w:val="0"/>
        <w:ind w:firstLine="709"/>
        <w:jc w:val="center"/>
        <w:rPr>
          <w:b/>
        </w:rPr>
      </w:pPr>
    </w:p>
    <w:p w14:paraId="6BA69061" w14:textId="77777777" w:rsidR="00E75AE1" w:rsidRPr="00CE0DB8" w:rsidRDefault="00046385" w:rsidP="002165E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CE0DB8">
        <w:rPr>
          <w:b/>
        </w:rPr>
        <w:t>1.</w:t>
      </w:r>
      <w:r w:rsidR="002165EE" w:rsidRPr="00CE0DB8">
        <w:rPr>
          <w:b/>
        </w:rPr>
        <w:t> </w:t>
      </w:r>
      <w:r w:rsidR="00E75AE1" w:rsidRPr="00CE0DB8">
        <w:t xml:space="preserve">Направить в </w:t>
      </w:r>
      <w:r w:rsidR="00822A59" w:rsidRPr="00CE0DB8">
        <w:t>комитет финансов Волгоградской области</w:t>
      </w:r>
      <w:r w:rsidR="00824B3A" w:rsidRPr="00CE0DB8">
        <w:t xml:space="preserve"> </w:t>
      </w:r>
      <w:r w:rsidR="00E75AE1" w:rsidRPr="00CE0DB8">
        <w:rPr>
          <w:rFonts w:eastAsiaTheme="minorHAnsi"/>
          <w:lang w:eastAsia="en-US"/>
        </w:rPr>
        <w:t xml:space="preserve">пояснительную записку </w:t>
      </w:r>
      <w:r w:rsidR="00E75AE1" w:rsidRPr="00CE0DB8">
        <w:t>(ф. 0503760), содержащую информацию о</w:t>
      </w:r>
      <w:r w:rsidR="00E75AE1" w:rsidRPr="00CE0DB8">
        <w:rPr>
          <w:rFonts w:eastAsiaTheme="minorHAnsi"/>
          <w:lang w:eastAsia="en-US"/>
        </w:rPr>
        <w:t xml:space="preserve"> мерах по повышению квалификации и переподготовке специалистов учреждения, численности работников, стоимости имущества, техническом состоянии, эффективности использования, обеспеченности учреждения основными фондами и др. в 2020 году.</w:t>
      </w:r>
    </w:p>
    <w:p w14:paraId="6FFDC07D" w14:textId="77777777" w:rsidR="0036162B" w:rsidRPr="00CE0DB8" w:rsidRDefault="00E75AE1" w:rsidP="002165EE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CE0DB8">
        <w:rPr>
          <w:b/>
        </w:rPr>
        <w:lastRenderedPageBreak/>
        <w:t>2.</w:t>
      </w:r>
      <w:r w:rsidRPr="00CE0DB8">
        <w:t> </w:t>
      </w:r>
      <w:r w:rsidR="0036162B" w:rsidRPr="00CE0DB8">
        <w:t>Провести работу с ответственными должностными лицами для принятия мер:</w:t>
      </w:r>
    </w:p>
    <w:p w14:paraId="74CE60EF" w14:textId="77777777" w:rsidR="0036162B" w:rsidRPr="00CE0DB8" w:rsidRDefault="00E75AE1" w:rsidP="002165EE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CE0DB8">
        <w:rPr>
          <w:b/>
        </w:rPr>
        <w:t>2</w:t>
      </w:r>
      <w:r w:rsidR="00D5775D" w:rsidRPr="00CE0DB8">
        <w:rPr>
          <w:b/>
        </w:rPr>
        <w:t>.1</w:t>
      </w:r>
      <w:r w:rsidR="002165EE" w:rsidRPr="00CE0DB8">
        <w:rPr>
          <w:b/>
        </w:rPr>
        <w:t>. </w:t>
      </w:r>
      <w:r w:rsidR="00174D2E" w:rsidRPr="00CE0DB8">
        <w:t xml:space="preserve">по </w:t>
      </w:r>
      <w:r w:rsidR="00BF1FAB" w:rsidRPr="00CE0DB8">
        <w:t xml:space="preserve">обеспечению осуществления бюджетного учета и составления </w:t>
      </w:r>
      <w:r w:rsidR="0036162B" w:rsidRPr="00CE0DB8">
        <w:t xml:space="preserve">бухгалтерской отчетности </w:t>
      </w:r>
      <w:r w:rsidR="00BF1FAB" w:rsidRPr="00CE0DB8">
        <w:t>в соответствии с установленными</w:t>
      </w:r>
      <w:r w:rsidR="0036162B" w:rsidRPr="00CE0DB8">
        <w:t xml:space="preserve"> требовани</w:t>
      </w:r>
      <w:r w:rsidR="00BF1FAB" w:rsidRPr="00CE0DB8">
        <w:t>ями, в том числе по проведению учебы со специалистами</w:t>
      </w:r>
      <w:r w:rsidR="00824B3A" w:rsidRPr="00CE0DB8">
        <w:t xml:space="preserve"> </w:t>
      </w:r>
      <w:r w:rsidR="00BF1FAB" w:rsidRPr="00CE0DB8">
        <w:t>подведомственного учреждения, уполномоченными на ее составление</w:t>
      </w:r>
      <w:r w:rsidR="0036162B" w:rsidRPr="00CE0DB8">
        <w:t>;</w:t>
      </w:r>
    </w:p>
    <w:p w14:paraId="2C69B5D3" w14:textId="1E68F9B9" w:rsidR="00D5775D" w:rsidRPr="00CE0DB8" w:rsidRDefault="00E75AE1" w:rsidP="002165EE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CE0DB8">
        <w:rPr>
          <w:b/>
        </w:rPr>
        <w:t>2</w:t>
      </w:r>
      <w:r w:rsidR="00D5775D" w:rsidRPr="00CE0DB8">
        <w:rPr>
          <w:b/>
        </w:rPr>
        <w:t>.2</w:t>
      </w:r>
      <w:r w:rsidR="002165EE" w:rsidRPr="00CE0DB8">
        <w:t>. </w:t>
      </w:r>
      <w:r w:rsidR="0036162B" w:rsidRPr="00CE0DB8">
        <w:t>по взыскани</w:t>
      </w:r>
      <w:r w:rsidR="00D5775D" w:rsidRPr="00CE0DB8">
        <w:t>ю</w:t>
      </w:r>
      <w:r w:rsidR="0036162B" w:rsidRPr="00CE0DB8">
        <w:t xml:space="preserve"> дебиторской задолженности по административным штрафам</w:t>
      </w:r>
      <w:r w:rsidR="008353DC" w:rsidRPr="00CE0DB8">
        <w:t>,</w:t>
      </w:r>
      <w:r w:rsidR="00F83125" w:rsidRPr="00CE0DB8">
        <w:t xml:space="preserve"> </w:t>
      </w:r>
      <w:r w:rsidR="00DE0097" w:rsidRPr="00CE0DB8">
        <w:t>возврату</w:t>
      </w:r>
      <w:r w:rsidR="00F83125" w:rsidRPr="00CE0DB8">
        <w:t xml:space="preserve"> в областной бюджет остатка субсидии на иные цели ГБУ ВО НПЦ</w:t>
      </w:r>
      <w:r w:rsidR="008353DC" w:rsidRPr="00CE0DB8">
        <w:t xml:space="preserve"> и уменьшению задолженности по выданным авансам</w:t>
      </w:r>
      <w:r w:rsidR="005511FF" w:rsidRPr="00CE0DB8">
        <w:t>;</w:t>
      </w:r>
    </w:p>
    <w:p w14:paraId="6E712303" w14:textId="60AF6740" w:rsidR="002F3185" w:rsidRPr="00CE0DB8" w:rsidRDefault="00E75AE1" w:rsidP="002F318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CE0DB8">
        <w:rPr>
          <w:b/>
        </w:rPr>
        <w:t>2</w:t>
      </w:r>
      <w:r w:rsidR="002165EE" w:rsidRPr="00CE0DB8">
        <w:rPr>
          <w:b/>
        </w:rPr>
        <w:t>.</w:t>
      </w:r>
      <w:r w:rsidR="004D690F" w:rsidRPr="00CE0DB8">
        <w:rPr>
          <w:b/>
        </w:rPr>
        <w:t>3</w:t>
      </w:r>
      <w:r w:rsidR="002165EE" w:rsidRPr="00CE0DB8">
        <w:rPr>
          <w:b/>
        </w:rPr>
        <w:t>.</w:t>
      </w:r>
      <w:r w:rsidR="002165EE" w:rsidRPr="00CE0DB8">
        <w:t> </w:t>
      </w:r>
      <w:r w:rsidRPr="00CE0DB8">
        <w:t xml:space="preserve">к должностным лицам за </w:t>
      </w:r>
      <w:r w:rsidR="002F3185" w:rsidRPr="00CE0DB8">
        <w:t>несоблюдение Инструкции № 33н, недостижение целевых показателей и непосредственных результатов Госпрограммы, а также несвоевременное обращение к ответственному исполнителю Программы по внесению в нее изменений.</w:t>
      </w:r>
    </w:p>
    <w:p w14:paraId="05590F3F" w14:textId="77777777" w:rsidR="00046385" w:rsidRPr="00CE0DB8" w:rsidRDefault="00E75AE1" w:rsidP="002165EE">
      <w:pPr>
        <w:autoSpaceDE w:val="0"/>
        <w:autoSpaceDN w:val="0"/>
        <w:adjustRightInd w:val="0"/>
        <w:ind w:firstLine="708"/>
        <w:jc w:val="both"/>
      </w:pPr>
      <w:r w:rsidRPr="00CE0DB8">
        <w:rPr>
          <w:b/>
        </w:rPr>
        <w:t>3</w:t>
      </w:r>
      <w:r w:rsidR="00B16394" w:rsidRPr="00CE0DB8">
        <w:rPr>
          <w:b/>
        </w:rPr>
        <w:t>.</w:t>
      </w:r>
      <w:r w:rsidR="002165EE" w:rsidRPr="00CE0DB8">
        <w:t> </w:t>
      </w:r>
      <w:r w:rsidR="000D7236" w:rsidRPr="00CE0DB8">
        <w:t>В целях над</w:t>
      </w:r>
      <w:r w:rsidR="005511FF" w:rsidRPr="00CE0DB8">
        <w:t xml:space="preserve">лежащего исполнения полномочий </w:t>
      </w:r>
      <w:r w:rsidR="000D7236" w:rsidRPr="00CE0DB8">
        <w:t>в соответствии с п.1 ст.9.1 Закона №</w:t>
      </w:r>
      <w:r w:rsidR="002F3185" w:rsidRPr="00CE0DB8">
        <w:t> </w:t>
      </w:r>
      <w:r w:rsidR="000D7236" w:rsidRPr="00CE0DB8">
        <w:t>73-ФЗ</w:t>
      </w:r>
      <w:r w:rsidR="002165EE" w:rsidRPr="00CE0DB8">
        <w:t xml:space="preserve"> провести работу </w:t>
      </w:r>
      <w:r w:rsidR="007B6EA8" w:rsidRPr="00CE0DB8">
        <w:t xml:space="preserve">по </w:t>
      </w:r>
      <w:r w:rsidR="00174D2E" w:rsidRPr="00CE0DB8">
        <w:t>регистрации в Едином реестре 107</w:t>
      </w:r>
      <w:r w:rsidR="007B6EA8" w:rsidRPr="00CE0DB8">
        <w:t xml:space="preserve"> ОКН для</w:t>
      </w:r>
      <w:r w:rsidR="000D7236" w:rsidRPr="00CE0DB8">
        <w:t xml:space="preserve"> получения субвенции из федерального бюджета</w:t>
      </w:r>
      <w:r w:rsidR="00DE0097" w:rsidRPr="00CE0DB8">
        <w:t xml:space="preserve"> в необходимом объеме</w:t>
      </w:r>
      <w:r w:rsidR="000D7236" w:rsidRPr="00CE0DB8">
        <w:t>.</w:t>
      </w:r>
    </w:p>
    <w:p w14:paraId="44AA9FC1" w14:textId="77777777" w:rsidR="002F3185" w:rsidRPr="00CE0DB8" w:rsidRDefault="002F3185" w:rsidP="00CF780F">
      <w:pPr>
        <w:autoSpaceDE w:val="0"/>
        <w:autoSpaceDN w:val="0"/>
        <w:adjustRightInd w:val="0"/>
        <w:ind w:firstLine="680"/>
        <w:jc w:val="both"/>
      </w:pPr>
    </w:p>
    <w:p w14:paraId="60BF8DF9" w14:textId="77777777" w:rsidR="002F3185" w:rsidRPr="00CE0DB8" w:rsidRDefault="002F3185" w:rsidP="00CF780F">
      <w:pPr>
        <w:autoSpaceDE w:val="0"/>
        <w:autoSpaceDN w:val="0"/>
        <w:adjustRightInd w:val="0"/>
        <w:ind w:firstLine="680"/>
        <w:jc w:val="both"/>
      </w:pPr>
    </w:p>
    <w:p w14:paraId="2FB661A6" w14:textId="77777777" w:rsidR="002F3185" w:rsidRPr="00CE0DB8" w:rsidRDefault="002F3185" w:rsidP="00CF780F">
      <w:pPr>
        <w:autoSpaceDE w:val="0"/>
        <w:autoSpaceDN w:val="0"/>
        <w:adjustRightInd w:val="0"/>
        <w:ind w:firstLine="680"/>
        <w:jc w:val="both"/>
      </w:pPr>
    </w:p>
    <w:p w14:paraId="02CCEF21" w14:textId="77777777" w:rsidR="0042269B" w:rsidRPr="00CE0DB8" w:rsidRDefault="0042269B" w:rsidP="00CF780F">
      <w:pPr>
        <w:autoSpaceDE w:val="0"/>
        <w:autoSpaceDN w:val="0"/>
        <w:adjustRightInd w:val="0"/>
        <w:ind w:firstLine="680"/>
        <w:jc w:val="both"/>
      </w:pPr>
    </w:p>
    <w:p w14:paraId="0AFE85F4" w14:textId="77777777" w:rsidR="00BD5479" w:rsidRDefault="00593221" w:rsidP="002A42EC">
      <w:pPr>
        <w:jc w:val="both"/>
        <w:rPr>
          <w:rFonts w:eastAsiaTheme="minorHAnsi"/>
          <w:b/>
          <w:lang w:eastAsia="en-US"/>
        </w:rPr>
      </w:pPr>
      <w:r w:rsidRPr="00CE0DB8">
        <w:rPr>
          <w:rFonts w:eastAsiaTheme="minorHAnsi"/>
          <w:b/>
          <w:lang w:eastAsia="en-US"/>
        </w:rPr>
        <w:t>Аудитор</w:t>
      </w:r>
      <w:r w:rsidRPr="00CE0DB8">
        <w:rPr>
          <w:rFonts w:eastAsiaTheme="minorHAnsi"/>
          <w:b/>
          <w:lang w:eastAsia="en-US"/>
        </w:rPr>
        <w:tab/>
      </w:r>
      <w:r w:rsidRPr="00CE0DB8">
        <w:rPr>
          <w:rFonts w:eastAsiaTheme="minorHAnsi"/>
          <w:b/>
          <w:lang w:eastAsia="en-US"/>
        </w:rPr>
        <w:tab/>
      </w:r>
      <w:r w:rsidRPr="00CE0DB8">
        <w:rPr>
          <w:rFonts w:eastAsiaTheme="minorHAnsi"/>
          <w:b/>
          <w:lang w:eastAsia="en-US"/>
        </w:rPr>
        <w:tab/>
      </w:r>
      <w:r w:rsidRPr="00CE0DB8">
        <w:rPr>
          <w:rFonts w:eastAsiaTheme="minorHAnsi"/>
          <w:b/>
          <w:lang w:eastAsia="en-US"/>
        </w:rPr>
        <w:tab/>
      </w:r>
      <w:r w:rsidRPr="00CE0DB8">
        <w:rPr>
          <w:rFonts w:eastAsiaTheme="minorHAnsi"/>
          <w:b/>
          <w:lang w:eastAsia="en-US"/>
        </w:rPr>
        <w:tab/>
      </w:r>
      <w:r w:rsidRPr="00CE0DB8">
        <w:rPr>
          <w:rFonts w:eastAsiaTheme="minorHAnsi"/>
          <w:b/>
          <w:lang w:eastAsia="en-US"/>
        </w:rPr>
        <w:tab/>
      </w:r>
      <w:r w:rsidRPr="00CE0DB8">
        <w:rPr>
          <w:rFonts w:eastAsiaTheme="minorHAnsi"/>
          <w:b/>
          <w:lang w:eastAsia="en-US"/>
        </w:rPr>
        <w:tab/>
      </w:r>
      <w:r w:rsidRPr="00CE0DB8">
        <w:rPr>
          <w:rFonts w:eastAsiaTheme="minorHAnsi"/>
          <w:b/>
          <w:lang w:eastAsia="en-US"/>
        </w:rPr>
        <w:tab/>
      </w:r>
      <w:r w:rsidR="00824B3A" w:rsidRPr="00CE0DB8">
        <w:rPr>
          <w:rFonts w:eastAsiaTheme="minorHAnsi"/>
          <w:b/>
          <w:lang w:val="en-US" w:eastAsia="en-US"/>
        </w:rPr>
        <w:t xml:space="preserve">                             </w:t>
      </w:r>
      <w:r w:rsidRPr="00CE0DB8">
        <w:rPr>
          <w:rFonts w:eastAsiaTheme="minorHAnsi"/>
          <w:b/>
          <w:lang w:eastAsia="en-US"/>
        </w:rPr>
        <w:t>М.Е. Татаринцев</w:t>
      </w:r>
    </w:p>
    <w:sectPr w:rsidR="00BD5479" w:rsidSect="00473C58">
      <w:headerReference w:type="default" r:id="rId9"/>
      <w:pgSz w:w="11906" w:h="16838"/>
      <w:pgMar w:top="794" w:right="794" w:bottom="794" w:left="1077" w:header="28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D8369B" w14:textId="77777777" w:rsidR="004D697F" w:rsidRDefault="004D697F" w:rsidP="00221A2C">
      <w:r>
        <w:separator/>
      </w:r>
    </w:p>
  </w:endnote>
  <w:endnote w:type="continuationSeparator" w:id="0">
    <w:p w14:paraId="326CBA9E" w14:textId="77777777" w:rsidR="004D697F" w:rsidRDefault="004D697F" w:rsidP="00221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D6011E" w14:textId="77777777" w:rsidR="004D697F" w:rsidRDefault="004D697F" w:rsidP="00221A2C">
      <w:r>
        <w:separator/>
      </w:r>
    </w:p>
  </w:footnote>
  <w:footnote w:type="continuationSeparator" w:id="0">
    <w:p w14:paraId="6FA27EDD" w14:textId="77777777" w:rsidR="004D697F" w:rsidRDefault="004D697F" w:rsidP="00221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9571759"/>
      <w:docPartObj>
        <w:docPartGallery w:val="Page Numbers (Top of Page)"/>
        <w:docPartUnique/>
      </w:docPartObj>
    </w:sdtPr>
    <w:sdtEndPr/>
    <w:sdtContent>
      <w:p w14:paraId="7C113612" w14:textId="77777777" w:rsidR="00DE0097" w:rsidRDefault="00DE0097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758A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B54541D" w14:textId="77777777" w:rsidR="00DE0097" w:rsidRDefault="00DE009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574211"/>
    <w:multiLevelType w:val="hybridMultilevel"/>
    <w:tmpl w:val="5B52AD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57328D"/>
    <w:multiLevelType w:val="hybridMultilevel"/>
    <w:tmpl w:val="72C675A2"/>
    <w:lvl w:ilvl="0" w:tplc="BF76CA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356ED7"/>
    <w:multiLevelType w:val="hybridMultilevel"/>
    <w:tmpl w:val="97E47C8E"/>
    <w:lvl w:ilvl="0" w:tplc="041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2F700650"/>
    <w:multiLevelType w:val="hybridMultilevel"/>
    <w:tmpl w:val="D6724BCC"/>
    <w:lvl w:ilvl="0" w:tplc="0419000D">
      <w:start w:val="1"/>
      <w:numFmt w:val="bullet"/>
      <w:lvlText w:val=""/>
      <w:lvlJc w:val="left"/>
      <w:pPr>
        <w:ind w:left="27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D4B1B08"/>
    <w:multiLevelType w:val="hybridMultilevel"/>
    <w:tmpl w:val="2D86C10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0325A"/>
    <w:multiLevelType w:val="hybridMultilevel"/>
    <w:tmpl w:val="52E808BC"/>
    <w:lvl w:ilvl="0" w:tplc="3C6457D0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4C726BC8"/>
    <w:multiLevelType w:val="hybridMultilevel"/>
    <w:tmpl w:val="09CE684A"/>
    <w:lvl w:ilvl="0" w:tplc="6C10117E">
      <w:start w:val="1"/>
      <w:numFmt w:val="decimal"/>
      <w:lvlText w:val="%1."/>
      <w:lvlJc w:val="left"/>
      <w:pPr>
        <w:ind w:left="1684" w:hanging="975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0A91745"/>
    <w:multiLevelType w:val="hybridMultilevel"/>
    <w:tmpl w:val="C7E2B7FA"/>
    <w:lvl w:ilvl="0" w:tplc="76CC06D8">
      <w:start w:val="2"/>
      <w:numFmt w:val="decimal"/>
      <w:lvlText w:val="%1."/>
      <w:lvlJc w:val="left"/>
      <w:pPr>
        <w:ind w:left="25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84" w:hanging="360"/>
      </w:pPr>
    </w:lvl>
    <w:lvl w:ilvl="2" w:tplc="0419001B" w:tentative="1">
      <w:start w:val="1"/>
      <w:numFmt w:val="lowerRoman"/>
      <w:lvlText w:val="%3."/>
      <w:lvlJc w:val="right"/>
      <w:pPr>
        <w:ind w:left="4004" w:hanging="180"/>
      </w:pPr>
    </w:lvl>
    <w:lvl w:ilvl="3" w:tplc="0419000F" w:tentative="1">
      <w:start w:val="1"/>
      <w:numFmt w:val="decimal"/>
      <w:lvlText w:val="%4."/>
      <w:lvlJc w:val="left"/>
      <w:pPr>
        <w:ind w:left="4724" w:hanging="360"/>
      </w:pPr>
    </w:lvl>
    <w:lvl w:ilvl="4" w:tplc="04190019" w:tentative="1">
      <w:start w:val="1"/>
      <w:numFmt w:val="lowerLetter"/>
      <w:lvlText w:val="%5."/>
      <w:lvlJc w:val="left"/>
      <w:pPr>
        <w:ind w:left="5444" w:hanging="360"/>
      </w:pPr>
    </w:lvl>
    <w:lvl w:ilvl="5" w:tplc="0419001B" w:tentative="1">
      <w:start w:val="1"/>
      <w:numFmt w:val="lowerRoman"/>
      <w:lvlText w:val="%6."/>
      <w:lvlJc w:val="right"/>
      <w:pPr>
        <w:ind w:left="6164" w:hanging="180"/>
      </w:pPr>
    </w:lvl>
    <w:lvl w:ilvl="6" w:tplc="0419000F" w:tentative="1">
      <w:start w:val="1"/>
      <w:numFmt w:val="decimal"/>
      <w:lvlText w:val="%7."/>
      <w:lvlJc w:val="left"/>
      <w:pPr>
        <w:ind w:left="6884" w:hanging="360"/>
      </w:pPr>
    </w:lvl>
    <w:lvl w:ilvl="7" w:tplc="04190019" w:tentative="1">
      <w:start w:val="1"/>
      <w:numFmt w:val="lowerLetter"/>
      <w:lvlText w:val="%8."/>
      <w:lvlJc w:val="left"/>
      <w:pPr>
        <w:ind w:left="7604" w:hanging="360"/>
      </w:pPr>
    </w:lvl>
    <w:lvl w:ilvl="8" w:tplc="0419001B" w:tentative="1">
      <w:start w:val="1"/>
      <w:numFmt w:val="lowerRoman"/>
      <w:lvlText w:val="%9."/>
      <w:lvlJc w:val="right"/>
      <w:pPr>
        <w:ind w:left="8324" w:hanging="180"/>
      </w:pPr>
    </w:lvl>
  </w:abstractNum>
  <w:abstractNum w:abstractNumId="8" w15:restartNumberingAfterBreak="0">
    <w:nsid w:val="57510E76"/>
    <w:multiLevelType w:val="hybridMultilevel"/>
    <w:tmpl w:val="12BAD1C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4D5173B"/>
    <w:multiLevelType w:val="hybridMultilevel"/>
    <w:tmpl w:val="B21EA8F6"/>
    <w:lvl w:ilvl="0" w:tplc="6D5840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4FA28FE"/>
    <w:multiLevelType w:val="multilevel"/>
    <w:tmpl w:val="568EE8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1" w15:restartNumberingAfterBreak="0">
    <w:nsid w:val="728D491C"/>
    <w:multiLevelType w:val="multilevel"/>
    <w:tmpl w:val="2C54E53E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eastAsia="Times New Roman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1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  <w:num w:numId="10">
    <w:abstractNumId w:val="11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7BD"/>
    <w:rsid w:val="00001426"/>
    <w:rsid w:val="00001EFD"/>
    <w:rsid w:val="00002980"/>
    <w:rsid w:val="0000318D"/>
    <w:rsid w:val="000052C4"/>
    <w:rsid w:val="000059A1"/>
    <w:rsid w:val="00006779"/>
    <w:rsid w:val="00007B5D"/>
    <w:rsid w:val="00012F73"/>
    <w:rsid w:val="0001389F"/>
    <w:rsid w:val="00032A64"/>
    <w:rsid w:val="00033972"/>
    <w:rsid w:val="0003652F"/>
    <w:rsid w:val="00041C34"/>
    <w:rsid w:val="00043401"/>
    <w:rsid w:val="000445B6"/>
    <w:rsid w:val="00046385"/>
    <w:rsid w:val="000537A9"/>
    <w:rsid w:val="00061E92"/>
    <w:rsid w:val="000629B5"/>
    <w:rsid w:val="00064408"/>
    <w:rsid w:val="00066697"/>
    <w:rsid w:val="00067650"/>
    <w:rsid w:val="00076118"/>
    <w:rsid w:val="00080630"/>
    <w:rsid w:val="00081B46"/>
    <w:rsid w:val="00082D75"/>
    <w:rsid w:val="00083CED"/>
    <w:rsid w:val="00086520"/>
    <w:rsid w:val="00087424"/>
    <w:rsid w:val="00087B57"/>
    <w:rsid w:val="0009236D"/>
    <w:rsid w:val="00092552"/>
    <w:rsid w:val="0009376D"/>
    <w:rsid w:val="000941DF"/>
    <w:rsid w:val="00095DF6"/>
    <w:rsid w:val="00095EB9"/>
    <w:rsid w:val="00096B9A"/>
    <w:rsid w:val="00096F25"/>
    <w:rsid w:val="000A1034"/>
    <w:rsid w:val="000A4ACE"/>
    <w:rsid w:val="000A5CF5"/>
    <w:rsid w:val="000A6A2A"/>
    <w:rsid w:val="000A6D31"/>
    <w:rsid w:val="000B2637"/>
    <w:rsid w:val="000B370C"/>
    <w:rsid w:val="000B4AB3"/>
    <w:rsid w:val="000B7CDC"/>
    <w:rsid w:val="000C0BB3"/>
    <w:rsid w:val="000C26F7"/>
    <w:rsid w:val="000C310B"/>
    <w:rsid w:val="000C7C01"/>
    <w:rsid w:val="000D0BCA"/>
    <w:rsid w:val="000D19DF"/>
    <w:rsid w:val="000D3FC1"/>
    <w:rsid w:val="000D4DC4"/>
    <w:rsid w:val="000D54A1"/>
    <w:rsid w:val="000D64EA"/>
    <w:rsid w:val="000D7236"/>
    <w:rsid w:val="000D788D"/>
    <w:rsid w:val="000D7FAB"/>
    <w:rsid w:val="000E078F"/>
    <w:rsid w:val="000E5446"/>
    <w:rsid w:val="000E5C17"/>
    <w:rsid w:val="000E6AA7"/>
    <w:rsid w:val="000F0236"/>
    <w:rsid w:val="000F6189"/>
    <w:rsid w:val="001028E7"/>
    <w:rsid w:val="001058D2"/>
    <w:rsid w:val="00106F1D"/>
    <w:rsid w:val="0011104A"/>
    <w:rsid w:val="00112FE7"/>
    <w:rsid w:val="00114E65"/>
    <w:rsid w:val="001161CC"/>
    <w:rsid w:val="001162C2"/>
    <w:rsid w:val="0012100E"/>
    <w:rsid w:val="00121740"/>
    <w:rsid w:val="00124DE3"/>
    <w:rsid w:val="00131B9D"/>
    <w:rsid w:val="001334A9"/>
    <w:rsid w:val="00136566"/>
    <w:rsid w:val="00142E80"/>
    <w:rsid w:val="00144C19"/>
    <w:rsid w:val="00146738"/>
    <w:rsid w:val="00150C64"/>
    <w:rsid w:val="0015485F"/>
    <w:rsid w:val="001603A1"/>
    <w:rsid w:val="00161762"/>
    <w:rsid w:val="00163417"/>
    <w:rsid w:val="00167F2C"/>
    <w:rsid w:val="00172DDA"/>
    <w:rsid w:val="00174190"/>
    <w:rsid w:val="00174D2E"/>
    <w:rsid w:val="00177DBC"/>
    <w:rsid w:val="00183E72"/>
    <w:rsid w:val="00185B7A"/>
    <w:rsid w:val="001861B0"/>
    <w:rsid w:val="001903D3"/>
    <w:rsid w:val="00190757"/>
    <w:rsid w:val="00191956"/>
    <w:rsid w:val="00194F61"/>
    <w:rsid w:val="00197C3D"/>
    <w:rsid w:val="001A471A"/>
    <w:rsid w:val="001B09E9"/>
    <w:rsid w:val="001B2AC1"/>
    <w:rsid w:val="001B6105"/>
    <w:rsid w:val="001B614A"/>
    <w:rsid w:val="001C01C4"/>
    <w:rsid w:val="001C0418"/>
    <w:rsid w:val="001C1DF0"/>
    <w:rsid w:val="001C391D"/>
    <w:rsid w:val="001C547F"/>
    <w:rsid w:val="001C612A"/>
    <w:rsid w:val="001C73EB"/>
    <w:rsid w:val="001C79F6"/>
    <w:rsid w:val="001D0B0E"/>
    <w:rsid w:val="001D6C27"/>
    <w:rsid w:val="001E03EC"/>
    <w:rsid w:val="001E17CE"/>
    <w:rsid w:val="001E4254"/>
    <w:rsid w:val="001E44C6"/>
    <w:rsid w:val="001E5214"/>
    <w:rsid w:val="001E5C61"/>
    <w:rsid w:val="001E63AC"/>
    <w:rsid w:val="001E6F68"/>
    <w:rsid w:val="001F12E8"/>
    <w:rsid w:val="001F34D0"/>
    <w:rsid w:val="001F41EB"/>
    <w:rsid w:val="001F79DF"/>
    <w:rsid w:val="0020093E"/>
    <w:rsid w:val="0020218D"/>
    <w:rsid w:val="002044F2"/>
    <w:rsid w:val="00204517"/>
    <w:rsid w:val="002060D8"/>
    <w:rsid w:val="00213DA9"/>
    <w:rsid w:val="002165EE"/>
    <w:rsid w:val="002202A7"/>
    <w:rsid w:val="00221A2C"/>
    <w:rsid w:val="00221D37"/>
    <w:rsid w:val="002224FF"/>
    <w:rsid w:val="00223134"/>
    <w:rsid w:val="00223BF9"/>
    <w:rsid w:val="002271E9"/>
    <w:rsid w:val="00230154"/>
    <w:rsid w:val="00232B31"/>
    <w:rsid w:val="00234626"/>
    <w:rsid w:val="002353EA"/>
    <w:rsid w:val="002406D3"/>
    <w:rsid w:val="002457A1"/>
    <w:rsid w:val="00245E77"/>
    <w:rsid w:val="002460FA"/>
    <w:rsid w:val="00247EBD"/>
    <w:rsid w:val="00252286"/>
    <w:rsid w:val="00252ADD"/>
    <w:rsid w:val="00252F3D"/>
    <w:rsid w:val="00252F83"/>
    <w:rsid w:val="00254413"/>
    <w:rsid w:val="0025651F"/>
    <w:rsid w:val="002618B7"/>
    <w:rsid w:val="00264575"/>
    <w:rsid w:val="0026513A"/>
    <w:rsid w:val="00265B6E"/>
    <w:rsid w:val="002714AC"/>
    <w:rsid w:val="002714C6"/>
    <w:rsid w:val="002719F7"/>
    <w:rsid w:val="00272CA9"/>
    <w:rsid w:val="00273BA2"/>
    <w:rsid w:val="002743AB"/>
    <w:rsid w:val="00282ED0"/>
    <w:rsid w:val="00283C37"/>
    <w:rsid w:val="00285BA6"/>
    <w:rsid w:val="00287B21"/>
    <w:rsid w:val="0029550E"/>
    <w:rsid w:val="00295592"/>
    <w:rsid w:val="00295DCB"/>
    <w:rsid w:val="002960F9"/>
    <w:rsid w:val="002965E2"/>
    <w:rsid w:val="002A3D38"/>
    <w:rsid w:val="002A42EC"/>
    <w:rsid w:val="002A68A6"/>
    <w:rsid w:val="002A6F24"/>
    <w:rsid w:val="002B1E7F"/>
    <w:rsid w:val="002B45EE"/>
    <w:rsid w:val="002B46D6"/>
    <w:rsid w:val="002B5463"/>
    <w:rsid w:val="002C247E"/>
    <w:rsid w:val="002C7991"/>
    <w:rsid w:val="002D5A37"/>
    <w:rsid w:val="002D7003"/>
    <w:rsid w:val="002E3D05"/>
    <w:rsid w:val="002E4BAC"/>
    <w:rsid w:val="002E72AA"/>
    <w:rsid w:val="002F12C6"/>
    <w:rsid w:val="002F13A0"/>
    <w:rsid w:val="002F3185"/>
    <w:rsid w:val="002F5F38"/>
    <w:rsid w:val="003018E8"/>
    <w:rsid w:val="0030401F"/>
    <w:rsid w:val="00304638"/>
    <w:rsid w:val="00305A3C"/>
    <w:rsid w:val="003065DD"/>
    <w:rsid w:val="003068BE"/>
    <w:rsid w:val="00313CBB"/>
    <w:rsid w:val="003147BD"/>
    <w:rsid w:val="00317032"/>
    <w:rsid w:val="0031712E"/>
    <w:rsid w:val="003201F4"/>
    <w:rsid w:val="0032292E"/>
    <w:rsid w:val="00326E12"/>
    <w:rsid w:val="00335224"/>
    <w:rsid w:val="00336210"/>
    <w:rsid w:val="00337977"/>
    <w:rsid w:val="003409D0"/>
    <w:rsid w:val="003475F2"/>
    <w:rsid w:val="00347743"/>
    <w:rsid w:val="00353784"/>
    <w:rsid w:val="003538AA"/>
    <w:rsid w:val="0035575F"/>
    <w:rsid w:val="0036162B"/>
    <w:rsid w:val="003636AB"/>
    <w:rsid w:val="0036465D"/>
    <w:rsid w:val="00370E61"/>
    <w:rsid w:val="0037101A"/>
    <w:rsid w:val="0037424A"/>
    <w:rsid w:val="00374A46"/>
    <w:rsid w:val="00375D74"/>
    <w:rsid w:val="00377D0B"/>
    <w:rsid w:val="00380E96"/>
    <w:rsid w:val="0038257D"/>
    <w:rsid w:val="0038564A"/>
    <w:rsid w:val="003871E9"/>
    <w:rsid w:val="00394C0B"/>
    <w:rsid w:val="0039621F"/>
    <w:rsid w:val="0039662F"/>
    <w:rsid w:val="00396E09"/>
    <w:rsid w:val="00397AA8"/>
    <w:rsid w:val="003A2416"/>
    <w:rsid w:val="003A2F6D"/>
    <w:rsid w:val="003A66F6"/>
    <w:rsid w:val="003B26DC"/>
    <w:rsid w:val="003B468A"/>
    <w:rsid w:val="003B6698"/>
    <w:rsid w:val="003C2F3C"/>
    <w:rsid w:val="003C35BD"/>
    <w:rsid w:val="003C37F7"/>
    <w:rsid w:val="003C457F"/>
    <w:rsid w:val="003C4C6E"/>
    <w:rsid w:val="003C4CFF"/>
    <w:rsid w:val="003C7B4C"/>
    <w:rsid w:val="003D1980"/>
    <w:rsid w:val="003D1E5E"/>
    <w:rsid w:val="003D238F"/>
    <w:rsid w:val="003D5B00"/>
    <w:rsid w:val="003D74FF"/>
    <w:rsid w:val="003E05CB"/>
    <w:rsid w:val="003E2193"/>
    <w:rsid w:val="003E32CB"/>
    <w:rsid w:val="003F337E"/>
    <w:rsid w:val="003F3DC6"/>
    <w:rsid w:val="003F5478"/>
    <w:rsid w:val="003F6858"/>
    <w:rsid w:val="0040486C"/>
    <w:rsid w:val="00404908"/>
    <w:rsid w:val="00406FBC"/>
    <w:rsid w:val="00407124"/>
    <w:rsid w:val="00407EA6"/>
    <w:rsid w:val="00412ACD"/>
    <w:rsid w:val="00416E37"/>
    <w:rsid w:val="0041754E"/>
    <w:rsid w:val="0042269B"/>
    <w:rsid w:val="004230FA"/>
    <w:rsid w:val="004252DC"/>
    <w:rsid w:val="00425B05"/>
    <w:rsid w:val="004262F9"/>
    <w:rsid w:val="00426996"/>
    <w:rsid w:val="004270C0"/>
    <w:rsid w:val="00427585"/>
    <w:rsid w:val="00431DCA"/>
    <w:rsid w:val="004425AF"/>
    <w:rsid w:val="00443048"/>
    <w:rsid w:val="004446EC"/>
    <w:rsid w:val="00446187"/>
    <w:rsid w:val="00446B35"/>
    <w:rsid w:val="00452992"/>
    <w:rsid w:val="00453C46"/>
    <w:rsid w:val="00456000"/>
    <w:rsid w:val="004629BC"/>
    <w:rsid w:val="00467543"/>
    <w:rsid w:val="00467AD4"/>
    <w:rsid w:val="00471F84"/>
    <w:rsid w:val="00472999"/>
    <w:rsid w:val="00473C58"/>
    <w:rsid w:val="0047455E"/>
    <w:rsid w:val="00474BBE"/>
    <w:rsid w:val="00476616"/>
    <w:rsid w:val="004800DE"/>
    <w:rsid w:val="00480F79"/>
    <w:rsid w:val="00483DFD"/>
    <w:rsid w:val="00484EE4"/>
    <w:rsid w:val="004851EB"/>
    <w:rsid w:val="00485235"/>
    <w:rsid w:val="00492FDF"/>
    <w:rsid w:val="00493627"/>
    <w:rsid w:val="004959E3"/>
    <w:rsid w:val="004972C3"/>
    <w:rsid w:val="004A218E"/>
    <w:rsid w:val="004A5450"/>
    <w:rsid w:val="004B00FA"/>
    <w:rsid w:val="004B431D"/>
    <w:rsid w:val="004B617A"/>
    <w:rsid w:val="004C397E"/>
    <w:rsid w:val="004C3F38"/>
    <w:rsid w:val="004C4647"/>
    <w:rsid w:val="004C57A5"/>
    <w:rsid w:val="004C6040"/>
    <w:rsid w:val="004D005E"/>
    <w:rsid w:val="004D1F11"/>
    <w:rsid w:val="004D51B3"/>
    <w:rsid w:val="004D690F"/>
    <w:rsid w:val="004D697F"/>
    <w:rsid w:val="004D7270"/>
    <w:rsid w:val="004E031B"/>
    <w:rsid w:val="004E05BE"/>
    <w:rsid w:val="004E0CAE"/>
    <w:rsid w:val="004E44F7"/>
    <w:rsid w:val="004E70A5"/>
    <w:rsid w:val="004E793D"/>
    <w:rsid w:val="004E7FAA"/>
    <w:rsid w:val="004F04BC"/>
    <w:rsid w:val="004F29B2"/>
    <w:rsid w:val="00501C19"/>
    <w:rsid w:val="005021E2"/>
    <w:rsid w:val="00505038"/>
    <w:rsid w:val="0051332F"/>
    <w:rsid w:val="00515B82"/>
    <w:rsid w:val="00516A13"/>
    <w:rsid w:val="00517314"/>
    <w:rsid w:val="00521F25"/>
    <w:rsid w:val="00524E34"/>
    <w:rsid w:val="00525900"/>
    <w:rsid w:val="00526719"/>
    <w:rsid w:val="00531A1F"/>
    <w:rsid w:val="00533202"/>
    <w:rsid w:val="005336DF"/>
    <w:rsid w:val="0054230E"/>
    <w:rsid w:val="00543258"/>
    <w:rsid w:val="00543E39"/>
    <w:rsid w:val="00544E87"/>
    <w:rsid w:val="00545B3F"/>
    <w:rsid w:val="00547238"/>
    <w:rsid w:val="005511FF"/>
    <w:rsid w:val="0055140C"/>
    <w:rsid w:val="00552478"/>
    <w:rsid w:val="00554010"/>
    <w:rsid w:val="00555319"/>
    <w:rsid w:val="00562132"/>
    <w:rsid w:val="005634EE"/>
    <w:rsid w:val="00567404"/>
    <w:rsid w:val="0056765D"/>
    <w:rsid w:val="005713C1"/>
    <w:rsid w:val="00574309"/>
    <w:rsid w:val="00574E5F"/>
    <w:rsid w:val="005751D0"/>
    <w:rsid w:val="005811E2"/>
    <w:rsid w:val="005859A7"/>
    <w:rsid w:val="005872BD"/>
    <w:rsid w:val="005879D6"/>
    <w:rsid w:val="00587E1E"/>
    <w:rsid w:val="0059200C"/>
    <w:rsid w:val="00593221"/>
    <w:rsid w:val="00594390"/>
    <w:rsid w:val="00595FB0"/>
    <w:rsid w:val="005A08B5"/>
    <w:rsid w:val="005A16DC"/>
    <w:rsid w:val="005A3940"/>
    <w:rsid w:val="005A4EDD"/>
    <w:rsid w:val="005A67F1"/>
    <w:rsid w:val="005B0817"/>
    <w:rsid w:val="005B15C5"/>
    <w:rsid w:val="005B51A0"/>
    <w:rsid w:val="005B6CB3"/>
    <w:rsid w:val="005B7142"/>
    <w:rsid w:val="005C0648"/>
    <w:rsid w:val="005C258B"/>
    <w:rsid w:val="005C3566"/>
    <w:rsid w:val="005C4FF5"/>
    <w:rsid w:val="005C5297"/>
    <w:rsid w:val="005C7DD4"/>
    <w:rsid w:val="005D45C3"/>
    <w:rsid w:val="005E0C63"/>
    <w:rsid w:val="005E1E39"/>
    <w:rsid w:val="005E1EB6"/>
    <w:rsid w:val="005E2AA9"/>
    <w:rsid w:val="005E7788"/>
    <w:rsid w:val="005F1B43"/>
    <w:rsid w:val="005F1D77"/>
    <w:rsid w:val="005F1D7A"/>
    <w:rsid w:val="005F431F"/>
    <w:rsid w:val="005F4DF6"/>
    <w:rsid w:val="0060000B"/>
    <w:rsid w:val="00601FA6"/>
    <w:rsid w:val="00607813"/>
    <w:rsid w:val="006128FF"/>
    <w:rsid w:val="00612B4B"/>
    <w:rsid w:val="00614CAF"/>
    <w:rsid w:val="00615446"/>
    <w:rsid w:val="006163DB"/>
    <w:rsid w:val="00616EC1"/>
    <w:rsid w:val="00617A2D"/>
    <w:rsid w:val="00620D6E"/>
    <w:rsid w:val="006222BD"/>
    <w:rsid w:val="006224BB"/>
    <w:rsid w:val="00622531"/>
    <w:rsid w:val="00622C1F"/>
    <w:rsid w:val="006257A1"/>
    <w:rsid w:val="0062671B"/>
    <w:rsid w:val="0063123C"/>
    <w:rsid w:val="00635236"/>
    <w:rsid w:val="006368DB"/>
    <w:rsid w:val="00637FB9"/>
    <w:rsid w:val="006408BB"/>
    <w:rsid w:val="00640A67"/>
    <w:rsid w:val="00640B39"/>
    <w:rsid w:val="00642676"/>
    <w:rsid w:val="006426A1"/>
    <w:rsid w:val="006464FF"/>
    <w:rsid w:val="00654D3F"/>
    <w:rsid w:val="00660873"/>
    <w:rsid w:val="00666054"/>
    <w:rsid w:val="0066695E"/>
    <w:rsid w:val="00674713"/>
    <w:rsid w:val="0067692C"/>
    <w:rsid w:val="00677975"/>
    <w:rsid w:val="006808D2"/>
    <w:rsid w:val="0068320B"/>
    <w:rsid w:val="006839FB"/>
    <w:rsid w:val="006859BC"/>
    <w:rsid w:val="00685A94"/>
    <w:rsid w:val="00690230"/>
    <w:rsid w:val="00691F12"/>
    <w:rsid w:val="00692732"/>
    <w:rsid w:val="00692DC2"/>
    <w:rsid w:val="006A191C"/>
    <w:rsid w:val="006A3D45"/>
    <w:rsid w:val="006A46D8"/>
    <w:rsid w:val="006A5722"/>
    <w:rsid w:val="006A617B"/>
    <w:rsid w:val="006A7927"/>
    <w:rsid w:val="006B0077"/>
    <w:rsid w:val="006B2939"/>
    <w:rsid w:val="006B4BA4"/>
    <w:rsid w:val="006B53A9"/>
    <w:rsid w:val="006C0129"/>
    <w:rsid w:val="006C3394"/>
    <w:rsid w:val="006C6697"/>
    <w:rsid w:val="006C6D69"/>
    <w:rsid w:val="006D3E82"/>
    <w:rsid w:val="006D4510"/>
    <w:rsid w:val="006D4E35"/>
    <w:rsid w:val="006E02C0"/>
    <w:rsid w:val="006E0E9B"/>
    <w:rsid w:val="006E23EF"/>
    <w:rsid w:val="006E2C66"/>
    <w:rsid w:val="006E2D0F"/>
    <w:rsid w:val="006E3E31"/>
    <w:rsid w:val="006E555B"/>
    <w:rsid w:val="006F0882"/>
    <w:rsid w:val="006F0F79"/>
    <w:rsid w:val="006F114D"/>
    <w:rsid w:val="006F17B1"/>
    <w:rsid w:val="006F3AA2"/>
    <w:rsid w:val="006F3F1B"/>
    <w:rsid w:val="006F51A6"/>
    <w:rsid w:val="007044AE"/>
    <w:rsid w:val="00706C30"/>
    <w:rsid w:val="00713558"/>
    <w:rsid w:val="00714187"/>
    <w:rsid w:val="00714F6A"/>
    <w:rsid w:val="0071685A"/>
    <w:rsid w:val="00720EEA"/>
    <w:rsid w:val="00724DB8"/>
    <w:rsid w:val="00726E31"/>
    <w:rsid w:val="00732B8D"/>
    <w:rsid w:val="00732FE7"/>
    <w:rsid w:val="00735820"/>
    <w:rsid w:val="0073637F"/>
    <w:rsid w:val="00736AAB"/>
    <w:rsid w:val="00736D6F"/>
    <w:rsid w:val="00737F46"/>
    <w:rsid w:val="007406E3"/>
    <w:rsid w:val="00740A01"/>
    <w:rsid w:val="00740F73"/>
    <w:rsid w:val="00746B74"/>
    <w:rsid w:val="0075240C"/>
    <w:rsid w:val="0075286D"/>
    <w:rsid w:val="00753220"/>
    <w:rsid w:val="00755169"/>
    <w:rsid w:val="00756CD9"/>
    <w:rsid w:val="00757EF8"/>
    <w:rsid w:val="00760505"/>
    <w:rsid w:val="00760882"/>
    <w:rsid w:val="00763415"/>
    <w:rsid w:val="0076537B"/>
    <w:rsid w:val="0076717A"/>
    <w:rsid w:val="00767C33"/>
    <w:rsid w:val="00770256"/>
    <w:rsid w:val="0077332F"/>
    <w:rsid w:val="00773A07"/>
    <w:rsid w:val="00773DC0"/>
    <w:rsid w:val="007749D2"/>
    <w:rsid w:val="0077532A"/>
    <w:rsid w:val="00775417"/>
    <w:rsid w:val="00780C53"/>
    <w:rsid w:val="007829C5"/>
    <w:rsid w:val="0078323C"/>
    <w:rsid w:val="00783C1F"/>
    <w:rsid w:val="00783D40"/>
    <w:rsid w:val="00794269"/>
    <w:rsid w:val="0079498D"/>
    <w:rsid w:val="00795493"/>
    <w:rsid w:val="00797E4D"/>
    <w:rsid w:val="007A2223"/>
    <w:rsid w:val="007A461D"/>
    <w:rsid w:val="007B0C26"/>
    <w:rsid w:val="007B1C15"/>
    <w:rsid w:val="007B2CBD"/>
    <w:rsid w:val="007B3BA4"/>
    <w:rsid w:val="007B3CCF"/>
    <w:rsid w:val="007B5B5E"/>
    <w:rsid w:val="007B6EA8"/>
    <w:rsid w:val="007B7CC4"/>
    <w:rsid w:val="007C0253"/>
    <w:rsid w:val="007C0E01"/>
    <w:rsid w:val="007C21AB"/>
    <w:rsid w:val="007D1DDA"/>
    <w:rsid w:val="007D224F"/>
    <w:rsid w:val="007D3409"/>
    <w:rsid w:val="007E4127"/>
    <w:rsid w:val="007E53D5"/>
    <w:rsid w:val="007F0875"/>
    <w:rsid w:val="007F0945"/>
    <w:rsid w:val="007F17D6"/>
    <w:rsid w:val="007F2FBD"/>
    <w:rsid w:val="007F4E3A"/>
    <w:rsid w:val="007F6827"/>
    <w:rsid w:val="00800093"/>
    <w:rsid w:val="00805380"/>
    <w:rsid w:val="00810D3B"/>
    <w:rsid w:val="008125BA"/>
    <w:rsid w:val="008149D3"/>
    <w:rsid w:val="00814C7D"/>
    <w:rsid w:val="008157B2"/>
    <w:rsid w:val="0081682A"/>
    <w:rsid w:val="00817209"/>
    <w:rsid w:val="00822911"/>
    <w:rsid w:val="00822A59"/>
    <w:rsid w:val="00822F97"/>
    <w:rsid w:val="008232BD"/>
    <w:rsid w:val="00824B3A"/>
    <w:rsid w:val="00825E27"/>
    <w:rsid w:val="008336F3"/>
    <w:rsid w:val="008353DC"/>
    <w:rsid w:val="0084186B"/>
    <w:rsid w:val="00842DCE"/>
    <w:rsid w:val="008462C9"/>
    <w:rsid w:val="00851006"/>
    <w:rsid w:val="00861C02"/>
    <w:rsid w:val="00867F7E"/>
    <w:rsid w:val="00873124"/>
    <w:rsid w:val="0087358B"/>
    <w:rsid w:val="008758AF"/>
    <w:rsid w:val="00880F90"/>
    <w:rsid w:val="008819C3"/>
    <w:rsid w:val="008842AD"/>
    <w:rsid w:val="00886929"/>
    <w:rsid w:val="00887864"/>
    <w:rsid w:val="008907CA"/>
    <w:rsid w:val="00891044"/>
    <w:rsid w:val="00893BA2"/>
    <w:rsid w:val="00893EA6"/>
    <w:rsid w:val="008950DF"/>
    <w:rsid w:val="008A62B7"/>
    <w:rsid w:val="008B08A5"/>
    <w:rsid w:val="008B285C"/>
    <w:rsid w:val="008B2BEC"/>
    <w:rsid w:val="008B2F67"/>
    <w:rsid w:val="008B3070"/>
    <w:rsid w:val="008B3988"/>
    <w:rsid w:val="008B72FD"/>
    <w:rsid w:val="008C0C85"/>
    <w:rsid w:val="008C3E34"/>
    <w:rsid w:val="008C4E65"/>
    <w:rsid w:val="008D0BC1"/>
    <w:rsid w:val="008D265F"/>
    <w:rsid w:val="008D3737"/>
    <w:rsid w:val="008D4B9D"/>
    <w:rsid w:val="008D4F10"/>
    <w:rsid w:val="008D5794"/>
    <w:rsid w:val="008D57F7"/>
    <w:rsid w:val="008D5EE8"/>
    <w:rsid w:val="008D6B88"/>
    <w:rsid w:val="008D7D67"/>
    <w:rsid w:val="008D7EB6"/>
    <w:rsid w:val="008E3291"/>
    <w:rsid w:val="008E3A6B"/>
    <w:rsid w:val="008E72C9"/>
    <w:rsid w:val="008E75A8"/>
    <w:rsid w:val="008F1DE5"/>
    <w:rsid w:val="0090274D"/>
    <w:rsid w:val="00904609"/>
    <w:rsid w:val="00904F47"/>
    <w:rsid w:val="00905BF6"/>
    <w:rsid w:val="0090715E"/>
    <w:rsid w:val="00912802"/>
    <w:rsid w:val="0091589E"/>
    <w:rsid w:val="009178D6"/>
    <w:rsid w:val="00926C16"/>
    <w:rsid w:val="00931837"/>
    <w:rsid w:val="00936670"/>
    <w:rsid w:val="00941C27"/>
    <w:rsid w:val="009432E9"/>
    <w:rsid w:val="00945387"/>
    <w:rsid w:val="0094545B"/>
    <w:rsid w:val="00945943"/>
    <w:rsid w:val="0095267E"/>
    <w:rsid w:val="0095286E"/>
    <w:rsid w:val="00952C2D"/>
    <w:rsid w:val="00955885"/>
    <w:rsid w:val="00956690"/>
    <w:rsid w:val="0095713F"/>
    <w:rsid w:val="00961DBE"/>
    <w:rsid w:val="00963AE2"/>
    <w:rsid w:val="009666C4"/>
    <w:rsid w:val="00967A11"/>
    <w:rsid w:val="00970F6F"/>
    <w:rsid w:val="00972482"/>
    <w:rsid w:val="0097254A"/>
    <w:rsid w:val="0097304A"/>
    <w:rsid w:val="009730BC"/>
    <w:rsid w:val="00973220"/>
    <w:rsid w:val="009746E1"/>
    <w:rsid w:val="00974AF0"/>
    <w:rsid w:val="0097558B"/>
    <w:rsid w:val="00975A5D"/>
    <w:rsid w:val="009802FB"/>
    <w:rsid w:val="00981127"/>
    <w:rsid w:val="00990237"/>
    <w:rsid w:val="00990576"/>
    <w:rsid w:val="00990B00"/>
    <w:rsid w:val="00990F35"/>
    <w:rsid w:val="0099309A"/>
    <w:rsid w:val="0099362A"/>
    <w:rsid w:val="009946CB"/>
    <w:rsid w:val="00994FEF"/>
    <w:rsid w:val="00995B9E"/>
    <w:rsid w:val="009A1397"/>
    <w:rsid w:val="009A3B7D"/>
    <w:rsid w:val="009A57BA"/>
    <w:rsid w:val="009A70B6"/>
    <w:rsid w:val="009A7A2A"/>
    <w:rsid w:val="009B12B1"/>
    <w:rsid w:val="009B4161"/>
    <w:rsid w:val="009C51D9"/>
    <w:rsid w:val="009D03EE"/>
    <w:rsid w:val="009D1F19"/>
    <w:rsid w:val="009D25DC"/>
    <w:rsid w:val="009D33CD"/>
    <w:rsid w:val="009D3843"/>
    <w:rsid w:val="009E158D"/>
    <w:rsid w:val="009E26A1"/>
    <w:rsid w:val="009E6219"/>
    <w:rsid w:val="009F2607"/>
    <w:rsid w:val="009F46DA"/>
    <w:rsid w:val="00A03D18"/>
    <w:rsid w:val="00A059CB"/>
    <w:rsid w:val="00A062C4"/>
    <w:rsid w:val="00A069B7"/>
    <w:rsid w:val="00A0739C"/>
    <w:rsid w:val="00A11024"/>
    <w:rsid w:val="00A121BC"/>
    <w:rsid w:val="00A13F7F"/>
    <w:rsid w:val="00A20672"/>
    <w:rsid w:val="00A217FD"/>
    <w:rsid w:val="00A231D4"/>
    <w:rsid w:val="00A26DC0"/>
    <w:rsid w:val="00A35B7A"/>
    <w:rsid w:val="00A376AB"/>
    <w:rsid w:val="00A37D94"/>
    <w:rsid w:val="00A404CF"/>
    <w:rsid w:val="00A447B5"/>
    <w:rsid w:val="00A45342"/>
    <w:rsid w:val="00A460A9"/>
    <w:rsid w:val="00A46B6C"/>
    <w:rsid w:val="00A53111"/>
    <w:rsid w:val="00A536E3"/>
    <w:rsid w:val="00A556BA"/>
    <w:rsid w:val="00A56088"/>
    <w:rsid w:val="00A569C5"/>
    <w:rsid w:val="00A6109D"/>
    <w:rsid w:val="00A62274"/>
    <w:rsid w:val="00A64C20"/>
    <w:rsid w:val="00A64C5E"/>
    <w:rsid w:val="00A64ECD"/>
    <w:rsid w:val="00A677E2"/>
    <w:rsid w:val="00A72097"/>
    <w:rsid w:val="00A7229F"/>
    <w:rsid w:val="00A817F5"/>
    <w:rsid w:val="00A8358A"/>
    <w:rsid w:val="00A86C63"/>
    <w:rsid w:val="00A8704F"/>
    <w:rsid w:val="00A87A0A"/>
    <w:rsid w:val="00A90B26"/>
    <w:rsid w:val="00A929C3"/>
    <w:rsid w:val="00A94A33"/>
    <w:rsid w:val="00A959B8"/>
    <w:rsid w:val="00A96B02"/>
    <w:rsid w:val="00AA3257"/>
    <w:rsid w:val="00AB190F"/>
    <w:rsid w:val="00AB552F"/>
    <w:rsid w:val="00AC066B"/>
    <w:rsid w:val="00AC19E1"/>
    <w:rsid w:val="00AC1B77"/>
    <w:rsid w:val="00AD1ED1"/>
    <w:rsid w:val="00AD3078"/>
    <w:rsid w:val="00AD4D17"/>
    <w:rsid w:val="00AD6DEC"/>
    <w:rsid w:val="00AE7EF0"/>
    <w:rsid w:val="00AF008B"/>
    <w:rsid w:val="00AF6876"/>
    <w:rsid w:val="00B0605F"/>
    <w:rsid w:val="00B06123"/>
    <w:rsid w:val="00B11330"/>
    <w:rsid w:val="00B14211"/>
    <w:rsid w:val="00B16394"/>
    <w:rsid w:val="00B17C09"/>
    <w:rsid w:val="00B23D0F"/>
    <w:rsid w:val="00B31F06"/>
    <w:rsid w:val="00B34A93"/>
    <w:rsid w:val="00B4361C"/>
    <w:rsid w:val="00B47978"/>
    <w:rsid w:val="00B50784"/>
    <w:rsid w:val="00B53C14"/>
    <w:rsid w:val="00B63943"/>
    <w:rsid w:val="00B734E3"/>
    <w:rsid w:val="00B7645B"/>
    <w:rsid w:val="00B85F45"/>
    <w:rsid w:val="00B92A12"/>
    <w:rsid w:val="00B9556F"/>
    <w:rsid w:val="00B9565C"/>
    <w:rsid w:val="00B95FD2"/>
    <w:rsid w:val="00B97D0D"/>
    <w:rsid w:val="00BA0EA7"/>
    <w:rsid w:val="00BA1E64"/>
    <w:rsid w:val="00BB4CF2"/>
    <w:rsid w:val="00BC0FF3"/>
    <w:rsid w:val="00BC1D9E"/>
    <w:rsid w:val="00BC2FFC"/>
    <w:rsid w:val="00BC3F92"/>
    <w:rsid w:val="00BC5571"/>
    <w:rsid w:val="00BC7974"/>
    <w:rsid w:val="00BD1707"/>
    <w:rsid w:val="00BD5479"/>
    <w:rsid w:val="00BD5E16"/>
    <w:rsid w:val="00BD6B72"/>
    <w:rsid w:val="00BD7215"/>
    <w:rsid w:val="00BE3434"/>
    <w:rsid w:val="00BE3AC9"/>
    <w:rsid w:val="00BE3FD7"/>
    <w:rsid w:val="00BE4EBA"/>
    <w:rsid w:val="00BE69EF"/>
    <w:rsid w:val="00BE6CB5"/>
    <w:rsid w:val="00BF1FAB"/>
    <w:rsid w:val="00BF56DC"/>
    <w:rsid w:val="00BF77F8"/>
    <w:rsid w:val="00C01668"/>
    <w:rsid w:val="00C01F7F"/>
    <w:rsid w:val="00C102C3"/>
    <w:rsid w:val="00C114EC"/>
    <w:rsid w:val="00C1194A"/>
    <w:rsid w:val="00C11CD6"/>
    <w:rsid w:val="00C12E9A"/>
    <w:rsid w:val="00C147DD"/>
    <w:rsid w:val="00C178C9"/>
    <w:rsid w:val="00C21F46"/>
    <w:rsid w:val="00C23840"/>
    <w:rsid w:val="00C2449B"/>
    <w:rsid w:val="00C245B3"/>
    <w:rsid w:val="00C35576"/>
    <w:rsid w:val="00C4214F"/>
    <w:rsid w:val="00C44411"/>
    <w:rsid w:val="00C44CAE"/>
    <w:rsid w:val="00C46CFD"/>
    <w:rsid w:val="00C4722B"/>
    <w:rsid w:val="00C479A4"/>
    <w:rsid w:val="00C500F2"/>
    <w:rsid w:val="00C50758"/>
    <w:rsid w:val="00C50F8E"/>
    <w:rsid w:val="00C52033"/>
    <w:rsid w:val="00C5550C"/>
    <w:rsid w:val="00C62538"/>
    <w:rsid w:val="00C630AB"/>
    <w:rsid w:val="00C644BA"/>
    <w:rsid w:val="00C66063"/>
    <w:rsid w:val="00C71D61"/>
    <w:rsid w:val="00C723E6"/>
    <w:rsid w:val="00C75C30"/>
    <w:rsid w:val="00C77E13"/>
    <w:rsid w:val="00C80151"/>
    <w:rsid w:val="00C8161F"/>
    <w:rsid w:val="00C84626"/>
    <w:rsid w:val="00C84E8E"/>
    <w:rsid w:val="00C877B5"/>
    <w:rsid w:val="00C878AD"/>
    <w:rsid w:val="00C87ACB"/>
    <w:rsid w:val="00C904D8"/>
    <w:rsid w:val="00C9174D"/>
    <w:rsid w:val="00C9257D"/>
    <w:rsid w:val="00C929ED"/>
    <w:rsid w:val="00CA3993"/>
    <w:rsid w:val="00CA3F43"/>
    <w:rsid w:val="00CA4FFC"/>
    <w:rsid w:val="00CA516C"/>
    <w:rsid w:val="00CB1BDB"/>
    <w:rsid w:val="00CB1F95"/>
    <w:rsid w:val="00CB755F"/>
    <w:rsid w:val="00CC0694"/>
    <w:rsid w:val="00CC3652"/>
    <w:rsid w:val="00CC6622"/>
    <w:rsid w:val="00CC7FC2"/>
    <w:rsid w:val="00CD4DFC"/>
    <w:rsid w:val="00CE0DB8"/>
    <w:rsid w:val="00CE18AA"/>
    <w:rsid w:val="00CE1E07"/>
    <w:rsid w:val="00CE29C6"/>
    <w:rsid w:val="00CE4107"/>
    <w:rsid w:val="00CE433E"/>
    <w:rsid w:val="00CE5259"/>
    <w:rsid w:val="00CF75C8"/>
    <w:rsid w:val="00CF780F"/>
    <w:rsid w:val="00D0462A"/>
    <w:rsid w:val="00D10268"/>
    <w:rsid w:val="00D12832"/>
    <w:rsid w:val="00D131F3"/>
    <w:rsid w:val="00D14714"/>
    <w:rsid w:val="00D14D1C"/>
    <w:rsid w:val="00D2077F"/>
    <w:rsid w:val="00D25CF3"/>
    <w:rsid w:val="00D31F80"/>
    <w:rsid w:val="00D31F83"/>
    <w:rsid w:val="00D3627C"/>
    <w:rsid w:val="00D37092"/>
    <w:rsid w:val="00D37819"/>
    <w:rsid w:val="00D37F31"/>
    <w:rsid w:val="00D409D8"/>
    <w:rsid w:val="00D40A33"/>
    <w:rsid w:val="00D41B72"/>
    <w:rsid w:val="00D429DD"/>
    <w:rsid w:val="00D438C6"/>
    <w:rsid w:val="00D4434A"/>
    <w:rsid w:val="00D470B3"/>
    <w:rsid w:val="00D5000D"/>
    <w:rsid w:val="00D50D1F"/>
    <w:rsid w:val="00D50E02"/>
    <w:rsid w:val="00D51EE8"/>
    <w:rsid w:val="00D5331E"/>
    <w:rsid w:val="00D54C3B"/>
    <w:rsid w:val="00D54D45"/>
    <w:rsid w:val="00D55009"/>
    <w:rsid w:val="00D5775D"/>
    <w:rsid w:val="00D579D8"/>
    <w:rsid w:val="00D63BAB"/>
    <w:rsid w:val="00D67248"/>
    <w:rsid w:val="00D74A93"/>
    <w:rsid w:val="00D74C47"/>
    <w:rsid w:val="00D83730"/>
    <w:rsid w:val="00D87344"/>
    <w:rsid w:val="00D902E5"/>
    <w:rsid w:val="00D9106E"/>
    <w:rsid w:val="00D916DA"/>
    <w:rsid w:val="00D93C6F"/>
    <w:rsid w:val="00D94DC8"/>
    <w:rsid w:val="00D9500C"/>
    <w:rsid w:val="00D95C49"/>
    <w:rsid w:val="00D966E6"/>
    <w:rsid w:val="00DA01BD"/>
    <w:rsid w:val="00DA2F1C"/>
    <w:rsid w:val="00DA4934"/>
    <w:rsid w:val="00DA4E0B"/>
    <w:rsid w:val="00DA5E9E"/>
    <w:rsid w:val="00DA7128"/>
    <w:rsid w:val="00DB01DE"/>
    <w:rsid w:val="00DB1BCB"/>
    <w:rsid w:val="00DB4D2B"/>
    <w:rsid w:val="00DB71A3"/>
    <w:rsid w:val="00DC2E4B"/>
    <w:rsid w:val="00DC3F4F"/>
    <w:rsid w:val="00DC4C32"/>
    <w:rsid w:val="00DC52AD"/>
    <w:rsid w:val="00DD04C7"/>
    <w:rsid w:val="00DD1482"/>
    <w:rsid w:val="00DD1C7F"/>
    <w:rsid w:val="00DD45CE"/>
    <w:rsid w:val="00DD7B3E"/>
    <w:rsid w:val="00DE0097"/>
    <w:rsid w:val="00DE0D14"/>
    <w:rsid w:val="00DE0E64"/>
    <w:rsid w:val="00DE474A"/>
    <w:rsid w:val="00DE4BFC"/>
    <w:rsid w:val="00DE65FA"/>
    <w:rsid w:val="00DE6AFF"/>
    <w:rsid w:val="00DE6DCD"/>
    <w:rsid w:val="00DF7A3F"/>
    <w:rsid w:val="00E0052D"/>
    <w:rsid w:val="00E01208"/>
    <w:rsid w:val="00E019ED"/>
    <w:rsid w:val="00E040B5"/>
    <w:rsid w:val="00E04D1E"/>
    <w:rsid w:val="00E10B1C"/>
    <w:rsid w:val="00E11082"/>
    <w:rsid w:val="00E21EB5"/>
    <w:rsid w:val="00E22B55"/>
    <w:rsid w:val="00E25A5C"/>
    <w:rsid w:val="00E3053A"/>
    <w:rsid w:val="00E31757"/>
    <w:rsid w:val="00E3367A"/>
    <w:rsid w:val="00E379A1"/>
    <w:rsid w:val="00E40767"/>
    <w:rsid w:val="00E44124"/>
    <w:rsid w:val="00E44DC3"/>
    <w:rsid w:val="00E54309"/>
    <w:rsid w:val="00E564BB"/>
    <w:rsid w:val="00E60117"/>
    <w:rsid w:val="00E63CE2"/>
    <w:rsid w:val="00E740A6"/>
    <w:rsid w:val="00E75AE1"/>
    <w:rsid w:val="00E7695A"/>
    <w:rsid w:val="00E82A0E"/>
    <w:rsid w:val="00E83387"/>
    <w:rsid w:val="00E90155"/>
    <w:rsid w:val="00E91B42"/>
    <w:rsid w:val="00EA0F74"/>
    <w:rsid w:val="00EA1E33"/>
    <w:rsid w:val="00EA7FE5"/>
    <w:rsid w:val="00EB5B94"/>
    <w:rsid w:val="00EC0200"/>
    <w:rsid w:val="00EC1346"/>
    <w:rsid w:val="00EC149E"/>
    <w:rsid w:val="00EC2380"/>
    <w:rsid w:val="00EC609D"/>
    <w:rsid w:val="00EC634D"/>
    <w:rsid w:val="00EC70E6"/>
    <w:rsid w:val="00ED20E9"/>
    <w:rsid w:val="00ED4EC6"/>
    <w:rsid w:val="00EE4B8A"/>
    <w:rsid w:val="00EE7318"/>
    <w:rsid w:val="00EF094E"/>
    <w:rsid w:val="00EF16E7"/>
    <w:rsid w:val="00EF1F0E"/>
    <w:rsid w:val="00EF3750"/>
    <w:rsid w:val="00EF4323"/>
    <w:rsid w:val="00EF4AB8"/>
    <w:rsid w:val="00EF57EE"/>
    <w:rsid w:val="00EF7DC5"/>
    <w:rsid w:val="00F00C93"/>
    <w:rsid w:val="00F01DFE"/>
    <w:rsid w:val="00F01E78"/>
    <w:rsid w:val="00F02928"/>
    <w:rsid w:val="00F13CD7"/>
    <w:rsid w:val="00F14C8C"/>
    <w:rsid w:val="00F150EB"/>
    <w:rsid w:val="00F15233"/>
    <w:rsid w:val="00F1796A"/>
    <w:rsid w:val="00F203CC"/>
    <w:rsid w:val="00F207D5"/>
    <w:rsid w:val="00F2282F"/>
    <w:rsid w:val="00F2714C"/>
    <w:rsid w:val="00F27959"/>
    <w:rsid w:val="00F3309D"/>
    <w:rsid w:val="00F330F5"/>
    <w:rsid w:val="00F33963"/>
    <w:rsid w:val="00F36642"/>
    <w:rsid w:val="00F376A6"/>
    <w:rsid w:val="00F42BB7"/>
    <w:rsid w:val="00F47F2A"/>
    <w:rsid w:val="00F50B84"/>
    <w:rsid w:val="00F536DA"/>
    <w:rsid w:val="00F54D94"/>
    <w:rsid w:val="00F5616E"/>
    <w:rsid w:val="00F5749F"/>
    <w:rsid w:val="00F6070E"/>
    <w:rsid w:val="00F614AD"/>
    <w:rsid w:val="00F626B1"/>
    <w:rsid w:val="00F627A2"/>
    <w:rsid w:val="00F63EE7"/>
    <w:rsid w:val="00F64884"/>
    <w:rsid w:val="00F6667B"/>
    <w:rsid w:val="00F66A0D"/>
    <w:rsid w:val="00F70216"/>
    <w:rsid w:val="00F73C56"/>
    <w:rsid w:val="00F774AA"/>
    <w:rsid w:val="00F81734"/>
    <w:rsid w:val="00F81F14"/>
    <w:rsid w:val="00F83125"/>
    <w:rsid w:val="00F840D4"/>
    <w:rsid w:val="00F84983"/>
    <w:rsid w:val="00F874CD"/>
    <w:rsid w:val="00F93459"/>
    <w:rsid w:val="00F94ED7"/>
    <w:rsid w:val="00F95F44"/>
    <w:rsid w:val="00F97CD1"/>
    <w:rsid w:val="00FA1FAF"/>
    <w:rsid w:val="00FA293E"/>
    <w:rsid w:val="00FA4CEF"/>
    <w:rsid w:val="00FA67FA"/>
    <w:rsid w:val="00FB06F8"/>
    <w:rsid w:val="00FB0E95"/>
    <w:rsid w:val="00FB1F9E"/>
    <w:rsid w:val="00FB22EA"/>
    <w:rsid w:val="00FB2AF6"/>
    <w:rsid w:val="00FB5189"/>
    <w:rsid w:val="00FB6524"/>
    <w:rsid w:val="00FC0D4F"/>
    <w:rsid w:val="00FC1D27"/>
    <w:rsid w:val="00FC4E01"/>
    <w:rsid w:val="00FC578A"/>
    <w:rsid w:val="00FC7267"/>
    <w:rsid w:val="00FD5054"/>
    <w:rsid w:val="00FD5480"/>
    <w:rsid w:val="00FE106A"/>
    <w:rsid w:val="00FE17DE"/>
    <w:rsid w:val="00FE2F21"/>
    <w:rsid w:val="00FE4DA7"/>
    <w:rsid w:val="00FE5B18"/>
    <w:rsid w:val="00FE7D2A"/>
    <w:rsid w:val="00FF1B30"/>
    <w:rsid w:val="00FF68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C876B"/>
  <w15:docId w15:val="{2AF6E3B1-B118-4B79-8AC5-0158B84E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0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147B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147BD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3">
    <w:name w:val="Body Text Indent"/>
    <w:basedOn w:val="a"/>
    <w:link w:val="a4"/>
    <w:rsid w:val="003147BD"/>
    <w:pPr>
      <w:spacing w:after="120"/>
      <w:ind w:left="283"/>
      <w:jc w:val="both"/>
    </w:pPr>
  </w:style>
  <w:style w:type="character" w:customStyle="1" w:styleId="a4">
    <w:name w:val="Основной текст с отступом Знак"/>
    <w:basedOn w:val="a0"/>
    <w:link w:val="a3"/>
    <w:rsid w:val="003147B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147BD"/>
    <w:pPr>
      <w:widowControl w:val="0"/>
      <w:autoSpaceDE w:val="0"/>
      <w:autoSpaceDN w:val="0"/>
      <w:adjustRightInd w:val="0"/>
      <w:spacing w:after="60" w:line="308" w:lineRule="exact"/>
      <w:ind w:firstLine="662"/>
      <w:jc w:val="both"/>
    </w:pPr>
  </w:style>
  <w:style w:type="character" w:customStyle="1" w:styleId="FontStyle16">
    <w:name w:val="Font Style16"/>
    <w:basedOn w:val="a0"/>
    <w:uiPriority w:val="99"/>
    <w:rsid w:val="003147BD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qFormat/>
    <w:rsid w:val="003147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3147BD"/>
    <w:pPr>
      <w:spacing w:after="60"/>
      <w:ind w:left="720"/>
      <w:contextualSpacing/>
      <w:jc w:val="both"/>
    </w:pPr>
  </w:style>
  <w:style w:type="table" w:styleId="a6">
    <w:name w:val="Table Grid"/>
    <w:basedOn w:val="a1"/>
    <w:uiPriority w:val="59"/>
    <w:rsid w:val="003147B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Прижатый влево"/>
    <w:basedOn w:val="a"/>
    <w:next w:val="a"/>
    <w:uiPriority w:val="99"/>
    <w:rsid w:val="003147BD"/>
    <w:pPr>
      <w:autoSpaceDE w:val="0"/>
      <w:autoSpaceDN w:val="0"/>
      <w:adjustRightInd w:val="0"/>
      <w:spacing w:after="60"/>
      <w:jc w:val="both"/>
    </w:pPr>
    <w:rPr>
      <w:rFonts w:ascii="Arial" w:hAnsi="Arial" w:cs="Arial"/>
    </w:rPr>
  </w:style>
  <w:style w:type="paragraph" w:styleId="a8">
    <w:name w:val="No Spacing"/>
    <w:uiPriority w:val="1"/>
    <w:qFormat/>
    <w:rsid w:val="003147B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147BD"/>
    <w:pPr>
      <w:spacing w:after="60"/>
      <w:jc w:val="both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47BD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3147BD"/>
    <w:pPr>
      <w:tabs>
        <w:tab w:val="center" w:pos="4677"/>
        <w:tab w:val="right" w:pos="9355"/>
      </w:tabs>
      <w:spacing w:after="60"/>
      <w:jc w:val="both"/>
    </w:pPr>
  </w:style>
  <w:style w:type="character" w:customStyle="1" w:styleId="ac">
    <w:name w:val="Верхний колонтитул Знак"/>
    <w:basedOn w:val="a0"/>
    <w:link w:val="ab"/>
    <w:uiPriority w:val="99"/>
    <w:rsid w:val="003147B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147BD"/>
    <w:pPr>
      <w:tabs>
        <w:tab w:val="center" w:pos="4677"/>
        <w:tab w:val="right" w:pos="9355"/>
      </w:tabs>
      <w:spacing w:after="60"/>
      <w:jc w:val="both"/>
    </w:pPr>
  </w:style>
  <w:style w:type="character" w:customStyle="1" w:styleId="ae">
    <w:name w:val="Нижний колонтитул Знак"/>
    <w:basedOn w:val="a0"/>
    <w:link w:val="ad"/>
    <w:uiPriority w:val="99"/>
    <w:rsid w:val="003147B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3147BD"/>
    <w:pPr>
      <w:spacing w:after="60"/>
      <w:jc w:val="center"/>
    </w:pPr>
    <w:rPr>
      <w:b/>
      <w:szCs w:val="20"/>
    </w:rPr>
  </w:style>
  <w:style w:type="character" w:customStyle="1" w:styleId="af0">
    <w:name w:val="Заголовок Знак"/>
    <w:basedOn w:val="a0"/>
    <w:link w:val="af"/>
    <w:rsid w:val="003147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1">
    <w:name w:val="Body Text"/>
    <w:aliases w:val="Òàáë òåêñò"/>
    <w:basedOn w:val="a"/>
    <w:link w:val="af2"/>
    <w:unhideWhenUsed/>
    <w:rsid w:val="003147BD"/>
    <w:pPr>
      <w:spacing w:after="120"/>
      <w:jc w:val="both"/>
    </w:pPr>
  </w:style>
  <w:style w:type="character" w:customStyle="1" w:styleId="af2">
    <w:name w:val="Основной текст Знак"/>
    <w:aliases w:val="Òàáë òåêñò Знак"/>
    <w:basedOn w:val="a0"/>
    <w:link w:val="af1"/>
    <w:rsid w:val="003147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3147BD"/>
    <w:pPr>
      <w:spacing w:after="60"/>
      <w:ind w:left="720"/>
      <w:jc w:val="both"/>
    </w:pPr>
  </w:style>
  <w:style w:type="paragraph" w:customStyle="1" w:styleId="ConsPlusNonformat">
    <w:name w:val="ConsPlusNonformat"/>
    <w:uiPriority w:val="99"/>
    <w:rsid w:val="003147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3">
    <w:name w:val="Заголовок статьи"/>
    <w:basedOn w:val="a"/>
    <w:next w:val="a"/>
    <w:uiPriority w:val="99"/>
    <w:rsid w:val="003147BD"/>
    <w:pPr>
      <w:autoSpaceDE w:val="0"/>
      <w:autoSpaceDN w:val="0"/>
      <w:adjustRightInd w:val="0"/>
      <w:spacing w:after="60"/>
      <w:ind w:left="1612" w:hanging="892"/>
      <w:jc w:val="both"/>
    </w:pPr>
    <w:rPr>
      <w:rFonts w:ascii="Arial" w:hAnsi="Arial"/>
    </w:rPr>
  </w:style>
  <w:style w:type="paragraph" w:customStyle="1" w:styleId="western">
    <w:name w:val="western"/>
    <w:basedOn w:val="a"/>
    <w:rsid w:val="003147BD"/>
    <w:pPr>
      <w:spacing w:before="100" w:beforeAutospacing="1" w:after="100" w:afterAutospacing="1"/>
      <w:jc w:val="both"/>
    </w:pPr>
  </w:style>
  <w:style w:type="character" w:styleId="af4">
    <w:name w:val="Hyperlink"/>
    <w:basedOn w:val="a0"/>
    <w:uiPriority w:val="99"/>
    <w:unhideWhenUsed/>
    <w:rsid w:val="000E5446"/>
    <w:rPr>
      <w:color w:val="0000FF"/>
      <w:u w:val="single"/>
    </w:rPr>
  </w:style>
  <w:style w:type="character" w:customStyle="1" w:styleId="ConsPlusNormal0">
    <w:name w:val="ConsPlusNormal Знак"/>
    <w:basedOn w:val="a0"/>
    <w:link w:val="ConsPlusNormal"/>
    <w:locked/>
    <w:rsid w:val="00616EC1"/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Normal (Web)"/>
    <w:basedOn w:val="a"/>
    <w:uiPriority w:val="99"/>
    <w:unhideWhenUsed/>
    <w:rsid w:val="00C62538"/>
    <w:pPr>
      <w:spacing w:before="100" w:beforeAutospacing="1" w:after="100" w:afterAutospacing="1"/>
      <w:jc w:val="both"/>
    </w:pPr>
  </w:style>
  <w:style w:type="character" w:customStyle="1" w:styleId="af6">
    <w:name w:val="Основной текст_"/>
    <w:link w:val="6"/>
    <w:rsid w:val="001C547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Основной текст1"/>
    <w:rsid w:val="001C547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"/>
    <w:link w:val="af6"/>
    <w:rsid w:val="001C547F"/>
    <w:pPr>
      <w:widowControl w:val="0"/>
      <w:shd w:val="clear" w:color="auto" w:fill="FFFFFF"/>
      <w:spacing w:line="0" w:lineRule="atLeast"/>
    </w:pPr>
    <w:rPr>
      <w:sz w:val="26"/>
      <w:szCs w:val="26"/>
      <w:lang w:eastAsia="en-US"/>
    </w:rPr>
  </w:style>
  <w:style w:type="character" w:customStyle="1" w:styleId="13">
    <w:name w:val="Заголовок №1_"/>
    <w:basedOn w:val="a0"/>
    <w:link w:val="14"/>
    <w:rsid w:val="0077025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7025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9pt">
    <w:name w:val="Основной текст (2) + 9 pt;Полужирный"/>
    <w:basedOn w:val="2"/>
    <w:rsid w:val="0077025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9pt0">
    <w:name w:val="Основной текст (2) + 9 pt"/>
    <w:basedOn w:val="2"/>
    <w:rsid w:val="00770256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9pt0pt">
    <w:name w:val="Основной текст (2) + 9 pt;Полужирный;Интервал 0 pt"/>
    <w:basedOn w:val="2"/>
    <w:rsid w:val="00770256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Georgia6pt">
    <w:name w:val="Основной текст (2) + Georgia;6 pt"/>
    <w:basedOn w:val="2"/>
    <w:rsid w:val="00770256"/>
    <w:rPr>
      <w:rFonts w:ascii="Georgia" w:eastAsia="Georgia" w:hAnsi="Georgia" w:cs="Georgia"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29pt1">
    <w:name w:val="Основной текст (2) + 9 pt;Полужирный;Малые прописные"/>
    <w:basedOn w:val="2"/>
    <w:rsid w:val="00770256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2Tahoma8pt">
    <w:name w:val="Основной текст (2) + Tahoma;8 pt;Курсив"/>
    <w:basedOn w:val="2"/>
    <w:rsid w:val="00770256"/>
    <w:rPr>
      <w:rFonts w:ascii="Tahoma" w:eastAsia="Tahoma" w:hAnsi="Tahoma" w:cs="Tahoma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9pt0pt0">
    <w:name w:val="Основной текст (2) + 9 pt;Полужирный;Малые прописные;Интервал 0 pt"/>
    <w:basedOn w:val="2"/>
    <w:rsid w:val="00770256"/>
    <w:rPr>
      <w:rFonts w:ascii="Times New Roman" w:eastAsia="Times New Roman" w:hAnsi="Times New Roman" w:cs="Times New Roman"/>
      <w:b/>
      <w:bCs/>
      <w:smallCaps/>
      <w:color w:val="000000"/>
      <w:spacing w:val="1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2115pt0pt">
    <w:name w:val="Основной текст (2) + 11;5 pt;Интервал 0 pt"/>
    <w:basedOn w:val="2"/>
    <w:rsid w:val="00770256"/>
    <w:rPr>
      <w:rFonts w:ascii="Times New Roman" w:eastAsia="Times New Roman" w:hAnsi="Times New Roman" w:cs="Times New Roman"/>
      <w:color w:val="000000"/>
      <w:spacing w:val="1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paragraph" w:customStyle="1" w:styleId="14">
    <w:name w:val="Заголовок №1"/>
    <w:basedOn w:val="a"/>
    <w:link w:val="13"/>
    <w:rsid w:val="00770256"/>
    <w:pPr>
      <w:widowControl w:val="0"/>
      <w:shd w:val="clear" w:color="auto" w:fill="FFFFFF"/>
      <w:spacing w:after="240" w:line="0" w:lineRule="atLeast"/>
      <w:jc w:val="right"/>
      <w:outlineLvl w:val="0"/>
    </w:pPr>
    <w:rPr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770256"/>
    <w:pPr>
      <w:widowControl w:val="0"/>
      <w:shd w:val="clear" w:color="auto" w:fill="FFFFFF"/>
      <w:spacing w:before="240" w:line="254" w:lineRule="exact"/>
      <w:jc w:val="center"/>
    </w:pPr>
    <w:rPr>
      <w:sz w:val="21"/>
      <w:szCs w:val="21"/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70256"/>
    <w:pPr>
      <w:widowControl w:val="0"/>
    </w:pPr>
    <w:rPr>
      <w:rFonts w:ascii="Tahoma" w:eastAsia="Tahoma" w:hAnsi="Tahoma" w:cs="Tahoma"/>
      <w:color w:val="000000"/>
      <w:sz w:val="20"/>
      <w:szCs w:val="20"/>
      <w:lang w:bidi="ru-RU"/>
    </w:rPr>
  </w:style>
  <w:style w:type="character" w:customStyle="1" w:styleId="af8">
    <w:name w:val="Текст сноски Знак"/>
    <w:basedOn w:val="a0"/>
    <w:link w:val="af7"/>
    <w:uiPriority w:val="99"/>
    <w:semiHidden/>
    <w:rsid w:val="00770256"/>
    <w:rPr>
      <w:rFonts w:ascii="Tahoma" w:eastAsia="Tahoma" w:hAnsi="Tahoma" w:cs="Tahoma"/>
      <w:color w:val="000000"/>
      <w:sz w:val="20"/>
      <w:szCs w:val="20"/>
      <w:lang w:eastAsia="ru-RU" w:bidi="ru-RU"/>
    </w:rPr>
  </w:style>
  <w:style w:type="character" w:customStyle="1" w:styleId="af9">
    <w:name w:val="Гипертекстовая ссылка"/>
    <w:basedOn w:val="a0"/>
    <w:uiPriority w:val="99"/>
    <w:rsid w:val="000E078F"/>
    <w:rPr>
      <w:color w:val="008000"/>
    </w:rPr>
  </w:style>
  <w:style w:type="paragraph" w:customStyle="1" w:styleId="people-post">
    <w:name w:val="people-post"/>
    <w:basedOn w:val="a"/>
    <w:rsid w:val="003538AA"/>
    <w:pPr>
      <w:spacing w:before="100" w:beforeAutospacing="1" w:after="100" w:afterAutospacing="1"/>
    </w:pPr>
  </w:style>
  <w:style w:type="paragraph" w:customStyle="1" w:styleId="people-name">
    <w:name w:val="people-name"/>
    <w:basedOn w:val="a"/>
    <w:rsid w:val="003538A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5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40DFABE5E1ED8F4E98EECB0431F29624241561FFEF9E2AE070156B983C01FDE52155DE48F2B424059CBA247ABBBF2682A7F6E686E80FD4C9043D3DtFQC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6487F-1623-408A-8A24-166924F4D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1</Pages>
  <Words>4416</Words>
  <Characters>25172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Зубрева</dc:creator>
  <cp:lastModifiedBy>Антипов Александр Борисович</cp:lastModifiedBy>
  <cp:revision>38</cp:revision>
  <cp:lastPrinted>2021-03-15T07:15:00Z</cp:lastPrinted>
  <dcterms:created xsi:type="dcterms:W3CDTF">2020-04-13T11:39:00Z</dcterms:created>
  <dcterms:modified xsi:type="dcterms:W3CDTF">2021-03-15T07:15:00Z</dcterms:modified>
</cp:coreProperties>
</file>