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24.xml" ContentType="application/vnd.openxmlformats-officedocument.themeOverride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22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20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9.xml" ContentType="application/vnd.openxmlformats-officedocument.themeOverride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theme/themeOverride4.xml" ContentType="application/vnd.openxmlformats-officedocument.themeOverride+xml"/>
  <Default Extension="png" ContentType="image/png"/>
  <Override PartName="/word/theme/themeOverride16.xml" ContentType="application/vnd.openxmlformats-officedocument.themeOverride+xml"/>
  <Override PartName="/word/theme/themeOverride25.xml" ContentType="application/vnd.openxmlformats-officedocument.themeOverride+xml"/>
  <Override PartName="/word/theme/themeOverride2.xml" ContentType="application/vnd.openxmlformats-officedocument.themeOverride+xml"/>
  <Override PartName="/word/theme/themeOverride14.xml" ContentType="application/vnd.openxmlformats-officedocument.themeOverride+xml"/>
  <Override PartName="/word/theme/themeOverride23.xml" ContentType="application/vnd.openxmlformats-officedocument.themeOverride+xml"/>
  <Override PartName="/word/theme/themeOverride12.xml" ContentType="application/vnd.openxmlformats-officedocument.themeOverride+xml"/>
  <Override PartName="/word/theme/themeOverride21.xml" ContentType="application/vnd.openxmlformats-officedocument.themeOverrid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D6" w:rsidRPr="00B233B8" w:rsidRDefault="00DB7AD6" w:rsidP="00DB7AD6">
      <w:pPr>
        <w:ind w:left="1551" w:firstLine="5253"/>
        <w:jc w:val="both"/>
        <w:rPr>
          <w:bCs/>
        </w:rPr>
      </w:pPr>
      <w:r w:rsidRPr="00B233B8">
        <w:rPr>
          <w:bCs/>
        </w:rPr>
        <w:t xml:space="preserve">УТВЕРЖДЁН </w:t>
      </w:r>
    </w:p>
    <w:p w:rsidR="00DB7AD6" w:rsidRPr="00B233B8" w:rsidRDefault="00DB7AD6" w:rsidP="00DB7AD6">
      <w:pPr>
        <w:ind w:firstLine="5529"/>
        <w:jc w:val="both"/>
        <w:rPr>
          <w:bCs/>
        </w:rPr>
      </w:pPr>
      <w:r w:rsidRPr="00B233B8">
        <w:rPr>
          <w:bCs/>
        </w:rPr>
        <w:t>постановлением коллегии контрольно-</w:t>
      </w:r>
    </w:p>
    <w:p w:rsidR="00DB7AD6" w:rsidRPr="00B233B8" w:rsidRDefault="00DB7AD6" w:rsidP="00DB7AD6">
      <w:pPr>
        <w:ind w:firstLine="5529"/>
        <w:jc w:val="both"/>
        <w:rPr>
          <w:bCs/>
        </w:rPr>
      </w:pPr>
      <w:r w:rsidRPr="00B233B8">
        <w:rPr>
          <w:bCs/>
        </w:rPr>
        <w:t>счетной палаты Волгоградской области</w:t>
      </w:r>
    </w:p>
    <w:p w:rsidR="00DB7AD6" w:rsidRPr="0085584B" w:rsidRDefault="00DB7AD6" w:rsidP="00DB7AD6">
      <w:pPr>
        <w:ind w:firstLine="5529"/>
        <w:jc w:val="both"/>
        <w:rPr>
          <w:bCs/>
          <w:lang w:val="en-US"/>
        </w:rPr>
      </w:pPr>
      <w:r w:rsidRPr="00B233B8">
        <w:rPr>
          <w:bCs/>
        </w:rPr>
        <w:t xml:space="preserve">от </w:t>
      </w:r>
      <w:r w:rsidR="0085584B">
        <w:rPr>
          <w:bCs/>
          <w:lang w:val="en-US"/>
        </w:rPr>
        <w:t>27</w:t>
      </w:r>
      <w:r w:rsidRPr="00B233B8">
        <w:rPr>
          <w:bCs/>
        </w:rPr>
        <w:t xml:space="preserve"> </w:t>
      </w:r>
      <w:r w:rsidR="00F87697">
        <w:rPr>
          <w:bCs/>
        </w:rPr>
        <w:t>июня</w:t>
      </w:r>
      <w:r w:rsidRPr="00B233B8">
        <w:rPr>
          <w:bCs/>
        </w:rPr>
        <w:t xml:space="preserve"> 2017 года № </w:t>
      </w:r>
      <w:r w:rsidR="0085584B">
        <w:rPr>
          <w:bCs/>
          <w:lang w:val="en-US"/>
        </w:rPr>
        <w:t>15/1</w:t>
      </w:r>
    </w:p>
    <w:p w:rsidR="00DB7AD6" w:rsidRPr="00B233B8" w:rsidRDefault="00DB7AD6" w:rsidP="00DB7AD6">
      <w:pPr>
        <w:ind w:firstLine="709"/>
        <w:jc w:val="both"/>
        <w:rPr>
          <w:bCs/>
          <w:sz w:val="20"/>
          <w:szCs w:val="20"/>
        </w:rPr>
      </w:pPr>
    </w:p>
    <w:p w:rsidR="00DB7AD6" w:rsidRPr="00B233B8" w:rsidRDefault="00DB7AD6" w:rsidP="00DB7AD6">
      <w:pPr>
        <w:jc w:val="center"/>
        <w:rPr>
          <w:b/>
          <w:bCs/>
          <w:sz w:val="28"/>
          <w:szCs w:val="28"/>
        </w:rPr>
      </w:pPr>
      <w:r w:rsidRPr="00B233B8">
        <w:rPr>
          <w:b/>
          <w:bCs/>
        </w:rPr>
        <w:t>ОТЧЕТ</w:t>
      </w:r>
    </w:p>
    <w:p w:rsidR="00F87697" w:rsidRDefault="00DB7AD6" w:rsidP="00F87697">
      <w:pPr>
        <w:ind w:left="34"/>
        <w:jc w:val="center"/>
        <w:rPr>
          <w:b/>
          <w:color w:val="000000"/>
        </w:rPr>
      </w:pPr>
      <w:r w:rsidRPr="00F87697">
        <w:rPr>
          <w:b/>
          <w:bCs/>
          <w:spacing w:val="-2"/>
        </w:rPr>
        <w:t xml:space="preserve">о результатах </w:t>
      </w:r>
      <w:r w:rsidR="00F87697" w:rsidRPr="00F87697">
        <w:rPr>
          <w:b/>
          <w:color w:val="000000"/>
        </w:rPr>
        <w:t xml:space="preserve">экспертно-аналитического мероприятия </w:t>
      </w:r>
    </w:p>
    <w:p w:rsidR="00F87697" w:rsidRDefault="00F87697" w:rsidP="00F87697">
      <w:pPr>
        <w:ind w:left="34"/>
        <w:jc w:val="center"/>
        <w:rPr>
          <w:b/>
          <w:color w:val="000000"/>
        </w:rPr>
      </w:pPr>
      <w:r w:rsidRPr="00F87697">
        <w:rPr>
          <w:b/>
          <w:color w:val="000000"/>
        </w:rPr>
        <w:t>«Анализ и оценка расходов на финансирование и материально-техническое обеспечение деятельности мировых судей в 2012-2017 годах</w:t>
      </w:r>
    </w:p>
    <w:p w:rsidR="00DB7AD6" w:rsidRPr="00F87697" w:rsidRDefault="00F87697" w:rsidP="00F87697">
      <w:pPr>
        <w:ind w:left="34"/>
        <w:jc w:val="center"/>
        <w:rPr>
          <w:b/>
          <w:bCs/>
        </w:rPr>
      </w:pPr>
      <w:r w:rsidRPr="00F87697">
        <w:rPr>
          <w:b/>
          <w:color w:val="000000"/>
        </w:rPr>
        <w:t>(параллельно</w:t>
      </w:r>
      <w:r>
        <w:rPr>
          <w:b/>
          <w:color w:val="000000"/>
        </w:rPr>
        <w:t>е</w:t>
      </w:r>
      <w:r w:rsidRPr="00F87697">
        <w:rPr>
          <w:b/>
          <w:color w:val="000000"/>
        </w:rPr>
        <w:t xml:space="preserve"> со Счетной палатой Российской Федерации)»</w:t>
      </w:r>
    </w:p>
    <w:p w:rsidR="00DB7AD6" w:rsidRPr="00B233B8" w:rsidRDefault="00DB7AD6" w:rsidP="00DB7AD6">
      <w:pPr>
        <w:ind w:firstLine="709"/>
        <w:jc w:val="both"/>
        <w:rPr>
          <w:bCs/>
          <w:sz w:val="20"/>
          <w:szCs w:val="20"/>
        </w:rPr>
      </w:pPr>
    </w:p>
    <w:p w:rsidR="00DB7AD6" w:rsidRDefault="00DB7AD6" w:rsidP="00DB7AD6">
      <w:pPr>
        <w:ind w:firstLine="709"/>
        <w:jc w:val="both"/>
        <w:rPr>
          <w:bCs/>
        </w:rPr>
      </w:pPr>
      <w:r w:rsidRPr="002C30DB">
        <w:rPr>
          <w:b/>
          <w:bCs/>
        </w:rPr>
        <w:t xml:space="preserve">Основание для проведения </w:t>
      </w:r>
      <w:r w:rsidRPr="002C30DB">
        <w:rPr>
          <w:b/>
          <w:bCs/>
          <w:spacing w:val="-9"/>
        </w:rPr>
        <w:t xml:space="preserve">мероприятия: </w:t>
      </w:r>
      <w:r w:rsidRPr="002C30DB">
        <w:rPr>
          <w:bCs/>
          <w:spacing w:val="-9"/>
        </w:rPr>
        <w:t xml:space="preserve">п. </w:t>
      </w:r>
      <w:r w:rsidR="00F87697" w:rsidRPr="002C30DB">
        <w:rPr>
          <w:bCs/>
          <w:spacing w:val="-9"/>
        </w:rPr>
        <w:t>4.1.1</w:t>
      </w:r>
      <w:r w:rsidRPr="002C30DB">
        <w:rPr>
          <w:bCs/>
          <w:spacing w:val="-9"/>
        </w:rPr>
        <w:t xml:space="preserve"> </w:t>
      </w:r>
      <w:r w:rsidRPr="002C30DB">
        <w:rPr>
          <w:bCs/>
        </w:rPr>
        <w:t>плана работы контрольно-счетной палаты Волгоградской области, утвержденного</w:t>
      </w:r>
      <w:r w:rsidRPr="00B233B8">
        <w:rPr>
          <w:bCs/>
        </w:rPr>
        <w:t xml:space="preserve"> постановлением коллегии контрольно-счётной палаты Волгоградской области от </w:t>
      </w:r>
      <w:r w:rsidR="00F87697" w:rsidRPr="001E6B12">
        <w:rPr>
          <w:color w:val="000000"/>
        </w:rPr>
        <w:t>19.12.2017 № 20/2</w:t>
      </w:r>
      <w:r w:rsidR="00F87697">
        <w:rPr>
          <w:color w:val="000000"/>
        </w:rPr>
        <w:t xml:space="preserve"> (</w:t>
      </w:r>
      <w:r w:rsidR="00F87697" w:rsidRPr="00885AE5">
        <w:rPr>
          <w:color w:val="000000"/>
        </w:rPr>
        <w:t>ред. от 12.01.</w:t>
      </w:r>
      <w:r w:rsidR="00F87697">
        <w:rPr>
          <w:color w:val="000000"/>
        </w:rPr>
        <w:t>20</w:t>
      </w:r>
      <w:r w:rsidR="00F87697" w:rsidRPr="00885AE5">
        <w:rPr>
          <w:color w:val="000000"/>
        </w:rPr>
        <w:t>18</w:t>
      </w:r>
      <w:r w:rsidR="00F87697">
        <w:rPr>
          <w:color w:val="000000"/>
        </w:rPr>
        <w:t>)</w:t>
      </w:r>
      <w:r w:rsidR="00F87697">
        <w:rPr>
          <w:bCs/>
        </w:rPr>
        <w:t>, Решение о проведении Счётной палатой Российской Федерации и контрольно-счётной палатой</w:t>
      </w:r>
      <w:r w:rsidR="008921AF">
        <w:rPr>
          <w:bCs/>
        </w:rPr>
        <w:t xml:space="preserve"> Волгоградской области параллельного экспертно-аналитического мероприятия от 21.02.2018.</w:t>
      </w:r>
    </w:p>
    <w:p w:rsidR="00DB7AD6" w:rsidRPr="00B233B8" w:rsidRDefault="008921AF" w:rsidP="00DB7AD6">
      <w:pPr>
        <w:ind w:firstLine="709"/>
        <w:jc w:val="both"/>
        <w:rPr>
          <w:b/>
          <w:bCs/>
        </w:rPr>
      </w:pPr>
      <w:r w:rsidRPr="002C30DB">
        <w:rPr>
          <w:b/>
          <w:bCs/>
        </w:rPr>
        <w:t>Цели</w:t>
      </w:r>
      <w:r w:rsidR="00DB7AD6" w:rsidRPr="002C30DB">
        <w:rPr>
          <w:b/>
          <w:bCs/>
        </w:rPr>
        <w:t xml:space="preserve"> мероприятия:</w:t>
      </w:r>
    </w:p>
    <w:p w:rsidR="008921AF" w:rsidRPr="008921AF" w:rsidRDefault="008921AF" w:rsidP="008921AF">
      <w:pPr>
        <w:widowControl w:val="0"/>
        <w:tabs>
          <w:tab w:val="left" w:pos="2552"/>
        </w:tabs>
        <w:ind w:firstLine="709"/>
        <w:jc w:val="both"/>
        <w:rPr>
          <w:color w:val="000000"/>
        </w:rPr>
      </w:pPr>
      <w:r>
        <w:rPr>
          <w:color w:val="000000"/>
        </w:rPr>
        <w:t>-а</w:t>
      </w:r>
      <w:r w:rsidRPr="008921AF">
        <w:rPr>
          <w:color w:val="000000"/>
        </w:rPr>
        <w:t>нализ и оценка соблюдения объектами экспертно-аналитического мероприятия требований нормативных правовых и ведомственных актов, а также иных правовых и организационно-распорядительных документов в процессе финансирования и расходования бюджетных средств на обеспечение деятельности мировых судей, включая оценку их обос</w:t>
      </w:r>
      <w:r>
        <w:rPr>
          <w:color w:val="000000"/>
        </w:rPr>
        <w:t>нованности и нормативных затрат;</w:t>
      </w:r>
    </w:p>
    <w:p w:rsidR="008921AF" w:rsidRPr="008921AF" w:rsidRDefault="008921AF" w:rsidP="008921AF">
      <w:pPr>
        <w:widowControl w:val="0"/>
        <w:tabs>
          <w:tab w:val="left" w:pos="2552"/>
        </w:tabs>
        <w:ind w:firstLine="709"/>
        <w:jc w:val="both"/>
        <w:rPr>
          <w:color w:val="000000"/>
        </w:rPr>
      </w:pPr>
      <w:r>
        <w:rPr>
          <w:color w:val="000000"/>
        </w:rPr>
        <w:t>-а</w:t>
      </w:r>
      <w:r w:rsidRPr="008921AF">
        <w:rPr>
          <w:color w:val="000000"/>
        </w:rPr>
        <w:t>нализ соблюдения порядка пользования и распоряжения имуществом, предназначенным для осуществления деятельности мировым</w:t>
      </w:r>
      <w:r>
        <w:rPr>
          <w:color w:val="000000"/>
        </w:rPr>
        <w:t>и судьями;</w:t>
      </w:r>
    </w:p>
    <w:p w:rsidR="008921AF" w:rsidRPr="008921AF" w:rsidRDefault="008921AF" w:rsidP="008921AF">
      <w:pPr>
        <w:widowControl w:val="0"/>
        <w:tabs>
          <w:tab w:val="left" w:pos="2552"/>
        </w:tabs>
        <w:ind w:firstLine="709"/>
        <w:jc w:val="both"/>
        <w:rPr>
          <w:color w:val="000000"/>
        </w:rPr>
      </w:pPr>
      <w:r>
        <w:rPr>
          <w:color w:val="000000"/>
        </w:rPr>
        <w:t>-а</w:t>
      </w:r>
      <w:r w:rsidRPr="008921AF">
        <w:rPr>
          <w:color w:val="000000"/>
        </w:rPr>
        <w:t>нализ и оценка ресурсного обеспечения за счет средств бюджет</w:t>
      </w:r>
      <w:r w:rsidR="002C30DB">
        <w:rPr>
          <w:color w:val="000000"/>
        </w:rPr>
        <w:t>а</w:t>
      </w:r>
      <w:r w:rsidRPr="008921AF">
        <w:rPr>
          <w:color w:val="000000"/>
        </w:rPr>
        <w:t xml:space="preserve"> </w:t>
      </w:r>
      <w:r w:rsidR="002C30DB">
        <w:rPr>
          <w:color w:val="000000"/>
        </w:rPr>
        <w:t>Волгоградской области</w:t>
      </w:r>
      <w:r w:rsidRPr="008921AF">
        <w:rPr>
          <w:color w:val="000000"/>
        </w:rPr>
        <w:t xml:space="preserve"> деятельности мировых судей </w:t>
      </w:r>
      <w:r w:rsidR="002C30DB">
        <w:rPr>
          <w:color w:val="000000"/>
        </w:rPr>
        <w:t>в Волгоградской области</w:t>
      </w:r>
      <w:r w:rsidRPr="008921AF">
        <w:rPr>
          <w:color w:val="000000"/>
        </w:rPr>
        <w:t>.</w:t>
      </w:r>
    </w:p>
    <w:p w:rsidR="00DB7AD6" w:rsidRDefault="00B73C8D" w:rsidP="00DB7AD6">
      <w:pPr>
        <w:ind w:firstLine="709"/>
        <w:jc w:val="both"/>
        <w:rPr>
          <w:bCs/>
        </w:rPr>
      </w:pPr>
      <w:r>
        <w:rPr>
          <w:b/>
          <w:bCs/>
        </w:rPr>
        <w:t xml:space="preserve">Исследуемый </w:t>
      </w:r>
      <w:r w:rsidR="00DB7AD6" w:rsidRPr="006902D0">
        <w:rPr>
          <w:b/>
          <w:bCs/>
        </w:rPr>
        <w:t xml:space="preserve">период: </w:t>
      </w:r>
      <w:r w:rsidR="00DB7AD6" w:rsidRPr="006902D0">
        <w:rPr>
          <w:bCs/>
        </w:rPr>
        <w:t>201</w:t>
      </w:r>
      <w:r>
        <w:rPr>
          <w:bCs/>
        </w:rPr>
        <w:t>2</w:t>
      </w:r>
      <w:r w:rsidR="00DB7AD6" w:rsidRPr="006902D0">
        <w:rPr>
          <w:bCs/>
        </w:rPr>
        <w:t xml:space="preserve"> </w:t>
      </w:r>
      <w:r>
        <w:rPr>
          <w:bCs/>
        </w:rPr>
        <w:t>-</w:t>
      </w:r>
      <w:r w:rsidR="00DB7AD6" w:rsidRPr="006902D0">
        <w:rPr>
          <w:bCs/>
        </w:rPr>
        <w:t xml:space="preserve"> 2017 год</w:t>
      </w:r>
      <w:r>
        <w:rPr>
          <w:bCs/>
        </w:rPr>
        <w:t>ы</w:t>
      </w:r>
      <w:r w:rsidR="00DB7AD6" w:rsidRPr="006902D0">
        <w:rPr>
          <w:bCs/>
        </w:rPr>
        <w:t>.</w:t>
      </w:r>
    </w:p>
    <w:p w:rsidR="008E31A1" w:rsidRPr="006902D0" w:rsidRDefault="008E31A1" w:rsidP="00DB7AD6">
      <w:pPr>
        <w:ind w:firstLine="709"/>
        <w:jc w:val="both"/>
        <w:rPr>
          <w:bCs/>
        </w:rPr>
      </w:pPr>
      <w:r>
        <w:rPr>
          <w:bCs/>
        </w:rPr>
        <w:t xml:space="preserve">Срок проведения мероприятия: </w:t>
      </w:r>
      <w:r w:rsidR="00B363BF">
        <w:rPr>
          <w:bCs/>
        </w:rPr>
        <w:t>с 13.02.2018 по 01.06.2018.</w:t>
      </w:r>
    </w:p>
    <w:p w:rsidR="00DB7AD6" w:rsidRPr="006902D0" w:rsidRDefault="00DB7AD6" w:rsidP="00DB7AD6">
      <w:pPr>
        <w:ind w:firstLine="709"/>
        <w:jc w:val="both"/>
      </w:pPr>
      <w:r w:rsidRPr="006902D0">
        <w:rPr>
          <w:b/>
          <w:bCs/>
          <w:spacing w:val="-15"/>
        </w:rPr>
        <w:t xml:space="preserve">Объекты мероприятия: </w:t>
      </w:r>
      <w:r w:rsidRPr="006902D0">
        <w:rPr>
          <w:bCs/>
          <w:spacing w:val="-15"/>
        </w:rPr>
        <w:t xml:space="preserve">комитет </w:t>
      </w:r>
      <w:r w:rsidR="00FB1FC3">
        <w:rPr>
          <w:bCs/>
          <w:spacing w:val="-15"/>
        </w:rPr>
        <w:t>юстиции</w:t>
      </w:r>
      <w:r w:rsidRPr="006902D0">
        <w:rPr>
          <w:bCs/>
          <w:spacing w:val="-15"/>
        </w:rPr>
        <w:t xml:space="preserve"> Волгоградской области (далее – </w:t>
      </w:r>
      <w:r w:rsidR="0007584E">
        <w:rPr>
          <w:bCs/>
          <w:spacing w:val="-15"/>
        </w:rPr>
        <w:t>Комитет</w:t>
      </w:r>
      <w:r w:rsidR="00FB1FC3">
        <w:rPr>
          <w:bCs/>
          <w:spacing w:val="-15"/>
        </w:rPr>
        <w:t>)</w:t>
      </w:r>
      <w:r w:rsidRPr="006902D0">
        <w:t>.</w:t>
      </w:r>
    </w:p>
    <w:p w:rsidR="00B363BF" w:rsidRPr="007B2999" w:rsidRDefault="00DB7AD6" w:rsidP="007B2999">
      <w:pPr>
        <w:ind w:firstLine="709"/>
        <w:jc w:val="both"/>
        <w:rPr>
          <w:color w:val="000000"/>
        </w:rPr>
      </w:pPr>
      <w:r w:rsidRPr="002C30DB">
        <w:rPr>
          <w:b/>
          <w:bCs/>
        </w:rPr>
        <w:t xml:space="preserve">Перечень оформленных актов </w:t>
      </w:r>
      <w:r w:rsidR="00B363BF" w:rsidRPr="002C30DB">
        <w:rPr>
          <w:b/>
          <w:bCs/>
        </w:rPr>
        <w:t>(справок)</w:t>
      </w:r>
      <w:r w:rsidRPr="002C30DB">
        <w:rPr>
          <w:b/>
          <w:bCs/>
        </w:rPr>
        <w:t>:</w:t>
      </w:r>
      <w:r w:rsidRPr="00B363BF">
        <w:rPr>
          <w:b/>
          <w:bCs/>
        </w:rPr>
        <w:t xml:space="preserve"> </w:t>
      </w:r>
      <w:r w:rsidR="00B363BF" w:rsidRPr="00B363BF">
        <w:rPr>
          <w:bCs/>
        </w:rPr>
        <w:t>акт</w:t>
      </w:r>
      <w:r w:rsidR="00B363BF" w:rsidRPr="00B363BF">
        <w:rPr>
          <w:b/>
          <w:bCs/>
        </w:rPr>
        <w:t xml:space="preserve"> </w:t>
      </w:r>
      <w:r w:rsidR="00B363BF" w:rsidRPr="00B363BF">
        <w:rPr>
          <w:color w:val="000000"/>
        </w:rPr>
        <w:t>внешней проверки бюджетной отчётности и отдельных вопросов исполнения областного бюджета</w:t>
      </w:r>
      <w:r w:rsidR="00B363BF" w:rsidRPr="004B6B15">
        <w:rPr>
          <w:color w:val="000000"/>
        </w:rPr>
        <w:t xml:space="preserve"> за 2017 год главным администратором средств областного бюджета – </w:t>
      </w:r>
      <w:r w:rsidR="001D4A0A" w:rsidRPr="007B2999">
        <w:rPr>
          <w:color w:val="000000"/>
        </w:rPr>
        <w:t>Комитетом (далее – внешняя проверка Комитета за 2017 год)</w:t>
      </w:r>
      <w:r w:rsidR="002C30DB">
        <w:rPr>
          <w:color w:val="000000"/>
        </w:rPr>
        <w:t>.</w:t>
      </w:r>
    </w:p>
    <w:p w:rsidR="00B363BF" w:rsidRPr="002C30DB" w:rsidRDefault="002C30DB" w:rsidP="007B2999">
      <w:pPr>
        <w:pStyle w:val="31"/>
        <w:spacing w:after="0"/>
        <w:ind w:left="0" w:firstLine="709"/>
        <w:jc w:val="both"/>
        <w:rPr>
          <w:bCs/>
          <w:sz w:val="24"/>
          <w:szCs w:val="24"/>
        </w:rPr>
      </w:pPr>
      <w:r w:rsidRPr="002C30DB">
        <w:rPr>
          <w:bCs/>
          <w:sz w:val="24"/>
          <w:szCs w:val="24"/>
        </w:rPr>
        <w:t xml:space="preserve">При анализе использована информация </w:t>
      </w:r>
      <w:r w:rsidR="007B2999" w:rsidRPr="002C30DB">
        <w:rPr>
          <w:color w:val="000000"/>
          <w:sz w:val="24"/>
          <w:szCs w:val="24"/>
        </w:rPr>
        <w:t>об обеспечении</w:t>
      </w:r>
      <w:r w:rsidR="007B2999">
        <w:rPr>
          <w:color w:val="000000"/>
          <w:sz w:val="24"/>
          <w:szCs w:val="24"/>
        </w:rPr>
        <w:t xml:space="preserve"> деятельности мировых судей Волгоградской области </w:t>
      </w:r>
      <w:r w:rsidR="007B2999" w:rsidRPr="007B2999">
        <w:rPr>
          <w:color w:val="000000"/>
          <w:sz w:val="24"/>
          <w:szCs w:val="24"/>
        </w:rPr>
        <w:t>за 2012-2017 годы</w:t>
      </w:r>
      <w:r>
        <w:rPr>
          <w:color w:val="000000"/>
          <w:sz w:val="24"/>
          <w:szCs w:val="24"/>
        </w:rPr>
        <w:t>, предоставленная Комитетом</w:t>
      </w:r>
      <w:r w:rsidR="00B363BF" w:rsidRPr="002C30DB">
        <w:rPr>
          <w:bCs/>
          <w:sz w:val="24"/>
          <w:szCs w:val="24"/>
        </w:rPr>
        <w:t>.</w:t>
      </w:r>
      <w:r w:rsidR="001020B5">
        <w:rPr>
          <w:bCs/>
          <w:sz w:val="24"/>
          <w:szCs w:val="24"/>
        </w:rPr>
        <w:t xml:space="preserve"> </w:t>
      </w:r>
    </w:p>
    <w:p w:rsidR="00372BA6" w:rsidRPr="007B2999" w:rsidRDefault="00372BA6" w:rsidP="007B2999">
      <w:pPr>
        <w:ind w:firstLine="709"/>
        <w:jc w:val="both"/>
        <w:rPr>
          <w:b/>
          <w:bCs/>
          <w:highlight w:val="yellow"/>
        </w:rPr>
      </w:pPr>
    </w:p>
    <w:p w:rsidR="00DB7AD6" w:rsidRPr="00B233B8" w:rsidRDefault="00DB7AD6" w:rsidP="00B363BF">
      <w:pPr>
        <w:ind w:firstLine="709"/>
        <w:jc w:val="both"/>
        <w:rPr>
          <w:b/>
          <w:bCs/>
        </w:rPr>
      </w:pPr>
      <w:r w:rsidRPr="00B233B8">
        <w:rPr>
          <w:b/>
          <w:bCs/>
        </w:rPr>
        <w:t>Характеристика объект</w:t>
      </w:r>
      <w:r w:rsidR="008E31A1">
        <w:rPr>
          <w:b/>
          <w:bCs/>
        </w:rPr>
        <w:t>а</w:t>
      </w:r>
      <w:r w:rsidRPr="00B233B8">
        <w:rPr>
          <w:b/>
          <w:bCs/>
        </w:rPr>
        <w:t xml:space="preserve"> </w:t>
      </w:r>
      <w:r w:rsidR="008E31A1">
        <w:rPr>
          <w:b/>
          <w:bCs/>
        </w:rPr>
        <w:t>мероприятия</w:t>
      </w:r>
      <w:r w:rsidR="002C30DB">
        <w:rPr>
          <w:b/>
          <w:bCs/>
        </w:rPr>
        <w:t>.</w:t>
      </w:r>
    </w:p>
    <w:p w:rsidR="0076228B" w:rsidRDefault="00372BA6" w:rsidP="00233AB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Положениями п.</w:t>
      </w:r>
      <w:r w:rsidRPr="00372BA6">
        <w:t xml:space="preserve"> 3 ст. 10 Федерального закона от 17.12.1998 № 188-ФЗ «О мировых судьях в Российской Федерации»</w:t>
      </w:r>
      <w:r w:rsidR="00233AB1">
        <w:t xml:space="preserve"> (далее – Закон № 188-ФЗ)</w:t>
      </w:r>
      <w:r w:rsidRPr="00372BA6">
        <w:t xml:space="preserve"> предусмотрено, что материально-техническое обеспечение деятельности мировых судей осуществляют органы исполнительной власти субъекта РФ в порядке, установленном законом субъекта РФ.</w:t>
      </w:r>
      <w:r>
        <w:t xml:space="preserve"> С 18.07.2018 вступает в действие новая редакция указанной статьи, предусматривающая </w:t>
      </w:r>
      <w:r w:rsidR="0076228B">
        <w:t xml:space="preserve">введение понятия «организационного обеспечения деятельности мировых судей» под которым понимаются </w:t>
      </w:r>
      <w:r w:rsidR="0076228B">
        <w:rPr>
          <w:rFonts w:eastAsiaTheme="minorHAnsi"/>
          <w:lang w:eastAsia="en-US"/>
        </w:rPr>
        <w:t>мероприятия кадрового, финансового, материально-технического, информационного и иного характера, направленные на создание условий для полного и независимого осуществления правосудия. Также закрепляются некоторые вопросы материально-техническо</w:t>
      </w:r>
      <w:r w:rsidR="00233AB1">
        <w:rPr>
          <w:rFonts w:eastAsiaTheme="minorHAnsi"/>
          <w:lang w:eastAsia="en-US"/>
        </w:rPr>
        <w:t>го</w:t>
      </w:r>
      <w:r w:rsidR="0076228B">
        <w:rPr>
          <w:rFonts w:eastAsiaTheme="minorHAnsi"/>
          <w:lang w:eastAsia="en-US"/>
        </w:rPr>
        <w:t xml:space="preserve"> обеспечения деятельности мировых судей и оплаты труда работников аппарата мировых судей в процессе исполнения бюджета субъекта РФ.</w:t>
      </w:r>
    </w:p>
    <w:p w:rsidR="00372BA6" w:rsidRPr="00372BA6" w:rsidRDefault="0076228B" w:rsidP="00233AB1">
      <w:pPr>
        <w:widowControl w:val="0"/>
        <w:autoSpaceDE w:val="0"/>
        <w:autoSpaceDN w:val="0"/>
        <w:ind w:firstLine="709"/>
        <w:jc w:val="both"/>
      </w:pPr>
      <w:r>
        <w:t xml:space="preserve">В соответствии со </w:t>
      </w:r>
      <w:r w:rsidR="00372BA6" w:rsidRPr="00372BA6">
        <w:t>ст. 11 Закона Волгоградской</w:t>
      </w:r>
      <w:r>
        <w:t xml:space="preserve"> области от 18.08.1999 № 297-ОД </w:t>
      </w:r>
      <w:r w:rsidR="00372BA6" w:rsidRPr="00372BA6">
        <w:t>«О мировых судьях в Волгоградской области»</w:t>
      </w:r>
      <w:r w:rsidR="00A649A3">
        <w:t xml:space="preserve"> (далее – Закон № 297-ОД)</w:t>
      </w:r>
      <w:r w:rsidR="00372BA6" w:rsidRPr="00372BA6">
        <w:t xml:space="preserve"> </w:t>
      </w:r>
      <w:r w:rsidR="0007584E">
        <w:t>Комитет</w:t>
      </w:r>
      <w:r w:rsidR="00372BA6" w:rsidRPr="00372BA6">
        <w:t xml:space="preserve"> является органом исполнительной власти Волгоградской области, осуществляющим организационное обеспечение деятельности мировых судей в Волгоградской области. </w:t>
      </w:r>
    </w:p>
    <w:p w:rsidR="008F18B9" w:rsidRPr="00A307BE" w:rsidRDefault="0076228B" w:rsidP="00233AB1">
      <w:pPr>
        <w:widowControl w:val="0"/>
        <w:autoSpaceDE w:val="0"/>
        <w:autoSpaceDN w:val="0"/>
        <w:ind w:firstLine="709"/>
        <w:jc w:val="both"/>
      </w:pPr>
      <w:r>
        <w:t>Согласно Закону</w:t>
      </w:r>
      <w:r w:rsidR="00372BA6" w:rsidRPr="00372BA6">
        <w:t xml:space="preserve"> Волгоградской области от 15.03.2012 № 22-ОД «О системе органов исполнительной власти Волгоградской области» </w:t>
      </w:r>
      <w:r w:rsidR="0007584E">
        <w:t>Комитет</w:t>
      </w:r>
      <w:r w:rsidR="00372BA6" w:rsidRPr="00372BA6">
        <w:t xml:space="preserve"> входит в систему органов </w:t>
      </w:r>
      <w:r w:rsidR="00372BA6" w:rsidRPr="00372BA6">
        <w:lastRenderedPageBreak/>
        <w:t xml:space="preserve">исполнительной власти Волгоградской области. </w:t>
      </w:r>
    </w:p>
    <w:p w:rsidR="008F18B9" w:rsidRDefault="00372BA6" w:rsidP="007558B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72BA6">
        <w:t xml:space="preserve">До 01.03.2017 </w:t>
      </w:r>
      <w:r w:rsidR="0007584E">
        <w:t>Комитет</w:t>
      </w:r>
      <w:r w:rsidR="008F18B9">
        <w:t xml:space="preserve"> именовался </w:t>
      </w:r>
      <w:r w:rsidR="008F18B9" w:rsidRPr="00372BA6">
        <w:t>комитет</w:t>
      </w:r>
      <w:r w:rsidR="008F18B9">
        <w:t>ом</w:t>
      </w:r>
      <w:r w:rsidR="008F18B9" w:rsidRPr="00372BA6">
        <w:t xml:space="preserve"> по обеспечению деятельности мировых судей Волгоградской области </w:t>
      </w:r>
      <w:r w:rsidR="008F18B9">
        <w:t>и помимо полномочий</w:t>
      </w:r>
      <w:r w:rsidR="0007584E">
        <w:t xml:space="preserve"> по организационному</w:t>
      </w:r>
      <w:r w:rsidR="008F18B9">
        <w:t xml:space="preserve"> обеспечени</w:t>
      </w:r>
      <w:r w:rsidR="0007584E">
        <w:t>ю</w:t>
      </w:r>
      <w:r w:rsidR="008F18B9">
        <w:t xml:space="preserve"> деятельности мировых судей, осуществлял полномочия по </w:t>
      </w:r>
      <w:r w:rsidR="008F18B9">
        <w:rPr>
          <w:rFonts w:eastAsiaTheme="minorHAnsi"/>
          <w:lang w:eastAsia="en-US"/>
        </w:rPr>
        <w:t>обеспечению составления списков кандидатов в присяжные заседатели</w:t>
      </w:r>
      <w:r w:rsidR="008F18B9" w:rsidRPr="008F18B9">
        <w:rPr>
          <w:rFonts w:eastAsiaTheme="minorHAnsi"/>
          <w:lang w:eastAsia="en-US"/>
        </w:rPr>
        <w:t xml:space="preserve"> </w:t>
      </w:r>
      <w:r w:rsidR="008F18B9">
        <w:rPr>
          <w:rFonts w:eastAsiaTheme="minorHAnsi"/>
          <w:lang w:eastAsia="en-US"/>
        </w:rPr>
        <w:t>федеральных судов общей юрисдикции и организации обеспечения граждан бесплатной юридической помощью.</w:t>
      </w:r>
      <w:r w:rsidR="007558B0">
        <w:rPr>
          <w:rFonts w:eastAsiaTheme="minorHAnsi"/>
          <w:lang w:eastAsia="en-US"/>
        </w:rPr>
        <w:t xml:space="preserve"> </w:t>
      </w:r>
      <w:r w:rsidR="008F18B9">
        <w:t xml:space="preserve">С </w:t>
      </w:r>
      <w:r w:rsidR="008F18B9" w:rsidRPr="00372BA6">
        <w:t>01.03.2017</w:t>
      </w:r>
      <w:r w:rsidR="0007584E">
        <w:t xml:space="preserve"> Комитет также наделён полномочиями по </w:t>
      </w:r>
      <w:r w:rsidR="008F18B9">
        <w:rPr>
          <w:rFonts w:eastAsiaTheme="minorHAnsi"/>
          <w:lang w:eastAsia="en-US"/>
        </w:rPr>
        <w:t>организации деятельности по государственной регистрации актов гражданского состояния</w:t>
      </w:r>
      <w:r w:rsidR="0007584E">
        <w:rPr>
          <w:rFonts w:eastAsiaTheme="minorHAnsi"/>
          <w:lang w:eastAsia="en-US"/>
        </w:rPr>
        <w:t xml:space="preserve"> и </w:t>
      </w:r>
      <w:r w:rsidR="008F18B9">
        <w:rPr>
          <w:rFonts w:eastAsiaTheme="minorHAnsi"/>
          <w:lang w:eastAsia="en-US"/>
        </w:rPr>
        <w:t>ведени</w:t>
      </w:r>
      <w:r w:rsidR="0007584E">
        <w:rPr>
          <w:rFonts w:eastAsiaTheme="minorHAnsi"/>
          <w:lang w:eastAsia="en-US"/>
        </w:rPr>
        <w:t>ю</w:t>
      </w:r>
      <w:r w:rsidR="008F18B9">
        <w:rPr>
          <w:rFonts w:eastAsiaTheme="minorHAnsi"/>
          <w:lang w:eastAsia="en-US"/>
        </w:rPr>
        <w:t xml:space="preserve"> регистра муниципальных нормативных правовых актов Волгоградской области</w:t>
      </w:r>
      <w:r w:rsidR="00233AB1">
        <w:rPr>
          <w:rFonts w:eastAsiaTheme="minorHAnsi"/>
          <w:lang w:eastAsia="en-US"/>
        </w:rPr>
        <w:t>, в связи с чем структура Комитета дополнена двумя соответствующими подразделениями</w:t>
      </w:r>
      <w:r w:rsidR="0007584E">
        <w:rPr>
          <w:rFonts w:eastAsiaTheme="minorHAnsi"/>
          <w:lang w:eastAsia="en-US"/>
        </w:rPr>
        <w:t>.</w:t>
      </w:r>
    </w:p>
    <w:p w:rsidR="00233AB1" w:rsidRDefault="00233AB1" w:rsidP="00233AB1">
      <w:pPr>
        <w:widowControl w:val="0"/>
        <w:autoSpaceDE w:val="0"/>
        <w:autoSpaceDN w:val="0"/>
        <w:ind w:firstLine="709"/>
        <w:jc w:val="both"/>
        <w:rPr>
          <w:rFonts w:eastAsiaTheme="minorHAnsi"/>
          <w:lang w:eastAsia="en-US"/>
        </w:rPr>
      </w:pPr>
    </w:p>
    <w:p w:rsidR="00233AB1" w:rsidRPr="00233AB1" w:rsidRDefault="00233AB1" w:rsidP="00233AB1">
      <w:pPr>
        <w:widowControl w:val="0"/>
        <w:autoSpaceDE w:val="0"/>
        <w:autoSpaceDN w:val="0"/>
        <w:ind w:firstLine="709"/>
        <w:jc w:val="both"/>
        <w:rPr>
          <w:rFonts w:eastAsiaTheme="minorHAnsi"/>
          <w:b/>
          <w:lang w:eastAsia="en-US"/>
        </w:rPr>
      </w:pPr>
      <w:r w:rsidRPr="00233AB1">
        <w:rPr>
          <w:rFonts w:eastAsiaTheme="minorHAnsi"/>
          <w:b/>
          <w:lang w:eastAsia="en-US"/>
        </w:rPr>
        <w:t>Результаты экспертно-аналитического мероприятия</w:t>
      </w:r>
      <w:r w:rsidR="002C30DB">
        <w:rPr>
          <w:rFonts w:eastAsiaTheme="minorHAnsi"/>
          <w:b/>
          <w:lang w:eastAsia="en-US"/>
        </w:rPr>
        <w:t>.</w:t>
      </w:r>
    </w:p>
    <w:p w:rsidR="00233AB1" w:rsidRPr="00233AB1" w:rsidRDefault="00233AB1" w:rsidP="00233AB1">
      <w:pPr>
        <w:jc w:val="center"/>
        <w:rPr>
          <w:rFonts w:eastAsia="Calibri"/>
          <w:b/>
          <w:i/>
          <w:lang w:eastAsia="en-US"/>
        </w:rPr>
      </w:pPr>
      <w:r w:rsidRPr="00233AB1">
        <w:rPr>
          <w:rFonts w:eastAsia="Calibri"/>
          <w:b/>
          <w:i/>
          <w:lang w:eastAsia="en-US"/>
        </w:rPr>
        <w:t xml:space="preserve">Система мировой юстиции Волгоградской области </w:t>
      </w:r>
    </w:p>
    <w:p w:rsidR="00233AB1" w:rsidRPr="00233AB1" w:rsidRDefault="00233AB1" w:rsidP="008562D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AB1">
        <w:rPr>
          <w:rFonts w:eastAsia="Calibri"/>
          <w:lang w:eastAsia="en-US"/>
        </w:rPr>
        <w:t>Согласно положениям пунктов 1</w:t>
      </w:r>
      <w:r w:rsidR="000F0351">
        <w:rPr>
          <w:rFonts w:eastAsia="Calibri"/>
          <w:lang w:eastAsia="en-US"/>
        </w:rPr>
        <w:t>-</w:t>
      </w:r>
      <w:r w:rsidRPr="00233AB1">
        <w:rPr>
          <w:rFonts w:eastAsia="Calibri"/>
          <w:lang w:eastAsia="en-US"/>
        </w:rPr>
        <w:t>4 ст. 4 Закон</w:t>
      </w:r>
      <w:r>
        <w:rPr>
          <w:rFonts w:eastAsia="Calibri"/>
          <w:lang w:eastAsia="en-US"/>
        </w:rPr>
        <w:t>а</w:t>
      </w:r>
      <w:r w:rsidRPr="00233AB1">
        <w:rPr>
          <w:rFonts w:eastAsia="Calibri"/>
          <w:lang w:eastAsia="en-US"/>
        </w:rPr>
        <w:t xml:space="preserve"> № 188-ФЗ деятельность мировых судей осуществляется в пределах судебного района на судебных участках, </w:t>
      </w:r>
      <w:r w:rsidR="000F0351" w:rsidRPr="000F0351">
        <w:rPr>
          <w:rFonts w:eastAsiaTheme="minorHAnsi"/>
          <w:lang w:eastAsia="en-US"/>
        </w:rPr>
        <w:t xml:space="preserve">общее число мировых судей и количество судебных участков субъекта РФ определяются федеральным </w:t>
      </w:r>
      <w:hyperlink r:id="rId8" w:history="1">
        <w:r w:rsidR="000F0351" w:rsidRPr="000F0351">
          <w:rPr>
            <w:rFonts w:eastAsiaTheme="minorHAnsi"/>
            <w:lang w:eastAsia="en-US"/>
          </w:rPr>
          <w:t>законом</w:t>
        </w:r>
      </w:hyperlink>
      <w:r w:rsidR="000F0351">
        <w:rPr>
          <w:rFonts w:eastAsiaTheme="minorHAnsi"/>
          <w:lang w:eastAsia="en-US"/>
        </w:rPr>
        <w:t xml:space="preserve">, </w:t>
      </w:r>
      <w:r w:rsidRPr="00233AB1">
        <w:rPr>
          <w:rFonts w:eastAsia="Calibri"/>
          <w:lang w:eastAsia="en-US"/>
        </w:rPr>
        <w:t xml:space="preserve">судебные участки и должности мировых судей создаются и упраздняются законами субъектов РФ с учётом численности населения на одном участке от 15 до 23 тысяч человек. В административно-территориальных образованиях с численностью населения менее 15 тысяч человек создается один судебный участок. Федеральным законом от 29.12.1999 № 218-ФЗ «Об общем числе мировых судей и количестве судебных участков в субъектах Российской Федерации» в Волгоградской области определено 145 мировых судей и соответствующее ему количество судебных участков. </w:t>
      </w:r>
      <w:r w:rsidR="00A649A3">
        <w:rPr>
          <w:rFonts w:eastAsia="Calibri"/>
          <w:lang w:eastAsia="en-US"/>
        </w:rPr>
        <w:t>В период</w:t>
      </w:r>
      <w:r w:rsidRPr="00233AB1">
        <w:rPr>
          <w:rFonts w:eastAsia="Calibri"/>
          <w:lang w:eastAsia="en-US"/>
        </w:rPr>
        <w:t xml:space="preserve"> 2012</w:t>
      </w:r>
      <w:r w:rsidR="00A649A3">
        <w:rPr>
          <w:rFonts w:eastAsia="Calibri"/>
          <w:lang w:eastAsia="en-US"/>
        </w:rPr>
        <w:t xml:space="preserve">-2017 </w:t>
      </w:r>
      <w:r w:rsidRPr="00233AB1">
        <w:rPr>
          <w:rFonts w:eastAsia="Calibri"/>
          <w:lang w:eastAsia="en-US"/>
        </w:rPr>
        <w:t>год</w:t>
      </w:r>
      <w:r w:rsidR="00A649A3">
        <w:rPr>
          <w:rFonts w:eastAsia="Calibri"/>
          <w:lang w:eastAsia="en-US"/>
        </w:rPr>
        <w:t>ов</w:t>
      </w:r>
      <w:r w:rsidRPr="00233AB1">
        <w:rPr>
          <w:rFonts w:eastAsia="Calibri"/>
          <w:lang w:eastAsia="en-US"/>
        </w:rPr>
        <w:t xml:space="preserve"> количество мировых судей и соответственно</w:t>
      </w:r>
      <w:r w:rsidR="008562D2">
        <w:rPr>
          <w:rFonts w:eastAsia="Calibri"/>
          <w:lang w:eastAsia="en-US"/>
        </w:rPr>
        <w:t xml:space="preserve"> </w:t>
      </w:r>
      <w:r w:rsidRPr="00233AB1">
        <w:rPr>
          <w:rFonts w:eastAsia="Calibri"/>
          <w:lang w:eastAsia="en-US"/>
        </w:rPr>
        <w:t>судебных участков не менялось.</w:t>
      </w:r>
    </w:p>
    <w:p w:rsidR="00233AB1" w:rsidRDefault="00233AB1" w:rsidP="00233AB1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AB1">
        <w:rPr>
          <w:rFonts w:eastAsiaTheme="minorEastAsia"/>
        </w:rPr>
        <w:t>В Волгоградской области деятельность мировых судей осуществляется в пределах 42 судебных районов на 145 судебных участках.</w:t>
      </w:r>
      <w:r w:rsidR="00A03D07">
        <w:rPr>
          <w:rFonts w:eastAsiaTheme="minorEastAsia"/>
        </w:rPr>
        <w:t xml:space="preserve"> Количество судебных участков в районе колеблется от 1 участка в </w:t>
      </w:r>
      <w:r w:rsidR="00071B7B">
        <w:rPr>
          <w:rFonts w:eastAsiaTheme="minorEastAsia"/>
        </w:rPr>
        <w:t xml:space="preserve">тринадцати </w:t>
      </w:r>
      <w:r w:rsidR="00A03D07">
        <w:rPr>
          <w:rFonts w:eastAsiaTheme="minorEastAsia"/>
        </w:rPr>
        <w:t>районах до 15 участков в Волжском судебном районе.</w:t>
      </w:r>
    </w:p>
    <w:p w:rsidR="004678BD" w:rsidRDefault="00071B7B" w:rsidP="00233AB1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71B7B">
        <w:rPr>
          <w:rFonts w:eastAsiaTheme="minorEastAsia"/>
          <w:i/>
          <w:sz w:val="20"/>
          <w:szCs w:val="20"/>
        </w:rPr>
        <w:t>ед</w:t>
      </w:r>
      <w:r>
        <w:rPr>
          <w:rFonts w:eastAsiaTheme="minorEastAsia"/>
        </w:rPr>
        <w:t>.</w:t>
      </w:r>
    </w:p>
    <w:tbl>
      <w:tblPr>
        <w:tblStyle w:val="a6"/>
        <w:tblW w:w="0" w:type="auto"/>
        <w:jc w:val="center"/>
        <w:tblLook w:val="04A0"/>
      </w:tblPr>
      <w:tblGrid>
        <w:gridCol w:w="2830"/>
        <w:gridCol w:w="626"/>
        <w:gridCol w:w="626"/>
        <w:gridCol w:w="586"/>
        <w:gridCol w:w="586"/>
        <w:gridCol w:w="586"/>
        <w:gridCol w:w="586"/>
        <w:gridCol w:w="562"/>
        <w:gridCol w:w="562"/>
        <w:gridCol w:w="562"/>
        <w:gridCol w:w="577"/>
        <w:gridCol w:w="549"/>
      </w:tblGrid>
      <w:tr w:rsidR="00071B7B" w:rsidRPr="00071B7B" w:rsidTr="00071B7B">
        <w:trPr>
          <w:jc w:val="center"/>
        </w:trPr>
        <w:tc>
          <w:tcPr>
            <w:tcW w:w="2830" w:type="dxa"/>
            <w:tcBorders>
              <w:top w:val="double" w:sz="4" w:space="0" w:color="auto"/>
              <w:left w:val="double" w:sz="4" w:space="0" w:color="auto"/>
            </w:tcBorders>
          </w:tcPr>
          <w:p w:rsidR="00071B7B" w:rsidRPr="00071B7B" w:rsidRDefault="00071B7B" w:rsidP="00233AB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Кол-во судебных районов</w:t>
            </w:r>
          </w:p>
        </w:tc>
        <w:tc>
          <w:tcPr>
            <w:tcW w:w="626" w:type="dxa"/>
            <w:tcBorders>
              <w:top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626" w:type="dxa"/>
            <w:tcBorders>
              <w:top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586" w:type="dxa"/>
            <w:tcBorders>
              <w:top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double" w:sz="4" w:space="0" w:color="auto"/>
              <w:right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071B7B" w:rsidRPr="00071B7B" w:rsidTr="00071B7B">
        <w:trPr>
          <w:jc w:val="center"/>
        </w:trPr>
        <w:tc>
          <w:tcPr>
            <w:tcW w:w="2830" w:type="dxa"/>
            <w:tcBorders>
              <w:left w:val="double" w:sz="4" w:space="0" w:color="auto"/>
              <w:bottom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Кол-во СУ в судебном районе</w:t>
            </w:r>
          </w:p>
        </w:tc>
        <w:tc>
          <w:tcPr>
            <w:tcW w:w="626" w:type="dxa"/>
            <w:tcBorders>
              <w:bottom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bottom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bottom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bottom w:val="double" w:sz="4" w:space="0" w:color="auto"/>
              <w:right w:val="double" w:sz="4" w:space="0" w:color="auto"/>
            </w:tcBorders>
          </w:tcPr>
          <w:p w:rsidR="00071B7B" w:rsidRPr="00071B7B" w:rsidRDefault="00071B7B" w:rsidP="00071B7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71B7B">
              <w:rPr>
                <w:rFonts w:eastAsiaTheme="minorEastAsia"/>
                <w:sz w:val="20"/>
                <w:szCs w:val="20"/>
              </w:rPr>
              <w:t>15</w:t>
            </w:r>
          </w:p>
        </w:tc>
      </w:tr>
    </w:tbl>
    <w:p w:rsidR="00E1778E" w:rsidRDefault="00E1778E" w:rsidP="00233AB1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233AB1" w:rsidRDefault="00CD2889" w:rsidP="00233AB1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Подробная и</w:t>
      </w:r>
      <w:r w:rsidR="00233AB1" w:rsidRPr="00233AB1">
        <w:rPr>
          <w:rFonts w:eastAsiaTheme="minorEastAsia"/>
        </w:rPr>
        <w:t xml:space="preserve">нформация о численности населения на одном участке </w:t>
      </w:r>
      <w:r>
        <w:rPr>
          <w:rFonts w:eastAsiaTheme="minorEastAsia"/>
        </w:rPr>
        <w:t xml:space="preserve">в течении 2012 – 2017 годов </w:t>
      </w:r>
      <w:r w:rsidR="00233AB1" w:rsidRPr="00233AB1">
        <w:rPr>
          <w:rFonts w:eastAsiaTheme="minorEastAsia"/>
        </w:rPr>
        <w:t xml:space="preserve">представлена </w:t>
      </w:r>
      <w:r w:rsidRPr="00EA1B9A">
        <w:rPr>
          <w:rFonts w:eastAsiaTheme="minorEastAsia"/>
        </w:rPr>
        <w:t xml:space="preserve">в </w:t>
      </w:r>
      <w:r w:rsidR="0046696E" w:rsidRPr="00EA1B9A">
        <w:rPr>
          <w:rFonts w:eastAsiaTheme="minorEastAsia"/>
        </w:rPr>
        <w:t>п</w:t>
      </w:r>
      <w:r w:rsidRPr="00EA1B9A">
        <w:rPr>
          <w:rFonts w:eastAsiaTheme="minorEastAsia"/>
        </w:rPr>
        <w:t>риложении № 1, а</w:t>
      </w:r>
      <w:r>
        <w:rPr>
          <w:rFonts w:eastAsiaTheme="minorEastAsia"/>
        </w:rPr>
        <w:t xml:space="preserve"> информация о пограничных и среднем значени</w:t>
      </w:r>
      <w:r w:rsidR="00A03D07">
        <w:rPr>
          <w:rFonts w:eastAsiaTheme="minorEastAsia"/>
        </w:rPr>
        <w:t>ях</w:t>
      </w:r>
      <w:r>
        <w:rPr>
          <w:rFonts w:eastAsiaTheme="minorEastAsia"/>
        </w:rPr>
        <w:t xml:space="preserve"> - </w:t>
      </w:r>
      <w:r w:rsidR="00233AB1" w:rsidRPr="00233AB1">
        <w:rPr>
          <w:rFonts w:eastAsiaTheme="minorEastAsia"/>
        </w:rPr>
        <w:t>в таблице.</w:t>
      </w:r>
    </w:p>
    <w:p w:rsidR="00E1778E" w:rsidRPr="00233AB1" w:rsidRDefault="00E1778E" w:rsidP="00233AB1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tbl>
      <w:tblPr>
        <w:tblW w:w="7957" w:type="dxa"/>
        <w:jc w:val="center"/>
        <w:tblLayout w:type="fixed"/>
        <w:tblLook w:val="04A0"/>
      </w:tblPr>
      <w:tblGrid>
        <w:gridCol w:w="2297"/>
        <w:gridCol w:w="1384"/>
        <w:gridCol w:w="720"/>
        <w:gridCol w:w="624"/>
        <w:gridCol w:w="670"/>
        <w:gridCol w:w="837"/>
        <w:gridCol w:w="619"/>
        <w:gridCol w:w="806"/>
      </w:tblGrid>
      <w:tr w:rsidR="004678BD" w:rsidRPr="00233AB1" w:rsidTr="00071B7B">
        <w:trPr>
          <w:trHeight w:val="20"/>
          <w:jc w:val="center"/>
        </w:trPr>
        <w:tc>
          <w:tcPr>
            <w:tcW w:w="2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BD" w:rsidRPr="00233AB1" w:rsidRDefault="004678BD" w:rsidP="004678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Судебный р</w:t>
            </w:r>
            <w:r w:rsidRPr="00233AB1">
              <w:rPr>
                <w:b/>
                <w:bCs/>
                <w:sz w:val="18"/>
                <w:szCs w:val="18"/>
              </w:rPr>
              <w:t>айон</w:t>
            </w:r>
          </w:p>
        </w:tc>
        <w:tc>
          <w:tcPr>
            <w:tcW w:w="13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BD" w:rsidRPr="00233AB1" w:rsidRDefault="004678BD" w:rsidP="004678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AB1">
              <w:rPr>
                <w:b/>
                <w:bCs/>
                <w:sz w:val="18"/>
                <w:szCs w:val="18"/>
              </w:rPr>
              <w:t xml:space="preserve">Кол-во </w:t>
            </w:r>
            <w:r>
              <w:rPr>
                <w:b/>
                <w:bCs/>
                <w:sz w:val="18"/>
                <w:szCs w:val="18"/>
              </w:rPr>
              <w:t>СУ, ед.</w:t>
            </w:r>
          </w:p>
        </w:tc>
        <w:tc>
          <w:tcPr>
            <w:tcW w:w="4276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78BD" w:rsidRPr="00233AB1" w:rsidRDefault="004678BD" w:rsidP="00A03D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Численность населения на 1 СУ, тыс. чел.</w:t>
            </w:r>
          </w:p>
        </w:tc>
      </w:tr>
      <w:tr w:rsidR="004678BD" w:rsidRPr="00233AB1" w:rsidTr="00071B7B">
        <w:trPr>
          <w:trHeight w:val="20"/>
          <w:jc w:val="center"/>
        </w:trPr>
        <w:tc>
          <w:tcPr>
            <w:tcW w:w="2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BD" w:rsidRPr="00233AB1" w:rsidRDefault="004678BD" w:rsidP="004678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BD" w:rsidRPr="00233AB1" w:rsidRDefault="004678BD" w:rsidP="004678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BD" w:rsidRPr="00233AB1" w:rsidRDefault="004678BD" w:rsidP="004678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AB1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BD" w:rsidRPr="00233AB1" w:rsidRDefault="004678BD" w:rsidP="004678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AB1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BD" w:rsidRPr="00233AB1" w:rsidRDefault="004678BD" w:rsidP="004678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AB1">
              <w:rPr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BD" w:rsidRPr="00233AB1" w:rsidRDefault="004678BD" w:rsidP="004678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AB1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BD" w:rsidRPr="00233AB1" w:rsidRDefault="004678BD" w:rsidP="004678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AB1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78BD" w:rsidRPr="00233AB1" w:rsidRDefault="004678BD" w:rsidP="004678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AB1">
              <w:rPr>
                <w:b/>
                <w:bCs/>
                <w:sz w:val="18"/>
                <w:szCs w:val="18"/>
              </w:rPr>
              <w:t>2017</w:t>
            </w:r>
          </w:p>
        </w:tc>
      </w:tr>
      <w:tr w:rsidR="004678BD" w:rsidRPr="004678BD" w:rsidTr="00071B7B">
        <w:trPr>
          <w:trHeight w:val="20"/>
          <w:jc w:val="center"/>
        </w:trPr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BD" w:rsidRPr="004678BD" w:rsidRDefault="004678BD" w:rsidP="004678BD">
            <w:pPr>
              <w:rPr>
                <w:bCs/>
                <w:sz w:val="18"/>
                <w:szCs w:val="18"/>
              </w:rPr>
            </w:pPr>
            <w:r w:rsidRPr="004678BD">
              <w:rPr>
                <w:bCs/>
                <w:sz w:val="18"/>
                <w:szCs w:val="18"/>
              </w:rPr>
              <w:t>Быковский</w:t>
            </w:r>
          </w:p>
        </w:tc>
        <w:tc>
          <w:tcPr>
            <w:tcW w:w="1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BD" w:rsidRPr="004678BD" w:rsidRDefault="004678BD" w:rsidP="004678BD">
            <w:pPr>
              <w:jc w:val="center"/>
              <w:rPr>
                <w:bCs/>
                <w:sz w:val="18"/>
                <w:szCs w:val="18"/>
              </w:rPr>
            </w:pPr>
            <w:r w:rsidRPr="004678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6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6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8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6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80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25,8</w:t>
            </w:r>
          </w:p>
        </w:tc>
      </w:tr>
      <w:tr w:rsidR="004678BD" w:rsidRPr="004678BD" w:rsidTr="00071B7B">
        <w:trPr>
          <w:trHeight w:val="20"/>
          <w:jc w:val="center"/>
        </w:trPr>
        <w:tc>
          <w:tcPr>
            <w:tcW w:w="22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BD" w:rsidRPr="004678BD" w:rsidRDefault="004678BD" w:rsidP="004678BD">
            <w:pPr>
              <w:rPr>
                <w:bCs/>
                <w:sz w:val="18"/>
                <w:szCs w:val="18"/>
              </w:rPr>
            </w:pPr>
            <w:proofErr w:type="spellStart"/>
            <w:r w:rsidRPr="004678BD">
              <w:rPr>
                <w:bCs/>
                <w:sz w:val="18"/>
                <w:szCs w:val="18"/>
              </w:rPr>
              <w:t>Серафимовичский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BD" w:rsidRPr="004678BD" w:rsidRDefault="004678BD" w:rsidP="004678BD">
            <w:pPr>
              <w:jc w:val="center"/>
              <w:rPr>
                <w:bCs/>
                <w:sz w:val="18"/>
                <w:szCs w:val="18"/>
              </w:rPr>
            </w:pPr>
            <w:r w:rsidRPr="004678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11,8</w:t>
            </w:r>
          </w:p>
        </w:tc>
      </w:tr>
      <w:tr w:rsidR="004678BD" w:rsidRPr="004678BD" w:rsidTr="00FD2078">
        <w:trPr>
          <w:trHeight w:val="20"/>
          <w:jc w:val="center"/>
        </w:trPr>
        <w:tc>
          <w:tcPr>
            <w:tcW w:w="229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BD" w:rsidRPr="004678BD" w:rsidRDefault="004678BD" w:rsidP="004678BD">
            <w:pPr>
              <w:rPr>
                <w:bCs/>
                <w:sz w:val="18"/>
                <w:szCs w:val="18"/>
              </w:rPr>
            </w:pPr>
            <w:r w:rsidRPr="004678BD">
              <w:rPr>
                <w:bCs/>
                <w:sz w:val="18"/>
                <w:szCs w:val="18"/>
              </w:rPr>
              <w:t>Центральный</w:t>
            </w:r>
            <w:r w:rsidR="008562D2">
              <w:rPr>
                <w:bCs/>
                <w:sz w:val="18"/>
                <w:szCs w:val="18"/>
              </w:rPr>
              <w:t xml:space="preserve"> г. Волгоград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BD" w:rsidRPr="004678BD" w:rsidRDefault="004678BD" w:rsidP="004678BD">
            <w:pPr>
              <w:jc w:val="center"/>
              <w:rPr>
                <w:bCs/>
                <w:sz w:val="18"/>
                <w:szCs w:val="18"/>
              </w:rPr>
            </w:pPr>
            <w:r w:rsidRPr="004678BD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6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6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8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6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0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4678BD" w:rsidRDefault="004678BD" w:rsidP="00071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78BD">
              <w:rPr>
                <w:bCs/>
                <w:color w:val="000000"/>
                <w:sz w:val="18"/>
                <w:szCs w:val="18"/>
              </w:rPr>
              <w:t>11,8</w:t>
            </w:r>
          </w:p>
        </w:tc>
      </w:tr>
      <w:tr w:rsidR="004678BD" w:rsidRPr="00071B7B" w:rsidTr="00FD2078">
        <w:trPr>
          <w:trHeight w:val="20"/>
          <w:jc w:val="center"/>
        </w:trPr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BD" w:rsidRPr="00071B7B" w:rsidRDefault="004678BD" w:rsidP="004678BD">
            <w:pPr>
              <w:rPr>
                <w:b/>
                <w:bCs/>
                <w:sz w:val="18"/>
                <w:szCs w:val="18"/>
              </w:rPr>
            </w:pPr>
            <w:r w:rsidRPr="00071B7B">
              <w:rPr>
                <w:b/>
                <w:bCs/>
                <w:sz w:val="18"/>
                <w:szCs w:val="18"/>
              </w:rPr>
              <w:t>Волгоградская область</w:t>
            </w:r>
          </w:p>
        </w:tc>
        <w:tc>
          <w:tcPr>
            <w:tcW w:w="13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BD" w:rsidRPr="00071B7B" w:rsidRDefault="004678BD" w:rsidP="004678BD">
            <w:pPr>
              <w:jc w:val="center"/>
              <w:rPr>
                <w:b/>
                <w:bCs/>
                <w:sz w:val="18"/>
                <w:szCs w:val="18"/>
              </w:rPr>
            </w:pPr>
            <w:r w:rsidRPr="00071B7B"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071B7B" w:rsidRDefault="004678BD" w:rsidP="00EA1B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B7B">
              <w:rPr>
                <w:b/>
                <w:bCs/>
                <w:color w:val="000000"/>
                <w:sz w:val="18"/>
                <w:szCs w:val="18"/>
              </w:rPr>
              <w:t>17,</w:t>
            </w:r>
            <w:r w:rsidR="00EA1B9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071B7B" w:rsidRDefault="004678BD" w:rsidP="00071B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B7B">
              <w:rPr>
                <w:b/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6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071B7B" w:rsidRDefault="004678BD" w:rsidP="00071B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B7B">
              <w:rPr>
                <w:b/>
                <w:bCs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8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071B7B" w:rsidRDefault="004678BD" w:rsidP="00071B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B7B">
              <w:rPr>
                <w:b/>
                <w:bCs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61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071B7B" w:rsidRDefault="004678BD" w:rsidP="00071B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B7B">
              <w:rPr>
                <w:b/>
                <w:bCs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0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78BD" w:rsidRPr="00071B7B" w:rsidRDefault="004678BD" w:rsidP="00071B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1B7B">
              <w:rPr>
                <w:b/>
                <w:bCs/>
                <w:color w:val="000000"/>
                <w:sz w:val="18"/>
                <w:szCs w:val="18"/>
              </w:rPr>
              <w:t>17,5</w:t>
            </w:r>
          </w:p>
        </w:tc>
      </w:tr>
    </w:tbl>
    <w:p w:rsidR="00E1778E" w:rsidRDefault="00E1778E" w:rsidP="00071B7B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FD2078" w:rsidRDefault="00FD2078" w:rsidP="00071B7B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В исследуемом периоде в среднем </w:t>
      </w:r>
      <w:r w:rsidRPr="00233AB1">
        <w:rPr>
          <w:rFonts w:eastAsiaTheme="minorEastAsia"/>
        </w:rPr>
        <w:t xml:space="preserve">по Волгоградской области </w:t>
      </w:r>
      <w:r>
        <w:rPr>
          <w:rFonts w:eastAsiaTheme="minorEastAsia"/>
        </w:rPr>
        <w:t>показатель численности населения на судебный участок сократился с 17,</w:t>
      </w:r>
      <w:r w:rsidR="00EA1B9A">
        <w:rPr>
          <w:rFonts w:eastAsiaTheme="minorEastAsia"/>
        </w:rPr>
        <w:t>8</w:t>
      </w:r>
      <w:r>
        <w:rPr>
          <w:rFonts w:eastAsiaTheme="minorEastAsia"/>
        </w:rPr>
        <w:t xml:space="preserve"> до 17,5 тыс. чел</w:t>
      </w:r>
      <w:r w:rsidR="00233AB1" w:rsidRPr="00233AB1">
        <w:rPr>
          <w:rFonts w:eastAsiaTheme="minorEastAsia"/>
        </w:rPr>
        <w:t xml:space="preserve"> на один судебный участок</w:t>
      </w:r>
      <w:r>
        <w:rPr>
          <w:rFonts w:eastAsiaTheme="minorEastAsia"/>
        </w:rPr>
        <w:t>.</w:t>
      </w:r>
    </w:p>
    <w:p w:rsidR="00233AB1" w:rsidRDefault="00233AB1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AB1">
        <w:rPr>
          <w:rFonts w:eastAsiaTheme="minorEastAsia"/>
        </w:rPr>
        <w:t>Информация о численности населения на 1 судебный участок в 2017 году представлена диаграмм</w:t>
      </w:r>
      <w:r w:rsidR="00FD2078">
        <w:rPr>
          <w:rFonts w:eastAsiaTheme="minorEastAsia"/>
        </w:rPr>
        <w:t>ой</w:t>
      </w:r>
      <w:r w:rsidRPr="00233AB1">
        <w:rPr>
          <w:rFonts w:eastAsiaTheme="minorEastAsia"/>
        </w:rPr>
        <w:t>.</w:t>
      </w:r>
    </w:p>
    <w:p w:rsidR="007E1A95" w:rsidRDefault="007E1A95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7E1A95" w:rsidRDefault="007E1A95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7E1A95" w:rsidRDefault="007E1A95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7E1A95" w:rsidRDefault="007E1A95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7E1A95" w:rsidRDefault="007E1A95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233AB1" w:rsidRPr="00233AB1" w:rsidRDefault="00233AB1" w:rsidP="00233AB1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33AB1">
        <w:rPr>
          <w:rFonts w:eastAsiaTheme="minorEastAsia"/>
          <w:noProof/>
          <w:bdr w:val="double" w:sz="4" w:space="0" w:color="auto"/>
        </w:rPr>
        <w:lastRenderedPageBreak/>
        <w:drawing>
          <wp:inline distT="0" distB="0" distL="0" distR="0">
            <wp:extent cx="6035040" cy="364964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3AB1" w:rsidRPr="00233AB1" w:rsidRDefault="00233AB1" w:rsidP="00233AB1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233AB1" w:rsidRDefault="00233AB1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AB1">
        <w:rPr>
          <w:rFonts w:eastAsiaTheme="minorEastAsia"/>
        </w:rPr>
        <w:t>По судебным районам показатель 2017 года колеблется в пределах</w:t>
      </w:r>
      <w:r w:rsidR="00362EDA">
        <w:rPr>
          <w:rFonts w:eastAsiaTheme="minorEastAsia"/>
        </w:rPr>
        <w:t xml:space="preserve"> от 11,8 тыс. чел в </w:t>
      </w:r>
      <w:proofErr w:type="spellStart"/>
      <w:r w:rsidR="00362EDA">
        <w:rPr>
          <w:rFonts w:eastAsiaTheme="minorEastAsia"/>
        </w:rPr>
        <w:t>Серафимович</w:t>
      </w:r>
      <w:r w:rsidRPr="00233AB1">
        <w:rPr>
          <w:rFonts w:eastAsiaTheme="minorEastAsia"/>
        </w:rPr>
        <w:t>ском</w:t>
      </w:r>
      <w:proofErr w:type="spellEnd"/>
      <w:r w:rsidRPr="00233AB1">
        <w:rPr>
          <w:rFonts w:eastAsiaTheme="minorEastAsia"/>
        </w:rPr>
        <w:t xml:space="preserve"> и Центральном судебных районах до 25,8 тыс. чел. в Быковском судебном районе. В </w:t>
      </w:r>
      <w:proofErr w:type="spellStart"/>
      <w:r w:rsidR="00362EDA">
        <w:rPr>
          <w:rFonts w:eastAsiaTheme="minorEastAsia"/>
        </w:rPr>
        <w:t>Серафимович</w:t>
      </w:r>
      <w:r w:rsidR="001B3F88" w:rsidRPr="00233AB1">
        <w:rPr>
          <w:rFonts w:eastAsiaTheme="minorEastAsia"/>
        </w:rPr>
        <w:t>ском</w:t>
      </w:r>
      <w:proofErr w:type="spellEnd"/>
      <w:r w:rsidR="001B3F88">
        <w:rPr>
          <w:rFonts w:eastAsiaTheme="minorEastAsia"/>
        </w:rPr>
        <w:t>,</w:t>
      </w:r>
      <w:r w:rsidR="001B3F88" w:rsidRPr="00233AB1">
        <w:rPr>
          <w:rFonts w:eastAsiaTheme="minorEastAsia"/>
        </w:rPr>
        <w:t xml:space="preserve"> Центральном</w:t>
      </w:r>
      <w:r w:rsidR="001B3F88">
        <w:rPr>
          <w:rFonts w:eastAsiaTheme="minorEastAsia"/>
        </w:rPr>
        <w:t>,</w:t>
      </w:r>
      <w:r w:rsidR="001B3F88" w:rsidRPr="00233AB1">
        <w:rPr>
          <w:rFonts w:eastAsiaTheme="minorEastAsia"/>
        </w:rPr>
        <w:t xml:space="preserve"> </w:t>
      </w:r>
      <w:proofErr w:type="spellStart"/>
      <w:r w:rsidRPr="00233AB1">
        <w:rPr>
          <w:rFonts w:eastAsiaTheme="minorEastAsia"/>
        </w:rPr>
        <w:t>Котельниковском</w:t>
      </w:r>
      <w:proofErr w:type="spellEnd"/>
      <w:r w:rsidRPr="00233AB1">
        <w:rPr>
          <w:rFonts w:eastAsiaTheme="minorEastAsia"/>
        </w:rPr>
        <w:t xml:space="preserve">, </w:t>
      </w:r>
      <w:proofErr w:type="spellStart"/>
      <w:r w:rsidRPr="00233AB1">
        <w:rPr>
          <w:rFonts w:eastAsiaTheme="minorEastAsia"/>
        </w:rPr>
        <w:t>Палласовском</w:t>
      </w:r>
      <w:proofErr w:type="spellEnd"/>
      <w:r w:rsidRPr="00233AB1">
        <w:rPr>
          <w:rFonts w:eastAsiaTheme="minorEastAsia"/>
        </w:rPr>
        <w:t xml:space="preserve">, </w:t>
      </w:r>
      <w:r w:rsidR="001B3F88">
        <w:rPr>
          <w:rFonts w:eastAsiaTheme="minorEastAsia"/>
        </w:rPr>
        <w:t xml:space="preserve">Дубовском и Николаевском </w:t>
      </w:r>
      <w:r w:rsidRPr="00233AB1">
        <w:rPr>
          <w:rFonts w:eastAsiaTheme="minorEastAsia"/>
        </w:rPr>
        <w:t>судебных районах, включающих несколько судебных участков</w:t>
      </w:r>
      <w:r w:rsidR="00A008B6">
        <w:rPr>
          <w:rFonts w:eastAsiaTheme="minorEastAsia"/>
        </w:rPr>
        <w:t xml:space="preserve"> (в Нехаевском и Даниловском районах по одному судебному участку)</w:t>
      </w:r>
      <w:r w:rsidRPr="00233AB1">
        <w:rPr>
          <w:rFonts w:eastAsiaTheme="minorEastAsia"/>
        </w:rPr>
        <w:t>, показатель численности населения на один участок меньше минимальной границы, установленной п. 4 ст. 4 Закона № 188-ФЗ (15 тыс. чел</w:t>
      </w:r>
      <w:r w:rsidR="0041772F">
        <w:rPr>
          <w:rFonts w:eastAsiaTheme="minorEastAsia"/>
        </w:rPr>
        <w:t>.</w:t>
      </w:r>
      <w:r w:rsidRPr="00233AB1">
        <w:rPr>
          <w:rFonts w:eastAsiaTheme="minorEastAsia"/>
        </w:rPr>
        <w:t xml:space="preserve">), - </w:t>
      </w:r>
      <w:r w:rsidR="001B3F88">
        <w:rPr>
          <w:rFonts w:eastAsiaTheme="minorEastAsia"/>
        </w:rPr>
        <w:t>11,8-14,9</w:t>
      </w:r>
      <w:r w:rsidRPr="00233AB1">
        <w:rPr>
          <w:rFonts w:eastAsiaTheme="minorEastAsia"/>
        </w:rPr>
        <w:t xml:space="preserve"> тыс. человек</w:t>
      </w:r>
      <w:r w:rsidR="001B3F88">
        <w:rPr>
          <w:rFonts w:eastAsiaTheme="minorEastAsia"/>
        </w:rPr>
        <w:t>.</w:t>
      </w:r>
      <w:r w:rsidR="0041772F">
        <w:rPr>
          <w:rFonts w:eastAsiaTheme="minorEastAsia"/>
        </w:rPr>
        <w:t xml:space="preserve"> В Советском и Быковском районах показатель численности населения на судебный участок превышает верхнюю границу,</w:t>
      </w:r>
      <w:r w:rsidR="0041772F" w:rsidRPr="0041772F">
        <w:rPr>
          <w:rFonts w:eastAsiaTheme="minorEastAsia"/>
        </w:rPr>
        <w:t xml:space="preserve"> </w:t>
      </w:r>
      <w:r w:rsidR="0041772F" w:rsidRPr="00233AB1">
        <w:rPr>
          <w:rFonts w:eastAsiaTheme="minorEastAsia"/>
        </w:rPr>
        <w:t>установленн</w:t>
      </w:r>
      <w:r w:rsidR="0041772F">
        <w:rPr>
          <w:rFonts w:eastAsiaTheme="minorEastAsia"/>
        </w:rPr>
        <w:t>ую</w:t>
      </w:r>
      <w:r w:rsidR="0041772F" w:rsidRPr="00233AB1">
        <w:rPr>
          <w:rFonts w:eastAsiaTheme="minorEastAsia"/>
        </w:rPr>
        <w:t xml:space="preserve"> п. 4 ст. 4 Закона № 188-ФЗ (</w:t>
      </w:r>
      <w:r w:rsidR="0041772F">
        <w:rPr>
          <w:rFonts w:eastAsiaTheme="minorEastAsia"/>
        </w:rPr>
        <w:t>23</w:t>
      </w:r>
      <w:r w:rsidR="0041772F" w:rsidRPr="00233AB1">
        <w:rPr>
          <w:rFonts w:eastAsiaTheme="minorEastAsia"/>
        </w:rPr>
        <w:t xml:space="preserve"> тыс. чел</w:t>
      </w:r>
      <w:r w:rsidR="0041772F">
        <w:rPr>
          <w:rFonts w:eastAsiaTheme="minorEastAsia"/>
        </w:rPr>
        <w:t>.</w:t>
      </w:r>
      <w:r w:rsidR="0041772F" w:rsidRPr="00233AB1">
        <w:rPr>
          <w:rFonts w:eastAsiaTheme="minorEastAsia"/>
        </w:rPr>
        <w:t xml:space="preserve">), - </w:t>
      </w:r>
      <w:r w:rsidR="0041772F">
        <w:rPr>
          <w:rFonts w:eastAsiaTheme="minorEastAsia"/>
        </w:rPr>
        <w:t>23,6</w:t>
      </w:r>
      <w:r w:rsidR="0041772F" w:rsidRPr="00233AB1">
        <w:rPr>
          <w:rFonts w:eastAsiaTheme="minorEastAsia"/>
        </w:rPr>
        <w:t xml:space="preserve"> и </w:t>
      </w:r>
      <w:r w:rsidR="0041772F">
        <w:rPr>
          <w:rFonts w:eastAsiaTheme="minorEastAsia"/>
        </w:rPr>
        <w:t>25,8</w:t>
      </w:r>
      <w:r w:rsidR="0041772F" w:rsidRPr="00233AB1">
        <w:rPr>
          <w:rFonts w:eastAsiaTheme="minorEastAsia"/>
        </w:rPr>
        <w:t xml:space="preserve"> тыс. человек соответственно</w:t>
      </w:r>
      <w:r w:rsidR="0041772F">
        <w:rPr>
          <w:rFonts w:eastAsiaTheme="minorEastAsia"/>
        </w:rPr>
        <w:t>.</w:t>
      </w:r>
    </w:p>
    <w:p w:rsidR="004F2C52" w:rsidRDefault="004F2C52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При этом необходимо отметить, что привести показатель численности населения на один участок в строгое соответствие с </w:t>
      </w:r>
      <w:r w:rsidRPr="00233AB1">
        <w:rPr>
          <w:rFonts w:eastAsiaTheme="minorEastAsia"/>
        </w:rPr>
        <w:t>Закон</w:t>
      </w:r>
      <w:r>
        <w:rPr>
          <w:rFonts w:eastAsiaTheme="minorEastAsia"/>
        </w:rPr>
        <w:t>ом</w:t>
      </w:r>
      <w:r w:rsidRPr="00233AB1">
        <w:rPr>
          <w:rFonts w:eastAsiaTheme="minorEastAsia"/>
        </w:rPr>
        <w:t xml:space="preserve"> № 188-ФЗ</w:t>
      </w:r>
      <w:r>
        <w:rPr>
          <w:rFonts w:eastAsiaTheme="minorEastAsia"/>
        </w:rPr>
        <w:t xml:space="preserve"> (15-23 тыс. чел.) путём увеличения (уменьшения) количества участков в судебном районе в отдельных случаях не представляется возможным - в Быковском</w:t>
      </w:r>
      <w:r w:rsidR="007C1E17">
        <w:rPr>
          <w:rFonts w:eastAsiaTheme="minorEastAsia"/>
        </w:rPr>
        <w:t>, Дубовском, Николаевском</w:t>
      </w:r>
      <w:r w:rsidR="00362EDA">
        <w:rPr>
          <w:rFonts w:eastAsiaTheme="minorEastAsia"/>
        </w:rPr>
        <w:t xml:space="preserve"> и </w:t>
      </w:r>
      <w:proofErr w:type="spellStart"/>
      <w:r w:rsidR="00362EDA">
        <w:rPr>
          <w:rFonts w:eastAsiaTheme="minorEastAsia"/>
        </w:rPr>
        <w:t>Серафимович</w:t>
      </w:r>
      <w:r>
        <w:rPr>
          <w:rFonts w:eastAsiaTheme="minorEastAsia"/>
        </w:rPr>
        <w:t>ском</w:t>
      </w:r>
      <w:proofErr w:type="spellEnd"/>
      <w:r>
        <w:rPr>
          <w:rFonts w:eastAsiaTheme="minorEastAsia"/>
        </w:rPr>
        <w:t xml:space="preserve"> судебных районах </w:t>
      </w:r>
      <w:r w:rsidR="007C1E17">
        <w:rPr>
          <w:rFonts w:eastAsiaTheme="minorEastAsia"/>
        </w:rPr>
        <w:t xml:space="preserve">показатель </w:t>
      </w:r>
      <w:r>
        <w:rPr>
          <w:rFonts w:eastAsiaTheme="minorEastAsia"/>
        </w:rPr>
        <w:t>будет отклонят</w:t>
      </w:r>
      <w:r w:rsidR="002C30DB">
        <w:rPr>
          <w:rFonts w:eastAsiaTheme="minorEastAsia"/>
        </w:rPr>
        <w:t>ь</w:t>
      </w:r>
      <w:r>
        <w:rPr>
          <w:rFonts w:eastAsiaTheme="minorEastAsia"/>
        </w:rPr>
        <w:t>ся от пороговых значений в противоположном направлении (см. таблицу).</w:t>
      </w:r>
    </w:p>
    <w:p w:rsidR="00B95DDD" w:rsidRPr="004F2C52" w:rsidRDefault="004F2C52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4F2C52">
        <w:rPr>
          <w:rFonts w:eastAsiaTheme="minorEastAsia"/>
          <w:i/>
          <w:sz w:val="20"/>
          <w:szCs w:val="20"/>
        </w:rPr>
        <w:t>тыс. чел.</w:t>
      </w:r>
    </w:p>
    <w:tbl>
      <w:tblPr>
        <w:tblW w:w="8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93"/>
        <w:gridCol w:w="1170"/>
        <w:gridCol w:w="1422"/>
        <w:gridCol w:w="1275"/>
        <w:gridCol w:w="1418"/>
        <w:gridCol w:w="1276"/>
      </w:tblGrid>
      <w:tr w:rsidR="007C1E17" w:rsidRPr="00740366" w:rsidTr="007C1E17">
        <w:trPr>
          <w:trHeight w:val="20"/>
          <w:jc w:val="center"/>
        </w:trPr>
        <w:tc>
          <w:tcPr>
            <w:tcW w:w="17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E17" w:rsidRPr="00740366" w:rsidRDefault="007C1E17" w:rsidP="0074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vAlign w:val="center"/>
          </w:tcPr>
          <w:p w:rsidR="007C1E17" w:rsidRPr="00740366" w:rsidRDefault="007C1E17" w:rsidP="0074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E17" w:rsidRPr="00740366" w:rsidRDefault="007C1E17" w:rsidP="0074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366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1E17" w:rsidRPr="00740366" w:rsidRDefault="007C1E17" w:rsidP="007403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4036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</w:tr>
      <w:tr w:rsidR="007C1E17" w:rsidRPr="00740366" w:rsidTr="007C1E17">
        <w:trPr>
          <w:trHeight w:val="20"/>
          <w:jc w:val="center"/>
        </w:trPr>
        <w:tc>
          <w:tcPr>
            <w:tcW w:w="17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403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7C1E17" w:rsidRPr="00B95DDD" w:rsidRDefault="007C1E17" w:rsidP="0074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4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r w:rsidRPr="00740366">
              <w:rPr>
                <w:b/>
                <w:bCs/>
                <w:color w:val="000000"/>
                <w:sz w:val="20"/>
                <w:szCs w:val="20"/>
              </w:rPr>
              <w:t>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 w:rsidRPr="00B95DDD">
              <w:rPr>
                <w:b/>
                <w:bCs/>
                <w:color w:val="000000"/>
                <w:sz w:val="20"/>
                <w:szCs w:val="20"/>
              </w:rPr>
              <w:t xml:space="preserve"> 1 СУ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17" w:rsidRPr="00B95DDD" w:rsidRDefault="007C1E17" w:rsidP="0074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r w:rsidRPr="00740366">
              <w:rPr>
                <w:b/>
                <w:bCs/>
                <w:color w:val="000000"/>
                <w:sz w:val="20"/>
                <w:szCs w:val="20"/>
              </w:rPr>
              <w:t>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C1E17" w:rsidRPr="00B95DDD" w:rsidRDefault="007C1E17" w:rsidP="007403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 w:rsidRPr="00B95DDD">
              <w:rPr>
                <w:b/>
                <w:bCs/>
                <w:color w:val="000000"/>
                <w:sz w:val="20"/>
                <w:szCs w:val="20"/>
              </w:rPr>
              <w:t xml:space="preserve"> 1 СУ</w:t>
            </w:r>
          </w:p>
        </w:tc>
      </w:tr>
      <w:tr w:rsidR="007C1E17" w:rsidRPr="00740366" w:rsidTr="007C1E17">
        <w:trPr>
          <w:trHeight w:val="20"/>
          <w:jc w:val="center"/>
        </w:trPr>
        <w:tc>
          <w:tcPr>
            <w:tcW w:w="17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2</w:t>
            </w:r>
            <w:r w:rsidRPr="00740366">
              <w:rPr>
                <w:bCs/>
                <w:color w:val="000000"/>
                <w:sz w:val="20"/>
                <w:szCs w:val="20"/>
              </w:rPr>
              <w:t>(+1)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>12,9</w:t>
            </w:r>
          </w:p>
        </w:tc>
      </w:tr>
      <w:tr w:rsidR="007C1E17" w:rsidRPr="00740366" w:rsidTr="007C1E17">
        <w:trPr>
          <w:trHeight w:val="20"/>
          <w:jc w:val="center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Дубовский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1</w:t>
            </w:r>
            <w:r w:rsidRPr="00740366">
              <w:rPr>
                <w:bCs/>
                <w:color w:val="000000"/>
                <w:sz w:val="20"/>
                <w:szCs w:val="20"/>
              </w:rPr>
              <w:t>(-1)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29,6</w:t>
            </w:r>
          </w:p>
        </w:tc>
      </w:tr>
      <w:tr w:rsidR="007C1E17" w:rsidRPr="00740366" w:rsidTr="007C1E17">
        <w:trPr>
          <w:trHeight w:val="20"/>
          <w:jc w:val="center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95DDD">
              <w:rPr>
                <w:bCs/>
                <w:color w:val="000000"/>
                <w:sz w:val="20"/>
                <w:szCs w:val="20"/>
              </w:rPr>
              <w:t>Котельниковский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2</w:t>
            </w:r>
            <w:r w:rsidRPr="00740366">
              <w:rPr>
                <w:bCs/>
                <w:color w:val="000000"/>
                <w:sz w:val="20"/>
                <w:szCs w:val="20"/>
              </w:rPr>
              <w:t>(-1)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7C1E17" w:rsidRPr="00740366" w:rsidTr="007C1E17">
        <w:trPr>
          <w:trHeight w:val="20"/>
          <w:jc w:val="center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1</w:t>
            </w:r>
            <w:r w:rsidRPr="00740366">
              <w:rPr>
                <w:bCs/>
                <w:color w:val="000000"/>
                <w:sz w:val="20"/>
                <w:szCs w:val="20"/>
              </w:rPr>
              <w:t>(-1)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29,8</w:t>
            </w:r>
          </w:p>
        </w:tc>
      </w:tr>
      <w:tr w:rsidR="007C1E17" w:rsidRPr="00740366" w:rsidTr="007C1E17">
        <w:trPr>
          <w:trHeight w:val="20"/>
          <w:jc w:val="center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95DDD">
              <w:rPr>
                <w:bCs/>
                <w:color w:val="000000"/>
                <w:sz w:val="20"/>
                <w:szCs w:val="20"/>
              </w:rPr>
              <w:t>Палласовский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2</w:t>
            </w:r>
            <w:r w:rsidRPr="00740366">
              <w:rPr>
                <w:bCs/>
                <w:color w:val="000000"/>
                <w:sz w:val="20"/>
                <w:szCs w:val="20"/>
              </w:rPr>
              <w:t>(-1)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>20,2</w:t>
            </w:r>
          </w:p>
        </w:tc>
      </w:tr>
      <w:tr w:rsidR="007C1E17" w:rsidRPr="00740366" w:rsidTr="007C1E17">
        <w:trPr>
          <w:trHeight w:val="20"/>
          <w:jc w:val="center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95DDD">
              <w:rPr>
                <w:bCs/>
                <w:color w:val="000000"/>
                <w:sz w:val="20"/>
                <w:szCs w:val="20"/>
              </w:rPr>
              <w:t>Серафимовичский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1</w:t>
            </w:r>
            <w:r w:rsidRPr="00740366">
              <w:rPr>
                <w:bCs/>
                <w:color w:val="000000"/>
                <w:sz w:val="20"/>
                <w:szCs w:val="20"/>
              </w:rPr>
              <w:t>(-1)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>23,6</w:t>
            </w:r>
          </w:p>
        </w:tc>
      </w:tr>
      <w:tr w:rsidR="007C1E17" w:rsidRPr="00740366" w:rsidTr="007C1E17">
        <w:trPr>
          <w:trHeight w:val="20"/>
          <w:jc w:val="center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color w:val="000000"/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6</w:t>
            </w:r>
            <w:r w:rsidRPr="00740366">
              <w:rPr>
                <w:bCs/>
                <w:color w:val="000000"/>
                <w:sz w:val="20"/>
                <w:szCs w:val="20"/>
              </w:rPr>
              <w:t>(+1)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>19,7</w:t>
            </w:r>
          </w:p>
        </w:tc>
      </w:tr>
      <w:tr w:rsidR="007C1E17" w:rsidRPr="00740366" w:rsidTr="007C1E17">
        <w:trPr>
          <w:trHeight w:val="20"/>
          <w:jc w:val="center"/>
        </w:trPr>
        <w:tc>
          <w:tcPr>
            <w:tcW w:w="17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color w:val="000000"/>
                <w:sz w:val="20"/>
                <w:szCs w:val="20"/>
              </w:rPr>
            </w:pPr>
            <w:r w:rsidRPr="00B95DDD">
              <w:rPr>
                <w:bCs/>
                <w:color w:val="000000"/>
                <w:sz w:val="20"/>
                <w:szCs w:val="20"/>
              </w:rPr>
              <w:t>5</w:t>
            </w:r>
            <w:r w:rsidRPr="00740366">
              <w:rPr>
                <w:bCs/>
                <w:color w:val="000000"/>
                <w:sz w:val="20"/>
                <w:szCs w:val="20"/>
              </w:rPr>
              <w:t>(-2)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17" w:rsidRPr="00B95DDD" w:rsidRDefault="007C1E17" w:rsidP="007C1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5DDD">
              <w:rPr>
                <w:b/>
                <w:bCs/>
                <w:color w:val="000000"/>
                <w:sz w:val="20"/>
                <w:szCs w:val="20"/>
              </w:rPr>
              <w:t>16,5</w:t>
            </w:r>
          </w:p>
        </w:tc>
      </w:tr>
    </w:tbl>
    <w:p w:rsidR="00B95DDD" w:rsidRDefault="00B95DDD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233AB1" w:rsidRDefault="007C1E17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099">
        <w:rPr>
          <w:rFonts w:eastAsiaTheme="minorEastAsia"/>
        </w:rPr>
        <w:t>Представленные данные свидетельству</w:t>
      </w:r>
      <w:r w:rsidR="00A008B6">
        <w:rPr>
          <w:rFonts w:eastAsiaTheme="minorEastAsia"/>
        </w:rPr>
        <w:t>ю</w:t>
      </w:r>
      <w:r w:rsidRPr="003F3099">
        <w:rPr>
          <w:rFonts w:eastAsiaTheme="minorEastAsia"/>
        </w:rPr>
        <w:t xml:space="preserve">т о возможной необходимости усовершенствования </w:t>
      </w:r>
      <w:r w:rsidR="00D348A6" w:rsidRPr="003F3099">
        <w:rPr>
          <w:rFonts w:eastAsiaTheme="minorEastAsia"/>
        </w:rPr>
        <w:t xml:space="preserve">Закона № 188-ФЗ путем наделения субъектов РФ правом создания судебных участков с отклонением от пороговых значений численности населения </w:t>
      </w:r>
      <w:r w:rsidR="003F3099" w:rsidRPr="003F3099">
        <w:rPr>
          <w:rFonts w:eastAsiaTheme="minorEastAsia"/>
        </w:rPr>
        <w:t>и</w:t>
      </w:r>
      <w:r w:rsidR="00233AB1" w:rsidRPr="003F3099">
        <w:rPr>
          <w:rFonts w:eastAsiaTheme="minorEastAsia"/>
        </w:rPr>
        <w:t>сходя</w:t>
      </w:r>
      <w:r w:rsidR="003F3099" w:rsidRPr="003F3099">
        <w:rPr>
          <w:rFonts w:eastAsiaTheme="minorEastAsia"/>
        </w:rPr>
        <w:t>, например,</w:t>
      </w:r>
      <w:r w:rsidR="00233AB1" w:rsidRPr="003F3099">
        <w:rPr>
          <w:rFonts w:eastAsiaTheme="minorEastAsia"/>
        </w:rPr>
        <w:t xml:space="preserve"> </w:t>
      </w:r>
      <w:r w:rsidR="003F3099" w:rsidRPr="003F3099">
        <w:rPr>
          <w:rFonts w:eastAsiaTheme="minorEastAsia"/>
        </w:rPr>
        <w:t xml:space="preserve">из </w:t>
      </w:r>
      <w:r w:rsidR="00233AB1" w:rsidRPr="003F3099">
        <w:rPr>
          <w:rFonts w:eastAsiaTheme="minorEastAsia"/>
        </w:rPr>
        <w:t xml:space="preserve">показателей нагрузки (количества дел) </w:t>
      </w:r>
      <w:r w:rsidR="003F3099" w:rsidRPr="003F3099">
        <w:rPr>
          <w:rFonts w:eastAsiaTheme="minorEastAsia"/>
        </w:rPr>
        <w:t xml:space="preserve">на </w:t>
      </w:r>
      <w:r w:rsidR="00233AB1" w:rsidRPr="003F3099">
        <w:rPr>
          <w:rFonts w:eastAsiaTheme="minorEastAsia"/>
        </w:rPr>
        <w:t>мировых судей.</w:t>
      </w:r>
    </w:p>
    <w:p w:rsidR="000F0351" w:rsidRDefault="000F0351" w:rsidP="00580495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По отношению к критерию создания судебных участков, установленному п. 4 ст. 4 Закона № 188-ФЗ</w:t>
      </w:r>
      <w:r w:rsidR="00580495">
        <w:rPr>
          <w:rFonts w:eastAsiaTheme="minorEastAsia"/>
        </w:rPr>
        <w:t xml:space="preserve"> (только </w:t>
      </w:r>
      <w:r>
        <w:rPr>
          <w:rFonts w:eastAsiaTheme="minorHAnsi"/>
          <w:lang w:eastAsia="en-US"/>
        </w:rPr>
        <w:t>из расчета численности населения</w:t>
      </w:r>
      <w:r w:rsidR="00580495">
        <w:rPr>
          <w:rFonts w:eastAsiaTheme="minorHAnsi"/>
          <w:lang w:eastAsia="en-US"/>
        </w:rPr>
        <w:t xml:space="preserve">), положения </w:t>
      </w:r>
      <w:r w:rsidRPr="00233AB1">
        <w:rPr>
          <w:rFonts w:eastAsiaTheme="minorEastAsia"/>
        </w:rPr>
        <w:t>п. 4 ст. 4 Закон</w:t>
      </w:r>
      <w:r>
        <w:rPr>
          <w:rFonts w:eastAsiaTheme="minorEastAsia"/>
        </w:rPr>
        <w:t>а</w:t>
      </w:r>
      <w:r w:rsidRPr="00233AB1">
        <w:rPr>
          <w:rFonts w:eastAsiaTheme="minorEastAsia"/>
        </w:rPr>
        <w:t xml:space="preserve"> № 297-ОД </w:t>
      </w:r>
      <w:r w:rsidR="00580495">
        <w:rPr>
          <w:rFonts w:eastAsiaTheme="minorEastAsia"/>
        </w:rPr>
        <w:t xml:space="preserve">содержат расширенный перечень таких критериев - </w:t>
      </w:r>
      <w:r w:rsidRPr="00233AB1">
        <w:rPr>
          <w:rFonts w:eastAsiaTheme="minorEastAsia"/>
        </w:rPr>
        <w:t xml:space="preserve">судебные участки </w:t>
      </w:r>
      <w:r>
        <w:rPr>
          <w:rFonts w:eastAsiaTheme="minorEastAsia"/>
        </w:rPr>
        <w:t xml:space="preserve">должны </w:t>
      </w:r>
      <w:r w:rsidRPr="00233AB1">
        <w:rPr>
          <w:rFonts w:eastAsiaTheme="minorEastAsia"/>
        </w:rPr>
        <w:t>созда</w:t>
      </w:r>
      <w:r>
        <w:rPr>
          <w:rFonts w:eastAsiaTheme="minorEastAsia"/>
        </w:rPr>
        <w:t>ваться</w:t>
      </w:r>
      <w:r w:rsidRPr="00233AB1">
        <w:rPr>
          <w:rFonts w:eastAsiaTheme="minorEastAsia"/>
        </w:rPr>
        <w:t xml:space="preserve"> </w:t>
      </w:r>
      <w:r w:rsidRPr="00233AB1">
        <w:rPr>
          <w:rFonts w:eastAsiaTheme="minorEastAsia"/>
          <w:u w:val="single"/>
        </w:rPr>
        <w:t>с учётом численности населения и с учётом количества рассматриваемых дел</w:t>
      </w:r>
      <w:r w:rsidRPr="00233AB1">
        <w:rPr>
          <w:rFonts w:eastAsiaTheme="minorEastAsia"/>
        </w:rPr>
        <w:t>.</w:t>
      </w:r>
    </w:p>
    <w:p w:rsidR="00580495" w:rsidRDefault="00580495" w:rsidP="0058049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Согласно п. 6 ст. 4 Закона № 188-ФЗ председатель районного суда в целях обеспечения равномерности нагрузки на мировых судей в случае, если нагрузка на мирового судью превышает среднюю нагрузку на мирового судью по судебному району, вправе мотивированным распоряжением передать часть дел и заявлений, поступивших к мировому судье одного судебного участка, мировому судье другого судебного участка того же судебного района.</w:t>
      </w:r>
      <w:proofErr w:type="gramEnd"/>
    </w:p>
    <w:p w:rsidR="000F0351" w:rsidRPr="00233AB1" w:rsidRDefault="00580495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Исходя из приведённой нормы</w:t>
      </w:r>
      <w:r w:rsidR="008562D2">
        <w:rPr>
          <w:rFonts w:eastAsiaTheme="minorEastAsia"/>
        </w:rPr>
        <w:t>,</w:t>
      </w:r>
      <w:r>
        <w:rPr>
          <w:rFonts w:eastAsiaTheme="minorEastAsia"/>
        </w:rPr>
        <w:t xml:space="preserve"> исследование вопросов нагрузки на мировых судей осуществлено в разрезе судебных районов с усреднением нагрузки на один участок в одном судебном районе.</w:t>
      </w:r>
    </w:p>
    <w:p w:rsidR="00233AB1" w:rsidRDefault="00233AB1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AB1">
        <w:rPr>
          <w:rFonts w:eastAsiaTheme="minorEastAsia"/>
        </w:rPr>
        <w:t>В 2012-2017 годах мировыми судьями Волгоградской области окончено 1</w:t>
      </w:r>
      <w:r w:rsidR="003F3099">
        <w:rPr>
          <w:rFonts w:eastAsiaTheme="minorEastAsia"/>
        </w:rPr>
        <w:t> </w:t>
      </w:r>
      <w:r w:rsidRPr="00233AB1">
        <w:rPr>
          <w:rFonts w:eastAsiaTheme="minorEastAsia"/>
        </w:rPr>
        <w:t>915</w:t>
      </w:r>
      <w:r w:rsidR="003F3099">
        <w:rPr>
          <w:rFonts w:eastAsiaTheme="minorEastAsia"/>
        </w:rPr>
        <w:t>,6 тыс.</w:t>
      </w:r>
      <w:r w:rsidRPr="00233AB1">
        <w:rPr>
          <w:rFonts w:eastAsiaTheme="minorEastAsia"/>
        </w:rPr>
        <w:t xml:space="preserve"> дел. Информация о количеств</w:t>
      </w:r>
      <w:r w:rsidR="008562D2">
        <w:rPr>
          <w:rFonts w:eastAsiaTheme="minorEastAsia"/>
        </w:rPr>
        <w:t>е</w:t>
      </w:r>
      <w:r w:rsidRPr="00233AB1">
        <w:rPr>
          <w:rFonts w:eastAsiaTheme="minorEastAsia"/>
        </w:rPr>
        <w:t xml:space="preserve"> </w:t>
      </w:r>
      <w:r w:rsidR="003F3099">
        <w:rPr>
          <w:rFonts w:eastAsiaTheme="minorEastAsia"/>
        </w:rPr>
        <w:t>оконченных</w:t>
      </w:r>
      <w:r w:rsidRPr="00233AB1">
        <w:rPr>
          <w:rFonts w:eastAsiaTheme="minorEastAsia"/>
        </w:rPr>
        <w:t xml:space="preserve"> дел в разрезе </w:t>
      </w:r>
      <w:r w:rsidR="003F3099">
        <w:rPr>
          <w:rFonts w:eastAsiaTheme="minorEastAsia"/>
        </w:rPr>
        <w:t>лет</w:t>
      </w:r>
      <w:r w:rsidRPr="00233AB1">
        <w:rPr>
          <w:rFonts w:eastAsiaTheme="minorEastAsia"/>
        </w:rPr>
        <w:t xml:space="preserve"> и видов судопроизводства представлен</w:t>
      </w:r>
      <w:r w:rsidR="003F3099">
        <w:rPr>
          <w:rFonts w:eastAsiaTheme="minorEastAsia"/>
        </w:rPr>
        <w:t>а</w:t>
      </w:r>
      <w:r w:rsidRPr="00233AB1">
        <w:rPr>
          <w:rFonts w:eastAsiaTheme="minorEastAsia"/>
        </w:rPr>
        <w:t xml:space="preserve"> </w:t>
      </w:r>
      <w:r w:rsidR="003F3099">
        <w:rPr>
          <w:rFonts w:eastAsiaTheme="minorEastAsia"/>
        </w:rPr>
        <w:t>диаграммой</w:t>
      </w:r>
      <w:r w:rsidRPr="00233AB1">
        <w:rPr>
          <w:rFonts w:eastAsiaTheme="minorEastAsia"/>
        </w:rPr>
        <w:t>.</w:t>
      </w:r>
    </w:p>
    <w:p w:rsidR="00E1778E" w:rsidRPr="00233AB1" w:rsidRDefault="00E1778E" w:rsidP="00FD207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233AB1" w:rsidRDefault="00233AB1" w:rsidP="00233AB1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33AB1">
        <w:rPr>
          <w:rFonts w:eastAsiaTheme="minorEastAsia"/>
          <w:noProof/>
          <w:bdr w:val="double" w:sz="4" w:space="0" w:color="auto"/>
        </w:rPr>
        <w:drawing>
          <wp:inline distT="0" distB="0" distL="0" distR="0">
            <wp:extent cx="6063698" cy="3132814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778E" w:rsidRPr="00233AB1" w:rsidRDefault="00E1778E" w:rsidP="00233AB1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46696E" w:rsidRDefault="003F3099" w:rsidP="0046696E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С 2012 года по 2017 год количество оконченных дел возросло почти в 1,5 раза – с 285,7 до</w:t>
      </w:r>
      <w:r w:rsidR="00233AB1" w:rsidRPr="00233AB1">
        <w:rPr>
          <w:rFonts w:eastAsiaTheme="minorEastAsia"/>
        </w:rPr>
        <w:t xml:space="preserve"> 426</w:t>
      </w:r>
      <w:r>
        <w:rPr>
          <w:rFonts w:eastAsiaTheme="minorEastAsia"/>
        </w:rPr>
        <w:t>,2 тыс.</w:t>
      </w:r>
      <w:r w:rsidR="00233AB1" w:rsidRPr="00233AB1">
        <w:rPr>
          <w:rFonts w:eastAsiaTheme="minorEastAsia"/>
        </w:rPr>
        <w:t xml:space="preserve"> дел</w:t>
      </w:r>
      <w:r>
        <w:rPr>
          <w:rFonts w:eastAsiaTheme="minorEastAsia"/>
        </w:rPr>
        <w:t>.</w:t>
      </w:r>
      <w:r w:rsidR="0046696E">
        <w:rPr>
          <w:rFonts w:eastAsiaTheme="minorEastAsia"/>
        </w:rPr>
        <w:t xml:space="preserve"> </w:t>
      </w:r>
    </w:p>
    <w:p w:rsidR="0046696E" w:rsidRPr="00233AB1" w:rsidRDefault="0046696E" w:rsidP="00DB0F6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AB1">
        <w:rPr>
          <w:rFonts w:eastAsiaTheme="minorEastAsia"/>
        </w:rPr>
        <w:t xml:space="preserve">В среднем по Волгоградской области на </w:t>
      </w:r>
      <w:r w:rsidR="00DB0F63">
        <w:rPr>
          <w:rFonts w:eastAsiaTheme="minorEastAsia"/>
        </w:rPr>
        <w:t xml:space="preserve">один судебный </w:t>
      </w:r>
      <w:r w:rsidRPr="00233AB1">
        <w:rPr>
          <w:rFonts w:eastAsiaTheme="minorEastAsia"/>
        </w:rPr>
        <w:t>участок приходится 13</w:t>
      </w:r>
      <w:r w:rsidR="00DB0F63">
        <w:rPr>
          <w:rFonts w:eastAsiaTheme="minorEastAsia"/>
        </w:rPr>
        <w:t>,2 тыс.</w:t>
      </w:r>
      <w:r w:rsidRPr="00233AB1">
        <w:rPr>
          <w:rFonts w:eastAsiaTheme="minorEastAsia"/>
        </w:rPr>
        <w:t xml:space="preserve"> дел, окончен</w:t>
      </w:r>
      <w:r w:rsidR="00286573">
        <w:rPr>
          <w:rFonts w:eastAsiaTheme="minorEastAsia"/>
        </w:rPr>
        <w:t>ных в 2012-2017 годах. Наибольш</w:t>
      </w:r>
      <w:r w:rsidR="00580495">
        <w:rPr>
          <w:rFonts w:eastAsiaTheme="minorEastAsia"/>
        </w:rPr>
        <w:t>ее</w:t>
      </w:r>
      <w:r w:rsidRPr="00233AB1">
        <w:rPr>
          <w:rFonts w:eastAsiaTheme="minorEastAsia"/>
        </w:rPr>
        <w:t xml:space="preserve"> </w:t>
      </w:r>
      <w:r w:rsidR="00DB0F63">
        <w:rPr>
          <w:rFonts w:eastAsiaTheme="minorEastAsia"/>
        </w:rPr>
        <w:t xml:space="preserve">значение </w:t>
      </w:r>
      <w:r w:rsidRPr="00233AB1">
        <w:rPr>
          <w:rFonts w:eastAsiaTheme="minorEastAsia"/>
        </w:rPr>
        <w:t>показател</w:t>
      </w:r>
      <w:r w:rsidR="00580495">
        <w:rPr>
          <w:rFonts w:eastAsiaTheme="minorEastAsia"/>
        </w:rPr>
        <w:t>я</w:t>
      </w:r>
      <w:r w:rsidRPr="00233AB1">
        <w:rPr>
          <w:rFonts w:eastAsiaTheme="minorEastAsia"/>
        </w:rPr>
        <w:t xml:space="preserve"> </w:t>
      </w:r>
      <w:r w:rsidR="00DB0F63">
        <w:rPr>
          <w:rFonts w:eastAsiaTheme="minorEastAsia"/>
        </w:rPr>
        <w:t>в</w:t>
      </w:r>
      <w:r w:rsidRPr="00233AB1">
        <w:rPr>
          <w:rFonts w:eastAsiaTheme="minorEastAsia"/>
        </w:rPr>
        <w:t xml:space="preserve"> Центральн</w:t>
      </w:r>
      <w:r w:rsidR="00DB0F63">
        <w:rPr>
          <w:rFonts w:eastAsiaTheme="minorEastAsia"/>
        </w:rPr>
        <w:t>ом</w:t>
      </w:r>
      <w:r w:rsidRPr="00233AB1">
        <w:rPr>
          <w:rFonts w:eastAsiaTheme="minorEastAsia"/>
        </w:rPr>
        <w:t xml:space="preserve"> судебн</w:t>
      </w:r>
      <w:r w:rsidR="00DB0F63">
        <w:rPr>
          <w:rFonts w:eastAsiaTheme="minorEastAsia"/>
        </w:rPr>
        <w:t>ом</w:t>
      </w:r>
      <w:r w:rsidRPr="00233AB1">
        <w:rPr>
          <w:rFonts w:eastAsiaTheme="minorEastAsia"/>
        </w:rPr>
        <w:t xml:space="preserve"> район</w:t>
      </w:r>
      <w:r w:rsidR="00DB0F63">
        <w:rPr>
          <w:rFonts w:eastAsiaTheme="minorEastAsia"/>
        </w:rPr>
        <w:t>е – 24,</w:t>
      </w:r>
      <w:r w:rsidRPr="00233AB1">
        <w:rPr>
          <w:rFonts w:eastAsiaTheme="minorEastAsia"/>
        </w:rPr>
        <w:t>5</w:t>
      </w:r>
      <w:r w:rsidR="00DB0F63">
        <w:rPr>
          <w:rFonts w:eastAsiaTheme="minorEastAsia"/>
        </w:rPr>
        <w:t xml:space="preserve"> тыс.</w:t>
      </w:r>
      <w:r w:rsidRPr="00233AB1">
        <w:rPr>
          <w:rFonts w:eastAsiaTheme="minorEastAsia"/>
        </w:rPr>
        <w:t xml:space="preserve"> оконченных дел</w:t>
      </w:r>
      <w:r w:rsidR="00DB0F63">
        <w:rPr>
          <w:rFonts w:eastAsiaTheme="minorEastAsia"/>
        </w:rPr>
        <w:t xml:space="preserve"> на участок</w:t>
      </w:r>
      <w:r w:rsidRPr="00233AB1">
        <w:rPr>
          <w:rFonts w:eastAsiaTheme="minorEastAsia"/>
        </w:rPr>
        <w:t>, или в 1,9 раза больше</w:t>
      </w:r>
      <w:r w:rsidR="002C30DB">
        <w:rPr>
          <w:rFonts w:eastAsiaTheme="minorEastAsia"/>
        </w:rPr>
        <w:t>,</w:t>
      </w:r>
      <w:r w:rsidRPr="00233AB1">
        <w:rPr>
          <w:rFonts w:eastAsiaTheme="minorEastAsia"/>
        </w:rPr>
        <w:t xml:space="preserve"> чем средний показатель по области. Наименьший показатель </w:t>
      </w:r>
      <w:r w:rsidR="00DB0F63">
        <w:rPr>
          <w:rFonts w:eastAsiaTheme="minorEastAsia"/>
        </w:rPr>
        <w:t xml:space="preserve">- </w:t>
      </w:r>
      <w:r w:rsidRPr="00233AB1">
        <w:rPr>
          <w:rFonts w:eastAsiaTheme="minorEastAsia"/>
        </w:rPr>
        <w:t xml:space="preserve">в </w:t>
      </w:r>
      <w:proofErr w:type="spellStart"/>
      <w:r w:rsidRPr="00233AB1">
        <w:rPr>
          <w:rFonts w:eastAsiaTheme="minorEastAsia"/>
        </w:rPr>
        <w:t>Котельниковском</w:t>
      </w:r>
      <w:proofErr w:type="spellEnd"/>
      <w:r w:rsidRPr="00233AB1">
        <w:rPr>
          <w:rFonts w:eastAsiaTheme="minorEastAsia"/>
        </w:rPr>
        <w:t xml:space="preserve"> судебном районе </w:t>
      </w:r>
      <w:r w:rsidRPr="00DB0F63">
        <w:rPr>
          <w:rFonts w:eastAsiaTheme="minorEastAsia"/>
        </w:rPr>
        <w:t>– 6</w:t>
      </w:r>
      <w:r w:rsidR="00DB0F63">
        <w:rPr>
          <w:rFonts w:eastAsiaTheme="minorEastAsia"/>
        </w:rPr>
        <w:t>,</w:t>
      </w:r>
      <w:r w:rsidRPr="00DB0F63">
        <w:rPr>
          <w:rFonts w:eastAsiaTheme="minorEastAsia"/>
        </w:rPr>
        <w:t>0</w:t>
      </w:r>
      <w:r w:rsidR="00DB0F63">
        <w:rPr>
          <w:rFonts w:eastAsiaTheme="minorEastAsia"/>
        </w:rPr>
        <w:t xml:space="preserve"> тыс.</w:t>
      </w:r>
      <w:r w:rsidRPr="00DB0F63">
        <w:rPr>
          <w:rFonts w:eastAsiaTheme="minorEastAsia"/>
        </w:rPr>
        <w:t xml:space="preserve"> оконченных дел, или более чем в 2,2 раза меньше среднего показателя по области.</w:t>
      </w:r>
      <w:r w:rsidR="00DB0F63">
        <w:rPr>
          <w:rFonts w:eastAsiaTheme="minorEastAsia"/>
        </w:rPr>
        <w:t xml:space="preserve"> Таким образом</w:t>
      </w:r>
      <w:r w:rsidR="008562D2">
        <w:rPr>
          <w:rFonts w:eastAsiaTheme="minorEastAsia"/>
        </w:rPr>
        <w:t>,</w:t>
      </w:r>
      <w:r w:rsidR="00DB0F63">
        <w:rPr>
          <w:rFonts w:eastAsiaTheme="minorEastAsia"/>
        </w:rPr>
        <w:t xml:space="preserve"> в шестилетнем периоде </w:t>
      </w:r>
      <w:r w:rsidR="0001016F">
        <w:rPr>
          <w:rFonts w:eastAsiaTheme="minorEastAsia"/>
        </w:rPr>
        <w:t>разница</w:t>
      </w:r>
      <w:r w:rsidR="00DB0F63">
        <w:rPr>
          <w:rFonts w:eastAsiaTheme="minorEastAsia"/>
        </w:rPr>
        <w:t xml:space="preserve"> </w:t>
      </w:r>
      <w:r w:rsidR="0001016F">
        <w:rPr>
          <w:rFonts w:eastAsiaTheme="minorEastAsia"/>
        </w:rPr>
        <w:t xml:space="preserve">в </w:t>
      </w:r>
      <w:r w:rsidR="00DB0F63">
        <w:rPr>
          <w:rFonts w:eastAsiaTheme="minorEastAsia"/>
        </w:rPr>
        <w:t>нагрузк</w:t>
      </w:r>
      <w:r w:rsidR="0001016F">
        <w:rPr>
          <w:rFonts w:eastAsiaTheme="minorEastAsia"/>
        </w:rPr>
        <w:t>е</w:t>
      </w:r>
      <w:r w:rsidR="00DB0F63">
        <w:rPr>
          <w:rFonts w:eastAsiaTheme="minorEastAsia"/>
        </w:rPr>
        <w:t xml:space="preserve"> </w:t>
      </w:r>
      <w:r w:rsidR="0001016F">
        <w:rPr>
          <w:rFonts w:eastAsiaTheme="minorEastAsia"/>
        </w:rPr>
        <w:t xml:space="preserve">на </w:t>
      </w:r>
      <w:r w:rsidR="00DB0F63">
        <w:rPr>
          <w:rFonts w:eastAsiaTheme="minorEastAsia"/>
        </w:rPr>
        <w:t>мировы</w:t>
      </w:r>
      <w:r w:rsidR="0001016F">
        <w:rPr>
          <w:rFonts w:eastAsiaTheme="minorEastAsia"/>
        </w:rPr>
        <w:t>х</w:t>
      </w:r>
      <w:r w:rsidR="00DB0F63">
        <w:rPr>
          <w:rFonts w:eastAsiaTheme="minorEastAsia"/>
        </w:rPr>
        <w:t xml:space="preserve"> суд</w:t>
      </w:r>
      <w:r w:rsidR="0001016F">
        <w:rPr>
          <w:rFonts w:eastAsiaTheme="minorEastAsia"/>
        </w:rPr>
        <w:t>ей</w:t>
      </w:r>
      <w:r w:rsidR="00DB0F63">
        <w:rPr>
          <w:rFonts w:eastAsiaTheme="minorEastAsia"/>
        </w:rPr>
        <w:t xml:space="preserve"> достигает 4,1 раза.</w:t>
      </w:r>
    </w:p>
    <w:p w:rsidR="00EC5A63" w:rsidRPr="00EA1B9A" w:rsidRDefault="00C41704" w:rsidP="003F309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Подробная информация</w:t>
      </w:r>
      <w:r w:rsidR="00233AB1" w:rsidRPr="00233AB1">
        <w:rPr>
          <w:rFonts w:eastAsiaTheme="minorEastAsia"/>
        </w:rPr>
        <w:t xml:space="preserve"> о количеств</w:t>
      </w:r>
      <w:r w:rsidR="00EC5A63">
        <w:rPr>
          <w:rFonts w:eastAsiaTheme="minorEastAsia"/>
        </w:rPr>
        <w:t xml:space="preserve">е дел, оконченных мировыми судьями </w:t>
      </w:r>
      <w:r w:rsidR="00233AB1" w:rsidRPr="00233AB1">
        <w:rPr>
          <w:rFonts w:eastAsiaTheme="minorEastAsia"/>
        </w:rPr>
        <w:t>в 2012-2017 год</w:t>
      </w:r>
      <w:r w:rsidR="0046696E">
        <w:rPr>
          <w:rFonts w:eastAsiaTheme="minorEastAsia"/>
        </w:rPr>
        <w:t>ах</w:t>
      </w:r>
      <w:r w:rsidR="00EC5A63">
        <w:rPr>
          <w:rFonts w:eastAsiaTheme="minorEastAsia"/>
        </w:rPr>
        <w:t>,</w:t>
      </w:r>
      <w:r w:rsidR="00233AB1" w:rsidRPr="00233AB1">
        <w:rPr>
          <w:rFonts w:eastAsiaTheme="minorEastAsia"/>
        </w:rPr>
        <w:t xml:space="preserve"> и </w:t>
      </w:r>
      <w:r w:rsidR="00233AB1" w:rsidRPr="00EA1B9A">
        <w:rPr>
          <w:rFonts w:eastAsiaTheme="minorEastAsia"/>
        </w:rPr>
        <w:t>количестве</w:t>
      </w:r>
      <w:r w:rsidR="0046696E" w:rsidRPr="00EA1B9A">
        <w:rPr>
          <w:rFonts w:eastAsiaTheme="minorEastAsia"/>
        </w:rPr>
        <w:t xml:space="preserve"> дел</w:t>
      </w:r>
      <w:r w:rsidR="00233AB1" w:rsidRPr="00EA1B9A">
        <w:rPr>
          <w:rFonts w:eastAsiaTheme="minorEastAsia"/>
        </w:rPr>
        <w:t>, приходящихся в среднем на один участок в разрезе судебных районов представлена в Приложении №</w:t>
      </w:r>
      <w:r w:rsidR="0046696E" w:rsidRPr="00EA1B9A">
        <w:rPr>
          <w:rFonts w:eastAsiaTheme="minorEastAsia"/>
        </w:rPr>
        <w:t xml:space="preserve"> 2</w:t>
      </w:r>
      <w:r w:rsidR="00EC5A63" w:rsidRPr="00EA1B9A">
        <w:rPr>
          <w:rFonts w:eastAsiaTheme="minorEastAsia"/>
        </w:rPr>
        <w:t>.</w:t>
      </w:r>
    </w:p>
    <w:p w:rsidR="00233AB1" w:rsidRDefault="00233AB1" w:rsidP="00DB0F6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EA1B9A">
        <w:rPr>
          <w:rFonts w:eastAsiaTheme="minorEastAsia"/>
        </w:rPr>
        <w:t xml:space="preserve">Средний </w:t>
      </w:r>
      <w:r w:rsidR="00F205D9" w:rsidRPr="00EA1B9A">
        <w:rPr>
          <w:rFonts w:eastAsiaTheme="minorEastAsia"/>
        </w:rPr>
        <w:t xml:space="preserve">по области </w:t>
      </w:r>
      <w:r w:rsidRPr="00EA1B9A">
        <w:rPr>
          <w:rFonts w:eastAsiaTheme="minorEastAsia"/>
        </w:rPr>
        <w:t>показатель количества</w:t>
      </w:r>
      <w:r w:rsidRPr="00233AB1">
        <w:rPr>
          <w:rFonts w:eastAsiaTheme="minorEastAsia"/>
        </w:rPr>
        <w:t xml:space="preserve"> </w:t>
      </w:r>
      <w:r w:rsidR="00F205D9" w:rsidRPr="00233AB1">
        <w:rPr>
          <w:rFonts w:eastAsiaTheme="minorEastAsia"/>
        </w:rPr>
        <w:t xml:space="preserve">оконченных </w:t>
      </w:r>
      <w:r w:rsidRPr="00233AB1">
        <w:rPr>
          <w:rFonts w:eastAsiaTheme="minorEastAsia"/>
        </w:rPr>
        <w:t>дел</w:t>
      </w:r>
      <w:r w:rsidR="00F205D9">
        <w:rPr>
          <w:rFonts w:eastAsiaTheme="minorEastAsia"/>
        </w:rPr>
        <w:t xml:space="preserve"> на</w:t>
      </w:r>
      <w:r w:rsidRPr="00233AB1">
        <w:rPr>
          <w:rFonts w:eastAsiaTheme="minorEastAsia"/>
        </w:rPr>
        <w:t xml:space="preserve"> один судебный участ</w:t>
      </w:r>
      <w:r w:rsidR="00F205D9">
        <w:rPr>
          <w:rFonts w:eastAsiaTheme="minorEastAsia"/>
        </w:rPr>
        <w:t>ок в год</w:t>
      </w:r>
      <w:r w:rsidRPr="00233AB1">
        <w:rPr>
          <w:rFonts w:eastAsiaTheme="minorEastAsia"/>
        </w:rPr>
        <w:t xml:space="preserve"> </w:t>
      </w:r>
      <w:r w:rsidR="00F205D9">
        <w:rPr>
          <w:rFonts w:eastAsiaTheme="minorEastAsia"/>
        </w:rPr>
        <w:t>увеличился в исследуемом периоде с</w:t>
      </w:r>
      <w:r w:rsidRPr="00233AB1">
        <w:rPr>
          <w:rFonts w:eastAsiaTheme="minorEastAsia"/>
        </w:rPr>
        <w:t xml:space="preserve"> 1970 </w:t>
      </w:r>
      <w:r w:rsidR="00F205D9">
        <w:rPr>
          <w:rFonts w:eastAsiaTheme="minorEastAsia"/>
        </w:rPr>
        <w:t>до</w:t>
      </w:r>
      <w:r w:rsidRPr="00233AB1">
        <w:rPr>
          <w:rFonts w:eastAsiaTheme="minorEastAsia"/>
        </w:rPr>
        <w:t xml:space="preserve"> 2939 дел, или в 1,5 раза. Динамика </w:t>
      </w:r>
      <w:r w:rsidR="00F205D9">
        <w:rPr>
          <w:rFonts w:eastAsiaTheme="minorEastAsia"/>
        </w:rPr>
        <w:t xml:space="preserve">среднегодовой </w:t>
      </w:r>
      <w:r w:rsidRPr="00233AB1">
        <w:rPr>
          <w:rFonts w:eastAsiaTheme="minorEastAsia"/>
        </w:rPr>
        <w:t>нагрузки на один судебный участ</w:t>
      </w:r>
      <w:r w:rsidR="00A008B6">
        <w:rPr>
          <w:rFonts w:eastAsiaTheme="minorEastAsia"/>
        </w:rPr>
        <w:t>ок</w:t>
      </w:r>
      <w:r w:rsidRPr="00233AB1">
        <w:rPr>
          <w:rFonts w:eastAsiaTheme="minorEastAsia"/>
        </w:rPr>
        <w:t xml:space="preserve"> в разрезе судебных районов представлена </w:t>
      </w:r>
      <w:r w:rsidR="00F205D9">
        <w:rPr>
          <w:rFonts w:eastAsiaTheme="minorEastAsia"/>
        </w:rPr>
        <w:t>диаграммой</w:t>
      </w:r>
      <w:r w:rsidRPr="00233AB1">
        <w:rPr>
          <w:rFonts w:eastAsiaTheme="minorEastAsia"/>
        </w:rPr>
        <w:t>.</w:t>
      </w:r>
    </w:p>
    <w:p w:rsidR="007E1A95" w:rsidRPr="00233AB1" w:rsidRDefault="007E1A95" w:rsidP="00DB0F6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233AB1" w:rsidRPr="00233AB1" w:rsidRDefault="00233AB1" w:rsidP="00E1778E">
      <w:pPr>
        <w:autoSpaceDE w:val="0"/>
        <w:autoSpaceDN w:val="0"/>
        <w:adjustRightInd w:val="0"/>
        <w:ind w:hanging="851"/>
        <w:jc w:val="both"/>
        <w:rPr>
          <w:rFonts w:eastAsiaTheme="minorEastAsia"/>
        </w:rPr>
      </w:pPr>
      <w:r w:rsidRPr="00233AB1">
        <w:rPr>
          <w:rFonts w:eastAsiaTheme="minorEastAsia"/>
          <w:noProof/>
          <w:bdr w:val="double" w:sz="4" w:space="0" w:color="auto"/>
        </w:rPr>
        <w:lastRenderedPageBreak/>
        <w:drawing>
          <wp:inline distT="0" distB="0" distL="0" distR="0">
            <wp:extent cx="6560820" cy="3686175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778E" w:rsidRDefault="00E1778E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233AB1" w:rsidRPr="00233AB1" w:rsidRDefault="00233AB1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AB1">
        <w:rPr>
          <w:rFonts w:eastAsiaTheme="minorEastAsia"/>
        </w:rPr>
        <w:t xml:space="preserve">В 2012 году наибольший показатель в Центральном судебном районе – 5 698 дел, наименьший - 795 дел в </w:t>
      </w:r>
      <w:proofErr w:type="spellStart"/>
      <w:r w:rsidRPr="00233AB1">
        <w:rPr>
          <w:rFonts w:eastAsiaTheme="minorEastAsia"/>
        </w:rPr>
        <w:t>Серафимовичском</w:t>
      </w:r>
      <w:proofErr w:type="spellEnd"/>
      <w:r w:rsidRPr="00233AB1">
        <w:rPr>
          <w:rFonts w:eastAsiaTheme="minorEastAsia"/>
        </w:rPr>
        <w:t xml:space="preserve"> судебном район</w:t>
      </w:r>
      <w:r w:rsidR="002C30DB">
        <w:rPr>
          <w:rFonts w:eastAsiaTheme="minorEastAsia"/>
        </w:rPr>
        <w:t>е</w:t>
      </w:r>
      <w:r w:rsidRPr="00233AB1">
        <w:rPr>
          <w:rFonts w:eastAsiaTheme="minorEastAsia"/>
        </w:rPr>
        <w:t>, т.е. отличается в 7,1 раза.</w:t>
      </w:r>
    </w:p>
    <w:p w:rsidR="00233AB1" w:rsidRPr="00233AB1" w:rsidRDefault="00233AB1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AB1">
        <w:rPr>
          <w:rFonts w:eastAsiaTheme="minorEastAsia"/>
        </w:rPr>
        <w:t>В 2017 году нагрузка на один судебный участок колеблется от 1036 дел в Нехаевском судебном районе до 5 845 дел в Дзержинском судебном районе, т.е. отличается в 5,6 раза.</w:t>
      </w:r>
    </w:p>
    <w:p w:rsidR="00233AB1" w:rsidRDefault="00233AB1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AB1">
        <w:rPr>
          <w:rFonts w:eastAsiaTheme="minorEastAsia"/>
        </w:rPr>
        <w:t xml:space="preserve">При этом </w:t>
      </w:r>
      <w:r w:rsidR="001C6F47">
        <w:rPr>
          <w:rFonts w:eastAsiaTheme="minorEastAsia"/>
        </w:rPr>
        <w:t xml:space="preserve">за шестилетний период </w:t>
      </w:r>
      <w:r w:rsidRPr="00233AB1">
        <w:rPr>
          <w:rFonts w:eastAsiaTheme="minorEastAsia"/>
        </w:rPr>
        <w:t>в Дзержинском судебн</w:t>
      </w:r>
      <w:r w:rsidR="001C6F47">
        <w:rPr>
          <w:rFonts w:eastAsiaTheme="minorEastAsia"/>
        </w:rPr>
        <w:t>ом</w:t>
      </w:r>
      <w:r w:rsidRPr="00233AB1">
        <w:rPr>
          <w:rFonts w:eastAsiaTheme="minorEastAsia"/>
        </w:rPr>
        <w:t xml:space="preserve"> район</w:t>
      </w:r>
      <w:r w:rsidR="001C6F47">
        <w:rPr>
          <w:rFonts w:eastAsiaTheme="minorEastAsia"/>
        </w:rPr>
        <w:t>е</w:t>
      </w:r>
      <w:r w:rsidRPr="00233AB1">
        <w:rPr>
          <w:rFonts w:eastAsiaTheme="minorEastAsia"/>
        </w:rPr>
        <w:t xml:space="preserve"> наблюдается значительный рост </w:t>
      </w:r>
      <w:r w:rsidR="0001016F">
        <w:rPr>
          <w:rFonts w:eastAsiaTheme="minorEastAsia"/>
        </w:rPr>
        <w:t>нагрузки на один участок</w:t>
      </w:r>
      <w:r w:rsidRPr="00233AB1">
        <w:rPr>
          <w:rFonts w:eastAsiaTheme="minorEastAsia"/>
        </w:rPr>
        <w:t xml:space="preserve"> с 2 405 до 5</w:t>
      </w:r>
      <w:r w:rsidR="001C6F47">
        <w:rPr>
          <w:rFonts w:eastAsiaTheme="minorEastAsia"/>
        </w:rPr>
        <w:t> </w:t>
      </w:r>
      <w:r w:rsidRPr="00233AB1">
        <w:rPr>
          <w:rFonts w:eastAsiaTheme="minorEastAsia"/>
        </w:rPr>
        <w:t>845 дел</w:t>
      </w:r>
      <w:r w:rsidR="0001016F">
        <w:rPr>
          <w:rFonts w:eastAsiaTheme="minorEastAsia"/>
        </w:rPr>
        <w:t>,</w:t>
      </w:r>
      <w:r w:rsidR="001C6F47">
        <w:rPr>
          <w:rFonts w:eastAsiaTheme="minorEastAsia"/>
        </w:rPr>
        <w:t xml:space="preserve"> или в 2,4 раза</w:t>
      </w:r>
      <w:r w:rsidRPr="00233AB1">
        <w:rPr>
          <w:rFonts w:eastAsiaTheme="minorEastAsia"/>
        </w:rPr>
        <w:t xml:space="preserve">. </w:t>
      </w:r>
      <w:r w:rsidR="00F53A80">
        <w:rPr>
          <w:rFonts w:eastAsiaTheme="minorEastAsia"/>
        </w:rPr>
        <w:t>В</w:t>
      </w:r>
      <w:r w:rsidRPr="00233AB1">
        <w:rPr>
          <w:rFonts w:eastAsiaTheme="minorEastAsia"/>
        </w:rPr>
        <w:t xml:space="preserve"> Советском судебном районе </w:t>
      </w:r>
      <w:r w:rsidR="001C6F47">
        <w:rPr>
          <w:rFonts w:eastAsiaTheme="minorEastAsia"/>
        </w:rPr>
        <w:t>нагрузка увеличилась с 2 044 до 4 878 дел, или 2</w:t>
      </w:r>
      <w:r w:rsidR="00053780">
        <w:rPr>
          <w:rFonts w:eastAsiaTheme="minorEastAsia"/>
        </w:rPr>
        <w:t>,4</w:t>
      </w:r>
      <w:r w:rsidR="001C6F47">
        <w:rPr>
          <w:rFonts w:eastAsiaTheme="minorEastAsia"/>
        </w:rPr>
        <w:t xml:space="preserve"> раза </w:t>
      </w:r>
      <w:r w:rsidR="00A66A4C">
        <w:rPr>
          <w:rFonts w:eastAsiaTheme="minorEastAsia"/>
        </w:rPr>
        <w:t xml:space="preserve">за </w:t>
      </w:r>
      <w:r w:rsidR="001C6F47">
        <w:rPr>
          <w:rFonts w:eastAsiaTheme="minorEastAsia"/>
        </w:rPr>
        <w:t>2017 год.</w:t>
      </w:r>
    </w:p>
    <w:p w:rsidR="001C6F47" w:rsidRPr="00233AB1" w:rsidRDefault="001C6F47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В целом </w:t>
      </w:r>
      <w:r w:rsidR="00F53A80">
        <w:rPr>
          <w:rFonts w:eastAsiaTheme="minorEastAsia"/>
        </w:rPr>
        <w:t xml:space="preserve">в период 2012-2017 годов на фоне роста общей нагрузки на мировых судей наблюдается увеличение </w:t>
      </w:r>
      <w:r w:rsidR="006C5488">
        <w:rPr>
          <w:rFonts w:eastAsiaTheme="minorEastAsia"/>
        </w:rPr>
        <w:t xml:space="preserve">диапазона </w:t>
      </w:r>
      <w:r w:rsidR="00F53A80">
        <w:rPr>
          <w:rFonts w:eastAsiaTheme="minorEastAsia"/>
        </w:rPr>
        <w:t xml:space="preserve">дифференциации этой нагрузки. Если в 2012 году нагрузка </w:t>
      </w:r>
      <w:r w:rsidR="0001016F">
        <w:rPr>
          <w:rFonts w:eastAsiaTheme="minorEastAsia"/>
        </w:rPr>
        <w:t xml:space="preserve">на </w:t>
      </w:r>
      <w:r w:rsidR="00F53A80">
        <w:rPr>
          <w:rFonts w:eastAsiaTheme="minorEastAsia"/>
        </w:rPr>
        <w:t>подавляющ</w:t>
      </w:r>
      <w:r w:rsidR="0001016F">
        <w:rPr>
          <w:rFonts w:eastAsiaTheme="minorEastAsia"/>
        </w:rPr>
        <w:t>ее</w:t>
      </w:r>
      <w:r w:rsidR="00F53A80">
        <w:rPr>
          <w:rFonts w:eastAsiaTheme="minorEastAsia"/>
        </w:rPr>
        <w:t xml:space="preserve"> числ</w:t>
      </w:r>
      <w:r w:rsidR="0001016F">
        <w:rPr>
          <w:rFonts w:eastAsiaTheme="minorEastAsia"/>
        </w:rPr>
        <w:t>о</w:t>
      </w:r>
      <w:r w:rsidR="00F53A80">
        <w:rPr>
          <w:rFonts w:eastAsiaTheme="minorEastAsia"/>
        </w:rPr>
        <w:t xml:space="preserve"> участков находилась в границах 795-2445 дел (</w:t>
      </w:r>
      <w:r w:rsidR="0001016F">
        <w:rPr>
          <w:rFonts w:eastAsiaTheme="minorEastAsia"/>
        </w:rPr>
        <w:t>разница 3,1 раза), то в 2017</w:t>
      </w:r>
      <w:r w:rsidR="00C83189">
        <w:rPr>
          <w:rFonts w:eastAsiaTheme="minorEastAsia"/>
        </w:rPr>
        <w:t xml:space="preserve"> году</w:t>
      </w:r>
      <w:r w:rsidR="0001016F">
        <w:rPr>
          <w:rFonts w:eastAsiaTheme="minorEastAsia"/>
        </w:rPr>
        <w:t xml:space="preserve"> диапазон, включающий большую часть</w:t>
      </w:r>
      <w:r w:rsidR="006C5488">
        <w:rPr>
          <w:rFonts w:eastAsiaTheme="minorEastAsia"/>
        </w:rPr>
        <w:t xml:space="preserve"> </w:t>
      </w:r>
      <w:r w:rsidR="0001016F">
        <w:rPr>
          <w:rFonts w:eastAsiaTheme="minorEastAsia"/>
        </w:rPr>
        <w:t>участков</w:t>
      </w:r>
      <w:r w:rsidR="006C5488">
        <w:rPr>
          <w:rFonts w:eastAsiaTheme="minorEastAsia"/>
        </w:rPr>
        <w:t>,</w:t>
      </w:r>
      <w:r w:rsidR="0001016F">
        <w:rPr>
          <w:rFonts w:eastAsiaTheme="minorEastAsia"/>
        </w:rPr>
        <w:t xml:space="preserve"> </w:t>
      </w:r>
      <w:r w:rsidR="00F53A80">
        <w:rPr>
          <w:rFonts w:eastAsiaTheme="minorEastAsia"/>
        </w:rPr>
        <w:t>расширился - 1036-3566 дел (</w:t>
      </w:r>
      <w:r w:rsidR="006C5488">
        <w:rPr>
          <w:rFonts w:eastAsiaTheme="minorEastAsia"/>
        </w:rPr>
        <w:t xml:space="preserve">разница </w:t>
      </w:r>
      <w:r w:rsidR="00F53A80">
        <w:rPr>
          <w:rFonts w:eastAsiaTheme="minorEastAsia"/>
        </w:rPr>
        <w:t>3,4 раза). Количество участков</w:t>
      </w:r>
      <w:r w:rsidR="006C5488">
        <w:rPr>
          <w:rFonts w:eastAsiaTheme="minorEastAsia"/>
        </w:rPr>
        <w:t>,</w:t>
      </w:r>
      <w:r w:rsidR="00F53A80">
        <w:rPr>
          <w:rFonts w:eastAsiaTheme="minorEastAsia"/>
        </w:rPr>
        <w:t xml:space="preserve"> нагрузка на которых</w:t>
      </w:r>
      <w:r w:rsidR="006C5488">
        <w:rPr>
          <w:rFonts w:eastAsiaTheme="minorEastAsia"/>
        </w:rPr>
        <w:t xml:space="preserve"> значительно превышает </w:t>
      </w:r>
      <w:proofErr w:type="spellStart"/>
      <w:r w:rsidR="006C5488">
        <w:rPr>
          <w:rFonts w:eastAsiaTheme="minorEastAsia"/>
        </w:rPr>
        <w:t>среднеобластной</w:t>
      </w:r>
      <w:proofErr w:type="spellEnd"/>
      <w:r w:rsidR="006C5488">
        <w:rPr>
          <w:rFonts w:eastAsiaTheme="minorEastAsia"/>
        </w:rPr>
        <w:t xml:space="preserve"> показатель</w:t>
      </w:r>
      <w:r w:rsidR="00C83189">
        <w:rPr>
          <w:rFonts w:eastAsiaTheme="minorEastAsia"/>
        </w:rPr>
        <w:t>,</w:t>
      </w:r>
      <w:r w:rsidR="006C5488">
        <w:rPr>
          <w:rFonts w:eastAsiaTheme="minorEastAsia"/>
        </w:rPr>
        <w:t xml:space="preserve"> выросло с 8 (Центральный и Быковский районы) до 22 (Дзержинский, Советский, Центральный и Быковский районы).</w:t>
      </w:r>
    </w:p>
    <w:p w:rsidR="006C5488" w:rsidRDefault="00233AB1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AB1">
        <w:rPr>
          <w:rFonts w:eastAsiaTheme="minorEastAsia"/>
        </w:rPr>
        <w:t xml:space="preserve">Согласно отчётным данным Комитета среднемесячная нагрузка на мировых судей в 2017 году </w:t>
      </w:r>
      <w:r w:rsidR="006C5488">
        <w:rPr>
          <w:rFonts w:eastAsiaTheme="minorEastAsia"/>
        </w:rPr>
        <w:t>(</w:t>
      </w:r>
      <w:r w:rsidR="006C5488" w:rsidRPr="006C5488">
        <w:rPr>
          <w:rFonts w:eastAsiaTheme="minorEastAsia"/>
        </w:rPr>
        <w:t xml:space="preserve">по методике </w:t>
      </w:r>
      <w:r w:rsidR="006C5488" w:rsidRPr="006C5488">
        <w:rPr>
          <w:color w:val="000000"/>
        </w:rPr>
        <w:t>Судебного департамента при Верховном Суде Российской Федерации</w:t>
      </w:r>
      <w:r w:rsidR="006C5488">
        <w:rPr>
          <w:rFonts w:ascii="Tahoma" w:hAnsi="Tahoma" w:cs="Tahoma"/>
          <w:color w:val="000000"/>
          <w:sz w:val="18"/>
          <w:szCs w:val="18"/>
        </w:rPr>
        <w:t>)</w:t>
      </w:r>
      <w:r w:rsidR="006C5488">
        <w:rPr>
          <w:rFonts w:eastAsiaTheme="minorEastAsia"/>
        </w:rPr>
        <w:t xml:space="preserve"> </w:t>
      </w:r>
      <w:r w:rsidRPr="00233AB1">
        <w:rPr>
          <w:rFonts w:eastAsiaTheme="minorEastAsia"/>
        </w:rPr>
        <w:t xml:space="preserve">имеет ещё большую дифференциацию - от 100,8 дел (судебный участок № 37 в Нехаевском судебном районе) до 713,8 дел (судебный участок № 137 в Дзержинском судебном районе), т.е. отличается в 7,1 раза. </w:t>
      </w:r>
    </w:p>
    <w:p w:rsidR="00233AB1" w:rsidRPr="00233AB1" w:rsidRDefault="00233AB1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AB1">
        <w:rPr>
          <w:rFonts w:eastAsiaTheme="minorEastAsia"/>
        </w:rPr>
        <w:t>Чрезмерно высокая нагрузка на мирового судью может негативно сказываться на качестве судопроизводства.</w:t>
      </w:r>
    </w:p>
    <w:p w:rsidR="00233AB1" w:rsidRPr="00233AB1" w:rsidRDefault="00233AB1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AB1">
        <w:rPr>
          <w:rFonts w:eastAsiaTheme="minorEastAsia"/>
        </w:rPr>
        <w:t>Критерии нагрузки, призванные реализовать норму п. 4 ст. 4 Закона № 297-ОД о создании судебных участков с учётом количества расс</w:t>
      </w:r>
      <w:r w:rsidR="00A04644">
        <w:rPr>
          <w:rFonts w:eastAsiaTheme="minorEastAsia"/>
        </w:rPr>
        <w:t xml:space="preserve">матриваемых дел, не установлены и фактически в Волгоградской области не применяются. Исключением может являться Центральный судебный район, в котором очень высокая нагрузка несколько снижена за счет большего количества участков, </w:t>
      </w:r>
      <w:r w:rsidR="00151734">
        <w:rPr>
          <w:rFonts w:eastAsiaTheme="minorEastAsia"/>
        </w:rPr>
        <w:t xml:space="preserve">чем </w:t>
      </w:r>
      <w:r w:rsidR="00A04644">
        <w:rPr>
          <w:rFonts w:eastAsiaTheme="minorEastAsia"/>
        </w:rPr>
        <w:t>полага</w:t>
      </w:r>
      <w:r w:rsidR="00151734">
        <w:rPr>
          <w:rFonts w:eastAsiaTheme="minorEastAsia"/>
        </w:rPr>
        <w:t>ется</w:t>
      </w:r>
      <w:r w:rsidR="00A04644">
        <w:rPr>
          <w:rFonts w:eastAsiaTheme="minorEastAsia"/>
        </w:rPr>
        <w:t xml:space="preserve"> по критерию количества населения на участок</w:t>
      </w:r>
      <w:r w:rsidR="009D30B1">
        <w:rPr>
          <w:rFonts w:eastAsiaTheme="minorEastAsia"/>
        </w:rPr>
        <w:t xml:space="preserve"> -7 участков против 5 </w:t>
      </w:r>
      <w:r w:rsidR="00BC25B4">
        <w:rPr>
          <w:rFonts w:eastAsiaTheme="minorEastAsia"/>
        </w:rPr>
        <w:t xml:space="preserve">полагающихся </w:t>
      </w:r>
      <w:r w:rsidR="009D30B1">
        <w:rPr>
          <w:rFonts w:eastAsiaTheme="minorEastAsia"/>
        </w:rPr>
        <w:t>при нагрузке в 2017 году 4</w:t>
      </w:r>
      <w:r w:rsidR="00BC25B4">
        <w:rPr>
          <w:rFonts w:eastAsiaTheme="minorEastAsia"/>
        </w:rPr>
        <w:t> </w:t>
      </w:r>
      <w:r w:rsidR="009D30B1">
        <w:rPr>
          <w:rFonts w:eastAsiaTheme="minorEastAsia"/>
        </w:rPr>
        <w:t>367 дел на участок при средней нагрузке по области 2 939 дел</w:t>
      </w:r>
      <w:r w:rsidR="00A04644">
        <w:rPr>
          <w:rFonts w:eastAsiaTheme="minorEastAsia"/>
        </w:rPr>
        <w:t>.</w:t>
      </w:r>
    </w:p>
    <w:p w:rsidR="00E92908" w:rsidRDefault="00233AB1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AB1">
        <w:rPr>
          <w:rFonts w:eastAsiaTheme="minorEastAsia"/>
        </w:rPr>
        <w:t xml:space="preserve">Волгоградской областью в 2005-2013 годах предпринимались попытки уменьшения нагрузки на мировых судей путем увеличения их количества. Волгоградская областная Дума </w:t>
      </w:r>
      <w:r w:rsidRPr="00233AB1">
        <w:rPr>
          <w:rFonts w:eastAsiaTheme="minorEastAsia"/>
        </w:rPr>
        <w:lastRenderedPageBreak/>
        <w:t xml:space="preserve">вносила в Государственную Думу </w:t>
      </w:r>
      <w:r w:rsidR="00A51F39">
        <w:rPr>
          <w:rFonts w:eastAsiaTheme="minorEastAsia"/>
        </w:rPr>
        <w:t xml:space="preserve">ФС </w:t>
      </w:r>
      <w:r w:rsidRPr="00233AB1">
        <w:rPr>
          <w:rFonts w:eastAsiaTheme="minorEastAsia"/>
        </w:rPr>
        <w:t>РФ законопроекты «О внесении изменения в статью 1 Федерального закона «Об общем числе мировых судей и количестве судебных участков в субъектах Российской Федерации»</w:t>
      </w:r>
      <w:r w:rsidR="00E92908">
        <w:rPr>
          <w:rFonts w:eastAsiaTheme="minorEastAsia"/>
        </w:rPr>
        <w:t xml:space="preserve">. Законопроектом </w:t>
      </w:r>
      <w:r w:rsidRPr="00233AB1">
        <w:rPr>
          <w:rFonts w:eastAsiaTheme="minorEastAsia"/>
        </w:rPr>
        <w:t>от 14.04.2005 № 161548-4</w:t>
      </w:r>
      <w:r w:rsidR="00E92908">
        <w:rPr>
          <w:rFonts w:eastAsiaTheme="minorEastAsia"/>
        </w:rPr>
        <w:t xml:space="preserve"> п</w:t>
      </w:r>
      <w:r w:rsidRPr="00233AB1">
        <w:rPr>
          <w:rFonts w:eastAsiaTheme="minorEastAsia"/>
        </w:rPr>
        <w:t>редлагалось увеличение количеств</w:t>
      </w:r>
      <w:r w:rsidR="00A008B6">
        <w:rPr>
          <w:rFonts w:eastAsiaTheme="minorEastAsia"/>
        </w:rPr>
        <w:t>а</w:t>
      </w:r>
      <w:r w:rsidRPr="00233AB1">
        <w:rPr>
          <w:rFonts w:eastAsiaTheme="minorEastAsia"/>
        </w:rPr>
        <w:t xml:space="preserve"> мировых судей со 120 до 176. </w:t>
      </w:r>
      <w:r w:rsidR="00A51F39">
        <w:rPr>
          <w:rFonts w:eastAsiaTheme="minorEastAsia"/>
        </w:rPr>
        <w:t>Принят закон</w:t>
      </w:r>
      <w:r w:rsidR="00BC25B4">
        <w:rPr>
          <w:rFonts w:eastAsiaTheme="minorEastAsia"/>
        </w:rPr>
        <w:t>, утверждающий</w:t>
      </w:r>
      <w:r w:rsidR="00A51F39">
        <w:rPr>
          <w:rFonts w:eastAsiaTheme="minorEastAsia"/>
        </w:rPr>
        <w:t xml:space="preserve"> </w:t>
      </w:r>
      <w:r w:rsidR="00BC25B4">
        <w:rPr>
          <w:rFonts w:eastAsiaTheme="minorEastAsia"/>
        </w:rPr>
        <w:t>145 судей</w:t>
      </w:r>
      <w:r w:rsidR="00E92908">
        <w:rPr>
          <w:rFonts w:eastAsiaTheme="minorEastAsia"/>
        </w:rPr>
        <w:t xml:space="preserve">. Законопроектом </w:t>
      </w:r>
      <w:r w:rsidRPr="00233AB1">
        <w:rPr>
          <w:rFonts w:eastAsiaTheme="minorEastAsia"/>
        </w:rPr>
        <w:t>от 06.10.2012 № 146723-6</w:t>
      </w:r>
      <w:r w:rsidR="00E92908">
        <w:rPr>
          <w:rFonts w:eastAsiaTheme="minorEastAsia"/>
        </w:rPr>
        <w:t xml:space="preserve"> п</w:t>
      </w:r>
      <w:r w:rsidRPr="00233AB1">
        <w:rPr>
          <w:rFonts w:eastAsiaTheme="minorEastAsia"/>
        </w:rPr>
        <w:t>редлагалось увеличение количеств</w:t>
      </w:r>
      <w:r w:rsidR="00A008B6">
        <w:rPr>
          <w:rFonts w:eastAsiaTheme="minorEastAsia"/>
        </w:rPr>
        <w:t>а</w:t>
      </w:r>
      <w:r w:rsidRPr="00233AB1">
        <w:rPr>
          <w:rFonts w:eastAsiaTheme="minorEastAsia"/>
        </w:rPr>
        <w:t xml:space="preserve"> мировых судей со 145 до 160. Законопроект </w:t>
      </w:r>
      <w:r w:rsidR="00A51F39">
        <w:rPr>
          <w:rFonts w:eastAsiaTheme="minorEastAsia"/>
        </w:rPr>
        <w:t>отклонён</w:t>
      </w:r>
      <w:r w:rsidR="00E92908">
        <w:rPr>
          <w:rFonts w:eastAsiaTheme="minorEastAsia"/>
        </w:rPr>
        <w:t>.</w:t>
      </w:r>
      <w:r w:rsidR="00E92908" w:rsidRPr="00E92908">
        <w:rPr>
          <w:rFonts w:eastAsiaTheme="minorEastAsia"/>
        </w:rPr>
        <w:t xml:space="preserve"> </w:t>
      </w:r>
      <w:r w:rsidR="00E92908" w:rsidRPr="00233AB1">
        <w:rPr>
          <w:rFonts w:eastAsiaTheme="minorEastAsia"/>
        </w:rPr>
        <w:t>Законопроектом от 26.12.2013 № 418081-6 предлагалось увеличение количеств</w:t>
      </w:r>
      <w:r w:rsidR="00A008B6">
        <w:rPr>
          <w:rFonts w:eastAsiaTheme="minorEastAsia"/>
        </w:rPr>
        <w:t>а</w:t>
      </w:r>
      <w:r w:rsidR="00E92908" w:rsidRPr="00233AB1">
        <w:rPr>
          <w:rFonts w:eastAsiaTheme="minorEastAsia"/>
        </w:rPr>
        <w:t xml:space="preserve"> мировых судей со 145 до 150</w:t>
      </w:r>
      <w:r w:rsidR="00E92908">
        <w:rPr>
          <w:rFonts w:eastAsiaTheme="minorEastAsia"/>
        </w:rPr>
        <w:t>.</w:t>
      </w:r>
      <w:r w:rsidR="00E92908" w:rsidRPr="00E92908">
        <w:rPr>
          <w:rFonts w:eastAsiaTheme="minorEastAsia"/>
        </w:rPr>
        <w:t xml:space="preserve"> </w:t>
      </w:r>
      <w:r w:rsidR="00E92908" w:rsidRPr="00233AB1">
        <w:rPr>
          <w:rFonts w:eastAsiaTheme="minorEastAsia"/>
        </w:rPr>
        <w:t xml:space="preserve">Законопроект </w:t>
      </w:r>
      <w:r w:rsidR="00E92908">
        <w:rPr>
          <w:rFonts w:eastAsiaTheme="minorEastAsia"/>
        </w:rPr>
        <w:t>отклонён.</w:t>
      </w:r>
    </w:p>
    <w:p w:rsidR="003B3F9E" w:rsidRDefault="00976F52" w:rsidP="00976F52">
      <w:pPr>
        <w:autoSpaceDE w:val="0"/>
        <w:autoSpaceDN w:val="0"/>
        <w:adjustRightInd w:val="0"/>
        <w:ind w:firstLine="709"/>
        <w:jc w:val="both"/>
      </w:pPr>
      <w:r>
        <w:rPr>
          <w:rFonts w:eastAsiaTheme="minorEastAsia"/>
        </w:rPr>
        <w:t>О</w:t>
      </w:r>
      <w:r w:rsidR="00E92908">
        <w:rPr>
          <w:rFonts w:eastAsiaTheme="minorEastAsia"/>
        </w:rPr>
        <w:t>тветственны</w:t>
      </w:r>
      <w:r>
        <w:rPr>
          <w:rFonts w:eastAsiaTheme="minorEastAsia"/>
        </w:rPr>
        <w:t>й</w:t>
      </w:r>
      <w:r w:rsidR="00E92908">
        <w:rPr>
          <w:rFonts w:eastAsiaTheme="minorEastAsia"/>
        </w:rPr>
        <w:t xml:space="preserve"> комитет </w:t>
      </w:r>
      <w:r w:rsidR="00E92908" w:rsidRPr="00233AB1">
        <w:rPr>
          <w:rFonts w:eastAsiaTheme="minorEastAsia"/>
        </w:rPr>
        <w:t>Государственн</w:t>
      </w:r>
      <w:r w:rsidR="00E92908">
        <w:rPr>
          <w:rFonts w:eastAsiaTheme="minorEastAsia"/>
        </w:rPr>
        <w:t>ой</w:t>
      </w:r>
      <w:r w:rsidR="00E92908" w:rsidRPr="00233AB1">
        <w:rPr>
          <w:rFonts w:eastAsiaTheme="minorEastAsia"/>
        </w:rPr>
        <w:t xml:space="preserve"> Дум</w:t>
      </w:r>
      <w:r w:rsidR="00E92908">
        <w:rPr>
          <w:rFonts w:eastAsiaTheme="minorEastAsia"/>
        </w:rPr>
        <w:t>ы</w:t>
      </w:r>
      <w:r w:rsidR="00E92908" w:rsidRPr="00233AB1">
        <w:rPr>
          <w:rFonts w:eastAsiaTheme="minorEastAsia"/>
        </w:rPr>
        <w:t xml:space="preserve"> </w:t>
      </w:r>
      <w:r w:rsidR="00E92908">
        <w:rPr>
          <w:rFonts w:eastAsiaTheme="minorEastAsia"/>
        </w:rPr>
        <w:t xml:space="preserve">ФС </w:t>
      </w:r>
      <w:r w:rsidR="00E92908" w:rsidRPr="00233AB1">
        <w:rPr>
          <w:rFonts w:eastAsiaTheme="minorEastAsia"/>
        </w:rPr>
        <w:t>РФ</w:t>
      </w:r>
      <w:r w:rsidR="00E92908">
        <w:rPr>
          <w:rFonts w:eastAsiaTheme="minorEastAsia"/>
        </w:rPr>
        <w:t xml:space="preserve"> в с</w:t>
      </w:r>
      <w:r>
        <w:rPr>
          <w:rFonts w:eastAsiaTheme="minorEastAsia"/>
        </w:rPr>
        <w:t>в</w:t>
      </w:r>
      <w:r w:rsidR="00E92908">
        <w:rPr>
          <w:rFonts w:eastAsiaTheme="minorEastAsia"/>
        </w:rPr>
        <w:t xml:space="preserve">оём заключении </w:t>
      </w:r>
      <w:r w:rsidR="00C83189">
        <w:rPr>
          <w:rFonts w:eastAsiaTheme="minorEastAsia"/>
        </w:rPr>
        <w:t xml:space="preserve">на законопроекты </w:t>
      </w:r>
      <w:r w:rsidR="00E92908">
        <w:rPr>
          <w:rFonts w:eastAsiaTheme="minorEastAsia"/>
        </w:rPr>
        <w:t xml:space="preserve">рекомендовал отклонить </w:t>
      </w:r>
      <w:r>
        <w:rPr>
          <w:rFonts w:eastAsiaTheme="minorEastAsia"/>
        </w:rPr>
        <w:t xml:space="preserve">два последних </w:t>
      </w:r>
      <w:r w:rsidR="00E92908">
        <w:rPr>
          <w:rFonts w:eastAsiaTheme="minorEastAsia"/>
        </w:rPr>
        <w:t>законопроект</w:t>
      </w:r>
      <w:r>
        <w:rPr>
          <w:rFonts w:eastAsiaTheme="minorEastAsia"/>
        </w:rPr>
        <w:t>а, так</w:t>
      </w:r>
      <w:r>
        <w:t xml:space="preserve"> как </w:t>
      </w:r>
      <w:r w:rsidR="003B3F9E">
        <w:t>число мировых судей и количество судебных участков в Волгоградской области является достаточным и соответствует нормам Федерального закона.</w:t>
      </w:r>
      <w:r w:rsidRPr="00976F52">
        <w:t xml:space="preserve"> </w:t>
      </w:r>
      <w:r>
        <w:t>«Недостаточное количество судебных участков в одном административно-территориальном образовании (Быковский район) может быть вполне компенсировано наличием избыточной численности мировых судей в 5 из них (</w:t>
      </w:r>
      <w:proofErr w:type="spellStart"/>
      <w:r>
        <w:t>Котельниковский</w:t>
      </w:r>
      <w:proofErr w:type="spellEnd"/>
      <w:r>
        <w:t xml:space="preserve"> район, Михайловский район, </w:t>
      </w:r>
      <w:proofErr w:type="spellStart"/>
      <w:r>
        <w:t>Палласовский</w:t>
      </w:r>
      <w:proofErr w:type="spellEnd"/>
      <w:r>
        <w:t xml:space="preserve"> район, </w:t>
      </w:r>
      <w:proofErr w:type="spellStart"/>
      <w:r>
        <w:t>Среднеахтубинский</w:t>
      </w:r>
      <w:proofErr w:type="spellEnd"/>
      <w:r>
        <w:t xml:space="preserve"> район и город Волгоград). При этом следует отметить, что необходимость увеличения числа мировых судей на 5 единиц, исходя из представленных статистических данных, вполне может быть, к примеру, осуществлена за счет перераспределения сверхнормативного числа мировых судей в вышеуказанных районах».</w:t>
      </w:r>
    </w:p>
    <w:p w:rsidR="00286573" w:rsidRDefault="00233AB1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AB1">
        <w:rPr>
          <w:rFonts w:eastAsiaTheme="minorEastAsia"/>
        </w:rPr>
        <w:t xml:space="preserve">Таким образом, </w:t>
      </w:r>
      <w:r w:rsidR="00286573">
        <w:rPr>
          <w:rFonts w:eastAsiaTheme="minorEastAsia"/>
        </w:rPr>
        <w:t>сокращение нагрузки на участках с наибольшим её уровнем возможно только путём перераспределения количества мировых судей между судебными районами.</w:t>
      </w:r>
    </w:p>
    <w:p w:rsidR="00C83189" w:rsidRDefault="00151734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С учётом необходимости соблюдения критерия численности населения возможе</w:t>
      </w:r>
      <w:r w:rsidR="00A66A4C">
        <w:rPr>
          <w:rFonts w:eastAsiaTheme="minorEastAsia"/>
        </w:rPr>
        <w:t>н</w:t>
      </w:r>
      <w:r>
        <w:rPr>
          <w:rFonts w:eastAsiaTheme="minorEastAsia"/>
        </w:rPr>
        <w:t xml:space="preserve"> следующий вариант перераспределения численности мировых судей:</w:t>
      </w:r>
    </w:p>
    <w:p w:rsidR="00151734" w:rsidRDefault="00151734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-уменьшение на 1 единицу </w:t>
      </w:r>
      <w:r w:rsidRPr="00233AB1">
        <w:rPr>
          <w:rFonts w:eastAsiaTheme="minorEastAsia"/>
        </w:rPr>
        <w:t xml:space="preserve">в </w:t>
      </w:r>
      <w:proofErr w:type="spellStart"/>
      <w:r w:rsidRPr="00233AB1">
        <w:rPr>
          <w:rFonts w:eastAsiaTheme="minorEastAsia"/>
        </w:rPr>
        <w:t>Камышинском</w:t>
      </w:r>
      <w:proofErr w:type="spellEnd"/>
      <w:r w:rsidRPr="00233AB1">
        <w:rPr>
          <w:rFonts w:eastAsiaTheme="minorEastAsia"/>
        </w:rPr>
        <w:t xml:space="preserve">, </w:t>
      </w:r>
      <w:proofErr w:type="spellStart"/>
      <w:r w:rsidRPr="00233AB1">
        <w:rPr>
          <w:rFonts w:eastAsiaTheme="minorEastAsia"/>
        </w:rPr>
        <w:t>Котельниковском</w:t>
      </w:r>
      <w:proofErr w:type="spellEnd"/>
      <w:r w:rsidRPr="00233AB1">
        <w:rPr>
          <w:rFonts w:eastAsiaTheme="minorEastAsia"/>
        </w:rPr>
        <w:t xml:space="preserve">, </w:t>
      </w:r>
      <w:proofErr w:type="spellStart"/>
      <w:r w:rsidRPr="00233AB1">
        <w:rPr>
          <w:rFonts w:eastAsiaTheme="minorEastAsia"/>
        </w:rPr>
        <w:t>Палласовском</w:t>
      </w:r>
      <w:proofErr w:type="spellEnd"/>
      <w:r w:rsidRPr="00233AB1">
        <w:rPr>
          <w:rFonts w:eastAsiaTheme="minorEastAsia"/>
        </w:rPr>
        <w:t xml:space="preserve">, </w:t>
      </w:r>
      <w:proofErr w:type="spellStart"/>
      <w:r w:rsidRPr="00233AB1">
        <w:rPr>
          <w:rFonts w:eastAsiaTheme="minorEastAsia"/>
        </w:rPr>
        <w:t>Серафимовичском</w:t>
      </w:r>
      <w:proofErr w:type="spellEnd"/>
      <w:r w:rsidRPr="00233AB1">
        <w:rPr>
          <w:rFonts w:eastAsiaTheme="minorEastAsia"/>
        </w:rPr>
        <w:t xml:space="preserve">, </w:t>
      </w:r>
      <w:proofErr w:type="spellStart"/>
      <w:r w:rsidRPr="00233AB1">
        <w:rPr>
          <w:rFonts w:eastAsiaTheme="minorEastAsia"/>
        </w:rPr>
        <w:t>Среднеахтубинском</w:t>
      </w:r>
      <w:proofErr w:type="spellEnd"/>
      <w:r w:rsidRPr="00233AB1">
        <w:rPr>
          <w:rFonts w:eastAsiaTheme="minorEastAsia"/>
        </w:rPr>
        <w:t xml:space="preserve">, Урюпинском, Кировском, Красноармейском и </w:t>
      </w:r>
      <w:proofErr w:type="spellStart"/>
      <w:r w:rsidRPr="00233AB1">
        <w:rPr>
          <w:rFonts w:eastAsiaTheme="minorEastAsia"/>
        </w:rPr>
        <w:t>Тракторозаводском</w:t>
      </w:r>
      <w:proofErr w:type="spellEnd"/>
      <w:r w:rsidRPr="00233AB1">
        <w:rPr>
          <w:rFonts w:eastAsiaTheme="minorEastAsia"/>
        </w:rPr>
        <w:t xml:space="preserve"> районах</w:t>
      </w:r>
      <w:r>
        <w:rPr>
          <w:rFonts w:eastAsiaTheme="minorEastAsia"/>
        </w:rPr>
        <w:t>;</w:t>
      </w:r>
    </w:p>
    <w:p w:rsidR="00151734" w:rsidRDefault="00151734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-увеличение на 2 единицы</w:t>
      </w:r>
      <w:r w:rsidR="00CE6E6B">
        <w:rPr>
          <w:rFonts w:eastAsiaTheme="minorEastAsia"/>
        </w:rPr>
        <w:t xml:space="preserve"> </w:t>
      </w:r>
      <w:r w:rsidR="00CE6E6B" w:rsidRPr="00233AB1">
        <w:rPr>
          <w:rFonts w:eastAsiaTheme="minorEastAsia"/>
        </w:rPr>
        <w:t xml:space="preserve">в Советском </w:t>
      </w:r>
      <w:r w:rsidR="00CE6E6B">
        <w:rPr>
          <w:rFonts w:eastAsiaTheme="minorEastAsia"/>
        </w:rPr>
        <w:t>и</w:t>
      </w:r>
      <w:r w:rsidR="00CE6E6B" w:rsidRPr="00233AB1">
        <w:rPr>
          <w:rFonts w:eastAsiaTheme="minorEastAsia"/>
        </w:rPr>
        <w:t xml:space="preserve"> Центральном район</w:t>
      </w:r>
      <w:r w:rsidR="00CE6E6B">
        <w:rPr>
          <w:rFonts w:eastAsiaTheme="minorEastAsia"/>
        </w:rPr>
        <w:t xml:space="preserve">ах и на 5 единиц </w:t>
      </w:r>
      <w:r w:rsidR="00CE6E6B" w:rsidRPr="00233AB1">
        <w:rPr>
          <w:rFonts w:eastAsiaTheme="minorEastAsia"/>
        </w:rPr>
        <w:t>в Дзержинском районе</w:t>
      </w:r>
      <w:r w:rsidR="00CE6E6B">
        <w:rPr>
          <w:rFonts w:eastAsiaTheme="minorEastAsia"/>
        </w:rPr>
        <w:t>.</w:t>
      </w:r>
    </w:p>
    <w:p w:rsidR="00CE6E6B" w:rsidRDefault="00CE6E6B" w:rsidP="00F205D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Наглядная информация о нагрузке при указанном пере</w:t>
      </w:r>
      <w:r w:rsidR="00BD5CB4">
        <w:rPr>
          <w:rFonts w:eastAsiaTheme="minorEastAsia"/>
        </w:rPr>
        <w:t>р</w:t>
      </w:r>
      <w:r>
        <w:rPr>
          <w:rFonts w:eastAsiaTheme="minorEastAsia"/>
        </w:rPr>
        <w:t>аспределении представлена диаграммами и таблицей.</w:t>
      </w:r>
    </w:p>
    <w:p w:rsidR="00233AB1" w:rsidRPr="00233AB1" w:rsidRDefault="00233AB1" w:rsidP="00FA59BE">
      <w:pPr>
        <w:autoSpaceDE w:val="0"/>
        <w:autoSpaceDN w:val="0"/>
        <w:adjustRightInd w:val="0"/>
        <w:ind w:hanging="851"/>
        <w:jc w:val="both"/>
        <w:rPr>
          <w:rFonts w:eastAsiaTheme="minorEastAsia"/>
        </w:rPr>
      </w:pPr>
      <w:r w:rsidRPr="00233AB1">
        <w:rPr>
          <w:rFonts w:eastAsiaTheme="minorEastAsia"/>
          <w:noProof/>
          <w:bdr w:val="double" w:sz="4" w:space="0" w:color="auto"/>
        </w:rPr>
        <w:drawing>
          <wp:inline distT="0" distB="0" distL="0" distR="0">
            <wp:extent cx="6705600" cy="3829050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6E6B" w:rsidRDefault="00CE6E6B" w:rsidP="00CE6E6B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В случае существования предлагаемого варианта распределения численности мировых судей в течение 2012-2017 годов чрезмерных всплесков нагрузки не наблюдается, но существенно сужается диапазон колебания показателей нагрузки.</w:t>
      </w:r>
    </w:p>
    <w:p w:rsidR="007B2999" w:rsidRDefault="007B2999" w:rsidP="00CE6E6B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tbl>
      <w:tblPr>
        <w:tblW w:w="10122" w:type="dxa"/>
        <w:tblInd w:w="-318" w:type="dxa"/>
        <w:tblLook w:val="04A0"/>
      </w:tblPr>
      <w:tblGrid>
        <w:gridCol w:w="3828"/>
        <w:gridCol w:w="1616"/>
        <w:gridCol w:w="2126"/>
        <w:gridCol w:w="2552"/>
      </w:tblGrid>
      <w:tr w:rsidR="00CC1353" w:rsidRPr="00233AB1" w:rsidTr="00CC1353">
        <w:trPr>
          <w:trHeight w:val="20"/>
          <w:tblHeader/>
        </w:trPr>
        <w:tc>
          <w:tcPr>
            <w:tcW w:w="1012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C1353" w:rsidRPr="00233AB1" w:rsidRDefault="00CC1353" w:rsidP="00CC13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Оценка изменения нагрузки на 1 участок при перераспределении участков на основе данных 2017 года</w:t>
            </w:r>
          </w:p>
        </w:tc>
      </w:tr>
      <w:tr w:rsidR="00CC1353" w:rsidRPr="00233AB1" w:rsidTr="00CC1353">
        <w:trPr>
          <w:trHeight w:val="20"/>
          <w:tblHeader/>
        </w:trPr>
        <w:tc>
          <w:tcPr>
            <w:tcW w:w="38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53" w:rsidRPr="00233AB1" w:rsidRDefault="00CC1353" w:rsidP="00BD5C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AB1">
              <w:rPr>
                <w:b/>
                <w:bCs/>
                <w:color w:val="000000"/>
                <w:sz w:val="20"/>
                <w:szCs w:val="20"/>
              </w:rPr>
              <w:t>Судебные районы</w:t>
            </w:r>
          </w:p>
        </w:tc>
        <w:tc>
          <w:tcPr>
            <w:tcW w:w="16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53" w:rsidRPr="00233AB1" w:rsidRDefault="00CC1353" w:rsidP="00BD5C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AB1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r>
              <w:rPr>
                <w:b/>
                <w:bCs/>
                <w:color w:val="000000"/>
                <w:sz w:val="20"/>
                <w:szCs w:val="20"/>
              </w:rPr>
              <w:t>СУ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1353" w:rsidRPr="00233AB1" w:rsidRDefault="00CC1353" w:rsidP="00BD5C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AB1">
              <w:rPr>
                <w:b/>
                <w:bCs/>
                <w:color w:val="000000"/>
                <w:sz w:val="20"/>
                <w:szCs w:val="20"/>
              </w:rPr>
              <w:t>На 1 участок</w:t>
            </w:r>
          </w:p>
        </w:tc>
      </w:tr>
      <w:tr w:rsidR="00CC1353" w:rsidRPr="00233AB1" w:rsidTr="00CC1353">
        <w:trPr>
          <w:trHeight w:val="20"/>
          <w:tblHeader/>
        </w:trPr>
        <w:tc>
          <w:tcPr>
            <w:tcW w:w="38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1353" w:rsidRPr="00233AB1" w:rsidRDefault="00CC1353" w:rsidP="00BD5C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1353" w:rsidRPr="00233AB1" w:rsidRDefault="00CC1353" w:rsidP="00BD5C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53" w:rsidRPr="00233AB1" w:rsidRDefault="00CC1353" w:rsidP="00BD5CB4">
            <w:pPr>
              <w:jc w:val="center"/>
              <w:rPr>
                <w:color w:val="000000"/>
                <w:sz w:val="20"/>
                <w:szCs w:val="20"/>
              </w:rPr>
            </w:pPr>
            <w:r w:rsidRPr="00233AB1">
              <w:rPr>
                <w:color w:val="000000"/>
                <w:sz w:val="20"/>
                <w:szCs w:val="20"/>
              </w:rPr>
              <w:t>Население, тыс. чел.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C1353" w:rsidRPr="00233AB1" w:rsidRDefault="00CC1353" w:rsidP="00BD5C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Окончено</w:t>
            </w:r>
            <w:r w:rsidRPr="00233AB1">
              <w:rPr>
                <w:color w:val="000000"/>
                <w:sz w:val="20"/>
                <w:szCs w:val="20"/>
              </w:rPr>
              <w:t xml:space="preserve"> дел, </w:t>
            </w:r>
            <w:proofErr w:type="spellStart"/>
            <w:r w:rsidRPr="00233AB1"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</w:tr>
      <w:tr w:rsidR="00CC1353" w:rsidRPr="00233AB1" w:rsidTr="00CC1353">
        <w:trPr>
          <w:trHeight w:val="20"/>
        </w:trPr>
        <w:tc>
          <w:tcPr>
            <w:tcW w:w="38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CC1353" w:rsidRPr="00233AB1" w:rsidRDefault="00CC1353" w:rsidP="00BD5C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3AB1">
              <w:rPr>
                <w:color w:val="000000"/>
                <w:sz w:val="20"/>
                <w:szCs w:val="20"/>
              </w:rPr>
              <w:t>Камышинский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C1353" w:rsidRPr="00C83189" w:rsidRDefault="00CC1353" w:rsidP="00BD5CB4">
            <w:pPr>
              <w:jc w:val="center"/>
              <w:rPr>
                <w:bCs/>
                <w:sz w:val="20"/>
                <w:szCs w:val="20"/>
              </w:rPr>
            </w:pPr>
            <w:r w:rsidRPr="00C83189">
              <w:rPr>
                <w:bCs/>
                <w:sz w:val="20"/>
                <w:szCs w:val="20"/>
              </w:rPr>
              <w:t>7 (-1)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21,7</w:t>
            </w:r>
            <w:r>
              <w:rPr>
                <w:bCs/>
                <w:color w:val="000000"/>
                <w:sz w:val="20"/>
                <w:szCs w:val="20"/>
              </w:rPr>
              <w:t xml:space="preserve"> (+2,7)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C83189">
              <w:rPr>
                <w:bCs/>
                <w:color w:val="000000"/>
                <w:sz w:val="20"/>
                <w:szCs w:val="20"/>
              </w:rPr>
              <w:t>793</w:t>
            </w:r>
            <w:r>
              <w:rPr>
                <w:bCs/>
                <w:color w:val="000000"/>
                <w:sz w:val="20"/>
                <w:szCs w:val="20"/>
              </w:rPr>
              <w:t xml:space="preserve"> (+349)</w:t>
            </w:r>
          </w:p>
        </w:tc>
      </w:tr>
      <w:tr w:rsidR="00CC1353" w:rsidRPr="00233AB1" w:rsidTr="00CC1353">
        <w:trPr>
          <w:trHeight w:val="20"/>
        </w:trPr>
        <w:tc>
          <w:tcPr>
            <w:tcW w:w="38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CC1353" w:rsidRPr="00233AB1" w:rsidRDefault="00CC1353" w:rsidP="00BD5C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3AB1">
              <w:rPr>
                <w:color w:val="000000"/>
                <w:sz w:val="20"/>
                <w:szCs w:val="20"/>
              </w:rPr>
              <w:t>Котельниковский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C1353" w:rsidRPr="00C83189" w:rsidRDefault="00CC1353" w:rsidP="00BD5CB4">
            <w:pPr>
              <w:jc w:val="center"/>
              <w:rPr>
                <w:bCs/>
                <w:sz w:val="20"/>
                <w:szCs w:val="20"/>
              </w:rPr>
            </w:pPr>
            <w:r w:rsidRPr="00C83189">
              <w:rPr>
                <w:bCs/>
                <w:sz w:val="20"/>
                <w:szCs w:val="20"/>
              </w:rPr>
              <w:t>2 (-1)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18,3</w:t>
            </w:r>
            <w:r>
              <w:rPr>
                <w:bCs/>
                <w:color w:val="000000"/>
                <w:sz w:val="20"/>
                <w:szCs w:val="20"/>
              </w:rPr>
              <w:t xml:space="preserve"> (+6,1)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C83189">
              <w:rPr>
                <w:bCs/>
                <w:color w:val="000000"/>
                <w:sz w:val="20"/>
                <w:szCs w:val="20"/>
              </w:rPr>
              <w:t>939</w:t>
            </w:r>
            <w:r>
              <w:rPr>
                <w:bCs/>
                <w:color w:val="000000"/>
                <w:sz w:val="20"/>
                <w:szCs w:val="20"/>
              </w:rPr>
              <w:t xml:space="preserve"> (+647)</w:t>
            </w:r>
          </w:p>
        </w:tc>
      </w:tr>
      <w:tr w:rsidR="00CC1353" w:rsidRPr="00233AB1" w:rsidTr="00CC1353">
        <w:trPr>
          <w:trHeight w:val="20"/>
        </w:trPr>
        <w:tc>
          <w:tcPr>
            <w:tcW w:w="38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C1353" w:rsidRPr="00233AB1" w:rsidRDefault="00CC1353" w:rsidP="00CC13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3AB1">
              <w:rPr>
                <w:color w:val="000000"/>
                <w:sz w:val="20"/>
                <w:szCs w:val="20"/>
              </w:rPr>
              <w:t>Палласовский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1353" w:rsidRPr="00C83189" w:rsidRDefault="00CC1353" w:rsidP="00CC1353">
            <w:pPr>
              <w:jc w:val="center"/>
              <w:rPr>
                <w:bCs/>
                <w:sz w:val="20"/>
                <w:szCs w:val="20"/>
              </w:rPr>
            </w:pPr>
            <w:r w:rsidRPr="00C83189">
              <w:rPr>
                <w:bCs/>
                <w:sz w:val="20"/>
                <w:szCs w:val="20"/>
              </w:rPr>
              <w:t>2 (-1)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20,2</w:t>
            </w:r>
            <w:r>
              <w:rPr>
                <w:bCs/>
                <w:color w:val="000000"/>
                <w:sz w:val="20"/>
                <w:szCs w:val="20"/>
              </w:rPr>
              <w:t xml:space="preserve"> (+6,7)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C83189">
              <w:rPr>
                <w:bCs/>
                <w:color w:val="000000"/>
                <w:sz w:val="20"/>
                <w:szCs w:val="20"/>
              </w:rPr>
              <w:t>599</w:t>
            </w:r>
            <w:r>
              <w:rPr>
                <w:bCs/>
                <w:color w:val="000000"/>
                <w:sz w:val="20"/>
                <w:szCs w:val="20"/>
              </w:rPr>
              <w:t xml:space="preserve"> (+866)</w:t>
            </w:r>
          </w:p>
        </w:tc>
      </w:tr>
      <w:tr w:rsidR="00CC1353" w:rsidRPr="00233AB1" w:rsidTr="00CC1353">
        <w:trPr>
          <w:trHeight w:val="20"/>
        </w:trPr>
        <w:tc>
          <w:tcPr>
            <w:tcW w:w="38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C1353" w:rsidRPr="00233AB1" w:rsidRDefault="00CC1353" w:rsidP="00CC13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3AB1">
              <w:rPr>
                <w:color w:val="000000"/>
                <w:sz w:val="20"/>
                <w:szCs w:val="20"/>
              </w:rPr>
              <w:t>Серафимовичский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1353" w:rsidRPr="00C83189" w:rsidRDefault="00CC1353" w:rsidP="00CC1353">
            <w:pPr>
              <w:jc w:val="center"/>
              <w:rPr>
                <w:bCs/>
                <w:sz w:val="20"/>
                <w:szCs w:val="20"/>
              </w:rPr>
            </w:pPr>
            <w:r w:rsidRPr="00C83189">
              <w:rPr>
                <w:bCs/>
                <w:sz w:val="20"/>
                <w:szCs w:val="20"/>
              </w:rPr>
              <w:t>1 (-1)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23,6</w:t>
            </w:r>
            <w:r>
              <w:rPr>
                <w:bCs/>
                <w:color w:val="000000"/>
                <w:sz w:val="20"/>
                <w:szCs w:val="20"/>
              </w:rPr>
              <w:t xml:space="preserve"> (+11,8)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C83189">
              <w:rPr>
                <w:bCs/>
                <w:color w:val="000000"/>
                <w:sz w:val="20"/>
                <w:szCs w:val="20"/>
              </w:rPr>
              <w:t>838</w:t>
            </w:r>
            <w:r>
              <w:rPr>
                <w:bCs/>
                <w:color w:val="000000"/>
                <w:sz w:val="20"/>
                <w:szCs w:val="20"/>
              </w:rPr>
              <w:t xml:space="preserve"> (+1419)</w:t>
            </w:r>
          </w:p>
        </w:tc>
      </w:tr>
      <w:tr w:rsidR="00CC1353" w:rsidRPr="00233AB1" w:rsidTr="00CC1353">
        <w:trPr>
          <w:trHeight w:val="20"/>
        </w:trPr>
        <w:tc>
          <w:tcPr>
            <w:tcW w:w="38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C1353" w:rsidRPr="00233AB1" w:rsidRDefault="00CC1353" w:rsidP="00CC13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3AB1">
              <w:rPr>
                <w:color w:val="000000"/>
                <w:sz w:val="20"/>
                <w:szCs w:val="20"/>
              </w:rPr>
              <w:t>Среднеахтубинский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1353" w:rsidRPr="00C83189" w:rsidRDefault="00CC1353" w:rsidP="00CC1353">
            <w:pPr>
              <w:jc w:val="center"/>
              <w:rPr>
                <w:bCs/>
                <w:sz w:val="20"/>
                <w:szCs w:val="20"/>
              </w:rPr>
            </w:pPr>
            <w:r w:rsidRPr="00C83189">
              <w:rPr>
                <w:bCs/>
                <w:sz w:val="20"/>
                <w:szCs w:val="20"/>
              </w:rPr>
              <w:t>3 (-1)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20,3</w:t>
            </w:r>
            <w:r>
              <w:rPr>
                <w:bCs/>
                <w:color w:val="000000"/>
                <w:sz w:val="20"/>
                <w:szCs w:val="20"/>
              </w:rPr>
              <w:t xml:space="preserve"> (+5,1)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C83189">
              <w:rPr>
                <w:bCs/>
                <w:color w:val="000000"/>
                <w:sz w:val="20"/>
                <w:szCs w:val="20"/>
              </w:rPr>
              <w:t>703</w:t>
            </w:r>
            <w:r>
              <w:rPr>
                <w:bCs/>
                <w:color w:val="000000"/>
                <w:sz w:val="20"/>
                <w:szCs w:val="20"/>
              </w:rPr>
              <w:t xml:space="preserve"> (+675)</w:t>
            </w:r>
          </w:p>
        </w:tc>
      </w:tr>
      <w:tr w:rsidR="00CC1353" w:rsidRPr="00233AB1" w:rsidTr="00CC1353">
        <w:trPr>
          <w:trHeight w:val="20"/>
        </w:trPr>
        <w:tc>
          <w:tcPr>
            <w:tcW w:w="38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C1353" w:rsidRPr="00233AB1" w:rsidRDefault="00CC1353" w:rsidP="00CC1353">
            <w:pPr>
              <w:jc w:val="center"/>
              <w:rPr>
                <w:color w:val="000000"/>
                <w:sz w:val="20"/>
                <w:szCs w:val="20"/>
              </w:rPr>
            </w:pPr>
            <w:r w:rsidRPr="00233AB1">
              <w:rPr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1353" w:rsidRPr="00C83189" w:rsidRDefault="00CC1353" w:rsidP="00CC1353">
            <w:pPr>
              <w:jc w:val="center"/>
              <w:rPr>
                <w:bCs/>
                <w:sz w:val="20"/>
                <w:szCs w:val="20"/>
              </w:rPr>
            </w:pPr>
            <w:r w:rsidRPr="00C83189">
              <w:rPr>
                <w:bCs/>
                <w:sz w:val="20"/>
                <w:szCs w:val="20"/>
              </w:rPr>
              <w:t>3 (-1)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21,6</w:t>
            </w:r>
            <w:r>
              <w:rPr>
                <w:bCs/>
                <w:color w:val="000000"/>
                <w:sz w:val="20"/>
                <w:szCs w:val="20"/>
              </w:rPr>
              <w:t xml:space="preserve"> (+5,4)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C83189">
              <w:rPr>
                <w:bCs/>
                <w:color w:val="000000"/>
                <w:sz w:val="20"/>
                <w:szCs w:val="20"/>
              </w:rPr>
              <w:t>276</w:t>
            </w:r>
            <w:r>
              <w:rPr>
                <w:bCs/>
                <w:color w:val="000000"/>
                <w:sz w:val="20"/>
                <w:szCs w:val="20"/>
              </w:rPr>
              <w:t xml:space="preserve"> (+569)</w:t>
            </w:r>
          </w:p>
        </w:tc>
      </w:tr>
      <w:tr w:rsidR="00CC1353" w:rsidRPr="00233AB1" w:rsidTr="00CC1353">
        <w:trPr>
          <w:trHeight w:val="20"/>
        </w:trPr>
        <w:tc>
          <w:tcPr>
            <w:tcW w:w="38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C1353" w:rsidRPr="00233AB1" w:rsidRDefault="00CC1353" w:rsidP="00CC1353">
            <w:pPr>
              <w:jc w:val="center"/>
              <w:rPr>
                <w:color w:val="000000"/>
                <w:sz w:val="20"/>
                <w:szCs w:val="20"/>
              </w:rPr>
            </w:pPr>
            <w:r w:rsidRPr="00233AB1">
              <w:rPr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1353" w:rsidRPr="00C83189" w:rsidRDefault="00CC1353" w:rsidP="00CC1353">
            <w:pPr>
              <w:jc w:val="center"/>
              <w:rPr>
                <w:bCs/>
                <w:sz w:val="20"/>
                <w:szCs w:val="20"/>
              </w:rPr>
            </w:pPr>
            <w:r w:rsidRPr="00C83189">
              <w:rPr>
                <w:bCs/>
                <w:sz w:val="20"/>
                <w:szCs w:val="20"/>
              </w:rPr>
              <w:t>5 (-1)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20,2</w:t>
            </w:r>
            <w:r>
              <w:rPr>
                <w:bCs/>
                <w:color w:val="000000"/>
                <w:sz w:val="20"/>
                <w:szCs w:val="20"/>
              </w:rPr>
              <w:t xml:space="preserve"> (+3,4)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C83189">
              <w:rPr>
                <w:bCs/>
                <w:color w:val="000000"/>
                <w:sz w:val="20"/>
                <w:szCs w:val="20"/>
              </w:rPr>
              <w:t>250</w:t>
            </w:r>
            <w:r>
              <w:rPr>
                <w:bCs/>
                <w:color w:val="000000"/>
                <w:sz w:val="20"/>
                <w:szCs w:val="20"/>
              </w:rPr>
              <w:t xml:space="preserve"> (+541)</w:t>
            </w:r>
          </w:p>
        </w:tc>
      </w:tr>
      <w:tr w:rsidR="00CC1353" w:rsidRPr="00233AB1" w:rsidTr="00CC1353">
        <w:trPr>
          <w:trHeight w:val="20"/>
        </w:trPr>
        <w:tc>
          <w:tcPr>
            <w:tcW w:w="38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C1353" w:rsidRPr="00233AB1" w:rsidRDefault="00CC1353" w:rsidP="00CC1353">
            <w:pPr>
              <w:jc w:val="center"/>
              <w:rPr>
                <w:color w:val="000000"/>
                <w:sz w:val="20"/>
                <w:szCs w:val="20"/>
              </w:rPr>
            </w:pPr>
            <w:r w:rsidRPr="00233AB1">
              <w:rPr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1353" w:rsidRPr="00C83189" w:rsidRDefault="00CC1353" w:rsidP="00CC1353">
            <w:pPr>
              <w:jc w:val="center"/>
              <w:rPr>
                <w:bCs/>
                <w:sz w:val="20"/>
                <w:szCs w:val="20"/>
              </w:rPr>
            </w:pPr>
            <w:r w:rsidRPr="00C83189">
              <w:rPr>
                <w:bCs/>
                <w:sz w:val="20"/>
                <w:szCs w:val="20"/>
              </w:rPr>
              <w:t>9 (-1)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18,3</w:t>
            </w:r>
            <w:r>
              <w:rPr>
                <w:bCs/>
                <w:color w:val="000000"/>
                <w:sz w:val="20"/>
                <w:szCs w:val="20"/>
              </w:rPr>
              <w:t xml:space="preserve"> (+1,8)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C83189">
              <w:rPr>
                <w:bCs/>
                <w:color w:val="000000"/>
                <w:sz w:val="20"/>
                <w:szCs w:val="20"/>
              </w:rPr>
              <w:t>045</w:t>
            </w:r>
            <w:r>
              <w:rPr>
                <w:bCs/>
                <w:color w:val="000000"/>
                <w:sz w:val="20"/>
                <w:szCs w:val="20"/>
              </w:rPr>
              <w:t xml:space="preserve"> (+304)</w:t>
            </w:r>
          </w:p>
        </w:tc>
      </w:tr>
      <w:tr w:rsidR="00CC1353" w:rsidRPr="00233AB1" w:rsidTr="00CC1353">
        <w:trPr>
          <w:trHeight w:val="20"/>
        </w:trPr>
        <w:tc>
          <w:tcPr>
            <w:tcW w:w="38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C1353" w:rsidRPr="00233AB1" w:rsidRDefault="00CC1353" w:rsidP="00CC13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3AB1">
              <w:rPr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1353" w:rsidRPr="00C83189" w:rsidRDefault="00CC1353" w:rsidP="00CC1353">
            <w:pPr>
              <w:jc w:val="center"/>
              <w:rPr>
                <w:bCs/>
                <w:sz w:val="20"/>
                <w:szCs w:val="20"/>
              </w:rPr>
            </w:pPr>
            <w:r w:rsidRPr="00C83189">
              <w:rPr>
                <w:bCs/>
                <w:sz w:val="20"/>
                <w:szCs w:val="20"/>
              </w:rPr>
              <w:t>7 (-1)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19,8</w:t>
            </w:r>
            <w:r>
              <w:rPr>
                <w:bCs/>
                <w:color w:val="000000"/>
                <w:sz w:val="20"/>
                <w:szCs w:val="20"/>
              </w:rPr>
              <w:t xml:space="preserve"> (+2,5)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C83189">
              <w:rPr>
                <w:bCs/>
                <w:color w:val="000000"/>
                <w:sz w:val="20"/>
                <w:szCs w:val="20"/>
              </w:rPr>
              <w:t>159</w:t>
            </w:r>
            <w:r>
              <w:rPr>
                <w:bCs/>
                <w:color w:val="000000"/>
                <w:sz w:val="20"/>
                <w:szCs w:val="20"/>
              </w:rPr>
              <w:t xml:space="preserve"> (+395)</w:t>
            </w:r>
          </w:p>
        </w:tc>
      </w:tr>
      <w:tr w:rsidR="00CC1353" w:rsidRPr="00233AB1" w:rsidTr="00CC1353">
        <w:trPr>
          <w:trHeight w:val="20"/>
        </w:trPr>
        <w:tc>
          <w:tcPr>
            <w:tcW w:w="38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C1353" w:rsidRPr="00233AB1" w:rsidRDefault="00CC1353" w:rsidP="00CC1353">
            <w:pPr>
              <w:jc w:val="center"/>
              <w:rPr>
                <w:color w:val="000000"/>
                <w:sz w:val="20"/>
                <w:szCs w:val="20"/>
              </w:rPr>
            </w:pPr>
            <w:r w:rsidRPr="00233AB1">
              <w:rPr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C1353" w:rsidRPr="00C83189" w:rsidRDefault="00CC1353" w:rsidP="00CC1353">
            <w:pPr>
              <w:jc w:val="center"/>
              <w:rPr>
                <w:bCs/>
                <w:sz w:val="20"/>
                <w:szCs w:val="20"/>
              </w:rPr>
            </w:pPr>
            <w:r w:rsidRPr="00C83189">
              <w:rPr>
                <w:bCs/>
                <w:sz w:val="20"/>
                <w:szCs w:val="20"/>
              </w:rPr>
              <w:t>14 (+5)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13,2</w:t>
            </w:r>
            <w:r>
              <w:rPr>
                <w:bCs/>
                <w:color w:val="000000"/>
                <w:sz w:val="20"/>
                <w:szCs w:val="20"/>
              </w:rPr>
              <w:t xml:space="preserve"> (-7,3)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3 757 (-2088)</w:t>
            </w:r>
          </w:p>
        </w:tc>
      </w:tr>
      <w:tr w:rsidR="00CC1353" w:rsidRPr="00233AB1" w:rsidTr="00CC1353">
        <w:trPr>
          <w:trHeight w:val="20"/>
        </w:trPr>
        <w:tc>
          <w:tcPr>
            <w:tcW w:w="38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C1353" w:rsidRPr="00233AB1" w:rsidRDefault="00CC1353" w:rsidP="00CC1353">
            <w:pPr>
              <w:jc w:val="center"/>
              <w:rPr>
                <w:color w:val="000000"/>
                <w:sz w:val="20"/>
                <w:szCs w:val="20"/>
              </w:rPr>
            </w:pPr>
            <w:r w:rsidRPr="00233AB1">
              <w:rPr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C1353" w:rsidRPr="00C83189" w:rsidRDefault="00CC1353" w:rsidP="00CC1353">
            <w:pPr>
              <w:jc w:val="center"/>
              <w:rPr>
                <w:bCs/>
                <w:sz w:val="20"/>
                <w:szCs w:val="20"/>
              </w:rPr>
            </w:pPr>
            <w:r w:rsidRPr="00C83189">
              <w:rPr>
                <w:bCs/>
                <w:sz w:val="20"/>
                <w:szCs w:val="20"/>
              </w:rPr>
              <w:t>7 (+2)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16,9</w:t>
            </w:r>
            <w:r>
              <w:rPr>
                <w:bCs/>
                <w:color w:val="000000"/>
                <w:sz w:val="20"/>
                <w:szCs w:val="20"/>
              </w:rPr>
              <w:t xml:space="preserve"> (-6,7)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C83189">
              <w:rPr>
                <w:bCs/>
                <w:color w:val="000000"/>
                <w:sz w:val="20"/>
                <w:szCs w:val="20"/>
              </w:rPr>
              <w:t>484</w:t>
            </w:r>
            <w:r>
              <w:rPr>
                <w:bCs/>
                <w:color w:val="000000"/>
                <w:sz w:val="20"/>
                <w:szCs w:val="20"/>
              </w:rPr>
              <w:t xml:space="preserve"> (-1394)</w:t>
            </w:r>
          </w:p>
        </w:tc>
      </w:tr>
      <w:tr w:rsidR="00CC1353" w:rsidRPr="00233AB1" w:rsidTr="00CC1353">
        <w:trPr>
          <w:trHeight w:val="20"/>
        </w:trPr>
        <w:tc>
          <w:tcPr>
            <w:tcW w:w="38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C1353" w:rsidRPr="00233AB1" w:rsidRDefault="00CC1353" w:rsidP="00CC1353">
            <w:pPr>
              <w:jc w:val="center"/>
              <w:rPr>
                <w:color w:val="000000"/>
                <w:sz w:val="20"/>
                <w:szCs w:val="20"/>
              </w:rPr>
            </w:pPr>
            <w:r w:rsidRPr="00233AB1">
              <w:rPr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161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C1353" w:rsidRPr="00C83189" w:rsidRDefault="00CC1353" w:rsidP="00CC1353">
            <w:pPr>
              <w:jc w:val="center"/>
              <w:rPr>
                <w:bCs/>
                <w:sz w:val="20"/>
                <w:szCs w:val="20"/>
              </w:rPr>
            </w:pPr>
            <w:r w:rsidRPr="00C83189">
              <w:rPr>
                <w:bCs/>
                <w:sz w:val="20"/>
                <w:szCs w:val="20"/>
              </w:rPr>
              <w:t>9 (+2)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9,2</w:t>
            </w:r>
            <w:r>
              <w:rPr>
                <w:bCs/>
                <w:color w:val="000000"/>
                <w:sz w:val="20"/>
                <w:szCs w:val="20"/>
              </w:rPr>
              <w:t xml:space="preserve"> (-2,6)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C1353" w:rsidRPr="00C83189" w:rsidRDefault="00CC1353" w:rsidP="00CC1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189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C83189">
              <w:rPr>
                <w:bCs/>
                <w:color w:val="000000"/>
                <w:sz w:val="20"/>
                <w:szCs w:val="20"/>
              </w:rPr>
              <w:t>397</w:t>
            </w:r>
            <w:r>
              <w:rPr>
                <w:bCs/>
                <w:color w:val="000000"/>
                <w:sz w:val="20"/>
                <w:szCs w:val="20"/>
              </w:rPr>
              <w:t xml:space="preserve"> (-970)</w:t>
            </w:r>
          </w:p>
        </w:tc>
      </w:tr>
      <w:tr w:rsidR="00CC1353" w:rsidRPr="00233AB1" w:rsidTr="00CC1353">
        <w:trPr>
          <w:trHeight w:val="20"/>
        </w:trPr>
        <w:tc>
          <w:tcPr>
            <w:tcW w:w="38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1353" w:rsidRPr="00CC1353" w:rsidRDefault="00CC1353" w:rsidP="00CC13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1353">
              <w:rPr>
                <w:b/>
                <w:color w:val="000000"/>
                <w:sz w:val="20"/>
                <w:szCs w:val="20"/>
              </w:rPr>
              <w:t>ИТОГО, в среднем по области</w:t>
            </w:r>
          </w:p>
        </w:tc>
        <w:tc>
          <w:tcPr>
            <w:tcW w:w="161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53" w:rsidRPr="00233AB1" w:rsidRDefault="00CC1353" w:rsidP="00CC13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AB1">
              <w:rPr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53" w:rsidRPr="00233AB1" w:rsidRDefault="00CC1353" w:rsidP="00CC13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AB1"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C1353" w:rsidRPr="00233AB1" w:rsidRDefault="00CC1353" w:rsidP="00CC13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AB1">
              <w:rPr>
                <w:b/>
                <w:bCs/>
                <w:color w:val="000000"/>
                <w:sz w:val="20"/>
                <w:szCs w:val="20"/>
              </w:rPr>
              <w:t>2939</w:t>
            </w:r>
          </w:p>
        </w:tc>
      </w:tr>
    </w:tbl>
    <w:p w:rsidR="00CE6E6B" w:rsidRDefault="00CE6E6B" w:rsidP="00CE6E6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Численность населения на один участок в районах с уменьшенным количеством мировых судей остаётся в пределах устан</w:t>
      </w:r>
      <w:r w:rsidR="00B94914">
        <w:rPr>
          <w:rFonts w:eastAsiaTheme="minorHAnsi"/>
          <w:bCs/>
          <w:lang w:eastAsia="en-US"/>
        </w:rPr>
        <w:t>ов</w:t>
      </w:r>
      <w:r>
        <w:rPr>
          <w:rFonts w:eastAsiaTheme="minorHAnsi"/>
          <w:bCs/>
          <w:lang w:eastAsia="en-US"/>
        </w:rPr>
        <w:t>ленного критерия (15-23 тыс. чел.)</w:t>
      </w:r>
      <w:r w:rsidR="00A66A4C">
        <w:rPr>
          <w:rFonts w:eastAsiaTheme="minorHAnsi"/>
          <w:bCs/>
          <w:lang w:eastAsia="en-US"/>
        </w:rPr>
        <w:t>,</w:t>
      </w:r>
      <w:r>
        <w:rPr>
          <w:rFonts w:eastAsiaTheme="minorHAnsi"/>
          <w:bCs/>
          <w:lang w:eastAsia="en-US"/>
        </w:rPr>
        <w:t xml:space="preserve"> за исключением </w:t>
      </w:r>
      <w:proofErr w:type="spellStart"/>
      <w:r>
        <w:rPr>
          <w:rFonts w:eastAsiaTheme="minorHAnsi"/>
          <w:bCs/>
          <w:lang w:eastAsia="en-US"/>
        </w:rPr>
        <w:t>Серафимовичского</w:t>
      </w:r>
      <w:proofErr w:type="spellEnd"/>
      <w:r>
        <w:rPr>
          <w:rFonts w:eastAsiaTheme="minorHAnsi"/>
          <w:bCs/>
          <w:lang w:eastAsia="en-US"/>
        </w:rPr>
        <w:t xml:space="preserve"> района с показателем</w:t>
      </w:r>
      <w:r w:rsidR="00BD5CB4">
        <w:rPr>
          <w:rFonts w:eastAsiaTheme="minorHAnsi"/>
          <w:bCs/>
          <w:lang w:eastAsia="en-US"/>
        </w:rPr>
        <w:t>,</w:t>
      </w:r>
      <w:r>
        <w:rPr>
          <w:rFonts w:eastAsiaTheme="minorHAnsi"/>
          <w:bCs/>
          <w:lang w:eastAsia="en-US"/>
        </w:rPr>
        <w:t xml:space="preserve"> незначительно превышающ</w:t>
      </w:r>
      <w:r w:rsidR="00B94914">
        <w:rPr>
          <w:rFonts w:eastAsiaTheme="minorHAnsi"/>
          <w:bCs/>
          <w:lang w:eastAsia="en-US"/>
        </w:rPr>
        <w:t>и</w:t>
      </w:r>
      <w:r>
        <w:rPr>
          <w:rFonts w:eastAsiaTheme="minorHAnsi"/>
          <w:bCs/>
          <w:lang w:eastAsia="en-US"/>
        </w:rPr>
        <w:t>м максимальную границу</w:t>
      </w:r>
      <w:r w:rsidR="00BD5CB4">
        <w:rPr>
          <w:rFonts w:eastAsiaTheme="minorHAnsi"/>
          <w:bCs/>
          <w:lang w:eastAsia="en-US"/>
        </w:rPr>
        <w:t>,</w:t>
      </w:r>
      <w:r>
        <w:rPr>
          <w:rFonts w:eastAsiaTheme="minorHAnsi"/>
          <w:bCs/>
          <w:lang w:eastAsia="en-US"/>
        </w:rPr>
        <w:t xml:space="preserve"> – 23,6 тыс. человек.</w:t>
      </w:r>
      <w:r w:rsidR="008E7B56">
        <w:rPr>
          <w:rFonts w:eastAsiaTheme="minorHAnsi"/>
          <w:bCs/>
          <w:lang w:eastAsia="en-US"/>
        </w:rPr>
        <w:t xml:space="preserve"> При этом показатель нагрузки в этом районе остаётся меньше среднего по области - 2838 против 2939 оконченных дел на участок.</w:t>
      </w:r>
    </w:p>
    <w:p w:rsidR="00CE6E6B" w:rsidRDefault="008E7B56" w:rsidP="00CE6E6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Показател</w:t>
      </w:r>
      <w:r w:rsidR="00FB15BC">
        <w:rPr>
          <w:rFonts w:eastAsiaTheme="minorHAnsi"/>
          <w:bCs/>
          <w:lang w:eastAsia="en-US"/>
        </w:rPr>
        <w:t>ь</w:t>
      </w:r>
      <w:r>
        <w:rPr>
          <w:rFonts w:eastAsiaTheme="minorHAnsi"/>
          <w:bCs/>
          <w:lang w:eastAsia="en-US"/>
        </w:rPr>
        <w:t xml:space="preserve"> численности населения в Дзержинском районе снижается ниже минимальной границы – до 13,2 тыс. чел., в Центральном районе – становится ещё более низким – 9,2 тыс. человек. Однако</w:t>
      </w:r>
      <w:r w:rsidR="00FB15BC">
        <w:rPr>
          <w:rFonts w:eastAsiaTheme="minorHAnsi"/>
          <w:bCs/>
          <w:lang w:eastAsia="en-US"/>
        </w:rPr>
        <w:t xml:space="preserve"> показатели нагрузки в этих районах остаются существенно выше </w:t>
      </w:r>
      <w:proofErr w:type="spellStart"/>
      <w:r w:rsidR="00FB15BC">
        <w:rPr>
          <w:rFonts w:eastAsiaTheme="minorHAnsi"/>
          <w:bCs/>
          <w:lang w:eastAsia="en-US"/>
        </w:rPr>
        <w:t>среднеобластного</w:t>
      </w:r>
      <w:proofErr w:type="spellEnd"/>
      <w:r w:rsidR="00FB15BC">
        <w:rPr>
          <w:rFonts w:eastAsiaTheme="minorHAnsi"/>
          <w:bCs/>
          <w:lang w:eastAsia="en-US"/>
        </w:rPr>
        <w:t xml:space="preserve"> значения.</w:t>
      </w:r>
    </w:p>
    <w:p w:rsidR="00CC1353" w:rsidRDefault="00CC1353" w:rsidP="00CE6E6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</w:p>
    <w:p w:rsidR="00362EDA" w:rsidRDefault="00362EDA" w:rsidP="00362EDA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  <w:r w:rsidRPr="00233AB1">
        <w:rPr>
          <w:rFonts w:eastAsiaTheme="minorEastAsia"/>
          <w:noProof/>
          <w:bdr w:val="double" w:sz="4" w:space="0" w:color="auto"/>
        </w:rPr>
        <w:drawing>
          <wp:inline distT="0" distB="0" distL="0" distR="0">
            <wp:extent cx="6035040" cy="432054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E6E6B" w:rsidRDefault="00FD1082" w:rsidP="00CE6E6B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В целом при пере</w:t>
      </w:r>
      <w:r w:rsidR="00B94914">
        <w:rPr>
          <w:rFonts w:eastAsiaTheme="minorEastAsia"/>
        </w:rPr>
        <w:t>р</w:t>
      </w:r>
      <w:r>
        <w:rPr>
          <w:rFonts w:eastAsiaTheme="minorEastAsia"/>
        </w:rPr>
        <w:t>аспределении количества мировых судей нагрузка на судебные участки г. Волгограда снижается и перераспределя</w:t>
      </w:r>
      <w:r w:rsidR="00A66A4C">
        <w:rPr>
          <w:rFonts w:eastAsiaTheme="minorEastAsia"/>
        </w:rPr>
        <w:t>е</w:t>
      </w:r>
      <w:r>
        <w:rPr>
          <w:rFonts w:eastAsiaTheme="minorEastAsia"/>
        </w:rPr>
        <w:t xml:space="preserve">тся, остаётся выше </w:t>
      </w:r>
      <w:proofErr w:type="spellStart"/>
      <w:r>
        <w:rPr>
          <w:rFonts w:eastAsiaTheme="minorEastAsia"/>
        </w:rPr>
        <w:t>среднеобластного</w:t>
      </w:r>
      <w:proofErr w:type="spellEnd"/>
      <w:r>
        <w:rPr>
          <w:rFonts w:eastAsiaTheme="minorEastAsia"/>
        </w:rPr>
        <w:t xml:space="preserve"> показателя, но </w:t>
      </w:r>
      <w:r w:rsidR="00B94914">
        <w:rPr>
          <w:rFonts w:eastAsiaTheme="minorEastAsia"/>
        </w:rPr>
        <w:t>сокращается амплитуда её колебаний: факт</w:t>
      </w:r>
      <w:r w:rsidR="00BD5CB4">
        <w:rPr>
          <w:rFonts w:eastAsiaTheme="minorEastAsia"/>
        </w:rPr>
        <w:t xml:space="preserve"> 2017 года</w:t>
      </w:r>
      <w:r w:rsidR="00B94914">
        <w:rPr>
          <w:rFonts w:eastAsiaTheme="minorEastAsia"/>
        </w:rPr>
        <w:t xml:space="preserve"> – 2709 – 5845 дел (2,2 раза), оценка - 3045 – 4384 дел (1,4 раза).</w:t>
      </w:r>
      <w:r>
        <w:rPr>
          <w:rFonts w:eastAsiaTheme="minorEastAsia"/>
        </w:rPr>
        <w:t xml:space="preserve"> </w:t>
      </w:r>
    </w:p>
    <w:p w:rsidR="00CE6E6B" w:rsidRDefault="00B94914" w:rsidP="00CE6E6B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Во всех остальных судебных районах с уменьшенным количеством мировых судей нагрузка возрастает, но остаётся ниже </w:t>
      </w:r>
      <w:proofErr w:type="spellStart"/>
      <w:r>
        <w:rPr>
          <w:rFonts w:eastAsiaTheme="minorEastAsia"/>
        </w:rPr>
        <w:t>среднеобластного</w:t>
      </w:r>
      <w:proofErr w:type="spellEnd"/>
      <w:r>
        <w:rPr>
          <w:rFonts w:eastAsiaTheme="minorEastAsia"/>
        </w:rPr>
        <w:t xml:space="preserve"> значения.</w:t>
      </w:r>
    </w:p>
    <w:p w:rsidR="00FA59BE" w:rsidRDefault="00FA59BE" w:rsidP="00CE6E6B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FA59BE" w:rsidRPr="002450C9" w:rsidRDefault="00FA59BE" w:rsidP="00FA59BE">
      <w:pPr>
        <w:autoSpaceDE w:val="0"/>
        <w:autoSpaceDN w:val="0"/>
        <w:adjustRightInd w:val="0"/>
        <w:jc w:val="center"/>
        <w:rPr>
          <w:rFonts w:eastAsiaTheme="minorEastAsia"/>
          <w:b/>
          <w:i/>
        </w:rPr>
      </w:pPr>
      <w:r w:rsidRPr="002450C9">
        <w:rPr>
          <w:rFonts w:eastAsiaTheme="minorEastAsia"/>
          <w:b/>
          <w:i/>
        </w:rPr>
        <w:t>Сравнительная характеристика показателей деятельности и обеспечения мировых судей Волгоградской области и отдельных регионов России</w:t>
      </w:r>
    </w:p>
    <w:p w:rsidR="00FA59BE" w:rsidRPr="002450C9" w:rsidRDefault="00FA59BE" w:rsidP="00FA59BE">
      <w:pPr>
        <w:ind w:firstLine="708"/>
        <w:jc w:val="both"/>
      </w:pPr>
      <w:r w:rsidRPr="002450C9">
        <w:t>Сравнительный анализ произведен по субъектам РФ, наиболее часто сравниваемым с Волгоградской областью (Ростовская область и Краснодарский край) и сопоставимых с ней по численности населения (Воронежская, Саратовская области и Ставропольский край).</w:t>
      </w:r>
    </w:p>
    <w:p w:rsidR="00FA59BE" w:rsidRPr="002450C9" w:rsidRDefault="00FA59BE" w:rsidP="00FA59BE">
      <w:pPr>
        <w:ind w:firstLine="708"/>
        <w:jc w:val="both"/>
      </w:pPr>
      <w:r w:rsidRPr="002450C9">
        <w:t>Источниками информации выступали справочная информационная система Консультант Плюс, официальные сайты Управлений Судебных департаментов соответствующих регионов, Росстата РФ (</w:t>
      </w:r>
      <w:hyperlink r:id="rId14" w:history="1">
        <w:r w:rsidRPr="002450C9">
          <w:t>http://www.gks.ru</w:t>
        </w:r>
      </w:hyperlink>
      <w:r w:rsidRPr="002450C9">
        <w:t>) и Федерального Казначейства России (http://www.roskazna.ru).</w:t>
      </w:r>
    </w:p>
    <w:p w:rsidR="00FA59BE" w:rsidRPr="002450C9" w:rsidRDefault="00FA59BE" w:rsidP="00FA59BE">
      <w:pPr>
        <w:ind w:firstLine="708"/>
        <w:jc w:val="both"/>
      </w:pPr>
      <w:r w:rsidRPr="002450C9">
        <w:t>Краткая характеристика системы мировой юстиции выбранных субъектов РФ представлена в таблице.</w:t>
      </w:r>
    </w:p>
    <w:tbl>
      <w:tblPr>
        <w:tblW w:w="963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268"/>
        <w:gridCol w:w="567"/>
        <w:gridCol w:w="709"/>
        <w:gridCol w:w="1133"/>
        <w:gridCol w:w="850"/>
        <w:gridCol w:w="1277"/>
        <w:gridCol w:w="992"/>
        <w:gridCol w:w="850"/>
        <w:gridCol w:w="992"/>
      </w:tblGrid>
      <w:tr w:rsidR="00FA59BE" w:rsidRPr="002450C9" w:rsidTr="00143FF8">
        <w:trPr>
          <w:trHeight w:val="20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50C9">
              <w:rPr>
                <w:color w:val="000000"/>
                <w:sz w:val="20"/>
                <w:szCs w:val="20"/>
              </w:rPr>
              <w:t>Краснодар-ский</w:t>
            </w:r>
            <w:proofErr w:type="spellEnd"/>
            <w:proofErr w:type="gramEnd"/>
            <w:r w:rsidRPr="002450C9">
              <w:rPr>
                <w:color w:val="000000"/>
                <w:sz w:val="20"/>
                <w:szCs w:val="20"/>
              </w:rPr>
              <w:t xml:space="preserve"> край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50C9">
              <w:rPr>
                <w:color w:val="000000"/>
                <w:sz w:val="20"/>
                <w:szCs w:val="20"/>
              </w:rPr>
              <w:t>Ростов-ская</w:t>
            </w:r>
            <w:proofErr w:type="spellEnd"/>
            <w:proofErr w:type="gramEnd"/>
            <w:r w:rsidRPr="002450C9">
              <w:rPr>
                <w:color w:val="000000"/>
                <w:sz w:val="20"/>
                <w:szCs w:val="20"/>
              </w:rPr>
              <w:t xml:space="preserve"> обл.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50C9">
              <w:rPr>
                <w:color w:val="000000"/>
                <w:sz w:val="20"/>
                <w:szCs w:val="20"/>
              </w:rPr>
              <w:t>Ставропольс-кий</w:t>
            </w:r>
            <w:proofErr w:type="spellEnd"/>
            <w:proofErr w:type="gramEnd"/>
            <w:r w:rsidRPr="002450C9">
              <w:rPr>
                <w:color w:val="000000"/>
                <w:sz w:val="20"/>
                <w:szCs w:val="20"/>
              </w:rPr>
              <w:t xml:space="preserve"> край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50C9">
              <w:rPr>
                <w:color w:val="000000"/>
                <w:sz w:val="20"/>
                <w:szCs w:val="20"/>
              </w:rPr>
              <w:t>Волгоград-ская</w:t>
            </w:r>
            <w:proofErr w:type="spellEnd"/>
            <w:proofErr w:type="gramEnd"/>
            <w:r w:rsidRPr="002450C9">
              <w:rPr>
                <w:color w:val="000000"/>
                <w:sz w:val="20"/>
                <w:szCs w:val="20"/>
              </w:rPr>
              <w:t xml:space="preserve"> обл.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50C9">
              <w:rPr>
                <w:color w:val="000000"/>
                <w:sz w:val="20"/>
                <w:szCs w:val="20"/>
              </w:rPr>
              <w:t>Саратов-ская</w:t>
            </w:r>
            <w:proofErr w:type="spellEnd"/>
            <w:proofErr w:type="gramEnd"/>
            <w:r w:rsidRPr="002450C9">
              <w:rPr>
                <w:color w:val="000000"/>
                <w:sz w:val="20"/>
                <w:szCs w:val="20"/>
              </w:rPr>
              <w:t xml:space="preserve"> обл.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50C9">
              <w:rPr>
                <w:color w:val="000000"/>
                <w:sz w:val="20"/>
                <w:szCs w:val="20"/>
              </w:rPr>
              <w:t>Воронеж-ская</w:t>
            </w:r>
            <w:proofErr w:type="spellEnd"/>
            <w:proofErr w:type="gramEnd"/>
            <w:r w:rsidRPr="002450C9">
              <w:rPr>
                <w:color w:val="000000"/>
                <w:sz w:val="20"/>
                <w:szCs w:val="20"/>
              </w:rPr>
              <w:t xml:space="preserve"> обл.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Численность населения на 01.01.2018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13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13" w:right="-85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5 603 420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13" w:right="-85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 xml:space="preserve">4 220 452 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13" w:right="-85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2 800 674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13" w:right="-85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 xml:space="preserve">2 521 276 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13" w:right="-85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2 462 950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13" w:right="-85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2 333 768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 w:val="restart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Расходы бюджета субъекта</w:t>
            </w:r>
            <w:r w:rsidRPr="002450C9">
              <w:rPr>
                <w:color w:val="000000"/>
                <w:sz w:val="20"/>
                <w:szCs w:val="20"/>
              </w:rPr>
              <w:br/>
              <w:t>подраздел 0105 «Судебная система»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2012 г.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355,3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277" w:type="dxa"/>
            <w:tcBorders>
              <w:top w:val="single" w:sz="8" w:space="0" w:color="auto"/>
            </w:tcBorders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334,9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221,5</w:t>
            </w:r>
          </w:p>
        </w:tc>
        <w:tc>
          <w:tcPr>
            <w:tcW w:w="992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177,4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1133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850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374,5</w:t>
            </w:r>
          </w:p>
        </w:tc>
        <w:tc>
          <w:tcPr>
            <w:tcW w:w="1277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992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296,6</w:t>
            </w:r>
          </w:p>
        </w:tc>
        <w:tc>
          <w:tcPr>
            <w:tcW w:w="850" w:type="dxa"/>
            <w:shd w:val="clear" w:color="auto" w:fill="auto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194,7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1133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383,7</w:t>
            </w:r>
          </w:p>
        </w:tc>
        <w:tc>
          <w:tcPr>
            <w:tcW w:w="850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379,9</w:t>
            </w:r>
          </w:p>
        </w:tc>
        <w:tc>
          <w:tcPr>
            <w:tcW w:w="1277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992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850" w:type="dxa"/>
            <w:shd w:val="clear" w:color="auto" w:fill="auto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228,2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133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383,7</w:t>
            </w:r>
          </w:p>
        </w:tc>
        <w:tc>
          <w:tcPr>
            <w:tcW w:w="1277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356,2</w:t>
            </w:r>
          </w:p>
        </w:tc>
        <w:tc>
          <w:tcPr>
            <w:tcW w:w="992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850" w:type="dxa"/>
            <w:shd w:val="clear" w:color="auto" w:fill="auto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133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850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1277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992" w:type="dxa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850" w:type="dxa"/>
            <w:shd w:val="clear" w:color="auto" w:fill="auto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273,3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262,0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461,8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409,9</w:t>
            </w:r>
          </w:p>
        </w:tc>
        <w:tc>
          <w:tcPr>
            <w:tcW w:w="1277" w:type="dxa"/>
            <w:tcBorders>
              <w:bottom w:val="single" w:sz="8" w:space="0" w:color="auto"/>
            </w:tcBorders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992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272,2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 w:val="restart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A008B6" w:rsidP="00A008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мировых судей (к</w:t>
            </w:r>
            <w:r w:rsidR="00FA59BE" w:rsidRPr="002450C9">
              <w:rPr>
                <w:color w:val="000000"/>
                <w:sz w:val="20"/>
                <w:szCs w:val="20"/>
              </w:rPr>
              <w:t>оличество судебных участков</w:t>
            </w:r>
            <w:r>
              <w:rPr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="00FA59BE" w:rsidRPr="002450C9">
              <w:rPr>
                <w:color w:val="000000"/>
                <w:sz w:val="20"/>
                <w:szCs w:val="20"/>
              </w:rPr>
              <w:t>Ф</w:t>
            </w:r>
            <w:proofErr w:type="gramEnd"/>
            <w:r w:rsidR="00FA59BE" w:rsidRPr="002450C9">
              <w:rPr>
                <w:color w:val="000000"/>
                <w:sz w:val="20"/>
                <w:szCs w:val="20"/>
              </w:rPr>
              <w:t>едеральный закон № 218-ФЗ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2012 г.</w:t>
            </w:r>
          </w:p>
        </w:tc>
        <w:tc>
          <w:tcPr>
            <w:tcW w:w="1133" w:type="dxa"/>
            <w:tcBorders>
              <w:top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7" w:type="dxa"/>
            <w:tcBorders>
              <w:top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117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1133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7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117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1133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7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117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133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7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117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133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7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117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7" w:type="dxa"/>
            <w:tcBorders>
              <w:bottom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117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 w:val="restart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Количество оконченных дел</w:t>
            </w:r>
            <w:r w:rsidRPr="002450C9">
              <w:rPr>
                <w:color w:val="000000"/>
                <w:sz w:val="20"/>
                <w:szCs w:val="20"/>
              </w:rPr>
              <w:br/>
              <w:t>(форма № 01 (S03))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2012 г.</w:t>
            </w:r>
          </w:p>
        </w:tc>
        <w:tc>
          <w:tcPr>
            <w:tcW w:w="1133" w:type="dxa"/>
            <w:tcBorders>
              <w:top w:val="single" w:sz="8" w:space="0" w:color="auto"/>
            </w:tcBorders>
            <w:vAlign w:val="bottom"/>
          </w:tcPr>
          <w:p w:rsidR="00FA59BE" w:rsidRPr="002450C9" w:rsidRDefault="00FA59BE" w:rsidP="00143FF8">
            <w:pPr>
              <w:ind w:left="-108" w:right="-57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260 319</w:t>
            </w:r>
          </w:p>
        </w:tc>
        <w:tc>
          <w:tcPr>
            <w:tcW w:w="1277" w:type="dxa"/>
            <w:tcBorders>
              <w:top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207 237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285 716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 ---</w:t>
            </w:r>
          </w:p>
        </w:tc>
        <w:tc>
          <w:tcPr>
            <w:tcW w:w="992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130 657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1133" w:type="dxa"/>
            <w:vAlign w:val="bottom"/>
          </w:tcPr>
          <w:p w:rsidR="00FA59BE" w:rsidRPr="002450C9" w:rsidRDefault="00FA59BE" w:rsidP="00143FF8">
            <w:pPr>
              <w:ind w:left="-108" w:right="-57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245 197</w:t>
            </w:r>
          </w:p>
        </w:tc>
        <w:tc>
          <w:tcPr>
            <w:tcW w:w="992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270 665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269 722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178 803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1133" w:type="dxa"/>
            <w:vAlign w:val="bottom"/>
          </w:tcPr>
          <w:p w:rsidR="00FA59BE" w:rsidRPr="002450C9" w:rsidRDefault="00FA59BE" w:rsidP="00143FF8">
            <w:pPr>
              <w:ind w:left="-108" w:right="-57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329 014</w:t>
            </w:r>
          </w:p>
        </w:tc>
        <w:tc>
          <w:tcPr>
            <w:tcW w:w="1277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273 744</w:t>
            </w:r>
          </w:p>
        </w:tc>
        <w:tc>
          <w:tcPr>
            <w:tcW w:w="992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295 590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284 916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175 873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133" w:type="dxa"/>
            <w:vAlign w:val="bottom"/>
          </w:tcPr>
          <w:p w:rsidR="00FA59BE" w:rsidRPr="002450C9" w:rsidRDefault="00FA59BE" w:rsidP="00143FF8">
            <w:pPr>
              <w:ind w:left="-108" w:right="-57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365 929</w:t>
            </w:r>
          </w:p>
        </w:tc>
        <w:tc>
          <w:tcPr>
            <w:tcW w:w="1277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282 142</w:t>
            </w:r>
          </w:p>
        </w:tc>
        <w:tc>
          <w:tcPr>
            <w:tcW w:w="992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326 004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296 833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203 518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133" w:type="dxa"/>
            <w:vAlign w:val="bottom"/>
          </w:tcPr>
          <w:p w:rsidR="00FA59BE" w:rsidRPr="002450C9" w:rsidRDefault="00FA59BE" w:rsidP="00143FF8">
            <w:pPr>
              <w:ind w:left="-108" w:right="-57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431 846</w:t>
            </w:r>
          </w:p>
        </w:tc>
        <w:tc>
          <w:tcPr>
            <w:tcW w:w="1277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308 661</w:t>
            </w:r>
          </w:p>
        </w:tc>
        <w:tc>
          <w:tcPr>
            <w:tcW w:w="992" w:type="dxa"/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311 378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332 464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226 329</w:t>
            </w:r>
          </w:p>
        </w:tc>
      </w:tr>
      <w:tr w:rsidR="00FA59BE" w:rsidRPr="002450C9" w:rsidTr="00143FF8">
        <w:trPr>
          <w:trHeight w:val="20"/>
        </w:trPr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bottom"/>
          </w:tcPr>
          <w:p w:rsidR="00FA59BE" w:rsidRPr="002450C9" w:rsidRDefault="00FA59BE" w:rsidP="00143FF8">
            <w:pPr>
              <w:ind w:left="-108" w:right="-57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496 065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361 524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426 178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428 691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2450C9" w:rsidRDefault="00FA59BE" w:rsidP="00143FF8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2450C9">
              <w:rPr>
                <w:color w:val="000000"/>
                <w:sz w:val="20"/>
                <w:szCs w:val="20"/>
              </w:rPr>
              <w:t>249 732</w:t>
            </w:r>
          </w:p>
        </w:tc>
      </w:tr>
    </w:tbl>
    <w:p w:rsidR="00FA59BE" w:rsidRPr="002450C9" w:rsidRDefault="00FA59BE" w:rsidP="00FA59BE">
      <w:pPr>
        <w:ind w:firstLine="708"/>
        <w:jc w:val="both"/>
      </w:pPr>
    </w:p>
    <w:p w:rsidR="00FA59BE" w:rsidRDefault="00FA59BE" w:rsidP="00FA59BE">
      <w:pPr>
        <w:ind w:firstLine="709"/>
        <w:jc w:val="both"/>
      </w:pPr>
      <w:r w:rsidRPr="002450C9">
        <w:t>Обобщенные результаты анализа проиллюстрированы с помощью диаграмм.</w:t>
      </w:r>
    </w:p>
    <w:p w:rsidR="00CC1353" w:rsidRDefault="00CC1353" w:rsidP="00FA59BE">
      <w:pPr>
        <w:ind w:firstLine="709"/>
        <w:jc w:val="both"/>
      </w:pPr>
    </w:p>
    <w:p w:rsidR="00FA59BE" w:rsidRPr="002450C9" w:rsidRDefault="00FA59BE" w:rsidP="00FA59BE">
      <w:pPr>
        <w:jc w:val="both"/>
      </w:pPr>
      <w:r w:rsidRPr="00D3266D">
        <w:rPr>
          <w:noProof/>
          <w:bdr w:val="double" w:sz="4" w:space="0" w:color="auto"/>
        </w:rPr>
        <w:drawing>
          <wp:inline distT="0" distB="0" distL="0" distR="0">
            <wp:extent cx="6038850" cy="2114550"/>
            <wp:effectExtent l="0" t="0" r="0" b="0"/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A59BE" w:rsidRPr="002450C9" w:rsidRDefault="00FA59BE" w:rsidP="00FA59BE">
      <w:pPr>
        <w:ind w:firstLine="709"/>
        <w:jc w:val="both"/>
      </w:pPr>
      <w:r w:rsidRPr="002450C9">
        <w:lastRenderedPageBreak/>
        <w:t>В среднем по исследуемым регионам значение показателя численности населения на один судебный участок составляет 19 тыс. человек. Волгоградская область характеризуется наименьшим значением показателя - 17 484 чел., с разницей от наибольшего значения (Краснодарский край – 20 633 чел.) на 3 149 чел., или на 15,3 процента.</w:t>
      </w:r>
    </w:p>
    <w:p w:rsidR="00FA59BE" w:rsidRPr="002450C9" w:rsidRDefault="00FA59BE" w:rsidP="00FA59BE">
      <w:pPr>
        <w:ind w:firstLine="709"/>
        <w:jc w:val="both"/>
        <w:rPr>
          <w:color w:val="FF0000"/>
        </w:rPr>
      </w:pPr>
    </w:p>
    <w:p w:rsidR="00FA59BE" w:rsidRPr="002450C9" w:rsidRDefault="00FA59BE" w:rsidP="00FA59BE">
      <w:pPr>
        <w:ind w:firstLine="709"/>
        <w:jc w:val="both"/>
      </w:pPr>
      <w:r w:rsidRPr="002450C9">
        <w:t>Информация о количестве рассмотренных дел в 2012-2017 годах, приходящихся в среднем на один участок в год, представлена без учета показателей Краснодарского края в связи с их отсутствием в открытых источниках данных.</w:t>
      </w:r>
    </w:p>
    <w:p w:rsidR="00FA59BE" w:rsidRPr="002450C9" w:rsidRDefault="00FA59BE" w:rsidP="00FA59BE">
      <w:pPr>
        <w:rPr>
          <w:color w:val="FF0000"/>
        </w:rPr>
      </w:pPr>
      <w:r w:rsidRPr="00D3266D">
        <w:rPr>
          <w:noProof/>
          <w:color w:val="FF0000"/>
          <w:bdr w:val="double" w:sz="4" w:space="0" w:color="auto"/>
        </w:rPr>
        <w:drawing>
          <wp:inline distT="0" distB="0" distL="0" distR="0">
            <wp:extent cx="6115936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A59BE" w:rsidRPr="002450C9" w:rsidRDefault="00FA59BE" w:rsidP="00FA59BE">
      <w:pPr>
        <w:ind w:firstLine="709"/>
        <w:jc w:val="both"/>
        <w:rPr>
          <w:color w:val="FF0000"/>
        </w:rPr>
      </w:pPr>
    </w:p>
    <w:p w:rsidR="00FA59BE" w:rsidRPr="002450C9" w:rsidRDefault="00FA59BE" w:rsidP="00FA59BE">
      <w:pPr>
        <w:ind w:firstLine="709"/>
        <w:jc w:val="both"/>
      </w:pPr>
      <w:r w:rsidRPr="002450C9">
        <w:t>Динамика нагрузки на один судебный участок в год в рассматриваемом периоде имеет общую тенденцию параллельного роста. В целом Волгоградская область уступает лишь Саратовской области. Максимальный разрыв по нагрузке на один судебный участок в 2017 году отмечен между показателями Саратовской и Воронежской областями на 1 065 дел, или в 1,5 раза.</w:t>
      </w:r>
    </w:p>
    <w:p w:rsidR="00FA59BE" w:rsidRPr="002450C9" w:rsidRDefault="00FA59BE" w:rsidP="00FA59BE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FA59BE" w:rsidRPr="002450C9" w:rsidRDefault="00FA59BE" w:rsidP="00FA59BE">
      <w:pPr>
        <w:autoSpaceDE w:val="0"/>
        <w:autoSpaceDN w:val="0"/>
        <w:adjustRightInd w:val="0"/>
        <w:ind w:firstLine="709"/>
        <w:jc w:val="both"/>
      </w:pPr>
      <w:r w:rsidRPr="002450C9">
        <w:t>В целях сопоставления расходов регионов на обеспечение деятельности мировых судей выбраны расходы по подразделу 0105 «Судебная система» без учета межбюджетных трансфертов</w:t>
      </w:r>
      <w:r w:rsidRPr="002450C9">
        <w:rPr>
          <w:rFonts w:eastAsiaTheme="minorHAnsi"/>
          <w:lang w:eastAsia="en-US"/>
        </w:rPr>
        <w:t xml:space="preserve"> </w:t>
      </w:r>
      <w:r w:rsidRPr="002450C9">
        <w:t>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РФ.</w:t>
      </w:r>
    </w:p>
    <w:p w:rsidR="00FA59BE" w:rsidRPr="002450C9" w:rsidRDefault="00FA59BE" w:rsidP="00FA59BE">
      <w:pPr>
        <w:autoSpaceDE w:val="0"/>
        <w:autoSpaceDN w:val="0"/>
        <w:adjustRightInd w:val="0"/>
        <w:ind w:firstLine="709"/>
        <w:jc w:val="both"/>
      </w:pPr>
      <w:r w:rsidRPr="002450C9">
        <w:t xml:space="preserve">Необходимо отметить, что при рассмотрении результатов исследования следует учитывать различия в подходах к организационной структуре системы обеспечения деятельности мировых судей в регионах, которые могут влиять на корректность сопоставления. </w:t>
      </w:r>
    </w:p>
    <w:p w:rsidR="00FA59BE" w:rsidRPr="002450C9" w:rsidRDefault="00FA59BE" w:rsidP="00FA59B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450C9">
        <w:t xml:space="preserve">Так, например, в Воронежской области </w:t>
      </w:r>
      <w:r w:rsidRPr="002450C9">
        <w:rPr>
          <w:rFonts w:eastAsiaTheme="minorHAnsi"/>
          <w:lang w:eastAsia="en-US"/>
        </w:rPr>
        <w:t xml:space="preserve">материально-техническое обеспечение деятельности мировых судей и содержание аппаратов мировых судей осуществляет Управление делами Воронежской области, </w:t>
      </w:r>
      <w:proofErr w:type="gramStart"/>
      <w:r w:rsidRPr="002450C9">
        <w:rPr>
          <w:rFonts w:eastAsiaTheme="minorHAnsi"/>
          <w:lang w:eastAsia="en-US"/>
        </w:rPr>
        <w:t>расходы</w:t>
      </w:r>
      <w:proofErr w:type="gramEnd"/>
      <w:r w:rsidRPr="002450C9">
        <w:rPr>
          <w:rFonts w:eastAsiaTheme="minorHAnsi"/>
          <w:lang w:eastAsia="en-US"/>
        </w:rPr>
        <w:t xml:space="preserve"> на содержание которого отражены по подразделу 0104 «Функционирование Правительства РФ, высших исполнительных органов государственной власти субъектов РФ, местных администраций». По этой причине Воронежская область исключена из сопоставления.</w:t>
      </w:r>
    </w:p>
    <w:p w:rsidR="00FA59BE" w:rsidRDefault="00FA59BE" w:rsidP="00FA59B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450C9">
        <w:rPr>
          <w:rFonts w:eastAsiaTheme="minorHAnsi"/>
          <w:lang w:eastAsia="en-US"/>
        </w:rPr>
        <w:t>В Саратовской области в подведомственности органа власти, осуществляющего обеспечение деятельности мировых судей, для выполнения соответствующих функций образовано государственное казенное учреждение «Центр обслуживания судебных участков мировых судей Саратовской области» численностью 168 человек.</w:t>
      </w:r>
    </w:p>
    <w:p w:rsidR="00FA59BE" w:rsidRPr="00DB4D76" w:rsidRDefault="00FA59BE" w:rsidP="00FA59BE">
      <w:pPr>
        <w:ind w:firstLine="709"/>
        <w:jc w:val="both"/>
      </w:pPr>
      <w:r w:rsidRPr="00DB4D76">
        <w:t>В Краснодарском крае до 2017 года</w:t>
      </w:r>
      <w:r w:rsidRPr="00DB4D76">
        <w:rPr>
          <w:bCs/>
          <w:iCs/>
        </w:rPr>
        <w:t xml:space="preserve"> </w:t>
      </w:r>
      <w:r w:rsidRPr="002450C9">
        <w:rPr>
          <w:bCs/>
          <w:iCs/>
        </w:rPr>
        <w:t xml:space="preserve">организационное, кадровое и материально-техническое обеспечение деятельности мировых судей осуществлялось администрацией </w:t>
      </w:r>
      <w:r w:rsidRPr="002450C9">
        <w:rPr>
          <w:bCs/>
          <w:iCs/>
        </w:rPr>
        <w:lastRenderedPageBreak/>
        <w:t>Краснодарского края через управление Судебного департамента</w:t>
      </w:r>
      <w:r w:rsidRPr="00DB4D76">
        <w:rPr>
          <w:bCs/>
          <w:iCs/>
        </w:rPr>
        <w:t xml:space="preserve">. Специальный уполномоченный орган исполнительной власти Краснодарского края образован и приступил к осуществлению полномочий к середине 2017 года. Это привело к росту расходов </w:t>
      </w:r>
      <w:r w:rsidRPr="002450C9">
        <w:t>с 383,3 млн. руб. в 2016 году до 461,3 млн. руб. в 2017 году, или на 20,3</w:t>
      </w:r>
      <w:r w:rsidRPr="00DB4D76">
        <w:t xml:space="preserve"> процента. Утверждённые ассигнования по подразделу 0105 «Судебная система» в бюджете Краснодарского края на 2018 год выросли до 533,5 млн. рублей</w:t>
      </w:r>
      <w:r w:rsidR="002C30DB">
        <w:t>.</w:t>
      </w:r>
    </w:p>
    <w:p w:rsidR="00FA59BE" w:rsidRPr="002450C9" w:rsidRDefault="00FA59BE" w:rsidP="00FA59BE">
      <w:pPr>
        <w:autoSpaceDE w:val="0"/>
        <w:autoSpaceDN w:val="0"/>
        <w:adjustRightInd w:val="0"/>
        <w:ind w:firstLine="709"/>
        <w:jc w:val="both"/>
      </w:pPr>
      <w:r w:rsidRPr="002450C9">
        <w:rPr>
          <w:rFonts w:eastAsiaTheme="minorHAnsi"/>
          <w:lang w:eastAsia="en-US"/>
        </w:rPr>
        <w:t>В Волгоградской области обеспечение Комитета и мировых судей некоторыми видами услуг осуществляется централизовано иными органами власти или специализированными государственными учреждениями с отражением расходов по иным подразделам бюджетной классификации расходов бюджетов. К таким расходам относятся расходы по оплате услуг по транспортному обеспечению, арендной плате за пользование помещением, в котором размещён аппарат Комитета, материально-техническому обеспечению Комитета,</w:t>
      </w:r>
      <w:r w:rsidRPr="002450C9">
        <w:t xml:space="preserve"> </w:t>
      </w:r>
      <w:r w:rsidRPr="002450C9">
        <w:rPr>
          <w:rFonts w:eastAsiaTheme="minorHAnsi"/>
          <w:lang w:eastAsia="en-US"/>
        </w:rPr>
        <w:t>телефонной связи,</w:t>
      </w:r>
      <w:r w:rsidRPr="002450C9">
        <w:t xml:space="preserve"> сопровождению справочно-правовой системы «Консультант Плюс», доступу к сети «Интернет». В 2012-2017 годах совокупный объём таких расходов колебался в пределах от 3,4 до 14,5 млн. руб. и учтён при сопоставлении.</w:t>
      </w:r>
    </w:p>
    <w:p w:rsidR="00FA59BE" w:rsidRPr="002450C9" w:rsidRDefault="00FA59BE" w:rsidP="00FA59B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450C9">
        <w:rPr>
          <w:rFonts w:eastAsiaTheme="minorHAnsi"/>
          <w:lang w:eastAsia="en-US"/>
        </w:rPr>
        <w:t>Как упоминалось выше</w:t>
      </w:r>
      <w:r>
        <w:rPr>
          <w:rFonts w:eastAsiaTheme="minorHAnsi"/>
          <w:lang w:eastAsia="en-US"/>
        </w:rPr>
        <w:t xml:space="preserve">, </w:t>
      </w:r>
      <w:r w:rsidRPr="002450C9">
        <w:rPr>
          <w:rFonts w:eastAsiaTheme="minorHAnsi"/>
          <w:lang w:eastAsia="en-US"/>
        </w:rPr>
        <w:t xml:space="preserve">в Волгоградской области помимо решения задач по обеспечению деятельности мировых судей Комитет с 2017 года наделен полномочиями по организации государственной регистрации актов гражданского состояния и ведению регистра муниципальных правовых актов Волгоградской области. В 2017 году расходы на оплату труда </w:t>
      </w:r>
      <w:r w:rsidR="00053780">
        <w:rPr>
          <w:rFonts w:eastAsiaTheme="minorHAnsi"/>
          <w:lang w:eastAsia="en-US"/>
        </w:rPr>
        <w:t xml:space="preserve">с начислениями </w:t>
      </w:r>
      <w:r w:rsidRPr="002450C9">
        <w:rPr>
          <w:rFonts w:eastAsiaTheme="minorHAnsi"/>
          <w:lang w:eastAsia="en-US"/>
        </w:rPr>
        <w:t>двух соответствующих структурных подразделений оценочно составили 15,5 млн. руб. и при сопоставлении исключены.</w:t>
      </w:r>
    </w:p>
    <w:p w:rsidR="00FA59BE" w:rsidRPr="002450C9" w:rsidRDefault="00FA59BE" w:rsidP="00FA59B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450C9">
        <w:rPr>
          <w:rFonts w:eastAsiaTheme="minorHAnsi"/>
          <w:lang w:eastAsia="en-US"/>
        </w:rPr>
        <w:t xml:space="preserve">Также необходимо учитывать, что в 2017 году у Комитета </w:t>
      </w:r>
      <w:r w:rsidR="0095363D">
        <w:rPr>
          <w:rFonts w:eastAsiaTheme="minorHAnsi"/>
          <w:lang w:eastAsia="en-US"/>
        </w:rPr>
        <w:t xml:space="preserve">по рассматриваемому направлению </w:t>
      </w:r>
      <w:r w:rsidRPr="002450C9">
        <w:rPr>
          <w:rFonts w:eastAsiaTheme="minorHAnsi"/>
          <w:lang w:eastAsia="en-US"/>
        </w:rPr>
        <w:t>существен</w:t>
      </w:r>
      <w:r w:rsidR="00053780">
        <w:rPr>
          <w:rFonts w:eastAsiaTheme="minorHAnsi"/>
          <w:lang w:eastAsia="en-US"/>
        </w:rPr>
        <w:t>н</w:t>
      </w:r>
      <w:r w:rsidRPr="002450C9">
        <w:rPr>
          <w:rFonts w:eastAsiaTheme="minorHAnsi"/>
          <w:lang w:eastAsia="en-US"/>
        </w:rPr>
        <w:t xml:space="preserve">о выросла кредиторская задолженность, которая за год увеличилась в 4,3 раза и на конец года составила </w:t>
      </w:r>
      <w:r w:rsidRPr="002450C9">
        <w:rPr>
          <w:color w:val="000000"/>
        </w:rPr>
        <w:t>28,8</w:t>
      </w:r>
      <w:r w:rsidRPr="002450C9">
        <w:rPr>
          <w:color w:val="000000"/>
          <w:sz w:val="22"/>
          <w:szCs w:val="20"/>
        </w:rPr>
        <w:t xml:space="preserve"> млн</w:t>
      </w:r>
      <w:r w:rsidRPr="002450C9">
        <w:rPr>
          <w:rFonts w:eastAsiaTheme="minorHAnsi"/>
          <w:lang w:eastAsia="en-US"/>
        </w:rPr>
        <w:t>. рублей.</w:t>
      </w:r>
    </w:p>
    <w:p w:rsidR="00FA59BE" w:rsidRPr="002450C9" w:rsidRDefault="00FA59BE" w:rsidP="00FA59BE">
      <w:pPr>
        <w:ind w:firstLine="709"/>
        <w:jc w:val="both"/>
        <w:rPr>
          <w:color w:val="FF0000"/>
        </w:rPr>
      </w:pPr>
    </w:p>
    <w:p w:rsidR="00FA59BE" w:rsidRPr="002450C9" w:rsidRDefault="00FA59BE" w:rsidP="00FA59BE">
      <w:pPr>
        <w:jc w:val="both"/>
        <w:rPr>
          <w:color w:val="FF0000"/>
        </w:rPr>
      </w:pPr>
      <w:r w:rsidRPr="00D3266D">
        <w:rPr>
          <w:noProof/>
          <w:color w:val="FF0000"/>
          <w:bdr w:val="double" w:sz="4" w:space="0" w:color="auto"/>
        </w:rPr>
        <w:drawing>
          <wp:inline distT="0" distB="0" distL="0" distR="0">
            <wp:extent cx="6038850" cy="2981325"/>
            <wp:effectExtent l="0" t="0" r="0" b="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A59BE" w:rsidRPr="002450C9" w:rsidRDefault="00FA59BE" w:rsidP="00FA59BE">
      <w:pPr>
        <w:ind w:firstLine="709"/>
        <w:jc w:val="both"/>
      </w:pPr>
    </w:p>
    <w:p w:rsidR="00FA59BE" w:rsidRPr="002450C9" w:rsidRDefault="00FA59BE" w:rsidP="00FA59BE">
      <w:pPr>
        <w:ind w:firstLine="709"/>
        <w:jc w:val="both"/>
      </w:pPr>
      <w:r w:rsidRPr="002450C9">
        <w:t>В 2017 году по всем выбранным субъектам РФ</w:t>
      </w:r>
      <w:r>
        <w:t>,</w:t>
      </w:r>
      <w:r w:rsidRPr="002450C9">
        <w:t xml:space="preserve"> за исключением Волгоградской области</w:t>
      </w:r>
      <w:r>
        <w:t>,</w:t>
      </w:r>
      <w:r w:rsidRPr="002450C9">
        <w:t xml:space="preserve"> отмечается рост расходов на обеспечение деятельности мировых судей по сравнению с 2015 годом.</w:t>
      </w:r>
    </w:p>
    <w:p w:rsidR="00FA59BE" w:rsidRDefault="00FA59BE" w:rsidP="00FA59BE">
      <w:pPr>
        <w:ind w:firstLine="709"/>
        <w:jc w:val="both"/>
      </w:pPr>
      <w:r w:rsidRPr="000B41EB">
        <w:t>В Волгоградской области указанные расходы в 2017 году снизились по сравнению с показателем 2016 года с 336,8 млн. руб. до 322,0 млн. руб., или на 4,4 процента. По сравнению с 2015 годом наблюдается снижение расходов как на оплату труда с начислениями - с 235,5 до 228,3 млн. руб., или на 3,1%, так и на закупку товаров, работ и услуг – с 99,2 до 92,4 млн. руб., или на 6,8 процента.</w:t>
      </w:r>
      <w:r w:rsidR="00AA7D22">
        <w:t xml:space="preserve"> </w:t>
      </w:r>
    </w:p>
    <w:p w:rsidR="00AA7D22" w:rsidRDefault="00AA7D22" w:rsidP="00FA59BE">
      <w:pPr>
        <w:ind w:firstLine="709"/>
        <w:jc w:val="both"/>
      </w:pPr>
    </w:p>
    <w:p w:rsidR="00AA7D22" w:rsidRPr="002450C9" w:rsidRDefault="00AA7D22" w:rsidP="00FA59BE">
      <w:pPr>
        <w:ind w:firstLine="709"/>
        <w:jc w:val="both"/>
      </w:pPr>
    </w:p>
    <w:p w:rsidR="00FA59BE" w:rsidRPr="002450C9" w:rsidRDefault="00FA59BE" w:rsidP="00FA59BE">
      <w:pPr>
        <w:jc w:val="both"/>
      </w:pPr>
      <w:r w:rsidRPr="001F63C4">
        <w:rPr>
          <w:noProof/>
          <w:bdr w:val="double" w:sz="4" w:space="0" w:color="auto"/>
        </w:rPr>
        <w:lastRenderedPageBreak/>
        <w:drawing>
          <wp:inline distT="0" distB="0" distL="0" distR="0">
            <wp:extent cx="6038850" cy="2981325"/>
            <wp:effectExtent l="0" t="0" r="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A59BE" w:rsidRDefault="00FA59BE" w:rsidP="00FA59BE">
      <w:pPr>
        <w:ind w:firstLine="709"/>
        <w:jc w:val="both"/>
      </w:pPr>
    </w:p>
    <w:p w:rsidR="00AA7D22" w:rsidRPr="002450C9" w:rsidRDefault="00AA7D22" w:rsidP="00FA59BE">
      <w:pPr>
        <w:ind w:firstLine="709"/>
        <w:jc w:val="both"/>
      </w:pPr>
    </w:p>
    <w:p w:rsidR="00FA59BE" w:rsidRDefault="00FA59BE" w:rsidP="00FA59BE">
      <w:pPr>
        <w:ind w:firstLine="709"/>
        <w:jc w:val="both"/>
      </w:pPr>
      <w:r w:rsidRPr="002450C9">
        <w:t>Информация о структуре расходов регионов в 2017 году по направлениям и расходах в расчете на один судебный участок представлена следующими диаграммами.</w:t>
      </w:r>
    </w:p>
    <w:p w:rsidR="00C21A85" w:rsidRDefault="00C21A85" w:rsidP="00FA59BE">
      <w:pPr>
        <w:ind w:firstLine="709"/>
        <w:jc w:val="both"/>
      </w:pPr>
    </w:p>
    <w:p w:rsidR="00AA7D22" w:rsidRPr="002450C9" w:rsidRDefault="00AA7D22" w:rsidP="00FA59BE">
      <w:pPr>
        <w:ind w:firstLine="709"/>
        <w:jc w:val="both"/>
      </w:pPr>
    </w:p>
    <w:p w:rsidR="00FA59BE" w:rsidRPr="002450C9" w:rsidRDefault="00FA59BE" w:rsidP="00FA59BE">
      <w:pPr>
        <w:jc w:val="both"/>
      </w:pPr>
      <w:r w:rsidRPr="001F63C4">
        <w:rPr>
          <w:noProof/>
          <w:bdr w:val="double" w:sz="4" w:space="0" w:color="auto"/>
        </w:rPr>
        <w:drawing>
          <wp:inline distT="0" distB="0" distL="0" distR="0">
            <wp:extent cx="6038850" cy="2981325"/>
            <wp:effectExtent l="0" t="0" r="0" b="0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A59BE" w:rsidRPr="002450C9" w:rsidRDefault="00FA59BE" w:rsidP="00FA59BE">
      <w:pPr>
        <w:ind w:firstLine="709"/>
        <w:jc w:val="both"/>
        <w:rPr>
          <w:color w:val="FF0000"/>
        </w:rPr>
      </w:pPr>
    </w:p>
    <w:p w:rsidR="00FA59BE" w:rsidRPr="002450C9" w:rsidRDefault="00FA59BE" w:rsidP="00FA59BE">
      <w:pPr>
        <w:ind w:firstLine="709"/>
        <w:jc w:val="both"/>
      </w:pPr>
      <w:r w:rsidRPr="002450C9">
        <w:t>Волгоградская область характеризуется наименьшими расходами по виду «Закупка товаров, работ и услуг…» как в абсолютной величине, так и в относительной (за исключением Ставропольского края) – 92,4 млн. руб./28,7</w:t>
      </w:r>
      <w:r w:rsidR="007E3A6A">
        <w:t>%</w:t>
      </w:r>
      <w:r w:rsidRPr="002450C9">
        <w:t xml:space="preserve"> </w:t>
      </w:r>
      <w:r w:rsidR="007E3A6A">
        <w:t>(повторно обращаем внимание на значительный рост кредиторской задолженности Комитета в 2017 году)</w:t>
      </w:r>
      <w:r w:rsidRPr="002450C9">
        <w:t>. Незначительным исключением выступает Ставропольский край, где расходы на закупку товаров, работ и услуг занимают 28,5% в структуре расходов.</w:t>
      </w:r>
    </w:p>
    <w:p w:rsidR="00FA59BE" w:rsidRPr="002450C9" w:rsidRDefault="00FA59BE" w:rsidP="00FA59BE">
      <w:pPr>
        <w:ind w:firstLine="709"/>
        <w:jc w:val="both"/>
        <w:rPr>
          <w:color w:val="FF0000"/>
        </w:rPr>
      </w:pPr>
    </w:p>
    <w:p w:rsidR="00FA59BE" w:rsidRPr="002450C9" w:rsidRDefault="00FA59BE" w:rsidP="00FA59BE">
      <w:pPr>
        <w:jc w:val="both"/>
        <w:rPr>
          <w:color w:val="FF0000"/>
        </w:rPr>
      </w:pPr>
      <w:r w:rsidRPr="001F63C4">
        <w:rPr>
          <w:noProof/>
          <w:color w:val="FF0000"/>
          <w:bdr w:val="double" w:sz="4" w:space="0" w:color="auto"/>
        </w:rPr>
        <w:lastRenderedPageBreak/>
        <w:drawing>
          <wp:inline distT="0" distB="0" distL="0" distR="0">
            <wp:extent cx="6038850" cy="2981325"/>
            <wp:effectExtent l="0" t="0" r="0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A59BE" w:rsidRPr="002450C9" w:rsidRDefault="00FA59BE" w:rsidP="00FA59BE">
      <w:pPr>
        <w:ind w:firstLine="709"/>
        <w:jc w:val="both"/>
        <w:rPr>
          <w:color w:val="FF0000"/>
        </w:rPr>
      </w:pPr>
    </w:p>
    <w:p w:rsidR="00FA59BE" w:rsidRPr="002450C9" w:rsidRDefault="00FA59BE" w:rsidP="00FA59BE">
      <w:pPr>
        <w:ind w:firstLine="709"/>
        <w:jc w:val="both"/>
      </w:pPr>
      <w:r w:rsidRPr="002450C9">
        <w:t>В расчете на один судебный участок в Волгоградской области приходится наименьший объем расходов на закупку товаров, работ и услуг (545,3 тыс. руб.). Расходы на оплату труда в расчете на один участок в Волгоградской области сопоставимы с расходами Саратовской области и ниже показателя Ставропольского края на 15,1 процента. Существенно меньшие расходы на оплату труда на один участок в Ростовской области и Краснодарском крае обусловлены, вероятно, значительно большим количеством участков с соответствующим распределением доли расходов, приходящейся на оплату труда аппарата управления уполномоченного органа власти, а также особенностями ситуации в Краснодарском крае, описанной выше</w:t>
      </w:r>
      <w:r>
        <w:t>.</w:t>
      </w:r>
    </w:p>
    <w:p w:rsidR="00DB4D76" w:rsidRDefault="00DB4D76" w:rsidP="00A307BE">
      <w:pPr>
        <w:ind w:firstLine="709"/>
        <w:jc w:val="both"/>
        <w:rPr>
          <w:rFonts w:eastAsiaTheme="minorEastAsia"/>
        </w:rPr>
      </w:pPr>
    </w:p>
    <w:p w:rsidR="00DC5826" w:rsidRDefault="00DC5826" w:rsidP="00DC5826">
      <w:pPr>
        <w:jc w:val="center"/>
        <w:rPr>
          <w:b/>
        </w:rPr>
      </w:pPr>
      <w:r w:rsidRPr="00DC5826">
        <w:rPr>
          <w:b/>
        </w:rPr>
        <w:t>Организационное обеспечение</w:t>
      </w:r>
    </w:p>
    <w:p w:rsidR="00E6657C" w:rsidRPr="00DC5826" w:rsidRDefault="00DC5826" w:rsidP="00DC5826">
      <w:pPr>
        <w:jc w:val="center"/>
        <w:rPr>
          <w:b/>
        </w:rPr>
      </w:pPr>
      <w:r w:rsidRPr="00DC5826">
        <w:rPr>
          <w:b/>
        </w:rPr>
        <w:t>деятельности мировых судей Волгоградской области</w:t>
      </w:r>
    </w:p>
    <w:p w:rsidR="00DC5826" w:rsidRDefault="00DC5826" w:rsidP="00FA59BE">
      <w:pPr>
        <w:ind w:firstLine="709"/>
        <w:jc w:val="both"/>
      </w:pPr>
      <w:r>
        <w:t>Как указано выше</w:t>
      </w:r>
      <w:r w:rsidR="002C30DB">
        <w:t>,</w:t>
      </w:r>
      <w:r>
        <w:t xml:space="preserve"> под организационным обеспечением деятельности мировых судей понимаются </w:t>
      </w:r>
      <w:r>
        <w:rPr>
          <w:rFonts w:eastAsiaTheme="minorHAnsi"/>
          <w:lang w:eastAsia="en-US"/>
        </w:rPr>
        <w:t>мероприятия кадрового, финансового, материально-технического, информационного и иного характера, направленные на создание условий для полного и независимого осуществления правосудия.</w:t>
      </w:r>
    </w:p>
    <w:p w:rsidR="00DC5826" w:rsidRDefault="00DC5826" w:rsidP="00FA59BE">
      <w:pPr>
        <w:ind w:firstLine="709"/>
        <w:jc w:val="both"/>
      </w:pPr>
    </w:p>
    <w:p w:rsidR="00DB3E97" w:rsidRDefault="00DB3E97" w:rsidP="00DB3E97">
      <w:pPr>
        <w:autoSpaceDE w:val="0"/>
        <w:autoSpaceDN w:val="0"/>
        <w:adjustRightInd w:val="0"/>
        <w:jc w:val="center"/>
        <w:rPr>
          <w:rFonts w:eastAsiaTheme="minorEastAsia"/>
          <w:b/>
          <w:i/>
        </w:rPr>
      </w:pPr>
      <w:r w:rsidRPr="00DB3E97">
        <w:rPr>
          <w:rFonts w:eastAsiaTheme="minorEastAsia"/>
          <w:b/>
          <w:i/>
        </w:rPr>
        <w:t>Кадровое обеспечение деятельности мировых судей</w:t>
      </w:r>
      <w:r w:rsidR="00F26EA2">
        <w:rPr>
          <w:rFonts w:eastAsiaTheme="minorEastAsia"/>
          <w:b/>
          <w:i/>
        </w:rPr>
        <w:t xml:space="preserve"> </w:t>
      </w:r>
    </w:p>
    <w:p w:rsidR="00B10E22" w:rsidRPr="0017489D" w:rsidRDefault="00B10E22" w:rsidP="00B10E22">
      <w:pPr>
        <w:autoSpaceDE w:val="0"/>
        <w:autoSpaceDN w:val="0"/>
        <w:adjustRightInd w:val="0"/>
        <w:ind w:firstLine="709"/>
        <w:jc w:val="both"/>
      </w:pPr>
      <w:r w:rsidRPr="0017489D">
        <w:t xml:space="preserve">Согласно </w:t>
      </w:r>
      <w:hyperlink r:id="rId21" w:history="1">
        <w:r w:rsidRPr="0017489D">
          <w:t>ст. 9</w:t>
        </w:r>
      </w:hyperlink>
      <w:r w:rsidRPr="0017489D">
        <w:t xml:space="preserve"> Закона № 188-ФЗ работу мирового судьи обеспечивает его</w:t>
      </w:r>
      <w:r w:rsidRPr="00B10E22">
        <w:t xml:space="preserve"> </w:t>
      </w:r>
      <w:r w:rsidRPr="0017489D">
        <w:t>аппарат. Структура и штатное расписание аппарата мирового судьи устанавливаются в порядке, предусмотренном законом субъекта РФ. Работники аппарата мирового судьи являются государственными служащими соответствующего субъекта РФ.</w:t>
      </w:r>
    </w:p>
    <w:p w:rsidR="00B10E22" w:rsidRPr="0017489D" w:rsidRDefault="00B10E22" w:rsidP="00B10E22">
      <w:pPr>
        <w:autoSpaceDE w:val="0"/>
        <w:autoSpaceDN w:val="0"/>
        <w:adjustRightInd w:val="0"/>
        <w:ind w:firstLine="709"/>
        <w:jc w:val="both"/>
      </w:pPr>
      <w:r w:rsidRPr="0017489D">
        <w:t>В соответствии со ст. 11.1 Закона № 297-ОД к работникам аппарата мирового судьи Волгоградской области относятся помощник мирового судьи, секретарь судебного заседания, секретарь судебного участка. Работники аппарата мирового судьи Волгоградской области являются государственными гражданскими служащими Волгоградской области</w:t>
      </w:r>
      <w:r w:rsidR="00F26EA2">
        <w:t xml:space="preserve"> (далее – ГГС)</w:t>
      </w:r>
      <w:r w:rsidRPr="0017489D">
        <w:t>.</w:t>
      </w:r>
    </w:p>
    <w:p w:rsidR="00B10E22" w:rsidRDefault="00B10E22" w:rsidP="00F26EA2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i/>
        </w:rPr>
      </w:pPr>
      <w:r w:rsidRPr="0017489D">
        <w:rPr>
          <w:rFonts w:eastAsiaTheme="minorEastAsia"/>
        </w:rPr>
        <w:t>Структура и штатная численность Комитета утвержд</w:t>
      </w:r>
      <w:r>
        <w:rPr>
          <w:rFonts w:eastAsiaTheme="minorEastAsia"/>
        </w:rPr>
        <w:t>ена</w:t>
      </w:r>
      <w:r w:rsidRPr="0017489D">
        <w:rPr>
          <w:rFonts w:eastAsiaTheme="minorEastAsia"/>
        </w:rPr>
        <w:t xml:space="preserve"> постановлением Губернатора Волгоградской области от 02.05.2012 № 259 (действовало до 01.03.2017)</w:t>
      </w:r>
      <w:r>
        <w:rPr>
          <w:rFonts w:eastAsiaTheme="minorEastAsia"/>
        </w:rPr>
        <w:t xml:space="preserve"> и</w:t>
      </w:r>
      <w:r w:rsidRPr="0017489D">
        <w:rPr>
          <w:rFonts w:eastAsiaTheme="minorEastAsia"/>
        </w:rPr>
        <w:t xml:space="preserve"> от 19.12.2016 № 969. Судебные участки в составе судебных районов определены как структурные подразделения Комитета.</w:t>
      </w:r>
    </w:p>
    <w:p w:rsidR="005C46D6" w:rsidRDefault="005C46D6" w:rsidP="005C46D6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По состоянию на 2017 год д</w:t>
      </w:r>
      <w:r w:rsidRPr="0017489D">
        <w:rPr>
          <w:rFonts w:eastAsiaTheme="minorEastAsia"/>
        </w:rPr>
        <w:t>ля каждого судебного участка предусмотрен аппарат мирового судьи в количестве 3 единиц в составе: помощник мирового судьи, секретарь судебного заседания, секретарь судебного участка. Кроме аппаратов мировых судей</w:t>
      </w:r>
      <w:r w:rsidR="002C30DB">
        <w:rPr>
          <w:rFonts w:eastAsiaTheme="minorEastAsia"/>
        </w:rPr>
        <w:t>,</w:t>
      </w:r>
      <w:r w:rsidRPr="0017489D">
        <w:rPr>
          <w:rFonts w:eastAsiaTheme="minorEastAsia"/>
        </w:rPr>
        <w:t xml:space="preserve"> в штате судебных участков предусмотрены должности обеспечивающих работников в общем </w:t>
      </w:r>
      <w:r w:rsidRPr="0017489D">
        <w:rPr>
          <w:rFonts w:eastAsiaTheme="minorEastAsia"/>
        </w:rPr>
        <w:lastRenderedPageBreak/>
        <w:t xml:space="preserve">количестве 265 единиц: главный специалист (30 ед.), специалист (49 ед.), уборщик и сторож (186 ед.). В обязанности главного специалиста (ГГС) входит руководство работниками аппаратов мировых судей во взаимодействии с мировым судьёй, руководство иным персоналом, взаимодействие с аппаратом Комитета по кадровым вопросам, мероприятиям материально-технического обеспечения и пр. Специалист (не ГГС), по сути, исполняет функции завхоза. С 01.01.2018 в штат судебных участков </w:t>
      </w:r>
      <w:r w:rsidR="00F26EA2" w:rsidRPr="0017489D">
        <w:rPr>
          <w:rFonts w:eastAsiaTheme="minorEastAsia"/>
        </w:rPr>
        <w:t xml:space="preserve">дополнительно </w:t>
      </w:r>
      <w:r w:rsidRPr="0017489D">
        <w:rPr>
          <w:rFonts w:eastAsiaTheme="minorEastAsia"/>
        </w:rPr>
        <w:t xml:space="preserve">введено 12 должностей специалиста 1 категории </w:t>
      </w:r>
      <w:r>
        <w:rPr>
          <w:rFonts w:eastAsiaTheme="minorEastAsia"/>
        </w:rPr>
        <w:t xml:space="preserve">(не ГГС) </w:t>
      </w:r>
      <w:r w:rsidRPr="0017489D">
        <w:rPr>
          <w:rFonts w:eastAsiaTheme="minorEastAsia"/>
        </w:rPr>
        <w:t xml:space="preserve">для организации архивов. </w:t>
      </w:r>
    </w:p>
    <w:p w:rsidR="005C46D6" w:rsidRPr="0017489D" w:rsidRDefault="005C46D6" w:rsidP="005C46D6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До 2017 года все подразделения Комитета имели отношение к обеспечению деятельности мировых судей. В 2017 году в связи с расширением перечня полномочий в штат Комитета введены два отдела численностью 28 ед., деятельность которых не связана с обеспечением деятельности мировых судей.</w:t>
      </w:r>
    </w:p>
    <w:p w:rsidR="000D2C6F" w:rsidRDefault="00255A48" w:rsidP="0017489D">
      <w:pPr>
        <w:ind w:firstLine="708"/>
        <w:jc w:val="both"/>
      </w:pPr>
      <w:r>
        <w:t xml:space="preserve">В 2012-2017 годах общая штатная численность Комитета в части подразделений, имеющих отношение к обеспечению деятельности мировых судей, </w:t>
      </w:r>
      <w:r w:rsidR="00C13AD1">
        <w:t>находилась</w:t>
      </w:r>
      <w:r>
        <w:t xml:space="preserve"> в пределах </w:t>
      </w:r>
      <w:r w:rsidRPr="00B10E22">
        <w:t>7</w:t>
      </w:r>
      <w:r w:rsidR="00C13AD1" w:rsidRPr="00B10E22">
        <w:t>62</w:t>
      </w:r>
      <w:r w:rsidRPr="00B10E22">
        <w:t xml:space="preserve"> – 7</w:t>
      </w:r>
      <w:r w:rsidR="00B10E22" w:rsidRPr="00B10E22">
        <w:t>88</w:t>
      </w:r>
      <w:r w:rsidRPr="00B10E22">
        <w:t xml:space="preserve"> ед., штатная численность </w:t>
      </w:r>
      <w:r w:rsidR="000102B4">
        <w:t>ГГС</w:t>
      </w:r>
      <w:r>
        <w:t xml:space="preserve"> – в пределах 377 – 522 единицы. </w:t>
      </w:r>
    </w:p>
    <w:p w:rsidR="00AA7D22" w:rsidRDefault="00AA7D22" w:rsidP="0017489D">
      <w:pPr>
        <w:ind w:firstLine="708"/>
        <w:jc w:val="both"/>
      </w:pPr>
    </w:p>
    <w:p w:rsidR="00E6657C" w:rsidRDefault="007017F9" w:rsidP="00DF0133">
      <w:pPr>
        <w:jc w:val="center"/>
      </w:pPr>
      <w:r w:rsidRPr="00A84FC4">
        <w:rPr>
          <w:noProof/>
          <w:bdr w:val="double" w:sz="4" w:space="0" w:color="auto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D2C6F" w:rsidRPr="00D569AB" w:rsidRDefault="00D569AB" w:rsidP="00D569AB">
      <w:pPr>
        <w:pStyle w:val="a4"/>
        <w:ind w:left="0"/>
        <w:jc w:val="both"/>
        <w:rPr>
          <w:i/>
          <w:sz w:val="20"/>
          <w:szCs w:val="20"/>
        </w:rPr>
      </w:pPr>
      <w:r w:rsidRPr="00D569AB">
        <w:rPr>
          <w:i/>
          <w:sz w:val="20"/>
          <w:szCs w:val="20"/>
        </w:rPr>
        <w:t>*без учёта численности подразделений, не имеющих отношения к обеспечению деятельности мировых судей</w:t>
      </w:r>
    </w:p>
    <w:p w:rsidR="000D2C6F" w:rsidRDefault="000D2C6F" w:rsidP="00D569AB">
      <w:pPr>
        <w:jc w:val="both"/>
      </w:pPr>
    </w:p>
    <w:p w:rsidR="000102B4" w:rsidRDefault="00D569AB" w:rsidP="00255A48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В </w:t>
      </w:r>
      <w:r w:rsidR="00255A48">
        <w:t>исследуемом</w:t>
      </w:r>
      <w:r>
        <w:t xml:space="preserve"> </w:t>
      </w:r>
      <w:r w:rsidR="000102B4">
        <w:t xml:space="preserve">периоде </w:t>
      </w:r>
      <w:r w:rsidR="00344D58">
        <w:t>наблюдается</w:t>
      </w:r>
      <w:r>
        <w:t xml:space="preserve"> незначительн</w:t>
      </w:r>
      <w:r w:rsidR="00C13AD1">
        <w:t>ая</w:t>
      </w:r>
      <w:r>
        <w:t xml:space="preserve"> тенденци</w:t>
      </w:r>
      <w:r w:rsidR="00C13AD1">
        <w:t>я</w:t>
      </w:r>
      <w:r>
        <w:t xml:space="preserve"> к снижению </w:t>
      </w:r>
      <w:r w:rsidR="00344D58">
        <w:t xml:space="preserve">общей штатной численности Комитета в части подразделений, имеющих отношение к обеспечению деятельности мировых судей, </w:t>
      </w:r>
      <w:r>
        <w:t xml:space="preserve">- с </w:t>
      </w:r>
      <w:r w:rsidRPr="00B10E22">
        <w:t>788 до 7</w:t>
      </w:r>
      <w:r w:rsidR="00C13AD1" w:rsidRPr="00B10E22">
        <w:t>62</w:t>
      </w:r>
      <w:r w:rsidRPr="00B10E22">
        <w:t xml:space="preserve"> ед., или на </w:t>
      </w:r>
      <w:r w:rsidR="00C13AD1" w:rsidRPr="00B10E22">
        <w:t>3,3</w:t>
      </w:r>
      <w:r w:rsidR="002C30DB">
        <w:t xml:space="preserve"> %</w:t>
      </w:r>
      <w:r w:rsidR="00B10E22">
        <w:t xml:space="preserve"> </w:t>
      </w:r>
      <w:r w:rsidR="00B10E22" w:rsidRPr="00B10E22">
        <w:t>за счёт сокращения технического персонала</w:t>
      </w:r>
      <w:r w:rsidRPr="00B10E22">
        <w:t>.</w:t>
      </w:r>
      <w:r w:rsidR="00344D58">
        <w:t xml:space="preserve"> </w:t>
      </w:r>
    </w:p>
    <w:p w:rsidR="00255A48" w:rsidRDefault="00344D58" w:rsidP="00255A4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>
        <w:t>При практически неи</w:t>
      </w:r>
      <w:r w:rsidR="00D80E52">
        <w:t>з</w:t>
      </w:r>
      <w:r>
        <w:t>менной</w:t>
      </w:r>
      <w:r w:rsidR="00D80E52">
        <w:t xml:space="preserve"> общей</w:t>
      </w:r>
      <w:r>
        <w:t xml:space="preserve"> штатной численности в 201</w:t>
      </w:r>
      <w:r w:rsidR="00D80E52">
        <w:t>4</w:t>
      </w:r>
      <w:r>
        <w:t xml:space="preserve"> году </w:t>
      </w:r>
      <w:r w:rsidR="00D80E52">
        <w:t xml:space="preserve">в Комитете </w:t>
      </w:r>
      <w:r>
        <w:t xml:space="preserve">произошло </w:t>
      </w:r>
      <w:r w:rsidR="00D80E52">
        <w:t xml:space="preserve">значительное </w:t>
      </w:r>
      <w:r>
        <w:t xml:space="preserve">увеличение штатной численности </w:t>
      </w:r>
      <w:r w:rsidR="000102B4">
        <w:t>ГГС</w:t>
      </w:r>
      <w:r w:rsidR="00D80E52">
        <w:t xml:space="preserve"> - с 379 до 522 ед., или на 143 ед. (37,7%). Указанное увеличение обуслов</w:t>
      </w:r>
      <w:r w:rsidR="00255A48">
        <w:t>л</w:t>
      </w:r>
      <w:r w:rsidR="00D80E52">
        <w:t xml:space="preserve">ено включением </w:t>
      </w:r>
      <w:r w:rsidR="00255A48">
        <w:t xml:space="preserve">с 01.01.2014 в Закон № 297-ОД положений об аппарате мирового судьи и </w:t>
      </w:r>
      <w:r w:rsidR="00255A48" w:rsidRPr="00255A48">
        <w:t xml:space="preserve">включением в </w:t>
      </w:r>
      <w:hyperlink r:id="rId23" w:history="1">
        <w:r w:rsidR="00255A48" w:rsidRPr="00255A48">
          <w:rPr>
            <w:rFonts w:eastAsiaTheme="minorHAnsi"/>
            <w:lang w:eastAsia="en-US"/>
          </w:rPr>
          <w:t>Реестр</w:t>
        </w:r>
      </w:hyperlink>
      <w:r w:rsidR="00255A48" w:rsidRPr="00255A48">
        <w:rPr>
          <w:rFonts w:eastAsiaTheme="minorHAnsi"/>
          <w:lang w:eastAsia="en-US"/>
        </w:rPr>
        <w:t xml:space="preserve"> должностей </w:t>
      </w:r>
      <w:r w:rsidR="00255A48">
        <w:rPr>
          <w:rFonts w:eastAsiaTheme="minorHAnsi"/>
          <w:lang w:eastAsia="en-US"/>
        </w:rPr>
        <w:t xml:space="preserve">государственной гражданской службы Волгоградской области помимо должностей помощника мирового судьи и секретаря судебного заседания должности секретаря судебного участка. В дальнейшем штатная численность </w:t>
      </w:r>
      <w:r w:rsidR="000102B4">
        <w:rPr>
          <w:rFonts w:eastAsiaTheme="minorHAnsi"/>
          <w:lang w:eastAsia="en-US"/>
        </w:rPr>
        <w:t>ГГС практически не изменялась.</w:t>
      </w:r>
    </w:p>
    <w:p w:rsidR="000102B4" w:rsidRDefault="000102B4" w:rsidP="00255A4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Показатель заполняемости вакансий на конец года в Комитете колебался в диапазоне 94,5 – 98,6%, в том числе по должностям ГГС – 94,0 </w:t>
      </w:r>
      <w:r w:rsidR="00F26EA2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97,6 процента.</w:t>
      </w:r>
    </w:p>
    <w:p w:rsidR="0017489D" w:rsidRDefault="0017489D" w:rsidP="0017489D">
      <w:pPr>
        <w:ind w:firstLine="708"/>
        <w:jc w:val="both"/>
      </w:pPr>
      <w:r w:rsidRPr="0017489D">
        <w:t xml:space="preserve">Штатная численность Комитета </w:t>
      </w:r>
      <w:r>
        <w:t xml:space="preserve">в 2017 году </w:t>
      </w:r>
      <w:r w:rsidRPr="0017489D">
        <w:t>утверждена в количестве 790 ед</w:t>
      </w:r>
      <w:r w:rsidR="000102B4">
        <w:t>.</w:t>
      </w:r>
      <w:r w:rsidRPr="0017489D">
        <w:t xml:space="preserve">, в том числе 546 </w:t>
      </w:r>
      <w:r w:rsidR="00B10E22">
        <w:t xml:space="preserve">должностей </w:t>
      </w:r>
      <w:r w:rsidRPr="0017489D">
        <w:t>ГГС. В укрупнённом виде информация о распределении штатной численности Комитета представлена в таблице.</w:t>
      </w:r>
    </w:p>
    <w:p w:rsidR="00AA7D22" w:rsidRDefault="00AA7D22" w:rsidP="0017489D">
      <w:pPr>
        <w:ind w:firstLine="708"/>
        <w:jc w:val="both"/>
      </w:pPr>
    </w:p>
    <w:p w:rsidR="007E1A95" w:rsidRPr="0017489D" w:rsidRDefault="007E1A95" w:rsidP="0017489D">
      <w:pPr>
        <w:ind w:firstLine="708"/>
        <w:jc w:val="both"/>
      </w:pPr>
    </w:p>
    <w:p w:rsidR="0017489D" w:rsidRPr="0017489D" w:rsidRDefault="0017489D" w:rsidP="0017489D">
      <w:pPr>
        <w:ind w:firstLine="708"/>
        <w:jc w:val="both"/>
      </w:pPr>
      <w:r w:rsidRPr="0017489D">
        <w:lastRenderedPageBreak/>
        <w:tab/>
      </w:r>
      <w:r w:rsidRPr="0017489D">
        <w:tab/>
      </w:r>
      <w:r w:rsidRPr="0017489D">
        <w:tab/>
      </w:r>
      <w:r w:rsidRPr="0017489D">
        <w:tab/>
      </w:r>
      <w:r w:rsidRPr="0017489D">
        <w:tab/>
      </w:r>
      <w:r w:rsidRPr="0017489D">
        <w:tab/>
      </w:r>
      <w:r w:rsidRPr="0017489D">
        <w:tab/>
      </w:r>
      <w:r w:rsidRPr="0017489D">
        <w:tab/>
      </w:r>
      <w:r w:rsidRPr="0017489D">
        <w:tab/>
      </w:r>
      <w:r w:rsidRPr="0017489D">
        <w:tab/>
      </w:r>
      <w:r w:rsidRPr="0017489D">
        <w:tab/>
        <w:t>ед.</w:t>
      </w:r>
    </w:p>
    <w:tbl>
      <w:tblPr>
        <w:tblStyle w:val="140"/>
        <w:tblW w:w="10050" w:type="dxa"/>
        <w:tblInd w:w="-441" w:type="dxa"/>
        <w:tblLook w:val="04A0"/>
      </w:tblPr>
      <w:tblGrid>
        <w:gridCol w:w="1970"/>
        <w:gridCol w:w="6379"/>
        <w:gridCol w:w="1701"/>
      </w:tblGrid>
      <w:tr w:rsidR="0017489D" w:rsidRPr="0017489D" w:rsidTr="000D2C6F">
        <w:tc>
          <w:tcPr>
            <w:tcW w:w="8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489D" w:rsidRPr="0017489D" w:rsidRDefault="0017489D" w:rsidP="0017489D">
            <w:pPr>
              <w:jc w:val="center"/>
              <w:rPr>
                <w:b/>
              </w:rPr>
            </w:pPr>
            <w:r w:rsidRPr="0017489D">
              <w:rPr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89D" w:rsidRPr="0017489D" w:rsidRDefault="0017489D" w:rsidP="0017489D">
            <w:pPr>
              <w:jc w:val="center"/>
              <w:rPr>
                <w:b/>
              </w:rPr>
            </w:pPr>
            <w:r w:rsidRPr="0017489D">
              <w:rPr>
                <w:b/>
              </w:rPr>
              <w:t>Кол-во шт. единиц</w:t>
            </w:r>
          </w:p>
        </w:tc>
      </w:tr>
      <w:tr w:rsidR="0017489D" w:rsidRPr="0017489D" w:rsidTr="000D2C6F"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7489D" w:rsidRPr="0017489D" w:rsidRDefault="0017489D" w:rsidP="0017489D">
            <w:pPr>
              <w:jc w:val="both"/>
            </w:pPr>
            <w:r w:rsidRPr="0017489D">
              <w:t>Аппарат Комитета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</w:tcBorders>
          </w:tcPr>
          <w:p w:rsidR="0017489D" w:rsidRPr="0017489D" w:rsidRDefault="0017489D" w:rsidP="0017489D">
            <w:pPr>
              <w:jc w:val="both"/>
            </w:pPr>
            <w:r w:rsidRPr="0017489D">
              <w:t xml:space="preserve">Руководство и подразделения общего назначения 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489D" w:rsidRPr="0017489D" w:rsidRDefault="0017489D" w:rsidP="0017489D">
            <w:pPr>
              <w:jc w:val="center"/>
            </w:pPr>
            <w:r w:rsidRPr="0017489D">
              <w:t>62</w:t>
            </w:r>
          </w:p>
        </w:tc>
      </w:tr>
      <w:tr w:rsidR="0017489D" w:rsidRPr="0017489D" w:rsidTr="000D2C6F"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7489D" w:rsidRPr="0017489D" w:rsidRDefault="0017489D" w:rsidP="0017489D">
            <w:pPr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17489D" w:rsidRPr="0017489D" w:rsidRDefault="0017489D" w:rsidP="0017489D">
            <w:pPr>
              <w:jc w:val="both"/>
            </w:pPr>
            <w:r w:rsidRPr="0017489D">
              <w:t>Отделы ЗАГС и регистрации муниципальных НПА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7489D" w:rsidRPr="0017489D" w:rsidRDefault="0017489D" w:rsidP="0017489D">
            <w:pPr>
              <w:jc w:val="center"/>
            </w:pPr>
            <w:r w:rsidRPr="0017489D">
              <w:t>28</w:t>
            </w:r>
          </w:p>
        </w:tc>
      </w:tr>
      <w:tr w:rsidR="0017489D" w:rsidRPr="0017489D" w:rsidTr="000D2C6F">
        <w:tc>
          <w:tcPr>
            <w:tcW w:w="1970" w:type="dxa"/>
            <w:vMerge w:val="restart"/>
            <w:tcBorders>
              <w:left w:val="double" w:sz="4" w:space="0" w:color="auto"/>
            </w:tcBorders>
            <w:vAlign w:val="center"/>
          </w:tcPr>
          <w:p w:rsidR="0017489D" w:rsidRPr="0017489D" w:rsidRDefault="0017489D" w:rsidP="0017489D">
            <w:pPr>
              <w:jc w:val="both"/>
            </w:pPr>
            <w:r w:rsidRPr="0017489D">
              <w:t>Судебные участки</w:t>
            </w:r>
          </w:p>
        </w:tc>
        <w:tc>
          <w:tcPr>
            <w:tcW w:w="6379" w:type="dxa"/>
          </w:tcPr>
          <w:p w:rsidR="0017489D" w:rsidRPr="0017489D" w:rsidRDefault="0017489D" w:rsidP="0017489D">
            <w:r w:rsidRPr="0017489D">
              <w:t>Аппарат</w:t>
            </w:r>
            <w:r w:rsidR="00204FB5">
              <w:t>ы</w:t>
            </w:r>
            <w:r w:rsidRPr="0017489D">
              <w:t xml:space="preserve"> мировых судей (помощник мирового судьи, секретарь суд. зас</w:t>
            </w:r>
            <w:r w:rsidR="00204FB5">
              <w:t>едания, секретарь суд. участка)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7489D" w:rsidRPr="0017489D" w:rsidRDefault="0017489D" w:rsidP="0017489D">
            <w:pPr>
              <w:jc w:val="center"/>
            </w:pPr>
            <w:r w:rsidRPr="0017489D">
              <w:t>435</w:t>
            </w:r>
          </w:p>
        </w:tc>
      </w:tr>
      <w:tr w:rsidR="0017489D" w:rsidRPr="0017489D" w:rsidTr="000D2C6F">
        <w:tc>
          <w:tcPr>
            <w:tcW w:w="197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7489D" w:rsidRPr="0017489D" w:rsidRDefault="0017489D" w:rsidP="0017489D">
            <w:pPr>
              <w:jc w:val="both"/>
            </w:pP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17489D" w:rsidRPr="0017489D" w:rsidRDefault="0017489D" w:rsidP="0017489D">
            <w:pPr>
              <w:jc w:val="both"/>
            </w:pPr>
            <w:r w:rsidRPr="0017489D">
              <w:t>Обеспечивающие работники (гл. спец., спец., сторожа, уборщики)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7489D" w:rsidRPr="0017489D" w:rsidRDefault="0017489D" w:rsidP="0017489D">
            <w:pPr>
              <w:jc w:val="center"/>
            </w:pPr>
            <w:r w:rsidRPr="0017489D">
              <w:t>265</w:t>
            </w:r>
          </w:p>
        </w:tc>
      </w:tr>
      <w:tr w:rsidR="0017489D" w:rsidRPr="0017489D" w:rsidTr="000D2C6F">
        <w:tc>
          <w:tcPr>
            <w:tcW w:w="8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89D" w:rsidRPr="0017489D" w:rsidRDefault="0017489D" w:rsidP="0017489D">
            <w:pPr>
              <w:jc w:val="both"/>
              <w:rPr>
                <w:b/>
              </w:rPr>
            </w:pPr>
            <w:r w:rsidRPr="0017489D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89D" w:rsidRPr="0017489D" w:rsidRDefault="0017489D" w:rsidP="0017489D">
            <w:pPr>
              <w:jc w:val="center"/>
              <w:rPr>
                <w:b/>
              </w:rPr>
            </w:pPr>
            <w:r w:rsidRPr="0017489D">
              <w:rPr>
                <w:b/>
              </w:rPr>
              <w:t>790</w:t>
            </w:r>
          </w:p>
        </w:tc>
      </w:tr>
    </w:tbl>
    <w:p w:rsidR="0017489D" w:rsidRPr="0017489D" w:rsidRDefault="0017489D" w:rsidP="0017489D">
      <w:pPr>
        <w:ind w:firstLine="708"/>
        <w:jc w:val="both"/>
      </w:pPr>
    </w:p>
    <w:p w:rsidR="0017489D" w:rsidRPr="0017489D" w:rsidRDefault="0017489D" w:rsidP="0017489D">
      <w:pPr>
        <w:ind w:firstLine="708"/>
        <w:jc w:val="both"/>
      </w:pPr>
      <w:r w:rsidRPr="0017489D">
        <w:t>На конец 2017 года в Комитете 14 вакантных должностей ГГС, в том числе 13 вакансий в аппарат</w:t>
      </w:r>
      <w:r w:rsidR="00C13AD1">
        <w:t>ах</w:t>
      </w:r>
      <w:r w:rsidRPr="0017489D">
        <w:t xml:space="preserve"> мировых судей. Среднесписочная численность ГГС за год составила 510 единиц, или 93,4% от штатной численности. Общий коэффициент текучести кадров в Комитете за 2017 год составил 41 процент.</w:t>
      </w:r>
    </w:p>
    <w:p w:rsidR="0017489D" w:rsidRPr="0017489D" w:rsidRDefault="0017489D" w:rsidP="0017489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17489D">
        <w:rPr>
          <w:rFonts w:eastAsiaTheme="minorEastAsia"/>
        </w:rPr>
        <w:t xml:space="preserve">Кадровая ситуация на судебных участках характеризуется высоким коэффициентом текучести кадров (отношение числа </w:t>
      </w:r>
      <w:hyperlink r:id="rId24" w:tgtFrame="_blank" w:history="1">
        <w:r w:rsidRPr="0017489D">
          <w:rPr>
            <w:rFonts w:eastAsiaTheme="minorEastAsia"/>
          </w:rPr>
          <w:t>уволившихся</w:t>
        </w:r>
      </w:hyperlink>
      <w:r w:rsidRPr="0017489D">
        <w:rPr>
          <w:rFonts w:eastAsiaTheme="minorEastAsia"/>
        </w:rPr>
        <w:t xml:space="preserve"> к среднему количеству работников), что, по мнению Комитета, негативно сказывается на качестве обеспечения работы мировых судей. При общепринятом допустимом значении коэффициента текучести кадров 15% значение этого показателя по должностям специалистов судебных участков (аппарат, главный специалист и специалист – 514 штатных единиц) в 2017 году составило 49% - уволилось 250 человек. Наибольшая доля уволившихся специалистов приходится на должности секретарей судебных участков – 104 человека (текучесть 72%).</w:t>
      </w:r>
    </w:p>
    <w:p w:rsidR="0017489D" w:rsidRDefault="0017489D" w:rsidP="0017489D">
      <w:pPr>
        <w:ind w:firstLine="709"/>
        <w:jc w:val="both"/>
      </w:pPr>
      <w:r w:rsidRPr="0017489D">
        <w:t>По мнению Комитета, высокая текучесть кадров обусловлена низким уровнем оплаты труда специалистов судебных участков. Такая точка зрения подтверждается сопоставлением значений коэффициента текучести и уровня оплаты труда, которые практически обратно пропорциональны – чем ниже оплата труда, тем выше текучесть. Из общего ряда выпадает должность специалиста, которая не отнесена к должностям ГГС.</w:t>
      </w:r>
    </w:p>
    <w:p w:rsidR="00AA7D22" w:rsidRPr="0017489D" w:rsidRDefault="00AA7D22" w:rsidP="0017489D">
      <w:pPr>
        <w:ind w:firstLine="709"/>
        <w:jc w:val="both"/>
      </w:pPr>
    </w:p>
    <w:p w:rsidR="00E6657C" w:rsidRPr="0017489D" w:rsidRDefault="007017F9" w:rsidP="00DF0133">
      <w:pPr>
        <w:jc w:val="center"/>
      </w:pPr>
      <w:r w:rsidRPr="00A84FC4">
        <w:rPr>
          <w:rFonts w:ascii="Calibri" w:hAnsi="Calibri"/>
          <w:noProof/>
          <w:sz w:val="22"/>
          <w:szCs w:val="22"/>
          <w:bdr w:val="double" w:sz="4" w:space="0" w:color="auto"/>
        </w:rPr>
        <w:drawing>
          <wp:inline distT="0" distB="0" distL="0" distR="0">
            <wp:extent cx="554355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7489D" w:rsidRPr="0017489D" w:rsidRDefault="0017489D" w:rsidP="0017489D">
      <w:pPr>
        <w:ind w:firstLine="709"/>
        <w:jc w:val="both"/>
      </w:pPr>
    </w:p>
    <w:p w:rsidR="0017489D" w:rsidRPr="0017489D" w:rsidRDefault="0017489D" w:rsidP="0017489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17489D">
        <w:rPr>
          <w:rFonts w:eastAsiaTheme="minorEastAsia"/>
        </w:rPr>
        <w:t>Необходимо отметить, что в связи с небольшим стажем работы специалистов судебных участков фактический размер оплаты труда складывается в минимальных размерах – от 8,2 тыс. руб. у специалиста до 24,3 тыс. руб. у главного специалиста, что меньше среднемесячной номинальной начисленной заработной платы работников организаций по Волгоградской области за 2017 год (</w:t>
      </w:r>
      <w:r w:rsidRPr="0017489D">
        <w:rPr>
          <w:rFonts w:eastAsiaTheme="minorEastAsia"/>
          <w:bCs/>
        </w:rPr>
        <w:t>27,9 тыс. руб.) в 3,4 – 1,1 раза.</w:t>
      </w:r>
    </w:p>
    <w:p w:rsidR="0017489D" w:rsidRPr="0017489D" w:rsidRDefault="0017489D" w:rsidP="0017489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17489D">
        <w:rPr>
          <w:rFonts w:eastAsiaTheme="minorEastAsia"/>
        </w:rPr>
        <w:t xml:space="preserve">Указанное обстоятельство позволяет существенно экономить фонд оплаты труда, однако осуществить денежные поощрения в большем размере за счёт сложившейся </w:t>
      </w:r>
      <w:r w:rsidR="00F26EA2">
        <w:rPr>
          <w:rFonts w:eastAsiaTheme="minorEastAsia"/>
        </w:rPr>
        <w:t xml:space="preserve">в 2017 </w:t>
      </w:r>
      <w:r w:rsidR="00F26EA2">
        <w:rPr>
          <w:rFonts w:eastAsiaTheme="minorEastAsia"/>
        </w:rPr>
        <w:lastRenderedPageBreak/>
        <w:t xml:space="preserve">году </w:t>
      </w:r>
      <w:r w:rsidRPr="0017489D">
        <w:rPr>
          <w:rFonts w:eastAsiaTheme="minorEastAsia"/>
        </w:rPr>
        <w:t>экономии не представлялось возможным по причине утверждения ассигнований на оплату труда в объёме меньше установленного законодательством Волгоградской области.</w:t>
      </w:r>
    </w:p>
    <w:p w:rsidR="0017489D" w:rsidRPr="0017489D" w:rsidRDefault="0017489D" w:rsidP="0017489D">
      <w:pPr>
        <w:ind w:firstLine="709"/>
        <w:jc w:val="both"/>
      </w:pPr>
      <w:r w:rsidRPr="0017489D">
        <w:t>Фонд оплаты труда Комитета (далее – ФОТ) на 2017 год, рассчитанный в соответствии с нормативными правовыми актами Волгоградской области, составил 238 948,0 тыс. руб., ассигнования (лимиты бюджетных обязательств) доведены в размере 195 732,1 тыс. руб., что на 43 215,9 тыс. руб., или на 18,1% меньше расчётного ФОТ. Расходы на оплату труда в 2017 году составили 190 668,2 тыс. рублей. Кредиторская задолженность по оплате труда перед работниками Комитета на конец 2017 года сложилась в сумме 3 202,7 тыс. рублей.</w:t>
      </w:r>
    </w:p>
    <w:p w:rsidR="0017489D" w:rsidRPr="0017489D" w:rsidRDefault="0017489D" w:rsidP="0017489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17489D">
        <w:rPr>
          <w:rFonts w:eastAsiaTheme="minorEastAsia"/>
        </w:rPr>
        <w:t>Необеспеченность ассигнованиями расходов на оплату труда Комитета свидетельствует о нарушении, в том числе ст.</w:t>
      </w:r>
      <w:r w:rsidR="005C46D6">
        <w:rPr>
          <w:rFonts w:eastAsiaTheme="minorEastAsia"/>
        </w:rPr>
        <w:t xml:space="preserve"> </w:t>
      </w:r>
      <w:r w:rsidRPr="0017489D">
        <w:rPr>
          <w:rFonts w:eastAsiaTheme="minorEastAsia"/>
        </w:rPr>
        <w:t>3 Закона Волгоградской области от 10.11.2005 № 1114-ОД «О денежном содержании государственных гражданских служащих Волгоградской области», которой установлен порядок формирования ФОТ государственных гражданских служащих.</w:t>
      </w:r>
    </w:p>
    <w:p w:rsidR="0017489D" w:rsidRPr="0017489D" w:rsidRDefault="0017489D" w:rsidP="0017489D">
      <w:pPr>
        <w:ind w:firstLine="709"/>
        <w:jc w:val="both"/>
      </w:pPr>
      <w:r w:rsidRPr="0017489D">
        <w:t>Необходимо отметить, что необеспеченность ФОТ в Комитете имеет неоднородный характер. Так, объём фактических начислений по аппарату управления Комитета меньше расчётного ФОТ всего на 4,7%, а по судебным участкам – на 21,4 процента.</w:t>
      </w:r>
    </w:p>
    <w:p w:rsidR="0017489D" w:rsidRPr="00F26EA2" w:rsidRDefault="0017489D" w:rsidP="0017489D">
      <w:pPr>
        <w:shd w:val="clear" w:color="auto" w:fill="FFFFFF" w:themeFill="background1"/>
        <w:ind w:firstLine="709"/>
        <w:jc w:val="right"/>
        <w:rPr>
          <w:i/>
        </w:rPr>
      </w:pPr>
      <w:r w:rsidRPr="00F26EA2">
        <w:rPr>
          <w:i/>
        </w:rPr>
        <w:t>тыс. руб.</w:t>
      </w:r>
    </w:p>
    <w:tbl>
      <w:tblPr>
        <w:tblW w:w="8674" w:type="dxa"/>
        <w:jc w:val="center"/>
        <w:shd w:val="clear" w:color="auto" w:fill="FFFFFF" w:themeFill="background1"/>
        <w:tblLayout w:type="fixed"/>
        <w:tblLook w:val="04A0"/>
      </w:tblPr>
      <w:tblGrid>
        <w:gridCol w:w="2393"/>
        <w:gridCol w:w="1536"/>
        <w:gridCol w:w="1755"/>
        <w:gridCol w:w="1841"/>
        <w:gridCol w:w="1149"/>
      </w:tblGrid>
      <w:tr w:rsidR="0017489D" w:rsidRPr="0017489D" w:rsidTr="000D2C6F">
        <w:trPr>
          <w:trHeight w:val="20"/>
          <w:jc w:val="center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r w:rsidRPr="0017489D">
              <w:rPr>
                <w:b/>
                <w:color w:val="000000"/>
                <w:sz w:val="20"/>
                <w:szCs w:val="20"/>
              </w:rPr>
              <w:t>Подразделение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r w:rsidRPr="0017489D">
              <w:rPr>
                <w:b/>
                <w:color w:val="000000"/>
                <w:sz w:val="20"/>
                <w:szCs w:val="20"/>
              </w:rPr>
              <w:t>Расчётный ФОТ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r w:rsidRPr="0017489D">
              <w:rPr>
                <w:b/>
                <w:color w:val="000000"/>
                <w:sz w:val="20"/>
                <w:szCs w:val="20"/>
              </w:rPr>
              <w:t xml:space="preserve">Фактически начислено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r w:rsidRPr="0017489D">
              <w:rPr>
                <w:b/>
                <w:color w:val="000000"/>
                <w:sz w:val="20"/>
                <w:szCs w:val="20"/>
              </w:rPr>
              <w:t xml:space="preserve">Необеспеченность ФОТ </w:t>
            </w:r>
          </w:p>
        </w:tc>
      </w:tr>
      <w:tr w:rsidR="0017489D" w:rsidRPr="0017489D" w:rsidTr="000D2C6F">
        <w:trPr>
          <w:trHeight w:val="20"/>
          <w:jc w:val="center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r w:rsidRPr="0017489D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r w:rsidRPr="0017489D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17489D" w:rsidRPr="0017489D" w:rsidTr="000D2C6F">
        <w:trPr>
          <w:trHeight w:val="20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Комитет (всего), в т.ч.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238 948,1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195 369,1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43 579,0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17489D" w:rsidRPr="0017489D" w:rsidTr="000D2C6F">
        <w:trPr>
          <w:trHeight w:val="20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-аппарат управления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45 737,5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43 601,2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2 136,3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17489D" w:rsidRPr="0017489D" w:rsidTr="000D2C6F">
        <w:trPr>
          <w:trHeight w:val="20"/>
          <w:jc w:val="center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-судебные участки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193 210,6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151 767,9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41 442,7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489D" w:rsidRPr="0017489D" w:rsidRDefault="0017489D" w:rsidP="0017489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7489D">
              <w:rPr>
                <w:color w:val="000000"/>
                <w:sz w:val="20"/>
                <w:szCs w:val="20"/>
              </w:rPr>
              <w:t>21,4</w:t>
            </w:r>
          </w:p>
        </w:tc>
      </w:tr>
    </w:tbl>
    <w:p w:rsidR="0017489D" w:rsidRPr="0017489D" w:rsidRDefault="0017489D" w:rsidP="0017489D">
      <w:pPr>
        <w:ind w:firstLine="709"/>
        <w:jc w:val="both"/>
      </w:pPr>
    </w:p>
    <w:p w:rsidR="00DB3E97" w:rsidRPr="00DB3E97" w:rsidRDefault="00DB3E97" w:rsidP="00DB3E97">
      <w:pPr>
        <w:autoSpaceDE w:val="0"/>
        <w:autoSpaceDN w:val="0"/>
        <w:adjustRightInd w:val="0"/>
        <w:jc w:val="center"/>
        <w:rPr>
          <w:rFonts w:eastAsiaTheme="minorEastAsia"/>
          <w:b/>
          <w:i/>
        </w:rPr>
      </w:pPr>
      <w:r w:rsidRPr="00DB3E97">
        <w:rPr>
          <w:rFonts w:eastAsiaTheme="minorEastAsia"/>
          <w:b/>
          <w:i/>
        </w:rPr>
        <w:t>Финансовое обеспечение деятельности мировых судей</w:t>
      </w:r>
      <w:r w:rsidR="00FA59BE">
        <w:rPr>
          <w:rFonts w:eastAsiaTheme="minorEastAsia"/>
          <w:b/>
          <w:i/>
        </w:rPr>
        <w:t xml:space="preserve"> </w:t>
      </w:r>
    </w:p>
    <w:p w:rsidR="00304E08" w:rsidRPr="00A5147E" w:rsidRDefault="00FA59BE" w:rsidP="00FA59BE">
      <w:pPr>
        <w:ind w:firstLine="709"/>
        <w:jc w:val="both"/>
      </w:pPr>
      <w:r w:rsidRPr="00FA59BE">
        <w:t xml:space="preserve">Финансовое обеспечение деятельности мировых судей осуществляется </w:t>
      </w:r>
      <w:r w:rsidR="0058325C">
        <w:t xml:space="preserve">в основном </w:t>
      </w:r>
      <w:r>
        <w:t xml:space="preserve">за </w:t>
      </w:r>
      <w:r w:rsidRPr="00A5147E">
        <w:t xml:space="preserve">счёт ассигнований, утверждённых Комитету бюджетами Волгоградской области по подразделу 0105 «Судебная система». </w:t>
      </w:r>
    </w:p>
    <w:p w:rsidR="00304E08" w:rsidRPr="00A5147E" w:rsidRDefault="00A5147E" w:rsidP="00FA59BE">
      <w:pPr>
        <w:ind w:firstLine="709"/>
        <w:jc w:val="both"/>
      </w:pPr>
      <w:r w:rsidRPr="00A5147E">
        <w:t>В целях формирования проектов законов о бюджете Волгоградской области на 2012 – 2017 годы Комитетом в соответствии с действующим порядком ежегодно до 1 июня подготавливались и утверждались проекты бюджетных смет на очередной финансовый год.</w:t>
      </w:r>
    </w:p>
    <w:p w:rsidR="00304E08" w:rsidRDefault="00A36B18" w:rsidP="00FA59BE">
      <w:pPr>
        <w:ind w:firstLine="709"/>
        <w:jc w:val="both"/>
      </w:pPr>
      <w:r>
        <w:t>Сравнительная информация об объёмах расходов при проектировании бюджета и кассовых расходах Комитета представлена диаграммами.</w:t>
      </w:r>
    </w:p>
    <w:p w:rsidR="00AA7D22" w:rsidRDefault="00AA7D22" w:rsidP="00FA59BE">
      <w:pPr>
        <w:ind w:firstLine="709"/>
        <w:jc w:val="both"/>
      </w:pPr>
    </w:p>
    <w:p w:rsidR="00AA7D22" w:rsidRDefault="00AA7D22" w:rsidP="00FA59BE">
      <w:pPr>
        <w:ind w:firstLine="709"/>
        <w:jc w:val="both"/>
      </w:pPr>
    </w:p>
    <w:tbl>
      <w:tblPr>
        <w:tblStyle w:val="a6"/>
        <w:tblW w:w="0" w:type="auto"/>
        <w:tblLook w:val="04A0"/>
      </w:tblPr>
      <w:tblGrid>
        <w:gridCol w:w="4821"/>
        <w:gridCol w:w="4821"/>
      </w:tblGrid>
      <w:tr w:rsidR="00A36B18" w:rsidRPr="00A36B18" w:rsidTr="00156FDB">
        <w:tc>
          <w:tcPr>
            <w:tcW w:w="9571" w:type="dxa"/>
            <w:gridSpan w:val="2"/>
          </w:tcPr>
          <w:p w:rsidR="00A36B18" w:rsidRPr="00A36B18" w:rsidRDefault="00A36B18" w:rsidP="00A36B18">
            <w:pPr>
              <w:jc w:val="center"/>
              <w:rPr>
                <w:rFonts w:eastAsiaTheme="minorHAnsi"/>
                <w:b/>
                <w:noProof/>
              </w:rPr>
            </w:pPr>
            <w:r>
              <w:rPr>
                <w:rFonts w:eastAsiaTheme="minorHAnsi"/>
                <w:b/>
                <w:noProof/>
              </w:rPr>
              <w:t>Финансовая обеспеченность деятельности мировых судей</w:t>
            </w:r>
            <w:r w:rsidR="00C23DE5">
              <w:rPr>
                <w:rFonts w:eastAsiaTheme="minorHAnsi"/>
                <w:b/>
                <w:noProof/>
              </w:rPr>
              <w:t>*</w:t>
            </w:r>
            <w:r>
              <w:rPr>
                <w:rFonts w:eastAsiaTheme="minorHAnsi"/>
                <w:b/>
                <w:noProof/>
              </w:rPr>
              <w:t>, млн. руб.</w:t>
            </w:r>
          </w:p>
        </w:tc>
      </w:tr>
      <w:tr w:rsidR="00A36B18" w:rsidRPr="00A36B18" w:rsidTr="00156FDB">
        <w:tc>
          <w:tcPr>
            <w:tcW w:w="9571" w:type="dxa"/>
            <w:gridSpan w:val="2"/>
          </w:tcPr>
          <w:p w:rsidR="00A36B18" w:rsidRDefault="00A36B18" w:rsidP="00A36B18">
            <w:pPr>
              <w:jc w:val="center"/>
              <w:rPr>
                <w:rFonts w:eastAsiaTheme="minorHAnsi"/>
                <w:b/>
                <w:noProof/>
              </w:rPr>
            </w:pPr>
            <w:r w:rsidRPr="00A36B18">
              <w:rPr>
                <w:rFonts w:eastAsiaTheme="minorHAnsi"/>
                <w:b/>
                <w:noProof/>
              </w:rPr>
              <w:drawing>
                <wp:inline distT="0" distB="0" distL="0" distR="0">
                  <wp:extent cx="5886450" cy="1828800"/>
                  <wp:effectExtent l="0" t="0" r="0" b="0"/>
                  <wp:docPr id="16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  <w:p w:rsidR="00AA7D22" w:rsidRDefault="00AA7D22" w:rsidP="00A36B18">
            <w:pPr>
              <w:jc w:val="center"/>
              <w:rPr>
                <w:rFonts w:eastAsiaTheme="minorHAnsi"/>
                <w:b/>
                <w:noProof/>
              </w:rPr>
            </w:pPr>
          </w:p>
          <w:p w:rsidR="00AA7D22" w:rsidRDefault="00AA7D22" w:rsidP="00A36B18">
            <w:pPr>
              <w:jc w:val="center"/>
              <w:rPr>
                <w:rFonts w:eastAsiaTheme="minorHAnsi"/>
                <w:b/>
                <w:noProof/>
              </w:rPr>
            </w:pPr>
          </w:p>
          <w:p w:rsidR="00AA7D22" w:rsidRDefault="00AA7D22" w:rsidP="00A36B18">
            <w:pPr>
              <w:jc w:val="center"/>
              <w:rPr>
                <w:rFonts w:eastAsiaTheme="minorHAnsi"/>
                <w:b/>
                <w:noProof/>
              </w:rPr>
            </w:pPr>
          </w:p>
          <w:p w:rsidR="007E1A95" w:rsidRDefault="007E1A95" w:rsidP="00A36B18">
            <w:pPr>
              <w:jc w:val="center"/>
              <w:rPr>
                <w:rFonts w:eastAsiaTheme="minorHAnsi"/>
                <w:b/>
                <w:noProof/>
              </w:rPr>
            </w:pPr>
          </w:p>
          <w:p w:rsidR="007E1A95" w:rsidRDefault="007E1A95" w:rsidP="00A36B18">
            <w:pPr>
              <w:jc w:val="center"/>
              <w:rPr>
                <w:rFonts w:eastAsiaTheme="minorHAnsi"/>
                <w:b/>
                <w:noProof/>
              </w:rPr>
            </w:pPr>
          </w:p>
          <w:p w:rsidR="00AA7D22" w:rsidRPr="00A36B18" w:rsidRDefault="00AA7D22" w:rsidP="00AA7D22">
            <w:pPr>
              <w:rPr>
                <w:rFonts w:eastAsiaTheme="minorHAnsi"/>
                <w:b/>
                <w:noProof/>
              </w:rPr>
            </w:pPr>
          </w:p>
        </w:tc>
      </w:tr>
      <w:tr w:rsidR="007E1A95" w:rsidRPr="00A36B18" w:rsidTr="00156FDB">
        <w:tc>
          <w:tcPr>
            <w:tcW w:w="9571" w:type="dxa"/>
            <w:gridSpan w:val="2"/>
          </w:tcPr>
          <w:p w:rsidR="007E1A95" w:rsidRPr="00A36B18" w:rsidRDefault="007E1A95" w:rsidP="00A36B18">
            <w:pPr>
              <w:jc w:val="center"/>
              <w:rPr>
                <w:rFonts w:eastAsiaTheme="minorHAnsi"/>
                <w:b/>
                <w:noProof/>
              </w:rPr>
            </w:pPr>
            <w:r>
              <w:rPr>
                <w:rFonts w:eastAsiaTheme="minorHAnsi"/>
                <w:b/>
                <w:noProof/>
              </w:rPr>
              <w:drawing>
                <wp:inline distT="0" distB="0" distL="0" distR="0">
                  <wp:extent cx="2700000" cy="268061"/>
                  <wp:effectExtent l="19050" t="0" r="510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68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B18" w:rsidRPr="00A36B18" w:rsidTr="00156FDB">
        <w:tc>
          <w:tcPr>
            <w:tcW w:w="4785" w:type="dxa"/>
          </w:tcPr>
          <w:p w:rsidR="00A36B18" w:rsidRPr="00A36B18" w:rsidRDefault="00A36B18" w:rsidP="00A36B18">
            <w:pPr>
              <w:jc w:val="center"/>
              <w:rPr>
                <w:rFonts w:eastAsiaTheme="minorHAnsi"/>
                <w:b/>
                <w:noProof/>
              </w:rPr>
            </w:pPr>
            <w:r w:rsidRPr="00A36B18">
              <w:rPr>
                <w:rFonts w:eastAsiaTheme="minorHAnsi"/>
                <w:b/>
                <w:noProof/>
              </w:rPr>
              <w:lastRenderedPageBreak/>
              <w:t>Оплата труда и начисления</w:t>
            </w:r>
          </w:p>
        </w:tc>
        <w:tc>
          <w:tcPr>
            <w:tcW w:w="4786" w:type="dxa"/>
          </w:tcPr>
          <w:p w:rsidR="00A36B18" w:rsidRPr="00A36B18" w:rsidRDefault="00A36B18" w:rsidP="00A36B18">
            <w:pPr>
              <w:jc w:val="center"/>
              <w:rPr>
                <w:rFonts w:eastAsiaTheme="minorHAnsi"/>
                <w:b/>
                <w:noProof/>
              </w:rPr>
            </w:pPr>
            <w:r w:rsidRPr="00A36B18">
              <w:rPr>
                <w:rFonts w:eastAsiaTheme="minorHAnsi"/>
                <w:b/>
                <w:noProof/>
              </w:rPr>
              <w:t>Оплата работ, услуг</w:t>
            </w:r>
          </w:p>
        </w:tc>
      </w:tr>
      <w:tr w:rsidR="00A36B18" w:rsidRPr="00A36B18" w:rsidTr="00156FDB">
        <w:tc>
          <w:tcPr>
            <w:tcW w:w="4785" w:type="dxa"/>
          </w:tcPr>
          <w:p w:rsidR="00A36B18" w:rsidRPr="00A36B18" w:rsidRDefault="00A36B18" w:rsidP="00A36B1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36B18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2924175" cy="1933575"/>
                  <wp:effectExtent l="0" t="0" r="0" b="0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36B18" w:rsidRPr="00A36B18" w:rsidRDefault="00A36B18" w:rsidP="00A36B1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36B18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2924175" cy="1933575"/>
                  <wp:effectExtent l="0" t="0" r="0" b="0"/>
                  <wp:docPr id="2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A36B18" w:rsidRPr="00A36B18" w:rsidTr="00156FDB">
        <w:tc>
          <w:tcPr>
            <w:tcW w:w="4785" w:type="dxa"/>
          </w:tcPr>
          <w:p w:rsidR="00A36B18" w:rsidRPr="00A36B18" w:rsidRDefault="00A36B18" w:rsidP="00A36B18">
            <w:pPr>
              <w:jc w:val="center"/>
              <w:rPr>
                <w:rFonts w:eastAsiaTheme="minorHAnsi"/>
                <w:b/>
                <w:noProof/>
              </w:rPr>
            </w:pPr>
            <w:r w:rsidRPr="00A36B18">
              <w:rPr>
                <w:rFonts w:eastAsiaTheme="minorHAnsi"/>
                <w:b/>
                <w:noProof/>
              </w:rPr>
              <w:t>Прочие расходы</w:t>
            </w:r>
          </w:p>
        </w:tc>
        <w:tc>
          <w:tcPr>
            <w:tcW w:w="4786" w:type="dxa"/>
          </w:tcPr>
          <w:p w:rsidR="00A36B18" w:rsidRPr="00A36B18" w:rsidRDefault="00A36B18" w:rsidP="00C23DE5">
            <w:pPr>
              <w:jc w:val="center"/>
              <w:rPr>
                <w:rFonts w:eastAsiaTheme="minorHAnsi"/>
                <w:b/>
                <w:noProof/>
              </w:rPr>
            </w:pPr>
            <w:r w:rsidRPr="00A36B18">
              <w:rPr>
                <w:rFonts w:eastAsiaTheme="minorHAnsi"/>
                <w:b/>
                <w:noProof/>
              </w:rPr>
              <w:t xml:space="preserve">Поступление нефин. </w:t>
            </w:r>
            <w:r w:rsidR="00C23DE5">
              <w:rPr>
                <w:rFonts w:eastAsiaTheme="minorHAnsi"/>
                <w:b/>
                <w:noProof/>
              </w:rPr>
              <w:t>а</w:t>
            </w:r>
            <w:r w:rsidRPr="00A36B18">
              <w:rPr>
                <w:rFonts w:eastAsiaTheme="minorHAnsi"/>
                <w:b/>
                <w:noProof/>
              </w:rPr>
              <w:t>ктивов</w:t>
            </w:r>
            <w:r w:rsidR="00AA7D22">
              <w:rPr>
                <w:rFonts w:eastAsiaTheme="minorHAnsi"/>
                <w:b/>
                <w:noProof/>
              </w:rPr>
              <w:t>*</w:t>
            </w:r>
          </w:p>
        </w:tc>
      </w:tr>
      <w:tr w:rsidR="00A36B18" w:rsidRPr="00A36B18" w:rsidTr="00156FDB">
        <w:tc>
          <w:tcPr>
            <w:tcW w:w="4785" w:type="dxa"/>
          </w:tcPr>
          <w:p w:rsidR="00A36B18" w:rsidRPr="00A36B18" w:rsidRDefault="00A36B18" w:rsidP="00A36B18">
            <w:pPr>
              <w:jc w:val="center"/>
              <w:rPr>
                <w:rFonts w:eastAsiaTheme="minorHAnsi"/>
                <w:b/>
                <w:noProof/>
              </w:rPr>
            </w:pPr>
            <w:r w:rsidRPr="00A36B18">
              <w:rPr>
                <w:rFonts w:eastAsiaTheme="minorHAnsi"/>
                <w:b/>
                <w:noProof/>
              </w:rPr>
              <w:drawing>
                <wp:inline distT="0" distB="0" distL="0" distR="0">
                  <wp:extent cx="2924175" cy="1933575"/>
                  <wp:effectExtent l="0" t="0" r="0" b="0"/>
                  <wp:docPr id="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36B18" w:rsidRPr="00A36B18" w:rsidRDefault="00A36B18" w:rsidP="00A36B18">
            <w:pPr>
              <w:jc w:val="center"/>
              <w:rPr>
                <w:rFonts w:eastAsiaTheme="minorHAnsi"/>
                <w:b/>
                <w:noProof/>
              </w:rPr>
            </w:pPr>
            <w:r w:rsidRPr="00A36B18">
              <w:rPr>
                <w:rFonts w:eastAsiaTheme="minorHAnsi"/>
                <w:b/>
                <w:noProof/>
              </w:rPr>
              <w:drawing>
                <wp:inline distT="0" distB="0" distL="0" distR="0">
                  <wp:extent cx="2924175" cy="1933575"/>
                  <wp:effectExtent l="0" t="0" r="0" b="0"/>
                  <wp:docPr id="30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A36B18" w:rsidRPr="00A36B18" w:rsidTr="00C23DE5">
        <w:trPr>
          <w:trHeight w:val="307"/>
        </w:trPr>
        <w:tc>
          <w:tcPr>
            <w:tcW w:w="9571" w:type="dxa"/>
            <w:gridSpan w:val="2"/>
          </w:tcPr>
          <w:p w:rsidR="00A36B18" w:rsidRPr="00A36B18" w:rsidRDefault="00D27A93" w:rsidP="00A36B18">
            <w:pPr>
              <w:jc w:val="center"/>
              <w:rPr>
                <w:rFonts w:eastAsiaTheme="minorHAnsi"/>
                <w:b/>
                <w:noProof/>
              </w:rPr>
            </w:pPr>
            <w:r>
              <w:rPr>
                <w:rFonts w:eastAsiaTheme="minorHAnsi"/>
                <w:b/>
                <w:noProof/>
              </w:rPr>
              <w:drawing>
                <wp:inline distT="0" distB="0" distL="0" distR="0">
                  <wp:extent cx="2700000" cy="268061"/>
                  <wp:effectExtent l="19050" t="0" r="5100" b="0"/>
                  <wp:docPr id="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68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B18" w:rsidRPr="0024603C" w:rsidRDefault="0024603C" w:rsidP="00FA59BE">
      <w:pPr>
        <w:ind w:firstLine="709"/>
        <w:jc w:val="both"/>
        <w:rPr>
          <w:i/>
          <w:sz w:val="20"/>
          <w:szCs w:val="20"/>
        </w:rPr>
      </w:pPr>
      <w:r w:rsidRPr="0024603C">
        <w:rPr>
          <w:i/>
          <w:sz w:val="20"/>
          <w:szCs w:val="20"/>
        </w:rPr>
        <w:t>*-без учёта проектируемых расходов на приобретение оборудования для создания системы «</w:t>
      </w:r>
      <w:r w:rsidR="000C1FB8">
        <w:rPr>
          <w:i/>
          <w:sz w:val="20"/>
          <w:szCs w:val="20"/>
        </w:rPr>
        <w:t>Э</w:t>
      </w:r>
      <w:r w:rsidRPr="0024603C">
        <w:rPr>
          <w:i/>
          <w:sz w:val="20"/>
          <w:szCs w:val="20"/>
        </w:rPr>
        <w:t>лектронный архив мировой юстиции Волгоградской области» (2016 год – 32,9 млн. руб., 2017 год – 41,5 млн. руб.</w:t>
      </w:r>
      <w:r w:rsidR="007877FF">
        <w:rPr>
          <w:i/>
          <w:sz w:val="20"/>
          <w:szCs w:val="20"/>
        </w:rPr>
        <w:t xml:space="preserve"> повторно</w:t>
      </w:r>
      <w:r w:rsidRPr="0024603C">
        <w:rPr>
          <w:i/>
          <w:sz w:val="20"/>
          <w:szCs w:val="20"/>
        </w:rPr>
        <w:t>) и систем аудио протоколирования (2017год - 25,1 млн. руб.)</w:t>
      </w:r>
    </w:p>
    <w:p w:rsidR="007877FF" w:rsidRPr="00C23DE5" w:rsidRDefault="007877FF" w:rsidP="00FA59BE">
      <w:pPr>
        <w:ind w:firstLine="709"/>
        <w:jc w:val="both"/>
        <w:rPr>
          <w:sz w:val="16"/>
          <w:szCs w:val="16"/>
        </w:rPr>
      </w:pPr>
    </w:p>
    <w:p w:rsidR="00CB1837" w:rsidRDefault="007877FF" w:rsidP="00FA59BE">
      <w:pPr>
        <w:ind w:firstLine="709"/>
        <w:jc w:val="both"/>
      </w:pPr>
      <w:r>
        <w:t xml:space="preserve">В целом за период 2012-2017 годов недофинансирование системы мировой юстиции в Волгоградской области от объёмов потребности на текущие расходы без учёта желаемых, крупных, </w:t>
      </w:r>
      <w:proofErr w:type="spellStart"/>
      <w:r>
        <w:t>вышеобозначенных</w:t>
      </w:r>
      <w:proofErr w:type="spellEnd"/>
      <w:r>
        <w:t xml:space="preserve"> приобретений составило </w:t>
      </w:r>
      <w:r w:rsidR="00CB1837">
        <w:t>427 751,9</w:t>
      </w:r>
      <w:r>
        <w:t xml:space="preserve"> тыс. руб., или 18,4 процента. </w:t>
      </w:r>
    </w:p>
    <w:p w:rsidR="00CB1837" w:rsidRDefault="002C30DB" w:rsidP="00FA59BE">
      <w:pPr>
        <w:ind w:firstLine="709"/>
        <w:jc w:val="both"/>
      </w:pPr>
      <w:r>
        <w:t>П</w:t>
      </w:r>
      <w:r w:rsidR="007877FF">
        <w:t xml:space="preserve">оказатели необеспеченности расходов на оплату работ, услуг и приобретение нефинансовых активов необходимо рассматривать с некоторой долей скептицизма, так как проектировки этих расходов ежегодно включали потребность в одних и тех же расходах </w:t>
      </w:r>
      <w:r w:rsidR="000C1FB8">
        <w:t>по причине их необеспечения в предыдущие годы (ремонт помещений и оборудование помещений, приобретение техники и т.д.)</w:t>
      </w:r>
      <w:r>
        <w:t>.</w:t>
      </w:r>
      <w:r w:rsidR="000C1FB8">
        <w:t xml:space="preserve"> </w:t>
      </w:r>
      <w:r>
        <w:t>П</w:t>
      </w:r>
      <w:r w:rsidR="00CB1837">
        <w:t>оказатели недофинансирования</w:t>
      </w:r>
      <w:r w:rsidR="000C1FB8">
        <w:t xml:space="preserve"> расходов на оплату туда с начислениями лишен</w:t>
      </w:r>
      <w:r w:rsidR="00CB1837">
        <w:t>ы</w:t>
      </w:r>
      <w:r w:rsidR="000C1FB8">
        <w:t xml:space="preserve"> накопительного свойства и нос</w:t>
      </w:r>
      <w:r w:rsidR="00CB1837">
        <w:t>ят</w:t>
      </w:r>
      <w:r w:rsidR="000C1FB8">
        <w:t xml:space="preserve"> объективный характер. </w:t>
      </w:r>
    </w:p>
    <w:p w:rsidR="00304E08" w:rsidRDefault="000C1FB8" w:rsidP="00FA59BE">
      <w:pPr>
        <w:ind w:firstLine="709"/>
        <w:jc w:val="both"/>
      </w:pPr>
      <w:r>
        <w:t>Ежегодно Комитету утверждались ассигнования на оплату труда с начислениями и осуществлялись расходы по этому направлению на 13,2-20,3% меньше объёмов, рассчитанных в соответствии с законодательством Волгоградской области</w:t>
      </w:r>
      <w:r w:rsidR="00CB1837">
        <w:t>, что в целом привело к необеспеченности этих расходов за 2012-2017 годы в сумме 296 216,8 тыс. руб., или на 17,5 процента.</w:t>
      </w:r>
    </w:p>
    <w:p w:rsidR="00D22D9D" w:rsidRPr="00F0012D" w:rsidRDefault="00D22D9D" w:rsidP="00D22D9D">
      <w:pPr>
        <w:ind w:firstLine="709"/>
        <w:jc w:val="both"/>
        <w:rPr>
          <w:rFonts w:eastAsia="Calibri"/>
          <w:lang w:eastAsia="en-US"/>
        </w:rPr>
      </w:pPr>
      <w:r w:rsidRPr="00D22D9D">
        <w:rPr>
          <w:rFonts w:eastAsia="Calibri"/>
          <w:lang w:eastAsia="en-US"/>
        </w:rPr>
        <w:t>Законом об областном бюджете на 2018 год фонд оплаты труда с начислениями работников аппаратов мировых судей и обеспечивающих работников судебных участков также не обеспечен бюджетными ассигнованиями в объёме, установленном законодательством Волгоградской области, на 46 531,1 тыс. руб. или на 17,7% (215 947,1 тыс. руб. утверждено, 262 478,2 тыс. руб. – потребность).</w:t>
      </w:r>
    </w:p>
    <w:p w:rsidR="00D22D9D" w:rsidRDefault="00D22D9D" w:rsidP="00FA59BE">
      <w:pPr>
        <w:ind w:firstLine="709"/>
        <w:jc w:val="both"/>
      </w:pPr>
    </w:p>
    <w:p w:rsidR="00D22D9D" w:rsidRDefault="00D22D9D" w:rsidP="00FA59BE">
      <w:pPr>
        <w:ind w:firstLine="709"/>
        <w:jc w:val="both"/>
      </w:pPr>
    </w:p>
    <w:p w:rsidR="00FA59BE" w:rsidRPr="00FA59BE" w:rsidRDefault="00FA59BE" w:rsidP="00FA59BE">
      <w:pPr>
        <w:ind w:firstLine="709"/>
        <w:jc w:val="both"/>
        <w:rPr>
          <w:rFonts w:ascii="Calibri" w:hAnsi="Calibri"/>
          <w:sz w:val="22"/>
          <w:szCs w:val="22"/>
        </w:rPr>
      </w:pPr>
      <w:r w:rsidRPr="00FA59BE">
        <w:lastRenderedPageBreak/>
        <w:t xml:space="preserve">Информация об объемах </w:t>
      </w:r>
      <w:r w:rsidR="000C1FB8">
        <w:t xml:space="preserve">кассовых </w:t>
      </w:r>
      <w:r w:rsidRPr="00FA59BE">
        <w:t>расходов Комитета за 2012 – 2017 годы в разрезе основных направлений использования бюджетных средств приведена в таблице</w:t>
      </w:r>
      <w:r w:rsidRPr="00FA59BE">
        <w:rPr>
          <w:rFonts w:ascii="Calibri" w:hAnsi="Calibri"/>
          <w:sz w:val="22"/>
          <w:szCs w:val="22"/>
        </w:rPr>
        <w:t>.</w:t>
      </w:r>
    </w:p>
    <w:p w:rsidR="00FA59BE" w:rsidRPr="00FA59BE" w:rsidRDefault="00FA59BE" w:rsidP="00FA59BE">
      <w:pPr>
        <w:ind w:left="8496"/>
        <w:jc w:val="both"/>
        <w:rPr>
          <w:sz w:val="20"/>
          <w:szCs w:val="20"/>
        </w:rPr>
      </w:pPr>
      <w:r w:rsidRPr="00FA59BE">
        <w:rPr>
          <w:sz w:val="20"/>
          <w:szCs w:val="20"/>
        </w:rPr>
        <w:t>тыс. руб.</w:t>
      </w:r>
    </w:p>
    <w:tbl>
      <w:tblPr>
        <w:tblW w:w="10915" w:type="dxa"/>
        <w:tblInd w:w="-11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119"/>
        <w:gridCol w:w="992"/>
        <w:gridCol w:w="1133"/>
        <w:gridCol w:w="1135"/>
        <w:gridCol w:w="1134"/>
        <w:gridCol w:w="1134"/>
        <w:gridCol w:w="1134"/>
        <w:gridCol w:w="1134"/>
      </w:tblGrid>
      <w:tr w:rsidR="00FA59BE" w:rsidRPr="00FA59BE" w:rsidTr="00726E9B">
        <w:trPr>
          <w:trHeight w:val="20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A59BE" w:rsidRPr="00FA59BE" w:rsidRDefault="00FA59BE" w:rsidP="00FA59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FA59BE" w:rsidRPr="00FA59BE" w:rsidRDefault="00FA59BE" w:rsidP="00FA59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A59BE" w:rsidRPr="00FA59BE" w:rsidRDefault="00FA59BE" w:rsidP="00FA59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A59BE" w:rsidRPr="00FA59BE" w:rsidRDefault="00FA59BE" w:rsidP="00FA59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FA59BE" w:rsidRPr="00FA59BE" w:rsidRDefault="00FA59BE" w:rsidP="00FA59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A59BE" w:rsidRPr="00FA59BE" w:rsidRDefault="00FA59BE" w:rsidP="00FA59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2017</w:t>
            </w:r>
          </w:p>
        </w:tc>
      </w:tr>
      <w:tr w:rsidR="00FA59BE" w:rsidRPr="00FA59BE" w:rsidTr="00726E9B">
        <w:trPr>
          <w:trHeight w:val="20"/>
        </w:trPr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rPr>
                <w:b/>
                <w:color w:val="000000"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0105 «Судебная система» всего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</w:tcPr>
          <w:p w:rsidR="00FA59BE" w:rsidRPr="00FA59BE" w:rsidRDefault="00FA59BE" w:rsidP="00FA59B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302 926,2</w:t>
            </w:r>
          </w:p>
        </w:tc>
        <w:tc>
          <w:tcPr>
            <w:tcW w:w="113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296 599,4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310 400,7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335 998,7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323 201,0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A59BE">
              <w:rPr>
                <w:b/>
                <w:color w:val="000000"/>
                <w:sz w:val="20"/>
                <w:szCs w:val="20"/>
              </w:rPr>
              <w:t>324 184,3</w:t>
            </w:r>
          </w:p>
        </w:tc>
      </w:tr>
      <w:tr w:rsidR="00FA59BE" w:rsidRPr="00FA59BE" w:rsidTr="00726E9B">
        <w:trPr>
          <w:trHeight w:val="20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854E29">
            <w:pPr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 xml:space="preserve">Оплата труда и начисления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center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217 788,5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219 475,1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238 196,1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235 514,0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244 867,3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243 679,0</w:t>
            </w:r>
          </w:p>
        </w:tc>
      </w:tr>
      <w:tr w:rsidR="00FA59BE" w:rsidRPr="00FA59BE" w:rsidTr="00726E9B">
        <w:trPr>
          <w:trHeight w:val="20"/>
        </w:trPr>
        <w:tc>
          <w:tcPr>
            <w:tcW w:w="3119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FA59BE" w:rsidRPr="00FA59BE" w:rsidRDefault="00FA59BE" w:rsidP="00FA59BE">
            <w:pPr>
              <w:jc w:val="center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3" w:type="dxa"/>
            <w:tcBorders>
              <w:top w:val="single" w:sz="8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80 058,3</w:t>
            </w:r>
          </w:p>
        </w:tc>
        <w:tc>
          <w:tcPr>
            <w:tcW w:w="1135" w:type="dxa"/>
            <w:tcBorders>
              <w:top w:val="single" w:sz="8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71 053,0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66 629,0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83 170,2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69 641,9</w:t>
            </w:r>
          </w:p>
        </w:tc>
        <w:tc>
          <w:tcPr>
            <w:tcW w:w="1134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69 217,5</w:t>
            </w:r>
          </w:p>
        </w:tc>
      </w:tr>
      <w:tr w:rsidR="00FA59BE" w:rsidRPr="00FA59BE" w:rsidTr="00726E9B">
        <w:trPr>
          <w:trHeight w:val="20"/>
        </w:trPr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A59BE" w:rsidRPr="00FA59BE" w:rsidRDefault="00FA59BE" w:rsidP="00FA59BE">
            <w:pPr>
              <w:jc w:val="center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1 385,8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1 275,3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1 533,5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1 316,3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1 202,4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1 290,0</w:t>
            </w:r>
          </w:p>
        </w:tc>
      </w:tr>
      <w:tr w:rsidR="00FA59BE" w:rsidRPr="00FA59BE" w:rsidTr="00726E9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854E29">
            <w:pPr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 xml:space="preserve">Поступление </w:t>
            </w:r>
            <w:proofErr w:type="spellStart"/>
            <w:r w:rsidRPr="00FA59BE">
              <w:rPr>
                <w:color w:val="000000"/>
                <w:sz w:val="20"/>
                <w:szCs w:val="20"/>
              </w:rPr>
              <w:t>нефин</w:t>
            </w:r>
            <w:proofErr w:type="spellEnd"/>
            <w:r w:rsidR="00854E29">
              <w:rPr>
                <w:color w:val="000000"/>
                <w:sz w:val="20"/>
                <w:szCs w:val="20"/>
              </w:rPr>
              <w:t>. активов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center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3 693,6</w:t>
            </w: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4 796,0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4 042,1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15 998,2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7 489,4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59BE" w:rsidRPr="00FA59BE" w:rsidRDefault="00FA59BE" w:rsidP="00FA59BE">
            <w:pPr>
              <w:jc w:val="right"/>
              <w:rPr>
                <w:color w:val="000000"/>
                <w:sz w:val="20"/>
                <w:szCs w:val="20"/>
              </w:rPr>
            </w:pPr>
            <w:r w:rsidRPr="00FA59BE">
              <w:rPr>
                <w:color w:val="000000"/>
                <w:sz w:val="20"/>
                <w:szCs w:val="20"/>
              </w:rPr>
              <w:t>9 996,9</w:t>
            </w:r>
          </w:p>
        </w:tc>
      </w:tr>
    </w:tbl>
    <w:p w:rsidR="00FA59BE" w:rsidRDefault="00FA59BE" w:rsidP="00FA59BE">
      <w:pPr>
        <w:tabs>
          <w:tab w:val="left" w:pos="6885"/>
        </w:tabs>
        <w:ind w:firstLine="709"/>
        <w:jc w:val="both"/>
      </w:pPr>
    </w:p>
    <w:p w:rsidR="00726E9B" w:rsidRDefault="00726E9B" w:rsidP="00FA59BE">
      <w:pPr>
        <w:tabs>
          <w:tab w:val="left" w:pos="6885"/>
        </w:tabs>
        <w:ind w:firstLine="709"/>
        <w:jc w:val="both"/>
      </w:pPr>
      <w:r>
        <w:rPr>
          <w:rFonts w:eastAsiaTheme="minorHAnsi"/>
          <w:lang w:eastAsia="en-US"/>
        </w:rPr>
        <w:t>Как указано выше</w:t>
      </w:r>
      <w:r w:rsidR="002C30DB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в</w:t>
      </w:r>
      <w:r w:rsidRPr="002450C9">
        <w:rPr>
          <w:rFonts w:eastAsiaTheme="minorHAnsi"/>
          <w:lang w:eastAsia="en-US"/>
        </w:rPr>
        <w:t xml:space="preserve"> Волгоградской области обеспечение Комитета и мировых судей </w:t>
      </w:r>
      <w:r w:rsidR="002C30DB">
        <w:rPr>
          <w:rFonts w:eastAsiaTheme="minorHAnsi"/>
          <w:lang w:eastAsia="en-US"/>
        </w:rPr>
        <w:t>отдельными</w:t>
      </w:r>
      <w:r w:rsidRPr="002450C9">
        <w:rPr>
          <w:rFonts w:eastAsiaTheme="minorHAnsi"/>
          <w:lang w:eastAsia="en-US"/>
        </w:rPr>
        <w:t xml:space="preserve"> видами услуг осуществляется централизовано с отражением расходов по иным подразделам бюджетной классификации расходов бюджетов.</w:t>
      </w:r>
      <w:r w:rsidR="000D6FF5">
        <w:rPr>
          <w:rFonts w:eastAsiaTheme="minorHAnsi"/>
          <w:lang w:eastAsia="en-US"/>
        </w:rPr>
        <w:t xml:space="preserve"> Информация о таких расходах представлена в таблице </w:t>
      </w:r>
      <w:proofErr w:type="spellStart"/>
      <w:r w:rsidR="000D6FF5">
        <w:rPr>
          <w:rFonts w:eastAsiaTheme="minorHAnsi"/>
          <w:lang w:eastAsia="en-US"/>
        </w:rPr>
        <w:t>справочно</w:t>
      </w:r>
      <w:proofErr w:type="spellEnd"/>
      <w:r w:rsidR="000D6FF5">
        <w:rPr>
          <w:rFonts w:eastAsiaTheme="minorHAnsi"/>
          <w:lang w:eastAsia="en-US"/>
        </w:rPr>
        <w:t xml:space="preserve"> и при дальнейшем анализе использоваться не будет.</w:t>
      </w:r>
    </w:p>
    <w:p w:rsidR="00726E9B" w:rsidRPr="00FA59BE" w:rsidRDefault="00726E9B" w:rsidP="00726E9B">
      <w:pPr>
        <w:ind w:left="8496"/>
        <w:jc w:val="both"/>
        <w:rPr>
          <w:sz w:val="20"/>
          <w:szCs w:val="20"/>
        </w:rPr>
      </w:pPr>
      <w:r w:rsidRPr="00FA59BE">
        <w:rPr>
          <w:sz w:val="20"/>
          <w:szCs w:val="20"/>
        </w:rPr>
        <w:t>тыс. руб.</w:t>
      </w:r>
    </w:p>
    <w:tbl>
      <w:tblPr>
        <w:tblW w:w="106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984"/>
        <w:gridCol w:w="960"/>
        <w:gridCol w:w="960"/>
        <w:gridCol w:w="960"/>
        <w:gridCol w:w="960"/>
        <w:gridCol w:w="960"/>
        <w:gridCol w:w="960"/>
        <w:gridCol w:w="960"/>
      </w:tblGrid>
      <w:tr w:rsidR="00726E9B" w:rsidRPr="00726E9B" w:rsidTr="00726E9B">
        <w:trPr>
          <w:trHeight w:val="20"/>
        </w:trPr>
        <w:tc>
          <w:tcPr>
            <w:tcW w:w="3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26E9B" w:rsidRPr="00854E29" w:rsidRDefault="00726E9B" w:rsidP="00726E9B">
            <w:pPr>
              <w:jc w:val="center"/>
              <w:rPr>
                <w:b/>
                <w:sz w:val="20"/>
                <w:szCs w:val="20"/>
              </w:rPr>
            </w:pPr>
            <w:r w:rsidRPr="00726E9B">
              <w:rPr>
                <w:b/>
                <w:sz w:val="20"/>
                <w:szCs w:val="20"/>
              </w:rPr>
              <w:t>Направление расходов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26E9B" w:rsidRPr="00854E29" w:rsidRDefault="00726E9B" w:rsidP="00726E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26E9B" w:rsidRPr="00854E29" w:rsidRDefault="00726E9B" w:rsidP="00726E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26E9B" w:rsidRPr="00854E29" w:rsidRDefault="00726E9B" w:rsidP="00726E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26E9B" w:rsidRPr="00854E29" w:rsidRDefault="00726E9B" w:rsidP="00726E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26E9B" w:rsidRPr="00854E29" w:rsidRDefault="00726E9B" w:rsidP="00726E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26E9B" w:rsidRPr="00854E29" w:rsidRDefault="00726E9B" w:rsidP="00726E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26E9B" w:rsidRPr="00854E29" w:rsidRDefault="00726E9B" w:rsidP="00726E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854E29" w:rsidRPr="00854E29" w:rsidTr="00726E9B">
        <w:trPr>
          <w:trHeight w:val="20"/>
        </w:trPr>
        <w:tc>
          <w:tcPr>
            <w:tcW w:w="19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54E29">
              <w:rPr>
                <w:color w:val="000000"/>
                <w:sz w:val="20"/>
                <w:szCs w:val="20"/>
              </w:rPr>
              <w:t>ранспортное обеспечение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644,8</w:t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493,1</w:t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704,7</w:t>
            </w:r>
          </w:p>
        </w:tc>
        <w:tc>
          <w:tcPr>
            <w:tcW w:w="9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838,9</w:t>
            </w:r>
          </w:p>
        </w:tc>
        <w:tc>
          <w:tcPr>
            <w:tcW w:w="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3 573,5</w:t>
            </w:r>
          </w:p>
        </w:tc>
      </w:tr>
      <w:tr w:rsidR="00854E29" w:rsidRPr="00854E29" w:rsidTr="00726E9B">
        <w:trPr>
          <w:trHeight w:val="20"/>
        </w:trPr>
        <w:tc>
          <w:tcPr>
            <w:tcW w:w="1986" w:type="dxa"/>
            <w:vMerge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54E29">
              <w:rPr>
                <w:color w:val="000000"/>
                <w:sz w:val="20"/>
                <w:szCs w:val="20"/>
              </w:rPr>
              <w:t xml:space="preserve">плата труда </w:t>
            </w:r>
            <w:r>
              <w:rPr>
                <w:color w:val="000000"/>
                <w:sz w:val="20"/>
                <w:szCs w:val="20"/>
              </w:rPr>
              <w:t>с нач.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1 592,9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1 489,4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625,1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2 353,3</w:t>
            </w:r>
          </w:p>
        </w:tc>
        <w:tc>
          <w:tcPr>
            <w:tcW w:w="960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1 473,9</w:t>
            </w:r>
          </w:p>
        </w:tc>
        <w:tc>
          <w:tcPr>
            <w:tcW w:w="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8 573,6</w:t>
            </w:r>
          </w:p>
        </w:tc>
      </w:tr>
      <w:tr w:rsidR="00854E29" w:rsidRPr="00854E29" w:rsidTr="00726E9B">
        <w:trPr>
          <w:trHeight w:val="20"/>
        </w:trPr>
        <w:tc>
          <w:tcPr>
            <w:tcW w:w="3970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854E29">
              <w:rPr>
                <w:color w:val="000000"/>
                <w:sz w:val="20"/>
                <w:szCs w:val="20"/>
              </w:rPr>
              <w:t>рендная плата за польз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54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r w:rsidRPr="00854E29">
              <w:rPr>
                <w:color w:val="000000"/>
                <w:sz w:val="20"/>
                <w:szCs w:val="20"/>
              </w:rPr>
              <w:t>омещ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854E29">
              <w:rPr>
                <w:color w:val="000000"/>
                <w:sz w:val="20"/>
                <w:szCs w:val="20"/>
              </w:rPr>
              <w:t xml:space="preserve"> Комитета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7 513,7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8 864,7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6 287,1</w:t>
            </w:r>
          </w:p>
        </w:tc>
        <w:tc>
          <w:tcPr>
            <w:tcW w:w="960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6 287,1</w:t>
            </w:r>
          </w:p>
        </w:tc>
        <w:tc>
          <w:tcPr>
            <w:tcW w:w="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29 858,8</w:t>
            </w:r>
          </w:p>
        </w:tc>
      </w:tr>
      <w:tr w:rsidR="00854E29" w:rsidRPr="00854E29" w:rsidTr="00726E9B">
        <w:trPr>
          <w:trHeight w:val="20"/>
        </w:trPr>
        <w:tc>
          <w:tcPr>
            <w:tcW w:w="3970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МТХ</w:t>
            </w:r>
            <w:r w:rsidRPr="00854E29">
              <w:rPr>
                <w:color w:val="000000"/>
                <w:sz w:val="20"/>
                <w:szCs w:val="20"/>
              </w:rPr>
              <w:t xml:space="preserve"> обеспечение Комитета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139,6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960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626,9</w:t>
            </w:r>
          </w:p>
        </w:tc>
      </w:tr>
      <w:tr w:rsidR="00854E29" w:rsidRPr="00854E29" w:rsidTr="00726E9B">
        <w:trPr>
          <w:trHeight w:val="20"/>
        </w:trPr>
        <w:tc>
          <w:tcPr>
            <w:tcW w:w="3970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54E29">
              <w:rPr>
                <w:color w:val="000000"/>
                <w:sz w:val="20"/>
                <w:szCs w:val="20"/>
              </w:rPr>
              <w:t>елефонная связь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2 547,2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2 618,5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2 491,5</w:t>
            </w:r>
          </w:p>
        </w:tc>
        <w:tc>
          <w:tcPr>
            <w:tcW w:w="960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2 587,6</w:t>
            </w:r>
          </w:p>
        </w:tc>
        <w:tc>
          <w:tcPr>
            <w:tcW w:w="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12 864,7</w:t>
            </w:r>
          </w:p>
        </w:tc>
      </w:tr>
      <w:tr w:rsidR="00854E29" w:rsidRPr="00854E29" w:rsidTr="00726E9B">
        <w:trPr>
          <w:trHeight w:val="20"/>
        </w:trPr>
        <w:tc>
          <w:tcPr>
            <w:tcW w:w="397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854E29">
              <w:rPr>
                <w:color w:val="000000"/>
                <w:sz w:val="20"/>
                <w:szCs w:val="20"/>
              </w:rPr>
              <w:t xml:space="preserve">опровождение </w:t>
            </w:r>
            <w:r>
              <w:rPr>
                <w:color w:val="000000"/>
                <w:sz w:val="20"/>
                <w:szCs w:val="20"/>
              </w:rPr>
              <w:t>СПС</w:t>
            </w:r>
            <w:r w:rsidRPr="00854E29">
              <w:rPr>
                <w:color w:val="000000"/>
                <w:sz w:val="20"/>
                <w:szCs w:val="20"/>
              </w:rPr>
              <w:t xml:space="preserve"> «Консультант Плюс»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1 155,1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921,3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709,7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1 324,6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1 660,3</w:t>
            </w:r>
          </w:p>
        </w:tc>
        <w:tc>
          <w:tcPr>
            <w:tcW w:w="9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2 092,9</w:t>
            </w:r>
          </w:p>
        </w:tc>
        <w:tc>
          <w:tcPr>
            <w:tcW w:w="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color w:val="000000"/>
                <w:sz w:val="20"/>
                <w:szCs w:val="20"/>
              </w:rPr>
            </w:pPr>
            <w:r w:rsidRPr="00854E29">
              <w:rPr>
                <w:color w:val="000000"/>
                <w:sz w:val="20"/>
                <w:szCs w:val="20"/>
              </w:rPr>
              <w:t>7 863,9</w:t>
            </w:r>
          </w:p>
        </w:tc>
      </w:tr>
      <w:tr w:rsidR="00854E29" w:rsidRPr="00726E9B" w:rsidTr="00726E9B">
        <w:trPr>
          <w:trHeight w:val="20"/>
        </w:trPr>
        <w:tc>
          <w:tcPr>
            <w:tcW w:w="3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3 374,4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6 613,1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11 873,7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14 514,5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13 634,7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13 351,0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54E29" w:rsidRPr="00854E29" w:rsidRDefault="00854E29" w:rsidP="00854E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E29">
              <w:rPr>
                <w:b/>
                <w:color w:val="000000"/>
                <w:sz w:val="20"/>
                <w:szCs w:val="20"/>
              </w:rPr>
              <w:t>63 361,3</w:t>
            </w:r>
          </w:p>
        </w:tc>
      </w:tr>
    </w:tbl>
    <w:p w:rsidR="00854E29" w:rsidRPr="00FA59BE" w:rsidRDefault="00854E29" w:rsidP="00FA59BE">
      <w:pPr>
        <w:tabs>
          <w:tab w:val="left" w:pos="6885"/>
        </w:tabs>
        <w:ind w:firstLine="709"/>
        <w:jc w:val="both"/>
      </w:pPr>
    </w:p>
    <w:p w:rsidR="00FA59BE" w:rsidRDefault="00FA59BE" w:rsidP="00FA59BE">
      <w:pPr>
        <w:tabs>
          <w:tab w:val="left" w:pos="6885"/>
        </w:tabs>
        <w:ind w:firstLine="709"/>
        <w:jc w:val="both"/>
      </w:pPr>
      <w:r w:rsidRPr="00FA59BE">
        <w:t>Результаты сравнительного анализа расходов</w:t>
      </w:r>
      <w:r w:rsidR="000D6FF5" w:rsidRPr="000D6FF5">
        <w:t xml:space="preserve"> </w:t>
      </w:r>
      <w:r w:rsidR="000D6FF5" w:rsidRPr="00FA59BE">
        <w:t>по подразделу 0105 «Судебная система»</w:t>
      </w:r>
      <w:r w:rsidR="000D6FF5">
        <w:t xml:space="preserve"> (без учёта расходов на оплату труда двух подразделений Комитета, не участвующих в обеспечении деятельности мировых судей)</w:t>
      </w:r>
      <w:r w:rsidRPr="00FA59BE">
        <w:t xml:space="preserve"> проиллюстрированы с помощью диаграммы.</w:t>
      </w:r>
    </w:p>
    <w:p w:rsidR="00C23DE5" w:rsidRPr="00FA59BE" w:rsidRDefault="00C23DE5" w:rsidP="00FA59BE">
      <w:pPr>
        <w:tabs>
          <w:tab w:val="left" w:pos="6885"/>
        </w:tabs>
        <w:ind w:firstLine="709"/>
        <w:jc w:val="both"/>
      </w:pPr>
    </w:p>
    <w:p w:rsidR="00FA59BE" w:rsidRPr="00FA59BE" w:rsidRDefault="00FA59BE" w:rsidP="000D6FF5">
      <w:pPr>
        <w:jc w:val="both"/>
      </w:pPr>
      <w:r w:rsidRPr="00BB111E">
        <w:rPr>
          <w:noProof/>
          <w:bdr w:val="double" w:sz="4" w:space="0" w:color="auto"/>
        </w:rPr>
        <w:drawing>
          <wp:inline distT="0" distB="0" distL="0" distR="0">
            <wp:extent cx="6010275" cy="3059084"/>
            <wp:effectExtent l="0" t="0" r="0" b="0"/>
            <wp:docPr id="2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66424" w:rsidRDefault="00A66424" w:rsidP="00FA59BE">
      <w:pPr>
        <w:ind w:firstLine="709"/>
        <w:jc w:val="both"/>
      </w:pPr>
    </w:p>
    <w:p w:rsidR="00FA59BE" w:rsidRPr="00FA59BE" w:rsidRDefault="0058325C" w:rsidP="00FA59BE">
      <w:pPr>
        <w:ind w:firstLine="709"/>
        <w:jc w:val="both"/>
      </w:pPr>
      <w:r>
        <w:t>В</w:t>
      </w:r>
      <w:r w:rsidRPr="00FA59BE">
        <w:t xml:space="preserve"> 2012 – 2017</w:t>
      </w:r>
      <w:r>
        <w:t xml:space="preserve"> годах показатель</w:t>
      </w:r>
      <w:r w:rsidRPr="00FA59BE">
        <w:t xml:space="preserve"> </w:t>
      </w:r>
      <w:r>
        <w:t>о</w:t>
      </w:r>
      <w:r w:rsidR="00FA59BE" w:rsidRPr="00FA59BE">
        <w:t>бъем</w:t>
      </w:r>
      <w:r>
        <w:t>а</w:t>
      </w:r>
      <w:r w:rsidR="00FA59BE" w:rsidRPr="00FA59BE">
        <w:t xml:space="preserve"> расходов имеет общую тенденцию роста, котор</w:t>
      </w:r>
      <w:r>
        <w:t>ая</w:t>
      </w:r>
      <w:r w:rsidR="00FA59BE" w:rsidRPr="00FA59BE">
        <w:t xml:space="preserve"> в основном обеспечивается увеличением расходов на оплату труда с начислениями. По остальным направлениям расходов отсутствует четкая тенденция увеличения</w:t>
      </w:r>
      <w:r w:rsidR="002C30DB">
        <w:t>,</w:t>
      </w:r>
      <w:r w:rsidR="00FA59BE" w:rsidRPr="00FA59BE">
        <w:t xml:space="preserve"> либо снижения объема. </w:t>
      </w:r>
    </w:p>
    <w:p w:rsidR="00FA59BE" w:rsidRPr="00FA59BE" w:rsidRDefault="00FA59BE" w:rsidP="00FA59BE">
      <w:pPr>
        <w:ind w:firstLine="709"/>
        <w:jc w:val="both"/>
      </w:pPr>
      <w:r w:rsidRPr="00FA59BE">
        <w:t>Второе место по объему после расходов на оплату труда с начислениями занима</w:t>
      </w:r>
      <w:r w:rsidR="0058325C">
        <w:t>ли</w:t>
      </w:r>
      <w:r w:rsidRPr="00FA59BE">
        <w:t xml:space="preserve"> расходы на оплату работ, услуг</w:t>
      </w:r>
      <w:r w:rsidR="0058325C">
        <w:t>, объём которых колебался в диапазоне</w:t>
      </w:r>
      <w:r w:rsidRPr="00FA59BE">
        <w:t xml:space="preserve"> от 66 629,0 до 83 170,2 тыс. руб.</w:t>
      </w:r>
      <w:r w:rsidR="0058325C">
        <w:t>,</w:t>
      </w:r>
      <w:r w:rsidRPr="00FA59BE">
        <w:t xml:space="preserve"> или от 21,4</w:t>
      </w:r>
      <w:r w:rsidR="0058325C">
        <w:t xml:space="preserve"> </w:t>
      </w:r>
      <w:r w:rsidRPr="00FA59BE">
        <w:t>до 26,4%</w:t>
      </w:r>
      <w:r w:rsidR="0058325C">
        <w:t xml:space="preserve"> </w:t>
      </w:r>
      <w:r w:rsidRPr="00FA59BE">
        <w:t>от общего объема расходов по подразделу 0105 «Судебная система».</w:t>
      </w:r>
    </w:p>
    <w:p w:rsidR="00FA59BE" w:rsidRPr="00FA59BE" w:rsidRDefault="00FA59BE" w:rsidP="00FA59BE">
      <w:pPr>
        <w:ind w:firstLine="708"/>
        <w:jc w:val="both"/>
      </w:pPr>
      <w:r w:rsidRPr="00FA59BE">
        <w:lastRenderedPageBreak/>
        <w:t xml:space="preserve">Из указанного </w:t>
      </w:r>
      <w:r w:rsidR="0058325C">
        <w:t>вида</w:t>
      </w:r>
      <w:r w:rsidRPr="00FA59BE">
        <w:t xml:space="preserve"> расходов большая часть средств </w:t>
      </w:r>
      <w:r w:rsidR="0058325C">
        <w:t>(</w:t>
      </w:r>
      <w:r w:rsidRPr="00FA59BE">
        <w:t>от 33,4% в 2013 году до 62,8% в 2017 году</w:t>
      </w:r>
      <w:r w:rsidR="0058325C">
        <w:t>)</w:t>
      </w:r>
      <w:r w:rsidRPr="00FA59BE">
        <w:t xml:space="preserve"> направлена на оплату услуг связи, из которых большая часть </w:t>
      </w:r>
      <w:r w:rsidR="00143FF8" w:rsidRPr="00A66424">
        <w:t xml:space="preserve">- </w:t>
      </w:r>
      <w:r w:rsidRPr="00A66424">
        <w:t xml:space="preserve">на </w:t>
      </w:r>
      <w:r w:rsidR="00611BE3" w:rsidRPr="00A66424">
        <w:t>приобретение почтовых марок</w:t>
      </w:r>
      <w:r w:rsidRPr="00FA59BE">
        <w:t xml:space="preserve"> (от 90% до 98%).</w:t>
      </w:r>
    </w:p>
    <w:p w:rsidR="00FA59BE" w:rsidRPr="00FA59BE" w:rsidRDefault="00FA59BE" w:rsidP="00FA59BE">
      <w:pPr>
        <w:ind w:firstLine="708"/>
        <w:jc w:val="both"/>
      </w:pPr>
      <w:r w:rsidRPr="00FA59BE">
        <w:t xml:space="preserve">Информация о структуре расходов на оплату работ, услуг </w:t>
      </w:r>
      <w:r w:rsidR="00611BE3">
        <w:t>представлена</w:t>
      </w:r>
      <w:r w:rsidRPr="00FA59BE">
        <w:t xml:space="preserve"> диаграмм</w:t>
      </w:r>
      <w:r w:rsidR="00611BE3">
        <w:t>ой</w:t>
      </w:r>
      <w:r w:rsidRPr="00FA59BE">
        <w:t>.</w:t>
      </w:r>
    </w:p>
    <w:p w:rsidR="00FA59BE" w:rsidRPr="00FA59BE" w:rsidRDefault="00FA59BE" w:rsidP="00FA59BE">
      <w:pPr>
        <w:jc w:val="both"/>
      </w:pPr>
      <w:r w:rsidRPr="0082001F">
        <w:rPr>
          <w:noProof/>
          <w:bdr w:val="double" w:sz="4" w:space="0" w:color="auto"/>
        </w:rPr>
        <w:drawing>
          <wp:inline distT="0" distB="0" distL="0" distR="0">
            <wp:extent cx="6146358" cy="3116912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A59BE" w:rsidRDefault="00FA59BE" w:rsidP="00FA59BE">
      <w:pPr>
        <w:jc w:val="both"/>
      </w:pPr>
    </w:p>
    <w:p w:rsidR="00EB7BF8" w:rsidRDefault="00C71FF3" w:rsidP="00EB7BF8">
      <w:pPr>
        <w:autoSpaceDE w:val="0"/>
        <w:autoSpaceDN w:val="0"/>
        <w:adjustRightInd w:val="0"/>
        <w:ind w:firstLine="708"/>
        <w:jc w:val="both"/>
      </w:pPr>
      <w:r>
        <w:t>О</w:t>
      </w:r>
      <w:r w:rsidR="00FA59BE" w:rsidRPr="00FA59BE">
        <w:t>бъем расходов на оплату услуг связи</w:t>
      </w:r>
      <w:r w:rsidR="004E2AA2">
        <w:t xml:space="preserve"> </w:t>
      </w:r>
      <w:r w:rsidR="004E2AA2" w:rsidRPr="00FA59BE">
        <w:t xml:space="preserve">(включая </w:t>
      </w:r>
      <w:r w:rsidR="004E2AA2" w:rsidRPr="00FA59BE">
        <w:rPr>
          <w:rFonts w:eastAsiaTheme="minorHAnsi"/>
          <w:lang w:eastAsia="en-US"/>
        </w:rPr>
        <w:t>услуги почтовой связи</w:t>
      </w:r>
      <w:r w:rsidR="004E2AA2" w:rsidRPr="00FA59BE">
        <w:t xml:space="preserve">) </w:t>
      </w:r>
      <w:r w:rsidR="00FA59BE" w:rsidRPr="00FA59BE">
        <w:t>име</w:t>
      </w:r>
      <w:r w:rsidR="001E7C8F">
        <w:t xml:space="preserve">ет </w:t>
      </w:r>
      <w:r w:rsidR="004E2AA2">
        <w:t xml:space="preserve">общую </w:t>
      </w:r>
      <w:r w:rsidR="00FA59BE" w:rsidRPr="00FA59BE">
        <w:t xml:space="preserve">тенденцию </w:t>
      </w:r>
      <w:r w:rsidR="004E2AA2">
        <w:t xml:space="preserve">к росту </w:t>
      </w:r>
      <w:r w:rsidR="00FA59BE" w:rsidRPr="00FA59BE">
        <w:t>в общем объеме р</w:t>
      </w:r>
      <w:r w:rsidR="004E2AA2">
        <w:t>асходов на оплату работ и услуг</w:t>
      </w:r>
      <w:r w:rsidR="00FA59BE" w:rsidRPr="00FA59BE">
        <w:t xml:space="preserve"> </w:t>
      </w:r>
      <w:r w:rsidR="004E2AA2">
        <w:t>как в абсолютной, так и в относительной величине. Кроме того, объём ра</w:t>
      </w:r>
      <w:r w:rsidR="00EB7BF8" w:rsidRPr="00FA59BE">
        <w:t>сход</w:t>
      </w:r>
      <w:r w:rsidR="004E2AA2">
        <w:t>ов</w:t>
      </w:r>
      <w:r w:rsidR="00EB7BF8" w:rsidRPr="00FA59BE">
        <w:t xml:space="preserve"> на оплату услуг связи име</w:t>
      </w:r>
      <w:r w:rsidR="00EB7BF8">
        <w:t>ет чётко выраженную зависимость от объёма работы мировых судей – количества оконченных дел.</w:t>
      </w:r>
    </w:p>
    <w:p w:rsidR="00EB7BF8" w:rsidRDefault="00EB7BF8" w:rsidP="00FA59BE">
      <w:pPr>
        <w:autoSpaceDE w:val="0"/>
        <w:autoSpaceDN w:val="0"/>
        <w:adjustRightInd w:val="0"/>
        <w:ind w:firstLine="708"/>
        <w:jc w:val="both"/>
      </w:pPr>
    </w:p>
    <w:p w:rsidR="00C71FF3" w:rsidRDefault="007017F9" w:rsidP="00FA59BE">
      <w:pPr>
        <w:autoSpaceDE w:val="0"/>
        <w:autoSpaceDN w:val="0"/>
        <w:adjustRightInd w:val="0"/>
        <w:ind w:firstLine="708"/>
        <w:jc w:val="both"/>
      </w:pPr>
      <w:r w:rsidRPr="00F8785B">
        <w:rPr>
          <w:noProof/>
          <w:bdr w:val="double" w:sz="4" w:space="0" w:color="auto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71FF3" w:rsidRDefault="00C71FF3" w:rsidP="00FA59BE">
      <w:pPr>
        <w:autoSpaceDE w:val="0"/>
        <w:autoSpaceDN w:val="0"/>
        <w:adjustRightInd w:val="0"/>
        <w:ind w:firstLine="708"/>
        <w:jc w:val="both"/>
      </w:pPr>
    </w:p>
    <w:p w:rsidR="007017F9" w:rsidRDefault="00E6657C" w:rsidP="007017F9">
      <w:pPr>
        <w:ind w:firstLine="709"/>
        <w:jc w:val="both"/>
      </w:pPr>
      <w:r>
        <w:t>В 2017 году в</w:t>
      </w:r>
      <w:r w:rsidR="00AE0CD5" w:rsidRPr="0023358A">
        <w:t>торое</w:t>
      </w:r>
      <w:r w:rsidR="007017F9">
        <w:t xml:space="preserve"> место </w:t>
      </w:r>
      <w:r w:rsidR="0023358A" w:rsidRPr="0023358A">
        <w:t xml:space="preserve">по объему расходов Комитета (после расходов на оплату труда) занимают расходы на услуги связи - 43 437,6 тыс. руб., или 13,4 % общего объема расходов по подразделу 0105 «Судебная система». Из указанного объёма 42 407,2 тыс. руб. </w:t>
      </w:r>
      <w:r w:rsidR="00AE0CD5" w:rsidRPr="0023358A">
        <w:t xml:space="preserve">направлены на оплату почтовых марок. В 2017 году поступило </w:t>
      </w:r>
      <w:r>
        <w:t>марок</w:t>
      </w:r>
      <w:r w:rsidR="00AE0CD5" w:rsidRPr="0023358A">
        <w:t xml:space="preserve"> на 43 029,4 тыс. руб., выдано (использовано) </w:t>
      </w:r>
      <w:r>
        <w:t xml:space="preserve">- </w:t>
      </w:r>
      <w:r w:rsidR="00AE0CD5" w:rsidRPr="0023358A">
        <w:t>на 44 231,0 тыс.</w:t>
      </w:r>
      <w:r w:rsidR="0023358A" w:rsidRPr="0023358A">
        <w:t xml:space="preserve"> рублей. </w:t>
      </w:r>
      <w:r w:rsidR="0023358A" w:rsidRPr="0023358A">
        <w:rPr>
          <w:rFonts w:eastAsia="Calibri"/>
          <w:lang w:eastAsia="en-US"/>
        </w:rPr>
        <w:t>Марками осуществляется оплата, в основном, судебных почтовых отправлений.</w:t>
      </w:r>
    </w:p>
    <w:p w:rsidR="0023358A" w:rsidRPr="0023358A" w:rsidRDefault="0023358A" w:rsidP="0023358A">
      <w:pPr>
        <w:ind w:firstLine="709"/>
        <w:jc w:val="both"/>
      </w:pPr>
      <w:r w:rsidRPr="0023358A">
        <w:lastRenderedPageBreak/>
        <w:t>Процессуальными кодексами Российской Федерации установлена обязанность извещения лиц, участвующих в судебных делах, иных лиц, а также обязанность по направлению сторонам, в ССП и пр. судебных приказов, решений, исполнительных листов и пр.</w:t>
      </w:r>
    </w:p>
    <w:p w:rsidR="0023358A" w:rsidRPr="0023358A" w:rsidRDefault="0023358A" w:rsidP="0023358A">
      <w:pPr>
        <w:ind w:firstLine="709"/>
        <w:jc w:val="both"/>
      </w:pPr>
      <w:r w:rsidRPr="0023358A">
        <w:t>Обязательность возврата в суд корешка судебной повестки или копии иного судебного извещения с распиской адресата в их получении обусловлено необходимостью их приобщения к материалам дела для подтверждения направления судом соответствующих судебных извещений и их получения адресатом. Это является существенным для последующего установления судом надлежащего извещения лиц, участвующих в деле, о соответствующем судебном заседании или проведении процессуального действия.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</w:pPr>
      <w:r w:rsidRPr="0023358A">
        <w:t>В последние годы в связи с развитием информационно-телекоммуникационных технологий, систем электронного правительства, предоставления государственных услуг в электронном виде произошли определённые изменения и в законодательстве, регулирующем вопросы судебного делопроизводства, подачи исков, уведомления и извещения участников судебных разбирательств, вручения и высылки судебных приказов и решений и пр. Помимо всего прочего введение информационно-телекоммуникационных технологий приводит</w:t>
      </w:r>
      <w:r w:rsidR="002C30DB">
        <w:t>,</w:t>
      </w:r>
      <w:r w:rsidRPr="0023358A">
        <w:t xml:space="preserve"> или приведёт к сокращению расходов на услуги связи.</w:t>
      </w:r>
    </w:p>
    <w:p w:rsidR="0023358A" w:rsidRPr="0023358A" w:rsidRDefault="0023358A" w:rsidP="002335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3358A">
        <w:rPr>
          <w:rFonts w:eastAsia="Calibri"/>
          <w:lang w:eastAsia="en-US"/>
        </w:rPr>
        <w:t>Так, постановлением Пленума Верховного Суда РФ от 09.02.2012 № 3 «О внесении изменений в некоторые постановления Пленума Верховного Суда Российской Федерации» предусмотрена возможность извещения участников судопроизводства посредством СМС-сообщения. В 2017 году мировыми судьями Волгоградской области широко использовалось извещение участников судопроизводства посредством СМС-сообщения. Направлено 247,8 тыс. СМС-извещений 69,9 тыс. участникам процессов, что привело к экономии 3 971,1 тыс. рублей.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8A">
        <w:t xml:space="preserve">Федеральным законом от 23.06.2016 № 220-ФЗ «О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власти» предусмотрена возможность подачи </w:t>
      </w:r>
      <w:r w:rsidRPr="0023358A">
        <w:rPr>
          <w:rFonts w:eastAsia="Calibri"/>
          <w:lang w:eastAsia="en-US"/>
        </w:rPr>
        <w:t xml:space="preserve">документов в суд в электронном виде, в том числе в форме электронного документа, подписанного электронной подписью посредством заполнения формы, размещенной на официальном сайте суда. Судебное постановление также может быть выполнено в форме электронного документа. Органы государственной власти, органы местного самоуправления, иные органы и организации, являющиеся сторонами и другими участниками процесса, могут извещаться судом о времени и месте совершения процессуальных действий лишь посредством размещения соответствующей информации на официальном сайте суда, если суд располагает доказательствами того, что указанные лица надлежащим образом извещены о времени и месте первого судебного заседания. Такие лица, получившие первое судебное извещение по рассматриваемому делу, самостоятельно предпринимают меры по получению дальнейшей информации о движении дела с использованием любых источников такой информации и любых средств связи. Решение суда может быть выполнено в форме электронного документа. Лицам, участвующим в деле, но не присутствующим в судебном заседании, - гражданам копии решения суда по их ходатайству, или с их согласия копии решения суда высылаются посредством их размещения на официальном сайте суда, юридическим лицам - посредством их размещения на официальном сайте суда в режиме ограниченного доступа. 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</w:pPr>
      <w:r w:rsidRPr="0023358A">
        <w:t>По состоянию на дату проверки (март 2018 года) мировыми судьями Волгоградской области не используются механизмы электронных документов.</w:t>
      </w:r>
    </w:p>
    <w:p w:rsidR="0023358A" w:rsidRPr="0023358A" w:rsidRDefault="0023358A" w:rsidP="0023358A">
      <w:pPr>
        <w:ind w:firstLine="709"/>
        <w:jc w:val="both"/>
      </w:pPr>
      <w:r w:rsidRPr="0023358A">
        <w:t xml:space="preserve">Ведение электронного делопроизводства на судебных участках мировых судей Волгоградской области осуществляется посредством модуля «АМИРС», входящего в состав Государственной автоматизированной системы «Правосудие» (далее – модуль «АМИРС»). </w:t>
      </w:r>
    </w:p>
    <w:p w:rsidR="0023358A" w:rsidRPr="0023358A" w:rsidRDefault="0023358A" w:rsidP="0023358A">
      <w:pPr>
        <w:ind w:firstLine="709"/>
        <w:jc w:val="both"/>
      </w:pPr>
      <w:r w:rsidRPr="0023358A">
        <w:t xml:space="preserve">Использование модуля «АМИРС» для работы мировых судей рекомендовано Судебным департаментом при Верховном Суде РФ, который является оператором ГАС «Правосудие». </w:t>
      </w:r>
    </w:p>
    <w:p w:rsidR="0023358A" w:rsidRPr="0023358A" w:rsidRDefault="0023358A" w:rsidP="0023358A">
      <w:pPr>
        <w:ind w:firstLine="709"/>
        <w:jc w:val="both"/>
      </w:pPr>
      <w:r w:rsidRPr="0023358A">
        <w:t xml:space="preserve">В настоящее время в модуле «АМИРС» Судебным департаментом при Верховном Суде РФ не реализован функционал, предусматривающий возможность подачи мировым </w:t>
      </w:r>
      <w:r w:rsidRPr="0023358A">
        <w:lastRenderedPageBreak/>
        <w:t>судьям документов в электронном виде, обмена электронными документами между мировыми судьями и органами власти Российской Федерации. Реализация функционала планируется до конца 2018 года.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8A">
        <w:rPr>
          <w:rFonts w:eastAsia="Calibri"/>
          <w:lang w:eastAsia="en-US"/>
        </w:rPr>
        <w:t>Наиболее распространённым способом связи мировых судей Волгоградской области с участниками судопроизводства остаётся традиционный способ при помощи почтовых отправлений - заказными письмами с уведомлением о вручении. В Волгоградской области мировые судьи пользуются услугами организации почтовой связи ФГУП «Почта России».</w:t>
      </w:r>
    </w:p>
    <w:p w:rsidR="0023358A" w:rsidRPr="0023358A" w:rsidRDefault="0023358A" w:rsidP="0023358A">
      <w:pPr>
        <w:ind w:firstLine="709"/>
        <w:jc w:val="both"/>
      </w:pPr>
      <w:r w:rsidRPr="0023358A">
        <w:t xml:space="preserve">Стоимость пересылки заказного письма с уведомлением о вручении весом до 20 г в 2017 году составляла 61 руб., в том числе 41 руб. стоимость пересылки заказного письма, 20 руб. стоимость уведомления о вручении. 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8A">
        <w:rPr>
          <w:rFonts w:eastAsia="Calibri"/>
          <w:lang w:eastAsia="en-US"/>
        </w:rPr>
        <w:t>В деятельности ФГУП «Почта России» также нашли широкое применение различные электронные сервисы, информация которых стала использоваться в судопроизводстве. Например, отчеты об отслеживании заказного почтового отправления.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23358A">
        <w:rPr>
          <w:rFonts w:eastAsia="Calibri"/>
          <w:lang w:eastAsia="en-US"/>
        </w:rPr>
        <w:t xml:space="preserve">Так, постановлением Пленума Верховного Суда РФ от 27.12.2016 № 62 «О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производстве» установлено, что отслеживание установленных сроков осуществляется по штемпелю почтового отправления </w:t>
      </w:r>
      <w:r w:rsidRPr="0023358A">
        <w:rPr>
          <w:rFonts w:eastAsia="Calibri"/>
          <w:u w:val="single"/>
          <w:lang w:eastAsia="en-US"/>
        </w:rPr>
        <w:t>или по системе отслеживания</w:t>
      </w:r>
      <w:r w:rsidRPr="0023358A">
        <w:rPr>
          <w:rFonts w:eastAsia="Calibri"/>
          <w:lang w:eastAsia="en-US"/>
        </w:rPr>
        <w:t xml:space="preserve"> регистрируемой почтовой корреспонденции на официальном сайте ФГУП «Почта России». </w:t>
      </w:r>
      <w:r w:rsidRPr="0023358A">
        <w:rPr>
          <w:rFonts w:eastAsia="Calibri"/>
          <w:u w:val="single"/>
          <w:lang w:eastAsia="en-US"/>
        </w:rPr>
        <w:t>Отчет об отслеживании отправления распечатывается и приобщается к материалам приказного производства.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</w:pPr>
      <w:r w:rsidRPr="0023358A">
        <w:t xml:space="preserve">Однако отчёт об отслеживании не находит широкого применения в силу наличия требований процессуальных кодексов о направлении корреспонденции </w:t>
      </w:r>
      <w:r w:rsidRPr="0023358A">
        <w:rPr>
          <w:rFonts w:eastAsia="Calibri"/>
          <w:lang w:eastAsia="en-US"/>
        </w:rPr>
        <w:t xml:space="preserve">заказными письмами </w:t>
      </w:r>
      <w:r w:rsidRPr="0023358A">
        <w:rPr>
          <w:rFonts w:eastAsia="Calibri"/>
          <w:u w:val="single"/>
          <w:lang w:eastAsia="en-US"/>
        </w:rPr>
        <w:t>с уведомлением о вручении.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8A">
        <w:rPr>
          <w:rFonts w:eastAsia="Calibri"/>
          <w:lang w:eastAsia="en-US"/>
        </w:rPr>
        <w:t>Приказом ФГУП «Почта России» от 31.08.2005 № 343 установлены особые условия приема, вручения, хранения и возврата почтовых отправлений разряда «Судебное». Согласно п. 1.2 и п. 1.3. данных условий под почтовыми отправлениями разряда «Судебное» понимаются заказные письма и заказные бандероли, отправляемые федеральными судами РФ и мировыми судьями. Заказные письма и бандероли разряда «Судебное» должны пересылаться с уведомлением о вручении.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</w:pPr>
      <w:r w:rsidRPr="0023358A">
        <w:t xml:space="preserve">Приказом </w:t>
      </w:r>
      <w:r w:rsidRPr="0023358A">
        <w:rPr>
          <w:rFonts w:eastAsia="Calibri"/>
          <w:lang w:eastAsia="en-US"/>
        </w:rPr>
        <w:t xml:space="preserve">ФГУП «Почта России» от 17.05.2012 № 114-п утвержден </w:t>
      </w:r>
      <w:r w:rsidRPr="0023358A">
        <w:t xml:space="preserve">Порядок приема и вручения внутренних регистрируемых почтовых отправлений. Согласно п. 3 Порядка заказное почтовое отправление и </w:t>
      </w:r>
      <w:r w:rsidRPr="0023358A">
        <w:rPr>
          <w:rFonts w:eastAsia="Calibri"/>
          <w:lang w:eastAsia="en-US"/>
        </w:rPr>
        <w:t>п</w:t>
      </w:r>
      <w:r w:rsidRPr="0023358A">
        <w:t xml:space="preserve">очтовое отправление с уведомлением являются </w:t>
      </w:r>
      <w:r w:rsidRPr="0023358A">
        <w:rPr>
          <w:u w:val="single"/>
        </w:rPr>
        <w:t>регистрируемым</w:t>
      </w:r>
      <w:r w:rsidRPr="0023358A">
        <w:t xml:space="preserve"> почтовым отправлением. Порядок приема и вручения обоих видов отправлений </w:t>
      </w:r>
      <w:r w:rsidRPr="0023358A">
        <w:rPr>
          <w:u w:val="single"/>
        </w:rPr>
        <w:t>единый</w:t>
      </w:r>
      <w:r w:rsidRPr="0023358A">
        <w:t xml:space="preserve">. Помимо прочего при оформлении приема регистрируемого почтового отправления на квитанции (чеке) воспроизводится </w:t>
      </w:r>
      <w:r w:rsidRPr="0023358A">
        <w:rPr>
          <w:u w:val="single"/>
        </w:rPr>
        <w:t>номер почтового идентификатора</w:t>
      </w:r>
      <w:r w:rsidRPr="0023358A">
        <w:t xml:space="preserve">, который позволяет отследить почтовое отправление на сайтах: </w:t>
      </w:r>
      <w:hyperlink r:id="rId35" w:history="1">
        <w:r w:rsidRPr="0023358A">
          <w:t>www.russianpost.ru</w:t>
        </w:r>
      </w:hyperlink>
      <w:r w:rsidRPr="0023358A">
        <w:t xml:space="preserve"> и </w:t>
      </w:r>
      <w:hyperlink r:id="rId36" w:history="1">
        <w:r w:rsidRPr="0023358A">
          <w:t>www.почта-россии.ру</w:t>
        </w:r>
      </w:hyperlink>
      <w:r w:rsidRPr="0023358A">
        <w:t>.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</w:pPr>
      <w:r w:rsidRPr="0023358A">
        <w:t xml:space="preserve">Оба вида отправлений выдаются адресатам под расписку на извещении </w:t>
      </w:r>
      <w:hyperlink r:id="rId37" w:anchor="100987" w:history="1">
        <w:r w:rsidRPr="0023358A">
          <w:rPr>
            <w:u w:val="single"/>
          </w:rPr>
          <w:t>ф. 22</w:t>
        </w:r>
      </w:hyperlink>
      <w:r w:rsidRPr="0023358A">
        <w:t>. Вручение регистрируемых почтовых отправлений производится при предъявлении документов, удостоверяющих личность (п. 20.6.).</w:t>
      </w:r>
    </w:p>
    <w:p w:rsidR="0023358A" w:rsidRPr="0023358A" w:rsidRDefault="0023358A" w:rsidP="0023358A">
      <w:pPr>
        <w:ind w:firstLine="709"/>
        <w:jc w:val="both"/>
      </w:pPr>
      <w:r w:rsidRPr="0023358A">
        <w:rPr>
          <w:rFonts w:eastAsia="Calibri"/>
          <w:lang w:eastAsia="en-US"/>
        </w:rPr>
        <w:t>Таким образом,</w:t>
      </w:r>
      <w:r w:rsidRPr="0023358A">
        <w:t xml:space="preserve"> при отправлении любого регистрируемого почтового отправления (без уведомления или с уведомлением) информация о вручении отправления адресату имеется:</w:t>
      </w:r>
    </w:p>
    <w:p w:rsidR="0023358A" w:rsidRPr="0023358A" w:rsidRDefault="0023358A" w:rsidP="0023358A">
      <w:pPr>
        <w:ind w:firstLine="709"/>
        <w:jc w:val="both"/>
      </w:pPr>
      <w:r w:rsidRPr="0023358A">
        <w:t>1. В извещении (ф.22).</w:t>
      </w:r>
    </w:p>
    <w:p w:rsidR="0023358A" w:rsidRPr="0023358A" w:rsidRDefault="0023358A" w:rsidP="0023358A">
      <w:pPr>
        <w:ind w:firstLine="709"/>
        <w:jc w:val="both"/>
      </w:pPr>
      <w:r w:rsidRPr="0023358A">
        <w:t>2. В накладной (ф.16).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8A">
        <w:rPr>
          <w:rFonts w:eastAsia="Calibri"/>
          <w:lang w:eastAsia="en-US"/>
        </w:rPr>
        <w:t xml:space="preserve">3. На </w:t>
      </w:r>
      <w:r w:rsidRPr="0023358A">
        <w:t xml:space="preserve">сайтах: </w:t>
      </w:r>
      <w:hyperlink r:id="rId38" w:history="1">
        <w:r w:rsidRPr="0023358A">
          <w:rPr>
            <w:u w:val="single"/>
          </w:rPr>
          <w:t>www.russianpost.ru</w:t>
        </w:r>
      </w:hyperlink>
      <w:r w:rsidRPr="0023358A">
        <w:t xml:space="preserve"> и </w:t>
      </w:r>
      <w:hyperlink r:id="rId39" w:history="1">
        <w:r w:rsidRPr="0023358A">
          <w:rPr>
            <w:u w:val="single"/>
          </w:rPr>
          <w:t>www.почта-россии.ру</w:t>
        </w:r>
      </w:hyperlink>
      <w:r w:rsidRPr="0023358A">
        <w:t xml:space="preserve"> по номеру почтового идентификатора.</w:t>
      </w:r>
    </w:p>
    <w:p w:rsidR="007017F9" w:rsidRDefault="0023358A" w:rsidP="007017F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8A">
        <w:rPr>
          <w:rFonts w:eastAsia="Calibri"/>
          <w:lang w:eastAsia="en-US"/>
        </w:rPr>
        <w:t xml:space="preserve">Отчет об отслеживании заказного письма содержит всю информацию о его движении, в том числе о вручении или невручении письма. </w:t>
      </w:r>
    </w:p>
    <w:p w:rsidR="0023358A" w:rsidRPr="0023358A" w:rsidRDefault="007017F9" w:rsidP="007017F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8A">
        <w:rPr>
          <w:rFonts w:eastAsia="Calibri"/>
          <w:lang w:eastAsia="en-US"/>
        </w:rPr>
        <w:t xml:space="preserve">В этих </w:t>
      </w:r>
      <w:r w:rsidR="0023358A" w:rsidRPr="0023358A">
        <w:rPr>
          <w:rFonts w:eastAsia="Calibri"/>
          <w:lang w:eastAsia="en-US"/>
        </w:rPr>
        <w:t xml:space="preserve">условиях представляется, что уведомление о вручении является устаревшим инструментом подтверждения надлежащего извещения. Все принципы извещения и высылки </w:t>
      </w:r>
      <w:r w:rsidR="0023358A" w:rsidRPr="0023358A">
        <w:rPr>
          <w:rFonts w:eastAsia="Calibri"/>
          <w:lang w:eastAsia="en-US"/>
        </w:rPr>
        <w:lastRenderedPageBreak/>
        <w:t>судебных документов, необходимые для надлежащего судопроизводства, могут быть реализованы с помощью механизма отслеживания заказных отправлений.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358A">
        <w:rPr>
          <w:rFonts w:eastAsia="Calibri"/>
          <w:lang w:eastAsia="en-US"/>
        </w:rPr>
        <w:t>В свою очередь, замена традиционных уведомлений о вручении электронным отслеживанием приведёт к существенной экономии бюджетных средств, которые могут быть направлены на улучшение материально-технического обеспечения мировых судей.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</w:pPr>
      <w:r w:rsidRPr="0023358A">
        <w:rPr>
          <w:rFonts w:eastAsia="Calibri"/>
          <w:lang w:eastAsia="en-US"/>
        </w:rPr>
        <w:t>Так, на цифрах 2017 года отказ от уведомлений о вручении мог привести к экономии до 14 400,0 тыс. руб. (</w:t>
      </w:r>
      <w:r w:rsidRPr="0023358A">
        <w:t>44 231,0*20/61).</w:t>
      </w:r>
    </w:p>
    <w:p w:rsidR="0053171D" w:rsidRPr="0053171D" w:rsidRDefault="0053171D" w:rsidP="0053171D">
      <w:pPr>
        <w:ind w:firstLine="709"/>
        <w:jc w:val="both"/>
      </w:pPr>
      <w:r w:rsidRPr="0053171D">
        <w:t>По данному вопросу Волгоградским областным судом высказана правовая позиция о возможности извещения или вызова лиц, участвующих в деле, заказным письмом без уведомления о вручении с использованием сервиса отслеживания заказных почтовых отправлений на официальном сайте ФГУП «Почта России».</w:t>
      </w:r>
    </w:p>
    <w:p w:rsidR="0053171D" w:rsidRDefault="0053171D" w:rsidP="0053171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3171D">
        <w:t xml:space="preserve">Однако отделения связи отказывают в приёме заказной корреспонденции разряда «Судебное» без уведомлений о вручении со ссылкой на п. 1.4 </w:t>
      </w:r>
      <w:r w:rsidRPr="0053171D">
        <w:rPr>
          <w:rFonts w:eastAsiaTheme="minorHAnsi"/>
          <w:lang w:eastAsia="en-US"/>
        </w:rPr>
        <w:t xml:space="preserve">Особых </w:t>
      </w:r>
      <w:hyperlink r:id="rId40" w:history="1">
        <w:r w:rsidRPr="0053171D">
          <w:rPr>
            <w:rFonts w:eastAsiaTheme="minorHAnsi"/>
            <w:lang w:eastAsia="en-US"/>
          </w:rPr>
          <w:t>условий</w:t>
        </w:r>
      </w:hyperlink>
      <w:r w:rsidRPr="0053171D">
        <w:rPr>
          <w:rFonts w:eastAsiaTheme="minorHAnsi"/>
          <w:lang w:eastAsia="en-US"/>
        </w:rPr>
        <w:t xml:space="preserve"> приема, вручения, хранения и возврата почтовых отправлений разряда «Судебное», утверждённых приказом ФГУП «Почта России» от 05.12.2014 № 423-п, которым предусмотрена пересылка указанной корреспонденции только с уведомлением о вручении.</w:t>
      </w:r>
    </w:p>
    <w:p w:rsidR="0023358A" w:rsidRPr="0023358A" w:rsidRDefault="0023358A" w:rsidP="0023358A">
      <w:pPr>
        <w:ind w:firstLine="709"/>
        <w:jc w:val="both"/>
      </w:pPr>
    </w:p>
    <w:p w:rsidR="00FA59BE" w:rsidRPr="00FA59BE" w:rsidRDefault="00FA59BE" w:rsidP="00FA59BE">
      <w:pPr>
        <w:ind w:firstLine="708"/>
        <w:jc w:val="both"/>
      </w:pPr>
      <w:r w:rsidRPr="00FA59BE">
        <w:t xml:space="preserve">По объему расходов на приобретение основных средств и материальных запасов наблюдается ежегодный рост, при этом основная часть приходится на приобретение материальных запасов. Из общей картины выделяется 2015 год, в котором приобретены компьютеры и оргтехника на 9 761,0 тыс. рублей. Информация об объеме расходов на </w:t>
      </w:r>
      <w:r w:rsidR="00EB7BF8">
        <w:t>приобретение</w:t>
      </w:r>
      <w:r w:rsidRPr="00FA59BE">
        <w:t xml:space="preserve"> нефинансовых активов </w:t>
      </w:r>
      <w:r w:rsidR="00EB7BF8">
        <w:t>представлена</w:t>
      </w:r>
      <w:r w:rsidRPr="00FA59BE">
        <w:t xml:space="preserve"> диаграмм</w:t>
      </w:r>
      <w:r w:rsidR="00EB7BF8">
        <w:t>ой</w:t>
      </w:r>
      <w:r w:rsidRPr="00FA59BE">
        <w:t>.</w:t>
      </w:r>
    </w:p>
    <w:p w:rsidR="00FA59BE" w:rsidRPr="00FA59BE" w:rsidRDefault="00FA59BE" w:rsidP="00C23DE5">
      <w:pPr>
        <w:spacing w:after="200" w:line="276" w:lineRule="auto"/>
        <w:jc w:val="center"/>
      </w:pPr>
      <w:r w:rsidRPr="00104115">
        <w:rPr>
          <w:noProof/>
          <w:bdr w:val="double" w:sz="4" w:space="0" w:color="auto"/>
        </w:rPr>
        <w:drawing>
          <wp:inline distT="0" distB="0" distL="0" distR="0">
            <wp:extent cx="5749925" cy="2514600"/>
            <wp:effectExtent l="0" t="0" r="0" b="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FA59BE" w:rsidRPr="00FA59BE" w:rsidRDefault="00AB44AA" w:rsidP="00FA59BE">
      <w:pPr>
        <w:ind w:firstLine="708"/>
        <w:jc w:val="both"/>
        <w:rPr>
          <w:highlight w:val="magenta"/>
        </w:rPr>
      </w:pPr>
      <w:r>
        <w:t>О</w:t>
      </w:r>
      <w:r w:rsidR="00FA59BE" w:rsidRPr="00FA59BE">
        <w:t>бъем расходов н</w:t>
      </w:r>
      <w:r>
        <w:t>а приобретение основных средств</w:t>
      </w:r>
      <w:r w:rsidRPr="00FA59BE">
        <w:t xml:space="preserve">, за исключением </w:t>
      </w:r>
      <w:r>
        <w:t xml:space="preserve">показателя </w:t>
      </w:r>
      <w:r w:rsidRPr="00FA59BE">
        <w:t>2015 года</w:t>
      </w:r>
      <w:r>
        <w:t>,</w:t>
      </w:r>
      <w:r w:rsidRPr="00FA59BE">
        <w:t xml:space="preserve"> </w:t>
      </w:r>
      <w:r w:rsidR="00FA59BE" w:rsidRPr="00FA59BE">
        <w:t xml:space="preserve">имеет четко выраженную тенденцию </w:t>
      </w:r>
      <w:r>
        <w:t xml:space="preserve">к </w:t>
      </w:r>
      <w:r w:rsidR="00FA59BE" w:rsidRPr="00FA59BE">
        <w:t>снижени</w:t>
      </w:r>
      <w:r>
        <w:t>ю.</w:t>
      </w:r>
      <w:r w:rsidR="00FA59BE" w:rsidRPr="00FA59BE">
        <w:t xml:space="preserve"> </w:t>
      </w:r>
      <w:r w:rsidR="006673C0">
        <w:t>Р</w:t>
      </w:r>
      <w:r w:rsidR="00FA59BE" w:rsidRPr="00FA59BE">
        <w:t>асход</w:t>
      </w:r>
      <w:r w:rsidR="006673C0">
        <w:t>ы</w:t>
      </w:r>
      <w:r w:rsidR="00FA59BE" w:rsidRPr="00FA59BE">
        <w:t xml:space="preserve"> на приобретение материальных запасов </w:t>
      </w:r>
      <w:r w:rsidR="006673C0" w:rsidRPr="00CB1837">
        <w:t xml:space="preserve">увеличились </w:t>
      </w:r>
      <w:r w:rsidR="00CB1837" w:rsidRPr="00CB1837">
        <w:t>с 2 </w:t>
      </w:r>
      <w:r w:rsidR="006673C0" w:rsidRPr="00CB1837">
        <w:t>7</w:t>
      </w:r>
      <w:r w:rsidR="00CB1837" w:rsidRPr="00CB1837">
        <w:t>28,0</w:t>
      </w:r>
      <w:r w:rsidR="006673C0" w:rsidRPr="00CB1837">
        <w:t xml:space="preserve"> до 9</w:t>
      </w:r>
      <w:r w:rsidR="00CB1837" w:rsidRPr="00CB1837">
        <w:t> </w:t>
      </w:r>
      <w:r w:rsidR="006673C0" w:rsidRPr="00CB1837">
        <w:t>8</w:t>
      </w:r>
      <w:r w:rsidR="00CB1837" w:rsidRPr="00CB1837">
        <w:t>46,</w:t>
      </w:r>
      <w:r w:rsidR="00CB1837">
        <w:t>0</w:t>
      </w:r>
      <w:r w:rsidR="006673C0">
        <w:t xml:space="preserve"> тыс. руб., или в 3,6 раза.</w:t>
      </w:r>
    </w:p>
    <w:p w:rsidR="006673C0" w:rsidRDefault="00AB44AA" w:rsidP="00FA59BE">
      <w:pPr>
        <w:ind w:firstLine="708"/>
        <w:jc w:val="both"/>
      </w:pPr>
      <w:r>
        <w:t>С</w:t>
      </w:r>
      <w:r w:rsidR="00FA59BE" w:rsidRPr="00FA59BE">
        <w:t xml:space="preserve"> 2012 по 2017 годы</w:t>
      </w:r>
      <w:r w:rsidR="006673C0">
        <w:t xml:space="preserve"> на приобретение основных средств направлено </w:t>
      </w:r>
      <w:r w:rsidR="006673C0" w:rsidRPr="00FA59BE">
        <w:t>12 698,6 тыс. руб.</w:t>
      </w:r>
      <w:r w:rsidR="006673C0">
        <w:t>, в том числе:</w:t>
      </w:r>
    </w:p>
    <w:p w:rsidR="006673C0" w:rsidRDefault="006673C0" w:rsidP="006673C0">
      <w:pPr>
        <w:ind w:firstLine="709"/>
        <w:jc w:val="both"/>
      </w:pPr>
      <w:r>
        <w:t>-</w:t>
      </w:r>
      <w:r w:rsidRPr="00FA59BE">
        <w:t>9 937,2 тыс. руб.</w:t>
      </w:r>
      <w:r>
        <w:t xml:space="preserve"> (78,0%) - компьютерная и оргтехника;</w:t>
      </w:r>
    </w:p>
    <w:p w:rsidR="006673C0" w:rsidRDefault="006673C0" w:rsidP="006673C0">
      <w:pPr>
        <w:ind w:firstLine="709"/>
        <w:jc w:val="both"/>
      </w:pPr>
      <w:r>
        <w:t>-</w:t>
      </w:r>
      <w:r w:rsidRPr="00FA59BE">
        <w:t>1 573,9 тыс. руб</w:t>
      </w:r>
      <w:r>
        <w:t>. (12,3%) -</w:t>
      </w:r>
      <w:r w:rsidRPr="006673C0">
        <w:t xml:space="preserve"> </w:t>
      </w:r>
      <w:r w:rsidRPr="00FA59BE">
        <w:t>мебел</w:t>
      </w:r>
      <w:r>
        <w:t>ь</w:t>
      </w:r>
      <w:r w:rsidRPr="00FA59BE">
        <w:t>, включая металлические шкафы и стеллажи</w:t>
      </w:r>
      <w:r>
        <w:t>.</w:t>
      </w:r>
    </w:p>
    <w:p w:rsidR="00FA59BE" w:rsidRPr="00FA59BE" w:rsidRDefault="006673C0" w:rsidP="006673C0">
      <w:pPr>
        <w:ind w:firstLine="709"/>
        <w:jc w:val="both"/>
      </w:pPr>
      <w:r>
        <w:t>В</w:t>
      </w:r>
      <w:r w:rsidR="00FA59BE" w:rsidRPr="00FA59BE">
        <w:t xml:space="preserve"> 2012 году приобретен автомобиль Газель-3221 стоимостью 540,0 тыс. руб. и в 2013 году - стационарные арочные </w:t>
      </w:r>
      <w:proofErr w:type="spellStart"/>
      <w:r w:rsidR="00FA59BE" w:rsidRPr="00FA59BE">
        <w:t>металлоде</w:t>
      </w:r>
      <w:r w:rsidR="00C73931">
        <w:t>те</w:t>
      </w:r>
      <w:r w:rsidR="00FA59BE" w:rsidRPr="00FA59BE">
        <w:t>кторы</w:t>
      </w:r>
      <w:proofErr w:type="spellEnd"/>
      <w:r w:rsidR="00FA59BE" w:rsidRPr="00FA59BE">
        <w:t xml:space="preserve"> стоимостью 302,9 тыс. рублей.</w:t>
      </w:r>
    </w:p>
    <w:p w:rsidR="006673C0" w:rsidRDefault="006673C0" w:rsidP="00FA59BE">
      <w:pPr>
        <w:ind w:firstLine="708"/>
        <w:jc w:val="both"/>
      </w:pPr>
      <w:r>
        <w:t xml:space="preserve">На приобретение материальных запасов израсходовано </w:t>
      </w:r>
      <w:r w:rsidRPr="00FA59BE">
        <w:t>33 210,4 тыс. руб</w:t>
      </w:r>
      <w:r w:rsidR="0095363D">
        <w:t>лей</w:t>
      </w:r>
      <w:r w:rsidRPr="00FA59BE">
        <w:t>.</w:t>
      </w:r>
      <w:r w:rsidR="0095363D">
        <w:t xml:space="preserve"> Информация о видах приобретённых запасов и объёмах расходов на их приобретение представлена диаграммой.</w:t>
      </w:r>
    </w:p>
    <w:p w:rsidR="00FA59BE" w:rsidRPr="00FA59BE" w:rsidRDefault="00FA59BE" w:rsidP="00C23DE5">
      <w:pPr>
        <w:spacing w:after="200" w:line="276" w:lineRule="auto"/>
        <w:jc w:val="center"/>
      </w:pPr>
      <w:r w:rsidRPr="001047C0">
        <w:rPr>
          <w:noProof/>
          <w:bdr w:val="double" w:sz="4" w:space="0" w:color="auto"/>
        </w:rPr>
        <w:lastRenderedPageBreak/>
        <w:drawing>
          <wp:inline distT="0" distB="0" distL="0" distR="0">
            <wp:extent cx="6035040" cy="326707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53171D" w:rsidRDefault="0053171D" w:rsidP="00507E86">
      <w:pPr>
        <w:jc w:val="center"/>
        <w:rPr>
          <w:rFonts w:eastAsiaTheme="minorHAnsi"/>
          <w:i/>
          <w:lang w:eastAsia="en-US"/>
        </w:rPr>
      </w:pPr>
    </w:p>
    <w:p w:rsidR="00614A6C" w:rsidRPr="00FA59BE" w:rsidRDefault="00614A6C" w:rsidP="00507E86">
      <w:pPr>
        <w:jc w:val="center"/>
        <w:rPr>
          <w:rFonts w:eastAsiaTheme="minorHAnsi"/>
          <w:i/>
          <w:lang w:eastAsia="en-US"/>
        </w:rPr>
      </w:pPr>
      <w:r w:rsidRPr="00FA59BE">
        <w:rPr>
          <w:rFonts w:eastAsiaTheme="minorHAnsi"/>
          <w:i/>
          <w:lang w:eastAsia="en-US"/>
        </w:rPr>
        <w:t>Анализ дебиторской и кредиторской задолженности</w:t>
      </w:r>
    </w:p>
    <w:p w:rsidR="00614A6C" w:rsidRDefault="00614A6C" w:rsidP="00507E86">
      <w:pPr>
        <w:ind w:firstLine="708"/>
        <w:jc w:val="both"/>
        <w:rPr>
          <w:rFonts w:eastAsiaTheme="minorHAnsi"/>
          <w:lang w:eastAsia="en-US"/>
        </w:rPr>
      </w:pPr>
      <w:r w:rsidRPr="00614A6C">
        <w:rPr>
          <w:rFonts w:eastAsiaTheme="minorHAnsi"/>
          <w:lang w:eastAsia="en-US"/>
        </w:rPr>
        <w:t>Информация о динамике и структуре дебиторской задолженности</w:t>
      </w:r>
      <w:r w:rsidR="002C30DB">
        <w:rPr>
          <w:rFonts w:eastAsiaTheme="minorHAnsi"/>
          <w:lang w:eastAsia="en-US"/>
        </w:rPr>
        <w:t>,</w:t>
      </w:r>
      <w:r w:rsidRPr="00614A6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связанной с обеспечением деятельности мировых судей </w:t>
      </w:r>
      <w:r w:rsidRPr="00614A6C">
        <w:rPr>
          <w:rFonts w:eastAsiaTheme="minorHAnsi"/>
          <w:lang w:eastAsia="en-US"/>
        </w:rPr>
        <w:t>за период 2012-2017 годы</w:t>
      </w:r>
      <w:r w:rsidR="002C30DB">
        <w:rPr>
          <w:rFonts w:eastAsiaTheme="minorHAnsi"/>
          <w:lang w:eastAsia="en-US"/>
        </w:rPr>
        <w:t>,</w:t>
      </w:r>
      <w:r w:rsidRPr="00614A6C">
        <w:rPr>
          <w:rFonts w:eastAsiaTheme="minorHAnsi"/>
          <w:lang w:eastAsia="en-US"/>
        </w:rPr>
        <w:t xml:space="preserve"> представлен</w:t>
      </w:r>
      <w:r>
        <w:rPr>
          <w:rFonts w:eastAsiaTheme="minorHAnsi"/>
          <w:lang w:eastAsia="en-US"/>
        </w:rPr>
        <w:t>а</w:t>
      </w:r>
      <w:r w:rsidRPr="00614A6C">
        <w:rPr>
          <w:rFonts w:eastAsiaTheme="minorHAnsi"/>
          <w:lang w:eastAsia="en-US"/>
        </w:rPr>
        <w:t xml:space="preserve"> в таблице.</w:t>
      </w:r>
    </w:p>
    <w:p w:rsidR="00614A6C" w:rsidRPr="009E0172" w:rsidRDefault="00614A6C" w:rsidP="00614A6C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  <w:r w:rsidRPr="009E0172">
        <w:rPr>
          <w:rFonts w:eastAsiaTheme="minorHAnsi"/>
          <w:i/>
          <w:sz w:val="20"/>
          <w:szCs w:val="20"/>
          <w:lang w:eastAsia="en-US"/>
        </w:rPr>
        <w:t>тыс.руб.</w:t>
      </w:r>
    </w:p>
    <w:tbl>
      <w:tblPr>
        <w:tblW w:w="10605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82"/>
        <w:gridCol w:w="916"/>
        <w:gridCol w:w="1183"/>
        <w:gridCol w:w="918"/>
        <w:gridCol w:w="929"/>
        <w:gridCol w:w="930"/>
        <w:gridCol w:w="931"/>
        <w:gridCol w:w="916"/>
      </w:tblGrid>
      <w:tr w:rsidR="00614A6C" w:rsidRPr="00614A6C" w:rsidTr="00F27A5D">
        <w:trPr>
          <w:trHeight w:val="20"/>
        </w:trPr>
        <w:tc>
          <w:tcPr>
            <w:tcW w:w="38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F27A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01.01.12</w:t>
            </w:r>
          </w:p>
        </w:tc>
        <w:tc>
          <w:tcPr>
            <w:tcW w:w="1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F27A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01.01.13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F27A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01.01.14</w:t>
            </w:r>
          </w:p>
        </w:tc>
        <w:tc>
          <w:tcPr>
            <w:tcW w:w="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F27A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01.01.15</w:t>
            </w:r>
          </w:p>
        </w:tc>
        <w:tc>
          <w:tcPr>
            <w:tcW w:w="9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F27A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01.01.16</w:t>
            </w:r>
          </w:p>
        </w:tc>
        <w:tc>
          <w:tcPr>
            <w:tcW w:w="9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F27A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01.01.17</w:t>
            </w:r>
          </w:p>
        </w:tc>
        <w:tc>
          <w:tcPr>
            <w:tcW w:w="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F27A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01.01.18</w:t>
            </w:r>
          </w:p>
        </w:tc>
      </w:tr>
      <w:tr w:rsidR="00614A6C" w:rsidRPr="00614A6C" w:rsidTr="00F27A5D">
        <w:trPr>
          <w:trHeight w:val="20"/>
        </w:trPr>
        <w:tc>
          <w:tcPr>
            <w:tcW w:w="3882" w:type="dxa"/>
            <w:shd w:val="clear" w:color="auto" w:fill="auto"/>
            <w:vAlign w:val="bottom"/>
            <w:hideMark/>
          </w:tcPr>
          <w:p w:rsidR="00614A6C" w:rsidRPr="00614A6C" w:rsidRDefault="00614A6C" w:rsidP="00614A6C">
            <w:pPr>
              <w:rPr>
                <w:sz w:val="20"/>
                <w:szCs w:val="20"/>
              </w:rPr>
            </w:pPr>
            <w:r w:rsidRPr="00614A6C">
              <w:rPr>
                <w:sz w:val="20"/>
                <w:szCs w:val="20"/>
              </w:rPr>
              <w:t xml:space="preserve">Расчеты по выданным авансам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1057,0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54,8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1142,3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A6C" w:rsidRPr="00614A6C" w:rsidTr="00F27A5D">
        <w:trPr>
          <w:trHeight w:val="20"/>
        </w:trPr>
        <w:tc>
          <w:tcPr>
            <w:tcW w:w="3882" w:type="dxa"/>
            <w:shd w:val="clear" w:color="auto" w:fill="auto"/>
            <w:vAlign w:val="center"/>
            <w:hideMark/>
          </w:tcPr>
          <w:p w:rsidR="00614A6C" w:rsidRPr="00614A6C" w:rsidRDefault="00614A6C" w:rsidP="00614A6C">
            <w:pPr>
              <w:rPr>
                <w:sz w:val="20"/>
                <w:szCs w:val="20"/>
              </w:rPr>
            </w:pPr>
            <w:r w:rsidRPr="00614A6C">
              <w:rPr>
                <w:sz w:val="20"/>
                <w:szCs w:val="20"/>
              </w:rPr>
              <w:t xml:space="preserve">Расчеты с подотчетными лицами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849,3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603,3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2469,7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1550,5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1011,0</w:t>
            </w:r>
          </w:p>
        </w:tc>
      </w:tr>
      <w:tr w:rsidR="00614A6C" w:rsidRPr="00614A6C" w:rsidTr="00F27A5D">
        <w:trPr>
          <w:trHeight w:val="20"/>
        </w:trPr>
        <w:tc>
          <w:tcPr>
            <w:tcW w:w="3882" w:type="dxa"/>
            <w:shd w:val="clear" w:color="auto" w:fill="auto"/>
            <w:vAlign w:val="bottom"/>
            <w:hideMark/>
          </w:tcPr>
          <w:p w:rsidR="00614A6C" w:rsidRPr="00614A6C" w:rsidRDefault="00614A6C" w:rsidP="00614A6C">
            <w:pPr>
              <w:rPr>
                <w:sz w:val="20"/>
                <w:szCs w:val="20"/>
              </w:rPr>
            </w:pPr>
            <w:r w:rsidRPr="00614A6C">
              <w:rPr>
                <w:sz w:val="20"/>
                <w:szCs w:val="20"/>
              </w:rPr>
              <w:t xml:space="preserve">Расчеты по платежам в бюджеты 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- 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-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-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519,1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793,2</w:t>
            </w:r>
          </w:p>
        </w:tc>
      </w:tr>
      <w:tr w:rsidR="00614A6C" w:rsidRPr="00614A6C" w:rsidTr="00F27A5D">
        <w:trPr>
          <w:trHeight w:val="20"/>
        </w:trPr>
        <w:tc>
          <w:tcPr>
            <w:tcW w:w="3882" w:type="dxa"/>
            <w:shd w:val="clear" w:color="auto" w:fill="auto"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A6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411,6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3849,3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1660,2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2477,9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2124,4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1804,2</w:t>
            </w:r>
          </w:p>
        </w:tc>
      </w:tr>
      <w:tr w:rsidR="00614A6C" w:rsidRPr="00614A6C" w:rsidTr="00F27A5D">
        <w:trPr>
          <w:trHeight w:val="20"/>
        </w:trPr>
        <w:tc>
          <w:tcPr>
            <w:tcW w:w="3882" w:type="dxa"/>
            <w:shd w:val="clear" w:color="auto" w:fill="auto"/>
            <w:vAlign w:val="bottom"/>
            <w:hideMark/>
          </w:tcPr>
          <w:p w:rsidR="00614A6C" w:rsidRPr="00614A6C" w:rsidRDefault="00F27A5D" w:rsidP="00F27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</w:t>
            </w:r>
            <w:r w:rsidR="00614A6C" w:rsidRPr="00614A6C">
              <w:rPr>
                <w:b/>
                <w:bCs/>
                <w:sz w:val="20"/>
                <w:szCs w:val="20"/>
              </w:rPr>
              <w:t xml:space="preserve"> к п</w:t>
            </w:r>
            <w:r>
              <w:rPr>
                <w:b/>
                <w:bCs/>
                <w:sz w:val="20"/>
                <w:szCs w:val="20"/>
              </w:rPr>
              <w:t>редыдущему</w:t>
            </w:r>
            <w:r w:rsidR="00614A6C" w:rsidRPr="00614A6C">
              <w:rPr>
                <w:b/>
                <w:bCs/>
                <w:sz w:val="20"/>
                <w:szCs w:val="20"/>
              </w:rPr>
              <w:t xml:space="preserve"> году, %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в 9,3 раза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-56,9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+49,3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-14,3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+55,3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-45,3</w:t>
            </w:r>
          </w:p>
        </w:tc>
      </w:tr>
    </w:tbl>
    <w:p w:rsidR="00BD5CB4" w:rsidRDefault="00BD5CB4" w:rsidP="00614A6C">
      <w:pPr>
        <w:ind w:firstLine="709"/>
        <w:jc w:val="both"/>
        <w:rPr>
          <w:rFonts w:eastAsiaTheme="minorHAnsi"/>
          <w:bCs/>
          <w:lang w:eastAsia="en-US"/>
        </w:rPr>
      </w:pPr>
    </w:p>
    <w:p w:rsidR="00614A6C" w:rsidRPr="00614A6C" w:rsidRDefault="00614A6C" w:rsidP="00614A6C">
      <w:pPr>
        <w:ind w:firstLine="709"/>
        <w:jc w:val="both"/>
        <w:rPr>
          <w:rFonts w:eastAsiaTheme="minorHAnsi"/>
          <w:bCs/>
          <w:lang w:eastAsia="en-US"/>
        </w:rPr>
      </w:pPr>
      <w:r w:rsidRPr="00614A6C">
        <w:rPr>
          <w:rFonts w:eastAsiaTheme="minorHAnsi"/>
          <w:bCs/>
          <w:lang w:eastAsia="en-US"/>
        </w:rPr>
        <w:t xml:space="preserve">В рассматриваемом периоде минимальный размер дебиторской задолженности в сумме 411,6 тыс. руб. пришёлся на 01.01.2012, максимальное значение задолженности 3849,3 тыс. руб. (в 9,3 раза выше минимального значения) образовалось на 01.01.2013. </w:t>
      </w:r>
    </w:p>
    <w:p w:rsidR="00614A6C" w:rsidRPr="00614A6C" w:rsidRDefault="00614A6C" w:rsidP="00614A6C">
      <w:pPr>
        <w:ind w:firstLine="709"/>
        <w:jc w:val="both"/>
        <w:rPr>
          <w:rFonts w:eastAsiaTheme="minorHAnsi"/>
          <w:bCs/>
          <w:lang w:eastAsia="en-US"/>
        </w:rPr>
      </w:pPr>
      <w:r w:rsidRPr="00614A6C">
        <w:rPr>
          <w:rFonts w:eastAsiaTheme="minorHAnsi"/>
          <w:bCs/>
          <w:lang w:eastAsia="en-US"/>
        </w:rPr>
        <w:t>Дебиторская задолженность образуется по следующим расчётам:</w:t>
      </w:r>
    </w:p>
    <w:p w:rsidR="00614A6C" w:rsidRPr="00614A6C" w:rsidRDefault="00614A6C" w:rsidP="00614A6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4A6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-</w:t>
      </w:r>
      <w:r w:rsidRPr="00614A6C">
        <w:rPr>
          <w:rFonts w:eastAsiaTheme="minorHAnsi"/>
          <w:lang w:eastAsia="en-US"/>
        </w:rPr>
        <w:t>задолженност</w:t>
      </w:r>
      <w:r w:rsidR="009E0172">
        <w:rPr>
          <w:rFonts w:eastAsiaTheme="minorHAnsi"/>
          <w:lang w:eastAsia="en-US"/>
        </w:rPr>
        <w:t>ь</w:t>
      </w:r>
      <w:r w:rsidRPr="00614A6C">
        <w:rPr>
          <w:rFonts w:eastAsiaTheme="minorHAnsi"/>
          <w:lang w:eastAsia="en-US"/>
        </w:rPr>
        <w:t xml:space="preserve"> регионального отделения Фонда социального страхования за счёт превышения сумм уплаченных взносов над суммами социальных пособий по временной нетрудоспособности и в связи с материнством. Задолженность </w:t>
      </w:r>
      <w:r w:rsidR="000B41EB">
        <w:rPr>
          <w:rFonts w:eastAsiaTheme="minorHAnsi"/>
          <w:lang w:eastAsia="en-US"/>
        </w:rPr>
        <w:t>колебалась в границах</w:t>
      </w:r>
      <w:r w:rsidRPr="00614A6C">
        <w:rPr>
          <w:rFonts w:eastAsiaTheme="minorHAnsi"/>
          <w:lang w:eastAsia="en-US"/>
        </w:rPr>
        <w:t xml:space="preserve"> от 487,6 до 793,2 тыс. руб. на 01.01.2018. До 01.01.2015 задолженность ФСС РФ перед страхователем учитывалась в пассиве баланса в кредиторской задолженности со знаком «-»;</w:t>
      </w:r>
    </w:p>
    <w:p w:rsidR="00614A6C" w:rsidRPr="00614A6C" w:rsidRDefault="00614A6C" w:rsidP="00614A6C">
      <w:pPr>
        <w:ind w:firstLine="709"/>
        <w:jc w:val="both"/>
        <w:rPr>
          <w:rFonts w:eastAsiaTheme="minorHAnsi"/>
          <w:bCs/>
          <w:lang w:eastAsia="en-US"/>
        </w:rPr>
      </w:pPr>
      <w:r w:rsidRPr="00614A6C">
        <w:rPr>
          <w:rFonts w:eastAsiaTheme="minorHAnsi"/>
          <w:bCs/>
          <w:lang w:eastAsia="en-US"/>
        </w:rPr>
        <w:t>-</w:t>
      </w:r>
      <w:r w:rsidR="009E0172">
        <w:rPr>
          <w:rFonts w:eastAsiaTheme="minorHAnsi"/>
          <w:bCs/>
          <w:lang w:eastAsia="en-US"/>
        </w:rPr>
        <w:t>задолженность</w:t>
      </w:r>
      <w:r w:rsidRPr="00614A6C">
        <w:rPr>
          <w:rFonts w:eastAsiaTheme="minorHAnsi"/>
          <w:bCs/>
          <w:lang w:eastAsia="en-US"/>
        </w:rPr>
        <w:t xml:space="preserve"> по выданным авансам в связи с оплатой в конце года почтовых марок, поставка которых осуществлялась в январе следующего года. Именно по этой причине сложилась основная часть дебиторской задолженности на 01.01.2013 (77,9% от общей задолженности) и на 01.01.2014 (63,7</w:t>
      </w:r>
      <w:r w:rsidR="009E0172">
        <w:rPr>
          <w:rFonts w:eastAsiaTheme="minorHAnsi"/>
          <w:bCs/>
          <w:lang w:eastAsia="en-US"/>
        </w:rPr>
        <w:t>%</w:t>
      </w:r>
      <w:r w:rsidRPr="00614A6C">
        <w:rPr>
          <w:rFonts w:eastAsiaTheme="minorHAnsi"/>
          <w:bCs/>
          <w:lang w:eastAsia="en-US"/>
        </w:rPr>
        <w:t>);</w:t>
      </w:r>
    </w:p>
    <w:p w:rsidR="00614A6C" w:rsidRPr="00614A6C" w:rsidRDefault="00614A6C" w:rsidP="00B74D39">
      <w:pPr>
        <w:ind w:firstLine="709"/>
        <w:jc w:val="both"/>
        <w:rPr>
          <w:rFonts w:eastAsiaTheme="minorHAnsi"/>
          <w:bCs/>
          <w:lang w:eastAsia="en-US"/>
        </w:rPr>
      </w:pPr>
      <w:r w:rsidRPr="00614A6C">
        <w:rPr>
          <w:rFonts w:eastAsiaTheme="minorHAnsi"/>
          <w:bCs/>
          <w:lang w:eastAsia="en-US"/>
        </w:rPr>
        <w:t>-</w:t>
      </w:r>
      <w:r w:rsidR="009E0172">
        <w:rPr>
          <w:rFonts w:eastAsiaTheme="minorHAnsi"/>
          <w:bCs/>
          <w:lang w:eastAsia="en-US"/>
        </w:rPr>
        <w:t>задолженность по расчётам</w:t>
      </w:r>
      <w:r w:rsidRPr="00614A6C">
        <w:rPr>
          <w:rFonts w:eastAsiaTheme="minorHAnsi"/>
          <w:bCs/>
          <w:lang w:eastAsia="en-US"/>
        </w:rPr>
        <w:t xml:space="preserve"> с подотчётными лицами в связи со сложившимся на начало года остатком почтовых марок, выданных подотчётным лицам в аппаратах мировых судей. Основная (либо существенная) часть задолженности, образова</w:t>
      </w:r>
      <w:r w:rsidR="009E0172">
        <w:rPr>
          <w:rFonts w:eastAsiaTheme="minorHAnsi"/>
          <w:bCs/>
          <w:lang w:eastAsia="en-US"/>
        </w:rPr>
        <w:t>вшейся</w:t>
      </w:r>
      <w:r w:rsidRPr="00614A6C">
        <w:rPr>
          <w:rFonts w:eastAsiaTheme="minorHAnsi"/>
          <w:bCs/>
          <w:lang w:eastAsia="en-US"/>
        </w:rPr>
        <w:t xml:space="preserve"> по данной причине, сложилась на </w:t>
      </w:r>
      <w:r w:rsidR="009E0172">
        <w:rPr>
          <w:rFonts w:eastAsiaTheme="minorHAnsi"/>
          <w:bCs/>
          <w:lang w:eastAsia="en-US"/>
        </w:rPr>
        <w:t xml:space="preserve">начало </w:t>
      </w:r>
      <w:r w:rsidRPr="00614A6C">
        <w:rPr>
          <w:rFonts w:eastAsiaTheme="minorHAnsi"/>
          <w:bCs/>
          <w:lang w:eastAsia="en-US"/>
        </w:rPr>
        <w:t xml:space="preserve">2015 (99,7%), </w:t>
      </w:r>
      <w:r w:rsidR="009E0172">
        <w:rPr>
          <w:rFonts w:eastAsiaTheme="minorHAnsi"/>
          <w:bCs/>
          <w:lang w:eastAsia="en-US"/>
        </w:rPr>
        <w:t>20</w:t>
      </w:r>
      <w:r w:rsidRPr="00614A6C">
        <w:rPr>
          <w:rFonts w:eastAsiaTheme="minorHAnsi"/>
          <w:bCs/>
          <w:lang w:eastAsia="en-US"/>
        </w:rPr>
        <w:t>16 (73%), 2017 (50,6%)</w:t>
      </w:r>
      <w:r w:rsidR="009E0172">
        <w:rPr>
          <w:rFonts w:eastAsiaTheme="minorHAnsi"/>
          <w:bCs/>
          <w:lang w:eastAsia="en-US"/>
        </w:rPr>
        <w:t xml:space="preserve"> и 2018 (56%</w:t>
      </w:r>
      <w:r w:rsidRPr="00614A6C">
        <w:rPr>
          <w:rFonts w:eastAsiaTheme="minorHAnsi"/>
          <w:bCs/>
          <w:lang w:eastAsia="en-US"/>
        </w:rPr>
        <w:t>)</w:t>
      </w:r>
      <w:r w:rsidR="009E0172">
        <w:rPr>
          <w:rFonts w:eastAsiaTheme="minorHAnsi"/>
          <w:bCs/>
          <w:lang w:eastAsia="en-US"/>
        </w:rPr>
        <w:t xml:space="preserve"> годов</w:t>
      </w:r>
      <w:r w:rsidRPr="00614A6C">
        <w:rPr>
          <w:rFonts w:eastAsiaTheme="minorHAnsi"/>
          <w:bCs/>
          <w:lang w:eastAsia="en-US"/>
        </w:rPr>
        <w:t>;</w:t>
      </w:r>
    </w:p>
    <w:p w:rsidR="00614A6C" w:rsidRPr="00614A6C" w:rsidRDefault="00614A6C" w:rsidP="00B74D39">
      <w:pPr>
        <w:jc w:val="both"/>
        <w:rPr>
          <w:rFonts w:eastAsiaTheme="minorHAnsi"/>
          <w:lang w:eastAsia="en-US"/>
        </w:rPr>
      </w:pPr>
      <w:r w:rsidRPr="00614A6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14A6C">
        <w:rPr>
          <w:rFonts w:eastAsiaTheme="minorHAnsi"/>
          <w:lang w:eastAsia="en-US"/>
        </w:rPr>
        <w:t>Создание значительного запаса почтовых марок продиктовано необходимостью обеспечения оптимальных условий для функционирования судебных участков мировых судей в начале года при сложившихся условиях недофинансирования расходов в данный период</w:t>
      </w:r>
      <w:r w:rsidRPr="00614A6C">
        <w:rPr>
          <w:rFonts w:eastAsiaTheme="minorHAnsi"/>
          <w:bCs/>
          <w:lang w:eastAsia="en-US"/>
        </w:rPr>
        <w:t>.</w:t>
      </w:r>
    </w:p>
    <w:p w:rsidR="004157C3" w:rsidRDefault="00614A6C" w:rsidP="007E1A95">
      <w:pPr>
        <w:ind w:firstLine="709"/>
        <w:jc w:val="both"/>
        <w:rPr>
          <w:rFonts w:eastAsiaTheme="minorHAnsi"/>
          <w:lang w:eastAsia="en-US"/>
        </w:rPr>
      </w:pPr>
      <w:r w:rsidRPr="00614A6C">
        <w:rPr>
          <w:rFonts w:eastAsiaTheme="minorHAnsi"/>
          <w:lang w:eastAsia="en-US"/>
        </w:rPr>
        <w:lastRenderedPageBreak/>
        <w:t>Сведения о динамике и структуре кредиторской задолженности</w:t>
      </w:r>
      <w:r w:rsidR="004157C3">
        <w:rPr>
          <w:rFonts w:eastAsiaTheme="minorHAnsi"/>
          <w:lang w:eastAsia="en-US"/>
        </w:rPr>
        <w:t>, связанной с обеспечением деятельности мировых судей</w:t>
      </w:r>
      <w:r w:rsidR="002C30DB">
        <w:rPr>
          <w:rFonts w:eastAsiaTheme="minorHAnsi"/>
          <w:lang w:eastAsia="en-US"/>
        </w:rPr>
        <w:t>,</w:t>
      </w:r>
      <w:r w:rsidRPr="00614A6C">
        <w:rPr>
          <w:rFonts w:eastAsiaTheme="minorHAnsi"/>
          <w:lang w:eastAsia="en-US"/>
        </w:rPr>
        <w:t xml:space="preserve"> приведены в таблице и диаграмме. </w:t>
      </w:r>
    </w:p>
    <w:p w:rsidR="0053171D" w:rsidRPr="00614A6C" w:rsidRDefault="0053171D" w:rsidP="007E1A95">
      <w:pPr>
        <w:ind w:firstLine="709"/>
        <w:jc w:val="both"/>
        <w:rPr>
          <w:rFonts w:eastAsiaTheme="minorHAnsi"/>
          <w:lang w:eastAsia="en-US"/>
        </w:rPr>
      </w:pPr>
    </w:p>
    <w:p w:rsidR="00614A6C" w:rsidRPr="009E0172" w:rsidRDefault="00614A6C" w:rsidP="00614A6C">
      <w:pPr>
        <w:ind w:firstLine="709"/>
        <w:jc w:val="right"/>
        <w:rPr>
          <w:rFonts w:eastAsiaTheme="minorHAnsi"/>
          <w:i/>
          <w:sz w:val="20"/>
          <w:szCs w:val="20"/>
          <w:lang w:eastAsia="en-US"/>
        </w:rPr>
      </w:pPr>
      <w:r w:rsidRPr="009E0172">
        <w:rPr>
          <w:rFonts w:eastAsiaTheme="minorHAnsi"/>
          <w:i/>
          <w:sz w:val="20"/>
          <w:szCs w:val="20"/>
          <w:lang w:eastAsia="en-US"/>
        </w:rPr>
        <w:t>тыс.руб.</w:t>
      </w:r>
    </w:p>
    <w:tbl>
      <w:tblPr>
        <w:tblW w:w="10368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72"/>
        <w:gridCol w:w="948"/>
        <w:gridCol w:w="948"/>
        <w:gridCol w:w="949"/>
        <w:gridCol w:w="949"/>
        <w:gridCol w:w="949"/>
        <w:gridCol w:w="949"/>
        <w:gridCol w:w="1104"/>
      </w:tblGrid>
      <w:tr w:rsidR="00614A6C" w:rsidRPr="00614A6C" w:rsidTr="004157C3">
        <w:trPr>
          <w:trHeight w:val="20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rPr>
                <w:b/>
                <w:bCs/>
                <w:color w:val="000000"/>
              </w:rPr>
            </w:pPr>
            <w:r w:rsidRPr="00614A6C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01.01.12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01.01.13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01.01.14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01.01.15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01.01.16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A6C" w:rsidRPr="00614A6C" w:rsidRDefault="00614A6C" w:rsidP="009E0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01.01.17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A6C" w:rsidRPr="00614A6C" w:rsidRDefault="00614A6C" w:rsidP="00614A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A6C">
              <w:rPr>
                <w:b/>
                <w:bCs/>
                <w:color w:val="000000"/>
                <w:sz w:val="20"/>
                <w:szCs w:val="20"/>
              </w:rPr>
              <w:t>01.01.18</w:t>
            </w:r>
          </w:p>
        </w:tc>
      </w:tr>
      <w:tr w:rsidR="00614A6C" w:rsidRPr="00614A6C" w:rsidTr="004157C3">
        <w:trPr>
          <w:trHeight w:val="20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14A6C" w:rsidRPr="00614A6C" w:rsidRDefault="00614A6C" w:rsidP="00614A6C">
            <w:pPr>
              <w:rPr>
                <w:sz w:val="20"/>
                <w:szCs w:val="20"/>
              </w:rPr>
            </w:pPr>
            <w:r w:rsidRPr="00614A6C">
              <w:rPr>
                <w:sz w:val="20"/>
                <w:szCs w:val="20"/>
              </w:rPr>
              <w:t xml:space="preserve">Расчеты по принятым обязательствам 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19946,7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16954,9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9804,4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6875,0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1506,3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6250,7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22148,7</w:t>
            </w:r>
          </w:p>
        </w:tc>
      </w:tr>
      <w:tr w:rsidR="00614A6C" w:rsidRPr="00614A6C" w:rsidTr="004157C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14A6C" w:rsidRPr="00614A6C" w:rsidRDefault="00614A6C" w:rsidP="009E0172">
            <w:pPr>
              <w:rPr>
                <w:sz w:val="20"/>
                <w:szCs w:val="20"/>
              </w:rPr>
            </w:pPr>
            <w:r w:rsidRPr="00614A6C">
              <w:rPr>
                <w:sz w:val="20"/>
                <w:szCs w:val="20"/>
              </w:rPr>
              <w:t xml:space="preserve">Расчеты по платежам в бюджеты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2428,5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4535,6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12413,8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6083,3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5919,0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6492,5</w:t>
            </w:r>
          </w:p>
        </w:tc>
      </w:tr>
      <w:tr w:rsidR="00614A6C" w:rsidRPr="00614A6C" w:rsidTr="004157C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14A6C" w:rsidRPr="00614A6C" w:rsidRDefault="00614A6C" w:rsidP="009E0172">
            <w:pPr>
              <w:rPr>
                <w:sz w:val="20"/>
                <w:szCs w:val="20"/>
              </w:rPr>
            </w:pPr>
            <w:r w:rsidRPr="00614A6C">
              <w:rPr>
                <w:sz w:val="20"/>
                <w:szCs w:val="20"/>
              </w:rPr>
              <w:t xml:space="preserve">Прочие расчеты с кредиторами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1149,1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6106,6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778,3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64,9</w:t>
            </w:r>
          </w:p>
        </w:tc>
      </w:tr>
      <w:tr w:rsidR="00614A6C" w:rsidRPr="00614A6C" w:rsidTr="004157C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14A6C" w:rsidRPr="00614A6C" w:rsidRDefault="00614A6C" w:rsidP="00614A6C">
            <w:pPr>
              <w:rPr>
                <w:sz w:val="20"/>
                <w:szCs w:val="20"/>
              </w:rPr>
            </w:pPr>
            <w:r w:rsidRPr="00614A6C">
              <w:rPr>
                <w:sz w:val="20"/>
                <w:szCs w:val="20"/>
              </w:rPr>
              <w:t xml:space="preserve">Расчеты с подотчетными лицами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4A6C" w:rsidRPr="00614A6C" w:rsidRDefault="00614A6C" w:rsidP="00614A6C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139,6</w:t>
            </w:r>
          </w:p>
        </w:tc>
      </w:tr>
      <w:tr w:rsidR="004157C3" w:rsidRPr="004157C3" w:rsidTr="004157C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57C3" w:rsidRPr="004157C3" w:rsidRDefault="004157C3" w:rsidP="004157C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7C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7C3" w:rsidRPr="004157C3" w:rsidRDefault="004157C3" w:rsidP="004157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7C3">
              <w:rPr>
                <w:b/>
                <w:color w:val="000000"/>
                <w:sz w:val="20"/>
                <w:szCs w:val="20"/>
              </w:rPr>
              <w:t>22320,2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7C3" w:rsidRPr="004157C3" w:rsidRDefault="004157C3" w:rsidP="004157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7C3">
              <w:rPr>
                <w:b/>
                <w:color w:val="000000"/>
                <w:sz w:val="20"/>
                <w:szCs w:val="20"/>
              </w:rPr>
              <w:t>22639,6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7C3" w:rsidRPr="004157C3" w:rsidRDefault="004157C3" w:rsidP="004157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7C3">
              <w:rPr>
                <w:b/>
                <w:color w:val="000000"/>
                <w:sz w:val="20"/>
                <w:szCs w:val="20"/>
              </w:rPr>
              <w:t>28324,8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7C3" w:rsidRPr="004157C3" w:rsidRDefault="004157C3" w:rsidP="004157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7C3">
              <w:rPr>
                <w:b/>
                <w:color w:val="000000"/>
                <w:sz w:val="20"/>
                <w:szCs w:val="20"/>
              </w:rPr>
              <w:t>13736,6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7C3" w:rsidRPr="004157C3" w:rsidRDefault="004157C3" w:rsidP="004157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7C3">
              <w:rPr>
                <w:b/>
                <w:color w:val="000000"/>
                <w:sz w:val="20"/>
                <w:szCs w:val="20"/>
              </w:rPr>
              <w:t>7431,4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7C3" w:rsidRPr="004157C3" w:rsidRDefault="004157C3" w:rsidP="004157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7C3">
              <w:rPr>
                <w:b/>
                <w:color w:val="000000"/>
                <w:sz w:val="20"/>
                <w:szCs w:val="20"/>
              </w:rPr>
              <w:t>6729,7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7C3" w:rsidRPr="004157C3" w:rsidRDefault="004157C3" w:rsidP="004157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7C3">
              <w:rPr>
                <w:b/>
                <w:color w:val="000000"/>
                <w:sz w:val="20"/>
                <w:szCs w:val="20"/>
              </w:rPr>
              <w:t>28845,7</w:t>
            </w:r>
          </w:p>
        </w:tc>
      </w:tr>
      <w:tr w:rsidR="004157C3" w:rsidRPr="00614A6C" w:rsidTr="004157C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57C3" w:rsidRPr="00614A6C" w:rsidRDefault="004157C3" w:rsidP="004157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Изменение</w:t>
            </w:r>
            <w:r w:rsidRPr="00614A6C">
              <w:rPr>
                <w:b/>
                <w:color w:val="000000"/>
                <w:sz w:val="20"/>
                <w:szCs w:val="20"/>
              </w:rPr>
              <w:t xml:space="preserve"> к предыдущему году, 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57C3" w:rsidRPr="00614A6C" w:rsidRDefault="004157C3" w:rsidP="004157C3">
            <w:pPr>
              <w:jc w:val="center"/>
              <w:rPr>
                <w:color w:val="000000"/>
                <w:sz w:val="20"/>
                <w:szCs w:val="20"/>
              </w:rPr>
            </w:pPr>
            <w:r w:rsidRPr="00614A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57C3" w:rsidRPr="00614A6C" w:rsidRDefault="004157C3" w:rsidP="004157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4A6C">
              <w:rPr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57C3" w:rsidRPr="00614A6C" w:rsidRDefault="004157C3" w:rsidP="004157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4A6C">
              <w:rPr>
                <w:b/>
                <w:color w:val="000000"/>
                <w:sz w:val="20"/>
                <w:szCs w:val="20"/>
              </w:rPr>
              <w:t>+25,1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57C3" w:rsidRPr="00614A6C" w:rsidRDefault="004157C3" w:rsidP="004157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4A6C">
              <w:rPr>
                <w:b/>
                <w:color w:val="000000"/>
                <w:sz w:val="20"/>
                <w:szCs w:val="20"/>
              </w:rPr>
              <w:t>-51,5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57C3" w:rsidRPr="00614A6C" w:rsidRDefault="004157C3" w:rsidP="004157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4A6C">
              <w:rPr>
                <w:b/>
                <w:color w:val="000000"/>
                <w:sz w:val="20"/>
                <w:szCs w:val="20"/>
              </w:rPr>
              <w:t>-45,9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57C3" w:rsidRPr="00614A6C" w:rsidRDefault="004157C3" w:rsidP="004157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4A6C">
              <w:rPr>
                <w:b/>
                <w:color w:val="000000"/>
                <w:sz w:val="20"/>
                <w:szCs w:val="20"/>
              </w:rPr>
              <w:t>-9,4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57C3" w:rsidRPr="00614A6C" w:rsidRDefault="004157C3" w:rsidP="004157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4A6C">
              <w:rPr>
                <w:b/>
                <w:color w:val="000000"/>
                <w:sz w:val="20"/>
                <w:szCs w:val="20"/>
              </w:rPr>
              <w:t>в 4,3 раза</w:t>
            </w:r>
          </w:p>
        </w:tc>
      </w:tr>
    </w:tbl>
    <w:p w:rsidR="004157C3" w:rsidRDefault="004157C3" w:rsidP="00614A6C">
      <w:pPr>
        <w:jc w:val="both"/>
        <w:rPr>
          <w:rFonts w:eastAsiaTheme="minorHAnsi"/>
          <w:lang w:eastAsia="en-US"/>
        </w:rPr>
      </w:pPr>
    </w:p>
    <w:p w:rsidR="004157C3" w:rsidRDefault="004157C3" w:rsidP="00614A6C">
      <w:pPr>
        <w:jc w:val="both"/>
        <w:rPr>
          <w:rFonts w:eastAsiaTheme="minorHAnsi"/>
          <w:lang w:eastAsia="en-US"/>
        </w:rPr>
      </w:pPr>
      <w:r w:rsidRPr="003D5C64">
        <w:rPr>
          <w:rFonts w:eastAsiaTheme="minorHAnsi"/>
          <w:noProof/>
          <w:bdr w:val="double" w:sz="4" w:space="0" w:color="auto"/>
        </w:rPr>
        <w:drawing>
          <wp:inline distT="0" distB="0" distL="0" distR="0">
            <wp:extent cx="6047740" cy="36957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4157C3" w:rsidRDefault="004157C3" w:rsidP="00614A6C">
      <w:pPr>
        <w:jc w:val="both"/>
        <w:rPr>
          <w:rFonts w:eastAsiaTheme="minorHAnsi"/>
          <w:lang w:eastAsia="en-US"/>
        </w:rPr>
      </w:pPr>
    </w:p>
    <w:p w:rsidR="00614A6C" w:rsidRPr="00614A6C" w:rsidRDefault="004157C3" w:rsidP="004157C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 2012 года по 201</w:t>
      </w:r>
      <w:r w:rsidR="00211CCE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 год </w:t>
      </w:r>
      <w:r w:rsidR="00614A6C" w:rsidRPr="00614A6C">
        <w:rPr>
          <w:rFonts w:eastAsiaTheme="minorHAnsi"/>
          <w:lang w:eastAsia="en-US"/>
        </w:rPr>
        <w:t xml:space="preserve">кредиторская задолженность </w:t>
      </w:r>
      <w:r w:rsidR="000B41EB">
        <w:rPr>
          <w:rFonts w:eastAsiaTheme="minorHAnsi"/>
          <w:lang w:eastAsia="en-US"/>
        </w:rPr>
        <w:t>колебалась в пределах</w:t>
      </w:r>
      <w:r w:rsidR="00614A6C" w:rsidRPr="00614A6C">
        <w:rPr>
          <w:rFonts w:eastAsiaTheme="minorHAnsi"/>
          <w:lang w:eastAsia="en-US"/>
        </w:rPr>
        <w:t xml:space="preserve"> от 6</w:t>
      </w:r>
      <w:r>
        <w:rPr>
          <w:rFonts w:eastAsiaTheme="minorHAnsi"/>
          <w:lang w:eastAsia="en-US"/>
        </w:rPr>
        <w:t> </w:t>
      </w:r>
      <w:r w:rsidR="00614A6C" w:rsidRPr="00614A6C">
        <w:rPr>
          <w:rFonts w:eastAsiaTheme="minorHAnsi"/>
          <w:lang w:eastAsia="en-US"/>
        </w:rPr>
        <w:t>729,7 до 28</w:t>
      </w:r>
      <w:r>
        <w:rPr>
          <w:rFonts w:eastAsiaTheme="minorHAnsi"/>
          <w:lang w:eastAsia="en-US"/>
        </w:rPr>
        <w:t> </w:t>
      </w:r>
      <w:r w:rsidR="00614A6C" w:rsidRPr="00614A6C">
        <w:rPr>
          <w:rFonts w:eastAsiaTheme="minorHAnsi"/>
          <w:lang w:eastAsia="en-US"/>
        </w:rPr>
        <w:t xml:space="preserve">845,7 тыс. руб. на </w:t>
      </w:r>
      <w:r>
        <w:rPr>
          <w:rFonts w:eastAsiaTheme="minorHAnsi"/>
          <w:lang w:eastAsia="en-US"/>
        </w:rPr>
        <w:t xml:space="preserve">начало </w:t>
      </w:r>
      <w:r w:rsidR="00614A6C" w:rsidRPr="00614A6C">
        <w:rPr>
          <w:rFonts w:eastAsiaTheme="minorHAnsi"/>
          <w:lang w:eastAsia="en-US"/>
        </w:rPr>
        <w:t>2018</w:t>
      </w:r>
      <w:r>
        <w:rPr>
          <w:rFonts w:eastAsiaTheme="minorHAnsi"/>
          <w:lang w:eastAsia="en-US"/>
        </w:rPr>
        <w:t xml:space="preserve"> года</w:t>
      </w:r>
      <w:r w:rsidR="00614A6C" w:rsidRPr="00614A6C">
        <w:rPr>
          <w:rFonts w:eastAsiaTheme="minorHAnsi"/>
          <w:lang w:eastAsia="en-US"/>
        </w:rPr>
        <w:t>. Существенное снижение задолженности (на 51,5%) произошло в 2014 году - с 28</w:t>
      </w:r>
      <w:r>
        <w:rPr>
          <w:rFonts w:eastAsiaTheme="minorHAnsi"/>
          <w:lang w:eastAsia="en-US"/>
        </w:rPr>
        <w:t> 324,8 тыс. руб.</w:t>
      </w:r>
      <w:r w:rsidR="00614A6C" w:rsidRPr="00614A6C">
        <w:rPr>
          <w:rFonts w:eastAsiaTheme="minorHAnsi"/>
          <w:lang w:eastAsia="en-US"/>
        </w:rPr>
        <w:t xml:space="preserve"> до 13</w:t>
      </w:r>
      <w:r>
        <w:rPr>
          <w:rFonts w:eastAsiaTheme="minorHAnsi"/>
          <w:lang w:eastAsia="en-US"/>
        </w:rPr>
        <w:t> </w:t>
      </w:r>
      <w:r w:rsidR="00614A6C" w:rsidRPr="00614A6C">
        <w:rPr>
          <w:rFonts w:eastAsiaTheme="minorHAnsi"/>
          <w:lang w:eastAsia="en-US"/>
        </w:rPr>
        <w:t>73</w:t>
      </w:r>
      <w:r w:rsidR="00B02503">
        <w:rPr>
          <w:rFonts w:eastAsiaTheme="minorHAnsi"/>
          <w:lang w:eastAsia="en-US"/>
        </w:rPr>
        <w:t>6</w:t>
      </w:r>
      <w:r w:rsidR="00614A6C" w:rsidRPr="00614A6C">
        <w:rPr>
          <w:rFonts w:eastAsiaTheme="minorHAnsi"/>
          <w:lang w:eastAsia="en-US"/>
        </w:rPr>
        <w:t>,</w:t>
      </w:r>
      <w:r w:rsidR="00B02503">
        <w:rPr>
          <w:rFonts w:eastAsiaTheme="minorHAnsi"/>
          <w:lang w:eastAsia="en-US"/>
        </w:rPr>
        <w:t>6</w:t>
      </w:r>
      <w:r w:rsidR="00614A6C" w:rsidRPr="00614A6C">
        <w:rPr>
          <w:rFonts w:eastAsiaTheme="minorHAnsi"/>
          <w:lang w:eastAsia="en-US"/>
        </w:rPr>
        <w:t xml:space="preserve"> тыс. руб</w:t>
      </w:r>
      <w:r>
        <w:rPr>
          <w:rFonts w:eastAsiaTheme="minorHAnsi"/>
          <w:lang w:eastAsia="en-US"/>
        </w:rPr>
        <w:t>лей</w:t>
      </w:r>
      <w:r w:rsidR="00614A6C" w:rsidRPr="00614A6C">
        <w:rPr>
          <w:rFonts w:eastAsiaTheme="minorHAnsi"/>
          <w:lang w:eastAsia="en-US"/>
        </w:rPr>
        <w:t xml:space="preserve">. В следующие </w:t>
      </w:r>
      <w:r>
        <w:rPr>
          <w:rFonts w:eastAsiaTheme="minorHAnsi"/>
          <w:lang w:eastAsia="en-US"/>
        </w:rPr>
        <w:t>два года</w:t>
      </w:r>
      <w:r w:rsidR="00614A6C" w:rsidRPr="00614A6C">
        <w:rPr>
          <w:rFonts w:eastAsiaTheme="minorHAnsi"/>
          <w:lang w:eastAsia="en-US"/>
        </w:rPr>
        <w:t xml:space="preserve"> задолженность продолжала снижаться </w:t>
      </w:r>
      <w:r>
        <w:rPr>
          <w:rFonts w:eastAsiaTheme="minorHAnsi"/>
          <w:lang w:eastAsia="en-US"/>
        </w:rPr>
        <w:t xml:space="preserve">и достигла показателя </w:t>
      </w:r>
      <w:r w:rsidR="00614A6C" w:rsidRPr="00614A6C">
        <w:rPr>
          <w:rFonts w:eastAsiaTheme="minorHAnsi"/>
          <w:lang w:eastAsia="en-US"/>
        </w:rPr>
        <w:t>6</w:t>
      </w:r>
      <w:r w:rsidR="000B41EB">
        <w:rPr>
          <w:rFonts w:eastAsiaTheme="minorHAnsi"/>
          <w:lang w:eastAsia="en-US"/>
        </w:rPr>
        <w:t> </w:t>
      </w:r>
      <w:r w:rsidR="00614A6C" w:rsidRPr="00614A6C">
        <w:rPr>
          <w:rFonts w:eastAsiaTheme="minorHAnsi"/>
          <w:lang w:eastAsia="en-US"/>
        </w:rPr>
        <w:t>729,7 тыс. руб</w:t>
      </w:r>
      <w:r>
        <w:rPr>
          <w:rFonts w:eastAsiaTheme="minorHAnsi"/>
          <w:lang w:eastAsia="en-US"/>
        </w:rPr>
        <w:t xml:space="preserve">. </w:t>
      </w:r>
      <w:r w:rsidR="00B02503">
        <w:rPr>
          <w:rFonts w:eastAsiaTheme="minorHAnsi"/>
          <w:lang w:eastAsia="en-US"/>
        </w:rPr>
        <w:t>на начало 2017 года</w:t>
      </w:r>
      <w:r w:rsidR="00614A6C" w:rsidRPr="00614A6C">
        <w:rPr>
          <w:rFonts w:eastAsiaTheme="minorHAnsi"/>
          <w:lang w:eastAsia="en-US"/>
        </w:rPr>
        <w:t xml:space="preserve">. </w:t>
      </w:r>
    </w:p>
    <w:p w:rsidR="00614A6C" w:rsidRPr="00614A6C" w:rsidRDefault="00614A6C" w:rsidP="004157C3">
      <w:pPr>
        <w:ind w:firstLine="709"/>
        <w:jc w:val="both"/>
        <w:rPr>
          <w:rFonts w:eastAsiaTheme="minorHAnsi"/>
          <w:lang w:eastAsia="en-US"/>
        </w:rPr>
      </w:pPr>
      <w:r w:rsidRPr="00614A6C">
        <w:rPr>
          <w:rFonts w:eastAsiaTheme="minorHAnsi"/>
          <w:lang w:eastAsia="en-US"/>
        </w:rPr>
        <w:t>Резкий рост кредиторской задолженности с 6 </w:t>
      </w:r>
      <w:r w:rsidR="00B02503">
        <w:rPr>
          <w:rFonts w:eastAsiaTheme="minorHAnsi"/>
          <w:lang w:eastAsia="en-US"/>
        </w:rPr>
        <w:t>729</w:t>
      </w:r>
      <w:r w:rsidRPr="00614A6C">
        <w:rPr>
          <w:rFonts w:eastAsiaTheme="minorHAnsi"/>
          <w:lang w:eastAsia="en-US"/>
        </w:rPr>
        <w:t>,</w:t>
      </w:r>
      <w:r w:rsidR="00B02503">
        <w:rPr>
          <w:rFonts w:eastAsiaTheme="minorHAnsi"/>
          <w:lang w:eastAsia="en-US"/>
        </w:rPr>
        <w:t>7</w:t>
      </w:r>
      <w:r w:rsidRPr="00614A6C">
        <w:rPr>
          <w:rFonts w:eastAsiaTheme="minorHAnsi"/>
          <w:lang w:eastAsia="en-US"/>
        </w:rPr>
        <w:t xml:space="preserve"> тыс. руб. до 28 845,7 тыс. руб. (в 4,3 раза) произошёл </w:t>
      </w:r>
      <w:r w:rsidR="00B02503">
        <w:rPr>
          <w:rFonts w:eastAsiaTheme="minorHAnsi"/>
          <w:lang w:eastAsia="en-US"/>
        </w:rPr>
        <w:t>в 2017 году</w:t>
      </w:r>
      <w:r w:rsidRPr="00614A6C">
        <w:rPr>
          <w:rFonts w:eastAsiaTheme="minorHAnsi"/>
          <w:lang w:eastAsia="en-US"/>
        </w:rPr>
        <w:t xml:space="preserve"> и обусловлен тем, что в ноябре-декабре 2017 года </w:t>
      </w:r>
      <w:r w:rsidR="00B02503">
        <w:rPr>
          <w:rFonts w:eastAsiaTheme="minorHAnsi"/>
          <w:lang w:eastAsia="en-US"/>
        </w:rPr>
        <w:t xml:space="preserve">Комитету </w:t>
      </w:r>
      <w:r w:rsidRPr="00614A6C">
        <w:rPr>
          <w:rFonts w:eastAsiaTheme="minorHAnsi"/>
          <w:lang w:eastAsia="en-US"/>
        </w:rPr>
        <w:t>уменьшены бюджетные назначения на 16</w:t>
      </w:r>
      <w:r w:rsidR="00B02503">
        <w:rPr>
          <w:rFonts w:eastAsiaTheme="minorHAnsi"/>
          <w:lang w:eastAsia="en-US"/>
        </w:rPr>
        <w:t> </w:t>
      </w:r>
      <w:r w:rsidRPr="00614A6C">
        <w:rPr>
          <w:rFonts w:eastAsiaTheme="minorHAnsi"/>
          <w:lang w:eastAsia="en-US"/>
        </w:rPr>
        <w:t>889,0 тыс. руб. и перенесен</w:t>
      </w:r>
      <w:r w:rsidR="00B02503">
        <w:rPr>
          <w:rFonts w:eastAsiaTheme="minorHAnsi"/>
          <w:lang w:eastAsia="en-US"/>
        </w:rPr>
        <w:t>ы на плановый период – 2018 год.</w:t>
      </w:r>
      <w:r w:rsidRPr="00614A6C">
        <w:rPr>
          <w:rFonts w:eastAsiaTheme="minorHAnsi"/>
          <w:lang w:eastAsia="en-US"/>
        </w:rPr>
        <w:t xml:space="preserve"> </w:t>
      </w:r>
      <w:r w:rsidR="00B02503">
        <w:rPr>
          <w:rFonts w:eastAsiaTheme="minorHAnsi"/>
          <w:lang w:eastAsia="en-US"/>
        </w:rPr>
        <w:t>В</w:t>
      </w:r>
      <w:r w:rsidRPr="00614A6C">
        <w:rPr>
          <w:rFonts w:eastAsiaTheme="minorHAnsi"/>
          <w:lang w:eastAsia="en-US"/>
        </w:rPr>
        <w:t xml:space="preserve"> результате</w:t>
      </w:r>
      <w:r w:rsidR="00B02503">
        <w:rPr>
          <w:rFonts w:eastAsiaTheme="minorHAnsi"/>
          <w:lang w:eastAsia="en-US"/>
        </w:rPr>
        <w:t>,</w:t>
      </w:r>
      <w:r w:rsidRPr="00614A6C">
        <w:rPr>
          <w:rFonts w:eastAsiaTheme="minorHAnsi"/>
          <w:lang w:eastAsia="en-US"/>
        </w:rPr>
        <w:t xml:space="preserve"> денежные обязательства по контрактам, заключённым ранее</w:t>
      </w:r>
      <w:r w:rsidR="00B02503">
        <w:rPr>
          <w:rFonts w:eastAsiaTheme="minorHAnsi"/>
          <w:lang w:eastAsia="en-US"/>
        </w:rPr>
        <w:t>,</w:t>
      </w:r>
      <w:r w:rsidRPr="00614A6C">
        <w:rPr>
          <w:rFonts w:eastAsiaTheme="minorHAnsi"/>
          <w:lang w:eastAsia="en-US"/>
        </w:rPr>
        <w:t xml:space="preserve"> </w:t>
      </w:r>
      <w:r w:rsidR="00B02503" w:rsidRPr="00614A6C">
        <w:rPr>
          <w:rFonts w:eastAsiaTheme="minorHAnsi"/>
          <w:lang w:eastAsia="en-US"/>
        </w:rPr>
        <w:t xml:space="preserve">не </w:t>
      </w:r>
      <w:r w:rsidR="00B02503">
        <w:rPr>
          <w:rFonts w:eastAsiaTheme="minorHAnsi"/>
          <w:lang w:eastAsia="en-US"/>
        </w:rPr>
        <w:t>исполнены.</w:t>
      </w:r>
    </w:p>
    <w:p w:rsidR="00614A6C" w:rsidRPr="00614A6C" w:rsidRDefault="00614A6C" w:rsidP="004157C3">
      <w:pPr>
        <w:ind w:firstLine="709"/>
        <w:jc w:val="both"/>
        <w:rPr>
          <w:rFonts w:eastAsiaTheme="minorHAnsi"/>
          <w:lang w:eastAsia="en-US"/>
        </w:rPr>
      </w:pPr>
      <w:r w:rsidRPr="00614A6C">
        <w:rPr>
          <w:rFonts w:eastAsiaTheme="minorHAnsi"/>
          <w:lang w:eastAsia="en-US"/>
        </w:rPr>
        <w:t>Причинами образования кредиторской задолженности в рассматриваемом периоде являлось недостаточное финансирование заявок Комитета на оплату расходов и платежей в бюджеты, а также непредставление поставщиками исполнительных документов в срок до закрытия финансового года (до 25 декабря).</w:t>
      </w:r>
    </w:p>
    <w:p w:rsidR="00DB3E97" w:rsidRDefault="0065615C" w:rsidP="00DB3E97">
      <w:pPr>
        <w:autoSpaceDE w:val="0"/>
        <w:autoSpaceDN w:val="0"/>
        <w:adjustRightInd w:val="0"/>
        <w:jc w:val="center"/>
        <w:rPr>
          <w:rFonts w:eastAsiaTheme="minorEastAsia"/>
          <w:b/>
          <w:i/>
        </w:rPr>
      </w:pPr>
      <w:r>
        <w:rPr>
          <w:rFonts w:eastAsiaTheme="minorEastAsia"/>
          <w:b/>
          <w:i/>
        </w:rPr>
        <w:t>Материально-техническое обеспечение деятельности мировых судей</w:t>
      </w:r>
    </w:p>
    <w:p w:rsidR="00BA16A2" w:rsidRDefault="0065615C" w:rsidP="008643DB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307BE">
        <w:rPr>
          <w:rFonts w:eastAsiaTheme="minorEastAsia"/>
        </w:rPr>
        <w:t>До 201</w:t>
      </w:r>
      <w:r w:rsidR="00BA16A2">
        <w:rPr>
          <w:rFonts w:eastAsiaTheme="minorEastAsia"/>
        </w:rPr>
        <w:t>6</w:t>
      </w:r>
      <w:r w:rsidRPr="00A307BE">
        <w:rPr>
          <w:rFonts w:eastAsiaTheme="minorEastAsia"/>
        </w:rPr>
        <w:t xml:space="preserve"> года нормативно-правовое регулирование вопросов материально-технического обеспечения деятельности мировых судей в виде </w:t>
      </w:r>
      <w:r w:rsidR="008643DB">
        <w:rPr>
          <w:rFonts w:eastAsiaTheme="minorEastAsia"/>
        </w:rPr>
        <w:t>нормативных правовых</w:t>
      </w:r>
      <w:r w:rsidRPr="00A307BE">
        <w:rPr>
          <w:rFonts w:eastAsiaTheme="minorEastAsia"/>
        </w:rPr>
        <w:t xml:space="preserve"> актов в Волгоградской области отсутствовало. </w:t>
      </w:r>
    </w:p>
    <w:p w:rsidR="00BA16A2" w:rsidRDefault="00BA16A2" w:rsidP="008643D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rFonts w:eastAsiaTheme="minorEastAsia"/>
        </w:rPr>
        <w:t xml:space="preserve">В 2016 году в соответствии с ч. 5 ст. 19 </w:t>
      </w:r>
      <w:r>
        <w:rPr>
          <w:rFonts w:eastAsiaTheme="minorHAnsi"/>
          <w:lang w:eastAsia="en-US"/>
        </w:rPr>
        <w:t xml:space="preserve">Федерального закона от 05.04.2013 N 44-ФЗ «О контрактной системе в сфере закупок товаров, работ, услуг для обеспечения </w:t>
      </w:r>
      <w:r>
        <w:rPr>
          <w:rFonts w:eastAsiaTheme="minorHAnsi"/>
          <w:lang w:eastAsia="en-US"/>
        </w:rPr>
        <w:lastRenderedPageBreak/>
        <w:t>государственных и муниципальных нужд»,</w:t>
      </w:r>
      <w:r w:rsidRPr="00BA16A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правилами нормирования в сфере закупок товаров, работ, услуг для обеспечения нужд Волгоградской области, установленными Администрацией Волгоградской области, Комитетом</w:t>
      </w:r>
      <w:r w:rsidR="008E75B2">
        <w:rPr>
          <w:rFonts w:eastAsiaTheme="minorHAnsi"/>
          <w:lang w:eastAsia="en-US"/>
        </w:rPr>
        <w:t xml:space="preserve"> утверждены </w:t>
      </w:r>
      <w:r w:rsidR="008E75B2" w:rsidRPr="00FE48F0">
        <w:rPr>
          <w:lang w:eastAsia="en-US"/>
        </w:rPr>
        <w:t>пор</w:t>
      </w:r>
      <w:r w:rsidR="008E75B2">
        <w:rPr>
          <w:lang w:eastAsia="en-US"/>
        </w:rPr>
        <w:t xml:space="preserve">ядок расчета нормативных затрат, </w:t>
      </w:r>
      <w:r w:rsidR="008E75B2" w:rsidRPr="00FE48F0">
        <w:rPr>
          <w:lang w:eastAsia="en-US"/>
        </w:rPr>
        <w:t>нормативы количества и цены товаров, работ, услуг на обеспечение функций Комитета</w:t>
      </w:r>
      <w:r w:rsidR="008E75B2" w:rsidRPr="008E75B2">
        <w:rPr>
          <w:lang w:eastAsia="en-US"/>
        </w:rPr>
        <w:t xml:space="preserve"> </w:t>
      </w:r>
      <w:r w:rsidR="008E75B2">
        <w:rPr>
          <w:lang w:eastAsia="en-US"/>
        </w:rPr>
        <w:t xml:space="preserve">и </w:t>
      </w:r>
      <w:r w:rsidR="008E75B2" w:rsidRPr="00FE48F0">
        <w:rPr>
          <w:lang w:eastAsia="en-US"/>
        </w:rPr>
        <w:t xml:space="preserve">требования к закупаемым отдельным видам товаров, работ, услуг </w:t>
      </w:r>
      <w:r w:rsidR="008E75B2">
        <w:rPr>
          <w:lang w:eastAsia="en-US"/>
        </w:rPr>
        <w:t xml:space="preserve">(приказы </w:t>
      </w:r>
      <w:r w:rsidR="008E75B2" w:rsidRPr="00FE48F0">
        <w:rPr>
          <w:lang w:eastAsia="en-US"/>
        </w:rPr>
        <w:t>от 29.02.2016 № 02-06-03/47</w:t>
      </w:r>
      <w:r w:rsidR="008E75B2">
        <w:rPr>
          <w:lang w:eastAsia="en-US"/>
        </w:rPr>
        <w:t xml:space="preserve"> и </w:t>
      </w:r>
      <w:r w:rsidR="008E75B2" w:rsidRPr="00FE48F0">
        <w:rPr>
          <w:lang w:eastAsia="en-US"/>
        </w:rPr>
        <w:t>№ 02-06-03/49</w:t>
      </w:r>
      <w:r w:rsidR="008E75B2">
        <w:rPr>
          <w:lang w:eastAsia="en-US"/>
        </w:rPr>
        <w:t>).</w:t>
      </w:r>
    </w:p>
    <w:p w:rsidR="004E18F9" w:rsidRPr="00A307BE" w:rsidRDefault="0065615C" w:rsidP="008643DB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307BE">
        <w:rPr>
          <w:rFonts w:eastAsiaTheme="minorEastAsia"/>
        </w:rPr>
        <w:t>В марте 2017 года издано постановление Губернатора Волгоградской области от 20.03.2017 № 153 «О дополнительных мерах по обеспечению деятельности мировых судей в Волгоградской области» (далее – Постановление № 153), которым предписано в период 2017 - 2019 годы осуществить мероприятия по совершенствованию материально-технического обеспечения деятельности мировых судей в Волгоградской области, а также принять организационные меры, направленные на закрепление кадров и повышение профессионализма ра</w:t>
      </w:r>
      <w:r w:rsidR="004E18F9" w:rsidRPr="00A307BE">
        <w:rPr>
          <w:rFonts w:eastAsiaTheme="minorEastAsia"/>
        </w:rPr>
        <w:t xml:space="preserve">ботников аппарата мировых судей. </w:t>
      </w:r>
    </w:p>
    <w:p w:rsidR="0065615C" w:rsidRPr="00A307BE" w:rsidRDefault="0065615C" w:rsidP="0065615C">
      <w:pPr>
        <w:ind w:firstLine="709"/>
        <w:jc w:val="both"/>
      </w:pPr>
      <w:r w:rsidRPr="00A307BE">
        <w:t>Постановлением Администрации Волгоградской области от 31.03.2017 № 172-п утверждены Нормы материально-технического обеспечения мирового судьи в Волгоградской области и работников аппарата мирового судьи в Волгоградской области (далее – Постановление № 172-п), в том числе:</w:t>
      </w:r>
    </w:p>
    <w:p w:rsidR="0065615C" w:rsidRPr="00A307BE" w:rsidRDefault="0065615C" w:rsidP="0065615C">
      <w:pPr>
        <w:ind w:firstLine="709"/>
        <w:jc w:val="both"/>
      </w:pPr>
      <w:r w:rsidRPr="00A307BE">
        <w:t>-нормы площади служебных помещений для размещения мирового судьи и работников аппарата мирового судьи (далее – Нормы площади)</w:t>
      </w:r>
      <w:r w:rsidR="00E80601" w:rsidRPr="00A307BE">
        <w:t xml:space="preserve"> - 166 кв.м.</w:t>
      </w:r>
      <w:r w:rsidRPr="00A307BE">
        <w:t>;</w:t>
      </w:r>
    </w:p>
    <w:p w:rsidR="0065615C" w:rsidRPr="00A307BE" w:rsidRDefault="0065615C" w:rsidP="0065615C">
      <w:pPr>
        <w:ind w:firstLine="709"/>
        <w:jc w:val="both"/>
      </w:pPr>
      <w:r w:rsidRPr="00A307BE">
        <w:t>-нормы обеспечения материально-техническими средствами мирового судьи и работников аппарата мирового судьи (далее – Нормы МТО).</w:t>
      </w:r>
    </w:p>
    <w:p w:rsidR="0065615C" w:rsidRDefault="0065615C" w:rsidP="0065615C">
      <w:pPr>
        <w:ind w:firstLine="709"/>
        <w:jc w:val="both"/>
      </w:pPr>
      <w:r w:rsidRPr="00A307BE">
        <w:t>Приказом Комитета от 31.05.2017 № 02-06-03/172 утверждена ведомственная целевая программа «Развитие мировой юстиции в Волгоградской области на 2017-2019 годы» (далее – ВЦП «Развитие мировой юстиции»).</w:t>
      </w:r>
    </w:p>
    <w:p w:rsidR="0065615C" w:rsidRPr="00DB3E97" w:rsidRDefault="0065615C" w:rsidP="00DB3E97">
      <w:pPr>
        <w:autoSpaceDE w:val="0"/>
        <w:autoSpaceDN w:val="0"/>
        <w:adjustRightInd w:val="0"/>
        <w:jc w:val="center"/>
        <w:rPr>
          <w:rFonts w:eastAsiaTheme="minorEastAsia"/>
          <w:b/>
          <w:i/>
        </w:rPr>
      </w:pPr>
    </w:p>
    <w:p w:rsidR="00DB3E97" w:rsidRPr="0065615C" w:rsidRDefault="00DB3E97" w:rsidP="00DB3E97">
      <w:pPr>
        <w:autoSpaceDE w:val="0"/>
        <w:autoSpaceDN w:val="0"/>
        <w:adjustRightInd w:val="0"/>
        <w:jc w:val="center"/>
        <w:rPr>
          <w:rFonts w:eastAsiaTheme="minorEastAsia"/>
          <w:i/>
        </w:rPr>
      </w:pPr>
      <w:r w:rsidRPr="0065615C">
        <w:rPr>
          <w:rFonts w:eastAsiaTheme="minorEastAsia"/>
          <w:i/>
        </w:rPr>
        <w:t>Обеспечение служебными помещениями</w:t>
      </w:r>
    </w:p>
    <w:p w:rsidR="00C02CFB" w:rsidRDefault="00E5418E" w:rsidP="00400F3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По состоянию на конец 2017 года </w:t>
      </w:r>
      <w:r w:rsidR="00C02CFB">
        <w:rPr>
          <w:rFonts w:eastAsiaTheme="minorEastAsia"/>
        </w:rPr>
        <w:t xml:space="preserve">145 мировых судей Волгоградской области и их аппараты размещены в помещениях по </w:t>
      </w:r>
      <w:r w:rsidR="00942714">
        <w:rPr>
          <w:rFonts w:eastAsiaTheme="minorEastAsia"/>
        </w:rPr>
        <w:t>46</w:t>
      </w:r>
      <w:r w:rsidR="00C02CFB">
        <w:rPr>
          <w:rFonts w:eastAsiaTheme="minorEastAsia"/>
        </w:rPr>
        <w:t xml:space="preserve"> адресам непосредственно на территории соответствующ</w:t>
      </w:r>
      <w:r>
        <w:rPr>
          <w:rFonts w:eastAsiaTheme="minorEastAsia"/>
        </w:rPr>
        <w:t>их</w:t>
      </w:r>
      <w:r w:rsidR="00C02CFB">
        <w:rPr>
          <w:rFonts w:eastAsiaTheme="minorEastAsia"/>
        </w:rPr>
        <w:t xml:space="preserve"> судебн</w:t>
      </w:r>
      <w:r>
        <w:rPr>
          <w:rFonts w:eastAsiaTheme="minorEastAsia"/>
        </w:rPr>
        <w:t>ых</w:t>
      </w:r>
      <w:r w:rsidR="00C02CFB">
        <w:rPr>
          <w:rFonts w:eastAsiaTheme="minorEastAsia"/>
        </w:rPr>
        <w:t xml:space="preserve"> район</w:t>
      </w:r>
      <w:r>
        <w:rPr>
          <w:rFonts w:eastAsiaTheme="minorEastAsia"/>
        </w:rPr>
        <w:t>ов</w:t>
      </w:r>
      <w:r w:rsidR="00C02CFB">
        <w:rPr>
          <w:rFonts w:eastAsiaTheme="minorEastAsia"/>
        </w:rPr>
        <w:t xml:space="preserve">. В судебных районах с несколькими судебными участками </w:t>
      </w:r>
      <w:r w:rsidR="00A43407">
        <w:rPr>
          <w:rFonts w:eastAsiaTheme="minorEastAsia"/>
        </w:rPr>
        <w:t xml:space="preserve">судьи, в основном, размещены в помещениях по одному адресу. Исключением являются Урюпинский, </w:t>
      </w:r>
      <w:proofErr w:type="spellStart"/>
      <w:r w:rsidR="00A43407">
        <w:rPr>
          <w:rFonts w:eastAsiaTheme="minorEastAsia"/>
        </w:rPr>
        <w:t>Среднеахтубинский</w:t>
      </w:r>
      <w:proofErr w:type="spellEnd"/>
      <w:r w:rsidR="00A43407">
        <w:rPr>
          <w:rFonts w:eastAsiaTheme="minorEastAsia"/>
        </w:rPr>
        <w:t xml:space="preserve">, </w:t>
      </w:r>
      <w:r w:rsidR="002563AF">
        <w:rPr>
          <w:rFonts w:eastAsiaTheme="minorEastAsia"/>
        </w:rPr>
        <w:t>Дзержинский и Красноармейский районы</w:t>
      </w:r>
      <w:r w:rsidR="00A43407">
        <w:rPr>
          <w:rFonts w:eastAsiaTheme="minorEastAsia"/>
        </w:rPr>
        <w:t>,</w:t>
      </w:r>
      <w:r w:rsidR="002563AF">
        <w:rPr>
          <w:rFonts w:eastAsiaTheme="minorEastAsia"/>
        </w:rPr>
        <w:t xml:space="preserve"> в которых участки расположены по двум адресам.</w:t>
      </w:r>
      <w:r w:rsidR="00C02CFB">
        <w:rPr>
          <w:rFonts w:eastAsiaTheme="minorEastAsia"/>
        </w:rPr>
        <w:t xml:space="preserve"> </w:t>
      </w:r>
    </w:p>
    <w:p w:rsidR="00400F34" w:rsidRDefault="002563AF" w:rsidP="00DB653C">
      <w:pPr>
        <w:ind w:firstLine="709"/>
        <w:jc w:val="both"/>
        <w:rPr>
          <w:rFonts w:eastAsiaTheme="minorEastAsia"/>
        </w:rPr>
      </w:pPr>
      <w:r>
        <w:rPr>
          <w:szCs w:val="22"/>
        </w:rPr>
        <w:t xml:space="preserve">Судьи и их аппараты размещены </w:t>
      </w:r>
      <w:r w:rsidRPr="00400F34">
        <w:rPr>
          <w:szCs w:val="22"/>
        </w:rPr>
        <w:t>в помещениях общей площадью 15 593,6 кв.м</w:t>
      </w:r>
      <w:r w:rsidR="00942714">
        <w:rPr>
          <w:szCs w:val="22"/>
        </w:rPr>
        <w:t>.</w:t>
      </w:r>
      <w:r>
        <w:rPr>
          <w:szCs w:val="22"/>
          <w:highlight w:val="yellow"/>
        </w:rPr>
        <w:t xml:space="preserve"> </w:t>
      </w:r>
      <w:r>
        <w:rPr>
          <w:rFonts w:eastAsiaTheme="minorEastAsia"/>
        </w:rPr>
        <w:t>федеральной</w:t>
      </w:r>
      <w:r w:rsidR="00400F34" w:rsidRPr="00400F34">
        <w:rPr>
          <w:rFonts w:eastAsiaTheme="minorEastAsia"/>
        </w:rPr>
        <w:t>, регио</w:t>
      </w:r>
      <w:r>
        <w:rPr>
          <w:rFonts w:eastAsiaTheme="minorEastAsia"/>
        </w:rPr>
        <w:t>нальной</w:t>
      </w:r>
      <w:r w:rsidR="00400F34" w:rsidRPr="00400F34">
        <w:rPr>
          <w:rFonts w:eastAsiaTheme="minorEastAsia"/>
        </w:rPr>
        <w:t>, муниципальн</w:t>
      </w:r>
      <w:r>
        <w:rPr>
          <w:rFonts w:eastAsiaTheme="minorEastAsia"/>
        </w:rPr>
        <w:t>ой и частной</w:t>
      </w:r>
      <w:r w:rsidR="00400F34" w:rsidRPr="00400F34">
        <w:rPr>
          <w:rFonts w:eastAsiaTheme="minorEastAsia"/>
        </w:rPr>
        <w:t xml:space="preserve"> </w:t>
      </w:r>
      <w:r>
        <w:rPr>
          <w:rFonts w:eastAsiaTheme="minorEastAsia"/>
        </w:rPr>
        <w:t>собственности</w:t>
      </w:r>
      <w:r w:rsidR="00400F34" w:rsidRPr="00400F34">
        <w:rPr>
          <w:rFonts w:eastAsiaTheme="minorEastAsia"/>
        </w:rPr>
        <w:t>.</w:t>
      </w:r>
      <w:r w:rsidR="00DB653C">
        <w:rPr>
          <w:rFonts w:eastAsiaTheme="minorEastAsia"/>
        </w:rPr>
        <w:t xml:space="preserve"> </w:t>
      </w:r>
      <w:r w:rsidR="00400F34" w:rsidRPr="00400F34">
        <w:rPr>
          <w:rFonts w:eastAsiaTheme="minorEastAsia"/>
        </w:rPr>
        <w:t xml:space="preserve">Сводная информация </w:t>
      </w:r>
      <w:r w:rsidR="00DB653C" w:rsidRPr="00400F34">
        <w:rPr>
          <w:rFonts w:eastAsiaTheme="minorEastAsia"/>
        </w:rPr>
        <w:t xml:space="preserve">об используемых нежилых помещениях </w:t>
      </w:r>
      <w:r w:rsidR="00DB653C">
        <w:rPr>
          <w:rFonts w:eastAsiaTheme="minorEastAsia"/>
        </w:rPr>
        <w:t>–</w:t>
      </w:r>
      <w:r w:rsidR="00DB653C" w:rsidRPr="00400F34">
        <w:rPr>
          <w:rFonts w:eastAsiaTheme="minorEastAsia"/>
        </w:rPr>
        <w:t xml:space="preserve"> </w:t>
      </w:r>
      <w:r w:rsidR="00DB653C">
        <w:rPr>
          <w:rFonts w:eastAsiaTheme="minorEastAsia"/>
        </w:rPr>
        <w:t xml:space="preserve">по </w:t>
      </w:r>
      <w:r w:rsidR="00DB653C" w:rsidRPr="00400F34">
        <w:rPr>
          <w:rFonts w:eastAsiaTheme="minorEastAsia"/>
        </w:rPr>
        <w:t>форм</w:t>
      </w:r>
      <w:r w:rsidR="00DB653C">
        <w:rPr>
          <w:rFonts w:eastAsiaTheme="minorEastAsia"/>
        </w:rPr>
        <w:t>е</w:t>
      </w:r>
      <w:r w:rsidR="00DB653C" w:rsidRPr="00400F34">
        <w:rPr>
          <w:rFonts w:eastAsiaTheme="minorEastAsia"/>
        </w:rPr>
        <w:t xml:space="preserve"> собственности, вид</w:t>
      </w:r>
      <w:r w:rsidR="00DB653C">
        <w:rPr>
          <w:rFonts w:eastAsiaTheme="minorEastAsia"/>
        </w:rPr>
        <w:t>у</w:t>
      </w:r>
      <w:r w:rsidR="00DB653C" w:rsidRPr="00400F34">
        <w:rPr>
          <w:rFonts w:eastAsiaTheme="minorEastAsia"/>
        </w:rPr>
        <w:t xml:space="preserve"> права пользования имуществом, площад</w:t>
      </w:r>
      <w:r w:rsidR="00DB653C">
        <w:rPr>
          <w:rFonts w:eastAsiaTheme="minorEastAsia"/>
        </w:rPr>
        <w:t>и</w:t>
      </w:r>
      <w:r w:rsidR="00DB653C" w:rsidRPr="00400F34">
        <w:rPr>
          <w:rFonts w:eastAsiaTheme="minorEastAsia"/>
        </w:rPr>
        <w:t xml:space="preserve"> </w:t>
      </w:r>
      <w:r w:rsidR="00400F34" w:rsidRPr="00400F34">
        <w:rPr>
          <w:rFonts w:eastAsiaTheme="minorEastAsia"/>
        </w:rPr>
        <w:t>представлена в таблице и диаграмме.</w:t>
      </w:r>
    </w:p>
    <w:p w:rsidR="00400F34" w:rsidRPr="00400F34" w:rsidRDefault="00400F34" w:rsidP="002563AF">
      <w:pPr>
        <w:autoSpaceDE w:val="0"/>
        <w:autoSpaceDN w:val="0"/>
        <w:adjustRightInd w:val="0"/>
        <w:ind w:left="6371" w:firstLine="709"/>
        <w:jc w:val="center"/>
        <w:rPr>
          <w:rFonts w:eastAsiaTheme="minorEastAsia"/>
          <w:i/>
        </w:rPr>
      </w:pPr>
      <w:r w:rsidRPr="00400F34">
        <w:rPr>
          <w:rFonts w:eastAsiaTheme="minorEastAsia"/>
          <w:i/>
        </w:rPr>
        <w:t>кв.м.</w:t>
      </w:r>
    </w:p>
    <w:tbl>
      <w:tblPr>
        <w:tblW w:w="98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1333"/>
        <w:gridCol w:w="1464"/>
        <w:gridCol w:w="1206"/>
        <w:gridCol w:w="2386"/>
        <w:gridCol w:w="922"/>
        <w:gridCol w:w="831"/>
      </w:tblGrid>
      <w:tr w:rsidR="002563AF" w:rsidRPr="00400F34" w:rsidTr="0016585E">
        <w:trPr>
          <w:trHeight w:val="20"/>
        </w:trPr>
        <w:tc>
          <w:tcPr>
            <w:tcW w:w="171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2563AF" w:rsidRPr="00400F34" w:rsidRDefault="002563AF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 xml:space="preserve">Форма </w:t>
            </w:r>
            <w:r>
              <w:rPr>
                <w:color w:val="000000"/>
                <w:sz w:val="20"/>
                <w:szCs w:val="20"/>
              </w:rPr>
              <w:t xml:space="preserve">права </w:t>
            </w:r>
            <w:r w:rsidRPr="00400F34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638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3AF" w:rsidRPr="00400F34" w:rsidRDefault="002563AF" w:rsidP="00400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права</w:t>
            </w:r>
          </w:p>
        </w:tc>
        <w:tc>
          <w:tcPr>
            <w:tcW w:w="92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3AF" w:rsidRPr="00400F34" w:rsidRDefault="002563AF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3AF" w:rsidRPr="00400F34" w:rsidRDefault="002563AF" w:rsidP="00400F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00F34">
              <w:rPr>
                <w:i/>
                <w:iCs/>
                <w:color w:val="000000"/>
                <w:sz w:val="20"/>
                <w:szCs w:val="20"/>
              </w:rPr>
              <w:t>Доля,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00F34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2563AF" w:rsidRPr="00400F34" w:rsidTr="0016585E">
        <w:trPr>
          <w:trHeight w:val="20"/>
        </w:trPr>
        <w:tc>
          <w:tcPr>
            <w:tcW w:w="171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563AF" w:rsidRPr="00400F34" w:rsidRDefault="002563AF" w:rsidP="00400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563AF" w:rsidRPr="00400F34" w:rsidRDefault="002563AF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563AF" w:rsidRPr="00400F34" w:rsidRDefault="002563AF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563AF" w:rsidRPr="00400F34" w:rsidRDefault="002563AF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563AF" w:rsidRPr="00400F34" w:rsidRDefault="002563AF" w:rsidP="00400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 по факту</w:t>
            </w:r>
            <w:r w:rsidRPr="00400F34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563AF" w:rsidRPr="00400F34" w:rsidRDefault="002563AF" w:rsidP="00400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563AF" w:rsidRPr="00400F34" w:rsidRDefault="002563AF" w:rsidP="00400F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585E" w:rsidRPr="00400F34" w:rsidTr="0016585E">
        <w:trPr>
          <w:trHeight w:val="20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00F34" w:rsidRPr="00400F34" w:rsidRDefault="00400F34" w:rsidP="00400F34">
            <w:pPr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 xml:space="preserve">Федеральная </w:t>
            </w: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345,8</w:t>
            </w:r>
          </w:p>
        </w:tc>
        <w:tc>
          <w:tcPr>
            <w:tcW w:w="92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619,1</w:t>
            </w:r>
          </w:p>
        </w:tc>
        <w:tc>
          <w:tcPr>
            <w:tcW w:w="83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00F34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16585E" w:rsidRPr="00400F34" w:rsidTr="0016585E">
        <w:trPr>
          <w:trHeight w:val="20"/>
        </w:trPr>
        <w:tc>
          <w:tcPr>
            <w:tcW w:w="1712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00F34" w:rsidRPr="00400F34" w:rsidRDefault="00400F34" w:rsidP="00400F34">
            <w:pPr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 xml:space="preserve">Региональная 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6923,2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5B32F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0F34">
              <w:rPr>
                <w:b/>
                <w:bCs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00F34">
              <w:rPr>
                <w:i/>
                <w:iCs/>
                <w:color w:val="000000"/>
                <w:sz w:val="20"/>
                <w:szCs w:val="20"/>
              </w:rPr>
              <w:t>59,4</w:t>
            </w:r>
          </w:p>
        </w:tc>
      </w:tr>
      <w:tr w:rsidR="0016585E" w:rsidRPr="00400F34" w:rsidTr="0016585E">
        <w:trPr>
          <w:trHeight w:val="20"/>
        </w:trPr>
        <w:tc>
          <w:tcPr>
            <w:tcW w:w="1712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00F34" w:rsidRPr="00400F34" w:rsidRDefault="00400F34" w:rsidP="00400F34">
            <w:pPr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2450,8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B32F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0F34">
              <w:rPr>
                <w:b/>
                <w:bCs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00F34">
              <w:rPr>
                <w:i/>
                <w:iCs/>
                <w:color w:val="000000"/>
                <w:sz w:val="20"/>
                <w:szCs w:val="20"/>
              </w:rPr>
              <w:t>15,7</w:t>
            </w:r>
          </w:p>
        </w:tc>
      </w:tr>
      <w:tr w:rsidR="0016585E" w:rsidRPr="00400F34" w:rsidTr="0016585E">
        <w:trPr>
          <w:trHeight w:val="20"/>
        </w:trPr>
        <w:tc>
          <w:tcPr>
            <w:tcW w:w="1712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00F34" w:rsidRPr="00400F34" w:rsidRDefault="00400F34" w:rsidP="00400F34">
            <w:pPr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 xml:space="preserve">Частная 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ind w:hanging="3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3260,5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5B32F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0F34">
              <w:rPr>
                <w:b/>
                <w:bCs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00F34">
              <w:rPr>
                <w:i/>
                <w:iCs/>
                <w:color w:val="000000"/>
                <w:sz w:val="20"/>
                <w:szCs w:val="20"/>
              </w:rPr>
              <w:t>20,9</w:t>
            </w:r>
          </w:p>
        </w:tc>
      </w:tr>
      <w:tr w:rsidR="0016585E" w:rsidRPr="00400F34" w:rsidTr="0016585E">
        <w:trPr>
          <w:trHeight w:val="20"/>
        </w:trPr>
        <w:tc>
          <w:tcPr>
            <w:tcW w:w="1712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00F34" w:rsidRPr="00400F34" w:rsidRDefault="00400F34" w:rsidP="00400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6923,2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4954,3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3370,3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345,8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5B32F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0F34">
              <w:rPr>
                <w:b/>
                <w:bCs/>
                <w:color w:val="000000"/>
                <w:sz w:val="20"/>
                <w:szCs w:val="20"/>
              </w:rPr>
              <w:t>593,6</w:t>
            </w: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5E" w:rsidRPr="00400F34" w:rsidTr="0016585E">
        <w:trPr>
          <w:trHeight w:val="20"/>
        </w:trPr>
        <w:tc>
          <w:tcPr>
            <w:tcW w:w="171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00F34" w:rsidRPr="00400F34" w:rsidRDefault="00400F34" w:rsidP="00400F3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00F34">
              <w:rPr>
                <w:i/>
                <w:iCs/>
                <w:color w:val="000000"/>
                <w:sz w:val="20"/>
                <w:szCs w:val="20"/>
              </w:rPr>
              <w:t>Доля, %</w:t>
            </w: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00F34">
              <w:rPr>
                <w:i/>
                <w:i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00F34">
              <w:rPr>
                <w:i/>
                <w:iCs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00F34">
              <w:rPr>
                <w:i/>
                <w:i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238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00F34">
              <w:rPr>
                <w:i/>
                <w:i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00F34" w:rsidRPr="007E1A95" w:rsidRDefault="00400F34" w:rsidP="00400F34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sz w:val="20"/>
          <w:szCs w:val="20"/>
        </w:rPr>
      </w:pPr>
      <w:r w:rsidRPr="007E1A95">
        <w:rPr>
          <w:rFonts w:eastAsiaTheme="minorEastAsia"/>
          <w:i/>
          <w:sz w:val="20"/>
          <w:szCs w:val="20"/>
        </w:rPr>
        <w:t xml:space="preserve">*помещения предоставляются Управлением судебного департамента по Волгоградской области </w:t>
      </w:r>
      <w:r w:rsidR="002563AF" w:rsidRPr="007E1A95">
        <w:rPr>
          <w:rFonts w:eastAsiaTheme="minorEastAsia"/>
          <w:i/>
          <w:sz w:val="20"/>
          <w:szCs w:val="20"/>
        </w:rPr>
        <w:t>без</w:t>
      </w:r>
      <w:r w:rsidRPr="007E1A95">
        <w:rPr>
          <w:rFonts w:eastAsiaTheme="minorEastAsia"/>
          <w:i/>
          <w:sz w:val="20"/>
          <w:szCs w:val="20"/>
        </w:rPr>
        <w:t xml:space="preserve"> заключ</w:t>
      </w:r>
      <w:r w:rsidR="002563AF" w:rsidRPr="007E1A95">
        <w:rPr>
          <w:rFonts w:eastAsiaTheme="minorEastAsia"/>
          <w:i/>
          <w:sz w:val="20"/>
          <w:szCs w:val="20"/>
        </w:rPr>
        <w:t>ения</w:t>
      </w:r>
      <w:r w:rsidRPr="007E1A95">
        <w:rPr>
          <w:rFonts w:eastAsiaTheme="minorEastAsia"/>
          <w:i/>
          <w:sz w:val="20"/>
          <w:szCs w:val="20"/>
        </w:rPr>
        <w:t xml:space="preserve"> договора.</w:t>
      </w:r>
    </w:p>
    <w:p w:rsidR="0016585E" w:rsidRPr="00400F34" w:rsidRDefault="0016585E" w:rsidP="00400F3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0"/>
          <w:szCs w:val="20"/>
        </w:rPr>
      </w:pPr>
    </w:p>
    <w:p w:rsidR="00400F34" w:rsidRPr="00400F34" w:rsidRDefault="00400F34" w:rsidP="002F2626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2F2626">
        <w:rPr>
          <w:rFonts w:eastAsiaTheme="minorEastAsia"/>
          <w:noProof/>
          <w:sz w:val="20"/>
          <w:szCs w:val="20"/>
          <w:bdr w:val="double" w:sz="4" w:space="0" w:color="auto"/>
        </w:rPr>
        <w:lastRenderedPageBreak/>
        <w:drawing>
          <wp:inline distT="0" distB="0" distL="0" distR="0">
            <wp:extent cx="6153785" cy="3057525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3171D" w:rsidRDefault="0053171D" w:rsidP="00400F3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E5418E" w:rsidRDefault="00400F34" w:rsidP="00400F3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00F34">
        <w:rPr>
          <w:rFonts w:eastAsiaTheme="minorEastAsia"/>
        </w:rPr>
        <w:t xml:space="preserve">Наибольшая доля помещений, занимаемых </w:t>
      </w:r>
      <w:r w:rsidR="0016585E">
        <w:rPr>
          <w:rFonts w:eastAsiaTheme="minorEastAsia"/>
        </w:rPr>
        <w:t>мировыми судьями</w:t>
      </w:r>
      <w:r w:rsidRPr="00400F34">
        <w:rPr>
          <w:rFonts w:eastAsiaTheme="minorEastAsia"/>
        </w:rPr>
        <w:t xml:space="preserve">, находится в собственности Волгоградской области </w:t>
      </w:r>
      <w:r w:rsidR="00E77C4E">
        <w:rPr>
          <w:rFonts w:eastAsiaTheme="minorEastAsia"/>
        </w:rPr>
        <w:t xml:space="preserve">- </w:t>
      </w:r>
      <w:r w:rsidRPr="00400F34">
        <w:rPr>
          <w:rFonts w:eastAsiaTheme="minorEastAsia"/>
        </w:rPr>
        <w:t>59,4% от общей площади.</w:t>
      </w:r>
      <w:r w:rsidR="0016585E">
        <w:rPr>
          <w:rFonts w:eastAsiaTheme="minorEastAsia"/>
        </w:rPr>
        <w:t xml:space="preserve"> </w:t>
      </w:r>
      <w:r w:rsidRPr="00400F34">
        <w:rPr>
          <w:rFonts w:eastAsiaTheme="minorEastAsia"/>
        </w:rPr>
        <w:t xml:space="preserve">На долю </w:t>
      </w:r>
      <w:r w:rsidR="0016585E" w:rsidRPr="00400F34">
        <w:rPr>
          <w:rFonts w:eastAsiaTheme="minorEastAsia"/>
        </w:rPr>
        <w:t xml:space="preserve">арендуемого </w:t>
      </w:r>
      <w:r w:rsidRPr="00400F34">
        <w:rPr>
          <w:rFonts w:eastAsiaTheme="minorEastAsia"/>
        </w:rPr>
        <w:t>частного имущества</w:t>
      </w:r>
      <w:r w:rsidR="0016585E">
        <w:rPr>
          <w:rFonts w:eastAsiaTheme="minorEastAsia"/>
        </w:rPr>
        <w:t xml:space="preserve"> </w:t>
      </w:r>
      <w:r w:rsidRPr="00400F34">
        <w:rPr>
          <w:rFonts w:eastAsiaTheme="minorEastAsia"/>
        </w:rPr>
        <w:t>приходится 20,9 % общей площади</w:t>
      </w:r>
      <w:r w:rsidR="00E5418E">
        <w:rPr>
          <w:rFonts w:eastAsiaTheme="minorEastAsia"/>
        </w:rPr>
        <w:t xml:space="preserve"> помещений</w:t>
      </w:r>
      <w:r w:rsidRPr="00400F34">
        <w:rPr>
          <w:rFonts w:eastAsiaTheme="minorEastAsia"/>
        </w:rPr>
        <w:t xml:space="preserve">. </w:t>
      </w:r>
    </w:p>
    <w:p w:rsidR="00400F34" w:rsidRPr="00400F34" w:rsidRDefault="00400F34" w:rsidP="00400F3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00F34">
        <w:rPr>
          <w:rFonts w:eastAsiaTheme="minorEastAsia"/>
        </w:rPr>
        <w:t>Все помещения, находящиеся в муниципальной собственности</w:t>
      </w:r>
      <w:r w:rsidR="00E5418E">
        <w:rPr>
          <w:rFonts w:eastAsiaTheme="minorEastAsia"/>
        </w:rPr>
        <w:t>,</w:t>
      </w:r>
      <w:r w:rsidR="00E77C4E">
        <w:rPr>
          <w:rFonts w:eastAsiaTheme="minorEastAsia"/>
        </w:rPr>
        <w:t xml:space="preserve"> общей площадью 2450,8 кв.м. (</w:t>
      </w:r>
      <w:r w:rsidR="00E5418E">
        <w:rPr>
          <w:rFonts w:eastAsiaTheme="minorEastAsia"/>
        </w:rPr>
        <w:t>15,7%</w:t>
      </w:r>
      <w:r w:rsidR="00E77C4E">
        <w:rPr>
          <w:rFonts w:eastAsiaTheme="minorEastAsia"/>
        </w:rPr>
        <w:t>)</w:t>
      </w:r>
      <w:r w:rsidR="004E18F9">
        <w:rPr>
          <w:rFonts w:eastAsiaTheme="minorEastAsia"/>
        </w:rPr>
        <w:t xml:space="preserve"> по состоянию на конец 2017 года</w:t>
      </w:r>
      <w:r w:rsidR="00E5418E">
        <w:rPr>
          <w:rFonts w:eastAsiaTheme="minorEastAsia"/>
        </w:rPr>
        <w:t xml:space="preserve"> </w:t>
      </w:r>
      <w:r w:rsidR="00E77C4E">
        <w:rPr>
          <w:rFonts w:eastAsiaTheme="minorEastAsia"/>
        </w:rPr>
        <w:t>находятся</w:t>
      </w:r>
      <w:r w:rsidRPr="00400F34">
        <w:rPr>
          <w:rFonts w:eastAsiaTheme="minorEastAsia"/>
        </w:rPr>
        <w:t xml:space="preserve"> </w:t>
      </w:r>
      <w:r w:rsidR="00E5418E">
        <w:rPr>
          <w:rFonts w:eastAsiaTheme="minorEastAsia"/>
        </w:rPr>
        <w:t xml:space="preserve">в </w:t>
      </w:r>
      <w:r w:rsidRPr="00400F34">
        <w:rPr>
          <w:rFonts w:eastAsiaTheme="minorEastAsia"/>
        </w:rPr>
        <w:t>безвозмездно</w:t>
      </w:r>
      <w:r w:rsidR="00E77C4E">
        <w:rPr>
          <w:rFonts w:eastAsiaTheme="minorEastAsia"/>
        </w:rPr>
        <w:t>м</w:t>
      </w:r>
      <w:r w:rsidRPr="00400F34">
        <w:rPr>
          <w:rFonts w:eastAsiaTheme="minorEastAsia"/>
        </w:rPr>
        <w:t xml:space="preserve"> пользовани</w:t>
      </w:r>
      <w:r w:rsidR="00E77C4E">
        <w:rPr>
          <w:rFonts w:eastAsiaTheme="minorEastAsia"/>
        </w:rPr>
        <w:t>и</w:t>
      </w:r>
      <w:r w:rsidRPr="00400F34">
        <w:rPr>
          <w:rFonts w:eastAsiaTheme="minorEastAsia"/>
        </w:rPr>
        <w:t>.</w:t>
      </w:r>
    </w:p>
    <w:p w:rsidR="00400F34" w:rsidRPr="0091664A" w:rsidRDefault="00400F34" w:rsidP="00400F34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91664A">
        <w:rPr>
          <w:rFonts w:eastAsiaTheme="minorEastAsia"/>
        </w:rPr>
        <w:t>На долю федерального имущества приходится 3,9% (61</w:t>
      </w:r>
      <w:r w:rsidR="00E5418E" w:rsidRPr="0091664A">
        <w:rPr>
          <w:rFonts w:eastAsiaTheme="minorEastAsia"/>
        </w:rPr>
        <w:t>9</w:t>
      </w:r>
      <w:r w:rsidRPr="0091664A">
        <w:rPr>
          <w:rFonts w:eastAsiaTheme="minorEastAsia"/>
        </w:rPr>
        <w:t>,</w:t>
      </w:r>
      <w:r w:rsidR="00E5418E" w:rsidRPr="0091664A">
        <w:rPr>
          <w:rFonts w:eastAsiaTheme="minorEastAsia"/>
        </w:rPr>
        <w:t>1</w:t>
      </w:r>
      <w:r w:rsidRPr="0091664A">
        <w:rPr>
          <w:rFonts w:eastAsiaTheme="minorEastAsia"/>
        </w:rPr>
        <w:t xml:space="preserve"> кв.м.)</w:t>
      </w:r>
      <w:r w:rsidR="00E77C4E" w:rsidRPr="0091664A">
        <w:rPr>
          <w:rFonts w:eastAsiaTheme="minorEastAsia"/>
        </w:rPr>
        <w:t xml:space="preserve"> помещений</w:t>
      </w:r>
      <w:r w:rsidRPr="0091664A">
        <w:rPr>
          <w:rFonts w:eastAsiaTheme="minorEastAsia"/>
        </w:rPr>
        <w:t>. Из них 345,</w:t>
      </w:r>
      <w:r w:rsidR="00211CCE">
        <w:rPr>
          <w:rFonts w:eastAsiaTheme="minorEastAsia"/>
        </w:rPr>
        <w:t>8</w:t>
      </w:r>
      <w:r w:rsidRPr="0091664A">
        <w:rPr>
          <w:rFonts w:eastAsiaTheme="minorEastAsia"/>
        </w:rPr>
        <w:t xml:space="preserve"> кв.м. предоставл</w:t>
      </w:r>
      <w:r w:rsidR="00E77C4E" w:rsidRPr="0091664A">
        <w:rPr>
          <w:rFonts w:eastAsiaTheme="minorEastAsia"/>
        </w:rPr>
        <w:t>ены</w:t>
      </w:r>
      <w:r w:rsidRPr="0091664A">
        <w:rPr>
          <w:rFonts w:eastAsiaTheme="minorEastAsia"/>
        </w:rPr>
        <w:t xml:space="preserve"> </w:t>
      </w:r>
      <w:r w:rsidR="00211CCE">
        <w:rPr>
          <w:rFonts w:eastAsiaTheme="minorEastAsia"/>
        </w:rPr>
        <w:t xml:space="preserve">в </w:t>
      </w:r>
      <w:r w:rsidR="0091664A" w:rsidRPr="0091664A">
        <w:rPr>
          <w:rFonts w:eastAsiaTheme="minorEastAsia"/>
        </w:rPr>
        <w:t xml:space="preserve">безвозмездное пользование без заключения соответствующих договоров. </w:t>
      </w:r>
    </w:p>
    <w:p w:rsidR="00400F34" w:rsidRPr="0091664A" w:rsidRDefault="0091664A" w:rsidP="00400F34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91664A">
        <w:rPr>
          <w:rFonts w:eastAsiaTheme="minorEastAsia"/>
        </w:rPr>
        <w:t>В</w:t>
      </w:r>
      <w:r w:rsidR="00400F34" w:rsidRPr="0091664A">
        <w:rPr>
          <w:rFonts w:eastAsiaTheme="minorEastAsia"/>
        </w:rPr>
        <w:t xml:space="preserve"> нарушение ст.</w:t>
      </w:r>
      <w:r w:rsidRPr="0091664A">
        <w:rPr>
          <w:rFonts w:eastAsiaTheme="minorEastAsia"/>
        </w:rPr>
        <w:t xml:space="preserve"> </w:t>
      </w:r>
      <w:r w:rsidR="00400F34" w:rsidRPr="0091664A">
        <w:rPr>
          <w:rFonts w:eastAsiaTheme="minorEastAsia"/>
        </w:rPr>
        <w:t>131 ГК РФ Комитетом не зарегистрированы:</w:t>
      </w:r>
    </w:p>
    <w:p w:rsidR="00400F34" w:rsidRPr="00400F34" w:rsidRDefault="00400F34" w:rsidP="00400F34">
      <w:pPr>
        <w:autoSpaceDE w:val="0"/>
        <w:autoSpaceDN w:val="0"/>
        <w:adjustRightInd w:val="0"/>
        <w:ind w:firstLine="851"/>
        <w:jc w:val="both"/>
        <w:rPr>
          <w:rFonts w:eastAsiaTheme="minorEastAsia"/>
        </w:rPr>
      </w:pPr>
      <w:r w:rsidRPr="0091664A">
        <w:rPr>
          <w:rFonts w:eastAsiaTheme="minorEastAsia"/>
        </w:rPr>
        <w:t>-права постоянного (бессрочного) пользования земельными участками, на которых</w:t>
      </w:r>
      <w:r w:rsidRPr="00400F34">
        <w:rPr>
          <w:rFonts w:eastAsiaTheme="minorEastAsia"/>
        </w:rPr>
        <w:t xml:space="preserve"> расположены здание по адресу г. Камышин, ул. Леонова, 19а и гараж № 25 по ул. Феоктистова, 2б, находящиеся в собственности Волгоградской области и полученные Комитетом в 2007 году. В указанном здании размещены 8 </w:t>
      </w:r>
      <w:r w:rsidR="0091664A">
        <w:rPr>
          <w:rFonts w:eastAsiaTheme="minorEastAsia"/>
        </w:rPr>
        <w:t>судебных участков</w:t>
      </w:r>
      <w:r w:rsidRPr="00400F34">
        <w:rPr>
          <w:rFonts w:eastAsiaTheme="minorEastAsia"/>
        </w:rPr>
        <w:t xml:space="preserve"> </w:t>
      </w:r>
      <w:proofErr w:type="spellStart"/>
      <w:r w:rsidRPr="00400F34">
        <w:rPr>
          <w:rFonts w:eastAsiaTheme="minorEastAsia"/>
        </w:rPr>
        <w:t>Камышинского</w:t>
      </w:r>
      <w:proofErr w:type="spellEnd"/>
      <w:r w:rsidRPr="00400F34">
        <w:rPr>
          <w:rFonts w:eastAsiaTheme="minorEastAsia"/>
        </w:rPr>
        <w:t xml:space="preserve"> судебного района.</w:t>
      </w:r>
    </w:p>
    <w:p w:rsidR="00400F34" w:rsidRPr="00400F34" w:rsidRDefault="00400F34" w:rsidP="00400F34">
      <w:pPr>
        <w:autoSpaceDE w:val="0"/>
        <w:autoSpaceDN w:val="0"/>
        <w:adjustRightInd w:val="0"/>
        <w:ind w:firstLine="851"/>
        <w:jc w:val="both"/>
        <w:rPr>
          <w:rFonts w:eastAsiaTheme="minorEastAsia"/>
        </w:rPr>
      </w:pPr>
      <w:r w:rsidRPr="00400F34">
        <w:rPr>
          <w:rFonts w:eastAsiaTheme="minorEastAsia"/>
        </w:rPr>
        <w:t xml:space="preserve">-право оперативного управления на часть административного здания площадью 133,7 кв.м. в г. Серафимович, ул. Октябрьская, 73, полученную Комитетом в 2010 году, в которой размещены 2 </w:t>
      </w:r>
      <w:r w:rsidR="0091664A">
        <w:rPr>
          <w:rFonts w:eastAsiaTheme="minorEastAsia"/>
        </w:rPr>
        <w:t>судебных участка</w:t>
      </w:r>
      <w:r w:rsidRPr="00400F34">
        <w:rPr>
          <w:rFonts w:eastAsiaTheme="minorEastAsia"/>
        </w:rPr>
        <w:t xml:space="preserve"> </w:t>
      </w:r>
      <w:proofErr w:type="spellStart"/>
      <w:r w:rsidRPr="00400F34">
        <w:rPr>
          <w:rFonts w:eastAsiaTheme="minorEastAsia"/>
        </w:rPr>
        <w:t>Серафимовического</w:t>
      </w:r>
      <w:proofErr w:type="spellEnd"/>
      <w:r w:rsidRPr="00400F34">
        <w:rPr>
          <w:rFonts w:eastAsiaTheme="minorEastAsia"/>
        </w:rPr>
        <w:t xml:space="preserve"> судебного района. </w:t>
      </w:r>
    </w:p>
    <w:p w:rsidR="00400F34" w:rsidRPr="00400F34" w:rsidRDefault="00E80601" w:rsidP="00400F34">
      <w:pPr>
        <w:autoSpaceDE w:val="0"/>
        <w:autoSpaceDN w:val="0"/>
        <w:adjustRightInd w:val="0"/>
        <w:ind w:firstLine="851"/>
        <w:jc w:val="both"/>
        <w:rPr>
          <w:rFonts w:eastAsiaTheme="minorEastAsia"/>
        </w:rPr>
      </w:pPr>
      <w:r>
        <w:rPr>
          <w:rFonts w:eastAsiaTheme="minorEastAsia"/>
        </w:rPr>
        <w:t xml:space="preserve">Для принятия мер по устранению </w:t>
      </w:r>
      <w:r w:rsidR="0065615C">
        <w:rPr>
          <w:rFonts w:eastAsiaTheme="minorEastAsia"/>
        </w:rPr>
        <w:t>указанны</w:t>
      </w:r>
      <w:r>
        <w:rPr>
          <w:rFonts w:eastAsiaTheme="minorEastAsia"/>
        </w:rPr>
        <w:t>х</w:t>
      </w:r>
      <w:r w:rsidR="0065615C">
        <w:rPr>
          <w:rFonts w:eastAsiaTheme="minorEastAsia"/>
        </w:rPr>
        <w:t xml:space="preserve"> нарушени</w:t>
      </w:r>
      <w:r>
        <w:rPr>
          <w:rFonts w:eastAsiaTheme="minorEastAsia"/>
        </w:rPr>
        <w:t>й</w:t>
      </w:r>
      <w:r w:rsidR="0065615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контрольно-счётной палатой Волгоградской области </w:t>
      </w:r>
      <w:r w:rsidR="00400F34" w:rsidRPr="00400F34">
        <w:rPr>
          <w:rFonts w:eastAsiaTheme="minorEastAsia"/>
        </w:rPr>
        <w:t>внесено представление</w:t>
      </w:r>
      <w:r w:rsidRPr="00E80601">
        <w:rPr>
          <w:rFonts w:eastAsiaTheme="minorEastAsia"/>
        </w:rPr>
        <w:t xml:space="preserve"> </w:t>
      </w:r>
      <w:r>
        <w:rPr>
          <w:rFonts w:eastAsiaTheme="minorEastAsia"/>
        </w:rPr>
        <w:t>Комитету</w:t>
      </w:r>
      <w:r w:rsidR="0065615C">
        <w:rPr>
          <w:rFonts w:eastAsiaTheme="minorEastAsia"/>
        </w:rPr>
        <w:t xml:space="preserve">. </w:t>
      </w:r>
      <w:r w:rsidR="00211CCE">
        <w:rPr>
          <w:rFonts w:eastAsiaTheme="minorEastAsia"/>
        </w:rPr>
        <w:t>Осуществляются необходимые мероприятия для регистрации прав.</w:t>
      </w:r>
    </w:p>
    <w:p w:rsidR="00400F34" w:rsidRDefault="00400F34" w:rsidP="00400F34">
      <w:pPr>
        <w:ind w:firstLine="709"/>
        <w:jc w:val="both"/>
      </w:pPr>
      <w:r w:rsidRPr="00400F34">
        <w:rPr>
          <w:szCs w:val="22"/>
        </w:rPr>
        <w:t xml:space="preserve">Норма площади на 1 </w:t>
      </w:r>
      <w:r w:rsidR="004E18F9">
        <w:rPr>
          <w:szCs w:val="22"/>
        </w:rPr>
        <w:t>судебный участок</w:t>
      </w:r>
      <w:r w:rsidRPr="00400F34">
        <w:rPr>
          <w:szCs w:val="22"/>
        </w:rPr>
        <w:t xml:space="preserve"> - не менее 166 кв. метров. Информация о площадях</w:t>
      </w:r>
      <w:r w:rsidR="00E80601">
        <w:rPr>
          <w:szCs w:val="22"/>
        </w:rPr>
        <w:t xml:space="preserve"> помещений, занимаемых мировыми судьями и их аппаратами, и их соответствии установленным Нормам площади (166 кв. м.)</w:t>
      </w:r>
      <w:r w:rsidRPr="00400F34">
        <w:rPr>
          <w:szCs w:val="22"/>
        </w:rPr>
        <w:t xml:space="preserve"> представлена </w:t>
      </w:r>
      <w:r w:rsidRPr="00400F34">
        <w:t>в таблице.</w:t>
      </w:r>
    </w:p>
    <w:p w:rsidR="0053171D" w:rsidRPr="00400F34" w:rsidRDefault="0053171D" w:rsidP="00400F34">
      <w:pPr>
        <w:ind w:firstLine="709"/>
        <w:jc w:val="both"/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1417"/>
        <w:gridCol w:w="2935"/>
        <w:gridCol w:w="2314"/>
      </w:tblGrid>
      <w:tr w:rsidR="00400F34" w:rsidRPr="00400F34" w:rsidTr="00E77C4E">
        <w:trPr>
          <w:trHeight w:val="100"/>
          <w:tblHeader/>
          <w:jc w:val="center"/>
        </w:trPr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Площадь на 1 СУ, кв. м.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Кол-во СУ, ед.</w:t>
            </w:r>
          </w:p>
        </w:tc>
        <w:tc>
          <w:tcPr>
            <w:tcW w:w="2935" w:type="dxa"/>
            <w:tcBorders>
              <w:top w:val="double" w:sz="4" w:space="0" w:color="auto"/>
              <w:bottom w:val="double" w:sz="4" w:space="0" w:color="auto"/>
            </w:tcBorders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Соответствуют/не соответствуют норме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34">
              <w:rPr>
                <w:b/>
                <w:bCs/>
                <w:color w:val="000000"/>
                <w:sz w:val="20"/>
                <w:szCs w:val="20"/>
              </w:rPr>
              <w:t>Отклонение от нормы, %</w:t>
            </w:r>
          </w:p>
        </w:tc>
      </w:tr>
      <w:tr w:rsidR="00400F34" w:rsidRPr="00400F34" w:rsidTr="00E77C4E">
        <w:trPr>
          <w:trHeight w:val="70"/>
          <w:jc w:val="center"/>
        </w:trPr>
        <w:tc>
          <w:tcPr>
            <w:tcW w:w="212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Более 300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35" w:type="dxa"/>
            <w:vMerge w:val="restart"/>
            <w:tcBorders>
              <w:top w:val="double" w:sz="4" w:space="0" w:color="auto"/>
            </w:tcBorders>
            <w:vAlign w:val="center"/>
          </w:tcPr>
          <w:p w:rsidR="00400F34" w:rsidRPr="00400F34" w:rsidRDefault="00400F34" w:rsidP="00400F34">
            <w:pPr>
              <w:jc w:val="center"/>
              <w:rPr>
                <w:sz w:val="20"/>
                <w:szCs w:val="20"/>
              </w:rPr>
            </w:pPr>
            <w:r w:rsidRPr="00400F34">
              <w:rPr>
                <w:sz w:val="20"/>
                <w:szCs w:val="20"/>
              </w:rPr>
              <w:t>Соответствуют,</w:t>
            </w:r>
          </w:p>
          <w:p w:rsidR="00400F34" w:rsidRPr="00400F34" w:rsidRDefault="00400F34" w:rsidP="00400F34">
            <w:pPr>
              <w:jc w:val="center"/>
              <w:rPr>
                <w:sz w:val="20"/>
                <w:szCs w:val="20"/>
              </w:rPr>
            </w:pPr>
            <w:r w:rsidRPr="00400F34">
              <w:rPr>
                <w:sz w:val="20"/>
                <w:szCs w:val="20"/>
              </w:rPr>
              <w:t xml:space="preserve"> больше мин. нормы на</w:t>
            </w:r>
          </w:p>
        </w:tc>
        <w:tc>
          <w:tcPr>
            <w:tcW w:w="231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sz w:val="20"/>
                <w:szCs w:val="20"/>
              </w:rPr>
            </w:pPr>
            <w:r w:rsidRPr="00400F34">
              <w:rPr>
                <w:sz w:val="20"/>
                <w:szCs w:val="20"/>
              </w:rPr>
              <w:t>в 1,8 раза</w:t>
            </w:r>
          </w:p>
        </w:tc>
      </w:tr>
      <w:tr w:rsidR="00400F34" w:rsidRPr="00400F34" w:rsidTr="00E77C4E">
        <w:trPr>
          <w:trHeight w:val="70"/>
          <w:jc w:val="center"/>
        </w:trPr>
        <w:tc>
          <w:tcPr>
            <w:tcW w:w="212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от 200 до 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35" w:type="dxa"/>
            <w:vMerge/>
            <w:vAlign w:val="center"/>
          </w:tcPr>
          <w:p w:rsidR="00400F34" w:rsidRPr="00400F34" w:rsidRDefault="00400F34" w:rsidP="0040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sz w:val="20"/>
                <w:szCs w:val="20"/>
              </w:rPr>
            </w:pPr>
            <w:r w:rsidRPr="00400F34">
              <w:rPr>
                <w:sz w:val="20"/>
                <w:szCs w:val="20"/>
              </w:rPr>
              <w:t>20% - 80%</w:t>
            </w:r>
          </w:p>
        </w:tc>
      </w:tr>
      <w:tr w:rsidR="00400F34" w:rsidRPr="00400F34" w:rsidTr="00E77C4E">
        <w:trPr>
          <w:trHeight w:val="70"/>
          <w:jc w:val="center"/>
        </w:trPr>
        <w:tc>
          <w:tcPr>
            <w:tcW w:w="212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от 166 до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35" w:type="dxa"/>
            <w:vMerge/>
            <w:vAlign w:val="center"/>
          </w:tcPr>
          <w:p w:rsidR="00400F34" w:rsidRPr="00400F34" w:rsidRDefault="00400F34" w:rsidP="0040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sz w:val="20"/>
                <w:szCs w:val="20"/>
              </w:rPr>
            </w:pPr>
            <w:r w:rsidRPr="00400F34">
              <w:rPr>
                <w:sz w:val="20"/>
                <w:szCs w:val="20"/>
              </w:rPr>
              <w:t>0% - 20%</w:t>
            </w:r>
          </w:p>
        </w:tc>
      </w:tr>
      <w:tr w:rsidR="00400F34" w:rsidRPr="00400F34" w:rsidTr="00E77C4E">
        <w:trPr>
          <w:trHeight w:val="70"/>
          <w:jc w:val="center"/>
        </w:trPr>
        <w:tc>
          <w:tcPr>
            <w:tcW w:w="212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от 140 до 166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5" w:type="dxa"/>
            <w:vMerge w:val="restart"/>
            <w:vAlign w:val="center"/>
          </w:tcPr>
          <w:p w:rsidR="00400F34" w:rsidRPr="00400F34" w:rsidRDefault="00400F34" w:rsidP="00400F34">
            <w:pPr>
              <w:jc w:val="center"/>
              <w:rPr>
                <w:sz w:val="20"/>
                <w:szCs w:val="20"/>
              </w:rPr>
            </w:pPr>
            <w:r w:rsidRPr="00400F34">
              <w:rPr>
                <w:sz w:val="20"/>
                <w:szCs w:val="20"/>
              </w:rPr>
              <w:t>Не соответствуют,</w:t>
            </w:r>
          </w:p>
          <w:p w:rsidR="00400F34" w:rsidRPr="00400F34" w:rsidRDefault="00400F34" w:rsidP="00400F34">
            <w:pPr>
              <w:jc w:val="center"/>
              <w:rPr>
                <w:sz w:val="20"/>
                <w:szCs w:val="20"/>
              </w:rPr>
            </w:pPr>
            <w:r w:rsidRPr="00400F34">
              <w:rPr>
                <w:sz w:val="20"/>
                <w:szCs w:val="20"/>
              </w:rPr>
              <w:t xml:space="preserve"> меньше мин. нормы на</w:t>
            </w:r>
          </w:p>
        </w:tc>
        <w:tc>
          <w:tcPr>
            <w:tcW w:w="23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sz w:val="20"/>
                <w:szCs w:val="20"/>
              </w:rPr>
            </w:pPr>
            <w:r w:rsidRPr="00400F34">
              <w:rPr>
                <w:sz w:val="20"/>
                <w:szCs w:val="20"/>
              </w:rPr>
              <w:t>0</w:t>
            </w:r>
            <w:r w:rsidR="0091664A">
              <w:rPr>
                <w:sz w:val="20"/>
                <w:szCs w:val="20"/>
              </w:rPr>
              <w:t>,6</w:t>
            </w:r>
            <w:r w:rsidRPr="00400F34">
              <w:rPr>
                <w:sz w:val="20"/>
                <w:szCs w:val="20"/>
              </w:rPr>
              <w:t>% - 16%</w:t>
            </w:r>
          </w:p>
        </w:tc>
      </w:tr>
      <w:tr w:rsidR="00400F34" w:rsidRPr="00400F34" w:rsidTr="00E77C4E">
        <w:trPr>
          <w:trHeight w:val="70"/>
          <w:jc w:val="center"/>
        </w:trPr>
        <w:tc>
          <w:tcPr>
            <w:tcW w:w="212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от 100 до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935" w:type="dxa"/>
            <w:vMerge/>
          </w:tcPr>
          <w:p w:rsidR="00400F34" w:rsidRPr="00400F34" w:rsidRDefault="00400F34" w:rsidP="00400F34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sz w:val="20"/>
                <w:szCs w:val="20"/>
              </w:rPr>
            </w:pPr>
            <w:r w:rsidRPr="00400F34">
              <w:rPr>
                <w:sz w:val="20"/>
                <w:szCs w:val="20"/>
              </w:rPr>
              <w:t>16% - 40%</w:t>
            </w:r>
          </w:p>
        </w:tc>
      </w:tr>
      <w:tr w:rsidR="00400F34" w:rsidRPr="00400F34" w:rsidTr="00E77C4E">
        <w:trPr>
          <w:trHeight w:val="70"/>
          <w:jc w:val="center"/>
        </w:trPr>
        <w:tc>
          <w:tcPr>
            <w:tcW w:w="212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от 75 до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935" w:type="dxa"/>
            <w:vMerge/>
          </w:tcPr>
          <w:p w:rsidR="00400F34" w:rsidRPr="00400F34" w:rsidRDefault="00400F34" w:rsidP="00400F34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sz w:val="20"/>
                <w:szCs w:val="20"/>
              </w:rPr>
            </w:pPr>
            <w:r w:rsidRPr="00400F34">
              <w:rPr>
                <w:sz w:val="20"/>
                <w:szCs w:val="20"/>
              </w:rPr>
              <w:t>40% - 55%</w:t>
            </w:r>
          </w:p>
        </w:tc>
      </w:tr>
      <w:tr w:rsidR="00400F34" w:rsidRPr="00400F34" w:rsidTr="00E77C4E">
        <w:trPr>
          <w:trHeight w:val="70"/>
          <w:jc w:val="center"/>
        </w:trPr>
        <w:tc>
          <w:tcPr>
            <w:tcW w:w="21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от 50 до 75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color w:val="000000"/>
                <w:sz w:val="20"/>
                <w:szCs w:val="20"/>
              </w:rPr>
            </w:pPr>
            <w:r w:rsidRPr="00400F3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35" w:type="dxa"/>
            <w:vMerge/>
            <w:tcBorders>
              <w:bottom w:val="double" w:sz="4" w:space="0" w:color="auto"/>
            </w:tcBorders>
          </w:tcPr>
          <w:p w:rsidR="00400F34" w:rsidRPr="00400F34" w:rsidRDefault="00400F34" w:rsidP="00400F34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00F34" w:rsidRPr="00400F34" w:rsidRDefault="00400F34" w:rsidP="00400F34">
            <w:pPr>
              <w:jc w:val="center"/>
              <w:rPr>
                <w:sz w:val="20"/>
                <w:szCs w:val="20"/>
              </w:rPr>
            </w:pPr>
            <w:r w:rsidRPr="00400F34">
              <w:rPr>
                <w:sz w:val="20"/>
                <w:szCs w:val="20"/>
              </w:rPr>
              <w:t>55% - 70%</w:t>
            </w:r>
          </w:p>
        </w:tc>
      </w:tr>
    </w:tbl>
    <w:p w:rsidR="00400F34" w:rsidRPr="00400F34" w:rsidRDefault="00400F34" w:rsidP="00400F34">
      <w:pPr>
        <w:ind w:firstLine="709"/>
        <w:jc w:val="both"/>
        <w:rPr>
          <w:sz w:val="10"/>
          <w:szCs w:val="10"/>
        </w:rPr>
      </w:pPr>
    </w:p>
    <w:p w:rsidR="00400F34" w:rsidRPr="00400F34" w:rsidRDefault="00400F34" w:rsidP="00400F34">
      <w:pPr>
        <w:ind w:firstLine="709"/>
        <w:jc w:val="both"/>
        <w:rPr>
          <w:szCs w:val="22"/>
        </w:rPr>
      </w:pPr>
      <w:r w:rsidRPr="00400F34">
        <w:rPr>
          <w:szCs w:val="22"/>
        </w:rPr>
        <w:lastRenderedPageBreak/>
        <w:t xml:space="preserve">Только 8 </w:t>
      </w:r>
      <w:r w:rsidR="00E80601">
        <w:rPr>
          <w:szCs w:val="22"/>
        </w:rPr>
        <w:t>мировых судей</w:t>
      </w:r>
      <w:r w:rsidRPr="00400F34">
        <w:rPr>
          <w:szCs w:val="22"/>
        </w:rPr>
        <w:t>, или 5,5%</w:t>
      </w:r>
      <w:r w:rsidR="0014001E">
        <w:rPr>
          <w:szCs w:val="22"/>
        </w:rPr>
        <w:t>,</w:t>
      </w:r>
      <w:r w:rsidR="00E80601">
        <w:rPr>
          <w:szCs w:val="22"/>
        </w:rPr>
        <w:t xml:space="preserve"> размещены в помещениях,</w:t>
      </w:r>
      <w:r w:rsidRPr="00400F34">
        <w:rPr>
          <w:szCs w:val="22"/>
        </w:rPr>
        <w:t xml:space="preserve"> соответствую</w:t>
      </w:r>
      <w:r w:rsidR="00E80601">
        <w:rPr>
          <w:szCs w:val="22"/>
        </w:rPr>
        <w:t>щих</w:t>
      </w:r>
      <w:r w:rsidRPr="00400F34">
        <w:rPr>
          <w:szCs w:val="22"/>
        </w:rPr>
        <w:t xml:space="preserve"> Нормам площади</w:t>
      </w:r>
      <w:r w:rsidR="00436741">
        <w:rPr>
          <w:szCs w:val="22"/>
        </w:rPr>
        <w:t>,</w:t>
      </w:r>
      <w:r w:rsidRPr="00400F34">
        <w:rPr>
          <w:szCs w:val="22"/>
        </w:rPr>
        <w:t xml:space="preserve"> - Быковский (1</w:t>
      </w:r>
      <w:r w:rsidR="00E80601">
        <w:rPr>
          <w:szCs w:val="22"/>
        </w:rPr>
        <w:t xml:space="preserve">), </w:t>
      </w:r>
      <w:proofErr w:type="spellStart"/>
      <w:r w:rsidR="00E80601">
        <w:rPr>
          <w:szCs w:val="22"/>
        </w:rPr>
        <w:t>Дубовский</w:t>
      </w:r>
      <w:proofErr w:type="spellEnd"/>
      <w:r w:rsidR="00E80601">
        <w:rPr>
          <w:szCs w:val="22"/>
        </w:rPr>
        <w:t xml:space="preserve"> (2</w:t>
      </w:r>
      <w:r w:rsidRPr="00400F34">
        <w:rPr>
          <w:szCs w:val="22"/>
        </w:rPr>
        <w:t xml:space="preserve">), </w:t>
      </w:r>
      <w:proofErr w:type="spellStart"/>
      <w:r w:rsidRPr="00400F34">
        <w:rPr>
          <w:szCs w:val="22"/>
        </w:rPr>
        <w:t>Кумылженский</w:t>
      </w:r>
      <w:proofErr w:type="spellEnd"/>
      <w:r w:rsidRPr="00400F34">
        <w:rPr>
          <w:szCs w:val="22"/>
        </w:rPr>
        <w:t xml:space="preserve"> (1) и Урюпинский (4) судебные районы. Незначительное отклонение от нормы (до 16%) имеют 10 помещений, или 6,8%, площадь которых составляет от 140 до 166 кв. метров. Площадь значительно меньше нормы имеют помещения, в которых расположены 127, или 87,6 </w:t>
      </w:r>
      <w:r w:rsidR="00436741">
        <w:rPr>
          <w:szCs w:val="22"/>
        </w:rPr>
        <w:t>%,</w:t>
      </w:r>
      <w:r w:rsidR="00436741" w:rsidRPr="00436741">
        <w:rPr>
          <w:szCs w:val="22"/>
        </w:rPr>
        <w:t xml:space="preserve"> </w:t>
      </w:r>
      <w:r w:rsidR="00436741">
        <w:rPr>
          <w:szCs w:val="22"/>
        </w:rPr>
        <w:t>мировых судей</w:t>
      </w:r>
      <w:r w:rsidRPr="00400F34">
        <w:rPr>
          <w:szCs w:val="22"/>
        </w:rPr>
        <w:t>.</w:t>
      </w:r>
    </w:p>
    <w:p w:rsidR="00400F34" w:rsidRPr="00400F34" w:rsidRDefault="00400F34" w:rsidP="00400F34">
      <w:pPr>
        <w:ind w:firstLine="709"/>
        <w:jc w:val="both"/>
        <w:rPr>
          <w:szCs w:val="22"/>
        </w:rPr>
      </w:pPr>
      <w:r w:rsidRPr="00400F34">
        <w:rPr>
          <w:szCs w:val="22"/>
        </w:rPr>
        <w:t xml:space="preserve">В г. Волгограде площадь, приходящаяся на 1 </w:t>
      </w:r>
      <w:r w:rsidR="00436741">
        <w:rPr>
          <w:szCs w:val="22"/>
        </w:rPr>
        <w:t>судебный участок</w:t>
      </w:r>
      <w:r w:rsidRPr="00400F34">
        <w:rPr>
          <w:szCs w:val="22"/>
        </w:rPr>
        <w:t xml:space="preserve">, составляет от 51,2 кв. м. в </w:t>
      </w:r>
      <w:proofErr w:type="spellStart"/>
      <w:r w:rsidRPr="00400F34">
        <w:rPr>
          <w:szCs w:val="22"/>
        </w:rPr>
        <w:t>Тракторозаводском</w:t>
      </w:r>
      <w:proofErr w:type="spellEnd"/>
      <w:r w:rsidRPr="00400F34">
        <w:rPr>
          <w:szCs w:val="22"/>
        </w:rPr>
        <w:t xml:space="preserve"> районе до 136,9 кв. м. в Центральном районе, в г. Волжском - 103,9 кв</w:t>
      </w:r>
      <w:r w:rsidR="00436741">
        <w:rPr>
          <w:szCs w:val="22"/>
        </w:rPr>
        <w:t xml:space="preserve">. метра. То есть, все помещения, занимаемые мировыми судьями, </w:t>
      </w:r>
      <w:r w:rsidRPr="00400F34">
        <w:rPr>
          <w:szCs w:val="22"/>
        </w:rPr>
        <w:t>в г. Волгограде и г. Волжском (59 и 15)</w:t>
      </w:r>
      <w:r w:rsidR="00436741">
        <w:rPr>
          <w:szCs w:val="22"/>
        </w:rPr>
        <w:t>,</w:t>
      </w:r>
      <w:r w:rsidRPr="00400F34">
        <w:rPr>
          <w:szCs w:val="22"/>
        </w:rPr>
        <w:t xml:space="preserve"> не соответствуют Нормам площади.</w:t>
      </w:r>
    </w:p>
    <w:p w:rsidR="00400F34" w:rsidRPr="00400F34" w:rsidRDefault="00436741" w:rsidP="00400F34">
      <w:pPr>
        <w:ind w:firstLine="709"/>
        <w:jc w:val="both"/>
      </w:pPr>
      <w:r>
        <w:rPr>
          <w:szCs w:val="22"/>
        </w:rPr>
        <w:t>Н</w:t>
      </w:r>
      <w:r w:rsidR="00400F34" w:rsidRPr="00400F34">
        <w:rPr>
          <w:szCs w:val="22"/>
        </w:rPr>
        <w:t>орма</w:t>
      </w:r>
      <w:r>
        <w:rPr>
          <w:szCs w:val="22"/>
        </w:rPr>
        <w:t>ми</w:t>
      </w:r>
      <w:r w:rsidR="00400F34" w:rsidRPr="00400F34">
        <w:rPr>
          <w:szCs w:val="22"/>
        </w:rPr>
        <w:t xml:space="preserve"> площади определён перечень помещений из 15 наименований, включающий основные, вспомогательные, хозяйственные и прочие помещения, необходимых для осуществления правосудия и функционирования </w:t>
      </w:r>
      <w:r>
        <w:rPr>
          <w:szCs w:val="22"/>
        </w:rPr>
        <w:t>судебного участка</w:t>
      </w:r>
      <w:r w:rsidR="00400F34" w:rsidRPr="00400F34">
        <w:rPr>
          <w:szCs w:val="22"/>
        </w:rPr>
        <w:t xml:space="preserve">. В частности, </w:t>
      </w:r>
      <w:r>
        <w:rPr>
          <w:szCs w:val="22"/>
        </w:rPr>
        <w:t>мировой судья</w:t>
      </w:r>
      <w:r w:rsidR="00400F34" w:rsidRPr="00400F34">
        <w:rPr>
          <w:szCs w:val="22"/>
        </w:rPr>
        <w:t xml:space="preserve"> должен быть обеспечен</w:t>
      </w:r>
      <w:r w:rsidR="00400F34" w:rsidRPr="00400F34">
        <w:t xml:space="preserve"> залом судебных заседаний площадью не менее 25 кв. метров.</w:t>
      </w:r>
    </w:p>
    <w:p w:rsidR="00400F34" w:rsidRPr="00400F34" w:rsidRDefault="00400F34" w:rsidP="00400F34">
      <w:pPr>
        <w:ind w:firstLine="709"/>
        <w:jc w:val="both"/>
        <w:rPr>
          <w:color w:val="000000" w:themeColor="text1"/>
        </w:rPr>
      </w:pPr>
      <w:r w:rsidRPr="00400F34">
        <w:t xml:space="preserve">Пунктом 3 </w:t>
      </w:r>
      <w:r w:rsidRPr="00400F34">
        <w:rPr>
          <w:color w:val="020C22"/>
        </w:rPr>
        <w:t xml:space="preserve">поручения </w:t>
      </w:r>
      <w:r w:rsidRPr="00400F34">
        <w:rPr>
          <w:color w:val="000000" w:themeColor="text1"/>
        </w:rPr>
        <w:t>Президента Российской Федерации от 19.12.2010 № Пр-3645 предписано принять меры по обеспечению судебных участков мировых судей залами судебных заседаний.</w:t>
      </w:r>
    </w:p>
    <w:p w:rsidR="00400F34" w:rsidRPr="00400F34" w:rsidRDefault="00400F34" w:rsidP="00400F34">
      <w:pPr>
        <w:ind w:firstLine="709"/>
        <w:jc w:val="both"/>
      </w:pPr>
      <w:r w:rsidRPr="00400F34">
        <w:rPr>
          <w:color w:val="000000" w:themeColor="text1"/>
        </w:rPr>
        <w:t xml:space="preserve">По состоянию на 01.01.2018 в Волгоградской области в помещениях </w:t>
      </w:r>
      <w:r w:rsidR="00436741">
        <w:rPr>
          <w:color w:val="000000" w:themeColor="text1"/>
        </w:rPr>
        <w:t>судебных участков</w:t>
      </w:r>
      <w:r w:rsidRPr="00400F34">
        <w:rPr>
          <w:color w:val="000000" w:themeColor="text1"/>
        </w:rPr>
        <w:t xml:space="preserve"> оборудовано 69 залов. Комитет считает, что залами обеспечено 124 из 145 </w:t>
      </w:r>
      <w:r w:rsidR="00436741">
        <w:rPr>
          <w:color w:val="000000" w:themeColor="text1"/>
        </w:rPr>
        <w:t>участков</w:t>
      </w:r>
      <w:r w:rsidRPr="00400F34">
        <w:rPr>
          <w:color w:val="000000" w:themeColor="text1"/>
        </w:rPr>
        <w:t xml:space="preserve">, или 86 процентов. Разница в количестве залов и количестве обеспеченных </w:t>
      </w:r>
      <w:r w:rsidR="00436741">
        <w:rPr>
          <w:color w:val="000000" w:themeColor="text1"/>
        </w:rPr>
        <w:t>участков</w:t>
      </w:r>
      <w:r w:rsidRPr="00400F34">
        <w:rPr>
          <w:color w:val="000000" w:themeColor="text1"/>
        </w:rPr>
        <w:t xml:space="preserve"> объясняется тем, что несколько совместно расположенных участков обеспечены одним залом. Такой подход к обеспеченности залами не соответствует </w:t>
      </w:r>
      <w:r w:rsidRPr="00400F34">
        <w:t xml:space="preserve">Нормам площади, согласно которым на каждый </w:t>
      </w:r>
      <w:r w:rsidR="00436741">
        <w:t>участок</w:t>
      </w:r>
      <w:r w:rsidRPr="00400F34">
        <w:t xml:space="preserve"> должен быть зал судебных заседаний. С учётом Норм площади обеспеченность залами составляет 48 процентов.</w:t>
      </w:r>
    </w:p>
    <w:p w:rsidR="00400F34" w:rsidRPr="00400F34" w:rsidRDefault="00400F34" w:rsidP="00400F34">
      <w:pPr>
        <w:ind w:firstLine="709"/>
        <w:jc w:val="both"/>
      </w:pPr>
      <w:r w:rsidRPr="00400F34">
        <w:t>По мнению Комитета, реальная потребность в обеспечении залами каждого участка отсутствует. Для надлежащего обеспечения осуществления правосудия при совместном расположении участков достаточно одного зала на несколько участков. Однако Комитет не располагает информацией о мнении судейского сообщества по этому вопросу. В случае наличия такого мнения, аналогичного мнению Комитета, может быть рассмотрен вопрос о корректировке Норм площади.</w:t>
      </w:r>
    </w:p>
    <w:p w:rsidR="00400F34" w:rsidRPr="00400F34" w:rsidRDefault="00400F34" w:rsidP="00400F34">
      <w:pPr>
        <w:ind w:firstLine="709"/>
        <w:jc w:val="both"/>
        <w:rPr>
          <w:szCs w:val="22"/>
        </w:rPr>
      </w:pPr>
      <w:r w:rsidRPr="00400F34">
        <w:rPr>
          <w:szCs w:val="22"/>
        </w:rPr>
        <w:t xml:space="preserve">Также только в 7 из </w:t>
      </w:r>
      <w:r w:rsidRPr="00A307BE">
        <w:t>46</w:t>
      </w:r>
      <w:r w:rsidRPr="00400F34">
        <w:rPr>
          <w:szCs w:val="22"/>
        </w:rPr>
        <w:t xml:space="preserve"> помещений (26 из 145 </w:t>
      </w:r>
      <w:r w:rsidR="00436741">
        <w:rPr>
          <w:szCs w:val="22"/>
        </w:rPr>
        <w:t>участков</w:t>
      </w:r>
      <w:r w:rsidRPr="00400F34">
        <w:rPr>
          <w:szCs w:val="22"/>
        </w:rPr>
        <w:t>, или 17,9%) в той или иной степени имеется конвойное помещение (по норме - не менее 20 кв. м).</w:t>
      </w:r>
    </w:p>
    <w:p w:rsidR="00CE6E6B" w:rsidRPr="00DB3E97" w:rsidRDefault="00CE6E6B" w:rsidP="00DB3E97">
      <w:pPr>
        <w:autoSpaceDE w:val="0"/>
        <w:autoSpaceDN w:val="0"/>
        <w:adjustRightInd w:val="0"/>
        <w:jc w:val="center"/>
        <w:rPr>
          <w:rFonts w:eastAsiaTheme="minorEastAsia"/>
          <w:b/>
          <w:i/>
        </w:rPr>
      </w:pPr>
    </w:p>
    <w:p w:rsidR="0023358A" w:rsidRPr="0023358A" w:rsidRDefault="0023358A" w:rsidP="0023358A">
      <w:pPr>
        <w:jc w:val="center"/>
        <w:rPr>
          <w:i/>
          <w:szCs w:val="22"/>
        </w:rPr>
      </w:pPr>
      <w:r w:rsidRPr="0023358A">
        <w:rPr>
          <w:i/>
          <w:szCs w:val="22"/>
        </w:rPr>
        <w:t>Обеспече</w:t>
      </w:r>
      <w:r>
        <w:rPr>
          <w:i/>
          <w:szCs w:val="22"/>
        </w:rPr>
        <w:t>ние</w:t>
      </w:r>
      <w:r w:rsidRPr="0023358A">
        <w:rPr>
          <w:i/>
          <w:szCs w:val="22"/>
        </w:rPr>
        <w:t xml:space="preserve"> мебелью, компьютерной техникой и прочим</w:t>
      </w:r>
    </w:p>
    <w:p w:rsidR="0023358A" w:rsidRPr="0023358A" w:rsidRDefault="0023358A" w:rsidP="0023358A">
      <w:pPr>
        <w:ind w:firstLine="709"/>
        <w:jc w:val="both"/>
        <w:rPr>
          <w:szCs w:val="22"/>
        </w:rPr>
      </w:pPr>
      <w:r w:rsidRPr="0023358A">
        <w:rPr>
          <w:szCs w:val="22"/>
        </w:rPr>
        <w:t>Нормы МТО включают нормы обеспечения:</w:t>
      </w:r>
    </w:p>
    <w:p w:rsidR="0023358A" w:rsidRPr="0023358A" w:rsidRDefault="0023358A" w:rsidP="0023358A">
      <w:pPr>
        <w:ind w:firstLine="709"/>
        <w:jc w:val="both"/>
      </w:pPr>
      <w:r w:rsidRPr="0023358A">
        <w:rPr>
          <w:szCs w:val="22"/>
        </w:rPr>
        <w:t>-</w:t>
      </w:r>
      <w:r w:rsidRPr="0023358A">
        <w:t>мебелью, бытовыми приборами, символами государственной власти в разрезе помещений (далее – обеспеченность мебелью);</w:t>
      </w:r>
    </w:p>
    <w:p w:rsidR="0023358A" w:rsidRPr="0023358A" w:rsidRDefault="0023358A" w:rsidP="0023358A">
      <w:pPr>
        <w:ind w:firstLine="709"/>
        <w:jc w:val="both"/>
        <w:rPr>
          <w:szCs w:val="22"/>
        </w:rPr>
      </w:pPr>
      <w:r w:rsidRPr="0023358A">
        <w:rPr>
          <w:szCs w:val="22"/>
        </w:rPr>
        <w:t>-мантиями;</w:t>
      </w:r>
    </w:p>
    <w:p w:rsidR="0023358A" w:rsidRPr="0023358A" w:rsidRDefault="0023358A" w:rsidP="0023358A">
      <w:pPr>
        <w:ind w:firstLine="709"/>
        <w:jc w:val="both"/>
        <w:rPr>
          <w:szCs w:val="22"/>
        </w:rPr>
      </w:pPr>
      <w:r w:rsidRPr="0023358A">
        <w:rPr>
          <w:szCs w:val="22"/>
        </w:rPr>
        <w:t>-канцелярскими товарами;</w:t>
      </w:r>
    </w:p>
    <w:p w:rsidR="0023358A" w:rsidRPr="0023358A" w:rsidRDefault="0023358A" w:rsidP="0023358A">
      <w:pPr>
        <w:ind w:firstLine="709"/>
        <w:jc w:val="both"/>
        <w:rPr>
          <w:szCs w:val="22"/>
        </w:rPr>
      </w:pPr>
      <w:r w:rsidRPr="0023358A">
        <w:rPr>
          <w:szCs w:val="22"/>
        </w:rPr>
        <w:t>-персональными компьютерами, оргтехникой, климатической техникой;</w:t>
      </w:r>
    </w:p>
    <w:p w:rsidR="0023358A" w:rsidRDefault="00E05497" w:rsidP="0023358A">
      <w:pPr>
        <w:ind w:firstLine="709"/>
        <w:jc w:val="both"/>
        <w:rPr>
          <w:szCs w:val="22"/>
        </w:rPr>
      </w:pPr>
      <w:hyperlink r:id="rId45" w:history="1">
        <w:r w:rsidR="0023358A">
          <w:rPr>
            <w:szCs w:val="22"/>
          </w:rPr>
          <w:t>-</w:t>
        </w:r>
        <w:r w:rsidR="0023358A" w:rsidRPr="0023358A">
          <w:rPr>
            <w:szCs w:val="22"/>
          </w:rPr>
          <w:t xml:space="preserve">средствами связи и </w:t>
        </w:r>
        <w:proofErr w:type="spellStart"/>
        <w:r w:rsidR="0023358A" w:rsidRPr="0023358A">
          <w:rPr>
            <w:szCs w:val="22"/>
          </w:rPr>
          <w:t>аудиофиксации</w:t>
        </w:r>
        <w:proofErr w:type="spellEnd"/>
      </w:hyperlink>
      <w:r w:rsidR="0023358A" w:rsidRPr="0023358A">
        <w:rPr>
          <w:szCs w:val="22"/>
        </w:rPr>
        <w:t xml:space="preserve"> (далее две последние позиции – обеспеченность техникой).</w:t>
      </w:r>
    </w:p>
    <w:p w:rsidR="0023358A" w:rsidRPr="0023358A" w:rsidRDefault="0023358A" w:rsidP="0023358A">
      <w:pPr>
        <w:ind w:firstLine="709"/>
        <w:jc w:val="both"/>
        <w:rPr>
          <w:szCs w:val="22"/>
        </w:rPr>
      </w:pPr>
      <w:r w:rsidRPr="0023358A">
        <w:rPr>
          <w:szCs w:val="22"/>
        </w:rPr>
        <w:t xml:space="preserve">Судебные участки обеспечены </w:t>
      </w:r>
      <w:r w:rsidRPr="00A307BE">
        <w:rPr>
          <w:i/>
          <w:u w:val="single"/>
        </w:rPr>
        <w:t>мебелью</w:t>
      </w:r>
      <w:r w:rsidRPr="0023358A">
        <w:rPr>
          <w:szCs w:val="22"/>
        </w:rPr>
        <w:t xml:space="preserve"> в соответствии с минимальными нормами или сверх них только по 4 из 15 наименований, а с учетом неудовлетворительного состояния – по 1 из 15 наименований.</w:t>
      </w:r>
    </w:p>
    <w:p w:rsidR="0023358A" w:rsidRPr="0023358A" w:rsidRDefault="0023358A" w:rsidP="0023358A">
      <w:pPr>
        <w:ind w:firstLine="709"/>
        <w:jc w:val="both"/>
        <w:rPr>
          <w:szCs w:val="22"/>
        </w:rPr>
      </w:pPr>
      <w:r w:rsidRPr="0023358A">
        <w:rPr>
          <w:szCs w:val="22"/>
        </w:rPr>
        <w:t>Минимальный показатель обеспеченности определен по позиции «Кресло рабочее для судьи» и составляет 0% в связи с тем, что все кресла находятся в неудовлетворительном состоянии и требуют замены. Максимальный показатель обеспеченности установлен по позиции «Стеллаж для хранения документов» и составляет 154,5 процента. При этом, по пояснениям Комитета в настоящее время судебные участки испытывают большую потребность в дополнительном количестве стеллажей. Так, согласно заявкам, дополнительно требуется 245 стеллажей. Указанное может свидетельствовать о необходимости корректировки норм обеспеченности мебелью.</w:t>
      </w:r>
    </w:p>
    <w:p w:rsidR="0023358A" w:rsidRPr="0023358A" w:rsidRDefault="0023358A" w:rsidP="0023358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3358A">
        <w:rPr>
          <w:rFonts w:eastAsiaTheme="minorEastAsia"/>
        </w:rPr>
        <w:lastRenderedPageBreak/>
        <w:t xml:space="preserve">Также необходимо отметить, что приведённые данные об обеспеченности сформированы без учёта норм обеспеченности на работников </w:t>
      </w:r>
      <w:r>
        <w:rPr>
          <w:rFonts w:eastAsiaTheme="minorEastAsia"/>
        </w:rPr>
        <w:t>участков</w:t>
      </w:r>
      <w:r w:rsidRPr="0023358A">
        <w:rPr>
          <w:rFonts w:eastAsiaTheme="minorEastAsia"/>
        </w:rPr>
        <w:t>, не входящих в состав аппарата мирового судьи, но рабочие места которых находятся на судебном участке, - специалисты и главные специалисты (обеспечивающие работники). Это обусловлено тем, что Нормы МТО, утверждённые Постановлением № 172-п, не предусматривают нормы на указанную категорию работников. В результате показатели обеспеченности без учёта норм на этих работников, но с фактическим наличием мебели и другого имущества, не в полной мере корректны.</w:t>
      </w:r>
    </w:p>
    <w:p w:rsidR="0023358A" w:rsidRPr="0023358A" w:rsidRDefault="0023358A" w:rsidP="0023358A">
      <w:pPr>
        <w:ind w:firstLine="709"/>
        <w:jc w:val="both"/>
      </w:pPr>
      <w:r>
        <w:rPr>
          <w:szCs w:val="22"/>
        </w:rPr>
        <w:t>Судебные участки</w:t>
      </w:r>
      <w:r w:rsidRPr="0023358A">
        <w:rPr>
          <w:szCs w:val="22"/>
        </w:rPr>
        <w:t xml:space="preserve"> не обеспечены в соответствии с </w:t>
      </w:r>
      <w:r w:rsidRPr="0023358A">
        <w:t xml:space="preserve">минимальными нормами по всем наименованиям </w:t>
      </w:r>
      <w:r w:rsidRPr="00A307BE">
        <w:rPr>
          <w:i/>
          <w:u w:val="single"/>
        </w:rPr>
        <w:t>техники</w:t>
      </w:r>
      <w:r w:rsidRPr="0023358A">
        <w:t xml:space="preserve">. Максимальный показатель обеспеченности с учётом установленного 7-ми летнего срока службы зафиксирован по позиции «Системный блок» и составляет 57,4 процента. </w:t>
      </w:r>
      <w:r w:rsidR="00C24BD9">
        <w:t>На судебных участках отсутствует</w:t>
      </w:r>
      <w:r w:rsidRPr="0023358A">
        <w:t xml:space="preserve"> оборудовани</w:t>
      </w:r>
      <w:r w:rsidR="00C24BD9">
        <w:t>е</w:t>
      </w:r>
      <w:r w:rsidRPr="0023358A">
        <w:t xml:space="preserve"> для проведения видеоконференций и источник</w:t>
      </w:r>
      <w:r w:rsidR="00C24BD9">
        <w:t>и</w:t>
      </w:r>
      <w:r w:rsidRPr="0023358A">
        <w:t xml:space="preserve"> бесперебойного питания для серверных комплектов.</w:t>
      </w:r>
    </w:p>
    <w:p w:rsidR="0023358A" w:rsidRPr="0023358A" w:rsidRDefault="0023358A" w:rsidP="00A307B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</w:rPr>
      </w:pPr>
      <w:r w:rsidRPr="0023358A">
        <w:t xml:space="preserve">Вышеприведённая оценка обеспеченности </w:t>
      </w:r>
      <w:r w:rsidR="009A3B3E">
        <w:t>судебных участков</w:t>
      </w:r>
      <w:r w:rsidRPr="0023358A">
        <w:t xml:space="preserve"> мебелью и техникой произведена путем сопоставления нормативных значений обеспеченности и данных бухгалтерского учёта Комитета. Однако достоверность показателей бухгалтерского учёта и соответственно отчётности Комитета </w:t>
      </w:r>
      <w:r w:rsidR="009A3B3E">
        <w:t xml:space="preserve">за 2017 год </w:t>
      </w:r>
      <w:r w:rsidRPr="0023358A">
        <w:t>не подтверждена надлежащим образом.</w:t>
      </w:r>
      <w:r w:rsidR="009A3B3E">
        <w:t xml:space="preserve"> И</w:t>
      </w:r>
      <w:r w:rsidR="009A3B3E" w:rsidRPr="0023358A">
        <w:t>нвентаризация активов и обязательств</w:t>
      </w:r>
      <w:r w:rsidR="009A3B3E">
        <w:t>, подлежащая проведению</w:t>
      </w:r>
      <w:r w:rsidRPr="0023358A">
        <w:t xml:space="preserve"> в целях составления годовой бюджетной отчетности</w:t>
      </w:r>
      <w:r w:rsidR="009A3B3E">
        <w:t>, оформлена, но фактически</w:t>
      </w:r>
      <w:r w:rsidRPr="0023358A">
        <w:rPr>
          <w:rFonts w:eastAsiaTheme="minorEastAsia"/>
        </w:rPr>
        <w:t xml:space="preserve"> не проводилась </w:t>
      </w:r>
      <w:r w:rsidR="00A73F08">
        <w:t>-</w:t>
      </w:r>
      <w:r w:rsidRPr="0023358A">
        <w:rPr>
          <w:rFonts w:eastAsiaTheme="minorEastAsia"/>
        </w:rPr>
        <w:t xml:space="preserve"> осуществлена регистрация не имевшего места факта хозяйственной жизни (инвентаризации) в регистрах бухгалтерского учета (инвентаризационные описи</w:t>
      </w:r>
      <w:r w:rsidR="00A73F08" w:rsidRPr="00A73F08">
        <w:rPr>
          <w:rFonts w:eastAsiaTheme="minorEastAsia"/>
        </w:rPr>
        <w:t>)</w:t>
      </w:r>
      <w:r w:rsidR="009A3B3E" w:rsidRPr="00A73F08">
        <w:t>. Председатель инвентаризационной комиссии и все её члены привлечены</w:t>
      </w:r>
      <w:r w:rsidRPr="0023358A">
        <w:rPr>
          <w:rFonts w:eastAsiaTheme="minorEastAsia"/>
        </w:rPr>
        <w:t xml:space="preserve"> к </w:t>
      </w:r>
      <w:r w:rsidR="009A3B3E" w:rsidRPr="00A73F08">
        <w:t xml:space="preserve">административной ответственности, предусмотренной </w:t>
      </w:r>
      <w:r w:rsidRPr="0023358A">
        <w:rPr>
          <w:rFonts w:eastAsiaTheme="minorEastAsia"/>
        </w:rPr>
        <w:t xml:space="preserve">ст. 15.11 КоАП РФ </w:t>
      </w:r>
      <w:r w:rsidR="009A3B3E" w:rsidRPr="00A73F08">
        <w:t>«</w:t>
      </w:r>
      <w:r w:rsidR="009A3B3E" w:rsidRPr="00A73F08">
        <w:rPr>
          <w:rFonts w:eastAsiaTheme="minorHAnsi"/>
          <w:bCs/>
          <w:lang w:eastAsia="en-US"/>
        </w:rPr>
        <w:t>Грубое нарушение</w:t>
      </w:r>
      <w:r w:rsidRPr="0023358A">
        <w:rPr>
          <w:rFonts w:eastAsiaTheme="minorEastAsia"/>
        </w:rPr>
        <w:t xml:space="preserve"> требований к бухгалтерскому учету, в том числе к бухгалтерской (финансовой) отчетности</w:t>
      </w:r>
      <w:r w:rsidR="009A3B3E" w:rsidRPr="00A73F08">
        <w:rPr>
          <w:rFonts w:eastAsiaTheme="minorHAnsi"/>
          <w:bCs/>
          <w:lang w:eastAsia="en-US"/>
        </w:rPr>
        <w:t>»</w:t>
      </w:r>
      <w:r w:rsidR="00A73F08" w:rsidRPr="00A73F08">
        <w:rPr>
          <w:rFonts w:eastAsiaTheme="minorHAnsi"/>
          <w:bCs/>
          <w:lang w:eastAsia="en-US"/>
        </w:rPr>
        <w:t xml:space="preserve">. Во исполнение представления КСП, вынесенного по результатам внешней проверки Комитета за 2017 год, в апреле-мае 2018 года </w:t>
      </w:r>
      <w:r w:rsidR="00A73F08">
        <w:rPr>
          <w:rFonts w:eastAsiaTheme="minorHAnsi"/>
          <w:bCs/>
          <w:lang w:eastAsia="en-US"/>
        </w:rPr>
        <w:t>К</w:t>
      </w:r>
      <w:r w:rsidR="00A73F08" w:rsidRPr="00A73F08">
        <w:rPr>
          <w:rFonts w:eastAsiaTheme="minorHAnsi"/>
          <w:bCs/>
          <w:lang w:eastAsia="en-US"/>
        </w:rPr>
        <w:t>омите</w:t>
      </w:r>
      <w:r w:rsidR="00A73F08">
        <w:rPr>
          <w:rFonts w:eastAsiaTheme="minorHAnsi"/>
          <w:bCs/>
          <w:lang w:eastAsia="en-US"/>
        </w:rPr>
        <w:t>том</w:t>
      </w:r>
      <w:r w:rsidR="00A73F08" w:rsidRPr="00A73F08">
        <w:rPr>
          <w:rFonts w:eastAsiaTheme="minorHAnsi"/>
          <w:bCs/>
          <w:lang w:eastAsia="en-US"/>
        </w:rPr>
        <w:t xml:space="preserve"> проведена инвентаризация имущества, которой излишков и недостач не установлено</w:t>
      </w:r>
      <w:r w:rsidRPr="0023358A">
        <w:rPr>
          <w:rFonts w:eastAsiaTheme="minorEastAsia"/>
        </w:rPr>
        <w:t>.</w:t>
      </w:r>
    </w:p>
    <w:p w:rsidR="0023358A" w:rsidRPr="0023358A" w:rsidRDefault="0023358A" w:rsidP="0023358A">
      <w:pPr>
        <w:ind w:firstLine="709"/>
        <w:jc w:val="both"/>
        <w:rPr>
          <w:szCs w:val="22"/>
        </w:rPr>
      </w:pPr>
      <w:r w:rsidRPr="0023358A">
        <w:rPr>
          <w:szCs w:val="22"/>
        </w:rPr>
        <w:t xml:space="preserve">По пояснениям Комитета все мировые судьи </w:t>
      </w:r>
      <w:r w:rsidRPr="00A307BE">
        <w:t xml:space="preserve">обеспечены </w:t>
      </w:r>
      <w:r w:rsidRPr="00A307BE">
        <w:rPr>
          <w:i/>
          <w:u w:val="single"/>
        </w:rPr>
        <w:t>мантиями</w:t>
      </w:r>
      <w:r w:rsidRPr="0023358A">
        <w:rPr>
          <w:szCs w:val="22"/>
        </w:rPr>
        <w:t>. До декабря 2015 года 96-и судьям мантии выданы Управлением Судебного департамента в Волгоградской области. По состоянию на 01.01.2018 на балансе Комитета числится 49 мантий, из которых 34 приобретено в 2017 году, исходя из поданных заявок. Впервые назначенным судьям выдано 13 мантий, а 21 мантия выдана в порядке замены в связи с истечением срока носки.</w:t>
      </w:r>
    </w:p>
    <w:p w:rsidR="0023358A" w:rsidRPr="0023358A" w:rsidRDefault="0023358A" w:rsidP="0023358A">
      <w:pPr>
        <w:ind w:firstLine="709"/>
        <w:jc w:val="both"/>
        <w:rPr>
          <w:szCs w:val="22"/>
        </w:rPr>
      </w:pPr>
      <w:r w:rsidRPr="0023358A">
        <w:rPr>
          <w:szCs w:val="22"/>
        </w:rPr>
        <w:t xml:space="preserve">Мантии, выданные судьям Управлением Судебного департамента в Волгоградской области, в бюджетном учёте Комитета не отражены, что не соответствует положениям п. 1 ст. 264.1 БК РФ, ст. 1, 5, 6 </w:t>
      </w:r>
      <w:r w:rsidR="00A73F08" w:rsidRPr="00E53C1B">
        <w:t>Федерального закона от 06.12.2011</w:t>
      </w:r>
      <w:r w:rsidRPr="0023358A">
        <w:rPr>
          <w:szCs w:val="22"/>
        </w:rPr>
        <w:t xml:space="preserve"> № 402-ФЗ</w:t>
      </w:r>
      <w:r w:rsidR="00A73F08" w:rsidRPr="00E53C1B">
        <w:t xml:space="preserve"> «О бухгалтерском учете» (далее – Закон № 402-ФЗ)</w:t>
      </w:r>
      <w:r w:rsidRPr="0023358A">
        <w:rPr>
          <w:szCs w:val="22"/>
        </w:rPr>
        <w:t xml:space="preserve"> и не позволяет получить точную, документально подтверждённую информацию об обеспеченности мировых судей мантиями.</w:t>
      </w:r>
    </w:p>
    <w:p w:rsidR="0023358A" w:rsidRPr="0023358A" w:rsidRDefault="0023358A" w:rsidP="0023358A">
      <w:pPr>
        <w:ind w:firstLine="709"/>
        <w:jc w:val="both"/>
        <w:rPr>
          <w:szCs w:val="22"/>
        </w:rPr>
      </w:pPr>
      <w:r w:rsidRPr="0023358A">
        <w:rPr>
          <w:szCs w:val="22"/>
        </w:rPr>
        <w:t xml:space="preserve">Нормы МТО в части </w:t>
      </w:r>
      <w:r w:rsidRPr="00A307BE">
        <w:t xml:space="preserve">обеспечения </w:t>
      </w:r>
      <w:r w:rsidRPr="00A307BE">
        <w:rPr>
          <w:i/>
          <w:u w:val="single"/>
        </w:rPr>
        <w:t>канцтоварами</w:t>
      </w:r>
      <w:r w:rsidRPr="0023358A">
        <w:rPr>
          <w:szCs w:val="22"/>
        </w:rPr>
        <w:t xml:space="preserve"> включают перечень из 55 наименований, в том числе бумагу формата А4. В 2017 году Комитетом приобретено канцтоваров на сумму 4 401,9 тыс. руб., в том числе бумага формата А4 на 3 466,5 тыс. руб. (79%). На остальные 54 наименования пришлось 935,4 тыс. руб</w:t>
      </w:r>
      <w:r w:rsidR="003028C8">
        <w:rPr>
          <w:szCs w:val="22"/>
        </w:rPr>
        <w:t>. (по 6,5 тыс. руб. в среднем</w:t>
      </w:r>
      <w:r w:rsidRPr="0023358A">
        <w:rPr>
          <w:szCs w:val="22"/>
        </w:rPr>
        <w:t xml:space="preserve"> на </w:t>
      </w:r>
      <w:r w:rsidR="00A73F08">
        <w:rPr>
          <w:szCs w:val="22"/>
        </w:rPr>
        <w:t>участок</w:t>
      </w:r>
      <w:r w:rsidR="003028C8">
        <w:rPr>
          <w:szCs w:val="22"/>
        </w:rPr>
        <w:t>)</w:t>
      </w:r>
      <w:r w:rsidRPr="0023358A">
        <w:rPr>
          <w:szCs w:val="22"/>
        </w:rPr>
        <w:t xml:space="preserve">. </w:t>
      </w:r>
      <w:r w:rsidR="003028C8">
        <w:rPr>
          <w:szCs w:val="22"/>
        </w:rPr>
        <w:t>С</w:t>
      </w:r>
      <w:r w:rsidRPr="0023358A">
        <w:rPr>
          <w:szCs w:val="22"/>
        </w:rPr>
        <w:t xml:space="preserve">овокупная оценочная стоимость </w:t>
      </w:r>
      <w:r w:rsidR="003028C8">
        <w:rPr>
          <w:szCs w:val="22"/>
        </w:rPr>
        <w:t>нормативного</w:t>
      </w:r>
      <w:r w:rsidRPr="0023358A">
        <w:rPr>
          <w:szCs w:val="22"/>
        </w:rPr>
        <w:t xml:space="preserve"> объёма канцтоваров (кроме бумаги) составляет 4</w:t>
      </w:r>
      <w:r w:rsidR="003028C8">
        <w:rPr>
          <w:szCs w:val="22"/>
        </w:rPr>
        <w:t> </w:t>
      </w:r>
      <w:r w:rsidRPr="0023358A">
        <w:rPr>
          <w:szCs w:val="22"/>
        </w:rPr>
        <w:t>451</w:t>
      </w:r>
      <w:r w:rsidR="003028C8">
        <w:rPr>
          <w:szCs w:val="22"/>
        </w:rPr>
        <w:t>,0</w:t>
      </w:r>
      <w:r w:rsidRPr="0023358A">
        <w:rPr>
          <w:szCs w:val="22"/>
        </w:rPr>
        <w:t xml:space="preserve"> тыс. руб</w:t>
      </w:r>
      <w:r w:rsidR="003028C8">
        <w:rPr>
          <w:szCs w:val="22"/>
        </w:rPr>
        <w:t>. (30,7 тыс. руб. на участок)</w:t>
      </w:r>
      <w:r w:rsidRPr="0023358A">
        <w:rPr>
          <w:szCs w:val="22"/>
        </w:rPr>
        <w:t xml:space="preserve">. </w:t>
      </w:r>
    </w:p>
    <w:p w:rsidR="0023358A" w:rsidRPr="0023358A" w:rsidRDefault="0023358A" w:rsidP="0023358A">
      <w:pPr>
        <w:ind w:firstLine="709"/>
        <w:jc w:val="both"/>
        <w:rPr>
          <w:szCs w:val="22"/>
        </w:rPr>
      </w:pPr>
      <w:r w:rsidRPr="0023358A">
        <w:rPr>
          <w:szCs w:val="22"/>
        </w:rPr>
        <w:t xml:space="preserve">Таким образом, в 2017 году обеспеченность </w:t>
      </w:r>
      <w:r w:rsidR="00AE0CD5">
        <w:rPr>
          <w:szCs w:val="22"/>
        </w:rPr>
        <w:t>судебных участков</w:t>
      </w:r>
      <w:r w:rsidRPr="0023358A">
        <w:rPr>
          <w:szCs w:val="22"/>
        </w:rPr>
        <w:t xml:space="preserve"> канцтоварами (кроме бумаги) составляла 21 процент.</w:t>
      </w:r>
    </w:p>
    <w:p w:rsidR="0023358A" w:rsidRPr="0023358A" w:rsidRDefault="0023358A" w:rsidP="0023358A">
      <w:pPr>
        <w:ind w:firstLine="709"/>
        <w:jc w:val="both"/>
        <w:rPr>
          <w:szCs w:val="22"/>
        </w:rPr>
      </w:pPr>
      <w:r w:rsidRPr="0023358A">
        <w:rPr>
          <w:szCs w:val="22"/>
        </w:rPr>
        <w:t xml:space="preserve">В 2017 году выдано 13650 пачек бумаги, т.е. в среднем 24 пачки на 1 </w:t>
      </w:r>
      <w:r w:rsidR="00AE0CD5">
        <w:rPr>
          <w:szCs w:val="22"/>
        </w:rPr>
        <w:t>судебный участок</w:t>
      </w:r>
      <w:r w:rsidRPr="0023358A">
        <w:rPr>
          <w:szCs w:val="22"/>
        </w:rPr>
        <w:t xml:space="preserve"> в квартал, что соответствует Нормам МТО и в целом обеспечивает минимальную расчётную потребность. </w:t>
      </w:r>
      <w:r w:rsidR="00AE0CD5">
        <w:rPr>
          <w:szCs w:val="22"/>
        </w:rPr>
        <w:t xml:space="preserve">Однако </w:t>
      </w:r>
      <w:r w:rsidR="00AE0CD5" w:rsidRPr="0023358A">
        <w:rPr>
          <w:szCs w:val="22"/>
        </w:rPr>
        <w:t>при обеспечении бумагой не в полной мере учитывается реальная потребность в ней исходя из объёма работы участков</w:t>
      </w:r>
      <w:r w:rsidRPr="0023358A">
        <w:rPr>
          <w:szCs w:val="22"/>
        </w:rPr>
        <w:t xml:space="preserve">, что </w:t>
      </w:r>
      <w:r w:rsidR="00AE0CD5" w:rsidRPr="0023358A">
        <w:rPr>
          <w:szCs w:val="22"/>
        </w:rPr>
        <w:t>предусмотрено Нормами МТО.</w:t>
      </w:r>
      <w:r w:rsidR="00AE0CD5" w:rsidRPr="00AE0CD5">
        <w:rPr>
          <w:szCs w:val="22"/>
        </w:rPr>
        <w:t xml:space="preserve"> </w:t>
      </w:r>
      <w:r w:rsidRPr="0023358A">
        <w:rPr>
          <w:szCs w:val="22"/>
        </w:rPr>
        <w:t xml:space="preserve">Так, 9 </w:t>
      </w:r>
      <w:r w:rsidR="00AE0CD5">
        <w:rPr>
          <w:szCs w:val="22"/>
        </w:rPr>
        <w:t>судебным участкам</w:t>
      </w:r>
      <w:r w:rsidRPr="0023358A">
        <w:rPr>
          <w:szCs w:val="22"/>
        </w:rPr>
        <w:t xml:space="preserve"> Дзержинского района выдано по 8 листов бумаги на дело (24 пачки в квартал), что является минимальным показателем в отчетном периоде, а 1 </w:t>
      </w:r>
      <w:r w:rsidR="00AE0CD5">
        <w:rPr>
          <w:szCs w:val="22"/>
        </w:rPr>
        <w:t>судебному участку</w:t>
      </w:r>
      <w:r w:rsidRPr="0023358A">
        <w:rPr>
          <w:szCs w:val="22"/>
        </w:rPr>
        <w:t xml:space="preserve"> </w:t>
      </w:r>
      <w:proofErr w:type="spellStart"/>
      <w:r w:rsidRPr="0023358A">
        <w:rPr>
          <w:szCs w:val="22"/>
        </w:rPr>
        <w:t>Руднянского</w:t>
      </w:r>
      <w:proofErr w:type="spellEnd"/>
      <w:r w:rsidRPr="0023358A">
        <w:rPr>
          <w:szCs w:val="22"/>
        </w:rPr>
        <w:t xml:space="preserve"> района выдано 34 листа бумаги на дело (25 пачек в квартал) – максимальный показатель.</w:t>
      </w:r>
    </w:p>
    <w:p w:rsidR="008643DB" w:rsidRPr="008643DB" w:rsidRDefault="008643DB" w:rsidP="008643DB">
      <w:pPr>
        <w:ind w:firstLine="709"/>
        <w:jc w:val="center"/>
        <w:rPr>
          <w:b/>
          <w:i/>
          <w:szCs w:val="22"/>
        </w:rPr>
      </w:pPr>
      <w:r w:rsidRPr="008643DB">
        <w:rPr>
          <w:b/>
          <w:i/>
          <w:szCs w:val="22"/>
        </w:rPr>
        <w:lastRenderedPageBreak/>
        <w:t>ВЦП «Развитие мировой юстиции»</w:t>
      </w:r>
    </w:p>
    <w:p w:rsidR="008643DB" w:rsidRPr="008643DB" w:rsidRDefault="008643DB" w:rsidP="008643DB">
      <w:pPr>
        <w:ind w:firstLine="709"/>
        <w:jc w:val="both"/>
        <w:rPr>
          <w:szCs w:val="22"/>
        </w:rPr>
      </w:pPr>
      <w:r w:rsidRPr="008643DB">
        <w:rPr>
          <w:szCs w:val="22"/>
        </w:rPr>
        <w:t>Как указано выше, во исполнение и в целях реализации Постановления № 153 Комитетом разработана и утверждена ВЦП «Развитие мировой юстиции».</w:t>
      </w:r>
      <w:r w:rsidRPr="008643DB">
        <w:rPr>
          <w:b/>
          <w:i/>
          <w:szCs w:val="22"/>
        </w:rPr>
        <w:t xml:space="preserve"> </w:t>
      </w:r>
      <w:r w:rsidRPr="008643DB">
        <w:rPr>
          <w:szCs w:val="22"/>
        </w:rPr>
        <w:t xml:space="preserve">Цель программы – улучшение организационного обеспечения деятельности мировых судей Волгоградской области. </w:t>
      </w:r>
      <w:r w:rsidR="00E7588F">
        <w:rPr>
          <w:szCs w:val="22"/>
        </w:rPr>
        <w:t>Первоначальной редакцией программы в</w:t>
      </w:r>
      <w:r w:rsidRPr="008643DB">
        <w:rPr>
          <w:szCs w:val="22"/>
        </w:rPr>
        <w:t xml:space="preserve"> 2017-2019 годах предусмотрена реализация 17 мероприятий на общую сумму 209 886,7 тыс. руб., в том числе в 2017 году 3 мероприятия на общую сумму 1 923,0 тыс. рублей. Согласно ежегодному отчету о выполнении Программы фактически в 2017 году расходы составили 1 887,7 тыс. рублей.</w:t>
      </w:r>
    </w:p>
    <w:p w:rsidR="008643DB" w:rsidRPr="008643DB" w:rsidRDefault="008643DB" w:rsidP="008643DB">
      <w:pPr>
        <w:ind w:firstLine="709"/>
        <w:jc w:val="both"/>
        <w:rPr>
          <w:szCs w:val="22"/>
        </w:rPr>
      </w:pPr>
      <w:r w:rsidRPr="008643DB">
        <w:rPr>
          <w:szCs w:val="22"/>
        </w:rPr>
        <w:t>Информация об объемах финансирования мероприятий представлена в таблице ниже.</w:t>
      </w: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816"/>
        <w:gridCol w:w="816"/>
        <w:gridCol w:w="1090"/>
        <w:gridCol w:w="992"/>
      </w:tblGrid>
      <w:tr w:rsidR="004262D1" w:rsidRPr="008643DB" w:rsidTr="004262D1">
        <w:trPr>
          <w:trHeight w:val="70"/>
          <w:tblHeader/>
        </w:trPr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b/>
                <w:sz w:val="20"/>
                <w:szCs w:val="20"/>
              </w:rPr>
            </w:pPr>
            <w:r w:rsidRPr="008643DB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b/>
                <w:sz w:val="20"/>
                <w:szCs w:val="20"/>
              </w:rPr>
            </w:pPr>
            <w:r w:rsidRPr="008643DB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b/>
                <w:sz w:val="20"/>
                <w:szCs w:val="20"/>
              </w:rPr>
            </w:pPr>
            <w:r w:rsidRPr="008643DB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b/>
                <w:sz w:val="20"/>
                <w:szCs w:val="20"/>
              </w:rPr>
            </w:pPr>
            <w:r w:rsidRPr="008643DB">
              <w:rPr>
                <w:b/>
                <w:sz w:val="20"/>
                <w:szCs w:val="20"/>
              </w:rPr>
              <w:t>2019</w:t>
            </w:r>
          </w:p>
        </w:tc>
      </w:tr>
      <w:tr w:rsidR="004262D1" w:rsidRPr="008643DB" w:rsidTr="004262D1">
        <w:trPr>
          <w:trHeight w:val="70"/>
          <w:tblHeader/>
        </w:trPr>
        <w:tc>
          <w:tcPr>
            <w:tcW w:w="6663" w:type="dxa"/>
            <w:vMerge/>
            <w:vAlign w:val="center"/>
            <w:hideMark/>
          </w:tcPr>
          <w:p w:rsidR="004262D1" w:rsidRPr="008643DB" w:rsidRDefault="004262D1" w:rsidP="008643DB">
            <w:pPr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b/>
                <w:sz w:val="20"/>
                <w:szCs w:val="20"/>
              </w:rPr>
            </w:pPr>
            <w:r w:rsidRPr="008643D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b/>
                <w:sz w:val="20"/>
                <w:szCs w:val="20"/>
              </w:rPr>
            </w:pPr>
            <w:r w:rsidRPr="008643DB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b/>
                <w:sz w:val="20"/>
                <w:szCs w:val="20"/>
              </w:rPr>
            </w:pPr>
            <w:r w:rsidRPr="008643D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b/>
                <w:sz w:val="20"/>
                <w:szCs w:val="20"/>
              </w:rPr>
            </w:pPr>
            <w:r w:rsidRPr="008643DB">
              <w:rPr>
                <w:b/>
                <w:sz w:val="20"/>
                <w:szCs w:val="20"/>
              </w:rPr>
              <w:t>План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4262D1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Обновление компьютерной и орг</w:t>
            </w:r>
            <w:r>
              <w:rPr>
                <w:sz w:val="20"/>
                <w:szCs w:val="20"/>
              </w:rPr>
              <w:t>.</w:t>
            </w:r>
            <w:r w:rsidRPr="008643DB">
              <w:rPr>
                <w:sz w:val="20"/>
                <w:szCs w:val="20"/>
              </w:rPr>
              <w:t xml:space="preserve"> техники (со сроком службы свыше 7 л</w:t>
            </w:r>
            <w:r>
              <w:rPr>
                <w:sz w:val="20"/>
                <w:szCs w:val="20"/>
              </w:rPr>
              <w:t>.</w:t>
            </w:r>
            <w:r w:rsidRPr="008643DB">
              <w:rPr>
                <w:sz w:val="20"/>
                <w:szCs w:val="20"/>
              </w:rPr>
              <w:t>)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10 453,3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10 363,0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Приобретение серверов для судебных участков мировых судей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3 840,0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4 080,0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4262D1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Обеспечение подключения к сети Интернет судебных участков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1 261,0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1 261,0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2 582,0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4 070,0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Обеспечение судебных участков оборудованием для видеоконференцсвязи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Обеспечение судебных участков средствами аудио протоколирования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725,0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Обеспечение судебных участков средствами защиты информации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3 200,0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2 600,0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 xml:space="preserve">Проведение ремонта зданий (помещений) занимаемых мировыми судьями 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48 261,0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48 000,0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53171D">
            <w:pPr>
              <w:jc w:val="both"/>
              <w:rPr>
                <w:color w:val="000000"/>
                <w:sz w:val="20"/>
                <w:szCs w:val="20"/>
              </w:rPr>
            </w:pPr>
            <w:r w:rsidRPr="008643DB">
              <w:rPr>
                <w:color w:val="000000"/>
                <w:sz w:val="20"/>
                <w:szCs w:val="20"/>
              </w:rPr>
              <w:t xml:space="preserve">Разработка </w:t>
            </w:r>
            <w:r w:rsidR="0053171D">
              <w:rPr>
                <w:color w:val="000000"/>
                <w:sz w:val="20"/>
                <w:szCs w:val="20"/>
              </w:rPr>
              <w:t>ПСД</w:t>
            </w:r>
            <w:r w:rsidRPr="008643DB">
              <w:rPr>
                <w:color w:val="000000"/>
                <w:sz w:val="20"/>
                <w:szCs w:val="20"/>
              </w:rPr>
              <w:t xml:space="preserve"> для проведения ремонта зданий (помещений), установки </w:t>
            </w:r>
            <w:bookmarkStart w:id="0" w:name="_GoBack"/>
            <w:bookmarkEnd w:id="0"/>
            <w:r w:rsidRPr="008643DB">
              <w:rPr>
                <w:color w:val="000000"/>
                <w:sz w:val="20"/>
                <w:szCs w:val="20"/>
              </w:rPr>
              <w:t>сигнализации, реконструкции систем электроснабжения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62,0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28,0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2 893,0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Приобретение систем кондиционирования воздуха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2 050,0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1 375,0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 xml:space="preserve">Выполнение работ по монтажу пожарно-охранной сигнализации 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13 650,0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12 000,0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Оснащение фасадов зданий, в которых располагаются мировые судьи, системами видеонаблюдения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1 757,1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color w:val="000000"/>
                <w:sz w:val="20"/>
                <w:szCs w:val="20"/>
              </w:rPr>
            </w:pPr>
            <w:r w:rsidRPr="008643DB">
              <w:rPr>
                <w:color w:val="000000"/>
                <w:sz w:val="20"/>
                <w:szCs w:val="20"/>
              </w:rPr>
              <w:t>2 196,0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Приобретение мебели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3 390,0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2 100,0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Приобретение светодиодных светильников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598,7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3 070,0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2 500,0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Замена газовых котлов в зданиях (помещениях), занимаемых мировыми судьями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Проведение повышения квалификации профессиональной переподготовки работников аппаратов мировых судей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898,0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должности архивариуса на судебных участках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4 222,7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both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Совершенствование системы оплаты труда работников аппаратов мировых судей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 w:rsidRPr="008643DB">
              <w:rPr>
                <w:sz w:val="20"/>
                <w:szCs w:val="20"/>
              </w:rPr>
              <w:t>16 272,6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2D1" w:rsidRPr="008643DB" w:rsidTr="004262D1">
        <w:trPr>
          <w:trHeight w:val="70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b/>
                <w:i/>
                <w:sz w:val="20"/>
                <w:szCs w:val="20"/>
              </w:rPr>
            </w:pPr>
            <w:r w:rsidRPr="008643DB">
              <w:rPr>
                <w:b/>
                <w:i/>
                <w:sz w:val="20"/>
                <w:szCs w:val="20"/>
              </w:rPr>
              <w:t>Итого по программе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b/>
                <w:i/>
                <w:sz w:val="20"/>
                <w:szCs w:val="20"/>
              </w:rPr>
            </w:pPr>
            <w:r w:rsidRPr="008643DB">
              <w:rPr>
                <w:b/>
                <w:i/>
                <w:sz w:val="20"/>
                <w:szCs w:val="20"/>
              </w:rPr>
              <w:t>1 923,0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b/>
                <w:i/>
                <w:sz w:val="20"/>
                <w:szCs w:val="20"/>
              </w:rPr>
            </w:pPr>
            <w:r w:rsidRPr="008643DB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643DB">
              <w:rPr>
                <w:b/>
                <w:i/>
                <w:sz w:val="20"/>
                <w:szCs w:val="20"/>
              </w:rPr>
              <w:t>887,7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b/>
                <w:i/>
                <w:sz w:val="20"/>
                <w:szCs w:val="20"/>
              </w:rPr>
            </w:pPr>
            <w:r w:rsidRPr="008643DB">
              <w:rPr>
                <w:b/>
                <w:i/>
                <w:sz w:val="20"/>
                <w:szCs w:val="20"/>
              </w:rPr>
              <w:t>117 056,7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2D1" w:rsidRPr="008643DB" w:rsidRDefault="004262D1" w:rsidP="008643DB">
            <w:pPr>
              <w:jc w:val="center"/>
              <w:rPr>
                <w:b/>
                <w:i/>
                <w:sz w:val="20"/>
                <w:szCs w:val="20"/>
              </w:rPr>
            </w:pPr>
            <w:r w:rsidRPr="008643DB">
              <w:rPr>
                <w:b/>
                <w:i/>
                <w:sz w:val="20"/>
                <w:szCs w:val="20"/>
              </w:rPr>
              <w:t>90 907,0</w:t>
            </w:r>
          </w:p>
        </w:tc>
      </w:tr>
    </w:tbl>
    <w:p w:rsidR="008643DB" w:rsidRPr="008643DB" w:rsidRDefault="008643DB" w:rsidP="008643DB">
      <w:pPr>
        <w:ind w:firstLine="709"/>
        <w:jc w:val="both"/>
        <w:rPr>
          <w:szCs w:val="22"/>
        </w:rPr>
      </w:pPr>
      <w:r w:rsidRPr="008643DB">
        <w:rPr>
          <w:szCs w:val="22"/>
        </w:rPr>
        <w:t xml:space="preserve">Основные мероприятия, направленные на улучшение организационного обеспечения деятельности мировых судей Волгоградской области, запланированы на 2018-2019 годы. Законом Волгоградской области от 15.12.2017 № 124-ОД «Об областном бюджете на 2018 год и на плановый период 2019 и 2020 годов» на реализацию мероприятий </w:t>
      </w:r>
      <w:r w:rsidR="00E7588F">
        <w:rPr>
          <w:szCs w:val="22"/>
        </w:rPr>
        <w:t>п</w:t>
      </w:r>
      <w:r w:rsidRPr="008643DB">
        <w:rPr>
          <w:szCs w:val="22"/>
        </w:rPr>
        <w:t>рограммы на 2018 год предусмотрено 2 583,0 тыс. руб., или 2,2% от объёма расходов, запланированных программой, на 2019 год - 2 583,0 тыс. руб., или 2,8 процента.</w:t>
      </w:r>
    </w:p>
    <w:p w:rsidR="008643DB" w:rsidRPr="008643DB" w:rsidRDefault="008643DB" w:rsidP="008643DB">
      <w:pPr>
        <w:ind w:firstLine="709"/>
        <w:jc w:val="both"/>
      </w:pPr>
      <w:r w:rsidRPr="008643DB">
        <w:t>Таким образом, без увеличения ассигнований на реализацию мероприятий ВЦП «Развитие мировой юстиции» на 2018-2019 годы достижение её цели и исполнение Постановления № 153 невозможно.</w:t>
      </w:r>
    </w:p>
    <w:p w:rsidR="00E7588F" w:rsidRDefault="007E1A95" w:rsidP="00E7588F">
      <w:pPr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Theme="minorHAnsi"/>
          <w:bCs/>
          <w:lang w:eastAsia="en-US"/>
        </w:rPr>
        <w:t xml:space="preserve">Законом Волгоградской области от 30.05.2018 № 66-ОД </w:t>
      </w:r>
      <w:r w:rsidR="00E7588F" w:rsidRPr="00E7588F">
        <w:rPr>
          <w:rFonts w:eastAsiaTheme="minorHAnsi"/>
          <w:bCs/>
          <w:lang w:eastAsia="en-US"/>
        </w:rPr>
        <w:t>в областно</w:t>
      </w:r>
      <w:r>
        <w:rPr>
          <w:rFonts w:eastAsiaTheme="minorHAnsi"/>
          <w:bCs/>
          <w:lang w:eastAsia="en-US"/>
        </w:rPr>
        <w:t>м</w:t>
      </w:r>
      <w:r w:rsidR="00E7588F" w:rsidRPr="00E7588F">
        <w:rPr>
          <w:rFonts w:eastAsiaTheme="minorHAnsi"/>
          <w:bCs/>
          <w:lang w:eastAsia="en-US"/>
        </w:rPr>
        <w:t xml:space="preserve"> бюджет</w:t>
      </w:r>
      <w:r>
        <w:rPr>
          <w:rFonts w:eastAsiaTheme="minorHAnsi"/>
          <w:bCs/>
          <w:lang w:eastAsia="en-US"/>
        </w:rPr>
        <w:t>е</w:t>
      </w:r>
      <w:r w:rsidR="00E7588F" w:rsidRPr="00E7588F">
        <w:rPr>
          <w:rFonts w:eastAsiaTheme="minorHAnsi"/>
          <w:bCs/>
          <w:lang w:eastAsia="en-US"/>
        </w:rPr>
        <w:t xml:space="preserve"> предусмотрено увеличение ассигнований на реализацию ВЦП </w:t>
      </w:r>
      <w:r w:rsidR="00E7588F" w:rsidRPr="008643DB">
        <w:t>«Развитие мировой юстиции»</w:t>
      </w:r>
      <w:r w:rsidR="00E7588F" w:rsidRPr="00E7588F">
        <w:t xml:space="preserve"> в 2018 году до 53 974,0 тыс. руб., что составляет 45,9% от объёмов финансирования, первоначально предусмотренных программой.</w:t>
      </w:r>
    </w:p>
    <w:p w:rsidR="00D22D9D" w:rsidRDefault="00D22D9D" w:rsidP="00E7588F">
      <w:pPr>
        <w:autoSpaceDE w:val="0"/>
        <w:autoSpaceDN w:val="0"/>
        <w:adjustRightInd w:val="0"/>
        <w:ind w:firstLine="709"/>
        <w:jc w:val="both"/>
        <w:outlineLvl w:val="0"/>
      </w:pPr>
    </w:p>
    <w:p w:rsidR="00D22D9D" w:rsidRDefault="00D22D9D" w:rsidP="00D22D9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B363BF">
        <w:rPr>
          <w:rFonts w:eastAsiaTheme="minorHAnsi"/>
          <w:b/>
          <w:lang w:eastAsia="en-US"/>
        </w:rPr>
        <w:t>Выводы:</w:t>
      </w:r>
    </w:p>
    <w:p w:rsidR="00D22D9D" w:rsidRPr="00D4208F" w:rsidRDefault="00D22D9D" w:rsidP="00D22D9D">
      <w:pPr>
        <w:autoSpaceDE w:val="0"/>
        <w:autoSpaceDN w:val="0"/>
        <w:adjustRightInd w:val="0"/>
        <w:ind w:firstLine="709"/>
        <w:jc w:val="both"/>
        <w:outlineLvl w:val="0"/>
      </w:pPr>
      <w:r w:rsidRPr="00D4208F">
        <w:t xml:space="preserve">1. </w:t>
      </w:r>
      <w:r w:rsidRPr="00D4208F">
        <w:tab/>
        <w:t>В Волгоградской области деятельность мировых судей осуществляется в пределах 4</w:t>
      </w:r>
      <w:r w:rsidR="001A7DF3">
        <w:t>2</w:t>
      </w:r>
      <w:r w:rsidRPr="00D4208F">
        <w:t xml:space="preserve"> судебных районов на 145 судебных участках. В 13 районах по 1 судебному участку. В среднем по области на один судебный участок приходится 17,5 тыс. чел. населения, что является наименьшим показателем среди 6 регионов, подвергнутых сравнению. </w:t>
      </w:r>
    </w:p>
    <w:p w:rsidR="00D22D9D" w:rsidRPr="00D4208F" w:rsidRDefault="00D22D9D" w:rsidP="00D22D9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D4208F">
        <w:rPr>
          <w:rFonts w:eastAsiaTheme="minorEastAsia"/>
        </w:rPr>
        <w:t xml:space="preserve">В 6 судебных районах, включающих несколько судебных участков, показатель численности населения на один участок меньше минимальной границы, установленной п. 4 ст. 4 Закона № 188-ФЗ (15 тыс. чел.), - 11,8-14,9 тыс. человек. В 2 районах показатель </w:t>
      </w:r>
      <w:r w:rsidRPr="00D4208F">
        <w:rPr>
          <w:rFonts w:eastAsiaTheme="minorEastAsia"/>
        </w:rPr>
        <w:lastRenderedPageBreak/>
        <w:t>численности населения на судебный участок превышает верхнюю границу, установленную п. 4 ст. 4 Закона № 188-ФЗ (23 тыс. чел.), - 23,6 - 25,8 тыс. человек. Привести показатель численности населения на один участок в строгое соответствие с Законом № 188-ФЗ (15-23 тыс. чел.) путём увеличения (уменьшения) количества участков в судебном районе в отдельных случаях не представляется возможным - в 4 судебных районах показатель будет отклонятся от пороговых значений в противоположном направлении, что свидетельствует о возможной необходимости усовершенствования Закона № 188-ФЗ путем наделения субъектов РФ правом создания судебных участков с отклонением от пороговых значений численности населения</w:t>
      </w:r>
      <w:r w:rsidR="00955FBF">
        <w:rPr>
          <w:rFonts w:eastAsiaTheme="minorEastAsia"/>
        </w:rPr>
        <w:t>,</w:t>
      </w:r>
      <w:r w:rsidRPr="00D4208F">
        <w:rPr>
          <w:rFonts w:eastAsiaTheme="minorEastAsia"/>
        </w:rPr>
        <w:t xml:space="preserve"> исходя, например, из показателей нагрузки (количества дел) на мировых судей.</w:t>
      </w:r>
    </w:p>
    <w:p w:rsidR="00D22D9D" w:rsidRPr="00D4208F" w:rsidRDefault="00D22D9D" w:rsidP="00D22D9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D4208F">
        <w:rPr>
          <w:rFonts w:eastAsiaTheme="minorEastAsia"/>
        </w:rPr>
        <w:t xml:space="preserve">2. </w:t>
      </w:r>
      <w:r w:rsidRPr="00D4208F">
        <w:rPr>
          <w:rFonts w:eastAsiaTheme="minorEastAsia"/>
        </w:rPr>
        <w:tab/>
        <w:t>С 2012 года по 2017 год количество оконченных мировыми судьями Волгоградской области дел возросло почти в 1,5 раза – с 285,7 до 426,2 тыс. дел в год. Средний показатель нагрузки на один участок в Волгоградской области по сравнению с другими регионами находится на высоком уровне и незначительно уступает показателю только одного из 5 регионов, подвергнутых сравнению.</w:t>
      </w:r>
    </w:p>
    <w:p w:rsidR="00D22D9D" w:rsidRPr="00D4208F" w:rsidRDefault="00D22D9D" w:rsidP="00D22D9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D4208F">
        <w:rPr>
          <w:rFonts w:eastAsiaTheme="minorEastAsia"/>
        </w:rPr>
        <w:t xml:space="preserve">2.1. </w:t>
      </w:r>
      <w:r w:rsidRPr="00D4208F">
        <w:rPr>
          <w:rFonts w:eastAsiaTheme="minorEastAsia"/>
        </w:rPr>
        <w:tab/>
        <w:t>В шестилетнем периоде при средней по области нагрузке 13,2 тыс. оконченных дел на участок разница в нагрузке на мировых судей достигает 4,1 раза – от 6,0 до 24,5 тыс. дел на участок. В целом на фоне роста общей нагрузки на мировых судей наблюдается увеличение диапазона дифференциации этой нагрузки – с 3,1 раза в 2012 году до 3,4 раз в 2017 году. Чрезмерно высокая нагрузка на мировых судей может негативно сказываться на качестве судопроизводства.</w:t>
      </w:r>
    </w:p>
    <w:p w:rsidR="00D22D9D" w:rsidRPr="00D4208F" w:rsidRDefault="00D22D9D" w:rsidP="00D22D9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D4208F">
        <w:rPr>
          <w:rFonts w:eastAsiaTheme="minorEastAsia"/>
        </w:rPr>
        <w:t xml:space="preserve">2.2. </w:t>
      </w:r>
      <w:r w:rsidRPr="00D4208F">
        <w:rPr>
          <w:rFonts w:eastAsiaTheme="minorEastAsia"/>
        </w:rPr>
        <w:tab/>
        <w:t>В условиях невысокого среднего значения показателя численности населения на судебный участок сокращение нагрузки на участках с наибольшим её уровнем возможно только путём перераспределения количества мировых судей между судебными районами.</w:t>
      </w:r>
    </w:p>
    <w:p w:rsidR="00D22D9D" w:rsidRPr="00D4208F" w:rsidRDefault="00D22D9D" w:rsidP="00D22D9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D4208F">
        <w:rPr>
          <w:rFonts w:eastAsiaTheme="minorEastAsia"/>
        </w:rPr>
        <w:t xml:space="preserve">Реализация модели перераспределения 9 должностей мировых судей между судебными районами приведёт к снижению и перераспределению нагрузки на мировых судей в г. Волгограде, которая будет оставаться выше </w:t>
      </w:r>
      <w:proofErr w:type="spellStart"/>
      <w:r w:rsidRPr="00D4208F">
        <w:rPr>
          <w:rFonts w:eastAsiaTheme="minorEastAsia"/>
        </w:rPr>
        <w:t>среднеобластного</w:t>
      </w:r>
      <w:proofErr w:type="spellEnd"/>
      <w:r w:rsidRPr="00D4208F">
        <w:rPr>
          <w:rFonts w:eastAsiaTheme="minorEastAsia"/>
        </w:rPr>
        <w:t xml:space="preserve"> показателя, но сократится амплитуда её колебаний. Во всех остальных судебных районах с уменьшенным количеством мировых судей нагрузка возрастает, но останется ниже </w:t>
      </w:r>
      <w:proofErr w:type="spellStart"/>
      <w:r w:rsidRPr="00D4208F">
        <w:rPr>
          <w:rFonts w:eastAsiaTheme="minorEastAsia"/>
        </w:rPr>
        <w:t>среднеобластного</w:t>
      </w:r>
      <w:proofErr w:type="spellEnd"/>
      <w:r w:rsidRPr="00D4208F">
        <w:rPr>
          <w:rFonts w:eastAsiaTheme="minorEastAsia"/>
        </w:rPr>
        <w:t xml:space="preserve"> значения.</w:t>
      </w:r>
    </w:p>
    <w:p w:rsidR="00D22D9D" w:rsidRPr="00D4208F" w:rsidRDefault="00D22D9D" w:rsidP="00D22D9D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D4208F">
        <w:rPr>
          <w:rFonts w:eastAsiaTheme="minorEastAsia"/>
        </w:rPr>
        <w:t>Деятельность мировых судей Волгоградской области обеспечивают 435 штатных единиц аппаратов мировых судей и 265 штатных единиц обеспечивающих работников (без учёта сотрудников аппарата управления Комитета).</w:t>
      </w:r>
    </w:p>
    <w:p w:rsidR="00D22D9D" w:rsidRPr="00D4208F" w:rsidRDefault="00D22D9D" w:rsidP="00D22D9D">
      <w:pPr>
        <w:pStyle w:val="a4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D4208F">
        <w:rPr>
          <w:rFonts w:eastAsiaTheme="minorEastAsia"/>
        </w:rPr>
        <w:t>Кадровая ситуация на судебных участках характеризуется высоким коэффициентом текучести кадров, что негативно сказывается на качестве обеспечения работы мировых судей. При общепринятом допустимом значении коэффициента текучести кадров 15% значение этого показателя по должностям специалистов судебных участков в 2017 году составило 49 процентов. Наибольшая доля уволившихся специалистов приходится на должности секретарей судебных участков (текучесть 72%).</w:t>
      </w:r>
    </w:p>
    <w:p w:rsidR="00D22D9D" w:rsidRPr="00D4208F" w:rsidRDefault="00D22D9D" w:rsidP="00D22D9D">
      <w:pPr>
        <w:pStyle w:val="a4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</w:rPr>
      </w:pPr>
      <w:r w:rsidRPr="00D4208F">
        <w:rPr>
          <w:rFonts w:eastAsiaTheme="minorEastAsia"/>
        </w:rPr>
        <w:t>Причина сложившейся ситуации – несоответствие уровня оплаты труда нагрузке. Фактический размер оплаты труда специалистов судебных участков складыва</w:t>
      </w:r>
      <w:r w:rsidR="00211CCE">
        <w:rPr>
          <w:rFonts w:eastAsiaTheme="minorEastAsia"/>
        </w:rPr>
        <w:t>ет</w:t>
      </w:r>
      <w:r w:rsidRPr="00D4208F">
        <w:rPr>
          <w:rFonts w:eastAsiaTheme="minorEastAsia"/>
        </w:rPr>
        <w:t>ся в размере от 8,2 до 24,3 тыс. руб., что меньше среднемесячной номинальной начисленной заработной платы работников организаций по Волгоградской области за 2017 год (</w:t>
      </w:r>
      <w:r w:rsidRPr="00D4208F">
        <w:rPr>
          <w:rFonts w:eastAsiaTheme="minorEastAsia"/>
          <w:bCs/>
        </w:rPr>
        <w:t>27,9 тыс. руб.) в 3,4 – 1,1 раза.</w:t>
      </w:r>
    </w:p>
    <w:p w:rsidR="00D22D9D" w:rsidRPr="00D4208F" w:rsidRDefault="00D22D9D" w:rsidP="00D22D9D">
      <w:pPr>
        <w:pStyle w:val="a4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D4208F">
        <w:rPr>
          <w:rFonts w:eastAsiaTheme="minorEastAsia"/>
        </w:rPr>
        <w:t>Фонд оплаты труда Комитета не обеспечен бюджетными ассигнованиями в объёме, установленном ст. 3 Закона Волгоградской области от 10.11.2005 № 1114-ОД «О денежном содержании государственных гражданских служащих Волгоградской области», положениями других нормативных правовых актов Волгоградской области. В 2017 году объём начисленной оплаты труда работникам судебных участков составил 151 767,9 тыс. руб., что на 41 442,7 тыс. руб. (21,4%) меньше объёма фонда, определённого законом и иными нормативными правовыми актами. Необеспеченность фонда оплаты труда Комитета финансированием носит постоянный характер. За 6 лет (2012-2017 годы) расходы по оплате труда с начислениями не обеспечены на 296 216,8 тыс. руб.,</w:t>
      </w:r>
      <w:r w:rsidRPr="00D4208F">
        <w:t xml:space="preserve"> или на 17,5 % от </w:t>
      </w:r>
      <w:proofErr w:type="spellStart"/>
      <w:r w:rsidRPr="00D4208F">
        <w:t>положенности</w:t>
      </w:r>
      <w:proofErr w:type="spellEnd"/>
      <w:r w:rsidRPr="00D4208F">
        <w:t>.</w:t>
      </w:r>
    </w:p>
    <w:p w:rsidR="00D22D9D" w:rsidRPr="00D4208F" w:rsidRDefault="00D22D9D" w:rsidP="00D22D9D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D4208F">
        <w:rPr>
          <w:rFonts w:eastAsiaTheme="minorEastAsia"/>
        </w:rPr>
        <w:lastRenderedPageBreak/>
        <w:t xml:space="preserve">За 2012-2017 годы на финансовое обеспечение деятельности мировых судей Волгоградской области направлено 1 893 309,4 тыс. рублей. Недофинансирование системы мировой юстиции в Волгоградской области от объёмов потребности на текущие расходы (без учёта крупных одноразовых приобретений) составило 427 751,9 тыс. руб., или 18,4 процента. Почти 70% от необеспеченного объёма финансирования приходится на расходы по оплате труда с начислениями. </w:t>
      </w:r>
    </w:p>
    <w:p w:rsidR="00D22D9D" w:rsidRPr="00D4208F" w:rsidRDefault="00D22D9D" w:rsidP="00D22D9D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D4208F">
        <w:rPr>
          <w:rFonts w:eastAsiaTheme="minorEastAsia"/>
        </w:rPr>
        <w:t xml:space="preserve">Второе место по объему кассовых расходов после расходов на оплату труда с начислениями занимали расходы на оплату работ, услуг, ежегодный объём которых колебался в диапазоне от 66 629,0 до 83 170,2 тыс. руб., или от 21,4 до 26,4% от общего объема расходов по подразделу 0105 «Судебная система», </w:t>
      </w:r>
      <w:r w:rsidR="00211CCE">
        <w:rPr>
          <w:rFonts w:eastAsiaTheme="minorEastAsia"/>
        </w:rPr>
        <w:t>б</w:t>
      </w:r>
      <w:r w:rsidRPr="00D4208F">
        <w:rPr>
          <w:rFonts w:eastAsiaTheme="minorEastAsia"/>
        </w:rPr>
        <w:t>ольшая часть этих расходов (42</w:t>
      </w:r>
      <w:r w:rsidR="00955FBF">
        <w:rPr>
          <w:rFonts w:eastAsiaTheme="minorEastAsia"/>
        </w:rPr>
        <w:t> </w:t>
      </w:r>
      <w:r w:rsidRPr="00D4208F">
        <w:rPr>
          <w:rFonts w:eastAsiaTheme="minorEastAsia"/>
        </w:rPr>
        <w:t xml:space="preserve">407,2 тыс. руб.) приходится на оплату почтовых марок. </w:t>
      </w:r>
    </w:p>
    <w:p w:rsidR="00D22D9D" w:rsidRPr="00D07640" w:rsidRDefault="00D22D9D" w:rsidP="00D22D9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D07640">
        <w:rPr>
          <w:rFonts w:eastAsiaTheme="minorEastAsia"/>
        </w:rPr>
        <w:t xml:space="preserve">В условиях развития информационно-телекоммуникационных технологий существует возможность сокращения расходов на оплату судебных заказных почтовых отправлений. Уведомление о вручении является устаревшим инструментом подтверждения надлежащего извещения. Все принципы извещения и высылки судебных документов, необходимые для надлежащего судопроизводства, могут быть реализованы с помощью механизма отслеживания заказных отправлений по номеру почтового идентификатора. Отказ от уведомлений о вручении мог </w:t>
      </w:r>
      <w:r w:rsidR="00955FBF">
        <w:rPr>
          <w:rFonts w:eastAsiaTheme="minorEastAsia"/>
        </w:rPr>
        <w:t xml:space="preserve">бы </w:t>
      </w:r>
      <w:r w:rsidRPr="00D07640">
        <w:rPr>
          <w:rFonts w:eastAsiaTheme="minorEastAsia"/>
        </w:rPr>
        <w:t>привести к экономии в 2017 году до 14 400,0 тыс. рублей.</w:t>
      </w:r>
    </w:p>
    <w:p w:rsidR="00D22D9D" w:rsidRPr="00D07640" w:rsidRDefault="00D22D9D" w:rsidP="00D22D9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D07640">
        <w:rPr>
          <w:rFonts w:eastAsiaTheme="minorEastAsia"/>
        </w:rPr>
        <w:t>Реализация предлагаемого новшества требует усовершенствования федерального законодательства.</w:t>
      </w:r>
    </w:p>
    <w:p w:rsidR="00D22D9D" w:rsidRDefault="00D22D9D" w:rsidP="00D22D9D">
      <w:pPr>
        <w:numPr>
          <w:ilvl w:val="0"/>
          <w:numId w:val="22"/>
        </w:numPr>
        <w:ind w:left="0" w:firstLine="709"/>
        <w:contextualSpacing/>
        <w:jc w:val="both"/>
      </w:pPr>
      <w:r>
        <w:t xml:space="preserve">По состоянию на конец 2017 года </w:t>
      </w:r>
      <w:r w:rsidRPr="00B61211">
        <w:t xml:space="preserve">145 судебных участков размещены в помещениях общей площадью </w:t>
      </w:r>
      <w:r w:rsidRPr="00400F34">
        <w:rPr>
          <w:szCs w:val="22"/>
        </w:rPr>
        <w:t>15 593,6 кв.м</w:t>
      </w:r>
      <w:r w:rsidRPr="00173D68">
        <w:rPr>
          <w:szCs w:val="22"/>
        </w:rPr>
        <w:t xml:space="preserve">. </w:t>
      </w:r>
      <w:r w:rsidRPr="00173D68">
        <w:rPr>
          <w:rFonts w:eastAsiaTheme="minorEastAsia"/>
        </w:rPr>
        <w:t>федеральной</w:t>
      </w:r>
      <w:r w:rsidRPr="00400F34">
        <w:rPr>
          <w:rFonts w:eastAsiaTheme="minorEastAsia"/>
        </w:rPr>
        <w:t>, регио</w:t>
      </w:r>
      <w:r>
        <w:rPr>
          <w:rFonts w:eastAsiaTheme="minorEastAsia"/>
        </w:rPr>
        <w:t>нальной</w:t>
      </w:r>
      <w:r w:rsidRPr="00400F34">
        <w:rPr>
          <w:rFonts w:eastAsiaTheme="minorEastAsia"/>
        </w:rPr>
        <w:t>, муниципальн</w:t>
      </w:r>
      <w:r>
        <w:rPr>
          <w:rFonts w:eastAsiaTheme="minorEastAsia"/>
        </w:rPr>
        <w:t>ой и частной</w:t>
      </w:r>
      <w:r w:rsidRPr="00400F34">
        <w:rPr>
          <w:rFonts w:eastAsiaTheme="minorEastAsia"/>
        </w:rPr>
        <w:t xml:space="preserve"> </w:t>
      </w:r>
      <w:r>
        <w:rPr>
          <w:rFonts w:eastAsiaTheme="minorEastAsia"/>
        </w:rPr>
        <w:t>собственности,</w:t>
      </w:r>
      <w:r w:rsidRPr="00173D68">
        <w:t xml:space="preserve"> </w:t>
      </w:r>
      <w:r w:rsidRPr="00B61211">
        <w:t>расположенных по 46 адресам на территории Волгоградской области</w:t>
      </w:r>
      <w:r>
        <w:t>.</w:t>
      </w:r>
    </w:p>
    <w:p w:rsidR="00D22D9D" w:rsidRDefault="00D22D9D" w:rsidP="00D22D9D">
      <w:pPr>
        <w:ind w:firstLine="709"/>
        <w:contextualSpacing/>
        <w:jc w:val="both"/>
      </w:pPr>
      <w:r>
        <w:t xml:space="preserve">6.1. </w:t>
      </w:r>
      <w:r>
        <w:tab/>
        <w:t>В нарушение ст.131 ГК РФ Комитетом не зарегистрированы:</w:t>
      </w:r>
    </w:p>
    <w:p w:rsidR="00D22D9D" w:rsidRDefault="00D22D9D" w:rsidP="00D22D9D">
      <w:pPr>
        <w:ind w:firstLine="709"/>
        <w:contextualSpacing/>
        <w:jc w:val="both"/>
      </w:pPr>
      <w:r>
        <w:t>-права постоянного (бессрочного) пользования земельными участками, на которых расположены здание и гараж в г. Камышин, находящиеся в собственности Волгоградской области и полученные Комитетом в 2007 году;</w:t>
      </w:r>
    </w:p>
    <w:p w:rsidR="00D22D9D" w:rsidRDefault="00D22D9D" w:rsidP="00D22D9D">
      <w:pPr>
        <w:ind w:firstLine="709"/>
        <w:contextualSpacing/>
        <w:jc w:val="both"/>
      </w:pPr>
      <w:r>
        <w:t>-право оперативного управления на часть административного здания в г. Серафимович, полученную Комитетом в 2010 году.</w:t>
      </w:r>
    </w:p>
    <w:p w:rsidR="00D22D9D" w:rsidRPr="00B61211" w:rsidRDefault="00D22D9D" w:rsidP="00D22D9D">
      <w:pPr>
        <w:pStyle w:val="a4"/>
        <w:numPr>
          <w:ilvl w:val="1"/>
          <w:numId w:val="23"/>
        </w:numPr>
        <w:ind w:left="0" w:firstLine="709"/>
        <w:jc w:val="both"/>
      </w:pPr>
      <w:r w:rsidRPr="00B61211">
        <w:t>При нормативной площади на 1 участок не менее 166 кв. м. только 8 помещений соответствуют нормам площади, незначительное отклонение от нормы (до 16%) имеют 10 помещений. Площадь значительно меньше нормы имеют помещения, в которых расположены 129, или 88 % судебных участков.</w:t>
      </w:r>
    </w:p>
    <w:p w:rsidR="00D22D9D" w:rsidRPr="00B61211" w:rsidRDefault="00D22D9D" w:rsidP="00D22D9D">
      <w:pPr>
        <w:pStyle w:val="a4"/>
        <w:numPr>
          <w:ilvl w:val="1"/>
          <w:numId w:val="23"/>
        </w:numPr>
        <w:ind w:left="0" w:firstLine="709"/>
        <w:jc w:val="both"/>
      </w:pPr>
      <w:r w:rsidRPr="00173D68">
        <w:rPr>
          <w:color w:val="000000" w:themeColor="text1"/>
        </w:rPr>
        <w:t>В помещениях судебных участков оборудовано 69 залов судебных заседаний, что составляет 48% от нормы.</w:t>
      </w:r>
      <w:r w:rsidRPr="00B61211">
        <w:t xml:space="preserve"> В </w:t>
      </w:r>
      <w:r w:rsidRPr="00173D68">
        <w:rPr>
          <w:szCs w:val="22"/>
        </w:rPr>
        <w:t xml:space="preserve">7 из 46 помещений (26 из 145 </w:t>
      </w:r>
      <w:r>
        <w:rPr>
          <w:szCs w:val="22"/>
        </w:rPr>
        <w:t>участков</w:t>
      </w:r>
      <w:r w:rsidRPr="00173D68">
        <w:rPr>
          <w:szCs w:val="22"/>
        </w:rPr>
        <w:t>, или 17,9%) в той или иной степени имеется конвойное помещение</w:t>
      </w:r>
      <w:r w:rsidRPr="00B61211">
        <w:t>.</w:t>
      </w:r>
    </w:p>
    <w:p w:rsidR="00D22D9D" w:rsidRPr="00B61211" w:rsidRDefault="00D22D9D" w:rsidP="00D22D9D">
      <w:pPr>
        <w:ind w:firstLine="709"/>
        <w:jc w:val="both"/>
      </w:pPr>
      <w:r w:rsidRPr="00B61211">
        <w:t>При наличии положительного мнения судейского сообщества при совместном расположении судебных участков нормы по обеспечению каждого участка залом заседаний и конвойным помещением могут быть пересмотрены.</w:t>
      </w:r>
    </w:p>
    <w:p w:rsidR="00D22D9D" w:rsidRDefault="00D22D9D" w:rsidP="00D22D9D">
      <w:pPr>
        <w:ind w:firstLine="709"/>
        <w:jc w:val="both"/>
      </w:pPr>
      <w:r>
        <w:t>7</w:t>
      </w:r>
      <w:r w:rsidRPr="00B61211">
        <w:t xml:space="preserve">. </w:t>
      </w:r>
      <w:r w:rsidRPr="00B61211">
        <w:tab/>
      </w:r>
      <w:r>
        <w:t xml:space="preserve">Обеспеченность мировых судей и работников аппаратов мировых судей по состоянию на конец 2017 года характеризуется следующими </w:t>
      </w:r>
      <w:r w:rsidR="00211CCE">
        <w:t>показателями</w:t>
      </w:r>
      <w:r>
        <w:t>:</w:t>
      </w:r>
    </w:p>
    <w:p w:rsidR="00D22D9D" w:rsidRDefault="00D22D9D" w:rsidP="00D22D9D">
      <w:pPr>
        <w:ind w:firstLine="709"/>
        <w:jc w:val="both"/>
      </w:pPr>
      <w:r>
        <w:t xml:space="preserve">7.1. </w:t>
      </w:r>
      <w:r>
        <w:tab/>
      </w:r>
      <w:r w:rsidRPr="00B61211">
        <w:t xml:space="preserve">Судебные участки обеспечены мебелью в соответствии с минимальными нормами или сверх них только по 4 из 15 наименований, а с учетом неудовлетворительного состояния – по 1 из 15 наименований. </w:t>
      </w:r>
    </w:p>
    <w:p w:rsidR="00D22D9D" w:rsidRPr="00B61211" w:rsidRDefault="00D22D9D" w:rsidP="00D22D9D">
      <w:pPr>
        <w:ind w:firstLine="709"/>
        <w:jc w:val="both"/>
      </w:pPr>
      <w:r>
        <w:t>7.2.</w:t>
      </w:r>
      <w:r>
        <w:tab/>
      </w:r>
      <w:r w:rsidRPr="00B61211">
        <w:t>Обеспеченность судебных участков техникой меньше минимальн</w:t>
      </w:r>
      <w:r>
        <w:t>ых</w:t>
      </w:r>
      <w:r w:rsidRPr="00B61211">
        <w:t xml:space="preserve"> норм по всем наименованиям. </w:t>
      </w:r>
    </w:p>
    <w:p w:rsidR="00D22D9D" w:rsidRPr="00B61211" w:rsidRDefault="00D22D9D" w:rsidP="00D22D9D">
      <w:pPr>
        <w:ind w:firstLine="709"/>
        <w:jc w:val="both"/>
      </w:pPr>
      <w:r>
        <w:t>7.3.</w:t>
      </w:r>
      <w:r>
        <w:tab/>
      </w:r>
      <w:r w:rsidRPr="00B61211">
        <w:t>Установленные нормы не предполагают обеспечение мебелью и техникой обеспечивающих работников судебных участков, что искажает реальные показатели, характеризующие оснащённость судебных участков при наличии мебели и техники для этих специалистов.</w:t>
      </w:r>
    </w:p>
    <w:p w:rsidR="00D22D9D" w:rsidRPr="00B61211" w:rsidRDefault="00D22D9D" w:rsidP="00D22D9D">
      <w:pPr>
        <w:ind w:firstLine="709"/>
        <w:jc w:val="both"/>
        <w:rPr>
          <w:szCs w:val="22"/>
        </w:rPr>
      </w:pPr>
      <w:r>
        <w:t>7</w:t>
      </w:r>
      <w:r w:rsidRPr="00B61211">
        <w:t>.</w:t>
      </w:r>
      <w:r>
        <w:t>4.</w:t>
      </w:r>
      <w:r w:rsidRPr="00B61211">
        <w:t xml:space="preserve"> </w:t>
      </w:r>
      <w:r w:rsidRPr="00B61211">
        <w:tab/>
        <w:t xml:space="preserve">Информация о полном обеспечении мировых судей Волгоградской области мантиями не подтверждена данными бюджетного учёта Комитета. Информация о </w:t>
      </w:r>
      <w:r w:rsidRPr="00B61211">
        <w:rPr>
          <w:szCs w:val="22"/>
        </w:rPr>
        <w:t xml:space="preserve">96 </w:t>
      </w:r>
      <w:r w:rsidRPr="00B61211">
        <w:rPr>
          <w:szCs w:val="22"/>
        </w:rPr>
        <w:lastRenderedPageBreak/>
        <w:t>мантиях, выданных судьям до декабря 2015 года Управлением Судебного департамента в Волгоградской области, в бюджетном учёте Комитета не отражена, что не соответствует положениям п. 1 ст. 264.1 БК РФ, ст. 1, 5, 6 Закона № 402-ФЗ и не позволяет подтвердить полную обеспеченность мировых судей мантиями.</w:t>
      </w:r>
    </w:p>
    <w:p w:rsidR="00D22D9D" w:rsidRPr="00B61211" w:rsidRDefault="00D22D9D" w:rsidP="00D22D9D">
      <w:pPr>
        <w:ind w:firstLine="709"/>
        <w:jc w:val="both"/>
      </w:pPr>
      <w:r>
        <w:t>7.5.</w:t>
      </w:r>
      <w:r w:rsidRPr="00B61211">
        <w:t xml:space="preserve"> </w:t>
      </w:r>
      <w:r w:rsidRPr="00B61211">
        <w:tab/>
        <w:t>Обеспеченность судебных участков канцтоварами в 2017 году (кроме бумаги) составила 21% - 935,4 тыс. руб., или по 6,5 тыс. руб. на участок, при оценочной стоимости нормативного объёма канцтоваров 4 451 тыс. рублей.</w:t>
      </w:r>
    </w:p>
    <w:p w:rsidR="00D22D9D" w:rsidRPr="00B61211" w:rsidRDefault="00D22D9D" w:rsidP="00D22D9D">
      <w:pPr>
        <w:ind w:firstLine="709"/>
        <w:jc w:val="both"/>
      </w:pPr>
      <w:r>
        <w:t xml:space="preserve">7.6. </w:t>
      </w:r>
      <w:r>
        <w:tab/>
      </w:r>
      <w:r w:rsidRPr="00B61211">
        <w:t>Минимальная потребность судебных участков в бумаге обеспечена - 13650 пачек при минимальн</w:t>
      </w:r>
      <w:r w:rsidR="00955FBF">
        <w:t>ой потребности 13 398 пачек. Но</w:t>
      </w:r>
      <w:r w:rsidRPr="00B61211">
        <w:t xml:space="preserve"> при обеспечении судебных участков бумагой</w:t>
      </w:r>
      <w:r w:rsidR="00211CCE">
        <w:t>,</w:t>
      </w:r>
      <w:r w:rsidRPr="00B61211">
        <w:t xml:space="preserve"> не в полной мере учитывается реальная потребность в ней исходя из объёма работы участков, что влечёт недостаток бумаги на одних участках и избыток на других.</w:t>
      </w:r>
    </w:p>
    <w:p w:rsidR="00D22D9D" w:rsidRDefault="00D22D9D" w:rsidP="00D22D9D">
      <w:pPr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Calibri"/>
          <w:lang w:eastAsia="en-US"/>
        </w:rPr>
        <w:t>7.7</w:t>
      </w:r>
      <w:r w:rsidRPr="0023358A">
        <w:t>.</w:t>
      </w:r>
      <w:r>
        <w:t xml:space="preserve"> </w:t>
      </w:r>
      <w:r>
        <w:tab/>
        <w:t>Обязательная и</w:t>
      </w:r>
      <w:r w:rsidRPr="0023358A">
        <w:t>нвентаризация активов и обязательств</w:t>
      </w:r>
      <w:r>
        <w:t xml:space="preserve"> Комитета, подлежащая проведению</w:t>
      </w:r>
      <w:r w:rsidRPr="0023358A">
        <w:t xml:space="preserve"> в целях составления годовой бюджетной отчетности</w:t>
      </w:r>
      <w:r>
        <w:t xml:space="preserve"> за 2017 год, оформлена, но фактически</w:t>
      </w:r>
      <w:r w:rsidRPr="0023358A">
        <w:rPr>
          <w:rFonts w:eastAsiaTheme="minorEastAsia"/>
        </w:rPr>
        <w:t xml:space="preserve"> не проводилась</w:t>
      </w:r>
      <w:r>
        <w:rPr>
          <w:rFonts w:eastAsiaTheme="minorEastAsia"/>
        </w:rPr>
        <w:t>. Виновные должностные лица</w:t>
      </w:r>
      <w:r w:rsidRPr="00A73F08">
        <w:t xml:space="preserve"> привлечены</w:t>
      </w:r>
      <w:r w:rsidRPr="0023358A">
        <w:rPr>
          <w:rFonts w:eastAsiaTheme="minorEastAsia"/>
        </w:rPr>
        <w:t xml:space="preserve"> к </w:t>
      </w:r>
      <w:r w:rsidRPr="00A73F08">
        <w:t>административной ответственности</w:t>
      </w:r>
      <w:r>
        <w:t>.</w:t>
      </w:r>
    </w:p>
    <w:p w:rsidR="00D22D9D" w:rsidRPr="00F0012D" w:rsidRDefault="00D22D9D" w:rsidP="00D22D9D">
      <w:pPr>
        <w:ind w:firstLine="709"/>
        <w:jc w:val="both"/>
        <w:rPr>
          <w:rFonts w:eastAsia="Calibri"/>
          <w:lang w:eastAsia="en-US"/>
        </w:rPr>
      </w:pPr>
      <w:r w:rsidRPr="00F0012D">
        <w:rPr>
          <w:rFonts w:eastAsia="Calibri"/>
          <w:lang w:eastAsia="en-US"/>
        </w:rPr>
        <w:t>8.</w:t>
      </w:r>
      <w:r w:rsidRPr="00F0012D">
        <w:rPr>
          <w:rFonts w:eastAsia="Calibri"/>
          <w:lang w:eastAsia="en-US"/>
        </w:rPr>
        <w:tab/>
        <w:t>В 2017 году в Волгоградской области заострено внимание на необходимости повышения уровня обеспечения деятельности мировых судей – издан специальный нормативный правовой акт Губернатора Волгоградской области, высшим исполнительным органом государственной власти области утверждены нормы материально-технического обеспечения мирового судьи и работников аппарата мирового судьи в Волгоградской области. Разработана и утверждена ВЦП «Развитие мировой юстиции», целью которой определено улучшение организационного обеспечения деятельности мировых судей Волгоградской области. В 2017-2019 годах программой предусмотрена реализация 17 мероприятий на общую сумму 209 886,7 тыс. рублей.</w:t>
      </w:r>
    </w:p>
    <w:p w:rsidR="00D22D9D" w:rsidRPr="00D22D9D" w:rsidRDefault="00D22D9D" w:rsidP="00D22D9D">
      <w:pPr>
        <w:ind w:firstLine="709"/>
        <w:jc w:val="both"/>
        <w:rPr>
          <w:rFonts w:eastAsia="Calibri"/>
          <w:lang w:eastAsia="en-US"/>
        </w:rPr>
      </w:pPr>
      <w:r w:rsidRPr="00F0012D">
        <w:rPr>
          <w:rFonts w:eastAsia="Calibri"/>
          <w:lang w:eastAsia="en-US"/>
        </w:rPr>
        <w:t>Однако по итогам 2017 года</w:t>
      </w:r>
      <w:r w:rsidR="00211CCE">
        <w:rPr>
          <w:rFonts w:eastAsia="Calibri"/>
          <w:lang w:eastAsia="en-US"/>
        </w:rPr>
        <w:t xml:space="preserve"> повышения уровня финансового и соответственно</w:t>
      </w:r>
      <w:r w:rsidRPr="00F0012D">
        <w:rPr>
          <w:rFonts w:eastAsia="Calibri"/>
          <w:lang w:eastAsia="en-US"/>
        </w:rPr>
        <w:t xml:space="preserve"> </w:t>
      </w:r>
      <w:r w:rsidRPr="00D22D9D">
        <w:rPr>
          <w:rFonts w:eastAsia="Calibri"/>
          <w:lang w:eastAsia="en-US"/>
        </w:rPr>
        <w:t xml:space="preserve">кадрового и материально-технического обеспечения деятельности мировых судей не </w:t>
      </w:r>
      <w:r w:rsidR="00955FBF">
        <w:rPr>
          <w:rFonts w:eastAsia="Calibri"/>
          <w:lang w:eastAsia="en-US"/>
        </w:rPr>
        <w:t>произошло</w:t>
      </w:r>
      <w:r w:rsidRPr="00D22D9D">
        <w:rPr>
          <w:rFonts w:eastAsia="Calibri"/>
          <w:lang w:eastAsia="en-US"/>
        </w:rPr>
        <w:t xml:space="preserve">. </w:t>
      </w:r>
    </w:p>
    <w:p w:rsidR="00D22D9D" w:rsidRPr="00D22D9D" w:rsidRDefault="00D22D9D" w:rsidP="00D22D9D">
      <w:pPr>
        <w:ind w:firstLine="709"/>
        <w:jc w:val="both"/>
        <w:rPr>
          <w:rFonts w:eastAsia="Calibri"/>
          <w:lang w:eastAsia="en-US"/>
        </w:rPr>
      </w:pPr>
      <w:r w:rsidRPr="00D22D9D">
        <w:rPr>
          <w:rFonts w:eastAsia="Calibri"/>
          <w:lang w:eastAsia="en-US"/>
        </w:rPr>
        <w:t>На 2018 год фонд оплаты труда с начислениями работников аппаратов мировых судей и обеспечивающих работников судебных участков также не обеспечен бюджетными ассигнованиями в объёме, установленном законодательством Волгоградской области, на 46</w:t>
      </w:r>
      <w:r w:rsidR="00955FBF">
        <w:rPr>
          <w:rFonts w:eastAsia="Calibri"/>
          <w:lang w:eastAsia="en-US"/>
        </w:rPr>
        <w:t> </w:t>
      </w:r>
      <w:r w:rsidRPr="00D22D9D">
        <w:rPr>
          <w:rFonts w:eastAsia="Calibri"/>
          <w:lang w:eastAsia="en-US"/>
        </w:rPr>
        <w:t>531,1 тыс. руб.</w:t>
      </w:r>
      <w:r w:rsidR="00955FBF">
        <w:rPr>
          <w:rFonts w:eastAsia="Calibri"/>
          <w:lang w:eastAsia="en-US"/>
        </w:rPr>
        <w:t>,</w:t>
      </w:r>
      <w:r w:rsidRPr="00D22D9D">
        <w:rPr>
          <w:rFonts w:eastAsia="Calibri"/>
          <w:lang w:eastAsia="en-US"/>
        </w:rPr>
        <w:t xml:space="preserve"> или на 17,7 процента. </w:t>
      </w:r>
    </w:p>
    <w:p w:rsidR="00D22D9D" w:rsidRPr="00F0012D" w:rsidRDefault="00D22D9D" w:rsidP="00D22D9D">
      <w:pPr>
        <w:ind w:firstLine="709"/>
        <w:jc w:val="both"/>
        <w:rPr>
          <w:rFonts w:eastAsia="Calibri"/>
          <w:lang w:eastAsia="en-US"/>
        </w:rPr>
      </w:pPr>
      <w:r w:rsidRPr="00D22D9D">
        <w:rPr>
          <w:rFonts w:eastAsia="Calibri"/>
          <w:lang w:eastAsia="en-US"/>
        </w:rPr>
        <w:t xml:space="preserve">Только к </w:t>
      </w:r>
      <w:r w:rsidR="00955FBF">
        <w:rPr>
          <w:rFonts w:eastAsia="Calibri"/>
          <w:lang w:eastAsia="en-US"/>
        </w:rPr>
        <w:t>се</w:t>
      </w:r>
      <w:r w:rsidRPr="00D22D9D">
        <w:rPr>
          <w:rFonts w:eastAsia="Calibri"/>
          <w:lang w:eastAsia="en-US"/>
        </w:rPr>
        <w:t>редине 2018 года предусмотрено</w:t>
      </w:r>
      <w:r w:rsidRPr="00F0012D">
        <w:rPr>
          <w:rFonts w:eastAsia="Calibri"/>
          <w:lang w:eastAsia="en-US"/>
        </w:rPr>
        <w:t xml:space="preserve"> увеличение ассигнований на реализацию ВЦП «Развитие мировой юстиции» в 2018 году до 53 974,0 тыс. руб., что составляет 45,9% от объёмов финансирования, первоначально предусмотренных программой на год.</w:t>
      </w:r>
    </w:p>
    <w:p w:rsidR="003861D0" w:rsidRDefault="003861D0" w:rsidP="00D8046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D22D9D" w:rsidRDefault="00D22D9D" w:rsidP="00D8046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По результатам </w:t>
      </w:r>
      <w:r w:rsidRPr="00B363BF">
        <w:rPr>
          <w:color w:val="000000"/>
        </w:rPr>
        <w:t xml:space="preserve">внешней проверки </w:t>
      </w:r>
      <w:r>
        <w:rPr>
          <w:color w:val="000000"/>
        </w:rPr>
        <w:t>Комитета</w:t>
      </w:r>
      <w:r w:rsidRPr="004B6B15">
        <w:rPr>
          <w:color w:val="000000"/>
        </w:rPr>
        <w:t xml:space="preserve"> за 2017 год</w:t>
      </w:r>
      <w:r>
        <w:rPr>
          <w:color w:val="000000"/>
        </w:rPr>
        <w:t>:</w:t>
      </w:r>
    </w:p>
    <w:p w:rsidR="00D22D9D" w:rsidRPr="00C81A38" w:rsidRDefault="00D22D9D" w:rsidP="00D8046E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>Комитету направлены:</w:t>
      </w:r>
    </w:p>
    <w:p w:rsidR="00D22D9D" w:rsidRPr="00C81A38" w:rsidRDefault="00D22D9D" w:rsidP="00D8046E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>-</w:t>
      </w:r>
      <w:r w:rsidRPr="00C81A38">
        <w:rPr>
          <w:color w:val="000000"/>
        </w:rPr>
        <w:t xml:space="preserve">представление КСП от 12.04.2018 № 01КСП-01-09/17 </w:t>
      </w:r>
      <w:r w:rsidRPr="00C81A38">
        <w:rPr>
          <w:rFonts w:eastAsiaTheme="minorHAnsi"/>
          <w:lang w:eastAsia="en-US"/>
        </w:rPr>
        <w:t>для рассмотрения и принятия мер по устранению выявленных нарушений и недостатков</w:t>
      </w:r>
      <w:r>
        <w:rPr>
          <w:rFonts w:eastAsiaTheme="minorHAnsi"/>
          <w:lang w:eastAsia="en-US"/>
        </w:rPr>
        <w:t>;</w:t>
      </w:r>
    </w:p>
    <w:p w:rsidR="00D22D9D" w:rsidRDefault="00D22D9D" w:rsidP="00D8046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-письмо КСП от 12.04.2018 № 01КСП-02-04/492 о целесообразности усовершенствования нормативных правовых актов.</w:t>
      </w:r>
    </w:p>
    <w:p w:rsidR="00D22D9D" w:rsidRDefault="00D22D9D" w:rsidP="00D8046E">
      <w:pPr>
        <w:ind w:firstLine="709"/>
        <w:jc w:val="both"/>
        <w:rPr>
          <w:rFonts w:eastAsiaTheme="minorEastAsia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 xml:space="preserve">Губернатору Волгоградской области направлено письмо КСП от 12.04.2018 № 01КСП-02-04/493 с предложением поручить </w:t>
      </w:r>
      <w:r w:rsidRPr="00FB2FEF">
        <w:rPr>
          <w:rFonts w:eastAsiaTheme="minorEastAsia"/>
        </w:rPr>
        <w:t xml:space="preserve">обеспечить планирование и утверждение </w:t>
      </w:r>
      <w:r>
        <w:rPr>
          <w:rFonts w:eastAsiaTheme="minorEastAsia"/>
        </w:rPr>
        <w:t>Комитету</w:t>
      </w:r>
      <w:r w:rsidRPr="00FB2FEF">
        <w:rPr>
          <w:rFonts w:eastAsiaTheme="minorEastAsia"/>
        </w:rPr>
        <w:t xml:space="preserve"> бюджетны</w:t>
      </w:r>
      <w:r>
        <w:rPr>
          <w:rFonts w:eastAsiaTheme="minorEastAsia"/>
        </w:rPr>
        <w:t>х</w:t>
      </w:r>
      <w:r w:rsidRPr="00FB2FEF">
        <w:rPr>
          <w:rFonts w:eastAsiaTheme="minorEastAsia"/>
        </w:rPr>
        <w:t xml:space="preserve"> ассигновани</w:t>
      </w:r>
      <w:r>
        <w:rPr>
          <w:rFonts w:eastAsiaTheme="minorEastAsia"/>
        </w:rPr>
        <w:t>й</w:t>
      </w:r>
      <w:r w:rsidRPr="00FB2FEF">
        <w:rPr>
          <w:rFonts w:eastAsiaTheme="minorEastAsia"/>
        </w:rPr>
        <w:t xml:space="preserve"> в объёме, позволяющем</w:t>
      </w:r>
      <w:r>
        <w:rPr>
          <w:rFonts w:eastAsiaTheme="minorEastAsia"/>
        </w:rPr>
        <w:t xml:space="preserve"> надлежащим образом исполнять полномочия по обеспечению деятельности мировых судей Волгоградской области.</w:t>
      </w:r>
    </w:p>
    <w:p w:rsidR="00D22D9D" w:rsidRDefault="00D22D9D" w:rsidP="00D8046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EastAsia"/>
        </w:rPr>
        <w:t xml:space="preserve">3. </w:t>
      </w:r>
      <w:r>
        <w:rPr>
          <w:rFonts w:eastAsiaTheme="minorEastAsia"/>
        </w:rPr>
        <w:tab/>
        <w:t xml:space="preserve">В заключении КСП </w:t>
      </w:r>
      <w:r>
        <w:rPr>
          <w:color w:val="000000"/>
        </w:rPr>
        <w:t xml:space="preserve">от </w:t>
      </w:r>
      <w:r w:rsidR="00D8046E">
        <w:rPr>
          <w:color w:val="000000"/>
        </w:rPr>
        <w:t>23</w:t>
      </w:r>
      <w:r>
        <w:rPr>
          <w:color w:val="000000"/>
        </w:rPr>
        <w:t>.05.2018 № 01КСП-02</w:t>
      </w:r>
      <w:r w:rsidRPr="00D8046E">
        <w:rPr>
          <w:color w:val="000000"/>
        </w:rPr>
        <w:t>-0</w:t>
      </w:r>
      <w:r w:rsidR="00D8046E" w:rsidRPr="00D8046E">
        <w:rPr>
          <w:color w:val="000000"/>
        </w:rPr>
        <w:t>2</w:t>
      </w:r>
      <w:r w:rsidRPr="00D8046E">
        <w:rPr>
          <w:color w:val="000000"/>
        </w:rPr>
        <w:t>/</w:t>
      </w:r>
      <w:r w:rsidR="00D8046E" w:rsidRPr="00D8046E">
        <w:rPr>
          <w:color w:val="000000"/>
        </w:rPr>
        <w:t>65</w:t>
      </w:r>
      <w:r>
        <w:rPr>
          <w:color w:val="000000"/>
        </w:rPr>
        <w:t xml:space="preserve"> </w:t>
      </w:r>
      <w:r>
        <w:rPr>
          <w:rFonts w:eastAsiaTheme="minorEastAsia"/>
        </w:rPr>
        <w:t xml:space="preserve">на проект </w:t>
      </w:r>
      <w:r w:rsidR="00955FBF">
        <w:rPr>
          <w:rFonts w:eastAsiaTheme="minorEastAsia"/>
        </w:rPr>
        <w:t>з</w:t>
      </w:r>
      <w:r>
        <w:rPr>
          <w:rFonts w:eastAsiaTheme="minorEastAsia"/>
        </w:rPr>
        <w:t xml:space="preserve">акона Волгоградской области «О внесении изменений </w:t>
      </w:r>
      <w:r>
        <w:rPr>
          <w:rFonts w:eastAsiaTheme="minorHAnsi"/>
          <w:lang w:eastAsia="en-US"/>
        </w:rPr>
        <w:t xml:space="preserve">Закон Волгоградской области от 15.12.2017 </w:t>
      </w:r>
      <w:r w:rsidR="00D8046E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124-ОД «Об областном бюджете на 2018 год и на плановый период 2019 и 2020 годов» обращено внимание Волгоградской областной Думы на недостаточную финансовую обеспеченность мировых судей Волгоградской области.</w:t>
      </w:r>
    </w:p>
    <w:p w:rsidR="00D8046E" w:rsidRDefault="00D8046E" w:rsidP="00D22D9D">
      <w:pPr>
        <w:pStyle w:val="a4"/>
        <w:autoSpaceDE w:val="0"/>
        <w:autoSpaceDN w:val="0"/>
        <w:adjustRightInd w:val="0"/>
        <w:ind w:left="851"/>
        <w:jc w:val="both"/>
        <w:rPr>
          <w:rFonts w:eastAsiaTheme="minorHAnsi"/>
          <w:b/>
          <w:i/>
          <w:lang w:eastAsia="en-US"/>
        </w:rPr>
      </w:pPr>
    </w:p>
    <w:p w:rsidR="00D8046E" w:rsidRDefault="00D8046E" w:rsidP="00D22D9D">
      <w:pPr>
        <w:pStyle w:val="a4"/>
        <w:autoSpaceDE w:val="0"/>
        <w:autoSpaceDN w:val="0"/>
        <w:adjustRightInd w:val="0"/>
        <w:ind w:left="851"/>
        <w:jc w:val="both"/>
        <w:rPr>
          <w:rFonts w:eastAsiaTheme="minorHAnsi"/>
          <w:b/>
          <w:i/>
          <w:lang w:eastAsia="en-US"/>
        </w:rPr>
      </w:pPr>
    </w:p>
    <w:p w:rsidR="00D22D9D" w:rsidRPr="004262D1" w:rsidRDefault="00D22D9D" w:rsidP="004262D1">
      <w:pPr>
        <w:pStyle w:val="a4"/>
        <w:autoSpaceDE w:val="0"/>
        <w:autoSpaceDN w:val="0"/>
        <w:adjustRightInd w:val="0"/>
        <w:ind w:left="851"/>
        <w:jc w:val="both"/>
        <w:rPr>
          <w:rFonts w:eastAsiaTheme="minorHAnsi"/>
          <w:b/>
          <w:i/>
          <w:lang w:eastAsia="en-US"/>
        </w:rPr>
      </w:pPr>
      <w:r w:rsidRPr="00B967C4">
        <w:rPr>
          <w:rFonts w:eastAsiaTheme="minorHAnsi"/>
          <w:b/>
          <w:i/>
          <w:lang w:eastAsia="en-US"/>
        </w:rPr>
        <w:t xml:space="preserve">Аудитор </w:t>
      </w:r>
      <w:r w:rsidRPr="00B967C4">
        <w:rPr>
          <w:rFonts w:eastAsiaTheme="minorHAnsi"/>
          <w:b/>
          <w:i/>
          <w:lang w:eastAsia="en-US"/>
        </w:rPr>
        <w:tab/>
      </w:r>
      <w:r w:rsidRPr="00B967C4">
        <w:rPr>
          <w:rFonts w:eastAsiaTheme="minorHAnsi"/>
          <w:b/>
          <w:i/>
          <w:lang w:eastAsia="en-US"/>
        </w:rPr>
        <w:tab/>
      </w:r>
      <w:r w:rsidRPr="00B967C4">
        <w:rPr>
          <w:rFonts w:eastAsiaTheme="minorHAnsi"/>
          <w:b/>
          <w:i/>
          <w:lang w:eastAsia="en-US"/>
        </w:rPr>
        <w:tab/>
      </w:r>
      <w:r w:rsidRPr="00B967C4">
        <w:rPr>
          <w:rFonts w:eastAsiaTheme="minorHAnsi"/>
          <w:b/>
          <w:i/>
          <w:lang w:eastAsia="en-US"/>
        </w:rPr>
        <w:tab/>
      </w:r>
      <w:r w:rsidRPr="00B967C4">
        <w:rPr>
          <w:rFonts w:eastAsiaTheme="minorHAnsi"/>
          <w:b/>
          <w:i/>
          <w:lang w:eastAsia="en-US"/>
        </w:rPr>
        <w:tab/>
      </w:r>
      <w:r>
        <w:rPr>
          <w:rFonts w:eastAsiaTheme="minorHAnsi"/>
          <w:b/>
          <w:i/>
          <w:lang w:eastAsia="en-US"/>
        </w:rPr>
        <w:tab/>
      </w:r>
      <w:r w:rsidR="004262D1">
        <w:rPr>
          <w:rFonts w:eastAsiaTheme="minorHAnsi"/>
          <w:b/>
          <w:i/>
          <w:lang w:eastAsia="en-US"/>
        </w:rPr>
        <w:tab/>
      </w:r>
      <w:r w:rsidR="004262D1">
        <w:rPr>
          <w:rFonts w:eastAsiaTheme="minorHAnsi"/>
          <w:b/>
          <w:i/>
          <w:lang w:eastAsia="en-US"/>
        </w:rPr>
        <w:tab/>
        <w:t xml:space="preserve">Н.Л. </w:t>
      </w:r>
      <w:proofErr w:type="spellStart"/>
      <w:r w:rsidR="004262D1">
        <w:rPr>
          <w:rFonts w:eastAsiaTheme="minorHAnsi"/>
          <w:b/>
          <w:i/>
          <w:lang w:eastAsia="en-US"/>
        </w:rPr>
        <w:t>Ноздрюхина</w:t>
      </w:r>
      <w:proofErr w:type="spellEnd"/>
    </w:p>
    <w:sectPr w:rsidR="00D22D9D" w:rsidRPr="004262D1" w:rsidSect="007E1A95">
      <w:headerReference w:type="default" r:id="rId46"/>
      <w:pgSz w:w="11906" w:h="16838"/>
      <w:pgMar w:top="1560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84B" w:rsidRDefault="0085584B" w:rsidP="00964368">
      <w:r>
        <w:separator/>
      </w:r>
    </w:p>
  </w:endnote>
  <w:endnote w:type="continuationSeparator" w:id="0">
    <w:p w:rsidR="0085584B" w:rsidRDefault="0085584B" w:rsidP="00964368">
      <w:r>
        <w:continuationSeparator/>
      </w:r>
    </w:p>
  </w:endnote>
  <w:endnote w:type="continuationNotice" w:id="1">
    <w:p w:rsidR="0085584B" w:rsidRDefault="008558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84B" w:rsidRDefault="0085584B" w:rsidP="00964368">
      <w:r>
        <w:separator/>
      </w:r>
    </w:p>
  </w:footnote>
  <w:footnote w:type="continuationSeparator" w:id="0">
    <w:p w:rsidR="0085584B" w:rsidRDefault="0085584B" w:rsidP="00964368">
      <w:r>
        <w:continuationSeparator/>
      </w:r>
    </w:p>
  </w:footnote>
  <w:footnote w:type="continuationNotice" w:id="1">
    <w:p w:rsidR="0085584B" w:rsidRDefault="008558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0952865"/>
      <w:docPartObj>
        <w:docPartGallery w:val="Page Numbers (Top of Page)"/>
        <w:docPartUnique/>
      </w:docPartObj>
    </w:sdtPr>
    <w:sdtContent>
      <w:p w:rsidR="0085584B" w:rsidRDefault="00E05497">
        <w:pPr>
          <w:pStyle w:val="a7"/>
          <w:jc w:val="center"/>
        </w:pPr>
        <w:r>
          <w:fldChar w:fldCharType="begin"/>
        </w:r>
        <w:r w:rsidR="0085584B">
          <w:instrText xml:space="preserve"> PAGE   \* MERGEFORMAT </w:instrText>
        </w:r>
        <w:r>
          <w:fldChar w:fldCharType="separate"/>
        </w:r>
        <w:r w:rsidR="00E2403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67D"/>
    <w:multiLevelType w:val="hybridMultilevel"/>
    <w:tmpl w:val="F7146754"/>
    <w:lvl w:ilvl="0" w:tplc="1A184E1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D300ED"/>
    <w:multiLevelType w:val="hybridMultilevel"/>
    <w:tmpl w:val="C3E24942"/>
    <w:lvl w:ilvl="0" w:tplc="FD6CA4B2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123BA7"/>
    <w:multiLevelType w:val="multilevel"/>
    <w:tmpl w:val="C0DC4FE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8710B01"/>
    <w:multiLevelType w:val="hybridMultilevel"/>
    <w:tmpl w:val="9DEA872E"/>
    <w:lvl w:ilvl="0" w:tplc="50AC4E62">
      <w:start w:val="10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BD387A"/>
    <w:multiLevelType w:val="hybridMultilevel"/>
    <w:tmpl w:val="93025DE2"/>
    <w:lvl w:ilvl="0" w:tplc="15ACA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57636D"/>
    <w:multiLevelType w:val="hybridMultilevel"/>
    <w:tmpl w:val="0EE607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0D15E29"/>
    <w:multiLevelType w:val="multilevel"/>
    <w:tmpl w:val="ADEE2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8">
    <w:nsid w:val="17A972FE"/>
    <w:multiLevelType w:val="multilevel"/>
    <w:tmpl w:val="02D0674E"/>
    <w:lvl w:ilvl="0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9">
    <w:nsid w:val="1FE01D70"/>
    <w:multiLevelType w:val="multilevel"/>
    <w:tmpl w:val="F4C24D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0">
    <w:nsid w:val="20301325"/>
    <w:multiLevelType w:val="hybridMultilevel"/>
    <w:tmpl w:val="8CB6ACE6"/>
    <w:lvl w:ilvl="0" w:tplc="14F0B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622EC9"/>
    <w:multiLevelType w:val="hybridMultilevel"/>
    <w:tmpl w:val="0B889C28"/>
    <w:lvl w:ilvl="0" w:tplc="B55AF2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8732FE"/>
    <w:multiLevelType w:val="multilevel"/>
    <w:tmpl w:val="DE10C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3">
    <w:nsid w:val="33AC0AEF"/>
    <w:multiLevelType w:val="hybridMultilevel"/>
    <w:tmpl w:val="A8241362"/>
    <w:lvl w:ilvl="0" w:tplc="08F02C1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E020B5"/>
    <w:multiLevelType w:val="multilevel"/>
    <w:tmpl w:val="7076F37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5">
    <w:nsid w:val="4CB0480A"/>
    <w:multiLevelType w:val="multilevel"/>
    <w:tmpl w:val="E69ECCB4"/>
    <w:lvl w:ilvl="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6">
    <w:nsid w:val="53A52F32"/>
    <w:multiLevelType w:val="hybridMultilevel"/>
    <w:tmpl w:val="78365574"/>
    <w:lvl w:ilvl="0" w:tplc="29A859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DE27F0"/>
    <w:multiLevelType w:val="hybridMultilevel"/>
    <w:tmpl w:val="A8B0083E"/>
    <w:lvl w:ilvl="0" w:tplc="46C0C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AD6E0C"/>
    <w:multiLevelType w:val="multilevel"/>
    <w:tmpl w:val="ADEE2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6C3B704B"/>
    <w:multiLevelType w:val="multilevel"/>
    <w:tmpl w:val="633E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5411DF"/>
    <w:multiLevelType w:val="hybridMultilevel"/>
    <w:tmpl w:val="F82C320A"/>
    <w:lvl w:ilvl="0" w:tplc="4440D2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91B5E"/>
    <w:multiLevelType w:val="multilevel"/>
    <w:tmpl w:val="5870552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2">
    <w:nsid w:val="7B427510"/>
    <w:multiLevelType w:val="hybridMultilevel"/>
    <w:tmpl w:val="0B262476"/>
    <w:lvl w:ilvl="0" w:tplc="AD7CF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9"/>
  </w:num>
  <w:num w:numId="5">
    <w:abstractNumId w:val="18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19"/>
  </w:num>
  <w:num w:numId="11">
    <w:abstractNumId w:val="22"/>
  </w:num>
  <w:num w:numId="12">
    <w:abstractNumId w:val="16"/>
  </w:num>
  <w:num w:numId="13">
    <w:abstractNumId w:val="8"/>
  </w:num>
  <w:num w:numId="14">
    <w:abstractNumId w:val="13"/>
  </w:num>
  <w:num w:numId="15">
    <w:abstractNumId w:val="21"/>
  </w:num>
  <w:num w:numId="16">
    <w:abstractNumId w:val="3"/>
  </w:num>
  <w:num w:numId="17">
    <w:abstractNumId w:val="2"/>
  </w:num>
  <w:num w:numId="18">
    <w:abstractNumId w:val="20"/>
  </w:num>
  <w:num w:numId="19">
    <w:abstractNumId w:val="0"/>
  </w:num>
  <w:num w:numId="20">
    <w:abstractNumId w:val="1"/>
  </w:num>
  <w:num w:numId="21">
    <w:abstractNumId w:val="10"/>
  </w:num>
  <w:num w:numId="22">
    <w:abstractNumId w:val="15"/>
  </w:num>
  <w:num w:numId="23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E1553"/>
    <w:rsid w:val="00000F5A"/>
    <w:rsid w:val="00001C09"/>
    <w:rsid w:val="00003836"/>
    <w:rsid w:val="00007D16"/>
    <w:rsid w:val="0001016F"/>
    <w:rsid w:val="000102B4"/>
    <w:rsid w:val="00011056"/>
    <w:rsid w:val="00011132"/>
    <w:rsid w:val="00011919"/>
    <w:rsid w:val="00013BA2"/>
    <w:rsid w:val="00013D68"/>
    <w:rsid w:val="00013D6A"/>
    <w:rsid w:val="000159B6"/>
    <w:rsid w:val="00017095"/>
    <w:rsid w:val="00017761"/>
    <w:rsid w:val="00017A1E"/>
    <w:rsid w:val="00022338"/>
    <w:rsid w:val="0002246B"/>
    <w:rsid w:val="00022D75"/>
    <w:rsid w:val="00023242"/>
    <w:rsid w:val="00023A89"/>
    <w:rsid w:val="00024AAB"/>
    <w:rsid w:val="000251EE"/>
    <w:rsid w:val="000274C7"/>
    <w:rsid w:val="00027BC5"/>
    <w:rsid w:val="00030073"/>
    <w:rsid w:val="00031851"/>
    <w:rsid w:val="00031A70"/>
    <w:rsid w:val="000327E1"/>
    <w:rsid w:val="000346FA"/>
    <w:rsid w:val="000373E6"/>
    <w:rsid w:val="00041323"/>
    <w:rsid w:val="0004324E"/>
    <w:rsid w:val="00051C0F"/>
    <w:rsid w:val="00053044"/>
    <w:rsid w:val="00053780"/>
    <w:rsid w:val="00055C1D"/>
    <w:rsid w:val="00057626"/>
    <w:rsid w:val="000653A0"/>
    <w:rsid w:val="00065E47"/>
    <w:rsid w:val="000668CF"/>
    <w:rsid w:val="00070371"/>
    <w:rsid w:val="00071B7B"/>
    <w:rsid w:val="000728CF"/>
    <w:rsid w:val="00072E7F"/>
    <w:rsid w:val="0007584E"/>
    <w:rsid w:val="00075A23"/>
    <w:rsid w:val="0007676D"/>
    <w:rsid w:val="00080651"/>
    <w:rsid w:val="00081A1F"/>
    <w:rsid w:val="000820E7"/>
    <w:rsid w:val="000852B1"/>
    <w:rsid w:val="00086758"/>
    <w:rsid w:val="00087ABF"/>
    <w:rsid w:val="00087B44"/>
    <w:rsid w:val="00090FBD"/>
    <w:rsid w:val="0009547F"/>
    <w:rsid w:val="00095789"/>
    <w:rsid w:val="000A128F"/>
    <w:rsid w:val="000A1F54"/>
    <w:rsid w:val="000A2CE0"/>
    <w:rsid w:val="000A312A"/>
    <w:rsid w:val="000A43A0"/>
    <w:rsid w:val="000A4B98"/>
    <w:rsid w:val="000A68B6"/>
    <w:rsid w:val="000A7936"/>
    <w:rsid w:val="000B057E"/>
    <w:rsid w:val="000B0B3C"/>
    <w:rsid w:val="000B2243"/>
    <w:rsid w:val="000B2DA2"/>
    <w:rsid w:val="000B3360"/>
    <w:rsid w:val="000B3470"/>
    <w:rsid w:val="000B39B8"/>
    <w:rsid w:val="000B3D2A"/>
    <w:rsid w:val="000B41EB"/>
    <w:rsid w:val="000B51A6"/>
    <w:rsid w:val="000B59DB"/>
    <w:rsid w:val="000B6648"/>
    <w:rsid w:val="000B6AB0"/>
    <w:rsid w:val="000B6E0D"/>
    <w:rsid w:val="000C067D"/>
    <w:rsid w:val="000C1FB8"/>
    <w:rsid w:val="000C24F5"/>
    <w:rsid w:val="000C2928"/>
    <w:rsid w:val="000C3B88"/>
    <w:rsid w:val="000C4569"/>
    <w:rsid w:val="000C5AB1"/>
    <w:rsid w:val="000C5DB3"/>
    <w:rsid w:val="000C74AC"/>
    <w:rsid w:val="000D189B"/>
    <w:rsid w:val="000D1992"/>
    <w:rsid w:val="000D2C6F"/>
    <w:rsid w:val="000D3001"/>
    <w:rsid w:val="000D56F8"/>
    <w:rsid w:val="000D5FB4"/>
    <w:rsid w:val="000D6117"/>
    <w:rsid w:val="000D640E"/>
    <w:rsid w:val="000D6FF5"/>
    <w:rsid w:val="000E27C4"/>
    <w:rsid w:val="000E488A"/>
    <w:rsid w:val="000E508C"/>
    <w:rsid w:val="000E5852"/>
    <w:rsid w:val="000F0351"/>
    <w:rsid w:val="000F29C3"/>
    <w:rsid w:val="000F306C"/>
    <w:rsid w:val="000F6412"/>
    <w:rsid w:val="001008DE"/>
    <w:rsid w:val="00101247"/>
    <w:rsid w:val="00101B73"/>
    <w:rsid w:val="001020B5"/>
    <w:rsid w:val="001022DA"/>
    <w:rsid w:val="0010296D"/>
    <w:rsid w:val="00102FEA"/>
    <w:rsid w:val="00104115"/>
    <w:rsid w:val="0010477B"/>
    <w:rsid w:val="001047C0"/>
    <w:rsid w:val="00105270"/>
    <w:rsid w:val="00105645"/>
    <w:rsid w:val="00105E6F"/>
    <w:rsid w:val="00106C05"/>
    <w:rsid w:val="00107B74"/>
    <w:rsid w:val="0011493D"/>
    <w:rsid w:val="00114DC3"/>
    <w:rsid w:val="0011600C"/>
    <w:rsid w:val="001162A9"/>
    <w:rsid w:val="001203AB"/>
    <w:rsid w:val="00120A18"/>
    <w:rsid w:val="00124502"/>
    <w:rsid w:val="00124885"/>
    <w:rsid w:val="00124E97"/>
    <w:rsid w:val="0012694F"/>
    <w:rsid w:val="0012699F"/>
    <w:rsid w:val="00130015"/>
    <w:rsid w:val="00130EC9"/>
    <w:rsid w:val="001318FD"/>
    <w:rsid w:val="00132759"/>
    <w:rsid w:val="00133933"/>
    <w:rsid w:val="00134D90"/>
    <w:rsid w:val="00134ED0"/>
    <w:rsid w:val="0013508D"/>
    <w:rsid w:val="00135C56"/>
    <w:rsid w:val="0014001E"/>
    <w:rsid w:val="00140A34"/>
    <w:rsid w:val="00140D85"/>
    <w:rsid w:val="00143136"/>
    <w:rsid w:val="0014363B"/>
    <w:rsid w:val="00143FF8"/>
    <w:rsid w:val="001472D6"/>
    <w:rsid w:val="00147336"/>
    <w:rsid w:val="00151734"/>
    <w:rsid w:val="00152473"/>
    <w:rsid w:val="001537F7"/>
    <w:rsid w:val="00153B25"/>
    <w:rsid w:val="0015453C"/>
    <w:rsid w:val="00156190"/>
    <w:rsid w:val="00156FDB"/>
    <w:rsid w:val="0015735D"/>
    <w:rsid w:val="001600EC"/>
    <w:rsid w:val="001606B7"/>
    <w:rsid w:val="00160D9F"/>
    <w:rsid w:val="0016116F"/>
    <w:rsid w:val="00161425"/>
    <w:rsid w:val="0016355A"/>
    <w:rsid w:val="00165382"/>
    <w:rsid w:val="0016585E"/>
    <w:rsid w:val="0017043D"/>
    <w:rsid w:val="001709EB"/>
    <w:rsid w:val="0017117D"/>
    <w:rsid w:val="00173A1B"/>
    <w:rsid w:val="0017489D"/>
    <w:rsid w:val="0017510E"/>
    <w:rsid w:val="001765A3"/>
    <w:rsid w:val="00185EF2"/>
    <w:rsid w:val="001871AE"/>
    <w:rsid w:val="00190F96"/>
    <w:rsid w:val="00191324"/>
    <w:rsid w:val="00192B86"/>
    <w:rsid w:val="0019395D"/>
    <w:rsid w:val="001943FF"/>
    <w:rsid w:val="00194585"/>
    <w:rsid w:val="00194A39"/>
    <w:rsid w:val="00196B81"/>
    <w:rsid w:val="00197CD6"/>
    <w:rsid w:val="001A096F"/>
    <w:rsid w:val="001A227C"/>
    <w:rsid w:val="001A26A7"/>
    <w:rsid w:val="001A28D6"/>
    <w:rsid w:val="001A2CA6"/>
    <w:rsid w:val="001A3563"/>
    <w:rsid w:val="001A3E1D"/>
    <w:rsid w:val="001A514C"/>
    <w:rsid w:val="001A7D2F"/>
    <w:rsid w:val="001A7DF3"/>
    <w:rsid w:val="001B085E"/>
    <w:rsid w:val="001B0F95"/>
    <w:rsid w:val="001B1C87"/>
    <w:rsid w:val="001B3F88"/>
    <w:rsid w:val="001B411B"/>
    <w:rsid w:val="001B4225"/>
    <w:rsid w:val="001B51A1"/>
    <w:rsid w:val="001B6655"/>
    <w:rsid w:val="001B6E39"/>
    <w:rsid w:val="001B7AD1"/>
    <w:rsid w:val="001C46C7"/>
    <w:rsid w:val="001C5D5D"/>
    <w:rsid w:val="001C606B"/>
    <w:rsid w:val="001C6CAC"/>
    <w:rsid w:val="001C6F47"/>
    <w:rsid w:val="001C7A85"/>
    <w:rsid w:val="001C7C99"/>
    <w:rsid w:val="001C7F82"/>
    <w:rsid w:val="001D0369"/>
    <w:rsid w:val="001D0FDB"/>
    <w:rsid w:val="001D3BCF"/>
    <w:rsid w:val="001D4A0A"/>
    <w:rsid w:val="001D7634"/>
    <w:rsid w:val="001D797F"/>
    <w:rsid w:val="001D7C34"/>
    <w:rsid w:val="001E5B99"/>
    <w:rsid w:val="001E6804"/>
    <w:rsid w:val="001E7C8F"/>
    <w:rsid w:val="001E7D79"/>
    <w:rsid w:val="001F141C"/>
    <w:rsid w:val="001F165A"/>
    <w:rsid w:val="001F1C71"/>
    <w:rsid w:val="001F2DC7"/>
    <w:rsid w:val="001F39F4"/>
    <w:rsid w:val="001F3FA0"/>
    <w:rsid w:val="001F58DF"/>
    <w:rsid w:val="001F5AA6"/>
    <w:rsid w:val="001F63C4"/>
    <w:rsid w:val="001F726A"/>
    <w:rsid w:val="001F7282"/>
    <w:rsid w:val="001F7C08"/>
    <w:rsid w:val="00201536"/>
    <w:rsid w:val="0020259D"/>
    <w:rsid w:val="00203AFD"/>
    <w:rsid w:val="00204FB5"/>
    <w:rsid w:val="002053ED"/>
    <w:rsid w:val="00206E07"/>
    <w:rsid w:val="00207D04"/>
    <w:rsid w:val="0021066A"/>
    <w:rsid w:val="00211097"/>
    <w:rsid w:val="00211A11"/>
    <w:rsid w:val="00211CCE"/>
    <w:rsid w:val="00214C54"/>
    <w:rsid w:val="002165A0"/>
    <w:rsid w:val="00217CE0"/>
    <w:rsid w:val="00221D9E"/>
    <w:rsid w:val="0022241C"/>
    <w:rsid w:val="00222467"/>
    <w:rsid w:val="00223E7A"/>
    <w:rsid w:val="002242EA"/>
    <w:rsid w:val="00224A84"/>
    <w:rsid w:val="002274AD"/>
    <w:rsid w:val="00227B8B"/>
    <w:rsid w:val="00231381"/>
    <w:rsid w:val="002318F8"/>
    <w:rsid w:val="00231D23"/>
    <w:rsid w:val="002323D7"/>
    <w:rsid w:val="0023326C"/>
    <w:rsid w:val="0023358A"/>
    <w:rsid w:val="0023368B"/>
    <w:rsid w:val="002337A5"/>
    <w:rsid w:val="00233AB1"/>
    <w:rsid w:val="002341CC"/>
    <w:rsid w:val="002357E2"/>
    <w:rsid w:val="00235883"/>
    <w:rsid w:val="002370D4"/>
    <w:rsid w:val="002374FA"/>
    <w:rsid w:val="00243184"/>
    <w:rsid w:val="00243A44"/>
    <w:rsid w:val="00243F83"/>
    <w:rsid w:val="002450C9"/>
    <w:rsid w:val="0024603C"/>
    <w:rsid w:val="00251637"/>
    <w:rsid w:val="0025350E"/>
    <w:rsid w:val="00254C43"/>
    <w:rsid w:val="00254E70"/>
    <w:rsid w:val="00255A48"/>
    <w:rsid w:val="00255E4B"/>
    <w:rsid w:val="002563AF"/>
    <w:rsid w:val="002577FF"/>
    <w:rsid w:val="0026084D"/>
    <w:rsid w:val="00260963"/>
    <w:rsid w:val="002622D6"/>
    <w:rsid w:val="00263261"/>
    <w:rsid w:val="00264802"/>
    <w:rsid w:val="00264AF0"/>
    <w:rsid w:val="00265385"/>
    <w:rsid w:val="00266644"/>
    <w:rsid w:val="002667A7"/>
    <w:rsid w:val="00267503"/>
    <w:rsid w:val="002705A9"/>
    <w:rsid w:val="0027243F"/>
    <w:rsid w:val="00272E40"/>
    <w:rsid w:val="002747A0"/>
    <w:rsid w:val="002754AE"/>
    <w:rsid w:val="00277578"/>
    <w:rsid w:val="002775DC"/>
    <w:rsid w:val="00280960"/>
    <w:rsid w:val="00282CD0"/>
    <w:rsid w:val="00282FCF"/>
    <w:rsid w:val="00284320"/>
    <w:rsid w:val="00284999"/>
    <w:rsid w:val="00286573"/>
    <w:rsid w:val="00287833"/>
    <w:rsid w:val="00291B3A"/>
    <w:rsid w:val="002936D1"/>
    <w:rsid w:val="00293725"/>
    <w:rsid w:val="00294562"/>
    <w:rsid w:val="00294C34"/>
    <w:rsid w:val="002951D1"/>
    <w:rsid w:val="00295398"/>
    <w:rsid w:val="00295C50"/>
    <w:rsid w:val="002A11A5"/>
    <w:rsid w:val="002A1243"/>
    <w:rsid w:val="002A1BD5"/>
    <w:rsid w:val="002A239C"/>
    <w:rsid w:val="002A26EA"/>
    <w:rsid w:val="002A3D72"/>
    <w:rsid w:val="002A45D6"/>
    <w:rsid w:val="002A4EC2"/>
    <w:rsid w:val="002A67A6"/>
    <w:rsid w:val="002A689E"/>
    <w:rsid w:val="002A6BB3"/>
    <w:rsid w:val="002B117B"/>
    <w:rsid w:val="002B163E"/>
    <w:rsid w:val="002B1E99"/>
    <w:rsid w:val="002B23C9"/>
    <w:rsid w:val="002B2C1D"/>
    <w:rsid w:val="002B308A"/>
    <w:rsid w:val="002B3F5B"/>
    <w:rsid w:val="002B518E"/>
    <w:rsid w:val="002B62BB"/>
    <w:rsid w:val="002B718E"/>
    <w:rsid w:val="002C2B4E"/>
    <w:rsid w:val="002C2E75"/>
    <w:rsid w:val="002C2FCE"/>
    <w:rsid w:val="002C30DB"/>
    <w:rsid w:val="002C4344"/>
    <w:rsid w:val="002C6669"/>
    <w:rsid w:val="002C6F15"/>
    <w:rsid w:val="002C7F2E"/>
    <w:rsid w:val="002D0F7D"/>
    <w:rsid w:val="002D1929"/>
    <w:rsid w:val="002D289E"/>
    <w:rsid w:val="002D2B4F"/>
    <w:rsid w:val="002D2B7C"/>
    <w:rsid w:val="002D4960"/>
    <w:rsid w:val="002D5D32"/>
    <w:rsid w:val="002D6A41"/>
    <w:rsid w:val="002E0B37"/>
    <w:rsid w:val="002E0D5E"/>
    <w:rsid w:val="002E2D23"/>
    <w:rsid w:val="002E3A2B"/>
    <w:rsid w:val="002E48D4"/>
    <w:rsid w:val="002E7719"/>
    <w:rsid w:val="002F13E6"/>
    <w:rsid w:val="002F1423"/>
    <w:rsid w:val="002F2626"/>
    <w:rsid w:val="002F415A"/>
    <w:rsid w:val="00300526"/>
    <w:rsid w:val="0030252A"/>
    <w:rsid w:val="003028C8"/>
    <w:rsid w:val="00304E08"/>
    <w:rsid w:val="0030508C"/>
    <w:rsid w:val="00306F9A"/>
    <w:rsid w:val="00307181"/>
    <w:rsid w:val="00311161"/>
    <w:rsid w:val="00311D39"/>
    <w:rsid w:val="00314873"/>
    <w:rsid w:val="003167D8"/>
    <w:rsid w:val="00316EC6"/>
    <w:rsid w:val="0031727C"/>
    <w:rsid w:val="00320273"/>
    <w:rsid w:val="003208A3"/>
    <w:rsid w:val="00321C19"/>
    <w:rsid w:val="00321FC5"/>
    <w:rsid w:val="003227F8"/>
    <w:rsid w:val="00323855"/>
    <w:rsid w:val="00325953"/>
    <w:rsid w:val="003276FA"/>
    <w:rsid w:val="00327DDF"/>
    <w:rsid w:val="00330024"/>
    <w:rsid w:val="0033088E"/>
    <w:rsid w:val="0033208C"/>
    <w:rsid w:val="0033211B"/>
    <w:rsid w:val="00332CC9"/>
    <w:rsid w:val="00333000"/>
    <w:rsid w:val="00333E45"/>
    <w:rsid w:val="00336755"/>
    <w:rsid w:val="00336B36"/>
    <w:rsid w:val="00336F37"/>
    <w:rsid w:val="00337D5F"/>
    <w:rsid w:val="00340612"/>
    <w:rsid w:val="00341500"/>
    <w:rsid w:val="00342874"/>
    <w:rsid w:val="00344D58"/>
    <w:rsid w:val="00345B74"/>
    <w:rsid w:val="003503A4"/>
    <w:rsid w:val="00351432"/>
    <w:rsid w:val="003579AE"/>
    <w:rsid w:val="0036018B"/>
    <w:rsid w:val="003605B9"/>
    <w:rsid w:val="003619E1"/>
    <w:rsid w:val="00362EDA"/>
    <w:rsid w:val="003630B1"/>
    <w:rsid w:val="00363494"/>
    <w:rsid w:val="00363CA8"/>
    <w:rsid w:val="00364645"/>
    <w:rsid w:val="0036501B"/>
    <w:rsid w:val="00365891"/>
    <w:rsid w:val="003662C1"/>
    <w:rsid w:val="00370D6D"/>
    <w:rsid w:val="00370FCF"/>
    <w:rsid w:val="00370FD0"/>
    <w:rsid w:val="0037124A"/>
    <w:rsid w:val="00372BA6"/>
    <w:rsid w:val="00373DC1"/>
    <w:rsid w:val="0037482A"/>
    <w:rsid w:val="00374C5E"/>
    <w:rsid w:val="0037512C"/>
    <w:rsid w:val="00377E89"/>
    <w:rsid w:val="00385FFC"/>
    <w:rsid w:val="003861D0"/>
    <w:rsid w:val="00386B45"/>
    <w:rsid w:val="00387AFD"/>
    <w:rsid w:val="00387ECF"/>
    <w:rsid w:val="00391508"/>
    <w:rsid w:val="00391B78"/>
    <w:rsid w:val="00391F64"/>
    <w:rsid w:val="003926FB"/>
    <w:rsid w:val="00392B97"/>
    <w:rsid w:val="00393595"/>
    <w:rsid w:val="00394AA5"/>
    <w:rsid w:val="003973EF"/>
    <w:rsid w:val="003A103B"/>
    <w:rsid w:val="003A258B"/>
    <w:rsid w:val="003A3930"/>
    <w:rsid w:val="003A6D9C"/>
    <w:rsid w:val="003A772D"/>
    <w:rsid w:val="003B09C1"/>
    <w:rsid w:val="003B0C8F"/>
    <w:rsid w:val="003B2F8B"/>
    <w:rsid w:val="003B3F9E"/>
    <w:rsid w:val="003B4A82"/>
    <w:rsid w:val="003B5DB3"/>
    <w:rsid w:val="003B6648"/>
    <w:rsid w:val="003C03D1"/>
    <w:rsid w:val="003C0EAE"/>
    <w:rsid w:val="003C148F"/>
    <w:rsid w:val="003C6BDA"/>
    <w:rsid w:val="003C6E2D"/>
    <w:rsid w:val="003D1766"/>
    <w:rsid w:val="003D1851"/>
    <w:rsid w:val="003D2400"/>
    <w:rsid w:val="003D5C64"/>
    <w:rsid w:val="003D6311"/>
    <w:rsid w:val="003E1553"/>
    <w:rsid w:val="003E3F8B"/>
    <w:rsid w:val="003E48E9"/>
    <w:rsid w:val="003E6B64"/>
    <w:rsid w:val="003E6F0E"/>
    <w:rsid w:val="003E7550"/>
    <w:rsid w:val="003F1CBE"/>
    <w:rsid w:val="003F3099"/>
    <w:rsid w:val="003F4B25"/>
    <w:rsid w:val="003F7BBE"/>
    <w:rsid w:val="00400F34"/>
    <w:rsid w:val="004010EC"/>
    <w:rsid w:val="00402D58"/>
    <w:rsid w:val="00404999"/>
    <w:rsid w:val="004076E9"/>
    <w:rsid w:val="00407E9A"/>
    <w:rsid w:val="00410AD7"/>
    <w:rsid w:val="00410C64"/>
    <w:rsid w:val="004110A0"/>
    <w:rsid w:val="00413212"/>
    <w:rsid w:val="0041347B"/>
    <w:rsid w:val="00413BB4"/>
    <w:rsid w:val="0041540B"/>
    <w:rsid w:val="004157C3"/>
    <w:rsid w:val="004174E4"/>
    <w:rsid w:val="0041772F"/>
    <w:rsid w:val="00417D05"/>
    <w:rsid w:val="00422CBF"/>
    <w:rsid w:val="00423233"/>
    <w:rsid w:val="00426108"/>
    <w:rsid w:val="004262D1"/>
    <w:rsid w:val="00426BCF"/>
    <w:rsid w:val="004279EE"/>
    <w:rsid w:val="004304A3"/>
    <w:rsid w:val="00431689"/>
    <w:rsid w:val="004338E5"/>
    <w:rsid w:val="00435DF8"/>
    <w:rsid w:val="00436741"/>
    <w:rsid w:val="0043678A"/>
    <w:rsid w:val="00440D68"/>
    <w:rsid w:val="00440E2E"/>
    <w:rsid w:val="00441B80"/>
    <w:rsid w:val="004422DF"/>
    <w:rsid w:val="00443B0B"/>
    <w:rsid w:val="004455FB"/>
    <w:rsid w:val="00450F15"/>
    <w:rsid w:val="0045189C"/>
    <w:rsid w:val="00452E5A"/>
    <w:rsid w:val="0045308D"/>
    <w:rsid w:val="00453974"/>
    <w:rsid w:val="00454022"/>
    <w:rsid w:val="00455C6E"/>
    <w:rsid w:val="00456047"/>
    <w:rsid w:val="00456071"/>
    <w:rsid w:val="004569E5"/>
    <w:rsid w:val="00462CCE"/>
    <w:rsid w:val="00463B0A"/>
    <w:rsid w:val="004644D1"/>
    <w:rsid w:val="00464BE7"/>
    <w:rsid w:val="00464C67"/>
    <w:rsid w:val="00464E9C"/>
    <w:rsid w:val="00464FFB"/>
    <w:rsid w:val="004662F3"/>
    <w:rsid w:val="00466348"/>
    <w:rsid w:val="0046696E"/>
    <w:rsid w:val="00467881"/>
    <w:rsid w:val="004678BD"/>
    <w:rsid w:val="00470386"/>
    <w:rsid w:val="004736D2"/>
    <w:rsid w:val="00473C9F"/>
    <w:rsid w:val="00475BB4"/>
    <w:rsid w:val="00476769"/>
    <w:rsid w:val="0047794C"/>
    <w:rsid w:val="00480352"/>
    <w:rsid w:val="00482E8D"/>
    <w:rsid w:val="00484223"/>
    <w:rsid w:val="00485453"/>
    <w:rsid w:val="00485D78"/>
    <w:rsid w:val="00494999"/>
    <w:rsid w:val="0049519C"/>
    <w:rsid w:val="00495547"/>
    <w:rsid w:val="00496E89"/>
    <w:rsid w:val="0049747F"/>
    <w:rsid w:val="004A03C2"/>
    <w:rsid w:val="004A0482"/>
    <w:rsid w:val="004A1A6B"/>
    <w:rsid w:val="004A2D3D"/>
    <w:rsid w:val="004A4640"/>
    <w:rsid w:val="004A5CF1"/>
    <w:rsid w:val="004A644E"/>
    <w:rsid w:val="004A73FA"/>
    <w:rsid w:val="004A7BF0"/>
    <w:rsid w:val="004B0896"/>
    <w:rsid w:val="004B4993"/>
    <w:rsid w:val="004B4C88"/>
    <w:rsid w:val="004B5542"/>
    <w:rsid w:val="004B5767"/>
    <w:rsid w:val="004B68D6"/>
    <w:rsid w:val="004B78A7"/>
    <w:rsid w:val="004C03B2"/>
    <w:rsid w:val="004C11ED"/>
    <w:rsid w:val="004C2D37"/>
    <w:rsid w:val="004C40BD"/>
    <w:rsid w:val="004C4B40"/>
    <w:rsid w:val="004C568E"/>
    <w:rsid w:val="004C6094"/>
    <w:rsid w:val="004C75C8"/>
    <w:rsid w:val="004C76A4"/>
    <w:rsid w:val="004C79D1"/>
    <w:rsid w:val="004C7A89"/>
    <w:rsid w:val="004D21BE"/>
    <w:rsid w:val="004D3F21"/>
    <w:rsid w:val="004D5C18"/>
    <w:rsid w:val="004D5C88"/>
    <w:rsid w:val="004D648D"/>
    <w:rsid w:val="004D6ABF"/>
    <w:rsid w:val="004D6EBE"/>
    <w:rsid w:val="004D7022"/>
    <w:rsid w:val="004D7941"/>
    <w:rsid w:val="004D7DB6"/>
    <w:rsid w:val="004E18F9"/>
    <w:rsid w:val="004E1A03"/>
    <w:rsid w:val="004E1B09"/>
    <w:rsid w:val="004E2AA2"/>
    <w:rsid w:val="004E3892"/>
    <w:rsid w:val="004E435E"/>
    <w:rsid w:val="004E58AE"/>
    <w:rsid w:val="004E656F"/>
    <w:rsid w:val="004E7834"/>
    <w:rsid w:val="004E7F09"/>
    <w:rsid w:val="004F06F1"/>
    <w:rsid w:val="004F0DEE"/>
    <w:rsid w:val="004F0E68"/>
    <w:rsid w:val="004F2C52"/>
    <w:rsid w:val="004F5226"/>
    <w:rsid w:val="004F6743"/>
    <w:rsid w:val="004F6BC8"/>
    <w:rsid w:val="004F7B07"/>
    <w:rsid w:val="005005B2"/>
    <w:rsid w:val="005007F8"/>
    <w:rsid w:val="00500DCE"/>
    <w:rsid w:val="005019A8"/>
    <w:rsid w:val="005034F8"/>
    <w:rsid w:val="00506C01"/>
    <w:rsid w:val="00507E86"/>
    <w:rsid w:val="005105D3"/>
    <w:rsid w:val="00511377"/>
    <w:rsid w:val="00511829"/>
    <w:rsid w:val="00511F65"/>
    <w:rsid w:val="00511F8B"/>
    <w:rsid w:val="00512849"/>
    <w:rsid w:val="0051464B"/>
    <w:rsid w:val="0051466F"/>
    <w:rsid w:val="005156D2"/>
    <w:rsid w:val="00515803"/>
    <w:rsid w:val="00515F11"/>
    <w:rsid w:val="00517293"/>
    <w:rsid w:val="00520083"/>
    <w:rsid w:val="00521DE2"/>
    <w:rsid w:val="0052427E"/>
    <w:rsid w:val="005250E3"/>
    <w:rsid w:val="00530DB2"/>
    <w:rsid w:val="005314D0"/>
    <w:rsid w:val="0053171D"/>
    <w:rsid w:val="00531B6B"/>
    <w:rsid w:val="005330DD"/>
    <w:rsid w:val="00534844"/>
    <w:rsid w:val="00540CC6"/>
    <w:rsid w:val="00540D41"/>
    <w:rsid w:val="00541912"/>
    <w:rsid w:val="00542D26"/>
    <w:rsid w:val="00543EBA"/>
    <w:rsid w:val="00546F1D"/>
    <w:rsid w:val="005507CC"/>
    <w:rsid w:val="005533D3"/>
    <w:rsid w:val="00555ABB"/>
    <w:rsid w:val="00555B6A"/>
    <w:rsid w:val="00567F1F"/>
    <w:rsid w:val="0057279F"/>
    <w:rsid w:val="005742E2"/>
    <w:rsid w:val="00574FC2"/>
    <w:rsid w:val="00575EC0"/>
    <w:rsid w:val="005762CB"/>
    <w:rsid w:val="005764B3"/>
    <w:rsid w:val="0057678C"/>
    <w:rsid w:val="0057730D"/>
    <w:rsid w:val="0057790C"/>
    <w:rsid w:val="00580495"/>
    <w:rsid w:val="0058187B"/>
    <w:rsid w:val="0058325C"/>
    <w:rsid w:val="00584D52"/>
    <w:rsid w:val="00585EA0"/>
    <w:rsid w:val="005879B7"/>
    <w:rsid w:val="005927A6"/>
    <w:rsid w:val="00593AD0"/>
    <w:rsid w:val="005954E5"/>
    <w:rsid w:val="005A04B9"/>
    <w:rsid w:val="005A05FF"/>
    <w:rsid w:val="005A3B00"/>
    <w:rsid w:val="005A5723"/>
    <w:rsid w:val="005A6648"/>
    <w:rsid w:val="005B018B"/>
    <w:rsid w:val="005B1FC7"/>
    <w:rsid w:val="005B24C1"/>
    <w:rsid w:val="005B32F4"/>
    <w:rsid w:val="005B4639"/>
    <w:rsid w:val="005B5B79"/>
    <w:rsid w:val="005B6C28"/>
    <w:rsid w:val="005B7B7B"/>
    <w:rsid w:val="005C3B64"/>
    <w:rsid w:val="005C3F3B"/>
    <w:rsid w:val="005C46D6"/>
    <w:rsid w:val="005C4CAB"/>
    <w:rsid w:val="005D4E94"/>
    <w:rsid w:val="005D5041"/>
    <w:rsid w:val="005D5499"/>
    <w:rsid w:val="005E07E3"/>
    <w:rsid w:val="005E63C0"/>
    <w:rsid w:val="005E6A99"/>
    <w:rsid w:val="005E6BA6"/>
    <w:rsid w:val="005F1C15"/>
    <w:rsid w:val="005F1E87"/>
    <w:rsid w:val="005F2538"/>
    <w:rsid w:val="005F2AB6"/>
    <w:rsid w:val="005F6D5F"/>
    <w:rsid w:val="005F766C"/>
    <w:rsid w:val="00600A17"/>
    <w:rsid w:val="00602C23"/>
    <w:rsid w:val="006042B3"/>
    <w:rsid w:val="00605281"/>
    <w:rsid w:val="00610A4E"/>
    <w:rsid w:val="00611AF8"/>
    <w:rsid w:val="00611BE3"/>
    <w:rsid w:val="00611DC1"/>
    <w:rsid w:val="00613405"/>
    <w:rsid w:val="00614A6C"/>
    <w:rsid w:val="00616E76"/>
    <w:rsid w:val="00617097"/>
    <w:rsid w:val="0062097B"/>
    <w:rsid w:val="00621837"/>
    <w:rsid w:val="006242CF"/>
    <w:rsid w:val="00624B8E"/>
    <w:rsid w:val="006252B9"/>
    <w:rsid w:val="0062557C"/>
    <w:rsid w:val="00626E82"/>
    <w:rsid w:val="00626ECB"/>
    <w:rsid w:val="00626FAB"/>
    <w:rsid w:val="006320C9"/>
    <w:rsid w:val="006322DC"/>
    <w:rsid w:val="00632C0B"/>
    <w:rsid w:val="00632E74"/>
    <w:rsid w:val="006337C7"/>
    <w:rsid w:val="00634AC6"/>
    <w:rsid w:val="00635EF8"/>
    <w:rsid w:val="006361B2"/>
    <w:rsid w:val="00640979"/>
    <w:rsid w:val="006412D8"/>
    <w:rsid w:val="006434CB"/>
    <w:rsid w:val="00643EA1"/>
    <w:rsid w:val="006445E0"/>
    <w:rsid w:val="00645075"/>
    <w:rsid w:val="0064532A"/>
    <w:rsid w:val="00646EF8"/>
    <w:rsid w:val="006477DA"/>
    <w:rsid w:val="00647CD6"/>
    <w:rsid w:val="00652508"/>
    <w:rsid w:val="0065332F"/>
    <w:rsid w:val="00653A62"/>
    <w:rsid w:val="0065615C"/>
    <w:rsid w:val="00656EC9"/>
    <w:rsid w:val="00660B93"/>
    <w:rsid w:val="006647D9"/>
    <w:rsid w:val="00664A0B"/>
    <w:rsid w:val="00666533"/>
    <w:rsid w:val="00666BA8"/>
    <w:rsid w:val="0066718D"/>
    <w:rsid w:val="006673C0"/>
    <w:rsid w:val="00670DE3"/>
    <w:rsid w:val="00670EDB"/>
    <w:rsid w:val="006725F2"/>
    <w:rsid w:val="00672B1D"/>
    <w:rsid w:val="00675299"/>
    <w:rsid w:val="006759C3"/>
    <w:rsid w:val="00675E82"/>
    <w:rsid w:val="00680BD6"/>
    <w:rsid w:val="00681C11"/>
    <w:rsid w:val="00683714"/>
    <w:rsid w:val="00684635"/>
    <w:rsid w:val="00684B13"/>
    <w:rsid w:val="0068528F"/>
    <w:rsid w:val="00687F09"/>
    <w:rsid w:val="00690C56"/>
    <w:rsid w:val="00691235"/>
    <w:rsid w:val="00691F44"/>
    <w:rsid w:val="006921FA"/>
    <w:rsid w:val="00692362"/>
    <w:rsid w:val="006943DD"/>
    <w:rsid w:val="00695A23"/>
    <w:rsid w:val="00695E5F"/>
    <w:rsid w:val="00696C72"/>
    <w:rsid w:val="00697D73"/>
    <w:rsid w:val="006A0464"/>
    <w:rsid w:val="006A1347"/>
    <w:rsid w:val="006A50E6"/>
    <w:rsid w:val="006B018E"/>
    <w:rsid w:val="006B09BD"/>
    <w:rsid w:val="006B1E58"/>
    <w:rsid w:val="006B389E"/>
    <w:rsid w:val="006B40ED"/>
    <w:rsid w:val="006B42D2"/>
    <w:rsid w:val="006B4792"/>
    <w:rsid w:val="006B4CFA"/>
    <w:rsid w:val="006B5909"/>
    <w:rsid w:val="006B6F53"/>
    <w:rsid w:val="006B6FC0"/>
    <w:rsid w:val="006B79A1"/>
    <w:rsid w:val="006C09A1"/>
    <w:rsid w:val="006C0D36"/>
    <w:rsid w:val="006C313A"/>
    <w:rsid w:val="006C3458"/>
    <w:rsid w:val="006C42CC"/>
    <w:rsid w:val="006C43F4"/>
    <w:rsid w:val="006C4465"/>
    <w:rsid w:val="006C4DB4"/>
    <w:rsid w:val="006C5488"/>
    <w:rsid w:val="006C6A9B"/>
    <w:rsid w:val="006C6E50"/>
    <w:rsid w:val="006C7125"/>
    <w:rsid w:val="006D134F"/>
    <w:rsid w:val="006D19E3"/>
    <w:rsid w:val="006D1E88"/>
    <w:rsid w:val="006D3E17"/>
    <w:rsid w:val="006D46A0"/>
    <w:rsid w:val="006D49DF"/>
    <w:rsid w:val="006D640F"/>
    <w:rsid w:val="006D65A7"/>
    <w:rsid w:val="006D68A3"/>
    <w:rsid w:val="006D68A9"/>
    <w:rsid w:val="006D7BF4"/>
    <w:rsid w:val="006D7C5A"/>
    <w:rsid w:val="006E1000"/>
    <w:rsid w:val="006E79DF"/>
    <w:rsid w:val="006F0A93"/>
    <w:rsid w:val="006F3713"/>
    <w:rsid w:val="006F3E27"/>
    <w:rsid w:val="006F71B2"/>
    <w:rsid w:val="0070094D"/>
    <w:rsid w:val="007017F9"/>
    <w:rsid w:val="0070455A"/>
    <w:rsid w:val="00705201"/>
    <w:rsid w:val="0071583F"/>
    <w:rsid w:val="007167D3"/>
    <w:rsid w:val="00717B75"/>
    <w:rsid w:val="00717D2C"/>
    <w:rsid w:val="007226B5"/>
    <w:rsid w:val="007226FF"/>
    <w:rsid w:val="007229F4"/>
    <w:rsid w:val="00722D58"/>
    <w:rsid w:val="00723BF3"/>
    <w:rsid w:val="00723C4E"/>
    <w:rsid w:val="00723F91"/>
    <w:rsid w:val="00726E9B"/>
    <w:rsid w:val="00727FE0"/>
    <w:rsid w:val="00730278"/>
    <w:rsid w:val="007314B7"/>
    <w:rsid w:val="00732813"/>
    <w:rsid w:val="00732D28"/>
    <w:rsid w:val="00737462"/>
    <w:rsid w:val="00740366"/>
    <w:rsid w:val="00740F32"/>
    <w:rsid w:val="00741741"/>
    <w:rsid w:val="00742BD6"/>
    <w:rsid w:val="00743612"/>
    <w:rsid w:val="00745A0D"/>
    <w:rsid w:val="00751733"/>
    <w:rsid w:val="00751FC4"/>
    <w:rsid w:val="0075571D"/>
    <w:rsid w:val="007558B0"/>
    <w:rsid w:val="007563D6"/>
    <w:rsid w:val="00756E20"/>
    <w:rsid w:val="00757418"/>
    <w:rsid w:val="007579DC"/>
    <w:rsid w:val="007609D4"/>
    <w:rsid w:val="00761D0D"/>
    <w:rsid w:val="0076228B"/>
    <w:rsid w:val="00764D7D"/>
    <w:rsid w:val="007659E6"/>
    <w:rsid w:val="00766BE2"/>
    <w:rsid w:val="00771C95"/>
    <w:rsid w:val="00772CCA"/>
    <w:rsid w:val="00776015"/>
    <w:rsid w:val="007823BF"/>
    <w:rsid w:val="0078343F"/>
    <w:rsid w:val="007857BC"/>
    <w:rsid w:val="00786B9E"/>
    <w:rsid w:val="007877FF"/>
    <w:rsid w:val="00793979"/>
    <w:rsid w:val="00793CF1"/>
    <w:rsid w:val="00794B0C"/>
    <w:rsid w:val="00795CD6"/>
    <w:rsid w:val="00795EA3"/>
    <w:rsid w:val="007A5187"/>
    <w:rsid w:val="007A5CC0"/>
    <w:rsid w:val="007A7AFA"/>
    <w:rsid w:val="007B0661"/>
    <w:rsid w:val="007B166F"/>
    <w:rsid w:val="007B2999"/>
    <w:rsid w:val="007B4769"/>
    <w:rsid w:val="007B6DBB"/>
    <w:rsid w:val="007C02A9"/>
    <w:rsid w:val="007C098E"/>
    <w:rsid w:val="007C09AF"/>
    <w:rsid w:val="007C15A8"/>
    <w:rsid w:val="007C1B46"/>
    <w:rsid w:val="007C1E17"/>
    <w:rsid w:val="007C2E40"/>
    <w:rsid w:val="007C3391"/>
    <w:rsid w:val="007C5ED6"/>
    <w:rsid w:val="007C6080"/>
    <w:rsid w:val="007C7536"/>
    <w:rsid w:val="007C7757"/>
    <w:rsid w:val="007C7E0A"/>
    <w:rsid w:val="007D08C6"/>
    <w:rsid w:val="007D29D3"/>
    <w:rsid w:val="007D31E7"/>
    <w:rsid w:val="007D5E3E"/>
    <w:rsid w:val="007D7B4C"/>
    <w:rsid w:val="007D7E18"/>
    <w:rsid w:val="007E16FC"/>
    <w:rsid w:val="007E1A95"/>
    <w:rsid w:val="007E1DA5"/>
    <w:rsid w:val="007E2F67"/>
    <w:rsid w:val="007E32BF"/>
    <w:rsid w:val="007E3A6A"/>
    <w:rsid w:val="007E418D"/>
    <w:rsid w:val="007E5C8C"/>
    <w:rsid w:val="007E5E86"/>
    <w:rsid w:val="007E6A89"/>
    <w:rsid w:val="007F017E"/>
    <w:rsid w:val="007F0303"/>
    <w:rsid w:val="007F17FA"/>
    <w:rsid w:val="007F29A2"/>
    <w:rsid w:val="007F4CF7"/>
    <w:rsid w:val="007F4D51"/>
    <w:rsid w:val="007F5629"/>
    <w:rsid w:val="007F6D87"/>
    <w:rsid w:val="008012A4"/>
    <w:rsid w:val="0080163C"/>
    <w:rsid w:val="0080228B"/>
    <w:rsid w:val="0080764D"/>
    <w:rsid w:val="00810061"/>
    <w:rsid w:val="00814567"/>
    <w:rsid w:val="0082001F"/>
    <w:rsid w:val="00820C3A"/>
    <w:rsid w:val="00823089"/>
    <w:rsid w:val="00823AE3"/>
    <w:rsid w:val="00824253"/>
    <w:rsid w:val="008253DD"/>
    <w:rsid w:val="00825D36"/>
    <w:rsid w:val="008267B0"/>
    <w:rsid w:val="00826CD2"/>
    <w:rsid w:val="0082735A"/>
    <w:rsid w:val="008303BB"/>
    <w:rsid w:val="008310EA"/>
    <w:rsid w:val="00831334"/>
    <w:rsid w:val="00832BEB"/>
    <w:rsid w:val="0083322E"/>
    <w:rsid w:val="00834470"/>
    <w:rsid w:val="008377DC"/>
    <w:rsid w:val="008412F8"/>
    <w:rsid w:val="00841534"/>
    <w:rsid w:val="00841987"/>
    <w:rsid w:val="0084243C"/>
    <w:rsid w:val="00842B08"/>
    <w:rsid w:val="0084424C"/>
    <w:rsid w:val="00844847"/>
    <w:rsid w:val="008451EC"/>
    <w:rsid w:val="00845387"/>
    <w:rsid w:val="00846464"/>
    <w:rsid w:val="00847A35"/>
    <w:rsid w:val="00847CFA"/>
    <w:rsid w:val="00847F1A"/>
    <w:rsid w:val="008523CE"/>
    <w:rsid w:val="00854E29"/>
    <w:rsid w:val="0085584B"/>
    <w:rsid w:val="008562D2"/>
    <w:rsid w:val="00861B80"/>
    <w:rsid w:val="00861CB0"/>
    <w:rsid w:val="008635D8"/>
    <w:rsid w:val="008643DB"/>
    <w:rsid w:val="008701DA"/>
    <w:rsid w:val="0087225D"/>
    <w:rsid w:val="00876E04"/>
    <w:rsid w:val="00877E78"/>
    <w:rsid w:val="00881331"/>
    <w:rsid w:val="00881677"/>
    <w:rsid w:val="008821A0"/>
    <w:rsid w:val="0088252B"/>
    <w:rsid w:val="00882E75"/>
    <w:rsid w:val="00882F63"/>
    <w:rsid w:val="0088472D"/>
    <w:rsid w:val="0088676C"/>
    <w:rsid w:val="00887FE0"/>
    <w:rsid w:val="00891D7C"/>
    <w:rsid w:val="008921AF"/>
    <w:rsid w:val="00892AA4"/>
    <w:rsid w:val="00895DBB"/>
    <w:rsid w:val="008A3667"/>
    <w:rsid w:val="008A65BF"/>
    <w:rsid w:val="008A73C3"/>
    <w:rsid w:val="008B27A1"/>
    <w:rsid w:val="008B3B74"/>
    <w:rsid w:val="008B489A"/>
    <w:rsid w:val="008B4F77"/>
    <w:rsid w:val="008B5CC4"/>
    <w:rsid w:val="008B6E24"/>
    <w:rsid w:val="008C3D2E"/>
    <w:rsid w:val="008C44CB"/>
    <w:rsid w:val="008C4543"/>
    <w:rsid w:val="008D0447"/>
    <w:rsid w:val="008D476B"/>
    <w:rsid w:val="008D47E7"/>
    <w:rsid w:val="008D49E8"/>
    <w:rsid w:val="008D4DAF"/>
    <w:rsid w:val="008D538E"/>
    <w:rsid w:val="008D66F2"/>
    <w:rsid w:val="008D6BC6"/>
    <w:rsid w:val="008E124A"/>
    <w:rsid w:val="008E2DE5"/>
    <w:rsid w:val="008E31A1"/>
    <w:rsid w:val="008E37BC"/>
    <w:rsid w:val="008E4F50"/>
    <w:rsid w:val="008E5989"/>
    <w:rsid w:val="008E5CBB"/>
    <w:rsid w:val="008E65C0"/>
    <w:rsid w:val="008E75B2"/>
    <w:rsid w:val="008E7967"/>
    <w:rsid w:val="008E7B56"/>
    <w:rsid w:val="008F18B9"/>
    <w:rsid w:val="008F21DA"/>
    <w:rsid w:val="008F2637"/>
    <w:rsid w:val="008F4E5D"/>
    <w:rsid w:val="008F50AE"/>
    <w:rsid w:val="008F541B"/>
    <w:rsid w:val="008F5A66"/>
    <w:rsid w:val="008F659F"/>
    <w:rsid w:val="008F7A29"/>
    <w:rsid w:val="008F7B3A"/>
    <w:rsid w:val="008F7E4C"/>
    <w:rsid w:val="009007B0"/>
    <w:rsid w:val="00902435"/>
    <w:rsid w:val="009041A4"/>
    <w:rsid w:val="009046D5"/>
    <w:rsid w:val="00905DAB"/>
    <w:rsid w:val="009068E6"/>
    <w:rsid w:val="00910325"/>
    <w:rsid w:val="00910DA9"/>
    <w:rsid w:val="00910DCD"/>
    <w:rsid w:val="0091159F"/>
    <w:rsid w:val="00911913"/>
    <w:rsid w:val="009120B9"/>
    <w:rsid w:val="00913391"/>
    <w:rsid w:val="0091664A"/>
    <w:rsid w:val="0091758C"/>
    <w:rsid w:val="009176C1"/>
    <w:rsid w:val="00920997"/>
    <w:rsid w:val="00921773"/>
    <w:rsid w:val="009219BB"/>
    <w:rsid w:val="009226CD"/>
    <w:rsid w:val="009236A3"/>
    <w:rsid w:val="00923CB7"/>
    <w:rsid w:val="009245B4"/>
    <w:rsid w:val="00924B5E"/>
    <w:rsid w:val="00924D1F"/>
    <w:rsid w:val="0092569F"/>
    <w:rsid w:val="00927620"/>
    <w:rsid w:val="0092782E"/>
    <w:rsid w:val="00927E2B"/>
    <w:rsid w:val="00931697"/>
    <w:rsid w:val="00931918"/>
    <w:rsid w:val="00934463"/>
    <w:rsid w:val="00934AFC"/>
    <w:rsid w:val="00936DCB"/>
    <w:rsid w:val="0093771F"/>
    <w:rsid w:val="00937807"/>
    <w:rsid w:val="009379B6"/>
    <w:rsid w:val="009411CD"/>
    <w:rsid w:val="009412A5"/>
    <w:rsid w:val="00942714"/>
    <w:rsid w:val="009436C2"/>
    <w:rsid w:val="00943924"/>
    <w:rsid w:val="00944103"/>
    <w:rsid w:val="009445A6"/>
    <w:rsid w:val="009452FA"/>
    <w:rsid w:val="00945545"/>
    <w:rsid w:val="00946336"/>
    <w:rsid w:val="0094683F"/>
    <w:rsid w:val="009476BE"/>
    <w:rsid w:val="0095363D"/>
    <w:rsid w:val="00955FBF"/>
    <w:rsid w:val="009562E9"/>
    <w:rsid w:val="00956520"/>
    <w:rsid w:val="00956C27"/>
    <w:rsid w:val="00960630"/>
    <w:rsid w:val="00961871"/>
    <w:rsid w:val="00961CCE"/>
    <w:rsid w:val="00962014"/>
    <w:rsid w:val="009620DE"/>
    <w:rsid w:val="00962239"/>
    <w:rsid w:val="009638AC"/>
    <w:rsid w:val="00964368"/>
    <w:rsid w:val="009645CD"/>
    <w:rsid w:val="00964C50"/>
    <w:rsid w:val="00965168"/>
    <w:rsid w:val="0096612C"/>
    <w:rsid w:val="00966C26"/>
    <w:rsid w:val="00971A0E"/>
    <w:rsid w:val="00971C86"/>
    <w:rsid w:val="009721E4"/>
    <w:rsid w:val="009722B5"/>
    <w:rsid w:val="009738F8"/>
    <w:rsid w:val="00976F52"/>
    <w:rsid w:val="0097713C"/>
    <w:rsid w:val="00977D4B"/>
    <w:rsid w:val="0098024F"/>
    <w:rsid w:val="0098043E"/>
    <w:rsid w:val="00980D19"/>
    <w:rsid w:val="00982615"/>
    <w:rsid w:val="00982C24"/>
    <w:rsid w:val="009855F1"/>
    <w:rsid w:val="009867BF"/>
    <w:rsid w:val="0098720E"/>
    <w:rsid w:val="009902E4"/>
    <w:rsid w:val="009917B7"/>
    <w:rsid w:val="0099224F"/>
    <w:rsid w:val="00993634"/>
    <w:rsid w:val="00993A1E"/>
    <w:rsid w:val="00994515"/>
    <w:rsid w:val="0099511E"/>
    <w:rsid w:val="00996E9C"/>
    <w:rsid w:val="00997ADA"/>
    <w:rsid w:val="009A0525"/>
    <w:rsid w:val="009A06A3"/>
    <w:rsid w:val="009A308C"/>
    <w:rsid w:val="009A37CB"/>
    <w:rsid w:val="009A3B3E"/>
    <w:rsid w:val="009A514A"/>
    <w:rsid w:val="009A6288"/>
    <w:rsid w:val="009B0792"/>
    <w:rsid w:val="009B0DF5"/>
    <w:rsid w:val="009B213A"/>
    <w:rsid w:val="009B43CF"/>
    <w:rsid w:val="009B75F8"/>
    <w:rsid w:val="009C0668"/>
    <w:rsid w:val="009C06C1"/>
    <w:rsid w:val="009C09A8"/>
    <w:rsid w:val="009C185E"/>
    <w:rsid w:val="009C1DD5"/>
    <w:rsid w:val="009C302E"/>
    <w:rsid w:val="009C4137"/>
    <w:rsid w:val="009C5BED"/>
    <w:rsid w:val="009C6BF0"/>
    <w:rsid w:val="009C7B51"/>
    <w:rsid w:val="009D30B1"/>
    <w:rsid w:val="009D36B6"/>
    <w:rsid w:val="009D55BA"/>
    <w:rsid w:val="009D55D7"/>
    <w:rsid w:val="009D5BF8"/>
    <w:rsid w:val="009E0172"/>
    <w:rsid w:val="009E1583"/>
    <w:rsid w:val="009E1B24"/>
    <w:rsid w:val="009E1B68"/>
    <w:rsid w:val="009E3A57"/>
    <w:rsid w:val="009E4B9F"/>
    <w:rsid w:val="009E5EE3"/>
    <w:rsid w:val="009F1002"/>
    <w:rsid w:val="009F1600"/>
    <w:rsid w:val="009F4D66"/>
    <w:rsid w:val="009F5622"/>
    <w:rsid w:val="009F7892"/>
    <w:rsid w:val="009F7A8B"/>
    <w:rsid w:val="009F7F99"/>
    <w:rsid w:val="00A008B6"/>
    <w:rsid w:val="00A0214A"/>
    <w:rsid w:val="00A03658"/>
    <w:rsid w:val="00A03D07"/>
    <w:rsid w:val="00A04644"/>
    <w:rsid w:val="00A0578F"/>
    <w:rsid w:val="00A06FFF"/>
    <w:rsid w:val="00A0796C"/>
    <w:rsid w:val="00A11C9C"/>
    <w:rsid w:val="00A15A34"/>
    <w:rsid w:val="00A1617C"/>
    <w:rsid w:val="00A17ED9"/>
    <w:rsid w:val="00A23695"/>
    <w:rsid w:val="00A2424C"/>
    <w:rsid w:val="00A24FBA"/>
    <w:rsid w:val="00A2532A"/>
    <w:rsid w:val="00A276CD"/>
    <w:rsid w:val="00A27C1D"/>
    <w:rsid w:val="00A307BE"/>
    <w:rsid w:val="00A31E09"/>
    <w:rsid w:val="00A32230"/>
    <w:rsid w:val="00A32426"/>
    <w:rsid w:val="00A33441"/>
    <w:rsid w:val="00A335E6"/>
    <w:rsid w:val="00A34400"/>
    <w:rsid w:val="00A34BBA"/>
    <w:rsid w:val="00A367D9"/>
    <w:rsid w:val="00A36B18"/>
    <w:rsid w:val="00A37424"/>
    <w:rsid w:val="00A4079E"/>
    <w:rsid w:val="00A407B8"/>
    <w:rsid w:val="00A425E7"/>
    <w:rsid w:val="00A42F18"/>
    <w:rsid w:val="00A43407"/>
    <w:rsid w:val="00A44B72"/>
    <w:rsid w:val="00A4623F"/>
    <w:rsid w:val="00A477D8"/>
    <w:rsid w:val="00A505B6"/>
    <w:rsid w:val="00A5147E"/>
    <w:rsid w:val="00A51577"/>
    <w:rsid w:val="00A51F39"/>
    <w:rsid w:val="00A53C03"/>
    <w:rsid w:val="00A5551E"/>
    <w:rsid w:val="00A561CE"/>
    <w:rsid w:val="00A606E5"/>
    <w:rsid w:val="00A60A94"/>
    <w:rsid w:val="00A61A1C"/>
    <w:rsid w:val="00A62F43"/>
    <w:rsid w:val="00A649A3"/>
    <w:rsid w:val="00A64B4D"/>
    <w:rsid w:val="00A6595A"/>
    <w:rsid w:val="00A65C40"/>
    <w:rsid w:val="00A66424"/>
    <w:rsid w:val="00A66A4C"/>
    <w:rsid w:val="00A707B3"/>
    <w:rsid w:val="00A70DF0"/>
    <w:rsid w:val="00A71CDF"/>
    <w:rsid w:val="00A73F08"/>
    <w:rsid w:val="00A7626F"/>
    <w:rsid w:val="00A77E7F"/>
    <w:rsid w:val="00A806EB"/>
    <w:rsid w:val="00A80BD5"/>
    <w:rsid w:val="00A82215"/>
    <w:rsid w:val="00A84FC4"/>
    <w:rsid w:val="00A87364"/>
    <w:rsid w:val="00A906C6"/>
    <w:rsid w:val="00A91037"/>
    <w:rsid w:val="00A914A8"/>
    <w:rsid w:val="00A9267F"/>
    <w:rsid w:val="00A92E71"/>
    <w:rsid w:val="00A9323E"/>
    <w:rsid w:val="00A93589"/>
    <w:rsid w:val="00A93B0A"/>
    <w:rsid w:val="00A94AC6"/>
    <w:rsid w:val="00A962F3"/>
    <w:rsid w:val="00A96597"/>
    <w:rsid w:val="00A97A0A"/>
    <w:rsid w:val="00A97BE6"/>
    <w:rsid w:val="00AA017A"/>
    <w:rsid w:val="00AA1C34"/>
    <w:rsid w:val="00AA2368"/>
    <w:rsid w:val="00AA2CEE"/>
    <w:rsid w:val="00AA3BF7"/>
    <w:rsid w:val="00AA45EE"/>
    <w:rsid w:val="00AA74FA"/>
    <w:rsid w:val="00AA7D22"/>
    <w:rsid w:val="00AB0D00"/>
    <w:rsid w:val="00AB224F"/>
    <w:rsid w:val="00AB417B"/>
    <w:rsid w:val="00AB44AA"/>
    <w:rsid w:val="00AB6E44"/>
    <w:rsid w:val="00AC018E"/>
    <w:rsid w:val="00AC3716"/>
    <w:rsid w:val="00AC3836"/>
    <w:rsid w:val="00AC57C8"/>
    <w:rsid w:val="00AC6508"/>
    <w:rsid w:val="00AC6957"/>
    <w:rsid w:val="00AC6E9D"/>
    <w:rsid w:val="00AC794A"/>
    <w:rsid w:val="00AC7998"/>
    <w:rsid w:val="00AD28DA"/>
    <w:rsid w:val="00AD2BAD"/>
    <w:rsid w:val="00AD3385"/>
    <w:rsid w:val="00AD40B4"/>
    <w:rsid w:val="00AD6C65"/>
    <w:rsid w:val="00AD75A3"/>
    <w:rsid w:val="00AD794F"/>
    <w:rsid w:val="00AE0BB2"/>
    <w:rsid w:val="00AE0CD5"/>
    <w:rsid w:val="00AE272B"/>
    <w:rsid w:val="00AE2E8B"/>
    <w:rsid w:val="00AE2F26"/>
    <w:rsid w:val="00AE49B1"/>
    <w:rsid w:val="00AE6473"/>
    <w:rsid w:val="00AE6ECE"/>
    <w:rsid w:val="00AF02E8"/>
    <w:rsid w:val="00AF09BF"/>
    <w:rsid w:val="00AF0CB8"/>
    <w:rsid w:val="00AF31DE"/>
    <w:rsid w:val="00AF3798"/>
    <w:rsid w:val="00AF4541"/>
    <w:rsid w:val="00AF4D91"/>
    <w:rsid w:val="00AF4F3C"/>
    <w:rsid w:val="00AF543A"/>
    <w:rsid w:val="00AF5BB8"/>
    <w:rsid w:val="00AF5BE7"/>
    <w:rsid w:val="00AF68BB"/>
    <w:rsid w:val="00AF6C90"/>
    <w:rsid w:val="00AF70D7"/>
    <w:rsid w:val="00B0079C"/>
    <w:rsid w:val="00B00A16"/>
    <w:rsid w:val="00B02107"/>
    <w:rsid w:val="00B02503"/>
    <w:rsid w:val="00B046A5"/>
    <w:rsid w:val="00B05446"/>
    <w:rsid w:val="00B06538"/>
    <w:rsid w:val="00B06807"/>
    <w:rsid w:val="00B0683E"/>
    <w:rsid w:val="00B10E22"/>
    <w:rsid w:val="00B11AB6"/>
    <w:rsid w:val="00B12D20"/>
    <w:rsid w:val="00B15CA3"/>
    <w:rsid w:val="00B21033"/>
    <w:rsid w:val="00B2184D"/>
    <w:rsid w:val="00B226C9"/>
    <w:rsid w:val="00B23409"/>
    <w:rsid w:val="00B23C59"/>
    <w:rsid w:val="00B2605D"/>
    <w:rsid w:val="00B269BC"/>
    <w:rsid w:val="00B27B35"/>
    <w:rsid w:val="00B304AD"/>
    <w:rsid w:val="00B3269C"/>
    <w:rsid w:val="00B35346"/>
    <w:rsid w:val="00B359F1"/>
    <w:rsid w:val="00B363BF"/>
    <w:rsid w:val="00B42195"/>
    <w:rsid w:val="00B4294B"/>
    <w:rsid w:val="00B4516A"/>
    <w:rsid w:val="00B503E8"/>
    <w:rsid w:val="00B54F4F"/>
    <w:rsid w:val="00B55DF3"/>
    <w:rsid w:val="00B56FF9"/>
    <w:rsid w:val="00B608F7"/>
    <w:rsid w:val="00B615CB"/>
    <w:rsid w:val="00B6202F"/>
    <w:rsid w:val="00B63C18"/>
    <w:rsid w:val="00B63F6D"/>
    <w:rsid w:val="00B643E7"/>
    <w:rsid w:val="00B64831"/>
    <w:rsid w:val="00B651C7"/>
    <w:rsid w:val="00B665E3"/>
    <w:rsid w:val="00B6735E"/>
    <w:rsid w:val="00B673A5"/>
    <w:rsid w:val="00B71C69"/>
    <w:rsid w:val="00B723F5"/>
    <w:rsid w:val="00B72844"/>
    <w:rsid w:val="00B7341D"/>
    <w:rsid w:val="00B73C8D"/>
    <w:rsid w:val="00B746D1"/>
    <w:rsid w:val="00B74D39"/>
    <w:rsid w:val="00B7540E"/>
    <w:rsid w:val="00B7610A"/>
    <w:rsid w:val="00B779CC"/>
    <w:rsid w:val="00B8229C"/>
    <w:rsid w:val="00B822C0"/>
    <w:rsid w:val="00B837C4"/>
    <w:rsid w:val="00B8517B"/>
    <w:rsid w:val="00B856B3"/>
    <w:rsid w:val="00B90217"/>
    <w:rsid w:val="00B94914"/>
    <w:rsid w:val="00B94F9D"/>
    <w:rsid w:val="00B95DDD"/>
    <w:rsid w:val="00B967C4"/>
    <w:rsid w:val="00B97DBE"/>
    <w:rsid w:val="00BA1653"/>
    <w:rsid w:val="00BA16A2"/>
    <w:rsid w:val="00BA2C63"/>
    <w:rsid w:val="00BA2CEB"/>
    <w:rsid w:val="00BA3C27"/>
    <w:rsid w:val="00BA4511"/>
    <w:rsid w:val="00BA6A22"/>
    <w:rsid w:val="00BA7506"/>
    <w:rsid w:val="00BB111E"/>
    <w:rsid w:val="00BB295E"/>
    <w:rsid w:val="00BB73C6"/>
    <w:rsid w:val="00BB7855"/>
    <w:rsid w:val="00BC0367"/>
    <w:rsid w:val="00BC17A6"/>
    <w:rsid w:val="00BC17B9"/>
    <w:rsid w:val="00BC25B4"/>
    <w:rsid w:val="00BC2AF7"/>
    <w:rsid w:val="00BC3DE2"/>
    <w:rsid w:val="00BC518D"/>
    <w:rsid w:val="00BD06C8"/>
    <w:rsid w:val="00BD1755"/>
    <w:rsid w:val="00BD5551"/>
    <w:rsid w:val="00BD5CB4"/>
    <w:rsid w:val="00BD7A92"/>
    <w:rsid w:val="00BE110D"/>
    <w:rsid w:val="00BE1E7F"/>
    <w:rsid w:val="00BE24BB"/>
    <w:rsid w:val="00BE38F4"/>
    <w:rsid w:val="00BE3902"/>
    <w:rsid w:val="00BE5F49"/>
    <w:rsid w:val="00BE728D"/>
    <w:rsid w:val="00BE7DAA"/>
    <w:rsid w:val="00BF0777"/>
    <w:rsid w:val="00BF08C3"/>
    <w:rsid w:val="00BF0DD5"/>
    <w:rsid w:val="00BF25FF"/>
    <w:rsid w:val="00BF3F29"/>
    <w:rsid w:val="00BF798C"/>
    <w:rsid w:val="00C00E63"/>
    <w:rsid w:val="00C02154"/>
    <w:rsid w:val="00C0225E"/>
    <w:rsid w:val="00C02CFB"/>
    <w:rsid w:val="00C04248"/>
    <w:rsid w:val="00C05BD2"/>
    <w:rsid w:val="00C064D8"/>
    <w:rsid w:val="00C079F8"/>
    <w:rsid w:val="00C10582"/>
    <w:rsid w:val="00C10809"/>
    <w:rsid w:val="00C13AD1"/>
    <w:rsid w:val="00C14B27"/>
    <w:rsid w:val="00C1658B"/>
    <w:rsid w:val="00C17BBB"/>
    <w:rsid w:val="00C203AE"/>
    <w:rsid w:val="00C206DD"/>
    <w:rsid w:val="00C20CCD"/>
    <w:rsid w:val="00C21A85"/>
    <w:rsid w:val="00C21ABF"/>
    <w:rsid w:val="00C21C17"/>
    <w:rsid w:val="00C21DF8"/>
    <w:rsid w:val="00C233C2"/>
    <w:rsid w:val="00C239EA"/>
    <w:rsid w:val="00C23DE5"/>
    <w:rsid w:val="00C24414"/>
    <w:rsid w:val="00C24BD9"/>
    <w:rsid w:val="00C25AEE"/>
    <w:rsid w:val="00C27CFA"/>
    <w:rsid w:val="00C31196"/>
    <w:rsid w:val="00C3189C"/>
    <w:rsid w:val="00C32974"/>
    <w:rsid w:val="00C347DA"/>
    <w:rsid w:val="00C34F85"/>
    <w:rsid w:val="00C36297"/>
    <w:rsid w:val="00C37525"/>
    <w:rsid w:val="00C37F04"/>
    <w:rsid w:val="00C414F6"/>
    <w:rsid w:val="00C41704"/>
    <w:rsid w:val="00C41921"/>
    <w:rsid w:val="00C4345D"/>
    <w:rsid w:val="00C43886"/>
    <w:rsid w:val="00C50838"/>
    <w:rsid w:val="00C53A11"/>
    <w:rsid w:val="00C54A10"/>
    <w:rsid w:val="00C55665"/>
    <w:rsid w:val="00C55EE2"/>
    <w:rsid w:val="00C56A71"/>
    <w:rsid w:val="00C56DFE"/>
    <w:rsid w:val="00C57823"/>
    <w:rsid w:val="00C61C7B"/>
    <w:rsid w:val="00C622BC"/>
    <w:rsid w:val="00C628CC"/>
    <w:rsid w:val="00C62D97"/>
    <w:rsid w:val="00C63618"/>
    <w:rsid w:val="00C65BB9"/>
    <w:rsid w:val="00C65EF5"/>
    <w:rsid w:val="00C679F0"/>
    <w:rsid w:val="00C70383"/>
    <w:rsid w:val="00C7096F"/>
    <w:rsid w:val="00C71FF3"/>
    <w:rsid w:val="00C73748"/>
    <w:rsid w:val="00C73931"/>
    <w:rsid w:val="00C741BA"/>
    <w:rsid w:val="00C74769"/>
    <w:rsid w:val="00C74DA0"/>
    <w:rsid w:val="00C81A38"/>
    <w:rsid w:val="00C820C3"/>
    <w:rsid w:val="00C83189"/>
    <w:rsid w:val="00C85BBB"/>
    <w:rsid w:val="00C91865"/>
    <w:rsid w:val="00C934D1"/>
    <w:rsid w:val="00C93A9A"/>
    <w:rsid w:val="00C93FCB"/>
    <w:rsid w:val="00C94AD9"/>
    <w:rsid w:val="00C9650E"/>
    <w:rsid w:val="00CA3414"/>
    <w:rsid w:val="00CA3FF9"/>
    <w:rsid w:val="00CA45A2"/>
    <w:rsid w:val="00CA4F3D"/>
    <w:rsid w:val="00CA5353"/>
    <w:rsid w:val="00CA5F5F"/>
    <w:rsid w:val="00CA68BD"/>
    <w:rsid w:val="00CB1126"/>
    <w:rsid w:val="00CB1837"/>
    <w:rsid w:val="00CB2978"/>
    <w:rsid w:val="00CB374E"/>
    <w:rsid w:val="00CB3BE5"/>
    <w:rsid w:val="00CB3E0F"/>
    <w:rsid w:val="00CB53DB"/>
    <w:rsid w:val="00CB78F2"/>
    <w:rsid w:val="00CB7DC9"/>
    <w:rsid w:val="00CC1353"/>
    <w:rsid w:val="00CC1640"/>
    <w:rsid w:val="00CC3AFC"/>
    <w:rsid w:val="00CC4F4D"/>
    <w:rsid w:val="00CC51EA"/>
    <w:rsid w:val="00CC5F04"/>
    <w:rsid w:val="00CC6B29"/>
    <w:rsid w:val="00CC7A1B"/>
    <w:rsid w:val="00CD0CFC"/>
    <w:rsid w:val="00CD2889"/>
    <w:rsid w:val="00CD3A4C"/>
    <w:rsid w:val="00CD3AE7"/>
    <w:rsid w:val="00CD3DA1"/>
    <w:rsid w:val="00CD3E1F"/>
    <w:rsid w:val="00CD3E26"/>
    <w:rsid w:val="00CD4D28"/>
    <w:rsid w:val="00CD4EEF"/>
    <w:rsid w:val="00CD5661"/>
    <w:rsid w:val="00CD701B"/>
    <w:rsid w:val="00CD7969"/>
    <w:rsid w:val="00CE14B8"/>
    <w:rsid w:val="00CE14F5"/>
    <w:rsid w:val="00CE1AE3"/>
    <w:rsid w:val="00CE22B8"/>
    <w:rsid w:val="00CE2D2F"/>
    <w:rsid w:val="00CE3613"/>
    <w:rsid w:val="00CE42B5"/>
    <w:rsid w:val="00CE4E71"/>
    <w:rsid w:val="00CE6141"/>
    <w:rsid w:val="00CE6E6B"/>
    <w:rsid w:val="00CE7412"/>
    <w:rsid w:val="00CF00B0"/>
    <w:rsid w:val="00CF027C"/>
    <w:rsid w:val="00CF144C"/>
    <w:rsid w:val="00CF1B8C"/>
    <w:rsid w:val="00CF21AA"/>
    <w:rsid w:val="00CF2B5F"/>
    <w:rsid w:val="00CF3CFF"/>
    <w:rsid w:val="00CF66BB"/>
    <w:rsid w:val="00CF69FA"/>
    <w:rsid w:val="00CF7581"/>
    <w:rsid w:val="00D0004C"/>
    <w:rsid w:val="00D00C95"/>
    <w:rsid w:val="00D01791"/>
    <w:rsid w:val="00D01A96"/>
    <w:rsid w:val="00D01F84"/>
    <w:rsid w:val="00D0279F"/>
    <w:rsid w:val="00D03C9A"/>
    <w:rsid w:val="00D04A54"/>
    <w:rsid w:val="00D04DC1"/>
    <w:rsid w:val="00D06331"/>
    <w:rsid w:val="00D074EE"/>
    <w:rsid w:val="00D078A7"/>
    <w:rsid w:val="00D10A5A"/>
    <w:rsid w:val="00D10FFB"/>
    <w:rsid w:val="00D148A7"/>
    <w:rsid w:val="00D14BDB"/>
    <w:rsid w:val="00D153F8"/>
    <w:rsid w:val="00D21054"/>
    <w:rsid w:val="00D22074"/>
    <w:rsid w:val="00D22D9D"/>
    <w:rsid w:val="00D245F5"/>
    <w:rsid w:val="00D26E5D"/>
    <w:rsid w:val="00D27A93"/>
    <w:rsid w:val="00D30A3D"/>
    <w:rsid w:val="00D3189A"/>
    <w:rsid w:val="00D3266D"/>
    <w:rsid w:val="00D32D25"/>
    <w:rsid w:val="00D3319F"/>
    <w:rsid w:val="00D348A6"/>
    <w:rsid w:val="00D35D1D"/>
    <w:rsid w:val="00D363B4"/>
    <w:rsid w:val="00D4087E"/>
    <w:rsid w:val="00D41F19"/>
    <w:rsid w:val="00D43418"/>
    <w:rsid w:val="00D441DA"/>
    <w:rsid w:val="00D4466B"/>
    <w:rsid w:val="00D44AF4"/>
    <w:rsid w:val="00D45726"/>
    <w:rsid w:val="00D51B1B"/>
    <w:rsid w:val="00D52FCB"/>
    <w:rsid w:val="00D53E8A"/>
    <w:rsid w:val="00D54180"/>
    <w:rsid w:val="00D55901"/>
    <w:rsid w:val="00D55BFC"/>
    <w:rsid w:val="00D569AB"/>
    <w:rsid w:val="00D5716F"/>
    <w:rsid w:val="00D613FA"/>
    <w:rsid w:val="00D61BDE"/>
    <w:rsid w:val="00D62290"/>
    <w:rsid w:val="00D6518E"/>
    <w:rsid w:val="00D65794"/>
    <w:rsid w:val="00D665CE"/>
    <w:rsid w:val="00D73DB7"/>
    <w:rsid w:val="00D74DAE"/>
    <w:rsid w:val="00D74FC2"/>
    <w:rsid w:val="00D75A48"/>
    <w:rsid w:val="00D76B92"/>
    <w:rsid w:val="00D7747C"/>
    <w:rsid w:val="00D779B3"/>
    <w:rsid w:val="00D8046E"/>
    <w:rsid w:val="00D80987"/>
    <w:rsid w:val="00D80E52"/>
    <w:rsid w:val="00D80F4E"/>
    <w:rsid w:val="00D81D90"/>
    <w:rsid w:val="00D83B53"/>
    <w:rsid w:val="00D84CE7"/>
    <w:rsid w:val="00D907AA"/>
    <w:rsid w:val="00D90D1D"/>
    <w:rsid w:val="00D90D37"/>
    <w:rsid w:val="00D91FEC"/>
    <w:rsid w:val="00D92328"/>
    <w:rsid w:val="00D92AB3"/>
    <w:rsid w:val="00D9335A"/>
    <w:rsid w:val="00D946B2"/>
    <w:rsid w:val="00D95637"/>
    <w:rsid w:val="00D95AEC"/>
    <w:rsid w:val="00D96E02"/>
    <w:rsid w:val="00D971D8"/>
    <w:rsid w:val="00D97ACA"/>
    <w:rsid w:val="00D97D5F"/>
    <w:rsid w:val="00DA3B3B"/>
    <w:rsid w:val="00DA461E"/>
    <w:rsid w:val="00DA4FF9"/>
    <w:rsid w:val="00DA7544"/>
    <w:rsid w:val="00DB0203"/>
    <w:rsid w:val="00DB0E70"/>
    <w:rsid w:val="00DB0F63"/>
    <w:rsid w:val="00DB0FA3"/>
    <w:rsid w:val="00DB19C7"/>
    <w:rsid w:val="00DB1F82"/>
    <w:rsid w:val="00DB2F9F"/>
    <w:rsid w:val="00DB2FAD"/>
    <w:rsid w:val="00DB3E97"/>
    <w:rsid w:val="00DB4994"/>
    <w:rsid w:val="00DB4D76"/>
    <w:rsid w:val="00DB4FB2"/>
    <w:rsid w:val="00DB5839"/>
    <w:rsid w:val="00DB653C"/>
    <w:rsid w:val="00DB788D"/>
    <w:rsid w:val="00DB7AD6"/>
    <w:rsid w:val="00DC0102"/>
    <w:rsid w:val="00DC011D"/>
    <w:rsid w:val="00DC162F"/>
    <w:rsid w:val="00DC4BEC"/>
    <w:rsid w:val="00DC5219"/>
    <w:rsid w:val="00DC5826"/>
    <w:rsid w:val="00DC596D"/>
    <w:rsid w:val="00DC6E00"/>
    <w:rsid w:val="00DD0789"/>
    <w:rsid w:val="00DD1225"/>
    <w:rsid w:val="00DD1360"/>
    <w:rsid w:val="00DD14EC"/>
    <w:rsid w:val="00DD180F"/>
    <w:rsid w:val="00DD1818"/>
    <w:rsid w:val="00DD4777"/>
    <w:rsid w:val="00DD500D"/>
    <w:rsid w:val="00DD563E"/>
    <w:rsid w:val="00DD7CD7"/>
    <w:rsid w:val="00DE3FF5"/>
    <w:rsid w:val="00DE6461"/>
    <w:rsid w:val="00DE7458"/>
    <w:rsid w:val="00DF0133"/>
    <w:rsid w:val="00DF23AD"/>
    <w:rsid w:val="00DF2C57"/>
    <w:rsid w:val="00DF3727"/>
    <w:rsid w:val="00DF3EED"/>
    <w:rsid w:val="00DF5603"/>
    <w:rsid w:val="00DF5CC2"/>
    <w:rsid w:val="00DF5F94"/>
    <w:rsid w:val="00E00264"/>
    <w:rsid w:val="00E0357B"/>
    <w:rsid w:val="00E03C76"/>
    <w:rsid w:val="00E04EE2"/>
    <w:rsid w:val="00E05497"/>
    <w:rsid w:val="00E057E1"/>
    <w:rsid w:val="00E068B7"/>
    <w:rsid w:val="00E11D2F"/>
    <w:rsid w:val="00E123C6"/>
    <w:rsid w:val="00E129EA"/>
    <w:rsid w:val="00E132A1"/>
    <w:rsid w:val="00E13C14"/>
    <w:rsid w:val="00E1778E"/>
    <w:rsid w:val="00E17E98"/>
    <w:rsid w:val="00E2218D"/>
    <w:rsid w:val="00E24031"/>
    <w:rsid w:val="00E27324"/>
    <w:rsid w:val="00E319AE"/>
    <w:rsid w:val="00E33849"/>
    <w:rsid w:val="00E33CE9"/>
    <w:rsid w:val="00E361A5"/>
    <w:rsid w:val="00E36942"/>
    <w:rsid w:val="00E3742C"/>
    <w:rsid w:val="00E40703"/>
    <w:rsid w:val="00E41533"/>
    <w:rsid w:val="00E41A53"/>
    <w:rsid w:val="00E4461E"/>
    <w:rsid w:val="00E45836"/>
    <w:rsid w:val="00E459FB"/>
    <w:rsid w:val="00E47343"/>
    <w:rsid w:val="00E47519"/>
    <w:rsid w:val="00E4773F"/>
    <w:rsid w:val="00E47E73"/>
    <w:rsid w:val="00E508A8"/>
    <w:rsid w:val="00E516D3"/>
    <w:rsid w:val="00E52241"/>
    <w:rsid w:val="00E5418E"/>
    <w:rsid w:val="00E565E0"/>
    <w:rsid w:val="00E60187"/>
    <w:rsid w:val="00E601D8"/>
    <w:rsid w:val="00E626CC"/>
    <w:rsid w:val="00E62D40"/>
    <w:rsid w:val="00E646DE"/>
    <w:rsid w:val="00E65859"/>
    <w:rsid w:val="00E65FFB"/>
    <w:rsid w:val="00E6657C"/>
    <w:rsid w:val="00E708E3"/>
    <w:rsid w:val="00E71E75"/>
    <w:rsid w:val="00E727C2"/>
    <w:rsid w:val="00E72AD8"/>
    <w:rsid w:val="00E73CB4"/>
    <w:rsid w:val="00E73E7C"/>
    <w:rsid w:val="00E74017"/>
    <w:rsid w:val="00E742EF"/>
    <w:rsid w:val="00E753B2"/>
    <w:rsid w:val="00E7588F"/>
    <w:rsid w:val="00E7671A"/>
    <w:rsid w:val="00E770FF"/>
    <w:rsid w:val="00E778BE"/>
    <w:rsid w:val="00E77C4E"/>
    <w:rsid w:val="00E77D23"/>
    <w:rsid w:val="00E77F78"/>
    <w:rsid w:val="00E80065"/>
    <w:rsid w:val="00E80601"/>
    <w:rsid w:val="00E80D82"/>
    <w:rsid w:val="00E8313B"/>
    <w:rsid w:val="00E83178"/>
    <w:rsid w:val="00E8317B"/>
    <w:rsid w:val="00E835EB"/>
    <w:rsid w:val="00E8698D"/>
    <w:rsid w:val="00E878D4"/>
    <w:rsid w:val="00E8799E"/>
    <w:rsid w:val="00E902F7"/>
    <w:rsid w:val="00E913DD"/>
    <w:rsid w:val="00E9214D"/>
    <w:rsid w:val="00E9220D"/>
    <w:rsid w:val="00E92908"/>
    <w:rsid w:val="00E94842"/>
    <w:rsid w:val="00E94CEC"/>
    <w:rsid w:val="00EA0321"/>
    <w:rsid w:val="00EA135C"/>
    <w:rsid w:val="00EA1B9A"/>
    <w:rsid w:val="00EA3DF7"/>
    <w:rsid w:val="00EA4490"/>
    <w:rsid w:val="00EA53A4"/>
    <w:rsid w:val="00EA7CC7"/>
    <w:rsid w:val="00EB13FD"/>
    <w:rsid w:val="00EB163D"/>
    <w:rsid w:val="00EB2CE5"/>
    <w:rsid w:val="00EB2E8D"/>
    <w:rsid w:val="00EB39E7"/>
    <w:rsid w:val="00EB4066"/>
    <w:rsid w:val="00EB5262"/>
    <w:rsid w:val="00EB7BF8"/>
    <w:rsid w:val="00EC1983"/>
    <w:rsid w:val="00EC244D"/>
    <w:rsid w:val="00EC5A63"/>
    <w:rsid w:val="00EC5C69"/>
    <w:rsid w:val="00EC6C0B"/>
    <w:rsid w:val="00EC6C81"/>
    <w:rsid w:val="00ED2541"/>
    <w:rsid w:val="00ED4127"/>
    <w:rsid w:val="00ED4398"/>
    <w:rsid w:val="00ED6FEB"/>
    <w:rsid w:val="00ED7504"/>
    <w:rsid w:val="00ED7AFF"/>
    <w:rsid w:val="00EE1195"/>
    <w:rsid w:val="00EE1D71"/>
    <w:rsid w:val="00EE3563"/>
    <w:rsid w:val="00EE36C7"/>
    <w:rsid w:val="00EE470D"/>
    <w:rsid w:val="00EE7A9C"/>
    <w:rsid w:val="00EF2352"/>
    <w:rsid w:val="00EF55D6"/>
    <w:rsid w:val="00EF632F"/>
    <w:rsid w:val="00F00868"/>
    <w:rsid w:val="00F00D6E"/>
    <w:rsid w:val="00F01EDF"/>
    <w:rsid w:val="00F0306B"/>
    <w:rsid w:val="00F03E06"/>
    <w:rsid w:val="00F04003"/>
    <w:rsid w:val="00F05498"/>
    <w:rsid w:val="00F06727"/>
    <w:rsid w:val="00F11052"/>
    <w:rsid w:val="00F13ED1"/>
    <w:rsid w:val="00F14C5B"/>
    <w:rsid w:val="00F153EF"/>
    <w:rsid w:val="00F16A8B"/>
    <w:rsid w:val="00F202D6"/>
    <w:rsid w:val="00F205D9"/>
    <w:rsid w:val="00F212C0"/>
    <w:rsid w:val="00F25AAD"/>
    <w:rsid w:val="00F26162"/>
    <w:rsid w:val="00F26EA2"/>
    <w:rsid w:val="00F27A5D"/>
    <w:rsid w:val="00F3005A"/>
    <w:rsid w:val="00F3297E"/>
    <w:rsid w:val="00F3398C"/>
    <w:rsid w:val="00F34AA0"/>
    <w:rsid w:val="00F34E00"/>
    <w:rsid w:val="00F351ED"/>
    <w:rsid w:val="00F36929"/>
    <w:rsid w:val="00F37381"/>
    <w:rsid w:val="00F37EFD"/>
    <w:rsid w:val="00F41AFD"/>
    <w:rsid w:val="00F42EAD"/>
    <w:rsid w:val="00F44471"/>
    <w:rsid w:val="00F4582B"/>
    <w:rsid w:val="00F45DB3"/>
    <w:rsid w:val="00F46B5F"/>
    <w:rsid w:val="00F46C0E"/>
    <w:rsid w:val="00F47101"/>
    <w:rsid w:val="00F4795A"/>
    <w:rsid w:val="00F501F6"/>
    <w:rsid w:val="00F50B0F"/>
    <w:rsid w:val="00F537AF"/>
    <w:rsid w:val="00F5398C"/>
    <w:rsid w:val="00F53A80"/>
    <w:rsid w:val="00F54018"/>
    <w:rsid w:val="00F5408E"/>
    <w:rsid w:val="00F544BA"/>
    <w:rsid w:val="00F54B66"/>
    <w:rsid w:val="00F57415"/>
    <w:rsid w:val="00F57CB1"/>
    <w:rsid w:val="00F64C8B"/>
    <w:rsid w:val="00F650B9"/>
    <w:rsid w:val="00F65EC2"/>
    <w:rsid w:val="00F70CF6"/>
    <w:rsid w:val="00F71B6D"/>
    <w:rsid w:val="00F727CE"/>
    <w:rsid w:val="00F74329"/>
    <w:rsid w:val="00F75129"/>
    <w:rsid w:val="00F75471"/>
    <w:rsid w:val="00F75D00"/>
    <w:rsid w:val="00F77A7E"/>
    <w:rsid w:val="00F77E24"/>
    <w:rsid w:val="00F8047D"/>
    <w:rsid w:val="00F81CD4"/>
    <w:rsid w:val="00F82342"/>
    <w:rsid w:val="00F828DB"/>
    <w:rsid w:val="00F82C94"/>
    <w:rsid w:val="00F83FA4"/>
    <w:rsid w:val="00F842E6"/>
    <w:rsid w:val="00F864EA"/>
    <w:rsid w:val="00F87697"/>
    <w:rsid w:val="00F8778D"/>
    <w:rsid w:val="00F87859"/>
    <w:rsid w:val="00F8785B"/>
    <w:rsid w:val="00F91ACE"/>
    <w:rsid w:val="00F91AFB"/>
    <w:rsid w:val="00F92B35"/>
    <w:rsid w:val="00F93B03"/>
    <w:rsid w:val="00F93B99"/>
    <w:rsid w:val="00F93FCE"/>
    <w:rsid w:val="00F95107"/>
    <w:rsid w:val="00F96DB4"/>
    <w:rsid w:val="00F97049"/>
    <w:rsid w:val="00F97DCF"/>
    <w:rsid w:val="00FA19BE"/>
    <w:rsid w:val="00FA1D91"/>
    <w:rsid w:val="00FA3AA1"/>
    <w:rsid w:val="00FA3AFA"/>
    <w:rsid w:val="00FA3DC4"/>
    <w:rsid w:val="00FA3F1D"/>
    <w:rsid w:val="00FA5524"/>
    <w:rsid w:val="00FA59BE"/>
    <w:rsid w:val="00FA7C82"/>
    <w:rsid w:val="00FB07E7"/>
    <w:rsid w:val="00FB15BC"/>
    <w:rsid w:val="00FB1FC3"/>
    <w:rsid w:val="00FB211B"/>
    <w:rsid w:val="00FB21B1"/>
    <w:rsid w:val="00FB53BC"/>
    <w:rsid w:val="00FB5DD1"/>
    <w:rsid w:val="00FB6B60"/>
    <w:rsid w:val="00FB7933"/>
    <w:rsid w:val="00FC09F2"/>
    <w:rsid w:val="00FC18C7"/>
    <w:rsid w:val="00FC190F"/>
    <w:rsid w:val="00FC1971"/>
    <w:rsid w:val="00FC2293"/>
    <w:rsid w:val="00FC2A76"/>
    <w:rsid w:val="00FC4906"/>
    <w:rsid w:val="00FC4D0C"/>
    <w:rsid w:val="00FC59E2"/>
    <w:rsid w:val="00FC643C"/>
    <w:rsid w:val="00FC6511"/>
    <w:rsid w:val="00FC72BE"/>
    <w:rsid w:val="00FD1082"/>
    <w:rsid w:val="00FD2078"/>
    <w:rsid w:val="00FD466A"/>
    <w:rsid w:val="00FD522A"/>
    <w:rsid w:val="00FD580A"/>
    <w:rsid w:val="00FD58DA"/>
    <w:rsid w:val="00FD5B57"/>
    <w:rsid w:val="00FD6C9B"/>
    <w:rsid w:val="00FD7D52"/>
    <w:rsid w:val="00FE0955"/>
    <w:rsid w:val="00FE0F94"/>
    <w:rsid w:val="00FE2C39"/>
    <w:rsid w:val="00FE46DF"/>
    <w:rsid w:val="00FE48F0"/>
    <w:rsid w:val="00FE5DA1"/>
    <w:rsid w:val="00FE67D9"/>
    <w:rsid w:val="00FE6BD9"/>
    <w:rsid w:val="00FE7083"/>
    <w:rsid w:val="00FE7701"/>
    <w:rsid w:val="00FE7BC4"/>
    <w:rsid w:val="00FF0136"/>
    <w:rsid w:val="00FF3289"/>
    <w:rsid w:val="00FF37B1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A12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FC49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C49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F63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E1553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12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A4F3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CA4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0"/>
    <w:next w:val="a0"/>
    <w:uiPriority w:val="99"/>
    <w:rsid w:val="00691F44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2"/>
    <w:uiPriority w:val="59"/>
    <w:rsid w:val="00831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9643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643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9643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643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aliases w:val="Основной текст 1,Нумерованный список !!,Нумерованный список !! Знак"/>
    <w:basedOn w:val="a0"/>
    <w:link w:val="ac"/>
    <w:uiPriority w:val="99"/>
    <w:rsid w:val="00FB21B1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1,Нумерованный список !! Знак2,Нумерованный список !! Знак Знак1"/>
    <w:basedOn w:val="a1"/>
    <w:link w:val="ab"/>
    <w:uiPriority w:val="99"/>
    <w:rsid w:val="00FB2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EF6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EF632F"/>
    <w:rPr>
      <w:color w:val="0000FF"/>
      <w:u w:val="single"/>
    </w:rPr>
  </w:style>
  <w:style w:type="character" w:customStyle="1" w:styleId="ae">
    <w:name w:val="Гипертекстовая ссылка"/>
    <w:basedOn w:val="a1"/>
    <w:uiPriority w:val="99"/>
    <w:rsid w:val="00CC4F4D"/>
    <w:rPr>
      <w:color w:val="106BBE"/>
    </w:rPr>
  </w:style>
  <w:style w:type="paragraph" w:customStyle="1" w:styleId="af">
    <w:name w:val="Комментарий"/>
    <w:basedOn w:val="a0"/>
    <w:next w:val="a0"/>
    <w:uiPriority w:val="99"/>
    <w:rsid w:val="004F6743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0">
    <w:name w:val="Информация об изменениях документа"/>
    <w:basedOn w:val="af"/>
    <w:next w:val="a0"/>
    <w:uiPriority w:val="99"/>
    <w:rsid w:val="004F6743"/>
    <w:rPr>
      <w:i/>
      <w:iCs/>
    </w:rPr>
  </w:style>
  <w:style w:type="character" w:customStyle="1" w:styleId="af1">
    <w:name w:val="Цветовое выделение"/>
    <w:uiPriority w:val="99"/>
    <w:rsid w:val="001765A3"/>
    <w:rPr>
      <w:b/>
      <w:bCs/>
      <w:color w:val="26282F"/>
    </w:rPr>
  </w:style>
  <w:style w:type="paragraph" w:styleId="af2">
    <w:name w:val="Balloon Text"/>
    <w:basedOn w:val="a0"/>
    <w:link w:val="af3"/>
    <w:uiPriority w:val="99"/>
    <w:unhideWhenUsed/>
    <w:rsid w:val="00F8778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F8778D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Заголовок статьи"/>
    <w:basedOn w:val="a0"/>
    <w:next w:val="a0"/>
    <w:uiPriority w:val="99"/>
    <w:rsid w:val="0087225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Нормальный (таблица)"/>
    <w:basedOn w:val="a0"/>
    <w:next w:val="a0"/>
    <w:uiPriority w:val="99"/>
    <w:rsid w:val="004F6BC8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1"/>
    <w:rsid w:val="00F842E6"/>
  </w:style>
  <w:style w:type="paragraph" w:customStyle="1" w:styleId="ConsPlusNormal">
    <w:name w:val="ConsPlusNormal"/>
    <w:rsid w:val="00364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link w:val="ConsPlusCell0"/>
    <w:rsid w:val="001A7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rsid w:val="001A7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aliases w:val="текст сноски,Знак сноски-FN,Ciae niinee-FN,Знак сноски 1,Ciae niinee 1"/>
    <w:basedOn w:val="a1"/>
    <w:uiPriority w:val="99"/>
    <w:rsid w:val="00605281"/>
    <w:rPr>
      <w:rFonts w:cs="Times New Roman"/>
      <w:vertAlign w:val="superscript"/>
    </w:rPr>
  </w:style>
  <w:style w:type="table" w:customStyle="1" w:styleId="11">
    <w:name w:val="Сетка таблицы1"/>
    <w:basedOn w:val="a2"/>
    <w:next w:val="a6"/>
    <w:uiPriority w:val="59"/>
    <w:rsid w:val="002E7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rsid w:val="00FC49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FC49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C4906"/>
  </w:style>
  <w:style w:type="paragraph" w:customStyle="1" w:styleId="a">
    <w:name w:val="Пробный"/>
    <w:basedOn w:val="a0"/>
    <w:uiPriority w:val="99"/>
    <w:rsid w:val="00FC4906"/>
    <w:pPr>
      <w:numPr>
        <w:numId w:val="2"/>
      </w:numPr>
      <w:jc w:val="both"/>
    </w:pPr>
    <w:rPr>
      <w:sz w:val="28"/>
      <w:szCs w:val="28"/>
    </w:rPr>
  </w:style>
  <w:style w:type="paragraph" w:styleId="af7">
    <w:name w:val="Body Text"/>
    <w:basedOn w:val="a0"/>
    <w:link w:val="af8"/>
    <w:uiPriority w:val="99"/>
    <w:rsid w:val="00FC4906"/>
    <w:pPr>
      <w:jc w:val="both"/>
    </w:pPr>
    <w:rPr>
      <w:szCs w:val="20"/>
    </w:rPr>
  </w:style>
  <w:style w:type="character" w:customStyle="1" w:styleId="af8">
    <w:name w:val="Основной текст Знак"/>
    <w:basedOn w:val="a1"/>
    <w:link w:val="af7"/>
    <w:uiPriority w:val="99"/>
    <w:rsid w:val="00FC49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page number"/>
    <w:basedOn w:val="a1"/>
    <w:uiPriority w:val="99"/>
    <w:rsid w:val="00FC4906"/>
    <w:rPr>
      <w:rFonts w:cs="Times New Roman"/>
    </w:rPr>
  </w:style>
  <w:style w:type="paragraph" w:customStyle="1" w:styleId="afa">
    <w:name w:val="Таблицы (моноширинный)"/>
    <w:basedOn w:val="a0"/>
    <w:next w:val="a0"/>
    <w:uiPriority w:val="99"/>
    <w:rsid w:val="00FC490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customStyle="1" w:styleId="23">
    <w:name w:val="Сетка таблицы2"/>
    <w:basedOn w:val="a2"/>
    <w:next w:val="a6"/>
    <w:uiPriority w:val="59"/>
    <w:rsid w:val="00FC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C490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C49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C49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iPriority w:val="99"/>
    <w:rsid w:val="00FC490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FC4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FC4906"/>
    <w:pPr>
      <w:jc w:val="center"/>
    </w:pPr>
    <w:rPr>
      <w:b/>
      <w:bCs/>
    </w:rPr>
  </w:style>
  <w:style w:type="character" w:customStyle="1" w:styleId="afc">
    <w:name w:val="Название Знак"/>
    <w:basedOn w:val="a1"/>
    <w:link w:val="afb"/>
    <w:rsid w:val="00FC49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d">
    <w:name w:val="Колонтитул (правый)"/>
    <w:basedOn w:val="a0"/>
    <w:next w:val="a0"/>
    <w:uiPriority w:val="99"/>
    <w:rsid w:val="00FC4906"/>
    <w:pPr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character" w:customStyle="1" w:styleId="afe">
    <w:name w:val="Текст примечания Знак"/>
    <w:basedOn w:val="a1"/>
    <w:link w:val="aff"/>
    <w:uiPriority w:val="99"/>
    <w:locked/>
    <w:rsid w:val="00FC4906"/>
    <w:rPr>
      <w:rFonts w:cs="Times New Roman"/>
    </w:rPr>
  </w:style>
  <w:style w:type="paragraph" w:styleId="aff">
    <w:name w:val="annotation text"/>
    <w:basedOn w:val="a0"/>
    <w:link w:val="afe"/>
    <w:uiPriority w:val="99"/>
    <w:rsid w:val="00FC4906"/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3">
    <w:name w:val="Текст примечания Знак1"/>
    <w:basedOn w:val="a1"/>
    <w:uiPriority w:val="99"/>
    <w:semiHidden/>
    <w:rsid w:val="00FC49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1"/>
    <w:uiPriority w:val="99"/>
    <w:semiHidden/>
    <w:locked/>
    <w:rsid w:val="00FC4906"/>
    <w:rPr>
      <w:rFonts w:cs="Times New Roman"/>
      <w:sz w:val="20"/>
      <w:szCs w:val="20"/>
    </w:rPr>
  </w:style>
  <w:style w:type="character" w:customStyle="1" w:styleId="aff0">
    <w:name w:val="Тема примечания Знак"/>
    <w:basedOn w:val="afe"/>
    <w:link w:val="aff1"/>
    <w:uiPriority w:val="99"/>
    <w:locked/>
    <w:rsid w:val="00FC4906"/>
    <w:rPr>
      <w:rFonts w:cs="Times New Roman"/>
      <w:b/>
      <w:bCs/>
    </w:rPr>
  </w:style>
  <w:style w:type="paragraph" w:styleId="aff1">
    <w:name w:val="annotation subject"/>
    <w:basedOn w:val="aff"/>
    <w:next w:val="aff"/>
    <w:link w:val="aff0"/>
    <w:uiPriority w:val="99"/>
    <w:rsid w:val="00FC4906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FC4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basedOn w:val="afe"/>
    <w:uiPriority w:val="99"/>
    <w:semiHidden/>
    <w:locked/>
    <w:rsid w:val="00FC4906"/>
    <w:rPr>
      <w:rFonts w:cs="Times New Roman"/>
      <w:b/>
      <w:bCs/>
      <w:sz w:val="20"/>
      <w:szCs w:val="20"/>
    </w:rPr>
  </w:style>
  <w:style w:type="paragraph" w:customStyle="1" w:styleId="ConsPlusNonformat">
    <w:name w:val="ConsPlusNonformat"/>
    <w:rsid w:val="00FC49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0"/>
    <w:uiPriority w:val="99"/>
    <w:rsid w:val="00FC4906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2">
    <w:name w:val="Текст сноски Знак"/>
    <w:basedOn w:val="a1"/>
    <w:link w:val="aff3"/>
    <w:uiPriority w:val="99"/>
    <w:semiHidden/>
    <w:locked/>
    <w:rsid w:val="00FC4906"/>
    <w:rPr>
      <w:rFonts w:ascii="Calibri" w:hAnsi="Calibri" w:cs="Times New Roman"/>
      <w:sz w:val="20"/>
      <w:szCs w:val="20"/>
    </w:rPr>
  </w:style>
  <w:style w:type="paragraph" w:styleId="aff3">
    <w:name w:val="footnote text"/>
    <w:basedOn w:val="a0"/>
    <w:link w:val="aff2"/>
    <w:uiPriority w:val="99"/>
    <w:semiHidden/>
    <w:rsid w:val="00FC4906"/>
    <w:rPr>
      <w:rFonts w:ascii="Calibri" w:eastAsiaTheme="minorHAnsi" w:hAnsi="Calibri"/>
      <w:sz w:val="20"/>
      <w:szCs w:val="20"/>
      <w:lang w:eastAsia="en-US"/>
    </w:rPr>
  </w:style>
  <w:style w:type="character" w:customStyle="1" w:styleId="16">
    <w:name w:val="Текст сноски Знак1"/>
    <w:basedOn w:val="a1"/>
    <w:uiPriority w:val="99"/>
    <w:semiHidden/>
    <w:rsid w:val="00FC49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a1"/>
    <w:uiPriority w:val="99"/>
    <w:semiHidden/>
    <w:locked/>
    <w:rsid w:val="00FC4906"/>
    <w:rPr>
      <w:rFonts w:cs="Times New Roman"/>
      <w:sz w:val="20"/>
      <w:szCs w:val="20"/>
    </w:rPr>
  </w:style>
  <w:style w:type="character" w:customStyle="1" w:styleId="aff4">
    <w:name w:val="Сравнение редакций. Удаленный фрагмент"/>
    <w:uiPriority w:val="99"/>
    <w:rsid w:val="00FC4906"/>
    <w:rPr>
      <w:color w:val="000000"/>
      <w:shd w:val="clear" w:color="auto" w:fill="C4C413"/>
    </w:rPr>
  </w:style>
  <w:style w:type="paragraph" w:customStyle="1" w:styleId="b-b2b-toption-rowtype-data">
    <w:name w:val="b-b2b-toption-row__type-data"/>
    <w:basedOn w:val="a0"/>
    <w:rsid w:val="00FC4906"/>
    <w:pPr>
      <w:spacing w:before="100" w:beforeAutospacing="1" w:after="100" w:afterAutospacing="1"/>
    </w:pPr>
  </w:style>
  <w:style w:type="character" w:customStyle="1" w:styleId="b-b2b-toption-rowtype-name">
    <w:name w:val="b-b2b-toption-row__type-name"/>
    <w:basedOn w:val="a1"/>
    <w:rsid w:val="00FC4906"/>
  </w:style>
  <w:style w:type="character" w:customStyle="1" w:styleId="apple-converted-space">
    <w:name w:val="apple-converted-space"/>
    <w:basedOn w:val="a1"/>
    <w:rsid w:val="00FC4906"/>
  </w:style>
  <w:style w:type="character" w:customStyle="1" w:styleId="b-b2b-toption-rowtype-content">
    <w:name w:val="b-b2b-toption-row__type-content"/>
    <w:basedOn w:val="a1"/>
    <w:rsid w:val="00FC4906"/>
  </w:style>
  <w:style w:type="character" w:styleId="aff5">
    <w:name w:val="Strong"/>
    <w:basedOn w:val="a1"/>
    <w:uiPriority w:val="22"/>
    <w:qFormat/>
    <w:rsid w:val="00FC4906"/>
    <w:rPr>
      <w:b/>
      <w:bCs/>
    </w:rPr>
  </w:style>
  <w:style w:type="paragraph" w:customStyle="1" w:styleId="26">
    <w:name w:val="Знак Знак2 Знак Знак Знак"/>
    <w:basedOn w:val="a0"/>
    <w:rsid w:val="00FC49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basedOn w:val="a1"/>
    <w:uiPriority w:val="99"/>
    <w:semiHidden/>
    <w:unhideWhenUsed/>
    <w:rsid w:val="00FC4906"/>
    <w:rPr>
      <w:sz w:val="16"/>
      <w:szCs w:val="16"/>
    </w:rPr>
  </w:style>
  <w:style w:type="paragraph" w:styleId="aff7">
    <w:name w:val="Normal (Web)"/>
    <w:aliases w:val="Обычный (Web)"/>
    <w:basedOn w:val="a0"/>
    <w:uiPriority w:val="99"/>
    <w:unhideWhenUsed/>
    <w:rsid w:val="00FC4906"/>
    <w:pPr>
      <w:spacing w:after="150"/>
    </w:pPr>
  </w:style>
  <w:style w:type="paragraph" w:customStyle="1" w:styleId="ConsPlusTitle">
    <w:name w:val="ConsPlusTitle"/>
    <w:rsid w:val="009A0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ff8">
    <w:name w:val="Emphasis"/>
    <w:uiPriority w:val="20"/>
    <w:qFormat/>
    <w:rsid w:val="009A06A3"/>
    <w:rPr>
      <w:i/>
      <w:iCs/>
    </w:rPr>
  </w:style>
  <w:style w:type="table" w:customStyle="1" w:styleId="33">
    <w:name w:val="Сетка таблицы3"/>
    <w:basedOn w:val="a2"/>
    <w:next w:val="a6"/>
    <w:uiPriority w:val="39"/>
    <w:rsid w:val="009A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3"/>
    <w:uiPriority w:val="99"/>
    <w:semiHidden/>
    <w:unhideWhenUsed/>
    <w:rsid w:val="0023326C"/>
  </w:style>
  <w:style w:type="table" w:customStyle="1" w:styleId="4">
    <w:name w:val="Сетка таблицы4"/>
    <w:basedOn w:val="a2"/>
    <w:next w:val="a6"/>
    <w:uiPriority w:val="59"/>
    <w:rsid w:val="0023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6"/>
    <w:rsid w:val="00A5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6"/>
    <w:uiPriority w:val="59"/>
    <w:rsid w:val="008F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uiPriority w:val="99"/>
    <w:rsid w:val="00FA5524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eastAsiaTheme="minorEastAsia"/>
    </w:rPr>
  </w:style>
  <w:style w:type="character" w:customStyle="1" w:styleId="FontStyle38">
    <w:name w:val="Font Style38"/>
    <w:basedOn w:val="a1"/>
    <w:uiPriority w:val="99"/>
    <w:rsid w:val="00FA5524"/>
    <w:rPr>
      <w:rFonts w:ascii="Times New Roman" w:hAnsi="Times New Roman" w:cs="Times New Roman"/>
      <w:sz w:val="14"/>
      <w:szCs w:val="14"/>
    </w:rPr>
  </w:style>
  <w:style w:type="character" w:customStyle="1" w:styleId="FontStyle67">
    <w:name w:val="Font Style67"/>
    <w:basedOn w:val="a1"/>
    <w:uiPriority w:val="99"/>
    <w:rsid w:val="00FA5524"/>
    <w:rPr>
      <w:rFonts w:ascii="Times New Roman" w:hAnsi="Times New Roman" w:cs="Times New Roman"/>
      <w:sz w:val="26"/>
      <w:szCs w:val="26"/>
    </w:rPr>
  </w:style>
  <w:style w:type="table" w:customStyle="1" w:styleId="7">
    <w:name w:val="Сетка таблицы7"/>
    <w:basedOn w:val="a2"/>
    <w:next w:val="a6"/>
    <w:uiPriority w:val="59"/>
    <w:rsid w:val="00D5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6"/>
    <w:uiPriority w:val="59"/>
    <w:rsid w:val="000A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6"/>
    <w:uiPriority w:val="59"/>
    <w:rsid w:val="006B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6"/>
    <w:rsid w:val="000F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6"/>
    <w:uiPriority w:val="59"/>
    <w:rsid w:val="00FE6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6"/>
    <w:rsid w:val="00B97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6"/>
    <w:rsid w:val="00B97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233AB1"/>
  </w:style>
  <w:style w:type="character" w:customStyle="1" w:styleId="17">
    <w:name w:val="Основной текст с отступом Знак1"/>
    <w:aliases w:val="Основной текст 1 Знак,Нумерованный список !! Знак1,Нумерованный список !! Знак Знак"/>
    <w:basedOn w:val="a1"/>
    <w:uiPriority w:val="99"/>
    <w:locked/>
    <w:rsid w:val="00233AB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40">
    <w:name w:val="Сетка таблицы14"/>
    <w:basedOn w:val="a2"/>
    <w:next w:val="a6"/>
    <w:uiPriority w:val="59"/>
    <w:rsid w:val="001748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6"/>
    <w:uiPriority w:val="59"/>
    <w:rsid w:val="002335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Revision"/>
    <w:hidden/>
    <w:uiPriority w:val="99"/>
    <w:semiHidden/>
    <w:rsid w:val="000E5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5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6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08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  <w:divsChild>
                                <w:div w:id="15326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7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ACE8CF35C111960818A7D5E5E6C4061F83DD8F468189EAA6B72DCCF2bDF2H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chart" Target="charts/chart14.xml"/><Relationship Id="rId39" Type="http://schemas.openxmlformats.org/officeDocument/2006/relationships/hyperlink" Target="http://www.&#1087;&#1086;&#1095;&#1090;&#1072;-&#1088;&#1086;&#1089;&#1089;&#1080;&#1080;.&#1088;&#1091;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AB784B7694C2D8919F72EDEBF07F56657741446F253C9A213101EA2AA967E0F5C2D4F785FFCF6Bc3jCG" TargetMode="External"/><Relationship Id="rId34" Type="http://schemas.openxmlformats.org/officeDocument/2006/relationships/chart" Target="charts/chart21.xml"/><Relationship Id="rId42" Type="http://schemas.openxmlformats.org/officeDocument/2006/relationships/chart" Target="charts/chart23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chart" Target="charts/chart13.xml"/><Relationship Id="rId33" Type="http://schemas.openxmlformats.org/officeDocument/2006/relationships/chart" Target="charts/chart20.xml"/><Relationship Id="rId38" Type="http://schemas.openxmlformats.org/officeDocument/2006/relationships/hyperlink" Target="http://www.russianpost.ru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16.xml"/><Relationship Id="rId41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://buhonline24.ru/wp-content/uploads/2015/04/&#1055;&#1088;&#1080;&#1082;&#1072;&#1079;-&#1085;&#1072;-&#1091;&#1074;&#1086;&#1083;&#1100;&#1085;&#1077;&#1085;&#1080;&#1077;-&#1092;&#1086;&#1088;&#1084;&#1099;-T-8-&#1073;&#1083;&#1072;&#1085;&#1082;.doc" TargetMode="External"/><Relationship Id="rId32" Type="http://schemas.openxmlformats.org/officeDocument/2006/relationships/chart" Target="charts/chart19.xml"/><Relationship Id="rId37" Type="http://schemas.openxmlformats.org/officeDocument/2006/relationships/hyperlink" Target="http://legalacts.ru/doc/prikaz-fgup-pochta-rossii-ot-17052012-n/" TargetMode="External"/><Relationship Id="rId40" Type="http://schemas.openxmlformats.org/officeDocument/2006/relationships/hyperlink" Target="consultantplus://offline/ref=119F314A26A16B276C33AAB291779B8992556939343193CB21D91169FFDACCCB1B88721BB2E486ABW97CG" TargetMode="External"/><Relationship Id="rId45" Type="http://schemas.openxmlformats.org/officeDocument/2006/relationships/hyperlink" Target="consultantplus://offline/ref=3B661B81ADF5CF768C815D34BA634B2862718A3857FA52DB54C7E29DA0582580761966018131109EEF38D84EdCN0M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yperlink" Target="consultantplus://offline/ref=EC81B3C9E780F27071B3DC28A0FCD9B97E782C4EFAB600F9CF04A567ED551B8E3B314705B9E27615851271nBw0K" TargetMode="External"/><Relationship Id="rId28" Type="http://schemas.openxmlformats.org/officeDocument/2006/relationships/chart" Target="charts/chart15.xml"/><Relationship Id="rId36" Type="http://schemas.openxmlformats.org/officeDocument/2006/relationships/hyperlink" Target="http://www.&#1087;&#1086;&#1095;&#1090;&#1072;-&#1088;&#1086;&#1089;&#1089;&#1080;&#1080;.&#1088;&#1091;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31" Type="http://schemas.openxmlformats.org/officeDocument/2006/relationships/chart" Target="charts/chart18.xml"/><Relationship Id="rId44" Type="http://schemas.openxmlformats.org/officeDocument/2006/relationships/chart" Target="charts/chart25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gks.ru" TargetMode="External"/><Relationship Id="rId22" Type="http://schemas.openxmlformats.org/officeDocument/2006/relationships/chart" Target="charts/chart12.xml"/><Relationship Id="rId27" Type="http://schemas.openxmlformats.org/officeDocument/2006/relationships/image" Target="media/image1.png"/><Relationship Id="rId30" Type="http://schemas.openxmlformats.org/officeDocument/2006/relationships/chart" Target="charts/chart17.xml"/><Relationship Id="rId35" Type="http://schemas.openxmlformats.org/officeDocument/2006/relationships/hyperlink" Target="http://www.russianpost.ru" TargetMode="External"/><Relationship Id="rId43" Type="http://schemas.openxmlformats.org/officeDocument/2006/relationships/chart" Target="charts/chart24.xml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5.xlsx"/><Relationship Id="rId1" Type="http://schemas.openxmlformats.org/officeDocument/2006/relationships/themeOverride" Target="../theme/themeOverride25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Численность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населения на 1 судебный участок в 2017 году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94867971049074"/>
          <c:y val="0"/>
        </c:manualLayout>
      </c:layout>
    </c:title>
    <c:plotArea>
      <c:layout>
        <c:manualLayout>
          <c:layoutTarget val="inner"/>
          <c:xMode val="edge"/>
          <c:yMode val="edge"/>
          <c:x val="7.5644237652111715E-2"/>
          <c:y val="7.0547298615174558E-2"/>
          <c:w val="0.90122600678703002"/>
          <c:h val="0.652971016188807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2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26"/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="1">
                      <a:solidFill>
                        <a:srgbClr val="FF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Лист1!$A$2:$A$44</c:f>
              <c:strCache>
                <c:ptCount val="43"/>
                <c:pt idx="0">
                  <c:v>Серафимовичский</c:v>
                </c:pt>
                <c:pt idx="1">
                  <c:v>Центральный</c:v>
                </c:pt>
                <c:pt idx="2">
                  <c:v>Котельниковский</c:v>
                </c:pt>
                <c:pt idx="3">
                  <c:v>Нехаевский</c:v>
                </c:pt>
                <c:pt idx="4">
                  <c:v>Палласовский</c:v>
                </c:pt>
                <c:pt idx="5">
                  <c:v>Даниловский</c:v>
                </c:pt>
                <c:pt idx="6">
                  <c:v>Дубовский</c:v>
                </c:pt>
                <c:pt idx="7">
                  <c:v>Николаевский</c:v>
                </c:pt>
                <c:pt idx="8">
                  <c:v>Еланский</c:v>
                </c:pt>
                <c:pt idx="9">
                  <c:v>Ленинский</c:v>
                </c:pt>
                <c:pt idx="10">
                  <c:v>Среднеахтубинский</c:v>
                </c:pt>
                <c:pt idx="11">
                  <c:v>Руднянский</c:v>
                </c:pt>
                <c:pt idx="12">
                  <c:v>Котовский</c:v>
                </c:pt>
                <c:pt idx="13">
                  <c:v>Чернышковский</c:v>
                </c:pt>
                <c:pt idx="14">
                  <c:v>Ворошиловский</c:v>
                </c:pt>
                <c:pt idx="15">
                  <c:v>Алексеевский</c:v>
                </c:pt>
                <c:pt idx="16">
                  <c:v>Урюпинский</c:v>
                </c:pt>
                <c:pt idx="17">
                  <c:v>Краснооктябрьский</c:v>
                </c:pt>
                <c:pt idx="18">
                  <c:v>Киквидзенский</c:v>
                </c:pt>
                <c:pt idx="19">
                  <c:v>Красноармейский</c:v>
                </c:pt>
                <c:pt idx="20">
                  <c:v>Иловлинский</c:v>
                </c:pt>
                <c:pt idx="21">
                  <c:v>Новоаннинский</c:v>
                </c:pt>
                <c:pt idx="22">
                  <c:v>Кировский</c:v>
                </c:pt>
                <c:pt idx="23">
                  <c:v>Суровикинский</c:v>
                </c:pt>
                <c:pt idx="24">
                  <c:v>Фроловский</c:v>
                </c:pt>
                <c:pt idx="25">
                  <c:v>Тракторозаводский</c:v>
                </c:pt>
                <c:pt idx="26">
                  <c:v>ВОЛГ. ОБЛАСТЬ</c:v>
                </c:pt>
                <c:pt idx="27">
                  <c:v>Клетский</c:v>
                </c:pt>
                <c:pt idx="28">
                  <c:v>Ольховский</c:v>
                </c:pt>
                <c:pt idx="29">
                  <c:v>Михайловский</c:v>
                </c:pt>
                <c:pt idx="30">
                  <c:v>Калачевский</c:v>
                </c:pt>
                <c:pt idx="31">
                  <c:v>Светлоярский</c:v>
                </c:pt>
                <c:pt idx="32">
                  <c:v>Старополтавский</c:v>
                </c:pt>
                <c:pt idx="33">
                  <c:v>Камышинский</c:v>
                </c:pt>
                <c:pt idx="34">
                  <c:v>Кумылженский</c:v>
                </c:pt>
                <c:pt idx="35">
                  <c:v>Жирновский</c:v>
                </c:pt>
                <c:pt idx="36">
                  <c:v>Городищенский</c:v>
                </c:pt>
                <c:pt idx="37">
                  <c:v>Октябрьский</c:v>
                </c:pt>
                <c:pt idx="38">
                  <c:v>Дзержинский</c:v>
                </c:pt>
                <c:pt idx="39">
                  <c:v>Новониколаевский</c:v>
                </c:pt>
                <c:pt idx="40">
                  <c:v>Волжский</c:v>
                </c:pt>
                <c:pt idx="41">
                  <c:v>Советский</c:v>
                </c:pt>
                <c:pt idx="42">
                  <c:v>Быковский</c:v>
                </c:pt>
              </c:strCache>
            </c:strRef>
          </c:cat>
          <c:val>
            <c:numRef>
              <c:f>Лист1!$B$2:$B$44</c:f>
              <c:numCache>
                <c:formatCode>General</c:formatCode>
                <c:ptCount val="43"/>
                <c:pt idx="0">
                  <c:v>11.8</c:v>
                </c:pt>
                <c:pt idx="1">
                  <c:v>11.8</c:v>
                </c:pt>
                <c:pt idx="2">
                  <c:v>12.2</c:v>
                </c:pt>
                <c:pt idx="3">
                  <c:v>13.5</c:v>
                </c:pt>
                <c:pt idx="4">
                  <c:v>13.5</c:v>
                </c:pt>
                <c:pt idx="5">
                  <c:v>14.6</c:v>
                </c:pt>
                <c:pt idx="6">
                  <c:v>14.8</c:v>
                </c:pt>
                <c:pt idx="7">
                  <c:v>14.9</c:v>
                </c:pt>
                <c:pt idx="8">
                  <c:v>15.1</c:v>
                </c:pt>
                <c:pt idx="9">
                  <c:v>15.1</c:v>
                </c:pt>
                <c:pt idx="10">
                  <c:v>15.2</c:v>
                </c:pt>
                <c:pt idx="11">
                  <c:v>15.6</c:v>
                </c:pt>
                <c:pt idx="12">
                  <c:v>15.7</c:v>
                </c:pt>
                <c:pt idx="13">
                  <c:v>15.8</c:v>
                </c:pt>
                <c:pt idx="14">
                  <c:v>15.9</c:v>
                </c:pt>
                <c:pt idx="15">
                  <c:v>16.2</c:v>
                </c:pt>
                <c:pt idx="16">
                  <c:v>16.2</c:v>
                </c:pt>
                <c:pt idx="17">
                  <c:v>16.3</c:v>
                </c:pt>
                <c:pt idx="18">
                  <c:v>16.399999999999999</c:v>
                </c:pt>
                <c:pt idx="19">
                  <c:v>16.5</c:v>
                </c:pt>
                <c:pt idx="20">
                  <c:v>16.7</c:v>
                </c:pt>
                <c:pt idx="21">
                  <c:v>16.8</c:v>
                </c:pt>
                <c:pt idx="22">
                  <c:v>16.8</c:v>
                </c:pt>
                <c:pt idx="23">
                  <c:v>17.100000000000001</c:v>
                </c:pt>
                <c:pt idx="24">
                  <c:v>17.100000000000001</c:v>
                </c:pt>
                <c:pt idx="25">
                  <c:v>17.3</c:v>
                </c:pt>
                <c:pt idx="26">
                  <c:v>17.5</c:v>
                </c:pt>
                <c:pt idx="27">
                  <c:v>17.600000000000001</c:v>
                </c:pt>
                <c:pt idx="28">
                  <c:v>17.600000000000001</c:v>
                </c:pt>
                <c:pt idx="29">
                  <c:v>17.7</c:v>
                </c:pt>
                <c:pt idx="30">
                  <c:v>18</c:v>
                </c:pt>
                <c:pt idx="31">
                  <c:v>18.2</c:v>
                </c:pt>
                <c:pt idx="32">
                  <c:v>18.7</c:v>
                </c:pt>
                <c:pt idx="33">
                  <c:v>19</c:v>
                </c:pt>
                <c:pt idx="34">
                  <c:v>19.8</c:v>
                </c:pt>
                <c:pt idx="35">
                  <c:v>19.899999999999999</c:v>
                </c:pt>
                <c:pt idx="36">
                  <c:v>20.100000000000001</c:v>
                </c:pt>
                <c:pt idx="37">
                  <c:v>20.399999999999999</c:v>
                </c:pt>
                <c:pt idx="38">
                  <c:v>20.5</c:v>
                </c:pt>
                <c:pt idx="39">
                  <c:v>21.1</c:v>
                </c:pt>
                <c:pt idx="40">
                  <c:v>21.7</c:v>
                </c:pt>
                <c:pt idx="41">
                  <c:v>23.6</c:v>
                </c:pt>
                <c:pt idx="42">
                  <c:v>25.8</c:v>
                </c:pt>
              </c:numCache>
            </c:numRef>
          </c:val>
        </c:ser>
        <c:dLbls/>
        <c:axId val="37634048"/>
        <c:axId val="37635584"/>
      </c:barChart>
      <c:catAx>
        <c:axId val="376340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635584"/>
        <c:crosses val="autoZero"/>
        <c:auto val="1"/>
        <c:lblAlgn val="ctr"/>
        <c:lblOffset val="100"/>
      </c:catAx>
      <c:valAx>
        <c:axId val="376355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тыс.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чел.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63404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Структура расходов субъектов РФ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на обеспечение</a:t>
            </a:r>
          </a:p>
          <a:p>
            <a:pPr algn="ctr"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деятельности мировых судей в 2017 году</a:t>
            </a:r>
          </a:p>
        </c:rich>
      </c:tx>
      <c:layout>
        <c:manualLayout>
          <c:xMode val="edge"/>
          <c:yMode val="edge"/>
          <c:x val="0.28931849607127286"/>
          <c:y val="0"/>
        </c:manualLayout>
      </c:layout>
    </c:title>
    <c:plotArea>
      <c:layout>
        <c:manualLayout>
          <c:layoutTarget val="inner"/>
          <c:xMode val="edge"/>
          <c:yMode val="edge"/>
          <c:x val="0.1913039734386513"/>
          <c:y val="0.15148432324553684"/>
          <c:w val="0.77084113697144374"/>
          <c:h val="0.64019152558006953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Оплата труда</c:v>
                </c:pt>
              </c:strCache>
            </c:strRef>
          </c:tx>
          <c:spPr>
            <a:gradFill rotWithShape="1"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55944426505053E-7"/>
                  <c:y val="-5.963824809438756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268,8 (58,3%)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5.963791267305645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274,6 (67,1%)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3091482649842009E-3"/>
                  <c:y val="-5.963791267305645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265,3 (71,3%)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1030494216614172E-3"/>
                  <c:y val="-5.537806176783812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228,3 (70,9%)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3118888530100991E-7"/>
                  <c:y val="-6.815761448349308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209,7 (68,3%)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5378061767838112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Краснодарский
край</c:v>
                </c:pt>
                <c:pt idx="1">
                  <c:v>Ростовская
область</c:v>
                </c:pt>
                <c:pt idx="2">
                  <c:v>Ставропольский
край</c:v>
                </c:pt>
                <c:pt idx="3">
                  <c:v>Волгоградская
область</c:v>
                </c:pt>
                <c:pt idx="4">
                  <c:v>Саратовская
область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268.80200000000002</c:v>
                </c:pt>
                <c:pt idx="1">
                  <c:v>274.55599999999993</c:v>
                </c:pt>
                <c:pt idx="2">
                  <c:v>265.28099999999944</c:v>
                </c:pt>
                <c:pt idx="3">
                  <c:v>228.31900000000002</c:v>
                </c:pt>
                <c:pt idx="4">
                  <c:v>209.73499999999999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Закупка товаров, работ и услуг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0"/>
                  <c:y val="-5.963824809438756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192,4 (41,7%)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1032150161040602E-3"/>
                  <c:y val="-5.963824809438756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134,9 (32,9%)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6.389776357827475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106,1 (28,5%)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5.537806176783812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92,4 (28,7%)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6.389809899960591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94,8 (30,9%)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5378061767838112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Краснодарский
край</c:v>
                </c:pt>
                <c:pt idx="1">
                  <c:v>Ростовская
область</c:v>
                </c:pt>
                <c:pt idx="2">
                  <c:v>Ставропольский
край</c:v>
                </c:pt>
                <c:pt idx="3">
                  <c:v>Волгоградская
область</c:v>
                </c:pt>
                <c:pt idx="4">
                  <c:v>Саратовская
область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192.38900000000001</c:v>
                </c:pt>
                <c:pt idx="1">
                  <c:v>134.87800000000001</c:v>
                </c:pt>
                <c:pt idx="2">
                  <c:v>106.145</c:v>
                </c:pt>
                <c:pt idx="3">
                  <c:v>92.424999999999997</c:v>
                </c:pt>
                <c:pt idx="4">
                  <c:v>94.837999999999994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Иные бюджетные ассигнования</c:v>
                </c:pt>
              </c:strCache>
            </c:strRef>
          </c:tx>
          <c:spPr>
            <a:gradFill rotWithShape="1">
              <a:gsLst>
                <a:gs pos="0">
                  <a:srgbClr val="C0504D">
                    <a:shade val="51000"/>
                    <a:satMod val="130000"/>
                  </a:srgbClr>
                </a:gs>
                <a:gs pos="80000">
                  <a:srgbClr val="C0504D">
                    <a:shade val="93000"/>
                    <a:satMod val="130000"/>
                  </a:srgbClr>
                </a:gs>
                <a:gs pos="100000">
                  <a:srgbClr val="C0504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5.0473186119873822E-2"/>
                  <c:y val="-4.2598509052183282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0,1 (0,0%)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6782334384858114E-2"/>
                  <c:y val="-4.2598509052183282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0,0 (0,0%)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782334384858114E-2"/>
                  <c:y val="-4.2598509052183282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0,8 (0,2%)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4679119368753852E-2"/>
                  <c:y val="-8.5197018104366112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1,3 (0,4%)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0988433228180913E-2"/>
                  <c:y val="-4.2598509052183065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2,6 (0,8%)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9637912673056417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 sz="9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Краснодарский
край</c:v>
                </c:pt>
                <c:pt idx="1">
                  <c:v>Ростовская
область</c:v>
                </c:pt>
                <c:pt idx="2">
                  <c:v>Ставропольский
край</c:v>
                </c:pt>
                <c:pt idx="3">
                  <c:v>Волгоградская
область</c:v>
                </c:pt>
                <c:pt idx="4">
                  <c:v>Саратовская
область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7.8000000000000014E-2</c:v>
                </c:pt>
                <c:pt idx="1">
                  <c:v>0</c:v>
                </c:pt>
                <c:pt idx="2">
                  <c:v>0.78400000000000003</c:v>
                </c:pt>
                <c:pt idx="3">
                  <c:v>1.29</c:v>
                </c:pt>
                <c:pt idx="4">
                  <c:v>2.6429999999999998</c:v>
                </c:pt>
              </c:numCache>
            </c:numRef>
          </c:val>
        </c:ser>
        <c:dLbls>
          <c:showVal val="1"/>
        </c:dLbls>
        <c:overlap val="100"/>
        <c:axId val="39867136"/>
        <c:axId val="39868672"/>
      </c:barChart>
      <c:catAx>
        <c:axId val="39867136"/>
        <c:scaling>
          <c:orientation val="minMax"/>
        </c:scaling>
        <c:axPos val="l"/>
        <c:numFmt formatCode="General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 anchor="ctr" anchorCtr="0"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868672"/>
        <c:crosses val="autoZero"/>
        <c:auto val="1"/>
        <c:lblAlgn val="ctr"/>
        <c:lblOffset val="100"/>
      </c:catAx>
      <c:valAx>
        <c:axId val="39868672"/>
        <c:scaling>
          <c:orientation val="minMax"/>
        </c:scaling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800">
                    <a:latin typeface="Times New Roman" pitchFamily="18" charset="0"/>
                    <a:cs typeface="Times New Roman" pitchFamily="18" charset="0"/>
                  </a:rPr>
                  <a:t>млн. руб.</a:t>
                </a:r>
              </a:p>
            </c:rich>
          </c:tx>
          <c:layout>
            <c:manualLayout>
              <c:xMode val="edge"/>
              <c:yMode val="edge"/>
              <c:x val="0.53164559477383966"/>
              <c:y val="0.84951020100123231"/>
            </c:manualLayout>
          </c:layout>
        </c:title>
        <c:numFmt formatCode="#,##0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867136"/>
        <c:crosses val="autoZero"/>
        <c:crossBetween val="between"/>
        <c:majorUnit val="100"/>
      </c:valAx>
    </c:plotArea>
    <c:legend>
      <c:legendPos val="b"/>
      <c:layout>
        <c:manualLayout>
          <c:xMode val="edge"/>
          <c:yMode val="edge"/>
          <c:x val="4.9999917202778701E-2"/>
          <c:y val="0.92773515131694773"/>
          <c:w val="0.9"/>
          <c:h val="7.2264848683051969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Расходы субъектов РФ на обеспечение деятельности </a:t>
            </a:r>
          </a:p>
          <a:p>
            <a:pPr algn="ctr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мировых судей в расчете на один судебный участок в 2017 году</a:t>
            </a:r>
          </a:p>
        </c:rich>
      </c:tx>
      <c:layout>
        <c:manualLayout>
          <c:xMode val="edge"/>
          <c:yMode val="edge"/>
          <c:x val="0.14420808597663506"/>
          <c:y val="0"/>
        </c:manualLayout>
      </c:layout>
    </c:title>
    <c:plotArea>
      <c:layout>
        <c:manualLayout>
          <c:layoutTarget val="inner"/>
          <c:xMode val="edge"/>
          <c:yMode val="edge"/>
          <c:x val="0.19482467688384369"/>
          <c:y val="0.14296462143510041"/>
          <c:w val="0.76732043352625123"/>
          <c:h val="0.65297107829572476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Оплата труда</c:v>
                </c:pt>
              </c:strCache>
            </c:strRef>
          </c:tx>
          <c:spPr>
            <a:gradFill rotWithShape="1"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0"/>
                  <c:y val="-5.111821086261981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4.6858359957401494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2598509052183327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4.6858359957401494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4.6858359957401494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111821086261981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Краснодарский
край</c:v>
                </c:pt>
                <c:pt idx="1">
                  <c:v>Ростовская
область</c:v>
                </c:pt>
                <c:pt idx="2">
                  <c:v>Ставропольский
край</c:v>
                </c:pt>
                <c:pt idx="3">
                  <c:v>Волгоградская
область</c:v>
                </c:pt>
                <c:pt idx="4">
                  <c:v>Саратовская
область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995.56461851851839</c:v>
                </c:pt>
                <c:pt idx="1">
                  <c:v>1193.7224086956508</c:v>
                </c:pt>
                <c:pt idx="2">
                  <c:v>1855.1180279720279</c:v>
                </c:pt>
                <c:pt idx="3">
                  <c:v>1574.6142206896548</c:v>
                </c:pt>
                <c:pt idx="4">
                  <c:v>1565.1879999999999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Закупка товаров, работ и услуг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0"/>
                  <c:y val="-5.111821086261981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5.5378061767838126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5.111821086261981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4.6858359957401494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4.2598509052183327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4.2598509052183327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Краснодарский
край</c:v>
                </c:pt>
                <c:pt idx="1">
                  <c:v>Ростовская
область</c:v>
                </c:pt>
                <c:pt idx="2">
                  <c:v>Ставропольский
край</c:v>
                </c:pt>
                <c:pt idx="3">
                  <c:v>Волгоградская
область</c:v>
                </c:pt>
                <c:pt idx="4">
                  <c:v>Саратовская
область</c:v>
                </c:pt>
              </c:strCache>
            </c:strRef>
          </c:cat>
          <c:val>
            <c:numRef>
              <c:f>Лист1!$C$2:$C$6</c:f>
              <c:numCache>
                <c:formatCode>#,##0.0</c:formatCode>
                <c:ptCount val="5"/>
                <c:pt idx="0">
                  <c:v>712.55310740740742</c:v>
                </c:pt>
                <c:pt idx="1">
                  <c:v>586.42735217391248</c:v>
                </c:pt>
                <c:pt idx="2">
                  <c:v>742.27672727272841</c:v>
                </c:pt>
                <c:pt idx="3">
                  <c:v>545.34604137931035</c:v>
                </c:pt>
                <c:pt idx="4">
                  <c:v>707.75223880596798</c:v>
                </c:pt>
              </c:numCache>
            </c:numRef>
          </c:val>
        </c:ser>
        <c:dLbls>
          <c:showVal val="1"/>
        </c:dLbls>
        <c:overlap val="100"/>
        <c:axId val="39841792"/>
        <c:axId val="39843328"/>
      </c:barChart>
      <c:catAx>
        <c:axId val="39841792"/>
        <c:scaling>
          <c:orientation val="minMax"/>
        </c:scaling>
        <c:axPos val="l"/>
        <c:numFmt formatCode="General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843328"/>
        <c:crosses val="autoZero"/>
        <c:auto val="1"/>
        <c:lblAlgn val="ctr"/>
        <c:lblOffset val="100"/>
      </c:catAx>
      <c:valAx>
        <c:axId val="39843328"/>
        <c:scaling>
          <c:orientation val="minMax"/>
          <c:max val="2800"/>
          <c:min val="0"/>
        </c:scaling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800">
                    <a:latin typeface="Times New Roman" pitchFamily="18" charset="0"/>
                    <a:cs typeface="Times New Roman" pitchFamily="18" charset="0"/>
                  </a:rPr>
                  <a:t>тыс. руб.</a:t>
                </a:r>
              </a:p>
            </c:rich>
          </c:tx>
          <c:layout>
            <c:manualLayout>
              <c:xMode val="edge"/>
              <c:yMode val="edge"/>
              <c:x val="0.49623454796857031"/>
              <c:y val="0.87080945552732458"/>
            </c:manualLayout>
          </c:layout>
        </c:title>
        <c:numFmt formatCode="#,##0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841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2916730834513194"/>
          <c:y val="0.92773515131694761"/>
          <c:w val="0.52904708677976753"/>
          <c:h val="7.2264848683051955E-2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Штатная и фактическая численность работников, обеспечивающих деятельность мировых судей</a:t>
            </a:r>
          </a:p>
        </c:rich>
      </c:tx>
      <c:layout>
        <c:manualLayout>
          <c:xMode val="edge"/>
          <c:yMode val="edge"/>
          <c:x val="0.17543981481481491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6465988626421695E-2"/>
          <c:y val="0.18888888888888891"/>
          <c:w val="0.87807104841061578"/>
          <c:h val="0.6052234095738038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Штат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diamond"/>
            <c:size val="7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1.3888888888888904E-2"/>
                  <c:y val="-4.36507936507936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5.158730158730157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148148148148147E-3"/>
                  <c:y val="-3.96825396825397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888888888888904E-2"/>
                  <c:y val="-6.746031746031749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4.36507936507936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4.761904761904762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9444444444446236E-3"/>
                  <c:y val="-3.96825396825396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01.01.2012</c:v>
                </c:pt>
                <c:pt idx="1">
                  <c:v>01.01.2013</c:v>
                </c:pt>
                <c:pt idx="2">
                  <c:v>01.01.2014</c:v>
                </c:pt>
                <c:pt idx="3">
                  <c:v>01.01.2015</c:v>
                </c:pt>
                <c:pt idx="4">
                  <c:v>01.01.2016</c:v>
                </c:pt>
                <c:pt idx="5">
                  <c:v>01.01.2017</c:v>
                </c:pt>
                <c:pt idx="6">
                  <c:v>01.01.2018*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788</c:v>
                </c:pt>
                <c:pt idx="1">
                  <c:v>788</c:v>
                </c:pt>
                <c:pt idx="2">
                  <c:v>787</c:v>
                </c:pt>
                <c:pt idx="3">
                  <c:v>785</c:v>
                </c:pt>
                <c:pt idx="4">
                  <c:v>785</c:v>
                </c:pt>
                <c:pt idx="5">
                  <c:v>781</c:v>
                </c:pt>
                <c:pt idx="6">
                  <c:v>762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ГГС Штат</c:v>
                </c:pt>
              </c:strCache>
            </c:strRef>
          </c:tx>
          <c:spPr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square"/>
            <c:size val="7"/>
            <c:spPr>
              <a:gradFill rotWithShape="1">
                <a:gsLst>
                  <a:gs pos="0">
                    <a:srgbClr val="C0504D">
                      <a:shade val="51000"/>
                      <a:satMod val="130000"/>
                    </a:srgbClr>
                  </a:gs>
                  <a:gs pos="80000">
                    <a:srgbClr val="C0504D">
                      <a:shade val="93000"/>
                      <a:satMod val="130000"/>
                    </a:srgbClr>
                  </a:gs>
                  <a:gs pos="100000">
                    <a:srgbClr val="C0504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2.3148148148148342E-3"/>
                  <c:y val="-4.761904761904762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3148148148148572E-3"/>
                  <c:y val="-3.96825396825396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0833333333333356E-2"/>
                  <c:y val="-8.333333333333346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5.158730158730169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4.761904761904769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6.9444444444444501E-3"/>
                  <c:y val="-4.761904761904769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9444444444446236E-3"/>
                  <c:y val="-4.365079365079373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01.01.2012</c:v>
                </c:pt>
                <c:pt idx="1">
                  <c:v>01.01.2013</c:v>
                </c:pt>
                <c:pt idx="2">
                  <c:v>01.01.2014</c:v>
                </c:pt>
                <c:pt idx="3">
                  <c:v>01.01.2015</c:v>
                </c:pt>
                <c:pt idx="4">
                  <c:v>01.01.2016</c:v>
                </c:pt>
                <c:pt idx="5">
                  <c:v>01.01.2017</c:v>
                </c:pt>
                <c:pt idx="6">
                  <c:v>01.01.2018*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377</c:v>
                </c:pt>
                <c:pt idx="1">
                  <c:v>380</c:v>
                </c:pt>
                <c:pt idx="2">
                  <c:v>379</c:v>
                </c:pt>
                <c:pt idx="3">
                  <c:v>522</c:v>
                </c:pt>
                <c:pt idx="4">
                  <c:v>522</c:v>
                </c:pt>
                <c:pt idx="5">
                  <c:v>521</c:v>
                </c:pt>
                <c:pt idx="6">
                  <c:v>522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9BBB59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triangle"/>
            <c:size val="7"/>
            <c:spPr>
              <a:gradFill rotWithShape="1">
                <a:gsLst>
                  <a:gs pos="0">
                    <a:srgbClr val="9BBB59">
                      <a:shade val="51000"/>
                      <a:satMod val="130000"/>
                    </a:srgbClr>
                  </a:gs>
                  <a:gs pos="80000">
                    <a:srgbClr val="9BBB59">
                      <a:shade val="93000"/>
                      <a:satMod val="130000"/>
                    </a:srgbClr>
                  </a:gs>
                  <a:gs pos="100000">
                    <a:srgbClr val="9BBB59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6.9444444444444735E-3"/>
                  <c:y val="5.952380952380956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3148148148148572E-3"/>
                  <c:y val="6.349206349206350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9444444444444501E-3"/>
                  <c:y val="5.952380952380945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9444444444444501E-3"/>
                  <c:y val="5.952380952380945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7.936507936507936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6296296296296328E-3"/>
                  <c:y val="5.158730158730157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5.158730158730151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01.01.2012</c:v>
                </c:pt>
                <c:pt idx="1">
                  <c:v>01.01.2013</c:v>
                </c:pt>
                <c:pt idx="2">
                  <c:v>01.01.2014</c:v>
                </c:pt>
                <c:pt idx="3">
                  <c:v>01.01.2015</c:v>
                </c:pt>
                <c:pt idx="4">
                  <c:v>01.01.2016</c:v>
                </c:pt>
                <c:pt idx="5">
                  <c:v>01.01.2017</c:v>
                </c:pt>
                <c:pt idx="6">
                  <c:v>01.01.2018*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774</c:v>
                </c:pt>
                <c:pt idx="1">
                  <c:v>777</c:v>
                </c:pt>
                <c:pt idx="2">
                  <c:v>754</c:v>
                </c:pt>
                <c:pt idx="3">
                  <c:v>761</c:v>
                </c:pt>
                <c:pt idx="4">
                  <c:v>769</c:v>
                </c:pt>
                <c:pt idx="5">
                  <c:v>738</c:v>
                </c:pt>
                <c:pt idx="6">
                  <c:v>746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ГГС Факт</c:v>
                </c:pt>
              </c:strCache>
            </c:strRef>
          </c:tx>
          <c:spPr>
            <a:ln>
              <a:solidFill>
                <a:srgbClr val="F79646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7"/>
            <c:spPr>
              <a:gradFill rotWithShape="1">
                <a:gsLst>
                  <a:gs pos="0">
                    <a:srgbClr val="F79646">
                      <a:shade val="51000"/>
                      <a:satMod val="130000"/>
                    </a:srgbClr>
                  </a:gs>
                  <a:gs pos="80000">
                    <a:srgbClr val="F79646">
                      <a:shade val="93000"/>
                      <a:satMod val="130000"/>
                    </a:srgbClr>
                  </a:gs>
                  <a:gs pos="100000">
                    <a:srgbClr val="F7964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6.9444444444444735E-3"/>
                  <c:y val="3.96825396825396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3.571428571428571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3.571428571428571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3148148148148997E-3"/>
                  <c:y val="3.968253968253961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5.158730158730157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3148148148148147E-3"/>
                  <c:y val="4.761904761904755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4.761904761904762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01.01.2012</c:v>
                </c:pt>
                <c:pt idx="1">
                  <c:v>01.01.2013</c:v>
                </c:pt>
                <c:pt idx="2">
                  <c:v>01.01.2014</c:v>
                </c:pt>
                <c:pt idx="3">
                  <c:v>01.01.2015</c:v>
                </c:pt>
                <c:pt idx="4">
                  <c:v>01.01.2016</c:v>
                </c:pt>
                <c:pt idx="5">
                  <c:v>01.01.2017</c:v>
                </c:pt>
                <c:pt idx="6">
                  <c:v>01.01.2018*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368</c:v>
                </c:pt>
                <c:pt idx="1">
                  <c:v>370</c:v>
                </c:pt>
                <c:pt idx="2">
                  <c:v>363</c:v>
                </c:pt>
                <c:pt idx="3">
                  <c:v>499</c:v>
                </c:pt>
                <c:pt idx="4">
                  <c:v>507</c:v>
                </c:pt>
                <c:pt idx="5">
                  <c:v>490</c:v>
                </c:pt>
                <c:pt idx="6">
                  <c:v>508</c:v>
                </c:pt>
              </c:numCache>
            </c:numRef>
          </c:val>
        </c:ser>
        <c:dLbls/>
        <c:marker val="1"/>
        <c:axId val="39994880"/>
        <c:axId val="39996416"/>
      </c:lineChart>
      <c:catAx>
        <c:axId val="39994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996416"/>
        <c:crosses val="autoZero"/>
        <c:auto val="1"/>
        <c:lblAlgn val="ctr"/>
        <c:lblOffset val="100"/>
      </c:catAx>
      <c:valAx>
        <c:axId val="39996416"/>
        <c:scaling>
          <c:orientation val="minMax"/>
          <c:min val="3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человек</a:t>
                </a:r>
              </a:p>
            </c:rich>
          </c:tx>
          <c:layout>
            <c:manualLayout>
              <c:xMode val="edge"/>
              <c:yMode val="edge"/>
              <c:x val="2.3148148148148147E-3"/>
              <c:y val="0.41156011748531435"/>
            </c:manualLayout>
          </c:layout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994880"/>
        <c:crosses val="autoZero"/>
        <c:crossBetween val="between"/>
        <c:majorUnit val="30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Зависимость текучести кадров на судебных участках от уровня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оплаты труда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603097293250714"/>
          <c:y val="1.8518518518518524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6307690920078284E-2"/>
          <c:y val="0.22037037037037038"/>
          <c:w val="0.8239481920430054"/>
          <c:h val="0.49153397491980189"/>
        </c:manualLayout>
      </c:layout>
      <c:barChart>
        <c:barDir val="col"/>
        <c:grouping val="clustered"/>
        <c:ser>
          <c:idx val="0"/>
          <c:order val="0"/>
          <c:tx>
            <c:strRef>
              <c:f>Лист1!$E$7</c:f>
              <c:strCache>
                <c:ptCount val="1"/>
                <c:pt idx="0">
                  <c:v>Текучесть кадров, %</c:v>
                </c:pt>
              </c:strCache>
            </c:strRef>
          </c:tx>
          <c:spPr>
            <a:gradFill rotWithShape="1"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2"/>
              <c:layout>
                <c:manualLayout>
                  <c:x val="-2.2909507445589973E-3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2909507445589973E-3"/>
                  <c:y val="-8.4875562720133801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Лист1!$D$8:$D$12</c:f>
              <c:strCache>
                <c:ptCount val="5"/>
                <c:pt idx="0">
                  <c:v>Главный специалист</c:v>
                </c:pt>
                <c:pt idx="1">
                  <c:v>Помощник судьи</c:v>
                </c:pt>
                <c:pt idx="2">
                  <c:v>Секретарь заседания</c:v>
                </c:pt>
                <c:pt idx="3">
                  <c:v>Секретарь участка</c:v>
                </c:pt>
                <c:pt idx="4">
                  <c:v>Специалист</c:v>
                </c:pt>
              </c:strCache>
            </c:strRef>
          </c:cat>
          <c:val>
            <c:numRef>
              <c:f>Лист1!$E$8:$E$12</c:f>
              <c:numCache>
                <c:formatCode>0%</c:formatCode>
                <c:ptCount val="5"/>
                <c:pt idx="0">
                  <c:v>0.26666666666666694</c:v>
                </c:pt>
                <c:pt idx="1">
                  <c:v>0.30344827586206957</c:v>
                </c:pt>
                <c:pt idx="2">
                  <c:v>0.5379310344827587</c:v>
                </c:pt>
                <c:pt idx="3">
                  <c:v>0.71724137931034482</c:v>
                </c:pt>
                <c:pt idx="4">
                  <c:v>0.32653061224489843</c:v>
                </c:pt>
              </c:numCache>
            </c:numRef>
          </c:val>
        </c:ser>
        <c:dLbls/>
        <c:axId val="40265600"/>
        <c:axId val="40267136"/>
      </c:barChart>
      <c:lineChart>
        <c:grouping val="standard"/>
        <c:ser>
          <c:idx val="1"/>
          <c:order val="1"/>
          <c:tx>
            <c:strRef>
              <c:f>Лист1!$F$7</c:f>
              <c:strCache>
                <c:ptCount val="1"/>
                <c:pt idx="0">
                  <c:v>Максимальная среднемесячная оплата труда, тыс. руб.</c:v>
                </c:pt>
              </c:strCache>
            </c:strRef>
          </c:tx>
          <c:spPr>
            <a:ln w="44450">
              <a:solidFill>
                <a:srgbClr val="9BBB59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diamond"/>
            <c:size val="13"/>
            <c:spPr>
              <a:gradFill rotWithShape="1">
                <a:gsLst>
                  <a:gs pos="0">
                    <a:srgbClr val="9BBB59">
                      <a:shade val="51000"/>
                      <a:satMod val="130000"/>
                    </a:srgbClr>
                  </a:gs>
                  <a:gs pos="80000">
                    <a:srgbClr val="9BBB59">
                      <a:shade val="93000"/>
                      <a:satMod val="130000"/>
                    </a:srgbClr>
                  </a:gs>
                  <a:gs pos="100000">
                    <a:srgbClr val="9BBB59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4.1237113402061876E-2"/>
                  <c:y val="-5.55555555555554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237113402061855E-2"/>
                  <c:y val="-6.944444444444450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036655211912963E-2"/>
                  <c:y val="-4.166666666666666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036655211912883E-2"/>
                  <c:y val="-1.851851851851862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036655211912963E-2"/>
                  <c:y val="-3.240740740740744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Лист1!$D$8:$D$12</c:f>
              <c:strCache>
                <c:ptCount val="5"/>
                <c:pt idx="0">
                  <c:v>Главный специалист</c:v>
                </c:pt>
                <c:pt idx="1">
                  <c:v>Помощник судьи</c:v>
                </c:pt>
                <c:pt idx="2">
                  <c:v>Секретарь заседания</c:v>
                </c:pt>
                <c:pt idx="3">
                  <c:v>Секретарь участка</c:v>
                </c:pt>
                <c:pt idx="4">
                  <c:v>Специалист</c:v>
                </c:pt>
              </c:strCache>
            </c:strRef>
          </c:cat>
          <c:val>
            <c:numRef>
              <c:f>Лист1!$F$8:$F$12</c:f>
              <c:numCache>
                <c:formatCode>General</c:formatCode>
                <c:ptCount val="5"/>
                <c:pt idx="0">
                  <c:v>30.3</c:v>
                </c:pt>
                <c:pt idx="1">
                  <c:v>26.9</c:v>
                </c:pt>
                <c:pt idx="2">
                  <c:v>23.3</c:v>
                </c:pt>
                <c:pt idx="3">
                  <c:v>21.5</c:v>
                </c:pt>
                <c:pt idx="4">
                  <c:v>13.9</c:v>
                </c:pt>
              </c:numCache>
            </c:numRef>
          </c:val>
        </c:ser>
        <c:dLbls/>
        <c:marker val="1"/>
        <c:axId val="40295424"/>
        <c:axId val="40293504"/>
      </c:lineChart>
      <c:catAx>
        <c:axId val="402656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267136"/>
        <c:crosses val="autoZero"/>
        <c:auto val="1"/>
        <c:lblAlgn val="ctr"/>
        <c:lblOffset val="100"/>
      </c:catAx>
      <c:valAx>
        <c:axId val="40267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265600"/>
        <c:crosses val="autoZero"/>
        <c:crossBetween val="between"/>
        <c:majorUnit val="0.2"/>
      </c:valAx>
      <c:valAx>
        <c:axId val="40293504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тыс.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руб.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95829315150039251"/>
              <c:y val="0.3637762467191602"/>
            </c:manualLayout>
          </c:layout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295424"/>
        <c:crosses val="max"/>
        <c:crossBetween val="between"/>
        <c:majorUnit val="10"/>
      </c:valAx>
      <c:catAx>
        <c:axId val="40295424"/>
        <c:scaling>
          <c:orientation val="minMax"/>
        </c:scaling>
        <c:delete val="1"/>
        <c:axPos val="b"/>
        <c:numFmt formatCode="General" sourceLinked="1"/>
        <c:tickLblPos val="none"/>
        <c:crossAx val="40293504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Смета</c:v>
                </c:pt>
              </c:strCache>
            </c:strRef>
          </c:tx>
          <c:spPr>
            <a:ln>
              <a:solidFill>
                <a:srgbClr val="4F81BD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diamond"/>
            <c:size val="7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Лист1!$B$2:$G$2</c:f>
              <c:numCache>
                <c:formatCode>#\ ##0.0</c:formatCode>
                <c:ptCount val="6"/>
                <c:pt idx="0">
                  <c:v>357.25482999999997</c:v>
                </c:pt>
                <c:pt idx="1">
                  <c:v>359.80590000000001</c:v>
                </c:pt>
                <c:pt idx="2">
                  <c:v>384.87240000000008</c:v>
                </c:pt>
                <c:pt idx="3">
                  <c:v>402.37490000000008</c:v>
                </c:pt>
                <c:pt idx="4">
                  <c:v>407</c:v>
                </c:pt>
                <c:pt idx="5">
                  <c:v>411.9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9BBB59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pPr>
              <a:gradFill rotWithShape="1">
                <a:gsLst>
                  <a:gs pos="0">
                    <a:srgbClr val="9BBB59">
                      <a:shade val="51000"/>
                      <a:satMod val="130000"/>
                    </a:srgbClr>
                  </a:gs>
                  <a:gs pos="80000">
                    <a:srgbClr val="9BBB59">
                      <a:shade val="93000"/>
                      <a:satMod val="130000"/>
                    </a:srgbClr>
                  </a:gs>
                  <a:gs pos="100000">
                    <a:srgbClr val="9BBB59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Лист1!$B$3:$G$3</c:f>
              <c:numCache>
                <c:formatCode>#\ ##0.0</c:formatCode>
                <c:ptCount val="6"/>
                <c:pt idx="0">
                  <c:v>302.92619999999943</c:v>
                </c:pt>
                <c:pt idx="1">
                  <c:v>296.59939999999966</c:v>
                </c:pt>
                <c:pt idx="2">
                  <c:v>310.40069999999974</c:v>
                </c:pt>
                <c:pt idx="3">
                  <c:v>335.99869999999964</c:v>
                </c:pt>
                <c:pt idx="4">
                  <c:v>323.20099999999979</c:v>
                </c:pt>
                <c:pt idx="5">
                  <c:v>324.18340000000001</c:v>
                </c:pt>
              </c:numCache>
            </c:numRef>
          </c:val>
        </c:ser>
        <c:dLbls/>
        <c:marker val="1"/>
        <c:axId val="40240256"/>
        <c:axId val="40241792"/>
      </c:lineChart>
      <c:catAx>
        <c:axId val="402402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241792"/>
        <c:crosses val="autoZero"/>
        <c:auto val="1"/>
        <c:lblAlgn val="ctr"/>
        <c:lblOffset val="100"/>
      </c:catAx>
      <c:valAx>
        <c:axId val="40241792"/>
        <c:scaling>
          <c:orientation val="minMax"/>
          <c:max val="440"/>
          <c:min val="290"/>
        </c:scaling>
        <c:axPos val="l"/>
        <c:majorGridlines/>
        <c:numFmt formatCode="0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240256"/>
        <c:crosses val="autoZero"/>
        <c:crossBetween val="between"/>
        <c:majorUnit val="30"/>
      </c:valAx>
    </c:plotArea>
    <c:plotVisOnly val="1"/>
    <c:dispBlanksAs val="gap"/>
  </c:chart>
  <c:spPr>
    <a:noFill/>
    <a:ln>
      <a:noFill/>
    </a:ln>
  </c:sp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016286644951125"/>
          <c:y val="7.2249589490968796E-2"/>
          <c:w val="0.86983713355048953"/>
          <c:h val="0.74755879652974466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Потребность</c:v>
                </c:pt>
              </c:strCache>
            </c:strRef>
          </c:tx>
          <c:spPr>
            <a:ln>
              <a:solidFill>
                <a:srgbClr val="4F81BD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Лист1!$B$2:$G$2</c:f>
              <c:numCache>
                <c:formatCode>#,##0.0</c:formatCode>
                <c:ptCount val="6"/>
                <c:pt idx="0">
                  <c:v>250.99483000000001</c:v>
                </c:pt>
                <c:pt idx="1">
                  <c:v>265.21590000000003</c:v>
                </c:pt>
                <c:pt idx="2">
                  <c:v>290.04700000000008</c:v>
                </c:pt>
                <c:pt idx="3">
                  <c:v>295.4732999999996</c:v>
                </c:pt>
                <c:pt idx="4">
                  <c:v>295.5043</c:v>
                </c:pt>
                <c:pt idx="5">
                  <c:v>298.50149999999974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Кассовые расходы</c:v>
                </c:pt>
              </c:strCache>
            </c:strRef>
          </c:tx>
          <c:spPr>
            <a:ln>
              <a:solidFill>
                <a:srgbClr val="9BBB59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pPr>
              <a:gradFill rotWithShape="1">
                <a:gsLst>
                  <a:gs pos="0">
                    <a:srgbClr val="9BBB59">
                      <a:shade val="51000"/>
                      <a:satMod val="130000"/>
                    </a:srgbClr>
                  </a:gs>
                  <a:gs pos="80000">
                    <a:srgbClr val="9BBB59">
                      <a:shade val="93000"/>
                      <a:satMod val="130000"/>
                    </a:srgbClr>
                  </a:gs>
                  <a:gs pos="100000">
                    <a:srgbClr val="9BBB59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Лист1!$B$3:$G$3</c:f>
              <c:numCache>
                <c:formatCode>#,##0.0</c:formatCode>
                <c:ptCount val="6"/>
                <c:pt idx="0">
                  <c:v>217.7885</c:v>
                </c:pt>
                <c:pt idx="1">
                  <c:v>219.4751</c:v>
                </c:pt>
                <c:pt idx="2">
                  <c:v>238.1961</c:v>
                </c:pt>
                <c:pt idx="3">
                  <c:v>235.51399999999998</c:v>
                </c:pt>
                <c:pt idx="4">
                  <c:v>244.86730000000014</c:v>
                </c:pt>
                <c:pt idx="5">
                  <c:v>243.67899999999997</c:v>
                </c:pt>
              </c:numCache>
            </c:numRef>
          </c:val>
        </c:ser>
        <c:dLbls/>
        <c:marker val="1"/>
        <c:axId val="40354560"/>
        <c:axId val="40356096"/>
      </c:lineChart>
      <c:catAx>
        <c:axId val="4035456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356096"/>
        <c:crosses val="autoZero"/>
        <c:auto val="1"/>
        <c:lblAlgn val="ctr"/>
        <c:lblOffset val="100"/>
      </c:catAx>
      <c:valAx>
        <c:axId val="40356096"/>
        <c:scaling>
          <c:orientation val="minMax"/>
          <c:min val="20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354560"/>
        <c:crosses val="autoZero"/>
        <c:crossBetween val="between"/>
        <c:majorUnit val="40"/>
      </c:valAx>
    </c:plotArea>
    <c:plotVisOnly val="1"/>
    <c:dispBlanksAs val="gap"/>
  </c:chart>
  <c:spPr>
    <a:ln>
      <a:noFill/>
    </a:ln>
  </c:spPr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23344191096634"/>
          <c:y val="7.2249589490968796E-2"/>
          <c:w val="0.86650012396658882"/>
          <c:h val="0.7344225075313866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Смета</c:v>
                </c:pt>
              </c:strCache>
            </c:strRef>
          </c:tx>
          <c:spPr>
            <a:ln>
              <a:solidFill>
                <a:srgbClr val="4F81BD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Лист1!$B$2:$G$2</c:f>
              <c:numCache>
                <c:formatCode>#,##0.0</c:formatCode>
                <c:ptCount val="6"/>
                <c:pt idx="0">
                  <c:v>97.990000000000023</c:v>
                </c:pt>
                <c:pt idx="1">
                  <c:v>85.754999999999995</c:v>
                </c:pt>
                <c:pt idx="2">
                  <c:v>87.823399999999978</c:v>
                </c:pt>
                <c:pt idx="3">
                  <c:v>89.456600000000023</c:v>
                </c:pt>
                <c:pt idx="4">
                  <c:v>90.86869999999999</c:v>
                </c:pt>
                <c:pt idx="5">
                  <c:v>93.7517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9BBB59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pPr>
              <a:gradFill rotWithShape="1">
                <a:gsLst>
                  <a:gs pos="0">
                    <a:srgbClr val="9BBB59">
                      <a:shade val="51000"/>
                      <a:satMod val="130000"/>
                    </a:srgbClr>
                  </a:gs>
                  <a:gs pos="80000">
                    <a:srgbClr val="9BBB59">
                      <a:shade val="93000"/>
                      <a:satMod val="130000"/>
                    </a:srgbClr>
                  </a:gs>
                  <a:gs pos="100000">
                    <a:srgbClr val="9BBB59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2"/>
              <c:layout>
                <c:manualLayout>
                  <c:x val="-9.6634093376764582E-2"/>
                  <c:y val="-0.10344827586206895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115092290988137E-2"/>
                  <c:y val="-3.119868637110016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Лист1!$B$3:$G$3</c:f>
              <c:numCache>
                <c:formatCode>#,##0.0</c:formatCode>
                <c:ptCount val="6"/>
                <c:pt idx="0">
                  <c:v>80.058300000000003</c:v>
                </c:pt>
                <c:pt idx="1">
                  <c:v>71.052999999999983</c:v>
                </c:pt>
                <c:pt idx="2">
                  <c:v>66.628999999999948</c:v>
                </c:pt>
                <c:pt idx="3">
                  <c:v>83.17019999999998</c:v>
                </c:pt>
                <c:pt idx="4">
                  <c:v>69.641899999999993</c:v>
                </c:pt>
                <c:pt idx="5">
                  <c:v>69.217500000000101</c:v>
                </c:pt>
              </c:numCache>
            </c:numRef>
          </c:val>
        </c:ser>
        <c:dLbls/>
        <c:marker val="1"/>
        <c:axId val="40578432"/>
        <c:axId val="40584320"/>
      </c:lineChart>
      <c:catAx>
        <c:axId val="4057843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584320"/>
        <c:crosses val="autoZero"/>
        <c:auto val="1"/>
        <c:lblAlgn val="ctr"/>
        <c:lblOffset val="100"/>
      </c:catAx>
      <c:valAx>
        <c:axId val="40584320"/>
        <c:scaling>
          <c:orientation val="minMax"/>
          <c:min val="6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578432"/>
        <c:crosses val="autoZero"/>
        <c:crossBetween val="between"/>
        <c:majorUnit val="10"/>
      </c:valAx>
    </c:plotArea>
    <c:plotVisOnly val="1"/>
    <c:dispBlanksAs val="gap"/>
  </c:chart>
  <c:spPr>
    <a:ln>
      <a:noFill/>
    </a:ln>
  </c:spPr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930510314875142"/>
          <c:y val="7.2249589490968796E-2"/>
          <c:w val="0.88061521625757799"/>
          <c:h val="0.72785436303220719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Смета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Pt>
            <c:idx val="0"/>
            <c:spPr>
              <a:ln>
                <a:solidFill>
                  <a:srgbClr val="4F81BD">
                    <a:lumMod val="75000"/>
                  </a:srgb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Лист1!$B$2:$G$2</c:f>
              <c:numCache>
                <c:formatCode>#,##0.0</c:formatCode>
                <c:ptCount val="6"/>
                <c:pt idx="0">
                  <c:v>1.59</c:v>
                </c:pt>
                <c:pt idx="1">
                  <c:v>1.385</c:v>
                </c:pt>
                <c:pt idx="2">
                  <c:v>1.5814999999999986</c:v>
                </c:pt>
                <c:pt idx="3">
                  <c:v>1.395</c:v>
                </c:pt>
                <c:pt idx="4">
                  <c:v>1.3959999999999986</c:v>
                </c:pt>
                <c:pt idx="5">
                  <c:v>1.4396999999999978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9BBB59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pPr>
              <a:gradFill rotWithShape="1">
                <a:gsLst>
                  <a:gs pos="0">
                    <a:srgbClr val="9BBB59">
                      <a:shade val="51000"/>
                      <a:satMod val="130000"/>
                    </a:srgbClr>
                  </a:gs>
                  <a:gs pos="80000">
                    <a:srgbClr val="9BBB59">
                      <a:shade val="93000"/>
                      <a:satMod val="130000"/>
                    </a:srgbClr>
                  </a:gs>
                  <a:gs pos="100000">
                    <a:srgbClr val="9BBB59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Лист1!$B$3:$G$3</c:f>
              <c:numCache>
                <c:formatCode>#,##0.0</c:formatCode>
                <c:ptCount val="6"/>
                <c:pt idx="0">
                  <c:v>1.3857999999999986</c:v>
                </c:pt>
                <c:pt idx="1">
                  <c:v>1.2752999999999985</c:v>
                </c:pt>
                <c:pt idx="2">
                  <c:v>1.5334999999999988</c:v>
                </c:pt>
                <c:pt idx="3">
                  <c:v>1.3163</c:v>
                </c:pt>
                <c:pt idx="4">
                  <c:v>1.2023999999999988</c:v>
                </c:pt>
                <c:pt idx="5">
                  <c:v>1.29</c:v>
                </c:pt>
              </c:numCache>
            </c:numRef>
          </c:val>
        </c:ser>
        <c:dLbls/>
        <c:marker val="1"/>
        <c:axId val="40511744"/>
        <c:axId val="40521728"/>
      </c:lineChart>
      <c:catAx>
        <c:axId val="4051174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521728"/>
        <c:crosses val="autoZero"/>
        <c:auto val="1"/>
        <c:lblAlgn val="ctr"/>
        <c:lblOffset val="100"/>
      </c:catAx>
      <c:valAx>
        <c:axId val="40521728"/>
        <c:scaling>
          <c:orientation val="minMax"/>
          <c:min val="1"/>
        </c:scaling>
        <c:axPos val="l"/>
        <c:majorGridlines/>
        <c:numFmt formatCode="#,##0.0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511744"/>
        <c:crosses val="autoZero"/>
        <c:crossBetween val="between"/>
        <c:majorUnit val="0.2"/>
      </c:valAx>
    </c:plotArea>
    <c:plotVisOnly val="1"/>
    <c:dispBlanksAs val="gap"/>
  </c:chart>
  <c:spPr>
    <a:ln>
      <a:noFill/>
    </a:ln>
  </c:spPr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102062975027138"/>
          <c:y val="7.2249589490968796E-2"/>
          <c:w val="0.85708994844699782"/>
          <c:h val="0.74099065203056635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Смета</c:v>
                </c:pt>
              </c:strCache>
            </c:strRef>
          </c:tx>
          <c:spPr>
            <a:ln>
              <a:solidFill>
                <a:srgbClr val="4F81BD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Лист1!$B$2:$G$2</c:f>
              <c:numCache>
                <c:formatCode>#\ ##0.0</c:formatCode>
                <c:ptCount val="6"/>
                <c:pt idx="0">
                  <c:v>6.68</c:v>
                </c:pt>
                <c:pt idx="1">
                  <c:v>7.45</c:v>
                </c:pt>
                <c:pt idx="2">
                  <c:v>5.4204999999999997</c:v>
                </c:pt>
                <c:pt idx="3">
                  <c:v>16.05</c:v>
                </c:pt>
                <c:pt idx="4">
                  <c:v>17.2</c:v>
                </c:pt>
                <c:pt idx="5">
                  <c:v>18.2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9BBB59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pPr>
              <a:gradFill rotWithShape="1">
                <a:gsLst>
                  <a:gs pos="0">
                    <a:srgbClr val="9BBB59">
                      <a:shade val="51000"/>
                      <a:satMod val="130000"/>
                    </a:srgbClr>
                  </a:gs>
                  <a:gs pos="80000">
                    <a:srgbClr val="9BBB59">
                      <a:shade val="93000"/>
                      <a:satMod val="130000"/>
                    </a:srgbClr>
                  </a:gs>
                  <a:gs pos="100000">
                    <a:srgbClr val="9BBB59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6.840390879478829E-2"/>
                  <c:y val="5.09031198686371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840390879478829E-2"/>
                  <c:y val="4.43349753694581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840390879478829E-2"/>
                  <c:y val="4.43349753694581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9261672095548477E-2"/>
                  <c:y val="6.403940886699509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2747014115092504E-2"/>
                  <c:y val="8.374384236453216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1407832978532411E-2"/>
                  <c:y val="8.374384236453211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Лист1!$B$3:$G$3</c:f>
              <c:numCache>
                <c:formatCode>#\ ##0.0</c:formatCode>
                <c:ptCount val="6"/>
                <c:pt idx="0">
                  <c:v>3.6936</c:v>
                </c:pt>
                <c:pt idx="1">
                  <c:v>4.7960000000000003</c:v>
                </c:pt>
                <c:pt idx="2">
                  <c:v>4.0420999999999996</c:v>
                </c:pt>
                <c:pt idx="3">
                  <c:v>15.998200000000001</c:v>
                </c:pt>
                <c:pt idx="4">
                  <c:v>7.4894000000000034</c:v>
                </c:pt>
                <c:pt idx="5">
                  <c:v>9.9969000000000001</c:v>
                </c:pt>
              </c:numCache>
            </c:numRef>
          </c:val>
        </c:ser>
        <c:dLbls/>
        <c:marker val="1"/>
        <c:axId val="40657664"/>
        <c:axId val="40659200"/>
      </c:lineChart>
      <c:catAx>
        <c:axId val="4065766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659200"/>
        <c:crosses val="autoZero"/>
        <c:auto val="1"/>
        <c:lblAlgn val="ctr"/>
        <c:lblOffset val="100"/>
      </c:catAx>
      <c:valAx>
        <c:axId val="40659200"/>
        <c:scaling>
          <c:orientation val="minMax"/>
          <c:max val="20"/>
          <c:min val="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657664"/>
        <c:crosses val="autoZero"/>
        <c:crossBetween val="between"/>
        <c:majorUnit val="5"/>
      </c:valAx>
    </c:plotArea>
    <c:plotVisOnly val="1"/>
    <c:dispBlanksAs val="gap"/>
  </c:chart>
  <c:spPr>
    <a:ln>
      <a:noFill/>
    </a:ln>
  </c:spPr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Расходы 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на обеспечение деятельности мировых судей </a:t>
            </a:r>
          </a:p>
          <a:p>
            <a:pPr algn="ctr"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в 2012-2017 годах</a:t>
            </a:r>
          </a:p>
        </c:rich>
      </c:tx>
      <c:layout>
        <c:manualLayout>
          <c:xMode val="edge"/>
          <c:yMode val="edge"/>
          <c:x val="0.19898374034465977"/>
          <c:y val="1.6576857647583416E-3"/>
        </c:manualLayout>
      </c:layout>
    </c:title>
    <c:plotArea>
      <c:layout>
        <c:manualLayout>
          <c:layoutTarget val="inner"/>
          <c:xMode val="edge"/>
          <c:yMode val="edge"/>
          <c:x val="9.9246373917998773E-2"/>
          <c:y val="0.13716599710750441"/>
          <c:w val="0.87222747711211246"/>
          <c:h val="0.60827849120847977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Оплата труда с начислениями </c:v>
                </c:pt>
              </c:strCache>
            </c:strRef>
          </c:tx>
          <c:spPr>
            <a:gradFill rotWithShape="1"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0"/>
                  <c:y val="-5.111821086261981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5.111821086261990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5.111821086261981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1030494216614211E-3"/>
                  <c:y val="-5.5378061767838126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5.5378061767838126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5378061767838126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#\ ##0.0</c:formatCode>
                <c:ptCount val="6"/>
                <c:pt idx="0">
                  <c:v>217.8</c:v>
                </c:pt>
                <c:pt idx="1">
                  <c:v>219.5</c:v>
                </c:pt>
                <c:pt idx="2">
                  <c:v>238.2</c:v>
                </c:pt>
                <c:pt idx="3">
                  <c:v>235.5</c:v>
                </c:pt>
                <c:pt idx="4">
                  <c:v>244.9</c:v>
                </c:pt>
                <c:pt idx="5">
                  <c:v>228.2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Оплата работ, услуг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0"/>
                  <c:y val="-4.6858359957401514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5.5378397189169322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5.111821086261981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5.5378061767838126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5.111821086261981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5378061767838126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80.099999999999994</c:v>
                </c:pt>
                <c:pt idx="1">
                  <c:v>71.099999999999994</c:v>
                </c:pt>
                <c:pt idx="2">
                  <c:v>66.599999999999994</c:v>
                </c:pt>
                <c:pt idx="3">
                  <c:v>83.2</c:v>
                </c:pt>
                <c:pt idx="4">
                  <c:v>69.599999999999994</c:v>
                </c:pt>
                <c:pt idx="5">
                  <c:v>69.2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Прочие расходы</c:v>
                </c:pt>
              </c:strCache>
            </c:strRef>
          </c:tx>
          <c:spPr>
            <a:gradFill rotWithShape="1">
              <a:gsLst>
                <a:gs pos="0">
                  <a:srgbClr val="C0504D">
                    <a:shade val="51000"/>
                    <a:satMod val="130000"/>
                  </a:srgbClr>
                </a:gs>
                <a:gs pos="80000">
                  <a:srgbClr val="C0504D">
                    <a:shade val="93000"/>
                    <a:satMod val="130000"/>
                  </a:srgbClr>
                </a:gs>
                <a:gs pos="100000">
                  <a:srgbClr val="C0504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8.7255566564113339E-3"/>
                  <c:y val="-5.4195725534308258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4150110375275903E-3"/>
                  <c:y val="-5.3013444747977929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8300220750551876E-3"/>
                  <c:y val="-5.573453318335209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5.9637912673056487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150110375275903E-3"/>
                  <c:y val="-5.691681396968237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9637912673056417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 sz="9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1.4</c:v>
                </c:pt>
                <c:pt idx="1">
                  <c:v>1.3</c:v>
                </c:pt>
                <c:pt idx="2">
                  <c:v>1.5</c:v>
                </c:pt>
                <c:pt idx="3">
                  <c:v>1.3</c:v>
                </c:pt>
                <c:pt idx="4">
                  <c:v>1.2</c:v>
                </c:pt>
                <c:pt idx="5">
                  <c:v>1.3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Поступление нефинансовых активов</c:v>
                </c:pt>
              </c:strCache>
            </c:strRef>
          </c:tx>
          <c:spPr>
            <a:gradFill rotWithShape="1">
              <a:gsLst>
                <a:gs pos="0">
                  <a:srgbClr val="F79646">
                    <a:shade val="51000"/>
                    <a:satMod val="130000"/>
                  </a:srgbClr>
                </a:gs>
                <a:gs pos="80000">
                  <a:srgbClr val="F79646">
                    <a:shade val="93000"/>
                    <a:satMod val="130000"/>
                  </a:srgbClr>
                </a:gs>
                <a:gs pos="100000">
                  <a:srgbClr val="F79646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3.0905077262693193E-2"/>
                  <c:y val="-5.17006802721088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0905077262693193E-2"/>
                  <c:y val="-5.44217687074829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6490066225165594E-2"/>
                  <c:y val="-5.98639455782313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660044150110375E-2"/>
                  <c:y val="-5.714285714285714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8697571743929388E-2"/>
                  <c:y val="-5.98639455782313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8697571743929388E-2"/>
                  <c:y val="-5.98639455782313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Лист1!$E$2:$E$7</c:f>
              <c:numCache>
                <c:formatCode>0.0</c:formatCode>
                <c:ptCount val="6"/>
                <c:pt idx="0">
                  <c:v>3.7</c:v>
                </c:pt>
                <c:pt idx="1">
                  <c:v>4.8</c:v>
                </c:pt>
                <c:pt idx="2">
                  <c:v>4</c:v>
                </c:pt>
                <c:pt idx="3">
                  <c:v>16</c:v>
                </c:pt>
                <c:pt idx="4">
                  <c:v>7.5</c:v>
                </c:pt>
                <c:pt idx="5">
                  <c:v>10</c:v>
                </c:pt>
              </c:numCache>
            </c:numRef>
          </c:val>
        </c:ser>
        <c:dLbls>
          <c:showVal val="1"/>
        </c:dLbls>
        <c:overlap val="100"/>
        <c:axId val="40789120"/>
        <c:axId val="40790656"/>
      </c:barChart>
      <c:catAx>
        <c:axId val="40789120"/>
        <c:scaling>
          <c:orientation val="minMax"/>
        </c:scaling>
        <c:axPos val="l"/>
        <c:numFmt formatCode="General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 anchor="ctr" anchorCtr="0"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790656"/>
        <c:crosses val="autoZero"/>
        <c:auto val="1"/>
        <c:lblAlgn val="ctr"/>
        <c:lblOffset val="100"/>
      </c:catAx>
      <c:valAx>
        <c:axId val="40790656"/>
        <c:scaling>
          <c:orientation val="minMax"/>
        </c:scaling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>
                    <a:latin typeface="Times New Roman" pitchFamily="18" charset="0"/>
                    <a:cs typeface="Times New Roman" pitchFamily="18" charset="0"/>
                  </a:rPr>
                  <a:t>млн.</a:t>
                </a:r>
                <a:r>
                  <a:rPr lang="ru-RU" sz="900" baseline="0">
                    <a:latin typeface="Times New Roman" pitchFamily="18" charset="0"/>
                    <a:cs typeface="Times New Roman" pitchFamily="18" charset="0"/>
                  </a:rPr>
                  <a:t> руб.</a:t>
                </a:r>
                <a:endParaRPr lang="ru-RU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8652757153374867"/>
              <c:y val="0.79306289072153602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789120"/>
        <c:crosses val="autoZero"/>
        <c:crossBetween val="between"/>
        <c:majorUnit val="100"/>
      </c:valAx>
    </c:plotArea>
    <c:legend>
      <c:legendPos val="b"/>
      <c:layout>
        <c:manualLayout>
          <c:xMode val="edge"/>
          <c:yMode val="edge"/>
          <c:x val="2.2478172795753967E-4"/>
          <c:y val="0.88206011995747746"/>
          <c:w val="0.9800606629469325"/>
          <c:h val="0.11531061807793619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дел,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оконченных мировыми судьями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149627955358156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0874436688634559"/>
          <c:y val="8.2710942941393986E-2"/>
          <c:w val="0.84681641466972823"/>
          <c:h val="0.70784668352478042"/>
        </c:manualLayout>
      </c:layout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УК</c:v>
                </c:pt>
              </c:strCache>
            </c:strRef>
          </c:tx>
          <c:spPr>
            <a:gradFill rotWithShape="1">
              <a:gsLst>
                <a:gs pos="0">
                  <a:srgbClr val="F79646">
                    <a:shade val="51000"/>
                    <a:satMod val="130000"/>
                  </a:srgbClr>
                </a:gs>
                <a:gs pos="80000">
                  <a:srgbClr val="F79646">
                    <a:shade val="93000"/>
                    <a:satMod val="130000"/>
                  </a:srgbClr>
                </a:gs>
                <a:gs pos="100000">
                  <a:srgbClr val="F79646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1.5015436003333459E-2"/>
                  <c:y val="-6.341330212599961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5015436003333459E-2"/>
                  <c:y val="-6.341330212599961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015436003333459E-2"/>
                  <c:y val="-6.341330212599961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015436003333459E-2"/>
                  <c:y val="-6.341330212599961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7160498289523981E-2"/>
                  <c:y val="-6.341330212599961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7160498289523981E-2"/>
                  <c:y val="-6.737663350887476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0.0</c:formatCode>
                <c:ptCount val="6"/>
                <c:pt idx="0">
                  <c:v>7.6310000000000002</c:v>
                </c:pt>
                <c:pt idx="1">
                  <c:v>7.6029999999999971</c:v>
                </c:pt>
                <c:pt idx="2">
                  <c:v>7.5910000000000002</c:v>
                </c:pt>
                <c:pt idx="3">
                  <c:v>7.742</c:v>
                </c:pt>
                <c:pt idx="4">
                  <c:v>8.7050000000000001</c:v>
                </c:pt>
                <c:pt idx="5">
                  <c:v>8.42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ГП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0.0</c:formatCode>
                <c:ptCount val="6"/>
                <c:pt idx="0">
                  <c:v>163.24899999999997</c:v>
                </c:pt>
                <c:pt idx="1">
                  <c:v>172.74499999999998</c:v>
                </c:pt>
                <c:pt idx="2">
                  <c:v>197.17399999999998</c:v>
                </c:pt>
                <c:pt idx="3">
                  <c:v>221.49200000000008</c:v>
                </c:pt>
                <c:pt idx="4">
                  <c:v>170.494</c:v>
                </c:pt>
                <c:pt idx="5">
                  <c:v>262.0539999999998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КоАП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Лист1!$D$2:$D$7</c:f>
              <c:numCache>
                <c:formatCode>0.0</c:formatCode>
                <c:ptCount val="6"/>
                <c:pt idx="0">
                  <c:v>114.836</c:v>
                </c:pt>
                <c:pt idx="1">
                  <c:v>90.316999999999993</c:v>
                </c:pt>
                <c:pt idx="2">
                  <c:v>90.824999999999989</c:v>
                </c:pt>
                <c:pt idx="3">
                  <c:v>96.77</c:v>
                </c:pt>
                <c:pt idx="4">
                  <c:v>87.965999999999994</c:v>
                </c:pt>
                <c:pt idx="5">
                  <c:v>95.35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КАС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4" formatCode="0.0">
                  <c:v>44.213000000000001</c:v>
                </c:pt>
                <c:pt idx="5" formatCode="0.0">
                  <c:v>60.4</c:v>
                </c:pt>
              </c:numCache>
            </c:numRef>
          </c:val>
        </c:ser>
        <c:dLbls/>
        <c:shape val="box"/>
        <c:axId val="38002688"/>
        <c:axId val="38004224"/>
        <c:axId val="0"/>
      </c:bar3DChart>
      <c:catAx>
        <c:axId val="3800268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004224"/>
        <c:crosses val="autoZero"/>
        <c:auto val="1"/>
        <c:lblAlgn val="ctr"/>
        <c:lblOffset val="100"/>
      </c:catAx>
      <c:valAx>
        <c:axId val="3800422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млн. ед.</a:t>
                </a:r>
              </a:p>
            </c:rich>
          </c:tx>
          <c:layout>
            <c:manualLayout>
              <c:xMode val="edge"/>
              <c:yMode val="edge"/>
              <c:x val="0.47866763813105467"/>
              <c:y val="0.85788048699986663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002688"/>
        <c:crosses val="autoZero"/>
        <c:crossBetween val="between"/>
        <c:majorUnit val="100"/>
      </c:valAx>
    </c:plotArea>
    <c:legend>
      <c:legendPos val="b"/>
      <c:layout>
        <c:manualLayout>
          <c:xMode val="edge"/>
          <c:yMode val="edge"/>
          <c:x val="0.34033810877806947"/>
          <c:y val="0.93268185226846956"/>
          <c:w val="0.29161665743895782"/>
          <c:h val="6.7234640140433177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  <c:userShapes r:id="rId3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100"/>
            </a:pPr>
            <a:r>
              <a:rPr lang="ru-RU" sz="1100" b="1" i="0" baseline="0">
                <a:latin typeface="Times New Roman" pitchFamily="18" charset="0"/>
                <a:cs typeface="Times New Roman" pitchFamily="18" charset="0"/>
              </a:rPr>
              <a:t>Структура расходов на оплату работ, услуг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5488583694480083"/>
          <c:y val="2.4307676495630183E-3"/>
        </c:manualLayout>
      </c:layout>
    </c:title>
    <c:plotArea>
      <c:layout>
        <c:manualLayout>
          <c:layoutTarget val="inner"/>
          <c:xMode val="edge"/>
          <c:yMode val="edge"/>
          <c:x val="7.3689329518391217E-2"/>
          <c:y val="0.11662023181918518"/>
          <c:w val="0.88246942335607548"/>
          <c:h val="0.62380426524714205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Услуги связи</c:v>
                </c:pt>
              </c:strCache>
            </c:strRef>
          </c:tx>
          <c:spPr>
            <a:gradFill rotWithShape="1"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0"/>
                  <c:y val="-5.111821086261981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31,0  (38,8%)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5.111821086261990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23,7 (33,4%)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5.111821086261981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28,9  (43,4%)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1030494216614211E-3"/>
                  <c:y val="-5.537806176783812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38,6  (46,4%)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5.537806176783812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34,1  (48,9%)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537806176783812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43,4 (62,8%)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#\ ##0.0</c:formatCode>
                <c:ptCount val="6"/>
                <c:pt idx="0">
                  <c:v>31</c:v>
                </c:pt>
                <c:pt idx="1">
                  <c:v>23.7</c:v>
                </c:pt>
                <c:pt idx="2">
                  <c:v>28.9</c:v>
                </c:pt>
                <c:pt idx="3">
                  <c:v>38.627000000000002</c:v>
                </c:pt>
                <c:pt idx="4">
                  <c:v>34.07</c:v>
                </c:pt>
                <c:pt idx="5">
                  <c:v>43.44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Коммунальные услуги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4.4150110375275895E-3"/>
                  <c:y val="-6.31849590229792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5,5 (6,9%)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5.537839718916932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7,2 (10,2%)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5.111821086261981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9,1 (13,6%)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5.537806176783812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10,1 (12,1%)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5.111821086261981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8,8 (12,7%)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273901808785533E-2"/>
                  <c:y val="-5.537799677883142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8,4  (12,1%)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0.0</c:formatCode>
                <c:ptCount val="6"/>
                <c:pt idx="0">
                  <c:v>5.5</c:v>
                </c:pt>
                <c:pt idx="1">
                  <c:v>7.2</c:v>
                </c:pt>
                <c:pt idx="2">
                  <c:v>9.06</c:v>
                </c:pt>
                <c:pt idx="3">
                  <c:v>10.050000000000002</c:v>
                </c:pt>
                <c:pt idx="4">
                  <c:v>8.84</c:v>
                </c:pt>
                <c:pt idx="5">
                  <c:v>8.3800000000000008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Арендная плата за пользование имуществом</c:v>
                </c:pt>
              </c:strCache>
            </c:strRef>
          </c:tx>
          <c:spPr>
            <a:gradFill rotWithShape="1">
              <a:gsLst>
                <a:gs pos="0">
                  <a:srgbClr val="C0504D">
                    <a:shade val="51000"/>
                    <a:satMod val="130000"/>
                  </a:srgbClr>
                </a:gs>
                <a:gs pos="80000">
                  <a:srgbClr val="C0504D">
                    <a:shade val="93000"/>
                    <a:satMod val="130000"/>
                  </a:srgbClr>
                </a:gs>
                <a:gs pos="100000">
                  <a:srgbClr val="C0504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2.1030494216614211E-3"/>
                  <c:y val="-5.963791267305648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25,6 (32%)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5.672932012530688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28,5 (40,2%)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8431372549019624E-3"/>
                  <c:y val="-5.314509073462591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21,3  (32%)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5.963791267305648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24,1  (28,9%)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215686274509812E-3"/>
                  <c:y val="-5.426156407868370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20,3 (29,1%)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8039215686274508E-3"/>
                  <c:y val="-5.605367877402421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13,3 (19,2%)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 sz="9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Лист1!$D$2:$D$7</c:f>
              <c:numCache>
                <c:formatCode>0.0</c:formatCode>
                <c:ptCount val="6"/>
                <c:pt idx="0">
                  <c:v>25.6</c:v>
                </c:pt>
                <c:pt idx="1">
                  <c:v>28.5</c:v>
                </c:pt>
                <c:pt idx="2">
                  <c:v>21.330000000000005</c:v>
                </c:pt>
                <c:pt idx="3">
                  <c:v>24.07</c:v>
                </c:pt>
                <c:pt idx="4">
                  <c:v>20.29</c:v>
                </c:pt>
                <c:pt idx="5">
                  <c:v>13.3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Работы, услуги по содержанию имущества</c:v>
                </c:pt>
              </c:strCache>
            </c:strRef>
          </c:tx>
          <c:spPr>
            <a:gradFill rotWithShape="1">
              <a:gsLst>
                <a:gs pos="0">
                  <a:srgbClr val="F79646">
                    <a:shade val="51000"/>
                    <a:satMod val="130000"/>
                  </a:srgbClr>
                </a:gs>
                <a:gs pos="80000">
                  <a:srgbClr val="F79646">
                    <a:shade val="93000"/>
                    <a:satMod val="130000"/>
                  </a:srgbClr>
                </a:gs>
                <a:gs pos="100000">
                  <a:srgbClr val="F79646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0"/>
                  <c:y val="-5.5913568717423832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latin typeface="Times New Roman" pitchFamily="18" charset="0"/>
                        <a:cs typeface="Times New Roman" pitchFamily="18" charset="0"/>
                      </a:rPr>
                      <a:t>9,1 (11,4%)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49028464465198E-3"/>
                  <c:y val="-5.444189574766032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3,2 (4,5%)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482146127082215E-3"/>
                  <c:y val="-4.983059082399086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2,6 (3,9%)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5602352031577451E-3"/>
                  <c:y val="-4.835869896555872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3,7 (4,5%)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6698406885185102E-3"/>
                  <c:y val="-5.367748136849444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2,4 (3,4%)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819345256261583E-2"/>
                  <c:y val="-5.813578662268995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1,7 (2,5%)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Лист1!$E$2:$E$7</c:f>
              <c:numCache>
                <c:formatCode>0.0</c:formatCode>
                <c:ptCount val="6"/>
                <c:pt idx="0">
                  <c:v>9.1</c:v>
                </c:pt>
                <c:pt idx="1">
                  <c:v>3.17</c:v>
                </c:pt>
                <c:pt idx="2">
                  <c:v>2.6</c:v>
                </c:pt>
                <c:pt idx="3">
                  <c:v>3.74</c:v>
                </c:pt>
                <c:pt idx="4">
                  <c:v>2.38</c:v>
                </c:pt>
                <c:pt idx="5">
                  <c:v>1.7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Прочие работы, услуги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shade val="51000"/>
                    <a:satMod val="130000"/>
                  </a:srgbClr>
                </a:gs>
                <a:gs pos="80000">
                  <a:srgbClr val="8064A2">
                    <a:shade val="93000"/>
                    <a:satMod val="130000"/>
                  </a:srgbClr>
                </a:gs>
                <a:gs pos="100000">
                  <a:srgbClr val="8064A2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9.0520987202181144E-2"/>
                  <c:y val="-3.2719738475679525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8,5 (10,6%)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6020224216159027E-2"/>
                  <c:y val="-5.6928140376612752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8,1 (11,5%)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744666219048201E-2"/>
                  <c:y val="-2.5154430391574039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4,5 (6,8%)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6770961769313723E-2"/>
                  <c:y val="-4.7520412608574288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6,5 (7,8%)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3743799466927098E-2"/>
                  <c:y val="-9.632847510718745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3,9 (5,6%)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3108873018779625E-2"/>
                  <c:y val="-1.17526520915989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2,3 (3,3%)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Лист1!$F$2:$F$7</c:f>
              <c:numCache>
                <c:formatCode>0.0</c:formatCode>
                <c:ptCount val="6"/>
                <c:pt idx="0">
                  <c:v>8.48</c:v>
                </c:pt>
                <c:pt idx="1">
                  <c:v>8.1300000000000008</c:v>
                </c:pt>
                <c:pt idx="2">
                  <c:v>4.5</c:v>
                </c:pt>
                <c:pt idx="3">
                  <c:v>6.52</c:v>
                </c:pt>
                <c:pt idx="4">
                  <c:v>3.8699999999999997</c:v>
                </c:pt>
                <c:pt idx="5">
                  <c:v>2.27</c:v>
                </c:pt>
              </c:numCache>
            </c:numRef>
          </c:val>
        </c:ser>
        <c:dLbls>
          <c:showVal val="1"/>
        </c:dLbls>
        <c:overlap val="100"/>
        <c:axId val="40869888"/>
        <c:axId val="40871424"/>
      </c:barChart>
      <c:catAx>
        <c:axId val="40869888"/>
        <c:scaling>
          <c:orientation val="minMax"/>
        </c:scaling>
        <c:axPos val="l"/>
        <c:numFmt formatCode="General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 anchor="ctr" anchorCtr="0"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871424"/>
        <c:crosses val="autoZero"/>
        <c:auto val="1"/>
        <c:lblAlgn val="ctr"/>
        <c:lblOffset val="100"/>
      </c:catAx>
      <c:valAx>
        <c:axId val="40871424"/>
        <c:scaling>
          <c:orientation val="minMax"/>
        </c:scaling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>
                    <a:latin typeface="Times New Roman" pitchFamily="18" charset="0"/>
                    <a:cs typeface="Times New Roman" pitchFamily="18" charset="0"/>
                  </a:rPr>
                  <a:t>млн. руб.</a:t>
                </a:r>
              </a:p>
            </c:rich>
          </c:tx>
          <c:layout>
            <c:manualLayout>
              <c:xMode val="edge"/>
              <c:yMode val="edge"/>
              <c:x val="0.39122712995240455"/>
              <c:y val="0.7975428886025655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869888"/>
        <c:crosses val="autoZero"/>
        <c:crossBetween val="between"/>
        <c:majorUnit val="15"/>
      </c:valAx>
    </c:plotArea>
    <c:legend>
      <c:legendPos val="b"/>
      <c:layout>
        <c:manualLayout>
          <c:xMode val="edge"/>
          <c:yMode val="edge"/>
          <c:x val="1.2557029707674046E-3"/>
          <c:y val="0.86256269025240351"/>
          <c:w val="0.99748829070784717"/>
          <c:h val="0.13719262033993318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Зависимость расходов на услуги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связи от количества оконченных дел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14120370370371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1836358996792211E-2"/>
          <c:y val="0.14718253968253969"/>
          <c:w val="0.81864209682123068"/>
          <c:h val="0.6469297587801529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Окончено дел</c:v>
                </c:pt>
              </c:strCache>
            </c:strRef>
          </c:tx>
          <c:spPr>
            <a:gradFill rotWithShape="1"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285.71599999999978</c:v>
                </c:pt>
                <c:pt idx="1">
                  <c:v>270.66500000000002</c:v>
                </c:pt>
                <c:pt idx="2">
                  <c:v>295.58999999999975</c:v>
                </c:pt>
                <c:pt idx="3">
                  <c:v>326.00400000000002</c:v>
                </c:pt>
                <c:pt idx="4">
                  <c:v>311.37799999999999</c:v>
                </c:pt>
                <c:pt idx="5">
                  <c:v>426.22399999999965</c:v>
                </c:pt>
              </c:numCache>
            </c:numRef>
          </c:val>
        </c:ser>
        <c:dLbls/>
        <c:gapWidth val="219"/>
        <c:axId val="41018112"/>
        <c:axId val="41019648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на услуги связи</c:v>
                </c:pt>
              </c:strCache>
            </c:strRef>
          </c:tx>
          <c:spPr>
            <a:ln>
              <a:solidFill>
                <a:srgbClr val="9BBB59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square"/>
            <c:size val="7"/>
            <c:spPr>
              <a:gradFill rotWithShape="1">
                <a:gsLst>
                  <a:gs pos="0">
                    <a:srgbClr val="9BBB59">
                      <a:shade val="51000"/>
                      <a:satMod val="130000"/>
                    </a:srgbClr>
                  </a:gs>
                  <a:gs pos="80000">
                    <a:srgbClr val="9BBB59">
                      <a:shade val="93000"/>
                      <a:satMod val="130000"/>
                    </a:srgbClr>
                  </a:gs>
                  <a:gs pos="100000">
                    <a:srgbClr val="9BBB59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Pt>
            <c:idx val="0"/>
            <c:spPr>
              <a:ln w="44450">
                <a:solidFill>
                  <a:srgbClr val="9BBB59">
                    <a:lumMod val="75000"/>
                  </a:srgb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#\ ##0.0</c:formatCode>
                <c:ptCount val="6"/>
                <c:pt idx="0">
                  <c:v>31</c:v>
                </c:pt>
                <c:pt idx="1">
                  <c:v>23.7</c:v>
                </c:pt>
                <c:pt idx="2">
                  <c:v>28.9</c:v>
                </c:pt>
                <c:pt idx="3">
                  <c:v>38.627000000000002</c:v>
                </c:pt>
                <c:pt idx="4">
                  <c:v>34.07</c:v>
                </c:pt>
                <c:pt idx="5">
                  <c:v>43.44</c:v>
                </c:pt>
              </c:numCache>
            </c:numRef>
          </c:val>
        </c:ser>
        <c:dLbls/>
        <c:marker val="1"/>
        <c:axId val="41027840"/>
        <c:axId val="41025920"/>
      </c:lineChart>
      <c:catAx>
        <c:axId val="41018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41019648"/>
        <c:crosses val="autoZero"/>
        <c:auto val="1"/>
        <c:lblAlgn val="ctr"/>
        <c:lblOffset val="100"/>
      </c:catAx>
      <c:valAx>
        <c:axId val="410196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дел, тыс. ед.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3148148148148147E-3"/>
              <c:y val="0.24495281839770036"/>
            </c:manualLayout>
          </c:layout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41018112"/>
        <c:crosses val="autoZero"/>
        <c:crossBetween val="between"/>
        <c:majorUnit val="150"/>
      </c:valAx>
      <c:valAx>
        <c:axId val="41025920"/>
        <c:scaling>
          <c:orientation val="minMax"/>
          <c:max val="60"/>
        </c:scaling>
        <c:axPos val="r"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объем расходов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на услуги связи, млн. руб.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96248833479148443"/>
              <c:y val="0.11146825396825406"/>
            </c:manualLayout>
          </c:layout>
        </c:title>
        <c:numFmt formatCode="0" sourceLinked="0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41027840"/>
        <c:crosses val="max"/>
        <c:crossBetween val="between"/>
        <c:majorUnit val="20"/>
      </c:valAx>
      <c:catAx>
        <c:axId val="41027840"/>
        <c:scaling>
          <c:orientation val="minMax"/>
        </c:scaling>
        <c:delete val="1"/>
        <c:axPos val="b"/>
        <c:numFmt formatCode="General" sourceLinked="1"/>
        <c:tickLblPos val="none"/>
        <c:crossAx val="4102592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Расходы 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на приобретение нефинансовых активов</a:t>
            </a:r>
          </a:p>
          <a:p>
            <a:pPr algn="ctr"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в 2012-2017 годах </a:t>
            </a:r>
          </a:p>
        </c:rich>
      </c:tx>
      <c:layout>
        <c:manualLayout>
          <c:xMode val="edge"/>
          <c:yMode val="edge"/>
          <c:x val="0.22135801771327446"/>
          <c:y val="5.1188892367322065E-4"/>
        </c:manualLayout>
      </c:layout>
    </c:title>
    <c:plotArea>
      <c:layout>
        <c:manualLayout>
          <c:layoutTarget val="inner"/>
          <c:xMode val="edge"/>
          <c:yMode val="edge"/>
          <c:x val="9.2334073922703347E-2"/>
          <c:y val="0.15237262657917197"/>
          <c:w val="0.85214120184176312"/>
          <c:h val="0.61877411526924675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средства</c:v>
                </c:pt>
              </c:strCache>
            </c:strRef>
          </c:tx>
          <c:spPr>
            <a:gradFill rotWithShape="1"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0"/>
                  <c:y val="-5.111821086261981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5.111821086261990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5.111821086261981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1030494216614211E-3"/>
                  <c:y val="-5.5378061767838126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5.5378061767838126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5378061767838126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#\ ##0.0</c:formatCode>
                <c:ptCount val="6"/>
                <c:pt idx="0">
                  <c:v>1</c:v>
                </c:pt>
                <c:pt idx="1">
                  <c:v>1.1000000000000001</c:v>
                </c:pt>
                <c:pt idx="2">
                  <c:v>0.5</c:v>
                </c:pt>
                <c:pt idx="3">
                  <c:v>9.8000000000000007</c:v>
                </c:pt>
                <c:pt idx="4">
                  <c:v>0.30000000000000021</c:v>
                </c:pt>
                <c:pt idx="5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Материальные запасы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0"/>
                  <c:y val="-4.6858359957401514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5.5378397189169322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5.111821086261981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5.5378061767838126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5.1118210862619813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5378061767838126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2.7</c:v>
                </c:pt>
                <c:pt idx="1">
                  <c:v>3.7</c:v>
                </c:pt>
                <c:pt idx="2">
                  <c:v>3.5</c:v>
                </c:pt>
                <c:pt idx="3">
                  <c:v>6.2</c:v>
                </c:pt>
                <c:pt idx="4">
                  <c:v>7.2</c:v>
                </c:pt>
                <c:pt idx="5">
                  <c:v>9.8000000000000007</c:v>
                </c:pt>
              </c:numCache>
            </c:numRef>
          </c:val>
        </c:ser>
        <c:dLbls>
          <c:showVal val="1"/>
        </c:dLbls>
        <c:overlap val="100"/>
        <c:axId val="40992128"/>
        <c:axId val="41256064"/>
      </c:barChart>
      <c:catAx>
        <c:axId val="40992128"/>
        <c:scaling>
          <c:orientation val="minMax"/>
        </c:scaling>
        <c:axPos val="l"/>
        <c:numFmt formatCode="General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 anchor="ctr" anchorCtr="0"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256064"/>
        <c:crosses val="autoZero"/>
        <c:auto val="1"/>
        <c:lblAlgn val="ctr"/>
        <c:lblOffset val="100"/>
      </c:catAx>
      <c:valAx>
        <c:axId val="41256064"/>
        <c:scaling>
          <c:orientation val="minMax"/>
          <c:max val="16"/>
        </c:scaling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>
                    <a:latin typeface="Times New Roman" pitchFamily="18" charset="0"/>
                    <a:cs typeface="Times New Roman" pitchFamily="18" charset="0"/>
                  </a:rPr>
                  <a:t>млн. руб.</a:t>
                </a:r>
              </a:p>
            </c:rich>
          </c:tx>
          <c:layout>
            <c:manualLayout>
              <c:xMode val="edge"/>
              <c:yMode val="edge"/>
              <c:x val="0.46443440566616084"/>
              <c:y val="0.85283229140972572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992128"/>
        <c:crosses val="autoZero"/>
        <c:crossBetween val="between"/>
        <c:majorUnit val="4"/>
      </c:valAx>
    </c:plotArea>
    <c:legend>
      <c:legendPos val="b"/>
      <c:layout>
        <c:manualLayout>
          <c:xMode val="edge"/>
          <c:yMode val="edge"/>
          <c:x val="0.20629486471562677"/>
          <c:y val="0.93542703280408424"/>
          <c:w val="0.56090540311395365"/>
          <c:h val="5.9859467989931109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Расходы на приобретение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материальных запасов</a:t>
            </a:r>
          </a:p>
          <a:p>
            <a:pPr algn="ctr"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за 2012-2017 годы по направлениям</a:t>
            </a:r>
          </a:p>
        </c:rich>
      </c:tx>
      <c:layout>
        <c:manualLayout>
          <c:xMode val="edge"/>
          <c:yMode val="edge"/>
          <c:x val="0.26197885358967393"/>
          <c:y val="1.7039403620873271E-2"/>
        </c:manualLayout>
      </c:layout>
    </c:title>
    <c:plotArea>
      <c:layout>
        <c:manualLayout>
          <c:layoutTarget val="inner"/>
          <c:xMode val="edge"/>
          <c:yMode val="edge"/>
          <c:x val="6.0914909295644061E-2"/>
          <c:y val="0.16426387596119174"/>
          <c:w val="0.91595535573826148"/>
          <c:h val="0.674356089583849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"/>
              <c:layout>
                <c:manualLayout>
                  <c:x val="-1.4721345951629859E-2"/>
                  <c:y val="0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2060988433228535E-3"/>
                  <c:y val="4.2598509052183473E-3"/>
                </c:manualLayout>
              </c:layout>
              <c:numFmt formatCode="#,##0.0" sourceLinked="0"/>
              <c:spPr/>
              <c:txPr>
                <a:bodyPr rot="0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Бумага</c:v>
                </c:pt>
                <c:pt idx="1">
                  <c:v>Бланки исполлистов</c:v>
                </c:pt>
                <c:pt idx="2">
                  <c:v>Картриджи и запчасти</c:v>
                </c:pt>
                <c:pt idx="3">
                  <c:v>Канцтовары</c:v>
                </c:pt>
                <c:pt idx="4">
                  <c:v>Конверты</c:v>
                </c:pt>
                <c:pt idx="5">
                  <c:v>Хозтовары</c:v>
                </c:pt>
              </c:strCache>
            </c:strRef>
          </c:cat>
          <c:val>
            <c:numRef>
              <c:f>Лист1!$B$2:$B$7</c:f>
              <c:numCache>
                <c:formatCode>#\ ##0.0</c:formatCode>
                <c:ptCount val="6"/>
                <c:pt idx="0">
                  <c:v>10.6</c:v>
                </c:pt>
                <c:pt idx="1">
                  <c:v>7.9</c:v>
                </c:pt>
                <c:pt idx="2">
                  <c:v>4.3</c:v>
                </c:pt>
                <c:pt idx="3">
                  <c:v>3.7</c:v>
                </c:pt>
                <c:pt idx="4">
                  <c:v>3</c:v>
                </c:pt>
                <c:pt idx="5">
                  <c:v>1.3</c:v>
                </c:pt>
              </c:numCache>
            </c:numRef>
          </c:val>
        </c:ser>
        <c:dLbls>
          <c:showVal val="1"/>
        </c:dLbls>
        <c:axId val="41002880"/>
        <c:axId val="41004416"/>
      </c:barChart>
      <c:catAx>
        <c:axId val="41002880"/>
        <c:scaling>
          <c:orientation val="minMax"/>
        </c:scaling>
        <c:axPos val="b"/>
        <c:numFmt formatCode="General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004416"/>
        <c:crosses val="autoZero"/>
        <c:auto val="1"/>
        <c:lblAlgn val="ctr"/>
        <c:lblOffset val="100"/>
      </c:catAx>
      <c:valAx>
        <c:axId val="41004416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ru-RU" sz="800" b="1">
                    <a:latin typeface="Times New Roman" pitchFamily="18" charset="0"/>
                    <a:cs typeface="Times New Roman" pitchFamily="18" charset="0"/>
                  </a:rPr>
                  <a:t>млн. руб.</a:t>
                </a:r>
              </a:p>
            </c:rich>
          </c:tx>
          <c:layout>
            <c:manualLayout>
              <c:xMode val="edge"/>
              <c:yMode val="edge"/>
              <c:x val="3.0671402667726715E-3"/>
              <c:y val="0.36848112835735958"/>
            </c:manualLayout>
          </c:layout>
        </c:title>
        <c:numFmt formatCode="#,##0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002880"/>
        <c:crosses val="autoZero"/>
        <c:crossBetween val="between"/>
        <c:majorUnit val="4"/>
      </c:valAx>
    </c:plotArea>
    <c:plotVisOnly val="1"/>
    <c:dispBlanksAs val="gap"/>
  </c:chart>
  <c:spPr>
    <a:ln>
      <a:noFill/>
    </a:ln>
  </c:spPr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изменения и структура кредиторской задолженности</a:t>
            </a:r>
          </a:p>
        </c:rich>
      </c:tx>
      <c:layout>
        <c:manualLayout>
          <c:xMode val="edge"/>
          <c:yMode val="edge"/>
          <c:x val="0.13137095779442495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9.3383063205351169E-2"/>
          <c:y val="9.3005812863303977E-2"/>
          <c:w val="0.90661693679464861"/>
          <c:h val="0.6094136789061125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Расчёты по принятым обязательствам </c:v>
                </c:pt>
              </c:strCache>
            </c:strRef>
          </c:tx>
          <c:spPr>
            <a:gradFill rotWithShape="1"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89,4%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74,9%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34,6%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50%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035050814811066E-3"/>
                  <c:y val="1.454248567150071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20,3%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01168360493702E-3"/>
                  <c:y val="2.544934992512630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92,9%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b="1"/>
                      <a:t>76,8%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dd/mm/yyyy</c:formatCode>
                <c:ptCount val="7"/>
                <c:pt idx="0">
                  <c:v>40909</c:v>
                </c:pt>
                <c:pt idx="1">
                  <c:v>41275</c:v>
                </c:pt>
                <c:pt idx="2">
                  <c:v>41640</c:v>
                </c:pt>
                <c:pt idx="3">
                  <c:v>42005</c:v>
                </c:pt>
                <c:pt idx="4">
                  <c:v>42370</c:v>
                </c:pt>
                <c:pt idx="5">
                  <c:v>42736</c:v>
                </c:pt>
                <c:pt idx="6">
                  <c:v>43101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19946.7</c:v>
                </c:pt>
                <c:pt idx="1">
                  <c:v>16954.900000000001</c:v>
                </c:pt>
                <c:pt idx="2">
                  <c:v>9804.4</c:v>
                </c:pt>
                <c:pt idx="3">
                  <c:v>6875</c:v>
                </c:pt>
                <c:pt idx="4">
                  <c:v>1506.3</c:v>
                </c:pt>
                <c:pt idx="5">
                  <c:v>6250.7</c:v>
                </c:pt>
                <c:pt idx="6">
                  <c:v>22148.7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Расчёты по платежам в бюджеты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1.4081785234559151E-2"/>
                  <c:y val="-5.089869985025254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10,9%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20,0%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43,8%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44,3%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="1"/>
                      <a:t>79,6%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0058418024685099E-2"/>
                  <c:y val="-3.635621417875178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0,8%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8.046734419748092E-3"/>
                  <c:y val="2.181372850725108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22,5%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dd/mm/yyyy</c:formatCode>
                <c:ptCount val="7"/>
                <c:pt idx="0">
                  <c:v>40909</c:v>
                </c:pt>
                <c:pt idx="1">
                  <c:v>41275</c:v>
                </c:pt>
                <c:pt idx="2">
                  <c:v>41640</c:v>
                </c:pt>
                <c:pt idx="3">
                  <c:v>42005</c:v>
                </c:pt>
                <c:pt idx="4">
                  <c:v>42370</c:v>
                </c:pt>
                <c:pt idx="5">
                  <c:v>42736</c:v>
                </c:pt>
                <c:pt idx="6">
                  <c:v>43101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2428.5</c:v>
                </c:pt>
                <c:pt idx="1">
                  <c:v>4535.6000000000004</c:v>
                </c:pt>
                <c:pt idx="2">
                  <c:v>12413.8</c:v>
                </c:pt>
                <c:pt idx="3">
                  <c:v>6083.3</c:v>
                </c:pt>
                <c:pt idx="4">
                  <c:v>5919</c:v>
                </c:pt>
                <c:pt idx="5">
                  <c:v>425</c:v>
                </c:pt>
                <c:pt idx="6">
                  <c:v>6492.5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Прочие расчёты с кредиторами </c:v>
                </c:pt>
              </c:strCache>
            </c:strRef>
          </c:tx>
          <c:spPr>
            <a:gradFill rotWithShape="1">
              <a:gsLst>
                <a:gs pos="0">
                  <a:srgbClr val="C0504D">
                    <a:shade val="51000"/>
                    <a:satMod val="130000"/>
                  </a:srgbClr>
                </a:gs>
                <a:gs pos="80000">
                  <a:srgbClr val="C0504D">
                    <a:shade val="93000"/>
                    <a:satMod val="130000"/>
                  </a:srgbClr>
                </a:gs>
                <a:gs pos="100000">
                  <a:srgbClr val="C0504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"/>
              <c:layout>
                <c:manualLayout>
                  <c:x val="2.01168360493702E-3"/>
                  <c:y val="-2.908497134300138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5,1%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21,6%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0350508148110712E-3"/>
                  <c:y val="-3.999183559662700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5,7%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2128519654307201E-2"/>
                  <c:y val="-5.089869985025254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0,5%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dd/mm/yyyy</c:formatCode>
                <c:ptCount val="7"/>
                <c:pt idx="0">
                  <c:v>40909</c:v>
                </c:pt>
                <c:pt idx="1">
                  <c:v>41275</c:v>
                </c:pt>
                <c:pt idx="2">
                  <c:v>41640</c:v>
                </c:pt>
                <c:pt idx="3">
                  <c:v>42005</c:v>
                </c:pt>
                <c:pt idx="4">
                  <c:v>42370</c:v>
                </c:pt>
                <c:pt idx="5">
                  <c:v>42736</c:v>
                </c:pt>
                <c:pt idx="6">
                  <c:v>43101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1149.0999999999999</c:v>
                </c:pt>
                <c:pt idx="2">
                  <c:v>6106.6</c:v>
                </c:pt>
                <c:pt idx="3">
                  <c:v>778.3</c:v>
                </c:pt>
                <c:pt idx="6">
                  <c:v>64.900000000000006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Расчёты с подотчётными лицами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shade val="51000"/>
                    <a:satMod val="130000"/>
                  </a:srgbClr>
                </a:gs>
                <a:gs pos="80000">
                  <a:srgbClr val="8064A2">
                    <a:shade val="93000"/>
                    <a:satMod val="130000"/>
                  </a:srgbClr>
                </a:gs>
                <a:gs pos="100000">
                  <a:srgbClr val="8064A2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4"/>
              <c:layout>
                <c:manualLayout>
                  <c:x val="6.035050814811066E-3"/>
                  <c:y val="-2.908497134300141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0,1%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0175254074055319E-2"/>
                  <c:y val="1.090686425362560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6,3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414020325924424E-2"/>
                  <c:y val="7.2712428357503654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0,2%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dd/mm/yyyy</c:formatCode>
                <c:ptCount val="7"/>
                <c:pt idx="0">
                  <c:v>40909</c:v>
                </c:pt>
                <c:pt idx="1">
                  <c:v>41275</c:v>
                </c:pt>
                <c:pt idx="2">
                  <c:v>41640</c:v>
                </c:pt>
                <c:pt idx="3">
                  <c:v>42005</c:v>
                </c:pt>
                <c:pt idx="4">
                  <c:v>42370</c:v>
                </c:pt>
                <c:pt idx="5">
                  <c:v>42736</c:v>
                </c:pt>
                <c:pt idx="6">
                  <c:v>43101</c:v>
                </c:pt>
              </c:numCache>
            </c:numRef>
          </c:cat>
          <c:val>
            <c:numRef>
              <c:f>Лист1!$E$2:$E$8</c:f>
              <c:numCache>
                <c:formatCode>General</c:formatCode>
                <c:ptCount val="7"/>
                <c:pt idx="4">
                  <c:v>6.1</c:v>
                </c:pt>
                <c:pt idx="5">
                  <c:v>54</c:v>
                </c:pt>
                <c:pt idx="6">
                  <c:v>139.6</c:v>
                </c:pt>
              </c:numCache>
            </c:numRef>
          </c:val>
        </c:ser>
        <c:dLbls/>
        <c:shape val="box"/>
        <c:axId val="43654528"/>
        <c:axId val="43684992"/>
        <c:axId val="0"/>
      </c:bar3DChart>
      <c:dateAx>
        <c:axId val="43654528"/>
        <c:scaling>
          <c:orientation val="minMax"/>
        </c:scaling>
        <c:axPos val="b"/>
        <c:numFmt formatCode="dd/mm/yyyy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3684992"/>
        <c:crosses val="autoZero"/>
        <c:auto val="1"/>
        <c:lblOffset val="100"/>
        <c:baseTimeUnit val="years"/>
      </c:dateAx>
      <c:valAx>
        <c:axId val="436849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тыс. руб.</a:t>
                </a:r>
              </a:p>
            </c:rich>
          </c:tx>
          <c:layout>
            <c:manualLayout>
              <c:xMode val="edge"/>
              <c:yMode val="edge"/>
              <c:x val="7.7890180913160589E-3"/>
              <c:y val="0.34752004677457704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43654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6369388647981238E-5"/>
          <c:y val="0.91213820942549062"/>
          <c:w val="0.99786734974968028"/>
          <c:h val="8.7861790574509366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100"/>
              <a:t>Помещения мировых судей</a:t>
            </a:r>
          </a:p>
        </c:rich>
      </c:tx>
      <c:layout>
        <c:manualLayout>
          <c:xMode val="edge"/>
          <c:yMode val="edge"/>
          <c:x val="0.35206611301673135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9146029368036394"/>
          <c:y val="6.0189859445139451E-2"/>
          <c:w val="0.76899766180124152"/>
          <c:h val="0.73292123531287612"/>
        </c:manualLayout>
      </c:layout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Оперативное управление</c:v>
                </c:pt>
              </c:strCache>
            </c:strRef>
          </c:tx>
          <c:dLbls>
            <c:dLbl>
              <c:idx val="1"/>
              <c:spPr/>
              <c:txPr>
                <a:bodyPr/>
                <a:lstStyle/>
                <a:p>
                  <a:pPr>
                    <a:defRPr sz="1000" b="1"/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Федеральная </c:v>
                </c:pt>
                <c:pt idx="1">
                  <c:v>Региональная </c:v>
                </c:pt>
                <c:pt idx="2">
                  <c:v>Муниципальная </c:v>
                </c:pt>
                <c:pt idx="3">
                  <c:v>Частная 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1">
                  <c:v>6923.2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Безвозмездное пользование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1.1244477447512405E-2"/>
                  <c:y val="4.990245329951708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Федеральная </c:v>
                </c:pt>
                <c:pt idx="1">
                  <c:v>Региональная </c:v>
                </c:pt>
                <c:pt idx="2">
                  <c:v>Муниципальная </c:v>
                </c:pt>
                <c:pt idx="3">
                  <c:v>Частная 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163.5</c:v>
                </c:pt>
                <c:pt idx="1">
                  <c:v>2340</c:v>
                </c:pt>
                <c:pt idx="2">
                  <c:v>2450.8000000000002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Аренда</c:v>
                </c:pt>
              </c:strCache>
            </c:strRef>
          </c:tx>
          <c:spPr>
            <a:gradFill rotWithShape="1">
              <a:gsLst>
                <a:gs pos="0">
                  <a:srgbClr val="C0504D">
                    <a:shade val="51000"/>
                    <a:satMod val="130000"/>
                  </a:srgbClr>
                </a:gs>
                <a:gs pos="80000">
                  <a:srgbClr val="C0504D">
                    <a:shade val="93000"/>
                    <a:satMod val="130000"/>
                  </a:srgbClr>
                </a:gs>
                <a:gs pos="100000">
                  <a:srgbClr val="C0504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2.108717305433104E-2"/>
                  <c:y val="-6.070818904550553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Федеральная </c:v>
                </c:pt>
                <c:pt idx="1">
                  <c:v>Региональная </c:v>
                </c:pt>
                <c:pt idx="2">
                  <c:v>Муниципальная </c:v>
                </c:pt>
                <c:pt idx="3">
                  <c:v>Частная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.0">
                  <c:v>109.8</c:v>
                </c:pt>
                <c:pt idx="3" formatCode="0.0">
                  <c:v>3260.5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Безвозмездное пльзование по факту</c:v>
                </c:pt>
              </c:strCache>
            </c:strRef>
          </c:tx>
          <c:spPr>
            <a:gradFill rotWithShape="1">
              <a:gsLst>
                <a:gs pos="0">
                  <a:srgbClr val="F79646">
                    <a:shade val="51000"/>
                    <a:satMod val="130000"/>
                  </a:srgbClr>
                </a:gs>
                <a:gs pos="80000">
                  <a:srgbClr val="F79646">
                    <a:shade val="93000"/>
                    <a:satMod val="130000"/>
                  </a:srgbClr>
                </a:gs>
                <a:gs pos="100000">
                  <a:srgbClr val="F79646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4.952025491078612E-2"/>
                  <c:y val="-6.2966395161683682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Федеральная </c:v>
                </c:pt>
                <c:pt idx="1">
                  <c:v>Региональная </c:v>
                </c:pt>
                <c:pt idx="2">
                  <c:v>Муниципальная </c:v>
                </c:pt>
                <c:pt idx="3">
                  <c:v>Частная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.0">
                  <c:v>345.8</c:v>
                </c:pt>
              </c:numCache>
            </c:numRef>
          </c:val>
        </c:ser>
        <c:dLbls/>
        <c:shape val="box"/>
        <c:axId val="43571840"/>
        <c:axId val="43716992"/>
        <c:axId val="0"/>
      </c:bar3DChart>
      <c:catAx>
        <c:axId val="4357184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3716992"/>
        <c:crosses val="autoZero"/>
        <c:auto val="1"/>
        <c:lblAlgn val="ctr"/>
        <c:lblOffset val="100"/>
      </c:catAx>
      <c:valAx>
        <c:axId val="43716992"/>
        <c:scaling>
          <c:orientation val="minMax"/>
          <c:max val="9600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кв. м.</a:t>
                </a:r>
              </a:p>
            </c:rich>
          </c:tx>
          <c:layout>
            <c:manualLayout>
              <c:xMode val="edge"/>
              <c:yMode val="edge"/>
              <c:x val="0.52972471413934674"/>
              <c:y val="0.8621348966893162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3571840"/>
        <c:crosses val="autoZero"/>
        <c:crossBetween val="between"/>
        <c:minorUnit val="300"/>
      </c:valAx>
    </c:plotArea>
    <c:legend>
      <c:legendPos val="b"/>
      <c:layout>
        <c:manualLayout>
          <c:xMode val="edge"/>
          <c:yMode val="edge"/>
          <c:x val="0.20844082138066253"/>
          <c:y val="0.86481330700535497"/>
          <c:w val="0.78862894950018592"/>
          <c:h val="0.11504623016840744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Окончено дел 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на 1 судебный участок в год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4590066485591741"/>
          <c:y val="2.76449088723723E-3"/>
        </c:manualLayout>
      </c:layout>
      <c:overlay val="1"/>
    </c:title>
    <c:plotArea>
      <c:layout>
        <c:manualLayout>
          <c:layoutTarget val="inner"/>
          <c:xMode val="edge"/>
          <c:yMode val="edge"/>
          <c:x val="9.7696476964769741E-2"/>
          <c:y val="6.5969618750022427E-2"/>
          <c:w val="0.90230352303522998"/>
          <c:h val="0.85865373231781539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Алексеевский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Лист1!$B$2:$G$2</c:f>
              <c:numCache>
                <c:formatCode>#,##0</c:formatCode>
                <c:ptCount val="6"/>
                <c:pt idx="0">
                  <c:v>1744</c:v>
                </c:pt>
                <c:pt idx="1">
                  <c:v>1919</c:v>
                </c:pt>
                <c:pt idx="2">
                  <c:v>1808</c:v>
                </c:pt>
                <c:pt idx="3">
                  <c:v>1470</c:v>
                </c:pt>
                <c:pt idx="4">
                  <c:v>1390</c:v>
                </c:pt>
                <c:pt idx="5">
                  <c:v>1773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Быковский</c:v>
                </c:pt>
              </c:strCache>
            </c:strRef>
          </c:tx>
          <c:dLbls>
            <c:dLbl>
              <c:idx val="0"/>
              <c:layout>
                <c:manualLayout>
                  <c:x val="-8.222848414253929E-2"/>
                  <c:y val="-3.2364722089681816E-2"/>
                </c:manualLayout>
              </c:layout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3.419191112896925E-2"/>
                </c:manualLayout>
              </c:layout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Лист1!$B$3:$G$3</c:f>
              <c:numCache>
                <c:formatCode>#,##0</c:formatCode>
                <c:ptCount val="6"/>
                <c:pt idx="0">
                  <c:v>3166</c:v>
                </c:pt>
                <c:pt idx="1">
                  <c:v>2962</c:v>
                </c:pt>
                <c:pt idx="2">
                  <c:v>3666</c:v>
                </c:pt>
                <c:pt idx="3">
                  <c:v>3876</c:v>
                </c:pt>
                <c:pt idx="4">
                  <c:v>3724</c:v>
                </c:pt>
                <c:pt idx="5">
                  <c:v>3881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Городищенский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4.190942487829203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Городищенский;</a:t>
                    </a:r>
                  </a:p>
                  <a:p>
                    <a:r>
                      <a:rPr lang="ru-RU"/>
                      <a:t>            3 566</a:t>
                    </a:r>
                  </a:p>
                </c:rich>
              </c:tx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Лист1!$B$4:$G$4</c:f>
              <c:numCache>
                <c:formatCode>#,##0</c:formatCode>
                <c:ptCount val="6"/>
                <c:pt idx="0">
                  <c:v>1900</c:v>
                </c:pt>
                <c:pt idx="1">
                  <c:v>1760.3333333333319</c:v>
                </c:pt>
                <c:pt idx="2">
                  <c:v>2302.6666666666633</c:v>
                </c:pt>
                <c:pt idx="3">
                  <c:v>2833.333333333338</c:v>
                </c:pt>
                <c:pt idx="4">
                  <c:v>2742.6666666666633</c:v>
                </c:pt>
                <c:pt idx="5">
                  <c:v>3566.333333333338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Даниловский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Лист1!$B$5:$G$5</c:f>
              <c:numCache>
                <c:formatCode>#,##0</c:formatCode>
                <c:ptCount val="6"/>
                <c:pt idx="0">
                  <c:v>1761</c:v>
                </c:pt>
                <c:pt idx="1">
                  <c:v>1887</c:v>
                </c:pt>
                <c:pt idx="2">
                  <c:v>1768</c:v>
                </c:pt>
                <c:pt idx="3">
                  <c:v>2209</c:v>
                </c:pt>
                <c:pt idx="4">
                  <c:v>2105</c:v>
                </c:pt>
                <c:pt idx="5">
                  <c:v>2280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Дубовский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Лист1!$B$6:$G$6</c:f>
              <c:numCache>
                <c:formatCode>#,##0</c:formatCode>
                <c:ptCount val="6"/>
                <c:pt idx="0">
                  <c:v>1525</c:v>
                </c:pt>
                <c:pt idx="1">
                  <c:v>1239</c:v>
                </c:pt>
                <c:pt idx="2">
                  <c:v>1400.5</c:v>
                </c:pt>
                <c:pt idx="3">
                  <c:v>1389.5</c:v>
                </c:pt>
                <c:pt idx="4">
                  <c:v>1434</c:v>
                </c:pt>
                <c:pt idx="5">
                  <c:v>1767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Еланский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Лист1!$B$7:$G$7</c:f>
              <c:numCache>
                <c:formatCode>#,##0</c:formatCode>
                <c:ptCount val="6"/>
                <c:pt idx="0">
                  <c:v>1009.5</c:v>
                </c:pt>
                <c:pt idx="1">
                  <c:v>1135.5</c:v>
                </c:pt>
                <c:pt idx="2">
                  <c:v>1449.5</c:v>
                </c:pt>
                <c:pt idx="3">
                  <c:v>1190</c:v>
                </c:pt>
                <c:pt idx="4">
                  <c:v>1025.5</c:v>
                </c:pt>
                <c:pt idx="5">
                  <c:v>1391</c:v>
                </c:pt>
              </c:numCache>
            </c:numRef>
          </c:val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Жирновский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Лист1!$B$8:$G$8</c:f>
              <c:numCache>
                <c:formatCode>#,##0</c:formatCode>
                <c:ptCount val="6"/>
                <c:pt idx="0">
                  <c:v>1881</c:v>
                </c:pt>
                <c:pt idx="1">
                  <c:v>2132</c:v>
                </c:pt>
                <c:pt idx="2">
                  <c:v>2367</c:v>
                </c:pt>
                <c:pt idx="3">
                  <c:v>1947.5</c:v>
                </c:pt>
                <c:pt idx="4">
                  <c:v>1881</c:v>
                </c:pt>
                <c:pt idx="5">
                  <c:v>2047</c:v>
                </c:pt>
              </c:numCache>
            </c:numRef>
          </c:val>
        </c:ser>
        <c:ser>
          <c:idx val="7"/>
          <c:order val="7"/>
          <c:tx>
            <c:strRef>
              <c:f>Лист1!$A$9</c:f>
              <c:strCache>
                <c:ptCount val="1"/>
                <c:pt idx="0">
                  <c:v>Иловлинский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Лист1!$B$9:$G$9</c:f>
              <c:numCache>
                <c:formatCode>#,##0</c:formatCode>
                <c:ptCount val="6"/>
                <c:pt idx="0">
                  <c:v>2001</c:v>
                </c:pt>
                <c:pt idx="1">
                  <c:v>1756</c:v>
                </c:pt>
                <c:pt idx="2">
                  <c:v>1835.5</c:v>
                </c:pt>
                <c:pt idx="3">
                  <c:v>1996</c:v>
                </c:pt>
                <c:pt idx="4">
                  <c:v>2111.5</c:v>
                </c:pt>
                <c:pt idx="5">
                  <c:v>2283</c:v>
                </c:pt>
              </c:numCache>
            </c:numRef>
          </c:val>
        </c:ser>
        <c:ser>
          <c:idx val="8"/>
          <c:order val="8"/>
          <c:tx>
            <c:strRef>
              <c:f>Лист1!$A$10</c:f>
              <c:strCache>
                <c:ptCount val="1"/>
                <c:pt idx="0">
                  <c:v>Калачевский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Лист1!$B$10:$G$10</c:f>
              <c:numCache>
                <c:formatCode>#,##0</c:formatCode>
                <c:ptCount val="6"/>
                <c:pt idx="0">
                  <c:v>1277.6666666666667</c:v>
                </c:pt>
                <c:pt idx="1">
                  <c:v>1353</c:v>
                </c:pt>
                <c:pt idx="2">
                  <c:v>1507.3333333333319</c:v>
                </c:pt>
                <c:pt idx="3">
                  <c:v>1697</c:v>
                </c:pt>
                <c:pt idx="4">
                  <c:v>1482.3333333333319</c:v>
                </c:pt>
                <c:pt idx="5">
                  <c:v>2056.333333333338</c:v>
                </c:pt>
              </c:numCache>
            </c:numRef>
          </c:val>
        </c:ser>
        <c:ser>
          <c:idx val="9"/>
          <c:order val="9"/>
          <c:tx>
            <c:strRef>
              <c:f>Лист1!$A$11</c:f>
              <c:strCache>
                <c:ptCount val="1"/>
                <c:pt idx="0">
                  <c:v>Камышинский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Лист1!$B$11:$G$11</c:f>
              <c:numCache>
                <c:formatCode>#,##0</c:formatCode>
                <c:ptCount val="6"/>
                <c:pt idx="0">
                  <c:v>1555.875</c:v>
                </c:pt>
                <c:pt idx="1">
                  <c:v>1503.875</c:v>
                </c:pt>
                <c:pt idx="2">
                  <c:v>1966.5</c:v>
                </c:pt>
                <c:pt idx="3">
                  <c:v>2020.625</c:v>
                </c:pt>
                <c:pt idx="4">
                  <c:v>2146.3750000000018</c:v>
                </c:pt>
                <c:pt idx="5">
                  <c:v>2443.5</c:v>
                </c:pt>
              </c:numCache>
            </c:numRef>
          </c:val>
        </c:ser>
        <c:ser>
          <c:idx val="10"/>
          <c:order val="10"/>
          <c:tx>
            <c:strRef>
              <c:f>Лист1!$A$12</c:f>
              <c:strCache>
                <c:ptCount val="1"/>
                <c:pt idx="0">
                  <c:v>Киквидзенский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Лист1!$B$12:$G$12</c:f>
              <c:numCache>
                <c:formatCode>#,##0</c:formatCode>
                <c:ptCount val="6"/>
                <c:pt idx="0">
                  <c:v>1299</c:v>
                </c:pt>
                <c:pt idx="1">
                  <c:v>1329</c:v>
                </c:pt>
                <c:pt idx="2">
                  <c:v>1503</c:v>
                </c:pt>
                <c:pt idx="3">
                  <c:v>1294</c:v>
                </c:pt>
                <c:pt idx="4">
                  <c:v>1043</c:v>
                </c:pt>
                <c:pt idx="5">
                  <c:v>1536</c:v>
                </c:pt>
              </c:numCache>
            </c:numRef>
          </c:val>
        </c:ser>
        <c:ser>
          <c:idx val="11"/>
          <c:order val="11"/>
          <c:tx>
            <c:strRef>
              <c:f>Лист1!$A$13</c:f>
              <c:strCache>
                <c:ptCount val="1"/>
                <c:pt idx="0">
                  <c:v>Клетский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Лист1!$B$13:$G$13</c:f>
              <c:numCache>
                <c:formatCode>#,##0</c:formatCode>
                <c:ptCount val="6"/>
                <c:pt idx="0">
                  <c:v>1369</c:v>
                </c:pt>
                <c:pt idx="1">
                  <c:v>1043</c:v>
                </c:pt>
                <c:pt idx="2">
                  <c:v>1239</c:v>
                </c:pt>
                <c:pt idx="3">
                  <c:v>1233</c:v>
                </c:pt>
                <c:pt idx="4">
                  <c:v>1404</c:v>
                </c:pt>
                <c:pt idx="5">
                  <c:v>1667</c:v>
                </c:pt>
              </c:numCache>
            </c:numRef>
          </c:val>
        </c:ser>
        <c:ser>
          <c:idx val="12"/>
          <c:order val="12"/>
          <c:tx>
            <c:strRef>
              <c:f>Лист1!$A$14</c:f>
              <c:strCache>
                <c:ptCount val="1"/>
                <c:pt idx="0">
                  <c:v>Котельниковский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Лист1!$B$14:$G$14</c:f>
              <c:numCache>
                <c:formatCode>#,##0</c:formatCode>
                <c:ptCount val="6"/>
                <c:pt idx="0">
                  <c:v>1005</c:v>
                </c:pt>
                <c:pt idx="1">
                  <c:v>997.3333333333336</c:v>
                </c:pt>
                <c:pt idx="2">
                  <c:v>890</c:v>
                </c:pt>
                <c:pt idx="3">
                  <c:v>1006.6666666666666</c:v>
                </c:pt>
                <c:pt idx="4">
                  <c:v>833.66666666666663</c:v>
                </c:pt>
                <c:pt idx="5">
                  <c:v>1292.3333333333319</c:v>
                </c:pt>
              </c:numCache>
            </c:numRef>
          </c:val>
        </c:ser>
        <c:ser>
          <c:idx val="13"/>
          <c:order val="13"/>
          <c:tx>
            <c:strRef>
              <c:f>Лист1!$A$15</c:f>
              <c:strCache>
                <c:ptCount val="1"/>
                <c:pt idx="0">
                  <c:v>Котовский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Лист1!$B$15:$G$15</c:f>
              <c:numCache>
                <c:formatCode>#,##0</c:formatCode>
                <c:ptCount val="6"/>
                <c:pt idx="0">
                  <c:v>1728</c:v>
                </c:pt>
                <c:pt idx="1">
                  <c:v>1926</c:v>
                </c:pt>
                <c:pt idx="2">
                  <c:v>2483.5</c:v>
                </c:pt>
                <c:pt idx="3">
                  <c:v>2052</c:v>
                </c:pt>
                <c:pt idx="4">
                  <c:v>1899</c:v>
                </c:pt>
                <c:pt idx="5">
                  <c:v>2241.5</c:v>
                </c:pt>
              </c:numCache>
            </c:numRef>
          </c:val>
        </c:ser>
        <c:ser>
          <c:idx val="14"/>
          <c:order val="14"/>
          <c:tx>
            <c:strRef>
              <c:f>Лист1!$A$16</c:f>
              <c:strCache>
                <c:ptCount val="1"/>
                <c:pt idx="0">
                  <c:v>Кумылженский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Лист1!$B$16:$G$16</c:f>
              <c:numCache>
                <c:formatCode>#,##0</c:formatCode>
                <c:ptCount val="6"/>
                <c:pt idx="0">
                  <c:v>2071</c:v>
                </c:pt>
                <c:pt idx="1">
                  <c:v>2169</c:v>
                </c:pt>
                <c:pt idx="2">
                  <c:v>1845</c:v>
                </c:pt>
                <c:pt idx="3">
                  <c:v>1751</c:v>
                </c:pt>
                <c:pt idx="4">
                  <c:v>1878</c:v>
                </c:pt>
                <c:pt idx="5">
                  <c:v>2280</c:v>
                </c:pt>
              </c:numCache>
            </c:numRef>
          </c:val>
        </c:ser>
        <c:ser>
          <c:idx val="15"/>
          <c:order val="15"/>
          <c:tx>
            <c:strRef>
              <c:f>Лист1!$A$17</c:f>
              <c:strCache>
                <c:ptCount val="1"/>
                <c:pt idx="0">
                  <c:v>Ленинский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Лист1!$B$17:$G$17</c:f>
              <c:numCache>
                <c:formatCode>#,##0</c:formatCode>
                <c:ptCount val="6"/>
                <c:pt idx="0">
                  <c:v>878</c:v>
                </c:pt>
                <c:pt idx="1">
                  <c:v>1272.5</c:v>
                </c:pt>
                <c:pt idx="2">
                  <c:v>1786</c:v>
                </c:pt>
                <c:pt idx="3">
                  <c:v>1399.5</c:v>
                </c:pt>
                <c:pt idx="4">
                  <c:v>1316.5</c:v>
                </c:pt>
                <c:pt idx="5">
                  <c:v>1984</c:v>
                </c:pt>
              </c:numCache>
            </c:numRef>
          </c:val>
        </c:ser>
        <c:ser>
          <c:idx val="16"/>
          <c:order val="16"/>
          <c:tx>
            <c:strRef>
              <c:f>Лист1!$A$18</c:f>
              <c:strCache>
                <c:ptCount val="1"/>
                <c:pt idx="0">
                  <c:v>Михайловский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Лист1!$B$18:$G$18</c:f>
              <c:numCache>
                <c:formatCode>#,##0</c:formatCode>
                <c:ptCount val="6"/>
                <c:pt idx="0">
                  <c:v>2056.8000000000002</c:v>
                </c:pt>
                <c:pt idx="1">
                  <c:v>2306</c:v>
                </c:pt>
                <c:pt idx="2">
                  <c:v>2342.4</c:v>
                </c:pt>
                <c:pt idx="3">
                  <c:v>2418.6</c:v>
                </c:pt>
                <c:pt idx="4">
                  <c:v>2732.8</c:v>
                </c:pt>
                <c:pt idx="5">
                  <c:v>2726.2</c:v>
                </c:pt>
              </c:numCache>
            </c:numRef>
          </c:val>
        </c:ser>
        <c:ser>
          <c:idx val="17"/>
          <c:order val="17"/>
          <c:tx>
            <c:strRef>
              <c:f>Лист1!$A$19</c:f>
              <c:strCache>
                <c:ptCount val="1"/>
                <c:pt idx="0">
                  <c:v>Нехаевский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3.3758489063324008E-2"/>
                </c:manualLayout>
              </c:layout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Лист1!$B$19:$G$19</c:f>
              <c:numCache>
                <c:formatCode>#,##0</c:formatCode>
                <c:ptCount val="6"/>
                <c:pt idx="0">
                  <c:v>953</c:v>
                </c:pt>
                <c:pt idx="1">
                  <c:v>1233</c:v>
                </c:pt>
                <c:pt idx="2">
                  <c:v>1193</c:v>
                </c:pt>
                <c:pt idx="3">
                  <c:v>849</c:v>
                </c:pt>
                <c:pt idx="4">
                  <c:v>858</c:v>
                </c:pt>
                <c:pt idx="5">
                  <c:v>1036</c:v>
                </c:pt>
              </c:numCache>
            </c:numRef>
          </c:val>
        </c:ser>
        <c:ser>
          <c:idx val="18"/>
          <c:order val="18"/>
          <c:tx>
            <c:strRef>
              <c:f>Лист1!$A$20</c:f>
              <c:strCache>
                <c:ptCount val="1"/>
                <c:pt idx="0">
                  <c:v>Николаевский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Лист1!$B$20:$G$20</c:f>
              <c:numCache>
                <c:formatCode>#,##0</c:formatCode>
                <c:ptCount val="6"/>
                <c:pt idx="0">
                  <c:v>1560</c:v>
                </c:pt>
                <c:pt idx="1">
                  <c:v>1398.5</c:v>
                </c:pt>
                <c:pt idx="2">
                  <c:v>1886</c:v>
                </c:pt>
                <c:pt idx="3">
                  <c:v>2305.5</c:v>
                </c:pt>
                <c:pt idx="4">
                  <c:v>1901.5</c:v>
                </c:pt>
                <c:pt idx="5">
                  <c:v>2404.5</c:v>
                </c:pt>
              </c:numCache>
            </c:numRef>
          </c:val>
        </c:ser>
        <c:ser>
          <c:idx val="19"/>
          <c:order val="19"/>
          <c:tx>
            <c:strRef>
              <c:f>Лист1!$A$21</c:f>
              <c:strCache>
                <c:ptCount val="1"/>
                <c:pt idx="0">
                  <c:v>Новоаннинский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Лист1!$B$21:$G$21</c:f>
              <c:numCache>
                <c:formatCode>#,##0</c:formatCode>
                <c:ptCount val="6"/>
                <c:pt idx="0">
                  <c:v>2301</c:v>
                </c:pt>
                <c:pt idx="1">
                  <c:v>2041.5</c:v>
                </c:pt>
                <c:pt idx="2">
                  <c:v>2359</c:v>
                </c:pt>
                <c:pt idx="3">
                  <c:v>2211</c:v>
                </c:pt>
                <c:pt idx="4">
                  <c:v>1781</c:v>
                </c:pt>
                <c:pt idx="5">
                  <c:v>2440.5</c:v>
                </c:pt>
              </c:numCache>
            </c:numRef>
          </c:val>
        </c:ser>
        <c:ser>
          <c:idx val="20"/>
          <c:order val="20"/>
          <c:tx>
            <c:strRef>
              <c:f>Лист1!$A$22</c:f>
              <c:strCache>
                <c:ptCount val="1"/>
                <c:pt idx="0">
                  <c:v>Новониколаевский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Лист1!$B$22:$G$22</c:f>
              <c:numCache>
                <c:formatCode>#,##0</c:formatCode>
                <c:ptCount val="6"/>
                <c:pt idx="0">
                  <c:v>1941</c:v>
                </c:pt>
                <c:pt idx="1">
                  <c:v>2263</c:v>
                </c:pt>
                <c:pt idx="2">
                  <c:v>2667</c:v>
                </c:pt>
                <c:pt idx="3">
                  <c:v>2182</c:v>
                </c:pt>
                <c:pt idx="4">
                  <c:v>1510</c:v>
                </c:pt>
                <c:pt idx="5">
                  <c:v>2708</c:v>
                </c:pt>
              </c:numCache>
            </c:numRef>
          </c:val>
        </c:ser>
        <c:ser>
          <c:idx val="21"/>
          <c:order val="21"/>
          <c:tx>
            <c:strRef>
              <c:f>Лист1!$A$23</c:f>
              <c:strCache>
                <c:ptCount val="1"/>
                <c:pt idx="0">
                  <c:v>Октябрьский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Лист1!$B$23:$G$23</c:f>
              <c:numCache>
                <c:formatCode>#,##0</c:formatCode>
                <c:ptCount val="6"/>
                <c:pt idx="0">
                  <c:v>2055</c:v>
                </c:pt>
                <c:pt idx="1">
                  <c:v>1677</c:v>
                </c:pt>
                <c:pt idx="2">
                  <c:v>1817</c:v>
                </c:pt>
                <c:pt idx="3">
                  <c:v>1984</c:v>
                </c:pt>
                <c:pt idx="4">
                  <c:v>2263</c:v>
                </c:pt>
                <c:pt idx="5">
                  <c:v>2093</c:v>
                </c:pt>
              </c:numCache>
            </c:numRef>
          </c:val>
        </c:ser>
        <c:ser>
          <c:idx val="22"/>
          <c:order val="22"/>
          <c:tx>
            <c:strRef>
              <c:f>Лист1!$A$24</c:f>
              <c:strCache>
                <c:ptCount val="1"/>
                <c:pt idx="0">
                  <c:v>Ольховский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Лист1!$B$24:$G$24</c:f>
              <c:numCache>
                <c:formatCode>#,##0</c:formatCode>
                <c:ptCount val="6"/>
                <c:pt idx="0">
                  <c:v>1492</c:v>
                </c:pt>
                <c:pt idx="1">
                  <c:v>1501</c:v>
                </c:pt>
                <c:pt idx="2">
                  <c:v>1739</c:v>
                </c:pt>
                <c:pt idx="3">
                  <c:v>1929</c:v>
                </c:pt>
                <c:pt idx="4">
                  <c:v>1437</c:v>
                </c:pt>
                <c:pt idx="5">
                  <c:v>1755</c:v>
                </c:pt>
              </c:numCache>
            </c:numRef>
          </c:val>
        </c:ser>
        <c:ser>
          <c:idx val="23"/>
          <c:order val="23"/>
          <c:tx>
            <c:strRef>
              <c:f>Лист1!$A$25</c:f>
              <c:strCache>
                <c:ptCount val="1"/>
                <c:pt idx="0">
                  <c:v>Палласовский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Лист1!$B$25:$G$25</c:f>
              <c:numCache>
                <c:formatCode>#,##0</c:formatCode>
                <c:ptCount val="6"/>
                <c:pt idx="0">
                  <c:v>1052.3333333333319</c:v>
                </c:pt>
                <c:pt idx="1">
                  <c:v>1206.6666666666667</c:v>
                </c:pt>
                <c:pt idx="2">
                  <c:v>1424.3333333333319</c:v>
                </c:pt>
                <c:pt idx="3">
                  <c:v>1761.6666666666667</c:v>
                </c:pt>
                <c:pt idx="4">
                  <c:v>1556.6666666666667</c:v>
                </c:pt>
                <c:pt idx="5">
                  <c:v>1732.6666666666667</c:v>
                </c:pt>
              </c:numCache>
            </c:numRef>
          </c:val>
        </c:ser>
        <c:ser>
          <c:idx val="24"/>
          <c:order val="24"/>
          <c:tx>
            <c:strRef>
              <c:f>Лист1!$A$26</c:f>
              <c:strCache>
                <c:ptCount val="1"/>
                <c:pt idx="0">
                  <c:v>Руднянский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Лист1!$B$26:$G$26</c:f>
              <c:numCache>
                <c:formatCode>#,##0</c:formatCode>
                <c:ptCount val="6"/>
                <c:pt idx="0">
                  <c:v>1427</c:v>
                </c:pt>
                <c:pt idx="1">
                  <c:v>1682</c:v>
                </c:pt>
                <c:pt idx="2">
                  <c:v>1611</c:v>
                </c:pt>
                <c:pt idx="3">
                  <c:v>1516</c:v>
                </c:pt>
                <c:pt idx="4">
                  <c:v>1417</c:v>
                </c:pt>
                <c:pt idx="5">
                  <c:v>1475</c:v>
                </c:pt>
              </c:numCache>
            </c:numRef>
          </c:val>
        </c:ser>
        <c:ser>
          <c:idx val="25"/>
          <c:order val="25"/>
          <c:tx>
            <c:strRef>
              <c:f>Лист1!$A$27</c:f>
              <c:strCache>
                <c:ptCount val="1"/>
                <c:pt idx="0">
                  <c:v>Светлоярский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Лист1!$B$27:$G$27</c:f>
              <c:numCache>
                <c:formatCode>#,##0</c:formatCode>
                <c:ptCount val="6"/>
                <c:pt idx="0">
                  <c:v>1529</c:v>
                </c:pt>
                <c:pt idx="1">
                  <c:v>1651</c:v>
                </c:pt>
                <c:pt idx="2">
                  <c:v>2025.5</c:v>
                </c:pt>
                <c:pt idx="3">
                  <c:v>2367.5</c:v>
                </c:pt>
                <c:pt idx="4">
                  <c:v>2545</c:v>
                </c:pt>
                <c:pt idx="5">
                  <c:v>3032.5</c:v>
                </c:pt>
              </c:numCache>
            </c:numRef>
          </c:val>
        </c:ser>
        <c:ser>
          <c:idx val="26"/>
          <c:order val="26"/>
          <c:tx>
            <c:strRef>
              <c:f>Лист1!$A$28</c:f>
              <c:strCache>
                <c:ptCount val="1"/>
                <c:pt idx="0">
                  <c:v>Серафимовичский</c:v>
                </c:pt>
              </c:strCache>
            </c:strRef>
          </c:tx>
          <c:dLbls>
            <c:dLbl>
              <c:idx val="0"/>
              <c:layout>
                <c:manualLayout>
                  <c:x val="-8.9271013825221679E-2"/>
                  <c:y val="3.1249537037037041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Лист1!$B$28:$G$28</c:f>
              <c:numCache>
                <c:formatCode>#,##0</c:formatCode>
                <c:ptCount val="6"/>
                <c:pt idx="0">
                  <c:v>794.5</c:v>
                </c:pt>
                <c:pt idx="1">
                  <c:v>946.5</c:v>
                </c:pt>
                <c:pt idx="2">
                  <c:v>1060</c:v>
                </c:pt>
                <c:pt idx="3">
                  <c:v>998</c:v>
                </c:pt>
                <c:pt idx="4">
                  <c:v>1409</c:v>
                </c:pt>
                <c:pt idx="5">
                  <c:v>1419</c:v>
                </c:pt>
              </c:numCache>
            </c:numRef>
          </c:val>
        </c:ser>
        <c:ser>
          <c:idx val="27"/>
          <c:order val="27"/>
          <c:tx>
            <c:strRef>
              <c:f>Лист1!$A$29</c:f>
              <c:strCache>
                <c:ptCount val="1"/>
                <c:pt idx="0">
                  <c:v>Среднеахтубинский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Лист1!$B$29:$G$29</c:f>
              <c:numCache>
                <c:formatCode>#,##0</c:formatCode>
                <c:ptCount val="6"/>
                <c:pt idx="0">
                  <c:v>997.25</c:v>
                </c:pt>
                <c:pt idx="1">
                  <c:v>1240.75</c:v>
                </c:pt>
                <c:pt idx="2">
                  <c:v>1331.5</c:v>
                </c:pt>
                <c:pt idx="3">
                  <c:v>2246</c:v>
                </c:pt>
                <c:pt idx="4">
                  <c:v>1763.75</c:v>
                </c:pt>
                <c:pt idx="5">
                  <c:v>2027.5</c:v>
                </c:pt>
              </c:numCache>
            </c:numRef>
          </c:val>
        </c:ser>
        <c:ser>
          <c:idx val="28"/>
          <c:order val="28"/>
          <c:tx>
            <c:strRef>
              <c:f>Лист1!$A$30</c:f>
              <c:strCache>
                <c:ptCount val="1"/>
                <c:pt idx="0">
                  <c:v>Старополтавский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Лист1!$B$30:$G$30</c:f>
              <c:numCache>
                <c:formatCode>#,##0</c:formatCode>
                <c:ptCount val="6"/>
                <c:pt idx="0">
                  <c:v>1852</c:v>
                </c:pt>
                <c:pt idx="1">
                  <c:v>2313</c:v>
                </c:pt>
                <c:pt idx="2">
                  <c:v>2382</c:v>
                </c:pt>
                <c:pt idx="3">
                  <c:v>2069</c:v>
                </c:pt>
                <c:pt idx="4">
                  <c:v>2579</c:v>
                </c:pt>
                <c:pt idx="5">
                  <c:v>2244</c:v>
                </c:pt>
              </c:numCache>
            </c:numRef>
          </c:val>
        </c:ser>
        <c:ser>
          <c:idx val="29"/>
          <c:order val="29"/>
          <c:tx>
            <c:strRef>
              <c:f>Лист1!$A$31</c:f>
              <c:strCache>
                <c:ptCount val="1"/>
                <c:pt idx="0">
                  <c:v>Суровикинский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Лист1!$B$31:$G$31</c:f>
              <c:numCache>
                <c:formatCode>#,##0</c:formatCode>
                <c:ptCount val="6"/>
                <c:pt idx="0">
                  <c:v>1970.5</c:v>
                </c:pt>
                <c:pt idx="1">
                  <c:v>1862</c:v>
                </c:pt>
                <c:pt idx="2">
                  <c:v>2201</c:v>
                </c:pt>
                <c:pt idx="3">
                  <c:v>2287.5</c:v>
                </c:pt>
                <c:pt idx="4">
                  <c:v>1862.5</c:v>
                </c:pt>
                <c:pt idx="5">
                  <c:v>2136</c:v>
                </c:pt>
              </c:numCache>
            </c:numRef>
          </c:val>
        </c:ser>
        <c:ser>
          <c:idx val="30"/>
          <c:order val="30"/>
          <c:tx>
            <c:strRef>
              <c:f>Лист1!$A$32</c:f>
              <c:strCache>
                <c:ptCount val="1"/>
                <c:pt idx="0">
                  <c:v>Урюпинский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Лист1!$B$32:$G$32</c:f>
              <c:numCache>
                <c:formatCode>#,##0</c:formatCode>
                <c:ptCount val="6"/>
                <c:pt idx="0">
                  <c:v>1337</c:v>
                </c:pt>
                <c:pt idx="1">
                  <c:v>1386.75</c:v>
                </c:pt>
                <c:pt idx="2">
                  <c:v>1695.5</c:v>
                </c:pt>
                <c:pt idx="3">
                  <c:v>1396.5</c:v>
                </c:pt>
                <c:pt idx="4">
                  <c:v>1360</c:v>
                </c:pt>
                <c:pt idx="5">
                  <c:v>1707.25</c:v>
                </c:pt>
              </c:numCache>
            </c:numRef>
          </c:val>
        </c:ser>
        <c:ser>
          <c:idx val="31"/>
          <c:order val="31"/>
          <c:tx>
            <c:strRef>
              <c:f>Лист1!$A$33</c:f>
              <c:strCache>
                <c:ptCount val="1"/>
                <c:pt idx="0">
                  <c:v>Фроловский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Лист1!$B$33:$G$33</c:f>
              <c:numCache>
                <c:formatCode>#,##0</c:formatCode>
                <c:ptCount val="6"/>
                <c:pt idx="0">
                  <c:v>2157.333333333338</c:v>
                </c:pt>
                <c:pt idx="1">
                  <c:v>2375.333333333338</c:v>
                </c:pt>
                <c:pt idx="2">
                  <c:v>2451</c:v>
                </c:pt>
                <c:pt idx="3">
                  <c:v>2603.6666666666633</c:v>
                </c:pt>
                <c:pt idx="4">
                  <c:v>2733.6666666666633</c:v>
                </c:pt>
                <c:pt idx="5">
                  <c:v>2574</c:v>
                </c:pt>
              </c:numCache>
            </c:numRef>
          </c:val>
        </c:ser>
        <c:ser>
          <c:idx val="32"/>
          <c:order val="32"/>
          <c:tx>
            <c:strRef>
              <c:f>Лист1!$A$34</c:f>
              <c:strCache>
                <c:ptCount val="1"/>
                <c:pt idx="0">
                  <c:v>Чернышковский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Лист1!$B$34:$G$34</c:f>
              <c:numCache>
                <c:formatCode>#,##0</c:formatCode>
                <c:ptCount val="6"/>
                <c:pt idx="0">
                  <c:v>1629</c:v>
                </c:pt>
                <c:pt idx="1">
                  <c:v>1677</c:v>
                </c:pt>
                <c:pt idx="2">
                  <c:v>1857</c:v>
                </c:pt>
                <c:pt idx="3">
                  <c:v>1591</c:v>
                </c:pt>
                <c:pt idx="4">
                  <c:v>1485</c:v>
                </c:pt>
                <c:pt idx="5">
                  <c:v>1616</c:v>
                </c:pt>
              </c:numCache>
            </c:numRef>
          </c:val>
        </c:ser>
        <c:ser>
          <c:idx val="33"/>
          <c:order val="33"/>
          <c:tx>
            <c:strRef>
              <c:f>Лист1!$A$35</c:f>
              <c:strCache>
                <c:ptCount val="1"/>
                <c:pt idx="0">
                  <c:v>Волжский</c:v>
                </c:pt>
              </c:strCache>
            </c:strRef>
          </c:tx>
          <c:dLbls>
            <c:dLbl>
              <c:idx val="0"/>
              <c:layout>
                <c:manualLayout>
                  <c:x val="-7.9609544468546692E-2"/>
                  <c:y val="-2.7848881219483354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Лист1!$B$35:$G$35</c:f>
              <c:numCache>
                <c:formatCode>#,##0</c:formatCode>
                <c:ptCount val="6"/>
                <c:pt idx="0">
                  <c:v>2445.333333333338</c:v>
                </c:pt>
                <c:pt idx="1">
                  <c:v>2296.9333333333379</c:v>
                </c:pt>
                <c:pt idx="2">
                  <c:v>2309</c:v>
                </c:pt>
                <c:pt idx="3">
                  <c:v>3073.7333333333368</c:v>
                </c:pt>
                <c:pt idx="4">
                  <c:v>2870.5333333333379</c:v>
                </c:pt>
                <c:pt idx="5">
                  <c:v>3477.6</c:v>
                </c:pt>
              </c:numCache>
            </c:numRef>
          </c:val>
        </c:ser>
        <c:ser>
          <c:idx val="34"/>
          <c:order val="34"/>
          <c:tx>
            <c:strRef>
              <c:f>Лист1!$A$36</c:f>
              <c:strCache>
                <c:ptCount val="1"/>
                <c:pt idx="0">
                  <c:v>Ворошиловский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Лист1!$B$36:$G$36</c:f>
              <c:numCache>
                <c:formatCode>#,##0</c:formatCode>
                <c:ptCount val="6"/>
                <c:pt idx="0">
                  <c:v>1944.8</c:v>
                </c:pt>
                <c:pt idx="1">
                  <c:v>1995</c:v>
                </c:pt>
                <c:pt idx="2">
                  <c:v>2046.2</c:v>
                </c:pt>
                <c:pt idx="3">
                  <c:v>2056.6</c:v>
                </c:pt>
                <c:pt idx="4">
                  <c:v>1956.2</c:v>
                </c:pt>
                <c:pt idx="5">
                  <c:v>3208</c:v>
                </c:pt>
              </c:numCache>
            </c:numRef>
          </c:val>
        </c:ser>
        <c:ser>
          <c:idx val="35"/>
          <c:order val="35"/>
          <c:tx>
            <c:strRef>
              <c:f>Лист1!$A$37</c:f>
              <c:strCache>
                <c:ptCount val="1"/>
                <c:pt idx="0">
                  <c:v>Дзержинский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2067851936584108E-2"/>
                  <c:y val="-5.8297846387865435E-5"/>
                </c:manualLayout>
              </c:layout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Лист1!$B$37:$G$37</c:f>
              <c:numCache>
                <c:formatCode>#,##0</c:formatCode>
                <c:ptCount val="6"/>
                <c:pt idx="0">
                  <c:v>2405.1111111111122</c:v>
                </c:pt>
                <c:pt idx="1">
                  <c:v>2318.1111111111122</c:v>
                </c:pt>
                <c:pt idx="2">
                  <c:v>3203.7777777777778</c:v>
                </c:pt>
                <c:pt idx="3">
                  <c:v>4043.8888888888887</c:v>
                </c:pt>
                <c:pt idx="4">
                  <c:v>4758.5555555555602</c:v>
                </c:pt>
                <c:pt idx="5">
                  <c:v>5844.7777777777765</c:v>
                </c:pt>
              </c:numCache>
            </c:numRef>
          </c:val>
        </c:ser>
        <c:ser>
          <c:idx val="36"/>
          <c:order val="36"/>
          <c:tx>
            <c:strRef>
              <c:f>Лист1!$A$38</c:f>
              <c:strCache>
                <c:ptCount val="1"/>
                <c:pt idx="0">
                  <c:v>Кировский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Лист1!$B$38:$G$38</c:f>
              <c:numCache>
                <c:formatCode>#,##0</c:formatCode>
                <c:ptCount val="6"/>
                <c:pt idx="0">
                  <c:v>1198</c:v>
                </c:pt>
                <c:pt idx="1">
                  <c:v>1441</c:v>
                </c:pt>
                <c:pt idx="2">
                  <c:v>1599.8333333333319</c:v>
                </c:pt>
                <c:pt idx="3">
                  <c:v>1924.1666666666667</c:v>
                </c:pt>
                <c:pt idx="4">
                  <c:v>1313.3333333333319</c:v>
                </c:pt>
                <c:pt idx="5">
                  <c:v>2708.6666666666633</c:v>
                </c:pt>
              </c:numCache>
            </c:numRef>
          </c:val>
        </c:ser>
        <c:ser>
          <c:idx val="37"/>
          <c:order val="37"/>
          <c:tx>
            <c:strRef>
              <c:f>Лист1!$A$39</c:f>
              <c:strCache>
                <c:ptCount val="1"/>
                <c:pt idx="0">
                  <c:v>Красноармейский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Лист1!$B$39:$G$39</c:f>
              <c:numCache>
                <c:formatCode>#,##0</c:formatCode>
                <c:ptCount val="6"/>
                <c:pt idx="0">
                  <c:v>1644.8</c:v>
                </c:pt>
                <c:pt idx="1">
                  <c:v>1670.4</c:v>
                </c:pt>
                <c:pt idx="2">
                  <c:v>1386.4</c:v>
                </c:pt>
                <c:pt idx="3">
                  <c:v>1921.9</c:v>
                </c:pt>
                <c:pt idx="4">
                  <c:v>1413</c:v>
                </c:pt>
                <c:pt idx="5">
                  <c:v>2740.8</c:v>
                </c:pt>
              </c:numCache>
            </c:numRef>
          </c:val>
        </c:ser>
        <c:ser>
          <c:idx val="38"/>
          <c:order val="38"/>
          <c:tx>
            <c:strRef>
              <c:f>Лист1!$A$40</c:f>
              <c:strCache>
                <c:ptCount val="1"/>
                <c:pt idx="0">
                  <c:v>Краснооктябрьский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Лист1!$B$40:$G$40</c:f>
              <c:numCache>
                <c:formatCode>#,##0</c:formatCode>
                <c:ptCount val="6"/>
                <c:pt idx="0">
                  <c:v>1887.4444444444434</c:v>
                </c:pt>
                <c:pt idx="1">
                  <c:v>1664.1111111111109</c:v>
                </c:pt>
                <c:pt idx="2">
                  <c:v>1400.4444444444434</c:v>
                </c:pt>
                <c:pt idx="3">
                  <c:v>1588.888888888888</c:v>
                </c:pt>
                <c:pt idx="4">
                  <c:v>1459.888888888888</c:v>
                </c:pt>
                <c:pt idx="5">
                  <c:v>3363</c:v>
                </c:pt>
              </c:numCache>
            </c:numRef>
          </c:val>
        </c:ser>
        <c:ser>
          <c:idx val="39"/>
          <c:order val="39"/>
          <c:tx>
            <c:strRef>
              <c:f>Лист1!$A$41</c:f>
              <c:strCache>
                <c:ptCount val="1"/>
                <c:pt idx="0">
                  <c:v>Советский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2858946369907439E-2"/>
                  <c:y val="-4.0237846244363017E-2"/>
                </c:manualLayout>
              </c:layout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Лист1!$B$41:$G$41</c:f>
              <c:numCache>
                <c:formatCode>#,##0</c:formatCode>
                <c:ptCount val="6"/>
                <c:pt idx="0">
                  <c:v>2043.8</c:v>
                </c:pt>
                <c:pt idx="1">
                  <c:v>2009</c:v>
                </c:pt>
                <c:pt idx="2">
                  <c:v>2226</c:v>
                </c:pt>
                <c:pt idx="3">
                  <c:v>2466.4</c:v>
                </c:pt>
                <c:pt idx="4">
                  <c:v>2483.6</c:v>
                </c:pt>
                <c:pt idx="5">
                  <c:v>4877.8</c:v>
                </c:pt>
              </c:numCache>
            </c:numRef>
          </c:val>
        </c:ser>
        <c:ser>
          <c:idx val="40"/>
          <c:order val="40"/>
          <c:tx>
            <c:strRef>
              <c:f>Лист1!$A$42</c:f>
              <c:strCache>
                <c:ptCount val="1"/>
                <c:pt idx="0">
                  <c:v>Тракторозаводский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Лист1!$B$42:$G$42</c:f>
              <c:numCache>
                <c:formatCode>#,##0</c:formatCode>
                <c:ptCount val="6"/>
                <c:pt idx="0">
                  <c:v>1947.25</c:v>
                </c:pt>
                <c:pt idx="1">
                  <c:v>1798.125</c:v>
                </c:pt>
                <c:pt idx="2">
                  <c:v>1911.875</c:v>
                </c:pt>
                <c:pt idx="3">
                  <c:v>1656</c:v>
                </c:pt>
                <c:pt idx="4">
                  <c:v>1553.5</c:v>
                </c:pt>
                <c:pt idx="5">
                  <c:v>2764.125</c:v>
                </c:pt>
              </c:numCache>
            </c:numRef>
          </c:val>
        </c:ser>
        <c:ser>
          <c:idx val="41"/>
          <c:order val="41"/>
          <c:tx>
            <c:strRef>
              <c:f>Лист1!$A$43</c:f>
              <c:strCache>
                <c:ptCount val="1"/>
                <c:pt idx="0">
                  <c:v>Центральный</c:v>
                </c:pt>
              </c:strCache>
            </c:strRef>
          </c:tx>
          <c:dLbls>
            <c:dLbl>
              <c:idx val="0"/>
              <c:layout>
                <c:manualLayout>
                  <c:x val="-1.440040175488769E-3"/>
                  <c:y val="-3.0846287413764106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968947695140592E-3"/>
                  <c:y val="-3.8493395302449246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Центральный;</a:t>
                    </a:r>
                  </a:p>
                  <a:p>
                    <a:pPr>
                      <a:defRPr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4 367</a:t>
                    </a:r>
                  </a:p>
                </c:rich>
              </c:tx>
              <c:spPr/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Лист1!$B$43:$G$43</c:f>
              <c:numCache>
                <c:formatCode>#,##0</c:formatCode>
                <c:ptCount val="6"/>
                <c:pt idx="0">
                  <c:v>5698.1428571428569</c:v>
                </c:pt>
                <c:pt idx="1">
                  <c:v>3584.4285714285697</c:v>
                </c:pt>
                <c:pt idx="2">
                  <c:v>3902.5714285714316</c:v>
                </c:pt>
                <c:pt idx="3">
                  <c:v>3685.714285714284</c:v>
                </c:pt>
                <c:pt idx="4">
                  <c:v>3273.4285714285697</c:v>
                </c:pt>
                <c:pt idx="5">
                  <c:v>4367</c:v>
                </c:pt>
              </c:numCache>
            </c:numRef>
          </c:val>
        </c:ser>
        <c:ser>
          <c:idx val="42"/>
          <c:order val="42"/>
          <c:tx>
            <c:strRef>
              <c:f>Лист1!$A$44</c:f>
              <c:strCache>
                <c:ptCount val="1"/>
                <c:pt idx="0">
                  <c:v>ВО</c:v>
                </c:pt>
              </c:strCache>
            </c:strRef>
          </c:tx>
          <c:spPr>
            <a:ln w="57150">
              <a:solidFill>
                <a:schemeClr val="tx1"/>
              </a:solidFill>
            </a:ln>
          </c:spPr>
          <c:marker>
            <c:symbol val="plus"/>
            <c:size val="14"/>
            <c:spPr>
              <a:solidFill>
                <a:schemeClr val="tx1"/>
              </a:solidFill>
              <a:ln w="85725">
                <a:solidFill>
                  <a:schemeClr val="tx1">
                    <a:alpha val="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9.5865970105530579E-2"/>
                  <c:y val="2.98173304250182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ВО;</a:t>
                    </a:r>
                  </a:p>
                  <a:p>
                    <a:r>
                      <a:rPr lang="ru-RU"/>
                      <a:t>1 970</a:t>
                    </a:r>
                  </a:p>
                </c:rich>
              </c:tx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5154373112831647E-3"/>
                  <c:y val="1.42381944444444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ВО;</a:t>
                    </a:r>
                  </a:p>
                  <a:p>
                    <a:r>
                      <a:rPr lang="ru-RU"/>
                      <a:t>2 939</a:t>
                    </a:r>
                  </a:p>
                </c:rich>
              </c:tx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Лист1!$B$44:$G$44</c:f>
              <c:numCache>
                <c:formatCode>#,##0</c:formatCode>
                <c:ptCount val="6"/>
                <c:pt idx="0">
                  <c:v>1970.4551724137941</c:v>
                </c:pt>
                <c:pt idx="1">
                  <c:v>1866.655172413793</c:v>
                </c:pt>
                <c:pt idx="2">
                  <c:v>2038.55172413793</c:v>
                </c:pt>
                <c:pt idx="3">
                  <c:v>2248.3034482758621</c:v>
                </c:pt>
                <c:pt idx="4">
                  <c:v>2147.4344827586197</c:v>
                </c:pt>
                <c:pt idx="5">
                  <c:v>2939.4758620689654</c:v>
                </c:pt>
              </c:numCache>
            </c:numRef>
          </c:val>
        </c:ser>
        <c:dLbls/>
        <c:marker val="1"/>
        <c:axId val="38422784"/>
        <c:axId val="38436864"/>
      </c:lineChart>
      <c:catAx>
        <c:axId val="384227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436864"/>
        <c:crosses val="autoZero"/>
        <c:auto val="1"/>
        <c:lblAlgn val="ctr"/>
        <c:lblOffset val="100"/>
      </c:catAx>
      <c:valAx>
        <c:axId val="38436864"/>
        <c:scaling>
          <c:orientation val="minMax"/>
          <c:max val="6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единиц</a:t>
                </a:r>
              </a:p>
            </c:rich>
          </c:tx>
          <c:layout>
            <c:manualLayout>
              <c:xMode val="edge"/>
              <c:yMode val="edge"/>
              <c:x val="2.9036004645760752E-3"/>
              <c:y val="0.43526528810066983"/>
            </c:manualLayout>
          </c:layout>
        </c:title>
        <c:numFmt formatCode="#,##0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422784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Окончено дел на 1 участок в год (оценка при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переаспределении)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52298232915868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9.3693181818181814E-2"/>
          <c:y val="7.5622959301188383E-2"/>
          <c:w val="0.90630681818181813"/>
          <c:h val="0.83947565414428682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Алексеевский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Лист1!$B$2:$G$2</c:f>
              <c:numCache>
                <c:formatCode>#,##0</c:formatCode>
                <c:ptCount val="6"/>
                <c:pt idx="0">
                  <c:v>1744</c:v>
                </c:pt>
                <c:pt idx="1">
                  <c:v>1919</c:v>
                </c:pt>
                <c:pt idx="2">
                  <c:v>1808</c:v>
                </c:pt>
                <c:pt idx="3">
                  <c:v>1470</c:v>
                </c:pt>
                <c:pt idx="4">
                  <c:v>1390</c:v>
                </c:pt>
                <c:pt idx="5">
                  <c:v>1773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Быковский</c:v>
                </c:pt>
              </c:strCache>
            </c:strRef>
          </c:tx>
          <c:dLbls>
            <c:dLbl>
              <c:idx val="0"/>
              <c:layout>
                <c:manualLayout>
                  <c:x val="-8.2228528145024765E-2"/>
                  <c:y val="-2.3821765991006771E-2"/>
                </c:manualLayout>
              </c:layout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5292213906578036E-2"/>
                  <c:y val="-5.1668584405600293E-2"/>
                </c:manualLayout>
              </c:layout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Лист1!$B$3:$G$3</c:f>
              <c:numCache>
                <c:formatCode>#,##0</c:formatCode>
                <c:ptCount val="6"/>
                <c:pt idx="0">
                  <c:v>3166</c:v>
                </c:pt>
                <c:pt idx="1">
                  <c:v>2962</c:v>
                </c:pt>
                <c:pt idx="2">
                  <c:v>3666</c:v>
                </c:pt>
                <c:pt idx="3">
                  <c:v>3876</c:v>
                </c:pt>
                <c:pt idx="4">
                  <c:v>3724</c:v>
                </c:pt>
                <c:pt idx="5">
                  <c:v>3881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Городищенский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Лист1!$B$4:$G$4</c:f>
              <c:numCache>
                <c:formatCode>#,##0</c:formatCode>
                <c:ptCount val="6"/>
                <c:pt idx="0">
                  <c:v>1900</c:v>
                </c:pt>
                <c:pt idx="1">
                  <c:v>1760.3333333333319</c:v>
                </c:pt>
                <c:pt idx="2">
                  <c:v>2302.6666666666633</c:v>
                </c:pt>
                <c:pt idx="3">
                  <c:v>2833.333333333338</c:v>
                </c:pt>
                <c:pt idx="4">
                  <c:v>2742.6666666666633</c:v>
                </c:pt>
                <c:pt idx="5">
                  <c:v>3566.333333333338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Даниловский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Лист1!$B$5:$G$5</c:f>
              <c:numCache>
                <c:formatCode>#,##0</c:formatCode>
                <c:ptCount val="6"/>
                <c:pt idx="0">
                  <c:v>1761</c:v>
                </c:pt>
                <c:pt idx="1">
                  <c:v>1887</c:v>
                </c:pt>
                <c:pt idx="2">
                  <c:v>1768</c:v>
                </c:pt>
                <c:pt idx="3">
                  <c:v>2209</c:v>
                </c:pt>
                <c:pt idx="4">
                  <c:v>2105</c:v>
                </c:pt>
                <c:pt idx="5">
                  <c:v>2280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Дубовский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Лист1!$B$6:$G$6</c:f>
              <c:numCache>
                <c:formatCode>#,##0</c:formatCode>
                <c:ptCount val="6"/>
                <c:pt idx="0">
                  <c:v>1525</c:v>
                </c:pt>
                <c:pt idx="1">
                  <c:v>1239</c:v>
                </c:pt>
                <c:pt idx="2">
                  <c:v>1400.5</c:v>
                </c:pt>
                <c:pt idx="3">
                  <c:v>1389.5</c:v>
                </c:pt>
                <c:pt idx="4">
                  <c:v>1434</c:v>
                </c:pt>
                <c:pt idx="5">
                  <c:v>1767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Еланский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Лист1!$B$7:$G$7</c:f>
              <c:numCache>
                <c:formatCode>#,##0</c:formatCode>
                <c:ptCount val="6"/>
                <c:pt idx="0">
                  <c:v>1009.5</c:v>
                </c:pt>
                <c:pt idx="1">
                  <c:v>1135.5</c:v>
                </c:pt>
                <c:pt idx="2">
                  <c:v>1449.5</c:v>
                </c:pt>
                <c:pt idx="3">
                  <c:v>1190</c:v>
                </c:pt>
                <c:pt idx="4">
                  <c:v>1025.5</c:v>
                </c:pt>
                <c:pt idx="5">
                  <c:v>1391</c:v>
                </c:pt>
              </c:numCache>
            </c:numRef>
          </c:val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Жирновский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Лист1!$B$8:$G$8</c:f>
              <c:numCache>
                <c:formatCode>#,##0</c:formatCode>
                <c:ptCount val="6"/>
                <c:pt idx="0">
                  <c:v>1881</c:v>
                </c:pt>
                <c:pt idx="1">
                  <c:v>2132</c:v>
                </c:pt>
                <c:pt idx="2">
                  <c:v>2367</c:v>
                </c:pt>
                <c:pt idx="3">
                  <c:v>1947.5</c:v>
                </c:pt>
                <c:pt idx="4">
                  <c:v>1881</c:v>
                </c:pt>
                <c:pt idx="5">
                  <c:v>2047</c:v>
                </c:pt>
              </c:numCache>
            </c:numRef>
          </c:val>
        </c:ser>
        <c:ser>
          <c:idx val="7"/>
          <c:order val="7"/>
          <c:tx>
            <c:strRef>
              <c:f>Лист1!$A$9</c:f>
              <c:strCache>
                <c:ptCount val="1"/>
                <c:pt idx="0">
                  <c:v>Иловлинский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Лист1!$B$9:$G$9</c:f>
              <c:numCache>
                <c:formatCode>#,##0</c:formatCode>
                <c:ptCount val="6"/>
                <c:pt idx="0">
                  <c:v>2001</c:v>
                </c:pt>
                <c:pt idx="1">
                  <c:v>1756</c:v>
                </c:pt>
                <c:pt idx="2">
                  <c:v>1835.5</c:v>
                </c:pt>
                <c:pt idx="3">
                  <c:v>1996</c:v>
                </c:pt>
                <c:pt idx="4">
                  <c:v>2111.5</c:v>
                </c:pt>
                <c:pt idx="5">
                  <c:v>2283</c:v>
                </c:pt>
              </c:numCache>
            </c:numRef>
          </c:val>
        </c:ser>
        <c:ser>
          <c:idx val="8"/>
          <c:order val="8"/>
          <c:tx>
            <c:strRef>
              <c:f>Лист1!$A$10</c:f>
              <c:strCache>
                <c:ptCount val="1"/>
                <c:pt idx="0">
                  <c:v>Калачевский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Лист1!$B$10:$G$10</c:f>
              <c:numCache>
                <c:formatCode>#,##0</c:formatCode>
                <c:ptCount val="6"/>
                <c:pt idx="0">
                  <c:v>1277.6666666666667</c:v>
                </c:pt>
                <c:pt idx="1">
                  <c:v>1353</c:v>
                </c:pt>
                <c:pt idx="2">
                  <c:v>1507.3333333333319</c:v>
                </c:pt>
                <c:pt idx="3">
                  <c:v>1697</c:v>
                </c:pt>
                <c:pt idx="4">
                  <c:v>1482.3333333333319</c:v>
                </c:pt>
                <c:pt idx="5">
                  <c:v>2056.333333333338</c:v>
                </c:pt>
              </c:numCache>
            </c:numRef>
          </c:val>
        </c:ser>
        <c:ser>
          <c:idx val="9"/>
          <c:order val="9"/>
          <c:tx>
            <c:strRef>
              <c:f>Лист1!$A$11</c:f>
              <c:strCache>
                <c:ptCount val="1"/>
                <c:pt idx="0">
                  <c:v>Камышинский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Лист1!$B$11:$G$11</c:f>
              <c:numCache>
                <c:formatCode>#,##0</c:formatCode>
                <c:ptCount val="6"/>
                <c:pt idx="0">
                  <c:v>1778.1428571428571</c:v>
                </c:pt>
                <c:pt idx="1">
                  <c:v>1718.714285714286</c:v>
                </c:pt>
                <c:pt idx="2">
                  <c:v>2247.4285714285697</c:v>
                </c:pt>
                <c:pt idx="3">
                  <c:v>2309.2857142857142</c:v>
                </c:pt>
                <c:pt idx="4">
                  <c:v>2453</c:v>
                </c:pt>
                <c:pt idx="5">
                  <c:v>2792.5714285714316</c:v>
                </c:pt>
              </c:numCache>
            </c:numRef>
          </c:val>
        </c:ser>
        <c:ser>
          <c:idx val="10"/>
          <c:order val="10"/>
          <c:tx>
            <c:strRef>
              <c:f>Лист1!$A$12</c:f>
              <c:strCache>
                <c:ptCount val="1"/>
                <c:pt idx="0">
                  <c:v>Киквидзенский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Лист1!$B$12:$G$12</c:f>
              <c:numCache>
                <c:formatCode>#,##0</c:formatCode>
                <c:ptCount val="6"/>
                <c:pt idx="0">
                  <c:v>1299</c:v>
                </c:pt>
                <c:pt idx="1">
                  <c:v>1329</c:v>
                </c:pt>
                <c:pt idx="2">
                  <c:v>1503</c:v>
                </c:pt>
                <c:pt idx="3">
                  <c:v>1294</c:v>
                </c:pt>
                <c:pt idx="4">
                  <c:v>1043</c:v>
                </c:pt>
                <c:pt idx="5">
                  <c:v>1536</c:v>
                </c:pt>
              </c:numCache>
            </c:numRef>
          </c:val>
        </c:ser>
        <c:ser>
          <c:idx val="11"/>
          <c:order val="11"/>
          <c:tx>
            <c:strRef>
              <c:f>Лист1!$A$13</c:f>
              <c:strCache>
                <c:ptCount val="1"/>
                <c:pt idx="0">
                  <c:v>Клетский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Лист1!$B$13:$G$13</c:f>
              <c:numCache>
                <c:formatCode>#,##0</c:formatCode>
                <c:ptCount val="6"/>
                <c:pt idx="0">
                  <c:v>1369</c:v>
                </c:pt>
                <c:pt idx="1">
                  <c:v>1043</c:v>
                </c:pt>
                <c:pt idx="2">
                  <c:v>1239</c:v>
                </c:pt>
                <c:pt idx="3">
                  <c:v>1233</c:v>
                </c:pt>
                <c:pt idx="4">
                  <c:v>1404</c:v>
                </c:pt>
                <c:pt idx="5">
                  <c:v>1667</c:v>
                </c:pt>
              </c:numCache>
            </c:numRef>
          </c:val>
        </c:ser>
        <c:ser>
          <c:idx val="12"/>
          <c:order val="12"/>
          <c:tx>
            <c:strRef>
              <c:f>Лист1!$A$14</c:f>
              <c:strCache>
                <c:ptCount val="1"/>
                <c:pt idx="0">
                  <c:v>Котельниковский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Лист1!$B$14:$G$14</c:f>
              <c:numCache>
                <c:formatCode>#,##0</c:formatCode>
                <c:ptCount val="6"/>
                <c:pt idx="0">
                  <c:v>1507.5</c:v>
                </c:pt>
                <c:pt idx="1">
                  <c:v>1496</c:v>
                </c:pt>
                <c:pt idx="2">
                  <c:v>1335</c:v>
                </c:pt>
                <c:pt idx="3">
                  <c:v>1510</c:v>
                </c:pt>
                <c:pt idx="4">
                  <c:v>1250.5</c:v>
                </c:pt>
                <c:pt idx="5">
                  <c:v>1938.5</c:v>
                </c:pt>
              </c:numCache>
            </c:numRef>
          </c:val>
        </c:ser>
        <c:ser>
          <c:idx val="13"/>
          <c:order val="13"/>
          <c:tx>
            <c:strRef>
              <c:f>Лист1!$A$15</c:f>
              <c:strCache>
                <c:ptCount val="1"/>
                <c:pt idx="0">
                  <c:v>Котовский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Лист1!$B$15:$G$15</c:f>
              <c:numCache>
                <c:formatCode>#,##0</c:formatCode>
                <c:ptCount val="6"/>
                <c:pt idx="0">
                  <c:v>1728</c:v>
                </c:pt>
                <c:pt idx="1">
                  <c:v>1926</c:v>
                </c:pt>
                <c:pt idx="2">
                  <c:v>2483.5</c:v>
                </c:pt>
                <c:pt idx="3">
                  <c:v>2052</c:v>
                </c:pt>
                <c:pt idx="4">
                  <c:v>1899</c:v>
                </c:pt>
                <c:pt idx="5">
                  <c:v>2241.5</c:v>
                </c:pt>
              </c:numCache>
            </c:numRef>
          </c:val>
        </c:ser>
        <c:ser>
          <c:idx val="14"/>
          <c:order val="14"/>
          <c:tx>
            <c:strRef>
              <c:f>Лист1!$A$16</c:f>
              <c:strCache>
                <c:ptCount val="1"/>
                <c:pt idx="0">
                  <c:v>Кумылженский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Лист1!$B$16:$G$16</c:f>
              <c:numCache>
                <c:formatCode>#,##0</c:formatCode>
                <c:ptCount val="6"/>
                <c:pt idx="0">
                  <c:v>2071</c:v>
                </c:pt>
                <c:pt idx="1">
                  <c:v>2169</c:v>
                </c:pt>
                <c:pt idx="2">
                  <c:v>1845</c:v>
                </c:pt>
                <c:pt idx="3">
                  <c:v>1751</c:v>
                </c:pt>
                <c:pt idx="4">
                  <c:v>1878</c:v>
                </c:pt>
                <c:pt idx="5">
                  <c:v>2280</c:v>
                </c:pt>
              </c:numCache>
            </c:numRef>
          </c:val>
        </c:ser>
        <c:ser>
          <c:idx val="15"/>
          <c:order val="15"/>
          <c:tx>
            <c:strRef>
              <c:f>Лист1!$A$17</c:f>
              <c:strCache>
                <c:ptCount val="1"/>
                <c:pt idx="0">
                  <c:v>Ленинский</c:v>
                </c:pt>
              </c:strCache>
            </c:strRef>
          </c:tx>
          <c:dLbls>
            <c:dLbl>
              <c:idx val="0"/>
              <c:layout>
                <c:manualLayout>
                  <c:x val="-8.2836032191612216E-2"/>
                  <c:y val="2.133655603065013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Ленинский; 878</a:t>
                    </a:r>
                  </a:p>
                </c:rich>
              </c:tx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Лист1!$B$17:$G$17</c:f>
              <c:numCache>
                <c:formatCode>#,##0</c:formatCode>
                <c:ptCount val="6"/>
                <c:pt idx="0">
                  <c:v>878</c:v>
                </c:pt>
                <c:pt idx="1">
                  <c:v>1272.5</c:v>
                </c:pt>
                <c:pt idx="2">
                  <c:v>1786</c:v>
                </c:pt>
                <c:pt idx="3">
                  <c:v>1399.5</c:v>
                </c:pt>
                <c:pt idx="4">
                  <c:v>1316.5</c:v>
                </c:pt>
                <c:pt idx="5">
                  <c:v>1984</c:v>
                </c:pt>
              </c:numCache>
            </c:numRef>
          </c:val>
        </c:ser>
        <c:ser>
          <c:idx val="16"/>
          <c:order val="16"/>
          <c:tx>
            <c:strRef>
              <c:f>Лист1!$A$18</c:f>
              <c:strCache>
                <c:ptCount val="1"/>
                <c:pt idx="0">
                  <c:v>Михайловский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Лист1!$B$18:$G$18</c:f>
              <c:numCache>
                <c:formatCode>#,##0</c:formatCode>
                <c:ptCount val="6"/>
                <c:pt idx="0">
                  <c:v>2056.8000000000002</c:v>
                </c:pt>
                <c:pt idx="1">
                  <c:v>2306</c:v>
                </c:pt>
                <c:pt idx="2">
                  <c:v>2342.4</c:v>
                </c:pt>
                <c:pt idx="3">
                  <c:v>2418.6</c:v>
                </c:pt>
                <c:pt idx="4">
                  <c:v>2732.8</c:v>
                </c:pt>
                <c:pt idx="5">
                  <c:v>2726.2</c:v>
                </c:pt>
              </c:numCache>
            </c:numRef>
          </c:val>
        </c:ser>
        <c:ser>
          <c:idx val="17"/>
          <c:order val="17"/>
          <c:tx>
            <c:strRef>
              <c:f>Лист1!$A$19</c:f>
              <c:strCache>
                <c:ptCount val="1"/>
                <c:pt idx="0">
                  <c:v>Нехаевский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4954209707681481E-4"/>
                  <c:y val="-2.5382596493921997E-2"/>
                </c:manualLayout>
              </c:layout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Лист1!$B$19:$G$19</c:f>
              <c:numCache>
                <c:formatCode>#,##0</c:formatCode>
                <c:ptCount val="6"/>
                <c:pt idx="0">
                  <c:v>953</c:v>
                </c:pt>
                <c:pt idx="1">
                  <c:v>1233</c:v>
                </c:pt>
                <c:pt idx="2">
                  <c:v>1193</c:v>
                </c:pt>
                <c:pt idx="3">
                  <c:v>849</c:v>
                </c:pt>
                <c:pt idx="4">
                  <c:v>858</c:v>
                </c:pt>
                <c:pt idx="5">
                  <c:v>1036</c:v>
                </c:pt>
              </c:numCache>
            </c:numRef>
          </c:val>
        </c:ser>
        <c:ser>
          <c:idx val="18"/>
          <c:order val="18"/>
          <c:tx>
            <c:strRef>
              <c:f>Лист1!$A$20</c:f>
              <c:strCache>
                <c:ptCount val="1"/>
                <c:pt idx="0">
                  <c:v>Николаевский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Лист1!$B$20:$G$20</c:f>
              <c:numCache>
                <c:formatCode>#,##0</c:formatCode>
                <c:ptCount val="6"/>
                <c:pt idx="0">
                  <c:v>1560</c:v>
                </c:pt>
                <c:pt idx="1">
                  <c:v>1398.5</c:v>
                </c:pt>
                <c:pt idx="2">
                  <c:v>1886</c:v>
                </c:pt>
                <c:pt idx="3">
                  <c:v>2305.5</c:v>
                </c:pt>
                <c:pt idx="4">
                  <c:v>1901.5</c:v>
                </c:pt>
                <c:pt idx="5">
                  <c:v>2404.5</c:v>
                </c:pt>
              </c:numCache>
            </c:numRef>
          </c:val>
        </c:ser>
        <c:ser>
          <c:idx val="19"/>
          <c:order val="19"/>
          <c:tx>
            <c:strRef>
              <c:f>Лист1!$A$21</c:f>
              <c:strCache>
                <c:ptCount val="1"/>
                <c:pt idx="0">
                  <c:v>Новоаннинский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Лист1!$B$21:$G$21</c:f>
              <c:numCache>
                <c:formatCode>#,##0</c:formatCode>
                <c:ptCount val="6"/>
                <c:pt idx="0">
                  <c:v>2301</c:v>
                </c:pt>
                <c:pt idx="1">
                  <c:v>2041.5</c:v>
                </c:pt>
                <c:pt idx="2">
                  <c:v>2359</c:v>
                </c:pt>
                <c:pt idx="3">
                  <c:v>2211</c:v>
                </c:pt>
                <c:pt idx="4">
                  <c:v>1781</c:v>
                </c:pt>
                <c:pt idx="5">
                  <c:v>2440.5</c:v>
                </c:pt>
              </c:numCache>
            </c:numRef>
          </c:val>
        </c:ser>
        <c:ser>
          <c:idx val="20"/>
          <c:order val="20"/>
          <c:tx>
            <c:strRef>
              <c:f>Лист1!$A$22</c:f>
              <c:strCache>
                <c:ptCount val="1"/>
                <c:pt idx="0">
                  <c:v>Новониколаевский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Лист1!$B$22:$G$22</c:f>
              <c:numCache>
                <c:formatCode>#,##0</c:formatCode>
                <c:ptCount val="6"/>
                <c:pt idx="0">
                  <c:v>1941</c:v>
                </c:pt>
                <c:pt idx="1">
                  <c:v>2263</c:v>
                </c:pt>
                <c:pt idx="2">
                  <c:v>2667</c:v>
                </c:pt>
                <c:pt idx="3">
                  <c:v>2182</c:v>
                </c:pt>
                <c:pt idx="4">
                  <c:v>1510</c:v>
                </c:pt>
                <c:pt idx="5">
                  <c:v>2708</c:v>
                </c:pt>
              </c:numCache>
            </c:numRef>
          </c:val>
        </c:ser>
        <c:ser>
          <c:idx val="21"/>
          <c:order val="21"/>
          <c:tx>
            <c:strRef>
              <c:f>Лист1!$A$23</c:f>
              <c:strCache>
                <c:ptCount val="1"/>
                <c:pt idx="0">
                  <c:v>Октябрьский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Лист1!$B$23:$G$23</c:f>
              <c:numCache>
                <c:formatCode>#,##0</c:formatCode>
                <c:ptCount val="6"/>
                <c:pt idx="0">
                  <c:v>2055</c:v>
                </c:pt>
                <c:pt idx="1">
                  <c:v>1677</c:v>
                </c:pt>
                <c:pt idx="2">
                  <c:v>1817</c:v>
                </c:pt>
                <c:pt idx="3">
                  <c:v>1984</c:v>
                </c:pt>
                <c:pt idx="4">
                  <c:v>2263</c:v>
                </c:pt>
                <c:pt idx="5">
                  <c:v>2093</c:v>
                </c:pt>
              </c:numCache>
            </c:numRef>
          </c:val>
        </c:ser>
        <c:ser>
          <c:idx val="22"/>
          <c:order val="22"/>
          <c:tx>
            <c:strRef>
              <c:f>Лист1!$A$24</c:f>
              <c:strCache>
                <c:ptCount val="1"/>
                <c:pt idx="0">
                  <c:v>Ольховский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Лист1!$B$24:$G$24</c:f>
              <c:numCache>
                <c:formatCode>#,##0</c:formatCode>
                <c:ptCount val="6"/>
                <c:pt idx="0">
                  <c:v>1492</c:v>
                </c:pt>
                <c:pt idx="1">
                  <c:v>1501</c:v>
                </c:pt>
                <c:pt idx="2">
                  <c:v>1739</c:v>
                </c:pt>
                <c:pt idx="3">
                  <c:v>1929</c:v>
                </c:pt>
                <c:pt idx="4">
                  <c:v>1437</c:v>
                </c:pt>
                <c:pt idx="5">
                  <c:v>1755</c:v>
                </c:pt>
              </c:numCache>
            </c:numRef>
          </c:val>
        </c:ser>
        <c:ser>
          <c:idx val="23"/>
          <c:order val="23"/>
          <c:tx>
            <c:strRef>
              <c:f>Лист1!$A$25</c:f>
              <c:strCache>
                <c:ptCount val="1"/>
                <c:pt idx="0">
                  <c:v>Палласовский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Лист1!$B$25:$G$25</c:f>
              <c:numCache>
                <c:formatCode>#,##0</c:formatCode>
                <c:ptCount val="6"/>
                <c:pt idx="0">
                  <c:v>1578.5</c:v>
                </c:pt>
                <c:pt idx="1">
                  <c:v>1810</c:v>
                </c:pt>
                <c:pt idx="2">
                  <c:v>2136.5</c:v>
                </c:pt>
                <c:pt idx="3">
                  <c:v>2642.5</c:v>
                </c:pt>
                <c:pt idx="4">
                  <c:v>2335</c:v>
                </c:pt>
                <c:pt idx="5">
                  <c:v>2599</c:v>
                </c:pt>
              </c:numCache>
            </c:numRef>
          </c:val>
        </c:ser>
        <c:ser>
          <c:idx val="24"/>
          <c:order val="24"/>
          <c:tx>
            <c:strRef>
              <c:f>Лист1!$A$26</c:f>
              <c:strCache>
                <c:ptCount val="1"/>
                <c:pt idx="0">
                  <c:v>Руднянский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Лист1!$B$26:$G$26</c:f>
              <c:numCache>
                <c:formatCode>#,##0</c:formatCode>
                <c:ptCount val="6"/>
                <c:pt idx="0">
                  <c:v>1427</c:v>
                </c:pt>
                <c:pt idx="1">
                  <c:v>1682</c:v>
                </c:pt>
                <c:pt idx="2">
                  <c:v>1611</c:v>
                </c:pt>
                <c:pt idx="3">
                  <c:v>1516</c:v>
                </c:pt>
                <c:pt idx="4">
                  <c:v>1417</c:v>
                </c:pt>
                <c:pt idx="5">
                  <c:v>1475</c:v>
                </c:pt>
              </c:numCache>
            </c:numRef>
          </c:val>
        </c:ser>
        <c:ser>
          <c:idx val="25"/>
          <c:order val="25"/>
          <c:tx>
            <c:strRef>
              <c:f>Лист1!$A$27</c:f>
              <c:strCache>
                <c:ptCount val="1"/>
                <c:pt idx="0">
                  <c:v>Светлоярский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Лист1!$B$27:$G$27</c:f>
              <c:numCache>
                <c:formatCode>#,##0</c:formatCode>
                <c:ptCount val="6"/>
                <c:pt idx="0">
                  <c:v>1529</c:v>
                </c:pt>
                <c:pt idx="1">
                  <c:v>1651</c:v>
                </c:pt>
                <c:pt idx="2">
                  <c:v>2025.5</c:v>
                </c:pt>
                <c:pt idx="3">
                  <c:v>2367.5</c:v>
                </c:pt>
                <c:pt idx="4">
                  <c:v>2545</c:v>
                </c:pt>
                <c:pt idx="5">
                  <c:v>3032.5</c:v>
                </c:pt>
              </c:numCache>
            </c:numRef>
          </c:val>
        </c:ser>
        <c:ser>
          <c:idx val="26"/>
          <c:order val="26"/>
          <c:tx>
            <c:strRef>
              <c:f>Лист1!$A$28</c:f>
              <c:strCache>
                <c:ptCount val="1"/>
                <c:pt idx="0">
                  <c:v>Серафимовичский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Лист1!$B$28:$G$28</c:f>
              <c:numCache>
                <c:formatCode>#,##0</c:formatCode>
                <c:ptCount val="6"/>
                <c:pt idx="0">
                  <c:v>1589</c:v>
                </c:pt>
                <c:pt idx="1">
                  <c:v>1893</c:v>
                </c:pt>
                <c:pt idx="2">
                  <c:v>2120</c:v>
                </c:pt>
                <c:pt idx="3">
                  <c:v>1996</c:v>
                </c:pt>
                <c:pt idx="4">
                  <c:v>2818</c:v>
                </c:pt>
                <c:pt idx="5">
                  <c:v>2838</c:v>
                </c:pt>
              </c:numCache>
            </c:numRef>
          </c:val>
        </c:ser>
        <c:ser>
          <c:idx val="27"/>
          <c:order val="27"/>
          <c:tx>
            <c:strRef>
              <c:f>Лист1!$A$29</c:f>
              <c:strCache>
                <c:ptCount val="1"/>
                <c:pt idx="0">
                  <c:v>Среднеахтубинский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Лист1!$B$29:$G$29</c:f>
              <c:numCache>
                <c:formatCode>#,##0</c:formatCode>
                <c:ptCount val="6"/>
                <c:pt idx="0">
                  <c:v>1329.6666666666667</c:v>
                </c:pt>
                <c:pt idx="1">
                  <c:v>1654.3333333333319</c:v>
                </c:pt>
                <c:pt idx="2">
                  <c:v>1775.3333333333319</c:v>
                </c:pt>
                <c:pt idx="3">
                  <c:v>2994.6666666666633</c:v>
                </c:pt>
                <c:pt idx="4">
                  <c:v>2351.6666666666633</c:v>
                </c:pt>
                <c:pt idx="5">
                  <c:v>2703.333333333338</c:v>
                </c:pt>
              </c:numCache>
            </c:numRef>
          </c:val>
        </c:ser>
        <c:ser>
          <c:idx val="28"/>
          <c:order val="28"/>
          <c:tx>
            <c:strRef>
              <c:f>Лист1!$A$30</c:f>
              <c:strCache>
                <c:ptCount val="1"/>
                <c:pt idx="0">
                  <c:v>Старополтавский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Лист1!$B$30:$G$30</c:f>
              <c:numCache>
                <c:formatCode>#,##0</c:formatCode>
                <c:ptCount val="6"/>
                <c:pt idx="0">
                  <c:v>1852</c:v>
                </c:pt>
                <c:pt idx="1">
                  <c:v>2313</c:v>
                </c:pt>
                <c:pt idx="2">
                  <c:v>2382</c:v>
                </c:pt>
                <c:pt idx="3">
                  <c:v>2069</c:v>
                </c:pt>
                <c:pt idx="4">
                  <c:v>2579</c:v>
                </c:pt>
                <c:pt idx="5">
                  <c:v>2244</c:v>
                </c:pt>
              </c:numCache>
            </c:numRef>
          </c:val>
        </c:ser>
        <c:ser>
          <c:idx val="29"/>
          <c:order val="29"/>
          <c:tx>
            <c:strRef>
              <c:f>Лист1!$A$31</c:f>
              <c:strCache>
                <c:ptCount val="1"/>
                <c:pt idx="0">
                  <c:v>Суровикинский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Лист1!$B$31:$G$31</c:f>
              <c:numCache>
                <c:formatCode>#,##0</c:formatCode>
                <c:ptCount val="6"/>
                <c:pt idx="0">
                  <c:v>1970.5</c:v>
                </c:pt>
                <c:pt idx="1">
                  <c:v>1862</c:v>
                </c:pt>
                <c:pt idx="2">
                  <c:v>2201</c:v>
                </c:pt>
                <c:pt idx="3">
                  <c:v>2287.5</c:v>
                </c:pt>
                <c:pt idx="4">
                  <c:v>1862.5</c:v>
                </c:pt>
                <c:pt idx="5">
                  <c:v>2136</c:v>
                </c:pt>
              </c:numCache>
            </c:numRef>
          </c:val>
        </c:ser>
        <c:ser>
          <c:idx val="30"/>
          <c:order val="30"/>
          <c:tx>
            <c:strRef>
              <c:f>Лист1!$A$32</c:f>
              <c:strCache>
                <c:ptCount val="1"/>
                <c:pt idx="0">
                  <c:v>Урюпинский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Лист1!$B$32:$G$32</c:f>
              <c:numCache>
                <c:formatCode>#,##0</c:formatCode>
                <c:ptCount val="6"/>
                <c:pt idx="0">
                  <c:v>1782.6666666666667</c:v>
                </c:pt>
                <c:pt idx="1">
                  <c:v>1849</c:v>
                </c:pt>
                <c:pt idx="2">
                  <c:v>2260.6666666666633</c:v>
                </c:pt>
                <c:pt idx="3">
                  <c:v>1862</c:v>
                </c:pt>
                <c:pt idx="4">
                  <c:v>1813.3333333333319</c:v>
                </c:pt>
                <c:pt idx="5">
                  <c:v>2276.333333333338</c:v>
                </c:pt>
              </c:numCache>
            </c:numRef>
          </c:val>
        </c:ser>
        <c:ser>
          <c:idx val="31"/>
          <c:order val="31"/>
          <c:tx>
            <c:strRef>
              <c:f>Лист1!$A$33</c:f>
              <c:strCache>
                <c:ptCount val="1"/>
                <c:pt idx="0">
                  <c:v>Фроловский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Лист1!$B$33:$G$33</c:f>
              <c:numCache>
                <c:formatCode>#,##0</c:formatCode>
                <c:ptCount val="6"/>
                <c:pt idx="0">
                  <c:v>2157.333333333338</c:v>
                </c:pt>
                <c:pt idx="1">
                  <c:v>2375.333333333338</c:v>
                </c:pt>
                <c:pt idx="2">
                  <c:v>2451</c:v>
                </c:pt>
                <c:pt idx="3">
                  <c:v>2603.6666666666633</c:v>
                </c:pt>
                <c:pt idx="4">
                  <c:v>2733.6666666666633</c:v>
                </c:pt>
                <c:pt idx="5">
                  <c:v>2574</c:v>
                </c:pt>
              </c:numCache>
            </c:numRef>
          </c:val>
        </c:ser>
        <c:ser>
          <c:idx val="32"/>
          <c:order val="32"/>
          <c:tx>
            <c:strRef>
              <c:f>Лист1!$A$34</c:f>
              <c:strCache>
                <c:ptCount val="1"/>
                <c:pt idx="0">
                  <c:v>Чернышковский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Лист1!$B$34:$G$34</c:f>
              <c:numCache>
                <c:formatCode>#,##0</c:formatCode>
                <c:ptCount val="6"/>
                <c:pt idx="0">
                  <c:v>1629</c:v>
                </c:pt>
                <c:pt idx="1">
                  <c:v>1677</c:v>
                </c:pt>
                <c:pt idx="2">
                  <c:v>1857</c:v>
                </c:pt>
                <c:pt idx="3">
                  <c:v>1591</c:v>
                </c:pt>
                <c:pt idx="4">
                  <c:v>1485</c:v>
                </c:pt>
                <c:pt idx="5">
                  <c:v>1616</c:v>
                </c:pt>
              </c:numCache>
            </c:numRef>
          </c:val>
        </c:ser>
        <c:ser>
          <c:idx val="33"/>
          <c:order val="33"/>
          <c:tx>
            <c:strRef>
              <c:f>Лист1!$A$35</c:f>
              <c:strCache>
                <c:ptCount val="1"/>
                <c:pt idx="0">
                  <c:v>Волжский</c:v>
                </c:pt>
              </c:strCache>
            </c:strRef>
          </c:tx>
          <c:dLbls>
            <c:dLbl>
              <c:idx val="0"/>
              <c:layout>
                <c:manualLayout>
                  <c:x val="-7.9609540265406342E-2"/>
                  <c:y val="-1.361070150935545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Лист1!$B$35:$G$35</c:f>
              <c:numCache>
                <c:formatCode>#,##0</c:formatCode>
                <c:ptCount val="6"/>
                <c:pt idx="0">
                  <c:v>2445.333333333338</c:v>
                </c:pt>
                <c:pt idx="1">
                  <c:v>2296.9333333333379</c:v>
                </c:pt>
                <c:pt idx="2">
                  <c:v>2309</c:v>
                </c:pt>
                <c:pt idx="3">
                  <c:v>3073.7333333333368</c:v>
                </c:pt>
                <c:pt idx="4">
                  <c:v>2870.5333333333379</c:v>
                </c:pt>
                <c:pt idx="5">
                  <c:v>3477.6</c:v>
                </c:pt>
              </c:numCache>
            </c:numRef>
          </c:val>
        </c:ser>
        <c:ser>
          <c:idx val="34"/>
          <c:order val="34"/>
          <c:tx>
            <c:strRef>
              <c:f>Лист1!$A$36</c:f>
              <c:strCache>
                <c:ptCount val="1"/>
                <c:pt idx="0">
                  <c:v>Ворошиловский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Лист1!$B$36:$G$36</c:f>
              <c:numCache>
                <c:formatCode>#,##0</c:formatCode>
                <c:ptCount val="6"/>
                <c:pt idx="0">
                  <c:v>1944.8</c:v>
                </c:pt>
                <c:pt idx="1">
                  <c:v>1995</c:v>
                </c:pt>
                <c:pt idx="2">
                  <c:v>2046.2</c:v>
                </c:pt>
                <c:pt idx="3">
                  <c:v>2056.6</c:v>
                </c:pt>
                <c:pt idx="4">
                  <c:v>1956.2</c:v>
                </c:pt>
                <c:pt idx="5">
                  <c:v>3208</c:v>
                </c:pt>
              </c:numCache>
            </c:numRef>
          </c:val>
        </c:ser>
        <c:ser>
          <c:idx val="35"/>
          <c:order val="35"/>
          <c:tx>
            <c:strRef>
              <c:f>Лист1!$A$37</c:f>
              <c:strCache>
                <c:ptCount val="1"/>
                <c:pt idx="0">
                  <c:v>Дзержинский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947283620815924E-2"/>
                  <c:y val="1.708286147526826E-2"/>
                </c:manualLayout>
              </c:layout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Лист1!$B$37:$G$37</c:f>
              <c:numCache>
                <c:formatCode>#,##0</c:formatCode>
                <c:ptCount val="6"/>
                <c:pt idx="0">
                  <c:v>1546.1428571428571</c:v>
                </c:pt>
                <c:pt idx="1">
                  <c:v>1490.214285714286</c:v>
                </c:pt>
                <c:pt idx="2">
                  <c:v>2059.5714285714316</c:v>
                </c:pt>
                <c:pt idx="3">
                  <c:v>2599.6428571428555</c:v>
                </c:pt>
                <c:pt idx="4">
                  <c:v>3059.0714285714316</c:v>
                </c:pt>
                <c:pt idx="5">
                  <c:v>3757.3571428571463</c:v>
                </c:pt>
              </c:numCache>
            </c:numRef>
          </c:val>
        </c:ser>
        <c:ser>
          <c:idx val="36"/>
          <c:order val="36"/>
          <c:tx>
            <c:strRef>
              <c:f>Лист1!$A$38</c:f>
              <c:strCache>
                <c:ptCount val="1"/>
                <c:pt idx="0">
                  <c:v>Кировский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Лист1!$B$38:$G$38</c:f>
              <c:numCache>
                <c:formatCode>#,##0</c:formatCode>
                <c:ptCount val="6"/>
                <c:pt idx="0">
                  <c:v>1437.6</c:v>
                </c:pt>
                <c:pt idx="1">
                  <c:v>1729.2</c:v>
                </c:pt>
                <c:pt idx="2">
                  <c:v>1919.8</c:v>
                </c:pt>
                <c:pt idx="3">
                  <c:v>2309</c:v>
                </c:pt>
                <c:pt idx="4">
                  <c:v>1576</c:v>
                </c:pt>
                <c:pt idx="5">
                  <c:v>3250.4</c:v>
                </c:pt>
              </c:numCache>
            </c:numRef>
          </c:val>
        </c:ser>
        <c:ser>
          <c:idx val="37"/>
          <c:order val="37"/>
          <c:tx>
            <c:strRef>
              <c:f>Лист1!$A$39</c:f>
              <c:strCache>
                <c:ptCount val="1"/>
                <c:pt idx="0">
                  <c:v>Красноармейский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Лист1!$B$39:$G$39</c:f>
              <c:numCache>
                <c:formatCode>#,##0</c:formatCode>
                <c:ptCount val="6"/>
                <c:pt idx="0">
                  <c:v>1827.5555555555561</c:v>
                </c:pt>
                <c:pt idx="1">
                  <c:v>1856</c:v>
                </c:pt>
                <c:pt idx="2">
                  <c:v>1540.4444444444434</c:v>
                </c:pt>
                <c:pt idx="3">
                  <c:v>2135.4444444444443</c:v>
                </c:pt>
                <c:pt idx="4">
                  <c:v>1570</c:v>
                </c:pt>
                <c:pt idx="5">
                  <c:v>3045.333333333338</c:v>
                </c:pt>
              </c:numCache>
            </c:numRef>
          </c:val>
        </c:ser>
        <c:ser>
          <c:idx val="38"/>
          <c:order val="38"/>
          <c:tx>
            <c:strRef>
              <c:f>Лист1!$A$40</c:f>
              <c:strCache>
                <c:ptCount val="1"/>
                <c:pt idx="0">
                  <c:v>Краснооктябрьский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Лист1!$B$40:$G$40</c:f>
              <c:numCache>
                <c:formatCode>#,##0</c:formatCode>
                <c:ptCount val="6"/>
                <c:pt idx="0">
                  <c:v>1887.4444444444434</c:v>
                </c:pt>
                <c:pt idx="1">
                  <c:v>1664.1111111111109</c:v>
                </c:pt>
                <c:pt idx="2">
                  <c:v>1400.4444444444434</c:v>
                </c:pt>
                <c:pt idx="3">
                  <c:v>1588.888888888888</c:v>
                </c:pt>
                <c:pt idx="4">
                  <c:v>1459.888888888888</c:v>
                </c:pt>
                <c:pt idx="5">
                  <c:v>3363</c:v>
                </c:pt>
              </c:numCache>
            </c:numRef>
          </c:val>
        </c:ser>
        <c:ser>
          <c:idx val="39"/>
          <c:order val="39"/>
          <c:tx>
            <c:strRef>
              <c:f>Лист1!$A$41</c:f>
              <c:strCache>
                <c:ptCount val="1"/>
                <c:pt idx="0">
                  <c:v>Советский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Лист1!$B$41:$G$41</c:f>
              <c:numCache>
                <c:formatCode>#,##0</c:formatCode>
                <c:ptCount val="6"/>
                <c:pt idx="0">
                  <c:v>1459.857142857142</c:v>
                </c:pt>
                <c:pt idx="1">
                  <c:v>1435</c:v>
                </c:pt>
                <c:pt idx="2">
                  <c:v>1590</c:v>
                </c:pt>
                <c:pt idx="3">
                  <c:v>1761.714285714286</c:v>
                </c:pt>
                <c:pt idx="4">
                  <c:v>1774</c:v>
                </c:pt>
                <c:pt idx="5">
                  <c:v>3484.1428571428555</c:v>
                </c:pt>
              </c:numCache>
            </c:numRef>
          </c:val>
        </c:ser>
        <c:ser>
          <c:idx val="40"/>
          <c:order val="40"/>
          <c:tx>
            <c:strRef>
              <c:f>Лист1!$A$42</c:f>
              <c:strCache>
                <c:ptCount val="1"/>
                <c:pt idx="0">
                  <c:v>Тракторозаводский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Лист1!$B$42:$G$42</c:f>
              <c:numCache>
                <c:formatCode>#,##0</c:formatCode>
                <c:ptCount val="6"/>
                <c:pt idx="0">
                  <c:v>2225.4285714285697</c:v>
                </c:pt>
                <c:pt idx="1">
                  <c:v>2055</c:v>
                </c:pt>
                <c:pt idx="2">
                  <c:v>2185</c:v>
                </c:pt>
                <c:pt idx="3">
                  <c:v>1892.5714285714271</c:v>
                </c:pt>
                <c:pt idx="4">
                  <c:v>1775.4285714285729</c:v>
                </c:pt>
                <c:pt idx="5">
                  <c:v>3159</c:v>
                </c:pt>
              </c:numCache>
            </c:numRef>
          </c:val>
        </c:ser>
        <c:ser>
          <c:idx val="41"/>
          <c:order val="41"/>
          <c:tx>
            <c:strRef>
              <c:f>Лист1!$A$43</c:f>
              <c:strCache>
                <c:ptCount val="1"/>
                <c:pt idx="0">
                  <c:v>Центральный</c:v>
                </c:pt>
              </c:strCache>
            </c:strRef>
          </c:tx>
          <c:dLbls>
            <c:dLbl>
              <c:idx val="0"/>
              <c:layout>
                <c:manualLayout>
                  <c:x val="1.2317693257353301E-4"/>
                  <c:y val="4.5788332132852381E-4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Лист1!$B$43:$G$43</c:f>
              <c:numCache>
                <c:formatCode>#,##0</c:formatCode>
                <c:ptCount val="6"/>
                <c:pt idx="0">
                  <c:v>4431.8888888888887</c:v>
                </c:pt>
                <c:pt idx="1">
                  <c:v>2787.8888888888887</c:v>
                </c:pt>
                <c:pt idx="2">
                  <c:v>3035.333333333338</c:v>
                </c:pt>
                <c:pt idx="3">
                  <c:v>2866.6666666666633</c:v>
                </c:pt>
                <c:pt idx="4">
                  <c:v>2546</c:v>
                </c:pt>
                <c:pt idx="5">
                  <c:v>3396.5555555555579</c:v>
                </c:pt>
              </c:numCache>
            </c:numRef>
          </c:val>
        </c:ser>
        <c:ser>
          <c:idx val="42"/>
          <c:order val="42"/>
          <c:tx>
            <c:strRef>
              <c:f>Лист1!$A$44</c:f>
              <c:strCache>
                <c:ptCount val="1"/>
                <c:pt idx="0">
                  <c:v>ВО</c:v>
                </c:pt>
              </c:strCache>
            </c:strRef>
          </c:tx>
          <c:spPr>
            <a:ln w="57150">
              <a:solidFill>
                <a:schemeClr val="tx1"/>
              </a:solidFill>
            </a:ln>
          </c:spPr>
          <c:marker>
            <c:symbol val="plus"/>
            <c:size val="14"/>
            <c:spPr>
              <a:solidFill>
                <a:schemeClr val="tx1"/>
              </a:solidFill>
              <a:ln w="85725">
                <a:solidFill>
                  <a:schemeClr val="tx1">
                    <a:alpha val="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9.3183607730851811E-2"/>
                  <c:y val="2.95358347000686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ВО;</a:t>
                    </a:r>
                  </a:p>
                  <a:p>
                    <a:r>
                      <a:rPr lang="ru-RU"/>
                      <a:t>1 970</a:t>
                    </a:r>
                  </a:p>
                </c:rich>
              </c:tx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2.80608022630126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ВО;</a:t>
                    </a:r>
                  </a:p>
                  <a:p>
                    <a:r>
                      <a:rPr lang="ru-RU"/>
                      <a:t>2 939</a:t>
                    </a:r>
                  </a:p>
                </c:rich>
              </c:tx>
              <c:showVal val="1"/>
              <c:showSer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Лист1!$B$44:$G$44</c:f>
              <c:numCache>
                <c:formatCode>#,##0</c:formatCode>
                <c:ptCount val="6"/>
                <c:pt idx="0">
                  <c:v>1970.4551724137941</c:v>
                </c:pt>
                <c:pt idx="1">
                  <c:v>1866.655172413793</c:v>
                </c:pt>
                <c:pt idx="2">
                  <c:v>2038.55172413793</c:v>
                </c:pt>
                <c:pt idx="3">
                  <c:v>2248.3034482758621</c:v>
                </c:pt>
                <c:pt idx="4">
                  <c:v>2147.4344827586197</c:v>
                </c:pt>
                <c:pt idx="5">
                  <c:v>2939.4758620689654</c:v>
                </c:pt>
              </c:numCache>
            </c:numRef>
          </c:val>
        </c:ser>
        <c:dLbls/>
        <c:marker val="1"/>
        <c:axId val="38859136"/>
        <c:axId val="38860672"/>
      </c:lineChart>
      <c:catAx>
        <c:axId val="388591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860672"/>
        <c:crosses val="autoZero"/>
        <c:auto val="1"/>
        <c:lblAlgn val="ctr"/>
        <c:lblOffset val="100"/>
      </c:catAx>
      <c:valAx>
        <c:axId val="38860672"/>
        <c:scaling>
          <c:orientation val="minMax"/>
          <c:max val="4500"/>
          <c:min val="5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единиц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8591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Оценка изменения нагрузки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на 1 судебный участок при перераспределении количества участков на основе данных 2017 года без учёта районов с одним участком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738242000053018"/>
          <c:y val="3.043601031352563E-4"/>
        </c:manualLayout>
      </c:layout>
    </c:title>
    <c:plotArea>
      <c:layout>
        <c:manualLayout>
          <c:layoutTarget val="inner"/>
          <c:xMode val="edge"/>
          <c:yMode val="edge"/>
          <c:x val="9.4771699939022819E-2"/>
          <c:y val="0.13940271354969527"/>
          <c:w val="0.8921339378032288"/>
          <c:h val="0.584115411499488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перераспределения</c:v>
                </c:pt>
              </c:strCache>
            </c:strRef>
          </c:tx>
          <c:spPr>
            <a:gradFill rotWithShape="1"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21"/>
            <c:spPr>
              <a:gradFill rotWithShape="1">
                <a:gsLst>
                  <a:gs pos="0">
                    <a:srgbClr val="4F81BD">
                      <a:tint val="50000"/>
                      <a:satMod val="300000"/>
                    </a:srgbClr>
                  </a:gs>
                  <a:gs pos="35000">
                    <a:srgbClr val="4F81BD">
                      <a:tint val="37000"/>
                      <a:satMod val="300000"/>
                    </a:srgbClr>
                  </a:gs>
                  <a:gs pos="100000">
                    <a:srgbClr val="4F81BD">
                      <a:tint val="15000"/>
                      <a:satMod val="350000"/>
                    </a:srgbClr>
                  </a:gs>
                </a:gsLst>
                <a:lin ang="16200000" scaled="1"/>
              </a:gradFill>
              <a:ln w="9525" cap="flat" cmpd="sng" algn="ctr">
                <a:solidFill>
                  <a:srgbClr val="4F81BD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trendline>
            <c:spPr>
              <a:ln w="38100" cap="flat" cmpd="sng" algn="ctr">
                <a:solidFill>
                  <a:srgbClr val="4F81BD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trendlineType val="linear"/>
          </c:trendline>
          <c:cat>
            <c:strRef>
              <c:f>Лист1!$A$2:$A$31</c:f>
              <c:strCache>
                <c:ptCount val="30"/>
                <c:pt idx="0">
                  <c:v>Котельниковский</c:v>
                </c:pt>
                <c:pt idx="1">
                  <c:v>Еланский</c:v>
                </c:pt>
                <c:pt idx="2">
                  <c:v>Серафимовичский</c:v>
                </c:pt>
                <c:pt idx="3">
                  <c:v>Урюпинский</c:v>
                </c:pt>
                <c:pt idx="4">
                  <c:v>Палласовский</c:v>
                </c:pt>
                <c:pt idx="5">
                  <c:v>Дубовский</c:v>
                </c:pt>
                <c:pt idx="6">
                  <c:v>Ленинский</c:v>
                </c:pt>
                <c:pt idx="7">
                  <c:v>Среднеахтубинский</c:v>
                </c:pt>
                <c:pt idx="8">
                  <c:v>Жирновский</c:v>
                </c:pt>
                <c:pt idx="9">
                  <c:v>Калачевский</c:v>
                </c:pt>
                <c:pt idx="10">
                  <c:v>Суровикинский</c:v>
                </c:pt>
                <c:pt idx="11">
                  <c:v>Котовский</c:v>
                </c:pt>
                <c:pt idx="12">
                  <c:v>Иловлинский</c:v>
                </c:pt>
                <c:pt idx="13">
                  <c:v>Николаевский</c:v>
                </c:pt>
                <c:pt idx="14">
                  <c:v>Новоаннинский</c:v>
                </c:pt>
                <c:pt idx="15">
                  <c:v>Камышинский</c:v>
                </c:pt>
                <c:pt idx="16">
                  <c:v>Фроловский</c:v>
                </c:pt>
                <c:pt idx="17">
                  <c:v>Кировский</c:v>
                </c:pt>
                <c:pt idx="18">
                  <c:v>Михайловский</c:v>
                </c:pt>
                <c:pt idx="19">
                  <c:v>Красноармейский</c:v>
                </c:pt>
                <c:pt idx="20">
                  <c:v>Тракторозаводский</c:v>
                </c:pt>
                <c:pt idx="21">
                  <c:v>ВО</c:v>
                </c:pt>
                <c:pt idx="22">
                  <c:v>Светлоярский</c:v>
                </c:pt>
                <c:pt idx="23">
                  <c:v>Ворошиловский</c:v>
                </c:pt>
                <c:pt idx="24">
                  <c:v>Краснооктябрьский</c:v>
                </c:pt>
                <c:pt idx="25">
                  <c:v>Волжский</c:v>
                </c:pt>
                <c:pt idx="26">
                  <c:v>Городищенский</c:v>
                </c:pt>
                <c:pt idx="27">
                  <c:v>Центральный</c:v>
                </c:pt>
                <c:pt idx="28">
                  <c:v>Советский</c:v>
                </c:pt>
                <c:pt idx="29">
                  <c:v>Дзержинский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1292</c:v>
                </c:pt>
                <c:pt idx="1">
                  <c:v>1391</c:v>
                </c:pt>
                <c:pt idx="2">
                  <c:v>1419</c:v>
                </c:pt>
                <c:pt idx="3">
                  <c:v>1707</c:v>
                </c:pt>
                <c:pt idx="4">
                  <c:v>1733</c:v>
                </c:pt>
                <c:pt idx="5">
                  <c:v>1767</c:v>
                </c:pt>
                <c:pt idx="6">
                  <c:v>1984</c:v>
                </c:pt>
                <c:pt idx="7">
                  <c:v>2028</c:v>
                </c:pt>
                <c:pt idx="8">
                  <c:v>2047</c:v>
                </c:pt>
                <c:pt idx="9">
                  <c:v>2056</c:v>
                </c:pt>
                <c:pt idx="10">
                  <c:v>2136</c:v>
                </c:pt>
                <c:pt idx="11">
                  <c:v>2242</c:v>
                </c:pt>
                <c:pt idx="12">
                  <c:v>2283</c:v>
                </c:pt>
                <c:pt idx="13">
                  <c:v>2405</c:v>
                </c:pt>
                <c:pt idx="14">
                  <c:v>2441</c:v>
                </c:pt>
                <c:pt idx="15">
                  <c:v>2444</c:v>
                </c:pt>
                <c:pt idx="16">
                  <c:v>2574</c:v>
                </c:pt>
                <c:pt idx="17">
                  <c:v>2709</c:v>
                </c:pt>
                <c:pt idx="18">
                  <c:v>2726</c:v>
                </c:pt>
                <c:pt idx="19">
                  <c:v>2741</c:v>
                </c:pt>
                <c:pt idx="20">
                  <c:v>2764</c:v>
                </c:pt>
                <c:pt idx="21">
                  <c:v>2939</c:v>
                </c:pt>
                <c:pt idx="22">
                  <c:v>3033</c:v>
                </c:pt>
                <c:pt idx="23">
                  <c:v>3208</c:v>
                </c:pt>
                <c:pt idx="24">
                  <c:v>3363</c:v>
                </c:pt>
                <c:pt idx="25">
                  <c:v>3478</c:v>
                </c:pt>
                <c:pt idx="26">
                  <c:v>3566</c:v>
                </c:pt>
                <c:pt idx="27">
                  <c:v>4367</c:v>
                </c:pt>
                <c:pt idx="28">
                  <c:v>4878</c:v>
                </c:pt>
                <c:pt idx="29">
                  <c:v>5845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перераспределения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21"/>
            <c:spPr>
              <a:gradFill rotWithShape="1">
                <a:gsLst>
                  <a:gs pos="0">
                    <a:srgbClr val="9BBB59">
                      <a:tint val="50000"/>
                      <a:satMod val="300000"/>
                    </a:srgbClr>
                  </a:gs>
                  <a:gs pos="35000">
                    <a:srgbClr val="9BBB59">
                      <a:tint val="37000"/>
                      <a:satMod val="300000"/>
                    </a:srgbClr>
                  </a:gs>
                  <a:gs pos="100000">
                    <a:srgbClr val="9BBB59">
                      <a:tint val="15000"/>
                      <a:satMod val="350000"/>
                    </a:srgbClr>
                  </a:gs>
                </a:gsLst>
                <a:lin ang="16200000" scaled="1"/>
              </a:gradFill>
              <a:ln w="9525" cap="flat" cmpd="sng" algn="ctr">
                <a:solidFill>
                  <a:srgbClr val="9BBB59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dLbl>
              <c:idx val="0"/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0"/>
                  <c:y val="-4.1493775933609964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solidFill>
                          <a:srgbClr val="FF0000"/>
                        </a:solidFill>
                      </a:rPr>
                      <a:t>2939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7"/>
              <c:layout>
                <c:manualLayout>
                  <c:x val="4.2087542087542104E-3"/>
                  <c:y val="9.681881051175657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8"/>
              <c:layout>
                <c:manualLayout>
                  <c:x val="4.2087542087540543E-3"/>
                  <c:y val="9.681881051175657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9"/>
              <c:layout>
                <c:manualLayout>
                  <c:x val="-6.313131313131313E-3"/>
                  <c:y val="3.80359612724758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3"/>
              <c:tx>
                <c:rich>
                  <a:bodyPr/>
                  <a:lstStyle/>
                  <a:p>
                    <a:fld id="{5AA7C6C8-D14D-458C-949F-F6ABD6300FA3}" type="VALUE">
                      <a:rPr lang="en-US">
                        <a:solidFill>
                          <a:srgbClr val="7030A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 rot="-5400000" wrap="square" lIns="38100" tIns="19050" rIns="38100" bIns="19050" anchor="ctr">
                <a:spAutoFit/>
              </a:bodyPr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 w="38100" cap="flat" cmpd="sng" algn="ctr">
                <a:solidFill>
                  <a:srgbClr val="9BBB59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trendlineType val="linear"/>
          </c:trendline>
          <c:cat>
            <c:strRef>
              <c:f>Лист1!$A$2:$A$31</c:f>
              <c:strCache>
                <c:ptCount val="30"/>
                <c:pt idx="0">
                  <c:v>Котельниковский</c:v>
                </c:pt>
                <c:pt idx="1">
                  <c:v>Еланский</c:v>
                </c:pt>
                <c:pt idx="2">
                  <c:v>Серафимовичский</c:v>
                </c:pt>
                <c:pt idx="3">
                  <c:v>Урюпинский</c:v>
                </c:pt>
                <c:pt idx="4">
                  <c:v>Палласовский</c:v>
                </c:pt>
                <c:pt idx="5">
                  <c:v>Дубовский</c:v>
                </c:pt>
                <c:pt idx="6">
                  <c:v>Ленинский</c:v>
                </c:pt>
                <c:pt idx="7">
                  <c:v>Среднеахтубинский</c:v>
                </c:pt>
                <c:pt idx="8">
                  <c:v>Жирновский</c:v>
                </c:pt>
                <c:pt idx="9">
                  <c:v>Калачевский</c:v>
                </c:pt>
                <c:pt idx="10">
                  <c:v>Суровикинский</c:v>
                </c:pt>
                <c:pt idx="11">
                  <c:v>Котовский</c:v>
                </c:pt>
                <c:pt idx="12">
                  <c:v>Иловлинский</c:v>
                </c:pt>
                <c:pt idx="13">
                  <c:v>Николаевский</c:v>
                </c:pt>
                <c:pt idx="14">
                  <c:v>Новоаннинский</c:v>
                </c:pt>
                <c:pt idx="15">
                  <c:v>Камышинский</c:v>
                </c:pt>
                <c:pt idx="16">
                  <c:v>Фроловский</c:v>
                </c:pt>
                <c:pt idx="17">
                  <c:v>Кировский</c:v>
                </c:pt>
                <c:pt idx="18">
                  <c:v>Михайловский</c:v>
                </c:pt>
                <c:pt idx="19">
                  <c:v>Красноармейский</c:v>
                </c:pt>
                <c:pt idx="20">
                  <c:v>Тракторозаводский</c:v>
                </c:pt>
                <c:pt idx="21">
                  <c:v>ВО</c:v>
                </c:pt>
                <c:pt idx="22">
                  <c:v>Светлоярский</c:v>
                </c:pt>
                <c:pt idx="23">
                  <c:v>Ворошиловский</c:v>
                </c:pt>
                <c:pt idx="24">
                  <c:v>Краснооктябрьский</c:v>
                </c:pt>
                <c:pt idx="25">
                  <c:v>Волжский</c:v>
                </c:pt>
                <c:pt idx="26">
                  <c:v>Городищенский</c:v>
                </c:pt>
                <c:pt idx="27">
                  <c:v>Центральный</c:v>
                </c:pt>
                <c:pt idx="28">
                  <c:v>Советский</c:v>
                </c:pt>
                <c:pt idx="29">
                  <c:v>Дзержинский</c:v>
                </c:pt>
              </c:strCache>
            </c:strRef>
          </c:cat>
          <c:val>
            <c:numRef>
              <c:f>Лист1!$C$2:$C$31</c:f>
              <c:numCache>
                <c:formatCode>#,##0</c:formatCode>
                <c:ptCount val="30"/>
                <c:pt idx="0">
                  <c:v>1939</c:v>
                </c:pt>
                <c:pt idx="1">
                  <c:v>1391</c:v>
                </c:pt>
                <c:pt idx="2">
                  <c:v>2838</c:v>
                </c:pt>
                <c:pt idx="3">
                  <c:v>2276</c:v>
                </c:pt>
                <c:pt idx="4">
                  <c:v>2599</c:v>
                </c:pt>
                <c:pt idx="5">
                  <c:v>1767</c:v>
                </c:pt>
                <c:pt idx="6">
                  <c:v>1984</c:v>
                </c:pt>
                <c:pt idx="7">
                  <c:v>2703</c:v>
                </c:pt>
                <c:pt idx="8">
                  <c:v>2047</c:v>
                </c:pt>
                <c:pt idx="9">
                  <c:v>2056</c:v>
                </c:pt>
                <c:pt idx="10">
                  <c:v>2136</c:v>
                </c:pt>
                <c:pt idx="11">
                  <c:v>2242</c:v>
                </c:pt>
                <c:pt idx="12">
                  <c:v>2283</c:v>
                </c:pt>
                <c:pt idx="13">
                  <c:v>2405</c:v>
                </c:pt>
                <c:pt idx="14">
                  <c:v>2441</c:v>
                </c:pt>
                <c:pt idx="15">
                  <c:v>2793</c:v>
                </c:pt>
                <c:pt idx="16">
                  <c:v>2574</c:v>
                </c:pt>
                <c:pt idx="17">
                  <c:v>3250</c:v>
                </c:pt>
                <c:pt idx="18">
                  <c:v>2726</c:v>
                </c:pt>
                <c:pt idx="19">
                  <c:v>3045</c:v>
                </c:pt>
                <c:pt idx="20">
                  <c:v>3159</c:v>
                </c:pt>
                <c:pt idx="21">
                  <c:v>2939</c:v>
                </c:pt>
                <c:pt idx="22">
                  <c:v>3033</c:v>
                </c:pt>
                <c:pt idx="23">
                  <c:v>3208</c:v>
                </c:pt>
                <c:pt idx="24">
                  <c:v>3363</c:v>
                </c:pt>
                <c:pt idx="25" formatCode="General">
                  <c:v>3478</c:v>
                </c:pt>
                <c:pt idx="26">
                  <c:v>3566</c:v>
                </c:pt>
                <c:pt idx="27">
                  <c:v>3397</c:v>
                </c:pt>
                <c:pt idx="28">
                  <c:v>3484</c:v>
                </c:pt>
                <c:pt idx="29">
                  <c:v>4384</c:v>
                </c:pt>
              </c:numCache>
            </c:numRef>
          </c:val>
        </c:ser>
        <c:dLbls/>
        <c:axId val="39074432"/>
        <c:axId val="39096704"/>
      </c:barChart>
      <c:catAx>
        <c:axId val="3907443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096704"/>
        <c:crosses val="autoZero"/>
        <c:auto val="1"/>
        <c:lblAlgn val="ctr"/>
        <c:lblOffset val="100"/>
      </c:catAx>
      <c:valAx>
        <c:axId val="39096704"/>
        <c:scaling>
          <c:orientation val="minMax"/>
          <c:max val="6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 дел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074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551969829528885"/>
          <c:y val="0.90267628583464066"/>
          <c:w val="0.80240959463400452"/>
          <c:h val="8.8738959497282888E-2"/>
        </c:manualLayout>
      </c:layout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Численность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населения на 1 судебный участок в 2017 году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412396399976817"/>
          <c:y val="8.519701810436639E-3"/>
        </c:manualLayout>
      </c:layout>
    </c:title>
    <c:plotArea>
      <c:layout>
        <c:manualLayout>
          <c:layoutTarget val="inner"/>
          <c:xMode val="edge"/>
          <c:yMode val="edge"/>
          <c:x val="8.2663752204476026E-2"/>
          <c:y val="0.11314566509857203"/>
          <c:w val="0.90754315805161556"/>
          <c:h val="0.733908245494875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flood" dir="t"/>
            </a:scene3d>
            <a:sp3d prstMaterial="plastic">
              <a:bevelT w="152400" h="50800" prst="softRound"/>
            </a:sp3d>
          </c:spPr>
          <c:dPt>
            <c:idx val="0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spPr>
              <a:gradFill rotWithShape="1">
                <a:gsLst>
                  <a:gs pos="0">
                    <a:srgbClr val="C0504D">
                      <a:shade val="51000"/>
                      <a:satMod val="130000"/>
                    </a:srgbClr>
                  </a:gs>
                  <a:gs pos="80000">
                    <a:srgbClr val="C0504D">
                      <a:shade val="93000"/>
                      <a:satMod val="130000"/>
                    </a:srgbClr>
                  </a:gs>
                  <a:gs pos="100000">
                    <a:srgbClr val="C0504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layout>
                <c:manualLayout>
                  <c:x val="-2.1030494216614098E-3"/>
                  <c:y val="1.277955271565495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1030494216614098E-3"/>
                  <c:y val="1.703940362087327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Краснодарский край</c:v>
                </c:pt>
                <c:pt idx="1">
                  <c:v>Ростовская область</c:v>
                </c:pt>
                <c:pt idx="2">
                  <c:v>Ставропольский край</c:v>
                </c:pt>
                <c:pt idx="3">
                  <c:v>Волгоградская область</c:v>
                </c:pt>
                <c:pt idx="4">
                  <c:v>Саратовская область</c:v>
                </c:pt>
                <c:pt idx="5">
                  <c:v>Воронежская область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20.633129629629632</c:v>
                </c:pt>
                <c:pt idx="1">
                  <c:v>18.397195652173913</c:v>
                </c:pt>
                <c:pt idx="2">
                  <c:v>19.611069930069927</c:v>
                </c:pt>
                <c:pt idx="3">
                  <c:v>17.484151724137927</c:v>
                </c:pt>
                <c:pt idx="4">
                  <c:v>18.501940298507463</c:v>
                </c:pt>
                <c:pt idx="5">
                  <c:v>19.960752136752124</c:v>
                </c:pt>
              </c:numCache>
            </c:numRef>
          </c:val>
        </c:ser>
        <c:dLbls/>
        <c:axId val="38971648"/>
        <c:axId val="38973440"/>
      </c:barChart>
      <c:catAx>
        <c:axId val="38971648"/>
        <c:scaling>
          <c:orientation val="minMax"/>
        </c:scaling>
        <c:axPos val="b"/>
        <c:numFmt formatCode="General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973440"/>
        <c:crosses val="autoZero"/>
        <c:auto val="1"/>
        <c:lblAlgn val="ctr"/>
        <c:lblOffset val="100"/>
      </c:catAx>
      <c:valAx>
        <c:axId val="38973440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тыс. человек</a:t>
                </a:r>
              </a:p>
            </c:rich>
          </c:tx>
          <c:layout>
            <c:manualLayout>
              <c:xMode val="edge"/>
              <c:yMode val="edge"/>
              <c:x val="3.4804639956283081E-3"/>
              <c:y val="0.35737331555600288"/>
            </c:manualLayout>
          </c:layout>
        </c:title>
        <c:numFmt formatCode="#,##0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971648"/>
        <c:crosses val="autoZero"/>
        <c:crossBetween val="between"/>
        <c:majorUnit val="1.5"/>
      </c:valAx>
    </c:plotArea>
    <c:plotVisOnly val="1"/>
    <c:dispBlanksAs val="gap"/>
  </c:chart>
  <c:spPr>
    <a:ln>
      <a:noFill/>
    </a:ln>
  </c:spPr>
  <c:externalData r:id="rId2"/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Нагрузка на один судебный участок в 2012-2017 годах</a:t>
            </a:r>
          </a:p>
        </c:rich>
      </c:tx>
      <c:layout>
        <c:manualLayout>
          <c:xMode val="edge"/>
          <c:yMode val="edge"/>
          <c:x val="0.19119215766809855"/>
          <c:y val="0"/>
        </c:manualLayout>
      </c:layout>
    </c:title>
    <c:plotArea>
      <c:layout>
        <c:manualLayout>
          <c:layoutTarget val="inner"/>
          <c:xMode val="edge"/>
          <c:yMode val="edge"/>
          <c:x val="9.7019491374664507E-2"/>
          <c:y val="0.13412698412698421"/>
          <c:w val="0.88013854298017502"/>
          <c:h val="0.5884986251718534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Ростовская область</c:v>
                </c:pt>
              </c:strCache>
            </c:strRef>
          </c:tx>
          <c:spPr>
            <a:ln>
              <a:solidFill>
                <a:srgbClr val="F79646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triangle"/>
            <c:size val="7"/>
            <c:spPr>
              <a:gradFill rotWithShape="1">
                <a:gsLst>
                  <a:gs pos="0">
                    <a:srgbClr val="F79646">
                      <a:shade val="51000"/>
                      <a:satMod val="130000"/>
                    </a:srgbClr>
                  </a:gs>
                  <a:gs pos="80000">
                    <a:srgbClr val="F79646">
                      <a:shade val="93000"/>
                      <a:satMod val="130000"/>
                    </a:srgbClr>
                  </a:gs>
                  <a:gs pos="100000">
                    <a:srgbClr val="F7964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2569117793253557E-2"/>
                  <c:y val="4.126984126984126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6339490799118891E-2"/>
                  <c:y val="4.920634920634921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4262948467740785E-2"/>
                  <c:y val="4.920634920634921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  <c:pt idx="5">
                  <c:v>2017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#,##0.0">
                  <c:v>1131.8217391304347</c:v>
                </c:pt>
                <c:pt idx="2" formatCode="#,##0.0">
                  <c:v>1430.4956521739155</c:v>
                </c:pt>
                <c:pt idx="3" formatCode="#,##0.0">
                  <c:v>1590.9956521739155</c:v>
                </c:pt>
                <c:pt idx="4" formatCode="#,##0.0">
                  <c:v>1877.5913043478233</c:v>
                </c:pt>
                <c:pt idx="5" formatCode="#,##0.0">
                  <c:v>2156.804347826087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Ставропольский край</c:v>
                </c:pt>
              </c:strCache>
            </c:strRef>
          </c:tx>
          <c:spPr>
            <a:ln>
              <a:solidFill>
                <a:srgbClr val="1F497D">
                  <a:lumMod val="60000"/>
                  <a:lumOff val="40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diamond"/>
            <c:size val="7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elete val="1"/>
          </c:dLbls>
          <c:cat>
            <c:strRef>
              <c:f>Лист1!$A$2:$A$7</c:f>
              <c:strCache>
                <c:ptCount val="6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  <c:pt idx="5">
                  <c:v>2017 год</c:v>
                </c:pt>
              </c:strCache>
            </c:strRef>
          </c:cat>
          <c:val>
            <c:numRef>
              <c:f>Лист1!$C$2:$C$7</c:f>
              <c:numCache>
                <c:formatCode>#,##0.0</c:formatCode>
                <c:ptCount val="6"/>
                <c:pt idx="0">
                  <c:v>1449.2097902097903</c:v>
                </c:pt>
                <c:pt idx="1">
                  <c:v>1714.6643356643326</c:v>
                </c:pt>
                <c:pt idx="2">
                  <c:v>1914.2937062937058</c:v>
                </c:pt>
                <c:pt idx="3">
                  <c:v>1973.0209790209801</c:v>
                </c:pt>
                <c:pt idx="4">
                  <c:v>2158.4685314685307</c:v>
                </c:pt>
                <c:pt idx="5">
                  <c:v>2528.1398601398587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Волгоградская область</c:v>
                </c:pt>
              </c:strCache>
            </c:strRef>
          </c:tx>
          <c:spPr>
            <a:ln>
              <a:solidFill>
                <a:srgbClr val="8064A2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triangle"/>
            <c:size val="7"/>
            <c:spPr>
              <a:gradFill rotWithShape="1">
                <a:gsLst>
                  <a:gs pos="0">
                    <a:srgbClr val="8064A2">
                      <a:shade val="51000"/>
                      <a:satMod val="130000"/>
                    </a:srgbClr>
                  </a:gs>
                  <a:gs pos="80000">
                    <a:srgbClr val="8064A2">
                      <a:shade val="93000"/>
                      <a:satMod val="130000"/>
                    </a:srgbClr>
                  </a:gs>
                  <a:gs pos="100000">
                    <a:srgbClr val="8064A2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6.9564168101170457E-2"/>
                  <c:y val="6.984126984126991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5028371781522895E-2"/>
                  <c:y val="-3.33333333333333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0382711656891121E-3"/>
                  <c:y val="-1.349206349206350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  <c:pt idx="5">
                  <c:v>2017 год</c:v>
                </c:pt>
              </c:strCache>
            </c:strRef>
          </c:cat>
          <c:val>
            <c:numRef>
              <c:f>Лист1!$D$2:$D$7</c:f>
              <c:numCache>
                <c:formatCode>#,##0.0</c:formatCode>
                <c:ptCount val="6"/>
                <c:pt idx="0">
                  <c:v>1970.4551724137957</c:v>
                </c:pt>
                <c:pt idx="1">
                  <c:v>1866.655172413793</c:v>
                </c:pt>
                <c:pt idx="2">
                  <c:v>2038.5517241379298</c:v>
                </c:pt>
                <c:pt idx="3">
                  <c:v>2248.3034482758621</c:v>
                </c:pt>
                <c:pt idx="4">
                  <c:v>2147.4344827586197</c:v>
                </c:pt>
                <c:pt idx="5">
                  <c:v>2939.1586206896504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Саратовская область</c:v>
                </c:pt>
              </c:strCache>
            </c:strRef>
          </c:tx>
          <c:spPr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7"/>
            <c:spPr>
              <a:gradFill rotWithShape="1">
                <a:gsLst>
                  <a:gs pos="0">
                    <a:srgbClr val="C0504D">
                      <a:shade val="51000"/>
                      <a:satMod val="130000"/>
                    </a:srgbClr>
                  </a:gs>
                  <a:gs pos="80000">
                    <a:srgbClr val="C0504D">
                      <a:shade val="93000"/>
                      <a:satMod val="130000"/>
                    </a:srgbClr>
                  </a:gs>
                  <a:gs pos="100000">
                    <a:srgbClr val="C0504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  <c:pt idx="5">
                  <c:v>2017 год</c:v>
                </c:pt>
              </c:strCache>
            </c:strRef>
          </c:cat>
          <c:val>
            <c:numRef>
              <c:f>Лист1!$E$2:$E$7</c:f>
              <c:numCache>
                <c:formatCode>#,##0.0</c:formatCode>
                <c:ptCount val="6"/>
                <c:pt idx="0">
                  <c:v>1669.1</c:v>
                </c:pt>
                <c:pt idx="1">
                  <c:v>2027.984962406015</c:v>
                </c:pt>
                <c:pt idx="2">
                  <c:v>2126.2388059701493</c:v>
                </c:pt>
                <c:pt idx="3">
                  <c:v>2215.1716417910447</c:v>
                </c:pt>
                <c:pt idx="4">
                  <c:v>2481.0746268656717</c:v>
                </c:pt>
                <c:pt idx="5">
                  <c:v>3199.186567164174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Воронежская область</c:v>
                </c:pt>
              </c:strCache>
            </c:strRef>
          </c:tx>
          <c:spPr>
            <a:ln>
              <a:solidFill>
                <a:srgbClr val="9BBB59">
                  <a:lumMod val="75000"/>
                </a:srgb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square"/>
            <c:size val="7"/>
            <c:spPr>
              <a:gradFill rotWithShape="1">
                <a:gsLst>
                  <a:gs pos="0">
                    <a:srgbClr val="9BBB59">
                      <a:shade val="51000"/>
                      <a:satMod val="130000"/>
                    </a:srgbClr>
                  </a:gs>
                  <a:gs pos="80000">
                    <a:srgbClr val="9BBB59">
                      <a:shade val="93000"/>
                      <a:satMod val="130000"/>
                    </a:srgbClr>
                  </a:gs>
                  <a:gs pos="100000">
                    <a:srgbClr val="9BBB59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1"/>
              <c:layout>
                <c:manualLayout>
                  <c:x val="-2.90715926392952E-2"/>
                  <c:y val="4.365079365079370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7760473621699114E-2"/>
                  <c:y val="-3.174603174603174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765423313782168E-3"/>
                  <c:y val="0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l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  <c:pt idx="5">
                  <c:v>2017 год</c:v>
                </c:pt>
              </c:strCache>
            </c:strRef>
          </c:cat>
          <c:val>
            <c:numRef>
              <c:f>Лист1!$F$2:$F$7</c:f>
              <c:numCache>
                <c:formatCode>#,##0.0</c:formatCode>
                <c:ptCount val="6"/>
                <c:pt idx="0">
                  <c:v>1116.7264957264961</c:v>
                </c:pt>
                <c:pt idx="1">
                  <c:v>1528.2307692307711</c:v>
                </c:pt>
                <c:pt idx="2">
                  <c:v>1503.1880341880342</c:v>
                </c:pt>
                <c:pt idx="3">
                  <c:v>1739.4700854700861</c:v>
                </c:pt>
                <c:pt idx="4">
                  <c:v>1934.4358974358981</c:v>
                </c:pt>
                <c:pt idx="5">
                  <c:v>2134.4615384615422</c:v>
                </c:pt>
              </c:numCache>
            </c:numRef>
          </c:val>
        </c:ser>
        <c:dLbls>
          <c:showVal val="1"/>
        </c:dLbls>
        <c:marker val="1"/>
        <c:axId val="39413248"/>
        <c:axId val="39414784"/>
      </c:lineChart>
      <c:catAx>
        <c:axId val="39413248"/>
        <c:scaling>
          <c:orientation val="minMax"/>
        </c:scaling>
        <c:axPos val="b"/>
        <c:numFmt formatCode="General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b="1"/>
            </a:pPr>
            <a:endParaRPr lang="ru-RU"/>
          </a:p>
        </c:txPr>
        <c:crossAx val="39414784"/>
        <c:crosses val="autoZero"/>
        <c:auto val="1"/>
        <c:lblAlgn val="ctr"/>
        <c:lblOffset val="100"/>
      </c:catAx>
      <c:valAx>
        <c:axId val="39414784"/>
        <c:scaling>
          <c:orientation val="minMax"/>
          <c:min val="100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1" i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 i="0">
                    <a:latin typeface="Times New Roman" pitchFamily="18" charset="0"/>
                    <a:cs typeface="Times New Roman" pitchFamily="18" charset="0"/>
                  </a:rPr>
                  <a:t>количество дел на один участок</a:t>
                </a:r>
              </a:p>
            </c:rich>
          </c:tx>
          <c:layout>
            <c:manualLayout>
              <c:xMode val="edge"/>
              <c:yMode val="edge"/>
              <c:x val="2.0765423313782207E-3"/>
              <c:y val="0.18805868016497948"/>
            </c:manualLayout>
          </c:layout>
        </c:title>
        <c:numFmt formatCode="#,##0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 b="1"/>
            </a:pPr>
            <a:endParaRPr lang="ru-RU"/>
          </a:p>
        </c:txPr>
        <c:crossAx val="394132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0956654876702605E-2"/>
          <c:y val="0.84750656167978999"/>
          <c:w val="0.91338790988002228"/>
          <c:h val="0.12868391451068617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Расходы субъектов РФ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на обеспечение</a:t>
            </a:r>
          </a:p>
          <a:p>
            <a:pPr algn="ctr"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деятельности мировых судей в 2015-2017 годах</a:t>
            </a:r>
          </a:p>
        </c:rich>
      </c:tx>
      <c:layout>
        <c:manualLayout>
          <c:xMode val="edge"/>
          <c:yMode val="edge"/>
          <c:x val="0.29352459491459493"/>
          <c:y val="0"/>
        </c:manualLayout>
      </c:layout>
    </c:title>
    <c:plotArea>
      <c:layout>
        <c:manualLayout>
          <c:layoutTarget val="inner"/>
          <c:xMode val="edge"/>
          <c:yMode val="edge"/>
          <c:x val="9.0357601198903764E-2"/>
          <c:y val="0.15148432324553684"/>
          <c:w val="0.88651266383499938"/>
          <c:h val="0.618892271053979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 rotWithShape="1"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"/>
              <c:layout>
                <c:manualLayout>
                  <c:x val="-1.4721345951629859E-2"/>
                  <c:y val="0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2060988433228431E-3"/>
                  <c:y val="4.259850905218336E-3"/>
                </c:manualLayout>
              </c:layout>
              <c:numFmt formatCode="#,##0.0" sourceLinked="0"/>
              <c:spPr/>
              <c:txPr>
                <a:bodyPr rot="-2700000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2700000"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Краснодарский край</c:v>
                </c:pt>
                <c:pt idx="1">
                  <c:v>Ростовская область</c:v>
                </c:pt>
                <c:pt idx="2">
                  <c:v>Ставропольский край</c:v>
                </c:pt>
                <c:pt idx="3">
                  <c:v>Волгоградская область</c:v>
                </c:pt>
                <c:pt idx="4">
                  <c:v>Саратовская область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388.50880000000001</c:v>
                </c:pt>
                <c:pt idx="1">
                  <c:v>383.11559999999969</c:v>
                </c:pt>
                <c:pt idx="2">
                  <c:v>355.64049999999997</c:v>
                </c:pt>
                <c:pt idx="3">
                  <c:v>350.5127</c:v>
                </c:pt>
                <c:pt idx="4">
                  <c:v>262.52859999999936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"/>
              <c:layout>
                <c:manualLayout>
                  <c:x val="3.8555460667821289E-17"/>
                  <c:y val="4.259850905218336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2060988433228431E-3"/>
                  <c:y val="4.259850905218336E-3"/>
                </c:manualLayout>
              </c:layout>
              <c:numFmt formatCode="#,##0.0" sourceLinked="0"/>
              <c:spPr/>
              <c:txPr>
                <a:bodyPr rot="-2700000"/>
                <a:lstStyle/>
                <a:p>
                  <a:pPr>
                    <a:defRPr sz="900" b="1">
                      <a:solidFill>
                        <a:srgbClr val="FF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2060988433228431E-3"/>
                  <c:y val="-1.703940362087327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2700000"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Краснодарский край</c:v>
                </c:pt>
                <c:pt idx="1">
                  <c:v>Ростовская область</c:v>
                </c:pt>
                <c:pt idx="2">
                  <c:v>Ставропольский край</c:v>
                </c:pt>
                <c:pt idx="3">
                  <c:v>Волгоградская область</c:v>
                </c:pt>
                <c:pt idx="4">
                  <c:v>Саратовская область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383.3064</c:v>
                </c:pt>
                <c:pt idx="1">
                  <c:v>406.69709999999969</c:v>
                </c:pt>
                <c:pt idx="2">
                  <c:v>356.47399999999948</c:v>
                </c:pt>
                <c:pt idx="3">
                  <c:v>336.83500000000004</c:v>
                </c:pt>
                <c:pt idx="4">
                  <c:v>270.44799999999969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 год</c:v>
                </c:pt>
              </c:strCache>
            </c:strRef>
          </c:tx>
          <c:spPr>
            <a:gradFill rotWithShape="1">
              <a:gsLst>
                <a:gs pos="0">
                  <a:srgbClr val="C0504D">
                    <a:shade val="51000"/>
                    <a:satMod val="130000"/>
                  </a:srgbClr>
                </a:gs>
                <a:gs pos="80000">
                  <a:srgbClr val="C0504D">
                    <a:shade val="93000"/>
                    <a:satMod val="130000"/>
                  </a:srgbClr>
                </a:gs>
                <a:gs pos="100000">
                  <a:srgbClr val="C0504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"/>
              <c:layout>
                <c:manualLayout>
                  <c:x val="1.4721345951629898E-2"/>
                  <c:y val="-2.129925452609160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3091482649842478E-3"/>
                  <c:y val="4.259850905218336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618296529968497E-2"/>
                  <c:y val="8.5197018104366719E-3"/>
                </c:manualLayout>
              </c:layout>
              <c:numFmt formatCode="#,##0.0" sourceLinked="0"/>
              <c:spPr/>
              <c:txPr>
                <a:bodyPr rot="-2700000"/>
                <a:lstStyle/>
                <a:p>
                  <a:pPr>
                    <a:defRPr sz="900" b="1">
                      <a:solidFill>
                        <a:srgbClr val="FF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030494216614172E-3"/>
                  <c:y val="1.703940362087327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4721345951629859E-2"/>
                  <c:y val="-1.277955271565499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2700000"/>
              <a:lstStyle/>
              <a:p>
                <a:pPr>
                  <a:defRPr sz="9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Краснодарский край</c:v>
                </c:pt>
                <c:pt idx="1">
                  <c:v>Ростовская область</c:v>
                </c:pt>
                <c:pt idx="2">
                  <c:v>Ставропольский край</c:v>
                </c:pt>
                <c:pt idx="3">
                  <c:v>Волгоградская область</c:v>
                </c:pt>
                <c:pt idx="4">
                  <c:v>Саратовская область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461.27</c:v>
                </c:pt>
                <c:pt idx="1">
                  <c:v>409.43440000000004</c:v>
                </c:pt>
                <c:pt idx="2">
                  <c:v>372.21199999999948</c:v>
                </c:pt>
                <c:pt idx="3">
                  <c:v>322.03400000000005</c:v>
                </c:pt>
                <c:pt idx="4">
                  <c:v>307.21729999999963</c:v>
                </c:pt>
              </c:numCache>
            </c:numRef>
          </c:val>
        </c:ser>
        <c:dLbls>
          <c:showVal val="1"/>
        </c:dLbls>
        <c:axId val="39596416"/>
        <c:axId val="39597952"/>
      </c:barChart>
      <c:catAx>
        <c:axId val="39596416"/>
        <c:scaling>
          <c:orientation val="minMax"/>
        </c:scaling>
        <c:axPos val="b"/>
        <c:numFmt formatCode="General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597952"/>
        <c:crosses val="autoZero"/>
        <c:auto val="1"/>
        <c:lblAlgn val="ctr"/>
        <c:lblOffset val="100"/>
      </c:catAx>
      <c:valAx>
        <c:axId val="39597952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ru-RU" sz="800" b="1">
                    <a:latin typeface="Times New Roman" pitchFamily="18" charset="0"/>
                    <a:cs typeface="Times New Roman" pitchFamily="18" charset="0"/>
                  </a:rPr>
                  <a:t>млн. руб.</a:t>
                </a:r>
              </a:p>
            </c:rich>
          </c:tx>
          <c:layout>
            <c:manualLayout>
              <c:xMode val="edge"/>
              <c:yMode val="edge"/>
              <c:x val="3.0671402667726611E-3"/>
              <c:y val="0.36848112835735891"/>
            </c:manualLayout>
          </c:layout>
        </c:title>
        <c:numFmt formatCode="#,##0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596416"/>
        <c:crosses val="autoZero"/>
        <c:crossBetween val="between"/>
        <c:majorUnit val="100"/>
      </c:valAx>
    </c:plotArea>
    <c:legend>
      <c:legendPos val="b"/>
      <c:layout>
        <c:manualLayout>
          <c:xMode val="edge"/>
          <c:yMode val="edge"/>
          <c:x val="0.32182650670243551"/>
          <c:y val="0.91495559860129305"/>
          <c:w val="0.35634682100068743"/>
          <c:h val="7.2264848683051955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Расходы на обеспечение деятельности</a:t>
            </a:r>
          </a:p>
          <a:p>
            <a:pPr algn="ctr"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мировых судей Волгоградской области в 2015-2017 годах</a:t>
            </a:r>
          </a:p>
        </c:rich>
      </c:tx>
      <c:layout>
        <c:manualLayout>
          <c:xMode val="edge"/>
          <c:yMode val="edge"/>
          <c:x val="0.21781481573478395"/>
          <c:y val="0"/>
        </c:manualLayout>
      </c:layout>
    </c:title>
    <c:plotArea>
      <c:layout>
        <c:manualLayout>
          <c:layoutTarget val="inner"/>
          <c:xMode val="edge"/>
          <c:yMode val="edge"/>
          <c:x val="0.11769724368050215"/>
          <c:y val="0.15148432324553684"/>
          <c:w val="0.84865396557291539"/>
          <c:h val="0.63167182376963293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Оплата труда</c:v>
                </c:pt>
              </c:strCache>
            </c:strRef>
          </c:tx>
          <c:spPr>
            <a:gradFill rotWithShape="1"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0515247108307046E-2"/>
                  <c:y val="-8.5197018104366584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0515247108307046E-2"/>
                  <c:y val="-8.5197018104366501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8.5197018104366501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2016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228.31900000000002</c:v>
                </c:pt>
                <c:pt idx="1">
                  <c:v>244.9</c:v>
                </c:pt>
                <c:pt idx="2">
                  <c:v>235.51299999999998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Закупка товаров, работ и услуг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2.733964248159839E-2"/>
                  <c:y val="-8.519701810436658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733964248159839E-2"/>
                  <c:y val="-8.519701810436650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1545741324921182E-2"/>
                  <c:y val="-8.519701810436650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2016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92.424999999999997</c:v>
                </c:pt>
                <c:pt idx="1">
                  <c:v>90.733999999999995</c:v>
                </c:pt>
                <c:pt idx="2">
                  <c:v>113.68199999999999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Иные расходы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2.3133543638275526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236593059936911E-2"/>
                  <c:y val="-4.2598509052183238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236593059936911E-2"/>
                  <c:y val="-4.2598509052183238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2016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1.29</c:v>
                </c:pt>
                <c:pt idx="1">
                  <c:v>1.202</c:v>
                </c:pt>
                <c:pt idx="2">
                  <c:v>1.3160000000000001</c:v>
                </c:pt>
              </c:numCache>
            </c:numRef>
          </c:val>
        </c:ser>
        <c:dLbls>
          <c:showVal val="1"/>
        </c:dLbls>
        <c:overlap val="100"/>
        <c:axId val="39662336"/>
        <c:axId val="39663872"/>
      </c:barChart>
      <c:catAx>
        <c:axId val="39662336"/>
        <c:scaling>
          <c:orientation val="minMax"/>
        </c:scaling>
        <c:axPos val="l"/>
        <c:numFmt formatCode="General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 anchor="ctr" anchorCtr="0"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663872"/>
        <c:crosses val="autoZero"/>
        <c:auto val="1"/>
        <c:lblAlgn val="ctr"/>
        <c:lblOffset val="100"/>
      </c:catAx>
      <c:valAx>
        <c:axId val="39663872"/>
        <c:scaling>
          <c:orientation val="minMax"/>
        </c:scaling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800">
                    <a:latin typeface="Times New Roman" pitchFamily="18" charset="0"/>
                    <a:cs typeface="Times New Roman" pitchFamily="18" charset="0"/>
                  </a:rPr>
                  <a:t>млн.</a:t>
                </a:r>
                <a:r>
                  <a:rPr lang="ru-RU" sz="800" baseline="0">
                    <a:latin typeface="Times New Roman" pitchFamily="18" charset="0"/>
                    <a:cs typeface="Times New Roman" pitchFamily="18" charset="0"/>
                  </a:rPr>
                  <a:t> руб.</a:t>
                </a:r>
                <a:endParaRPr lang="ru-RU" sz="8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1072025302830839"/>
              <c:y val="0.85377005190645094"/>
            </c:manualLayout>
          </c:layout>
        </c:title>
        <c:numFmt formatCode="#,##0" sourceLinked="0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662336"/>
        <c:crosses val="autoZero"/>
        <c:crossBetween val="between"/>
        <c:majorUnit val="100"/>
      </c:valAx>
    </c:plotArea>
    <c:legend>
      <c:legendPos val="b"/>
      <c:layout>
        <c:manualLayout>
          <c:xMode val="edge"/>
          <c:yMode val="edge"/>
          <c:x val="0.11476026064565276"/>
          <c:y val="0.92773515131694773"/>
          <c:w val="0.75786101658428418"/>
          <c:h val="7.2264848683051955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0.07513</cdr:x>
      <cdr:y>0.39509</cdr:y>
    </cdr:from>
    <cdr:to>
      <cdr:x>0.9697</cdr:x>
      <cdr:y>0.39651</cdr:y>
    </cdr:to>
    <cdr:sp macro="" textlink="">
      <cdr:nvSpPr>
        <cdr:cNvPr id="7" name="Прямая соединительная линия 6"/>
        <cdr:cNvSpPr/>
      </cdr:nvSpPr>
      <cdr:spPr>
        <a:xfrm xmlns:a="http://schemas.openxmlformats.org/drawingml/2006/main">
          <a:off x="453399" y="1441938"/>
          <a:ext cx="5398761" cy="5200"/>
        </a:xfrm>
        <a:prstGeom xmlns:a="http://schemas.openxmlformats.org/drawingml/2006/main" prst="line">
          <a:avLst/>
        </a:prstGeom>
        <a:ln xmlns:a="http://schemas.openxmlformats.org/drawingml/2006/main" w="31750">
          <a:solidFill>
            <a:schemeClr val="accent3">
              <a:lumMod val="50000"/>
              <a:alpha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0.0743</cdr:x>
      <cdr:y>0.22164</cdr:y>
    </cdr:from>
    <cdr:to>
      <cdr:x>0.97101</cdr:x>
      <cdr:y>0.22222</cdr:y>
    </cdr:to>
    <cdr:sp macro="" textlink="">
      <cdr:nvSpPr>
        <cdr:cNvPr id="9" name="Прямая соединительная линия 8"/>
        <cdr:cNvSpPr/>
      </cdr:nvSpPr>
      <cdr:spPr>
        <a:xfrm xmlns:a="http://schemas.openxmlformats.org/drawingml/2006/main">
          <a:off x="448375" y="808891"/>
          <a:ext cx="5411736" cy="2141"/>
        </a:xfrm>
        <a:prstGeom xmlns:a="http://schemas.openxmlformats.org/drawingml/2006/main" prst="line">
          <a:avLst/>
        </a:prstGeom>
        <a:ln xmlns:a="http://schemas.openxmlformats.org/drawingml/2006/main" w="31750">
          <a:solidFill>
            <a:schemeClr val="accent3">
              <a:lumMod val="50000"/>
              <a:alpha val="7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0.79937</cdr:x>
      <cdr:y>0.12437</cdr:y>
    </cdr:from>
    <cdr:to>
      <cdr:x>0.88461</cdr:x>
      <cdr:y>0.21574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7147" y="389614"/>
          <a:ext cx="516836" cy="286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50" b="1">
              <a:latin typeface="Times New Roman" pitchFamily="18" charset="0"/>
              <a:cs typeface="Times New Roman" pitchFamily="18" charset="0"/>
            </a:rPr>
            <a:t>426,2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0.61894</cdr:x>
      <cdr:y>0.22589</cdr:y>
    </cdr:from>
    <cdr:to>
      <cdr:x>0.70417</cdr:x>
      <cdr:y>0.31726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753042" y="707676"/>
          <a:ext cx="516809" cy="2862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50" b="1">
              <a:latin typeface="Times New Roman" pitchFamily="18" charset="0"/>
              <a:cs typeface="Times New Roman" pitchFamily="18" charset="0"/>
            </a:rPr>
            <a:t>311,4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0.64253</cdr:x>
      <cdr:y>0.33503</cdr:y>
    </cdr:from>
    <cdr:to>
      <cdr:x>0.72777</cdr:x>
      <cdr:y>0.4264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896108" y="1049578"/>
          <a:ext cx="516869" cy="2862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50" b="1">
              <a:latin typeface="Times New Roman" pitchFamily="18" charset="0"/>
              <a:cs typeface="Times New Roman" pitchFamily="18" charset="0"/>
            </a:rPr>
            <a:t>326,0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0.59402</cdr:x>
      <cdr:y>0.44416</cdr:y>
    </cdr:from>
    <cdr:to>
      <cdr:x>0.67925</cdr:x>
      <cdr:y>0.53553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601958" y="1391480"/>
          <a:ext cx="516809" cy="2862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50" b="1">
              <a:latin typeface="Times New Roman" pitchFamily="18" charset="0"/>
              <a:cs typeface="Times New Roman" pitchFamily="18" charset="0"/>
            </a:rPr>
            <a:t>295,6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0.55205</cdr:x>
      <cdr:y>0.55583</cdr:y>
    </cdr:from>
    <cdr:to>
      <cdr:x>0.63729</cdr:x>
      <cdr:y>0.64721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3347485" y="1741323"/>
          <a:ext cx="516870" cy="2862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50" b="1">
              <a:latin typeface="Times New Roman" pitchFamily="18" charset="0"/>
              <a:cs typeface="Times New Roman" pitchFamily="18" charset="0"/>
            </a:rPr>
            <a:t>270,7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0.57829</cdr:x>
      <cdr:y>0.67006</cdr:y>
    </cdr:from>
    <cdr:to>
      <cdr:x>0.66352</cdr:x>
      <cdr:y>0.76143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3506552" y="2099158"/>
          <a:ext cx="516809" cy="2862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50" b="1">
              <a:latin typeface="Times New Roman" pitchFamily="18" charset="0"/>
              <a:cs typeface="Times New Roman" pitchFamily="18" charset="0"/>
            </a:rPr>
            <a:t>285,7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0.12035</cdr:x>
      <cdr:y>0.37338</cdr:y>
    </cdr:from>
    <cdr:to>
      <cdr:x>0.94802</cdr:x>
      <cdr:y>0.37703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726751" y="1113182"/>
          <a:ext cx="4998187" cy="10876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chemeClr val="accent3">
              <a:lumMod val="50000"/>
              <a:alpha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10383-1AC2-434B-A072-EE788046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12147</Words>
  <Characters>69242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ВО</Company>
  <LinksUpToDate>false</LinksUpToDate>
  <CharactersWithSpaces>81227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Тафинцева И.В.</dc:creator>
  <cp:lastModifiedBy>Самарцева</cp:lastModifiedBy>
  <cp:revision>2</cp:revision>
  <cp:lastPrinted>2018-07-03T12:19:00Z</cp:lastPrinted>
  <dcterms:created xsi:type="dcterms:W3CDTF">2018-07-04T10:36:00Z</dcterms:created>
  <dcterms:modified xsi:type="dcterms:W3CDTF">2018-07-04T10:36:00Z</dcterms:modified>
</cp:coreProperties>
</file>