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45B38" w14:textId="77777777" w:rsidR="006D07F6" w:rsidRPr="008D7DB3" w:rsidRDefault="006D07F6" w:rsidP="006D07F6">
      <w:pPr>
        <w:ind w:left="4956" w:firstLine="708"/>
        <w:rPr>
          <w:b/>
          <w:bCs/>
          <w:caps/>
        </w:rPr>
      </w:pPr>
      <w:r w:rsidRPr="008D7DB3">
        <w:rPr>
          <w:b/>
          <w:bCs/>
          <w:caps/>
        </w:rPr>
        <w:t>УТВЕРЖДАЮ</w:t>
      </w:r>
    </w:p>
    <w:p w14:paraId="403C6B28" w14:textId="77777777" w:rsidR="006D07F6" w:rsidRPr="008D7DB3" w:rsidRDefault="006D07F6" w:rsidP="006D07F6">
      <w:pPr>
        <w:ind w:left="5664"/>
        <w:rPr>
          <w:b/>
        </w:rPr>
      </w:pPr>
      <w:r w:rsidRPr="008D7DB3">
        <w:rPr>
          <w:b/>
        </w:rPr>
        <w:t>Председатель контрольно-счетной палаты Волгоградской области</w:t>
      </w:r>
    </w:p>
    <w:p w14:paraId="68E7A217" w14:textId="77777777" w:rsidR="006D07F6" w:rsidRPr="008D7DB3" w:rsidRDefault="006D07F6" w:rsidP="006D07F6">
      <w:pPr>
        <w:ind w:left="4956" w:firstLine="708"/>
        <w:rPr>
          <w:b/>
          <w:bCs/>
        </w:rPr>
      </w:pPr>
      <w:r w:rsidRPr="008D7DB3">
        <w:rPr>
          <w:b/>
          <w:bCs/>
        </w:rPr>
        <w:t>____________ И.А. Дьяченко</w:t>
      </w:r>
    </w:p>
    <w:p w14:paraId="19422DEA" w14:textId="77777777" w:rsidR="006D07F6" w:rsidRPr="008D7DB3" w:rsidRDefault="006D07F6" w:rsidP="006D07F6">
      <w:pPr>
        <w:ind w:left="4956" w:firstLine="708"/>
        <w:rPr>
          <w:b/>
          <w:bCs/>
        </w:rPr>
      </w:pPr>
      <w:r w:rsidRPr="008D7DB3">
        <w:rPr>
          <w:b/>
          <w:bCs/>
        </w:rPr>
        <w:t>____ апреля 20</w:t>
      </w:r>
      <w:r w:rsidR="00D3656B" w:rsidRPr="008D7DB3">
        <w:rPr>
          <w:b/>
          <w:bCs/>
        </w:rPr>
        <w:t>20</w:t>
      </w:r>
      <w:r w:rsidRPr="008D7DB3">
        <w:rPr>
          <w:b/>
          <w:bCs/>
        </w:rPr>
        <w:t xml:space="preserve"> года</w:t>
      </w:r>
    </w:p>
    <w:p w14:paraId="1AE83085" w14:textId="77777777" w:rsidR="006D07F6" w:rsidRPr="008D7DB3" w:rsidRDefault="006D07F6" w:rsidP="006D07F6">
      <w:pPr>
        <w:pStyle w:val="a6"/>
        <w:rPr>
          <w:szCs w:val="24"/>
        </w:rPr>
      </w:pPr>
    </w:p>
    <w:p w14:paraId="589A0EDE" w14:textId="77777777" w:rsidR="006D07F6" w:rsidRPr="008D7DB3" w:rsidRDefault="006D07F6" w:rsidP="006D07F6">
      <w:pPr>
        <w:pStyle w:val="a6"/>
        <w:rPr>
          <w:szCs w:val="24"/>
        </w:rPr>
      </w:pPr>
    </w:p>
    <w:p w14:paraId="1CC6F4A9" w14:textId="77777777" w:rsidR="006D07F6" w:rsidRPr="008D7DB3" w:rsidRDefault="006D07F6" w:rsidP="006D07F6">
      <w:pPr>
        <w:pStyle w:val="a6"/>
        <w:rPr>
          <w:szCs w:val="24"/>
        </w:rPr>
      </w:pPr>
      <w:r w:rsidRPr="008D7DB3">
        <w:rPr>
          <w:szCs w:val="24"/>
        </w:rPr>
        <w:t>Заключение</w:t>
      </w:r>
    </w:p>
    <w:p w14:paraId="17A4B30A" w14:textId="5795A747" w:rsidR="006D07F6" w:rsidRPr="008D7DB3" w:rsidRDefault="006D07F6" w:rsidP="006D07F6">
      <w:pPr>
        <w:pStyle w:val="af4"/>
        <w:jc w:val="center"/>
        <w:rPr>
          <w:rFonts w:ascii="Times New Roman" w:hAnsi="Times New Roman"/>
        </w:rPr>
      </w:pPr>
      <w:r w:rsidRPr="008D7DB3">
        <w:rPr>
          <w:rFonts w:ascii="Times New Roman" w:hAnsi="Times New Roman"/>
          <w:b/>
        </w:rPr>
        <w:t>по результатам внешней проверки бюджетной отчетности и отдельных вопросов исполнения бюджета территориального фонда обязательного медицинского страхования Волгоградской области (далее ТФОМС) за 20</w:t>
      </w:r>
      <w:r w:rsidR="00D3656B" w:rsidRPr="008D7DB3">
        <w:rPr>
          <w:rFonts w:ascii="Times New Roman" w:hAnsi="Times New Roman"/>
          <w:b/>
        </w:rPr>
        <w:t>19</w:t>
      </w:r>
      <w:r w:rsidRPr="008D7DB3">
        <w:rPr>
          <w:rFonts w:ascii="Times New Roman" w:hAnsi="Times New Roman"/>
          <w:b/>
        </w:rPr>
        <w:t xml:space="preserve"> год государственным учреждением «Территориальный фонд обязательного медицинского страхования Волгоградской области» (далее ГУ ТФОМС)</w:t>
      </w:r>
    </w:p>
    <w:p w14:paraId="24755097" w14:textId="77777777" w:rsidR="006D07F6" w:rsidRPr="008D7DB3" w:rsidRDefault="006D07F6" w:rsidP="006D07F6"/>
    <w:p w14:paraId="43A16F0C" w14:textId="77777777" w:rsidR="00ED1C0E" w:rsidRPr="008D7DB3" w:rsidRDefault="00ED1C0E" w:rsidP="00ED1C0E">
      <w:pPr>
        <w:ind w:firstLine="709"/>
        <w:jc w:val="center"/>
        <w:rPr>
          <w:b/>
          <w:i/>
        </w:rPr>
      </w:pPr>
      <w:r w:rsidRPr="008D7DB3">
        <w:rPr>
          <w:b/>
          <w:i/>
        </w:rPr>
        <w:t>Общие сведения</w:t>
      </w:r>
    </w:p>
    <w:p w14:paraId="4C017D66" w14:textId="77777777" w:rsidR="004A36C6" w:rsidRPr="008D7DB3" w:rsidRDefault="004A36C6" w:rsidP="00ED1C0E">
      <w:pPr>
        <w:ind w:firstLine="709"/>
        <w:jc w:val="both"/>
      </w:pPr>
    </w:p>
    <w:p w14:paraId="232DF00F" w14:textId="27498F0C" w:rsidR="00ED1C0E" w:rsidRPr="008D7DB3" w:rsidRDefault="00ED1C0E" w:rsidP="00ED1C0E">
      <w:pPr>
        <w:ind w:firstLine="709"/>
        <w:jc w:val="both"/>
      </w:pPr>
      <w:r w:rsidRPr="008D7DB3">
        <w:t xml:space="preserve">Проверка проведена в соответствии </w:t>
      </w:r>
      <w:r w:rsidRPr="008D7DB3">
        <w:rPr>
          <w:snapToGrid w:val="0"/>
        </w:rPr>
        <w:t>со Стандартом финансового контроля</w:t>
      </w:r>
      <w:r w:rsidRPr="008D7DB3">
        <w:t xml:space="preserve">, утвержденным постановлением </w:t>
      </w:r>
      <w:r w:rsidR="001A3CB8" w:rsidRPr="008D7DB3">
        <w:t>к</w:t>
      </w:r>
      <w:r w:rsidRPr="008D7DB3">
        <w:t>оллегии КСП от 07.12.2016 № 28/2, на основе бюджетной отчетности ГУ ТФОМС за 201</w:t>
      </w:r>
      <w:r w:rsidR="00D3656B" w:rsidRPr="008D7DB3">
        <w:t>9</w:t>
      </w:r>
      <w:r w:rsidRPr="008D7DB3">
        <w:t xml:space="preserve"> год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Инструкция №191н).</w:t>
      </w:r>
    </w:p>
    <w:p w14:paraId="345F3AFA" w14:textId="77777777" w:rsidR="00575133" w:rsidRPr="008D7DB3" w:rsidRDefault="00575133" w:rsidP="00575133">
      <w:pPr>
        <w:ind w:firstLine="709"/>
        <w:jc w:val="both"/>
      </w:pPr>
      <w:r w:rsidRPr="008D7DB3">
        <w:t xml:space="preserve">Заключение сформировано с использованием информации комитета здравоохранения Волгоградской области </w:t>
      </w:r>
      <w:r w:rsidR="00B9539B" w:rsidRPr="008D7DB3">
        <w:t xml:space="preserve">(далее </w:t>
      </w:r>
      <w:proofErr w:type="spellStart"/>
      <w:r w:rsidR="00B9539B" w:rsidRPr="008D7DB3">
        <w:t>Облздрав</w:t>
      </w:r>
      <w:proofErr w:type="spellEnd"/>
      <w:r w:rsidR="00B9539B" w:rsidRPr="008D7DB3">
        <w:t xml:space="preserve">) от </w:t>
      </w:r>
      <w:r w:rsidR="00AA6454" w:rsidRPr="008D7DB3">
        <w:t>30.03</w:t>
      </w:r>
      <w:r w:rsidR="00B9539B" w:rsidRPr="008D7DB3">
        <w:t>.20</w:t>
      </w:r>
      <w:r w:rsidR="00AA6454" w:rsidRPr="008D7DB3">
        <w:t>20</w:t>
      </w:r>
      <w:r w:rsidR="00B9539B" w:rsidRPr="008D7DB3">
        <w:t xml:space="preserve"> № 14-08</w:t>
      </w:r>
      <w:r w:rsidR="00AA6454" w:rsidRPr="008D7DB3">
        <w:t>-</w:t>
      </w:r>
      <w:r w:rsidR="00B9539B" w:rsidRPr="008D7DB3">
        <w:t>33</w:t>
      </w:r>
      <w:r w:rsidR="00AA6454" w:rsidRPr="008D7DB3">
        <w:t>0</w:t>
      </w:r>
      <w:r w:rsidR="00B9539B" w:rsidRPr="008D7DB3">
        <w:t xml:space="preserve"> </w:t>
      </w:r>
      <w:r w:rsidRPr="008D7DB3">
        <w:t>о выполнении критериев доступности и качества</w:t>
      </w:r>
      <w:r w:rsidRPr="008D7DB3">
        <w:rPr>
          <w:i/>
        </w:rPr>
        <w:t xml:space="preserve"> </w:t>
      </w:r>
      <w:r w:rsidR="00B9539B" w:rsidRPr="008D7DB3">
        <w:t>Т</w:t>
      </w:r>
      <w:r w:rsidRPr="008D7DB3">
        <w:t>ерриториальной программы государственных гарантий бесплатного оказания гражданам медицинской помощи в Волгоградской области на 201</w:t>
      </w:r>
      <w:r w:rsidR="00AA6454" w:rsidRPr="008D7DB3">
        <w:t>9</w:t>
      </w:r>
      <w:r w:rsidRPr="008D7DB3">
        <w:t xml:space="preserve"> год</w:t>
      </w:r>
      <w:r w:rsidR="00B9539B" w:rsidRPr="008D7DB3">
        <w:t xml:space="preserve"> и плановый период 20</w:t>
      </w:r>
      <w:r w:rsidR="00AA6454" w:rsidRPr="008D7DB3">
        <w:t>20</w:t>
      </w:r>
      <w:r w:rsidR="00B9539B" w:rsidRPr="008D7DB3">
        <w:t xml:space="preserve"> и 202</w:t>
      </w:r>
      <w:r w:rsidR="00AA6454" w:rsidRPr="008D7DB3">
        <w:t>1</w:t>
      </w:r>
      <w:r w:rsidR="00B9539B" w:rsidRPr="008D7DB3">
        <w:t xml:space="preserve"> годов</w:t>
      </w:r>
      <w:r w:rsidRPr="008D7DB3">
        <w:t xml:space="preserve">, утвержденной Законом Волгоградской области от </w:t>
      </w:r>
      <w:r w:rsidR="00AA6454" w:rsidRPr="008D7DB3">
        <w:t xml:space="preserve">18.12.2018                </w:t>
      </w:r>
      <w:r w:rsidRPr="008D7DB3">
        <w:t xml:space="preserve"> № 1</w:t>
      </w:r>
      <w:r w:rsidR="00AA6454" w:rsidRPr="008D7DB3">
        <w:t>50</w:t>
      </w:r>
      <w:r w:rsidRPr="008D7DB3">
        <w:t xml:space="preserve">-ОД (далее </w:t>
      </w:r>
      <w:proofErr w:type="spellStart"/>
      <w:r w:rsidRPr="008D7DB3">
        <w:t>Терпрограмма</w:t>
      </w:r>
      <w:proofErr w:type="spellEnd"/>
      <w:r w:rsidRPr="008D7DB3">
        <w:t>).</w:t>
      </w:r>
    </w:p>
    <w:p w14:paraId="44666642" w14:textId="61428145" w:rsidR="004826E9" w:rsidRPr="008D7DB3" w:rsidRDefault="004826E9" w:rsidP="00D3656B">
      <w:pPr>
        <w:ind w:firstLine="709"/>
        <w:jc w:val="both"/>
      </w:pPr>
      <w:r w:rsidRPr="008D7DB3">
        <w:t>Структуру ГУ ТФОМС составляют 6 филиалов, не являющихся отдельными юридическими лицами. Штатная численность ГУ ТФОМС составля</w:t>
      </w:r>
      <w:r w:rsidR="005B3E83" w:rsidRPr="008D7DB3">
        <w:t>ла</w:t>
      </w:r>
      <w:r w:rsidRPr="008D7DB3">
        <w:t xml:space="preserve"> на 01.01.201</w:t>
      </w:r>
      <w:r w:rsidR="00D3656B" w:rsidRPr="008D7DB3">
        <w:t>9</w:t>
      </w:r>
      <w:r w:rsidRPr="008D7DB3">
        <w:t xml:space="preserve"> </w:t>
      </w:r>
      <w:r w:rsidR="00575133" w:rsidRPr="008D7DB3">
        <w:t>-</w:t>
      </w:r>
      <w:r w:rsidRPr="008D7DB3">
        <w:t xml:space="preserve"> 290,5 ед., на 01.01.20</w:t>
      </w:r>
      <w:r w:rsidR="00D3656B" w:rsidRPr="008D7DB3">
        <w:t>20</w:t>
      </w:r>
      <w:r w:rsidRPr="008D7DB3">
        <w:t xml:space="preserve"> </w:t>
      </w:r>
      <w:r w:rsidR="00B9539B" w:rsidRPr="008D7DB3">
        <w:t>- 290,5 единиц, ф</w:t>
      </w:r>
      <w:r w:rsidRPr="008D7DB3">
        <w:t xml:space="preserve">актическая численность </w:t>
      </w:r>
      <w:r w:rsidR="00B9539B" w:rsidRPr="008D7DB3">
        <w:t xml:space="preserve">- </w:t>
      </w:r>
      <w:r w:rsidR="00D3656B" w:rsidRPr="008D7DB3">
        <w:t>262</w:t>
      </w:r>
      <w:r w:rsidR="00A83442" w:rsidRPr="008D7DB3">
        <w:t xml:space="preserve"> </w:t>
      </w:r>
      <w:r w:rsidRPr="008D7DB3">
        <w:t xml:space="preserve">чел. и </w:t>
      </w:r>
      <w:r w:rsidR="00BE018C" w:rsidRPr="008D7DB3">
        <w:t>26</w:t>
      </w:r>
      <w:r w:rsidR="00D3656B" w:rsidRPr="008D7DB3">
        <w:t>0</w:t>
      </w:r>
      <w:r w:rsidRPr="008D7DB3">
        <w:t xml:space="preserve"> чел. соответственно.</w:t>
      </w:r>
    </w:p>
    <w:p w14:paraId="276DB8DC" w14:textId="77777777" w:rsidR="00575133" w:rsidRPr="008D7DB3" w:rsidRDefault="00575133" w:rsidP="00575133">
      <w:pPr>
        <w:tabs>
          <w:tab w:val="left" w:pos="2505"/>
        </w:tabs>
        <w:jc w:val="center"/>
        <w:rPr>
          <w:b/>
          <w:i/>
        </w:rPr>
      </w:pPr>
    </w:p>
    <w:p w14:paraId="3759A351" w14:textId="77777777" w:rsidR="00575133" w:rsidRPr="008D7DB3" w:rsidRDefault="00575133" w:rsidP="00575133">
      <w:pPr>
        <w:tabs>
          <w:tab w:val="left" w:pos="2505"/>
        </w:tabs>
        <w:jc w:val="center"/>
        <w:rPr>
          <w:b/>
          <w:i/>
        </w:rPr>
      </w:pPr>
      <w:r w:rsidRPr="008D7DB3">
        <w:rPr>
          <w:b/>
          <w:i/>
        </w:rPr>
        <w:t>Полнота и достоверность бюджетной отчетности, ее соответствие требованиям нормативных правовых актов</w:t>
      </w:r>
    </w:p>
    <w:p w14:paraId="2D32077B" w14:textId="77777777" w:rsidR="004A36C6" w:rsidRPr="008D7DB3" w:rsidRDefault="004A36C6" w:rsidP="00575133">
      <w:pPr>
        <w:tabs>
          <w:tab w:val="left" w:pos="2505"/>
        </w:tabs>
        <w:ind w:firstLine="709"/>
        <w:jc w:val="both"/>
      </w:pPr>
    </w:p>
    <w:p w14:paraId="04DB3AA3" w14:textId="70349B2D" w:rsidR="00575133" w:rsidRPr="008D7DB3" w:rsidRDefault="00575133" w:rsidP="00575133">
      <w:pPr>
        <w:tabs>
          <w:tab w:val="left" w:pos="2505"/>
        </w:tabs>
        <w:ind w:firstLine="709"/>
        <w:jc w:val="both"/>
      </w:pPr>
      <w:r w:rsidRPr="008D7DB3">
        <w:t xml:space="preserve">Бюджетная отчетность представлена в комитет финансов Волгоградской области (далее </w:t>
      </w:r>
      <w:proofErr w:type="spellStart"/>
      <w:r w:rsidRPr="008D7DB3">
        <w:t>Облфин</w:t>
      </w:r>
      <w:proofErr w:type="spellEnd"/>
      <w:r w:rsidRPr="008D7DB3">
        <w:t xml:space="preserve">) </w:t>
      </w:r>
      <w:r w:rsidR="00B9539B" w:rsidRPr="008D7DB3">
        <w:t xml:space="preserve">в </w:t>
      </w:r>
      <w:r w:rsidRPr="008D7DB3">
        <w:t>установленны</w:t>
      </w:r>
      <w:r w:rsidR="00B9539B" w:rsidRPr="008D7DB3">
        <w:t>й</w:t>
      </w:r>
      <w:r w:rsidRPr="008D7DB3">
        <w:t xml:space="preserve"> </w:t>
      </w:r>
      <w:proofErr w:type="spellStart"/>
      <w:r w:rsidRPr="008D7DB3">
        <w:t>Облфин</w:t>
      </w:r>
      <w:r w:rsidR="00B9539B" w:rsidRPr="008D7DB3">
        <w:t>ом</w:t>
      </w:r>
      <w:proofErr w:type="spellEnd"/>
      <w:r w:rsidR="00B9539B" w:rsidRPr="008D7DB3">
        <w:t xml:space="preserve"> срок.</w:t>
      </w:r>
    </w:p>
    <w:p w14:paraId="69653B61" w14:textId="77777777" w:rsidR="00912D16" w:rsidRPr="008D7DB3" w:rsidRDefault="00912D16" w:rsidP="00912D16">
      <w:pPr>
        <w:tabs>
          <w:tab w:val="left" w:pos="2505"/>
        </w:tabs>
        <w:ind w:firstLine="709"/>
        <w:jc w:val="both"/>
      </w:pPr>
      <w:r w:rsidRPr="008D7DB3">
        <w:t xml:space="preserve">Проверкой установлено </w:t>
      </w:r>
      <w:r w:rsidR="007D5314" w:rsidRPr="008D7DB3">
        <w:t>4</w:t>
      </w:r>
      <w:r w:rsidR="003B411D" w:rsidRPr="008D7DB3">
        <w:t xml:space="preserve"> случая</w:t>
      </w:r>
      <w:r w:rsidRPr="008D7DB3">
        <w:t xml:space="preserve"> нарушени</w:t>
      </w:r>
      <w:r w:rsidR="000B2488" w:rsidRPr="008D7DB3">
        <w:t>й</w:t>
      </w:r>
      <w:r w:rsidRPr="008D7DB3">
        <w:t xml:space="preserve"> Инструкции №191н, </w:t>
      </w:r>
      <w:r w:rsidR="007D5314" w:rsidRPr="008D7DB3">
        <w:t>которые</w:t>
      </w:r>
      <w:r w:rsidR="00547DC4" w:rsidRPr="008D7DB3">
        <w:t xml:space="preserve"> </w:t>
      </w:r>
      <w:r w:rsidRPr="008D7DB3">
        <w:t>устранены в ходе проверки</w:t>
      </w:r>
      <w:r w:rsidR="00786C74" w:rsidRPr="008D7DB3">
        <w:t>.</w:t>
      </w:r>
    </w:p>
    <w:p w14:paraId="6BA3F2F8" w14:textId="0462AB04" w:rsidR="00912D16" w:rsidRPr="008D7DB3" w:rsidRDefault="00912D16" w:rsidP="00912D16">
      <w:pPr>
        <w:tabs>
          <w:tab w:val="left" w:pos="2505"/>
        </w:tabs>
        <w:ind w:firstLine="709"/>
        <w:jc w:val="both"/>
        <w:rPr>
          <w:color w:val="0000CC"/>
        </w:rPr>
      </w:pPr>
      <w:r w:rsidRPr="008D7DB3">
        <w:t>Информация о комплектности</w:t>
      </w:r>
      <w:r w:rsidR="005B3E83" w:rsidRPr="008D7DB3">
        <w:t>,</w:t>
      </w:r>
      <w:r w:rsidRPr="008D7DB3">
        <w:t xml:space="preserve"> соответствии установленным формам бюджетной отчетности представлена</w:t>
      </w:r>
      <w:r w:rsidRPr="008D7DB3">
        <w:rPr>
          <w:color w:val="FF0000"/>
        </w:rPr>
        <w:t xml:space="preserve"> </w:t>
      </w:r>
      <w:r w:rsidRPr="008D7DB3">
        <w:t xml:space="preserve">в </w:t>
      </w:r>
      <w:r w:rsidRPr="008D7DB3">
        <w:rPr>
          <w:color w:val="0000CC"/>
        </w:rPr>
        <w:t xml:space="preserve">приложении № 1. </w:t>
      </w:r>
    </w:p>
    <w:p w14:paraId="0BAD022B" w14:textId="77777777" w:rsidR="000B2488" w:rsidRPr="008D7DB3" w:rsidRDefault="000B2488" w:rsidP="004A3AFA">
      <w:pPr>
        <w:ind w:firstLine="709"/>
        <w:jc w:val="center"/>
        <w:rPr>
          <w:b/>
          <w:i/>
        </w:rPr>
      </w:pPr>
    </w:p>
    <w:p w14:paraId="0738D8A8" w14:textId="77777777" w:rsidR="004A3AFA" w:rsidRPr="008D7DB3" w:rsidRDefault="004A3AFA" w:rsidP="004A3AFA">
      <w:pPr>
        <w:ind w:firstLine="709"/>
        <w:jc w:val="center"/>
        <w:rPr>
          <w:b/>
          <w:i/>
        </w:rPr>
      </w:pPr>
      <w:r w:rsidRPr="008D7DB3">
        <w:rPr>
          <w:b/>
          <w:i/>
        </w:rPr>
        <w:t>Формирование, изменение и исполнение бюджетных назначений и иных показателей, установленных законом о бюджете ТФОМС</w:t>
      </w:r>
    </w:p>
    <w:p w14:paraId="3F13882E" w14:textId="77777777" w:rsidR="004A36C6" w:rsidRPr="008D7DB3" w:rsidRDefault="004A36C6" w:rsidP="004A3AFA">
      <w:pPr>
        <w:ind w:firstLine="709"/>
        <w:jc w:val="both"/>
        <w:rPr>
          <w:i/>
          <w:u w:val="single"/>
        </w:rPr>
      </w:pPr>
    </w:p>
    <w:p w14:paraId="2ADC5EE1" w14:textId="7355D684" w:rsidR="004A3AFA" w:rsidRPr="008D7DB3" w:rsidRDefault="004A3AFA" w:rsidP="004A3AFA">
      <w:pPr>
        <w:ind w:firstLine="709"/>
        <w:jc w:val="both"/>
        <w:rPr>
          <w:i/>
          <w:u w:val="single"/>
        </w:rPr>
      </w:pPr>
      <w:r w:rsidRPr="008D7DB3">
        <w:rPr>
          <w:i/>
          <w:u w:val="single"/>
        </w:rPr>
        <w:t>Исполнение доходов</w:t>
      </w:r>
    </w:p>
    <w:p w14:paraId="633099E7" w14:textId="77777777" w:rsidR="00AA6454" w:rsidRPr="008D7DB3" w:rsidRDefault="00AA6454" w:rsidP="00AA6454">
      <w:pPr>
        <w:ind w:firstLine="709"/>
        <w:jc w:val="both"/>
      </w:pPr>
      <w:r w:rsidRPr="008D7DB3">
        <w:t>Доходы бюджета ТФОМС за 2019 год, утвержденные Законом Волгоградской области                           от 26.11.2018 № 126-ОД «О бюджете Территориального фонда обязательного медицинского страхования Волгоградской области на 2019 год и на плановый период 2020 и 2021 годов» (далее - Закон о бюджете ТФОМС) в сумме 30</w:t>
      </w:r>
      <w:r w:rsidR="00804187" w:rsidRPr="008D7DB3">
        <w:t> </w:t>
      </w:r>
      <w:r w:rsidRPr="008D7DB3">
        <w:t>341</w:t>
      </w:r>
      <w:r w:rsidR="00804187" w:rsidRPr="008D7DB3">
        <w:t> </w:t>
      </w:r>
      <w:r w:rsidRPr="008D7DB3">
        <w:t>074,7 тыс. руб., исполнены на 30</w:t>
      </w:r>
      <w:r w:rsidR="00804187" w:rsidRPr="008D7DB3">
        <w:t> </w:t>
      </w:r>
      <w:r w:rsidRPr="008D7DB3">
        <w:t>273</w:t>
      </w:r>
      <w:r w:rsidR="00804187" w:rsidRPr="008D7DB3">
        <w:t> </w:t>
      </w:r>
      <w:r w:rsidRPr="008D7DB3">
        <w:t>028,9  тыс.</w:t>
      </w:r>
      <w:r w:rsidR="003E07AE" w:rsidRPr="008D7DB3">
        <w:t xml:space="preserve"> руб., или на 99,8 процентов.</w:t>
      </w:r>
    </w:p>
    <w:p w14:paraId="5A8D2DA6" w14:textId="77777777" w:rsidR="00AA6454" w:rsidRPr="008D7DB3" w:rsidRDefault="00AA6454" w:rsidP="00AA6454">
      <w:pPr>
        <w:ind w:firstLine="709"/>
        <w:jc w:val="both"/>
      </w:pPr>
      <w:r w:rsidRPr="008D7DB3">
        <w:t>Не исполнены доходы в целом на 68</w:t>
      </w:r>
      <w:r w:rsidR="00804187" w:rsidRPr="008D7DB3">
        <w:t> </w:t>
      </w:r>
      <w:r w:rsidRPr="008D7DB3">
        <w:t>045,8 тыс. руб., или на 0,2 процента.</w:t>
      </w:r>
    </w:p>
    <w:p w14:paraId="751D275F" w14:textId="77777777" w:rsidR="00AA6454" w:rsidRPr="008D7DB3" w:rsidRDefault="00AA6454" w:rsidP="00AA6454">
      <w:pPr>
        <w:ind w:firstLine="709"/>
        <w:jc w:val="both"/>
      </w:pPr>
      <w:r w:rsidRPr="008D7DB3">
        <w:lastRenderedPageBreak/>
        <w:t xml:space="preserve">Основное невыполнение сложилось по </w:t>
      </w:r>
      <w:proofErr w:type="gramStart"/>
      <w:r w:rsidRPr="008D7DB3">
        <w:t xml:space="preserve">причине  </w:t>
      </w:r>
      <w:proofErr w:type="spellStart"/>
      <w:r w:rsidRPr="008D7DB3">
        <w:t>непоступления</w:t>
      </w:r>
      <w:proofErr w:type="spellEnd"/>
      <w:proofErr w:type="gramEnd"/>
      <w:r w:rsidRPr="008D7DB3">
        <w:t xml:space="preserve"> средств из бюджетов других фондов ОМС на оплату счетов за медпомощь, оказанную лицам, застрахованным в других субъектах РФ (76</w:t>
      </w:r>
      <w:r w:rsidR="00804187" w:rsidRPr="008D7DB3">
        <w:t> </w:t>
      </w:r>
      <w:r w:rsidRPr="008D7DB3">
        <w:t>858,6 тыс. руб., или на 9%</w:t>
      </w:r>
      <w:r w:rsidR="00411B9E" w:rsidRPr="008D7DB3">
        <w:t>, п.6 приложения № 2</w:t>
      </w:r>
      <w:r w:rsidRPr="008D7DB3">
        <w:t>).</w:t>
      </w:r>
    </w:p>
    <w:p w14:paraId="7A7C6131" w14:textId="07781689" w:rsidR="00AA6454" w:rsidRPr="008D7DB3" w:rsidRDefault="00AA6454" w:rsidP="00AA6454">
      <w:pPr>
        <w:autoSpaceDE w:val="0"/>
        <w:autoSpaceDN w:val="0"/>
        <w:adjustRightInd w:val="0"/>
        <w:ind w:firstLine="708"/>
        <w:jc w:val="both"/>
      </w:pPr>
      <w:r w:rsidRPr="008D7DB3">
        <w:t xml:space="preserve">При этом перевыполнены доходы на 8812,8 тыс. руб. в основном за счет </w:t>
      </w:r>
      <w:r w:rsidR="003B411D" w:rsidRPr="008D7DB3">
        <w:rPr>
          <w:bCs/>
        </w:rPr>
        <w:t>поступлений</w:t>
      </w:r>
      <w:r w:rsidRPr="008D7DB3">
        <w:rPr>
          <w:bCs/>
        </w:rPr>
        <w:t xml:space="preserve"> от применения страховыми медицинскими организациями к медицинским организациям санкций за нарушения, выявленные при проведении контроля объемов, сроков, качества и условий предоставления медицинской помощи</w:t>
      </w:r>
      <w:r w:rsidRPr="008D7DB3">
        <w:t xml:space="preserve"> по ОМС застрахованным лицам, а также применения регрессных исков к лицам, виновным в причинении вреда здоровью застрахованных</w:t>
      </w:r>
      <w:r w:rsidR="005B3E83" w:rsidRPr="008D7DB3">
        <w:t>,</w:t>
      </w:r>
      <w:r w:rsidRPr="008D7DB3">
        <w:t xml:space="preserve"> и восстановлен</w:t>
      </w:r>
      <w:r w:rsidR="005B3E83" w:rsidRPr="008D7DB3">
        <w:t>ия</w:t>
      </w:r>
      <w:r w:rsidRPr="008D7DB3">
        <w:t xml:space="preserve"> средств ОМС, использованных не по целевому назначению</w:t>
      </w:r>
      <w:r w:rsidR="003E07AE" w:rsidRPr="008D7DB3">
        <w:t>, возврата остатков субвенций прошлых лет (пп</w:t>
      </w:r>
      <w:r w:rsidR="009B0950" w:rsidRPr="008D7DB3">
        <w:t>.</w:t>
      </w:r>
      <w:r w:rsidR="003E07AE" w:rsidRPr="008D7DB3">
        <w:t>1, 2, 3, 4, 8, 9 приложения № 2).</w:t>
      </w:r>
      <w:r w:rsidRPr="008D7DB3">
        <w:t xml:space="preserve"> </w:t>
      </w:r>
    </w:p>
    <w:p w14:paraId="54AF1A25" w14:textId="77777777" w:rsidR="00AA6454" w:rsidRPr="008D7DB3" w:rsidRDefault="00AA6454" w:rsidP="00AA6454">
      <w:pPr>
        <w:autoSpaceDE w:val="0"/>
        <w:autoSpaceDN w:val="0"/>
        <w:adjustRightInd w:val="0"/>
        <w:ind w:firstLine="709"/>
        <w:jc w:val="both"/>
      </w:pPr>
      <w:r w:rsidRPr="008D7DB3">
        <w:rPr>
          <w:color w:val="0000FF"/>
        </w:rPr>
        <w:t xml:space="preserve">Приложение № </w:t>
      </w:r>
      <w:r w:rsidR="007D5314" w:rsidRPr="008D7DB3">
        <w:rPr>
          <w:color w:val="0000FF"/>
        </w:rPr>
        <w:t>2</w:t>
      </w:r>
      <w:r w:rsidRPr="008D7DB3">
        <w:t xml:space="preserve"> - Сравнительный анализ плановых и фактических показателей исполнения доходов бюджета ТФОМС</w:t>
      </w:r>
      <w:r w:rsidRPr="008D7DB3">
        <w:rPr>
          <w:i/>
        </w:rPr>
        <w:t xml:space="preserve"> </w:t>
      </w:r>
      <w:r w:rsidRPr="008D7DB3">
        <w:t>за 2019 год.</w:t>
      </w:r>
    </w:p>
    <w:p w14:paraId="5C8AD867" w14:textId="6A65C5D6" w:rsidR="00AA6454" w:rsidRPr="008D7DB3" w:rsidRDefault="00AA6454" w:rsidP="00AA6454">
      <w:pPr>
        <w:autoSpaceDE w:val="0"/>
        <w:autoSpaceDN w:val="0"/>
        <w:adjustRightInd w:val="0"/>
        <w:ind w:firstLine="720"/>
        <w:jc w:val="both"/>
        <w:outlineLvl w:val="2"/>
      </w:pPr>
      <w:r w:rsidRPr="008D7DB3">
        <w:t>Сравнительным анализом исполнения доходов бюджета ТФОМС за 2019 и 2018 годы (</w:t>
      </w:r>
      <w:r w:rsidRPr="008D7DB3">
        <w:rPr>
          <w:color w:val="0000FF"/>
        </w:rPr>
        <w:t xml:space="preserve">приложение № </w:t>
      </w:r>
      <w:r w:rsidR="007D5314" w:rsidRPr="008D7DB3">
        <w:rPr>
          <w:color w:val="0000FF"/>
        </w:rPr>
        <w:t>3</w:t>
      </w:r>
      <w:r w:rsidRPr="008D7DB3">
        <w:t xml:space="preserve">) установлено, что доходы бюджета ТФОМС в 2019 году в целом на 2356248,3 тыс. руб. (или </w:t>
      </w:r>
      <w:r w:rsidR="005B3E83" w:rsidRPr="008D7DB3">
        <w:t xml:space="preserve">на </w:t>
      </w:r>
      <w:r w:rsidRPr="008D7DB3">
        <w:t>8,4%) превышают доходы 2018 года главным образом за счет:</w:t>
      </w:r>
    </w:p>
    <w:p w14:paraId="559CD4E3" w14:textId="77777777" w:rsidR="00AA6454" w:rsidRPr="008D7DB3" w:rsidRDefault="00AA6454" w:rsidP="00AA6454">
      <w:pPr>
        <w:autoSpaceDE w:val="0"/>
        <w:autoSpaceDN w:val="0"/>
        <w:adjustRightInd w:val="0"/>
        <w:ind w:firstLine="720"/>
        <w:jc w:val="both"/>
        <w:outlineLvl w:val="2"/>
      </w:pPr>
      <w:r w:rsidRPr="008D7DB3">
        <w:t>- увеличения размера субвенции из бюджета ФФОМС на финансовое обеспечение организации ОМС - на 2</w:t>
      </w:r>
      <w:r w:rsidR="00804187" w:rsidRPr="008D7DB3">
        <w:t> </w:t>
      </w:r>
      <w:r w:rsidRPr="008D7DB3">
        <w:t>342</w:t>
      </w:r>
      <w:r w:rsidR="00804187" w:rsidRPr="008D7DB3">
        <w:t> </w:t>
      </w:r>
      <w:r w:rsidRPr="008D7DB3">
        <w:t xml:space="preserve">195,3 тыс. руб., или на 8,7% в связи с увеличением подушевого норматива финансирования территориальной программы государственных гарантий бесплатного оказания гражданам медицинской помощи в Волгоградской области в 2019 году на одного застрахованного на 987,5 руб. (на 3,6%); </w:t>
      </w:r>
    </w:p>
    <w:p w14:paraId="7C9FF0C3" w14:textId="5D638B57" w:rsidR="00AA6454" w:rsidRPr="008D7DB3" w:rsidRDefault="00AA6454" w:rsidP="00AA6454">
      <w:pPr>
        <w:ind w:firstLine="708"/>
        <w:jc w:val="both"/>
        <w:rPr>
          <w:strike/>
        </w:rPr>
      </w:pPr>
      <w:r w:rsidRPr="008D7DB3">
        <w:t>- увеличения поступлений от ТФОМС других субъектов РФ за лечение лиц, застрахованных на территории других субъектов РФ</w:t>
      </w:r>
      <w:r w:rsidR="005B3E83" w:rsidRPr="008D7DB3">
        <w:t>,</w:t>
      </w:r>
      <w:r w:rsidRPr="008D7DB3">
        <w:t xml:space="preserve"> - на 51</w:t>
      </w:r>
      <w:r w:rsidR="00804187" w:rsidRPr="008D7DB3">
        <w:t> </w:t>
      </w:r>
      <w:r w:rsidRPr="008D7DB3">
        <w:t>161,8 тыс. руб., или на 7%;</w:t>
      </w:r>
      <w:r w:rsidRPr="008D7DB3">
        <w:rPr>
          <w:strike/>
        </w:rPr>
        <w:t xml:space="preserve"> </w:t>
      </w:r>
    </w:p>
    <w:p w14:paraId="1EE4630D" w14:textId="77777777" w:rsidR="00AA6454" w:rsidRPr="008D7DB3" w:rsidRDefault="00AA6454" w:rsidP="00AA6454">
      <w:pPr>
        <w:ind w:firstLine="708"/>
        <w:jc w:val="both"/>
      </w:pPr>
      <w:r w:rsidRPr="008D7DB3">
        <w:t xml:space="preserve">- уменьшения поступлений за нецелевое использование средств ОМС в связи с погашением в 2018 году задолженности прошлых </w:t>
      </w:r>
      <w:proofErr w:type="gramStart"/>
      <w:r w:rsidRPr="008D7DB3">
        <w:t>лет  -</w:t>
      </w:r>
      <w:proofErr w:type="gramEnd"/>
      <w:r w:rsidRPr="008D7DB3">
        <w:t xml:space="preserve"> на 27</w:t>
      </w:r>
      <w:r w:rsidR="00804187" w:rsidRPr="008D7DB3">
        <w:t> </w:t>
      </w:r>
      <w:r w:rsidRPr="008D7DB3">
        <w:t>474,7 тыс. руб. (-65,5%);</w:t>
      </w:r>
    </w:p>
    <w:p w14:paraId="3AB8A717" w14:textId="77777777" w:rsidR="00AA6454" w:rsidRPr="008D7DB3" w:rsidRDefault="00AA6454" w:rsidP="00AA6454">
      <w:pPr>
        <w:ind w:firstLine="708"/>
        <w:jc w:val="both"/>
      </w:pPr>
      <w:r w:rsidRPr="008D7DB3">
        <w:t>-уменьшения поступлений по результатам контроля объемов, сроков, качества и условий оказания медицинской помощи на 5</w:t>
      </w:r>
      <w:r w:rsidR="00804187" w:rsidRPr="008D7DB3">
        <w:t> </w:t>
      </w:r>
      <w:r w:rsidRPr="008D7DB3">
        <w:t>719,8 тыс. руб., или на 5,2%;</w:t>
      </w:r>
    </w:p>
    <w:p w14:paraId="58EEEE21" w14:textId="77777777" w:rsidR="0054194C" w:rsidRPr="008D7DB3" w:rsidRDefault="0054194C" w:rsidP="0054194C">
      <w:pPr>
        <w:autoSpaceDE w:val="0"/>
        <w:autoSpaceDN w:val="0"/>
        <w:adjustRightInd w:val="0"/>
        <w:ind w:firstLine="709"/>
        <w:jc w:val="both"/>
        <w:outlineLvl w:val="2"/>
        <w:rPr>
          <w:i/>
          <w:u w:val="single"/>
        </w:rPr>
      </w:pPr>
      <w:r w:rsidRPr="008D7DB3">
        <w:rPr>
          <w:i/>
          <w:u w:val="single"/>
        </w:rPr>
        <w:t>Исполнение расходов</w:t>
      </w:r>
    </w:p>
    <w:p w14:paraId="61323A7C" w14:textId="5492B309" w:rsidR="0054194C" w:rsidRPr="008D7DB3" w:rsidRDefault="0054194C" w:rsidP="0054194C">
      <w:pPr>
        <w:ind w:firstLine="709"/>
        <w:jc w:val="both"/>
      </w:pPr>
      <w:r w:rsidRPr="008D7DB3">
        <w:t xml:space="preserve">Утвержденные в </w:t>
      </w:r>
      <w:r w:rsidRPr="008D7DB3">
        <w:rPr>
          <w:bCs/>
        </w:rPr>
        <w:t>бюджете</w:t>
      </w:r>
      <w:r w:rsidRPr="008D7DB3">
        <w:t xml:space="preserve"> ТФОМС на 201</w:t>
      </w:r>
      <w:r w:rsidR="00134C54" w:rsidRPr="008D7DB3">
        <w:t>9</w:t>
      </w:r>
      <w:r w:rsidRPr="008D7DB3">
        <w:t xml:space="preserve"> год расходы на </w:t>
      </w:r>
      <w:r w:rsidR="00134C54" w:rsidRPr="008D7DB3">
        <w:t>30</w:t>
      </w:r>
      <w:r w:rsidR="00804187" w:rsidRPr="008D7DB3">
        <w:t> </w:t>
      </w:r>
      <w:r w:rsidR="00134C54" w:rsidRPr="008D7DB3">
        <w:t>436</w:t>
      </w:r>
      <w:r w:rsidR="00804187" w:rsidRPr="008D7DB3">
        <w:t> </w:t>
      </w:r>
      <w:r w:rsidR="00134C54" w:rsidRPr="008D7DB3">
        <w:t>271</w:t>
      </w:r>
      <w:r w:rsidRPr="008D7DB3">
        <w:t xml:space="preserve"> тыс. руб.</w:t>
      </w:r>
      <w:r w:rsidR="005B3E83" w:rsidRPr="008D7DB3">
        <w:t xml:space="preserve"> </w:t>
      </w:r>
      <w:r w:rsidRPr="008D7DB3">
        <w:t xml:space="preserve">исполнены на </w:t>
      </w:r>
      <w:r w:rsidR="00134C54" w:rsidRPr="008D7DB3">
        <w:t>30</w:t>
      </w:r>
      <w:r w:rsidR="00804187" w:rsidRPr="008D7DB3">
        <w:t> </w:t>
      </w:r>
      <w:r w:rsidR="00134C54" w:rsidRPr="008D7DB3">
        <w:t>157</w:t>
      </w:r>
      <w:r w:rsidR="00804187" w:rsidRPr="008D7DB3">
        <w:t> </w:t>
      </w:r>
      <w:r w:rsidR="00134C54" w:rsidRPr="008D7DB3">
        <w:t>527,9</w:t>
      </w:r>
      <w:r w:rsidRPr="008D7DB3">
        <w:t xml:space="preserve"> тыс. руб., или на </w:t>
      </w:r>
      <w:r w:rsidR="00134C54" w:rsidRPr="008D7DB3">
        <w:t>99,1</w:t>
      </w:r>
      <w:r w:rsidRPr="008D7DB3">
        <w:t xml:space="preserve"> процента.</w:t>
      </w:r>
    </w:p>
    <w:p w14:paraId="5EFA805C" w14:textId="77777777" w:rsidR="0054194C" w:rsidRPr="008D7DB3" w:rsidRDefault="0054194C" w:rsidP="0054194C">
      <w:pPr>
        <w:autoSpaceDE w:val="0"/>
        <w:autoSpaceDN w:val="0"/>
        <w:adjustRightInd w:val="0"/>
        <w:ind w:firstLine="709"/>
        <w:jc w:val="both"/>
        <w:outlineLvl w:val="2"/>
      </w:pPr>
      <w:r w:rsidRPr="008D7DB3">
        <w:t xml:space="preserve">Расходы не исполнены на </w:t>
      </w:r>
      <w:r w:rsidR="00681211" w:rsidRPr="008D7DB3">
        <w:rPr>
          <w:bCs/>
        </w:rPr>
        <w:t>278</w:t>
      </w:r>
      <w:r w:rsidR="00804187" w:rsidRPr="008D7DB3">
        <w:rPr>
          <w:bCs/>
        </w:rPr>
        <w:t> </w:t>
      </w:r>
      <w:r w:rsidR="00681211" w:rsidRPr="008D7DB3">
        <w:rPr>
          <w:bCs/>
        </w:rPr>
        <w:t xml:space="preserve">743,1 </w:t>
      </w:r>
      <w:r w:rsidRPr="008D7DB3">
        <w:t>тыс. руб.:</w:t>
      </w:r>
    </w:p>
    <w:p w14:paraId="4B1B370B" w14:textId="77777777" w:rsidR="0054194C" w:rsidRPr="008D7DB3" w:rsidRDefault="0054194C" w:rsidP="0054194C">
      <w:pPr>
        <w:ind w:firstLine="709"/>
        <w:jc w:val="both"/>
      </w:pPr>
      <w:r w:rsidRPr="008D7DB3">
        <w:t xml:space="preserve">- по подразделу 0100 «Общегосударственные вопросы» - </w:t>
      </w:r>
      <w:r w:rsidR="00681211" w:rsidRPr="008D7DB3">
        <w:t>5</w:t>
      </w:r>
      <w:r w:rsidR="00804187" w:rsidRPr="008D7DB3">
        <w:t> </w:t>
      </w:r>
      <w:r w:rsidR="00681211" w:rsidRPr="008D7DB3">
        <w:t>385,7</w:t>
      </w:r>
      <w:r w:rsidRPr="008D7DB3">
        <w:t xml:space="preserve"> тыс. руб.</w:t>
      </w:r>
      <w:r w:rsidR="00AD38FD" w:rsidRPr="008D7DB3">
        <w:t xml:space="preserve"> </w:t>
      </w:r>
      <w:r w:rsidRPr="008D7DB3">
        <w:t>на закупку товаров, работ и услуг</w:t>
      </w:r>
      <w:r w:rsidR="00AF5280" w:rsidRPr="008D7DB3">
        <w:t>, иные выплаты персоналу</w:t>
      </w:r>
      <w:r w:rsidRPr="008D7DB3">
        <w:t xml:space="preserve"> за счет экономии, возникшей при проведении конкурентных процедур</w:t>
      </w:r>
      <w:r w:rsidR="00AA6454" w:rsidRPr="008D7DB3">
        <w:t>,</w:t>
      </w:r>
      <w:r w:rsidR="00AF5280" w:rsidRPr="008D7DB3">
        <w:t xml:space="preserve"> </w:t>
      </w:r>
      <w:r w:rsidRPr="008D7DB3">
        <w:t>сокращением расходов на служебные поездки</w:t>
      </w:r>
      <w:r w:rsidR="00AA6454" w:rsidRPr="008D7DB3">
        <w:t>, применения регрессивной шкалы начисления взносов</w:t>
      </w:r>
      <w:r w:rsidRPr="008D7DB3">
        <w:t>;</w:t>
      </w:r>
    </w:p>
    <w:p w14:paraId="6E1B70DE" w14:textId="77777777" w:rsidR="0054194C" w:rsidRPr="008D7DB3" w:rsidRDefault="0054194C" w:rsidP="0054194C">
      <w:pPr>
        <w:widowControl w:val="0"/>
        <w:ind w:firstLine="709"/>
        <w:jc w:val="both"/>
      </w:pPr>
      <w:r w:rsidRPr="008D7DB3">
        <w:t xml:space="preserve">- по подразделу 0909 «Другие вопросы в области здравоохранения» - </w:t>
      </w:r>
      <w:r w:rsidR="00763C5F" w:rsidRPr="008D7DB3">
        <w:t>273</w:t>
      </w:r>
      <w:r w:rsidR="00804187" w:rsidRPr="008D7DB3">
        <w:t> </w:t>
      </w:r>
      <w:r w:rsidR="00763C5F" w:rsidRPr="008D7DB3">
        <w:t>357,4</w:t>
      </w:r>
      <w:r w:rsidRPr="008D7DB3">
        <w:t xml:space="preserve"> тыс. руб., из них:</w:t>
      </w:r>
    </w:p>
    <w:p w14:paraId="2DC5E69E" w14:textId="77777777" w:rsidR="0054194C" w:rsidRPr="008D7DB3" w:rsidRDefault="0054194C" w:rsidP="00CB43C1">
      <w:pPr>
        <w:pStyle w:val="aff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D7DB3">
        <w:t>по обязательствам на финансирование медицинских организаций за медицинскую помощь,</w:t>
      </w:r>
      <w:r w:rsidR="002E0BC7" w:rsidRPr="008D7DB3">
        <w:t xml:space="preserve"> </w:t>
      </w:r>
      <w:r w:rsidRPr="008D7DB3">
        <w:t xml:space="preserve">оказанную медицинскими учреждениями Волгоградской области лицам, застрахованным на территории других субъектов РФ, </w:t>
      </w:r>
      <w:r w:rsidR="00B92515" w:rsidRPr="008D7DB3">
        <w:t xml:space="preserve">- </w:t>
      </w:r>
      <w:r w:rsidRPr="008D7DB3">
        <w:t xml:space="preserve">на </w:t>
      </w:r>
      <w:r w:rsidR="00763C5F" w:rsidRPr="008D7DB3">
        <w:t>93</w:t>
      </w:r>
      <w:r w:rsidR="00804187" w:rsidRPr="008D7DB3">
        <w:t> </w:t>
      </w:r>
      <w:r w:rsidR="00763C5F" w:rsidRPr="008D7DB3">
        <w:t>529,2</w:t>
      </w:r>
      <w:r w:rsidRPr="008D7DB3">
        <w:t xml:space="preserve"> тыс. руб., или на 10,</w:t>
      </w:r>
      <w:r w:rsidR="00763C5F" w:rsidRPr="008D7DB3">
        <w:t>5</w:t>
      </w:r>
      <w:r w:rsidRPr="008D7DB3">
        <w:t xml:space="preserve">%, </w:t>
      </w:r>
      <w:r w:rsidR="00CB43C1" w:rsidRPr="008D7DB3">
        <w:t xml:space="preserve">главным образом, </w:t>
      </w:r>
      <w:r w:rsidRPr="008D7DB3">
        <w:t xml:space="preserve">по причине недополучения средств от территориальных фондов </w:t>
      </w:r>
      <w:r w:rsidR="001214E0" w:rsidRPr="008D7DB3">
        <w:t xml:space="preserve">других </w:t>
      </w:r>
      <w:r w:rsidRPr="008D7DB3">
        <w:t xml:space="preserve">субъектов РФ; </w:t>
      </w:r>
    </w:p>
    <w:p w14:paraId="1C2CF984" w14:textId="77777777" w:rsidR="009F058A" w:rsidRPr="008D7DB3" w:rsidRDefault="0054194C" w:rsidP="00CB43C1">
      <w:pPr>
        <w:pStyle w:val="af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D7DB3">
        <w:t xml:space="preserve">на мероприятия, осуществляемые за счет средств </w:t>
      </w:r>
      <w:r w:rsidR="00A623CA" w:rsidRPr="008D7DB3">
        <w:t xml:space="preserve">нормированного страхового запаса (далее </w:t>
      </w:r>
      <w:r w:rsidRPr="008D7DB3">
        <w:t>НСЗ</w:t>
      </w:r>
      <w:r w:rsidR="00A623CA" w:rsidRPr="008D7DB3">
        <w:t>)</w:t>
      </w:r>
      <w:r w:rsidRPr="008D7DB3">
        <w:t xml:space="preserve"> ТФОМС</w:t>
      </w:r>
      <w:r w:rsidR="009F058A" w:rsidRPr="008D7DB3">
        <w:t>:</w:t>
      </w:r>
    </w:p>
    <w:p w14:paraId="046D06B0" w14:textId="211B727B" w:rsidR="00A623CA" w:rsidRPr="008D7DB3" w:rsidRDefault="0054194C" w:rsidP="00CB43C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8D7DB3">
        <w:t xml:space="preserve">по организации профессионального обучения медицинских работников, а также приобретение и проведение ремонта медицинского оборудования на </w:t>
      </w:r>
      <w:r w:rsidR="008A2181" w:rsidRPr="008D7DB3">
        <w:t>40</w:t>
      </w:r>
      <w:r w:rsidR="000829CA" w:rsidRPr="008D7DB3">
        <w:t> </w:t>
      </w:r>
      <w:r w:rsidR="008A2181" w:rsidRPr="008D7DB3">
        <w:t>596,7</w:t>
      </w:r>
      <w:r w:rsidRPr="008D7DB3">
        <w:t xml:space="preserve"> тыс. руб., или на </w:t>
      </w:r>
      <w:r w:rsidR="008A2181" w:rsidRPr="008D7DB3">
        <w:t>24</w:t>
      </w:r>
      <w:r w:rsidR="000829CA" w:rsidRPr="008D7DB3">
        <w:t xml:space="preserve"> процента.</w:t>
      </w:r>
      <w:r w:rsidRPr="008D7DB3">
        <w:t xml:space="preserve"> </w:t>
      </w:r>
      <w:r w:rsidR="000829CA" w:rsidRPr="008D7DB3">
        <w:t xml:space="preserve">Средства </w:t>
      </w:r>
      <w:r w:rsidRPr="008D7DB3">
        <w:t>использован</w:t>
      </w:r>
      <w:r w:rsidR="000829CA" w:rsidRPr="008D7DB3">
        <w:t>ы</w:t>
      </w:r>
      <w:r w:rsidRPr="008D7DB3">
        <w:t xml:space="preserve"> </w:t>
      </w:r>
      <w:r w:rsidR="00AD50F1" w:rsidRPr="008D7DB3">
        <w:t>согласно Правилам использования медицинскими организациями средств НСЗ ТФОМС…, утвержденным постановлением Правительства РФ от 21.04.2016 № 332</w:t>
      </w:r>
      <w:r w:rsidR="006A66C9" w:rsidRPr="008D7DB3">
        <w:t xml:space="preserve"> (далее Правила использования НСЗ)</w:t>
      </w:r>
      <w:r w:rsidR="00AD50F1" w:rsidRPr="008D7DB3">
        <w:t xml:space="preserve">, </w:t>
      </w:r>
      <w:r w:rsidR="000829CA" w:rsidRPr="008D7DB3">
        <w:t xml:space="preserve">на </w:t>
      </w:r>
      <w:proofErr w:type="spellStart"/>
      <w:r w:rsidR="000829CA" w:rsidRPr="008D7DB3">
        <w:t>теже</w:t>
      </w:r>
      <w:proofErr w:type="spellEnd"/>
      <w:r w:rsidR="000829CA" w:rsidRPr="008D7DB3">
        <w:t xml:space="preserve"> цели </w:t>
      </w:r>
      <w:r w:rsidR="00AD50F1" w:rsidRPr="008D7DB3">
        <w:t xml:space="preserve">в соответствии с утвержденным </w:t>
      </w:r>
      <w:r w:rsidR="00DB25E1" w:rsidRPr="008D7DB3">
        <w:t>на 1 квартал 20</w:t>
      </w:r>
      <w:r w:rsidR="00921A76" w:rsidRPr="008D7DB3">
        <w:t>20</w:t>
      </w:r>
      <w:r w:rsidR="00DB25E1" w:rsidRPr="008D7DB3">
        <w:t xml:space="preserve"> года </w:t>
      </w:r>
      <w:r w:rsidR="00AD50F1" w:rsidRPr="008D7DB3">
        <w:t>планом мероприятий</w:t>
      </w:r>
      <w:r w:rsidR="00F3728C" w:rsidRPr="008D7DB3">
        <w:t xml:space="preserve"> на 20</w:t>
      </w:r>
      <w:r w:rsidR="00921A76" w:rsidRPr="008D7DB3">
        <w:t>20</w:t>
      </w:r>
      <w:r w:rsidR="00F3728C" w:rsidRPr="008D7DB3">
        <w:t xml:space="preserve"> год</w:t>
      </w:r>
      <w:r w:rsidR="001068A3" w:rsidRPr="008D7DB3">
        <w:t>;</w:t>
      </w:r>
    </w:p>
    <w:p w14:paraId="65A63739" w14:textId="0059D1D0" w:rsidR="00BE5F21" w:rsidRPr="008D7DB3" w:rsidRDefault="00921A76" w:rsidP="00CB43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D7DB3">
        <w:t>на финансировани</w:t>
      </w:r>
      <w:r w:rsidR="000829CA" w:rsidRPr="008D7DB3">
        <w:t>е</w:t>
      </w:r>
      <w:r w:rsidRPr="008D7DB3">
        <w:t xml:space="preserve"> расходов медицинских организаций</w:t>
      </w:r>
      <w:r w:rsidR="000427C8" w:rsidRPr="008D7DB3">
        <w:t xml:space="preserve"> </w:t>
      </w:r>
      <w:r w:rsidR="00B0209A" w:rsidRPr="008D7DB3">
        <w:t>по</w:t>
      </w:r>
      <w:r w:rsidRPr="008D7DB3">
        <w:t xml:space="preserve"> </w:t>
      </w:r>
      <w:r w:rsidR="005B3E83" w:rsidRPr="008D7DB3">
        <w:t>доведению заработной платы</w:t>
      </w:r>
      <w:r w:rsidR="00374447" w:rsidRPr="008D7DB3">
        <w:t xml:space="preserve"> вновь</w:t>
      </w:r>
      <w:r w:rsidR="005B3E83" w:rsidRPr="008D7DB3">
        <w:t xml:space="preserve"> </w:t>
      </w:r>
      <w:r w:rsidR="00256E40" w:rsidRPr="008D7DB3">
        <w:t>принятых в 2019 году</w:t>
      </w:r>
      <w:r w:rsidR="00C869F5" w:rsidRPr="008D7DB3">
        <w:t xml:space="preserve"> на работу в медицинскую организацию </w:t>
      </w:r>
      <w:r w:rsidRPr="008D7DB3">
        <w:t>врачей и среднего медицинского персонала</w:t>
      </w:r>
      <w:r w:rsidR="005B3E83" w:rsidRPr="008D7DB3">
        <w:t xml:space="preserve"> до уровня, установленного Указом Президента РФ от 07.05.2012 №</w:t>
      </w:r>
      <w:r w:rsidR="00256E40" w:rsidRPr="008D7DB3">
        <w:t> </w:t>
      </w:r>
      <w:r w:rsidR="005B3E83" w:rsidRPr="008D7DB3">
        <w:t xml:space="preserve">597 «О мероприятиях по реализации государственной социальной политики» (соответственно 200% и 100% от средней заработной платы </w:t>
      </w:r>
      <w:r w:rsidR="00C869F5" w:rsidRPr="008D7DB3">
        <w:t>по экономике</w:t>
      </w:r>
      <w:r w:rsidR="005B3E83" w:rsidRPr="008D7DB3">
        <w:t>)</w:t>
      </w:r>
      <w:r w:rsidR="0091557A" w:rsidRPr="008D7DB3">
        <w:t xml:space="preserve">, на </w:t>
      </w:r>
      <w:r w:rsidR="00377C64" w:rsidRPr="008D7DB3">
        <w:t>139</w:t>
      </w:r>
      <w:r w:rsidR="000829CA" w:rsidRPr="008D7DB3">
        <w:t> </w:t>
      </w:r>
      <w:r w:rsidR="00377C64" w:rsidRPr="008D7DB3">
        <w:t xml:space="preserve">231,3 тыс. </w:t>
      </w:r>
      <w:r w:rsidR="00377C64" w:rsidRPr="008D7DB3">
        <w:lastRenderedPageBreak/>
        <w:t>руб., или на 79,8% по причине</w:t>
      </w:r>
      <w:r w:rsidR="00374447" w:rsidRPr="008D7DB3">
        <w:t xml:space="preserve"> невыполнения показателей обеспеченности учреждений врачами и средним медицинским персоналом вновь принятыми медицинскими работниками</w:t>
      </w:r>
      <w:r w:rsidR="001E6C2F" w:rsidRPr="008D7DB3">
        <w:t>;</w:t>
      </w:r>
    </w:p>
    <w:p w14:paraId="34A162C5" w14:textId="77777777" w:rsidR="008D08CB" w:rsidRPr="008D7DB3" w:rsidRDefault="008D08CB" w:rsidP="00CB43C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8D7DB3">
        <w:t>по оплате медицинской помощи, оказанной лицам, застрахованным в Волгоградской области, в территориальные фонды других субъектов РФ на 0,2 тыс. рублей.</w:t>
      </w:r>
    </w:p>
    <w:p w14:paraId="2E56E9F9" w14:textId="77777777" w:rsidR="0054194C" w:rsidRPr="008D7DB3" w:rsidRDefault="0054194C" w:rsidP="0054194C">
      <w:pPr>
        <w:ind w:firstLine="709"/>
        <w:jc w:val="both"/>
      </w:pPr>
      <w:r w:rsidRPr="008D7DB3">
        <w:t>Анализ</w:t>
      </w:r>
      <w:r w:rsidR="002E0BC7" w:rsidRPr="008D7DB3">
        <w:t xml:space="preserve"> </w:t>
      </w:r>
      <w:r w:rsidRPr="008D7DB3">
        <w:t>исполнения расходов бюджета ТФОМС за 201</w:t>
      </w:r>
      <w:r w:rsidR="00763C5F" w:rsidRPr="008D7DB3">
        <w:t>9</w:t>
      </w:r>
      <w:r w:rsidRPr="008D7DB3">
        <w:t xml:space="preserve"> год представлен в </w:t>
      </w:r>
      <w:r w:rsidRPr="008D7DB3">
        <w:rPr>
          <w:color w:val="0000FF"/>
        </w:rPr>
        <w:t>приложении № 4.</w:t>
      </w:r>
    </w:p>
    <w:p w14:paraId="575AB718" w14:textId="77777777" w:rsidR="00065FBB" w:rsidRPr="008D7DB3" w:rsidRDefault="00065FBB" w:rsidP="00065FBB">
      <w:pPr>
        <w:ind w:firstLine="709"/>
        <w:jc w:val="both"/>
      </w:pPr>
      <w:r w:rsidRPr="008D7DB3">
        <w:t xml:space="preserve">Сравнительный анализ показателей исполнения расходов бюджета ТФОМС за отчетный и предыдущий годы приведен в таблице № 1. </w:t>
      </w:r>
    </w:p>
    <w:p w14:paraId="4E2EF20E" w14:textId="7639DCD3" w:rsidR="00065FBB" w:rsidRPr="008D7DB3" w:rsidRDefault="00065FBB" w:rsidP="00065FBB">
      <w:pPr>
        <w:pStyle w:val="af6"/>
        <w:ind w:firstLine="708"/>
        <w:jc w:val="right"/>
        <w:rPr>
          <w:sz w:val="24"/>
          <w:szCs w:val="24"/>
        </w:rPr>
      </w:pPr>
      <w:r w:rsidRPr="008D7DB3">
        <w:rPr>
          <w:sz w:val="24"/>
          <w:szCs w:val="24"/>
        </w:rPr>
        <w:t>Таблица № 1, 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77"/>
        <w:gridCol w:w="1266"/>
        <w:gridCol w:w="1266"/>
        <w:gridCol w:w="1295"/>
        <w:gridCol w:w="850"/>
      </w:tblGrid>
      <w:tr w:rsidR="00065FBB" w:rsidRPr="008D7DB3" w14:paraId="61B2FEAB" w14:textId="77777777" w:rsidTr="00E23B23"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0DC" w14:textId="77777777" w:rsidR="00065FBB" w:rsidRPr="008D7DB3" w:rsidRDefault="00065FBB" w:rsidP="00E23B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DB3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697" w14:textId="77777777" w:rsidR="00065FBB" w:rsidRPr="008D7DB3" w:rsidRDefault="00065FBB" w:rsidP="00065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DB3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3A2" w14:textId="77777777" w:rsidR="00065FBB" w:rsidRPr="008D7DB3" w:rsidRDefault="00065FBB" w:rsidP="00065F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DB3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374" w14:textId="77777777" w:rsidR="00065FBB" w:rsidRPr="008D7DB3" w:rsidRDefault="00065FBB" w:rsidP="00E23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D7DB3">
              <w:rPr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065FBB" w:rsidRPr="008D7DB3" w14:paraId="5CC4CADA" w14:textId="77777777" w:rsidTr="00E23B23"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C4AF" w14:textId="77777777" w:rsidR="00065FBB" w:rsidRPr="008D7DB3" w:rsidRDefault="00065FBB" w:rsidP="00E23B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9E5" w14:textId="77777777" w:rsidR="00065FBB" w:rsidRPr="008D7DB3" w:rsidRDefault="00065FBB" w:rsidP="00E23B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F223" w14:textId="77777777" w:rsidR="00065FBB" w:rsidRPr="008D7DB3" w:rsidRDefault="00065FBB" w:rsidP="00E23B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82E" w14:textId="77777777" w:rsidR="00065FBB" w:rsidRPr="008D7DB3" w:rsidRDefault="00065FBB" w:rsidP="00E23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D7DB3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0C8" w14:textId="77777777" w:rsidR="00065FBB" w:rsidRPr="008D7DB3" w:rsidRDefault="00065FBB" w:rsidP="00E23B23">
            <w:pPr>
              <w:jc w:val="center"/>
              <w:rPr>
                <w:b/>
                <w:bCs/>
                <w:sz w:val="20"/>
                <w:szCs w:val="20"/>
              </w:rPr>
            </w:pPr>
            <w:r w:rsidRPr="008D7DB3">
              <w:rPr>
                <w:b/>
                <w:bCs/>
                <w:sz w:val="20"/>
                <w:szCs w:val="20"/>
              </w:rPr>
              <w:t xml:space="preserve">% </w:t>
            </w:r>
          </w:p>
        </w:tc>
      </w:tr>
      <w:tr w:rsidR="00065FBB" w:rsidRPr="008D7DB3" w14:paraId="2BC936E5" w14:textId="77777777" w:rsidTr="00E23B23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101" w14:textId="77777777" w:rsidR="00065FBB" w:rsidRPr="008D7DB3" w:rsidRDefault="00065FBB" w:rsidP="00E23B23">
            <w:pPr>
              <w:rPr>
                <w:color w:val="000000"/>
                <w:sz w:val="20"/>
                <w:szCs w:val="20"/>
              </w:rPr>
            </w:pPr>
            <w:r w:rsidRPr="008D7DB3">
              <w:rPr>
                <w:color w:val="000000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64BE" w14:textId="77777777" w:rsidR="00065FBB" w:rsidRPr="008D7DB3" w:rsidRDefault="00065FBB" w:rsidP="00E23B23">
            <w:pPr>
              <w:jc w:val="right"/>
              <w:rPr>
                <w:color w:val="000000"/>
                <w:sz w:val="20"/>
                <w:szCs w:val="20"/>
              </w:rPr>
            </w:pPr>
            <w:r w:rsidRPr="008D7DB3">
              <w:rPr>
                <w:color w:val="000000"/>
                <w:sz w:val="20"/>
                <w:szCs w:val="20"/>
              </w:rPr>
              <w:t>221</w:t>
            </w:r>
            <w:r w:rsidR="005719E4" w:rsidRPr="008D7DB3">
              <w:rPr>
                <w:color w:val="000000"/>
                <w:sz w:val="20"/>
                <w:szCs w:val="20"/>
              </w:rPr>
              <w:t> </w:t>
            </w:r>
            <w:r w:rsidRPr="008D7DB3">
              <w:rPr>
                <w:color w:val="000000"/>
                <w:sz w:val="20"/>
                <w:szCs w:val="20"/>
              </w:rPr>
              <w:t>971,5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B67" w14:textId="77777777" w:rsidR="00065FBB" w:rsidRPr="008D7DB3" w:rsidRDefault="00065FBB" w:rsidP="00E23B23">
            <w:pPr>
              <w:jc w:val="right"/>
              <w:rPr>
                <w:color w:val="000000"/>
                <w:sz w:val="20"/>
                <w:szCs w:val="20"/>
              </w:rPr>
            </w:pPr>
            <w:r w:rsidRPr="008D7DB3">
              <w:rPr>
                <w:color w:val="000000"/>
                <w:sz w:val="20"/>
                <w:szCs w:val="20"/>
              </w:rPr>
              <w:t>234</w:t>
            </w:r>
            <w:r w:rsidR="005719E4" w:rsidRPr="008D7DB3">
              <w:rPr>
                <w:color w:val="000000"/>
                <w:sz w:val="20"/>
                <w:szCs w:val="20"/>
              </w:rPr>
              <w:t> </w:t>
            </w:r>
            <w:r w:rsidRPr="008D7DB3">
              <w:rPr>
                <w:color w:val="000000"/>
                <w:sz w:val="20"/>
                <w:szCs w:val="20"/>
              </w:rPr>
              <w:t>614,3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71BE" w14:textId="77777777" w:rsidR="00065FBB" w:rsidRPr="008D7DB3" w:rsidRDefault="00065FBB" w:rsidP="00E23B23">
            <w:pPr>
              <w:jc w:val="center"/>
              <w:rPr>
                <w:sz w:val="20"/>
                <w:szCs w:val="20"/>
              </w:rPr>
            </w:pPr>
            <w:r w:rsidRPr="008D7DB3">
              <w:rPr>
                <w:sz w:val="20"/>
                <w:szCs w:val="20"/>
              </w:rPr>
              <w:t>+12</w:t>
            </w:r>
            <w:r w:rsidR="005719E4" w:rsidRPr="008D7DB3">
              <w:rPr>
                <w:sz w:val="20"/>
                <w:szCs w:val="20"/>
              </w:rPr>
              <w:t> </w:t>
            </w:r>
            <w:r w:rsidRPr="008D7DB3">
              <w:rPr>
                <w:sz w:val="20"/>
                <w:szCs w:val="20"/>
              </w:rPr>
              <w:t>642,8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01F" w14:textId="77777777" w:rsidR="00065FBB" w:rsidRPr="008D7DB3" w:rsidRDefault="00065FBB" w:rsidP="00E23B23">
            <w:pPr>
              <w:jc w:val="center"/>
              <w:rPr>
                <w:sz w:val="20"/>
                <w:szCs w:val="20"/>
              </w:rPr>
            </w:pPr>
            <w:r w:rsidRPr="008D7DB3">
              <w:rPr>
                <w:sz w:val="20"/>
                <w:szCs w:val="20"/>
              </w:rPr>
              <w:t>+5,7</w:t>
            </w:r>
          </w:p>
        </w:tc>
      </w:tr>
      <w:tr w:rsidR="00065FBB" w:rsidRPr="008D7DB3" w14:paraId="19ADD1DA" w14:textId="77777777" w:rsidTr="00E23B23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BCAA" w14:textId="77777777" w:rsidR="00065FBB" w:rsidRPr="008D7DB3" w:rsidRDefault="00065FBB" w:rsidP="00E23B23">
            <w:pPr>
              <w:rPr>
                <w:color w:val="000000"/>
                <w:sz w:val="20"/>
                <w:szCs w:val="20"/>
              </w:rPr>
            </w:pPr>
            <w:r w:rsidRPr="008D7DB3">
              <w:rPr>
                <w:color w:val="000000"/>
                <w:sz w:val="20"/>
                <w:szCs w:val="20"/>
              </w:rPr>
              <w:t>0909 «Другие вопросы в области здравоохранения»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BEEB" w14:textId="77777777" w:rsidR="00065FBB" w:rsidRPr="008D7DB3" w:rsidRDefault="00065FBB" w:rsidP="00E23B23">
            <w:pPr>
              <w:jc w:val="right"/>
              <w:rPr>
                <w:color w:val="000000"/>
                <w:sz w:val="20"/>
                <w:szCs w:val="20"/>
              </w:rPr>
            </w:pPr>
            <w:r w:rsidRPr="008D7DB3">
              <w:rPr>
                <w:color w:val="000000"/>
                <w:sz w:val="20"/>
                <w:szCs w:val="20"/>
              </w:rPr>
              <w:t>27</w:t>
            </w:r>
            <w:r w:rsidR="005719E4" w:rsidRPr="008D7DB3">
              <w:rPr>
                <w:color w:val="000000"/>
                <w:sz w:val="20"/>
                <w:szCs w:val="20"/>
              </w:rPr>
              <w:t> </w:t>
            </w:r>
            <w:r w:rsidRPr="008D7DB3">
              <w:rPr>
                <w:color w:val="000000"/>
                <w:sz w:val="20"/>
                <w:szCs w:val="20"/>
              </w:rPr>
              <w:t>677</w:t>
            </w:r>
            <w:r w:rsidR="005719E4" w:rsidRPr="008D7DB3">
              <w:rPr>
                <w:color w:val="000000"/>
                <w:sz w:val="20"/>
                <w:szCs w:val="20"/>
              </w:rPr>
              <w:t> </w:t>
            </w:r>
            <w:r w:rsidRPr="008D7DB3">
              <w:rPr>
                <w:color w:val="000000"/>
                <w:sz w:val="20"/>
                <w:szCs w:val="20"/>
              </w:rPr>
              <w:t>396,4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0C32" w14:textId="77777777" w:rsidR="00065FBB" w:rsidRPr="008D7DB3" w:rsidRDefault="00065FBB" w:rsidP="00E23B23">
            <w:pPr>
              <w:jc w:val="right"/>
              <w:rPr>
                <w:color w:val="000000"/>
                <w:sz w:val="20"/>
                <w:szCs w:val="20"/>
              </w:rPr>
            </w:pPr>
            <w:r w:rsidRPr="008D7DB3">
              <w:rPr>
                <w:color w:val="000000"/>
                <w:sz w:val="20"/>
                <w:szCs w:val="20"/>
              </w:rPr>
              <w:t>29</w:t>
            </w:r>
            <w:r w:rsidR="005719E4" w:rsidRPr="008D7DB3">
              <w:rPr>
                <w:color w:val="000000"/>
                <w:sz w:val="20"/>
                <w:szCs w:val="20"/>
              </w:rPr>
              <w:t> </w:t>
            </w:r>
            <w:r w:rsidRPr="008D7DB3">
              <w:rPr>
                <w:color w:val="000000"/>
                <w:sz w:val="20"/>
                <w:szCs w:val="20"/>
              </w:rPr>
              <w:t>922</w:t>
            </w:r>
            <w:r w:rsidR="005719E4" w:rsidRPr="008D7DB3">
              <w:rPr>
                <w:color w:val="000000"/>
                <w:sz w:val="20"/>
                <w:szCs w:val="20"/>
              </w:rPr>
              <w:t> </w:t>
            </w:r>
            <w:r w:rsidRPr="008D7DB3">
              <w:rPr>
                <w:color w:val="000000"/>
                <w:sz w:val="20"/>
                <w:szCs w:val="20"/>
              </w:rPr>
              <w:t>913,6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B74C" w14:textId="77777777" w:rsidR="00065FBB" w:rsidRPr="008D7DB3" w:rsidRDefault="00065FBB" w:rsidP="00E23B23">
            <w:pPr>
              <w:jc w:val="right"/>
              <w:rPr>
                <w:sz w:val="20"/>
                <w:szCs w:val="20"/>
              </w:rPr>
            </w:pPr>
            <w:r w:rsidRPr="008D7DB3">
              <w:rPr>
                <w:sz w:val="20"/>
                <w:szCs w:val="20"/>
              </w:rPr>
              <w:t>+2</w:t>
            </w:r>
            <w:r w:rsidR="005719E4" w:rsidRPr="008D7DB3">
              <w:rPr>
                <w:sz w:val="20"/>
                <w:szCs w:val="20"/>
              </w:rPr>
              <w:t> </w:t>
            </w:r>
            <w:r w:rsidRPr="008D7DB3">
              <w:rPr>
                <w:sz w:val="20"/>
                <w:szCs w:val="20"/>
              </w:rPr>
              <w:t>245</w:t>
            </w:r>
            <w:r w:rsidR="005719E4" w:rsidRPr="008D7DB3">
              <w:rPr>
                <w:sz w:val="20"/>
                <w:szCs w:val="20"/>
              </w:rPr>
              <w:t> </w:t>
            </w:r>
            <w:r w:rsidRPr="008D7DB3">
              <w:rPr>
                <w:sz w:val="20"/>
                <w:szCs w:val="20"/>
              </w:rPr>
              <w:t>517,2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D659" w14:textId="77777777" w:rsidR="00065FBB" w:rsidRPr="008D7DB3" w:rsidRDefault="00065FBB" w:rsidP="00E23B23">
            <w:pPr>
              <w:jc w:val="center"/>
              <w:rPr>
                <w:sz w:val="20"/>
                <w:szCs w:val="20"/>
              </w:rPr>
            </w:pPr>
            <w:r w:rsidRPr="008D7DB3">
              <w:rPr>
                <w:sz w:val="20"/>
                <w:szCs w:val="20"/>
              </w:rPr>
              <w:t>+8,1</w:t>
            </w:r>
          </w:p>
        </w:tc>
      </w:tr>
      <w:tr w:rsidR="00065FBB" w:rsidRPr="008D7DB3" w14:paraId="0F8B5029" w14:textId="77777777" w:rsidTr="00E23B23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8508B" w14:textId="77777777" w:rsidR="00065FBB" w:rsidRPr="008D7DB3" w:rsidRDefault="00065FBB" w:rsidP="00E23B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D7DB3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AEC1" w14:textId="77777777" w:rsidR="00065FBB" w:rsidRPr="008D7DB3" w:rsidRDefault="00065FBB" w:rsidP="00E23B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DB3"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="005719E4" w:rsidRPr="008D7DB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8D7DB3">
              <w:rPr>
                <w:b/>
                <w:bCs/>
                <w:color w:val="000000"/>
                <w:sz w:val="20"/>
                <w:szCs w:val="20"/>
              </w:rPr>
              <w:t>899</w:t>
            </w:r>
            <w:r w:rsidR="005719E4" w:rsidRPr="008D7DB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8D7DB3">
              <w:rPr>
                <w:b/>
                <w:bCs/>
                <w:color w:val="000000"/>
                <w:sz w:val="20"/>
                <w:szCs w:val="20"/>
              </w:rPr>
              <w:t>367,9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D5D1" w14:textId="77777777" w:rsidR="00065FBB" w:rsidRPr="008D7DB3" w:rsidRDefault="00065FBB" w:rsidP="00E23B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7DB3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5719E4" w:rsidRPr="008D7DB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8D7DB3">
              <w:rPr>
                <w:b/>
                <w:bCs/>
                <w:color w:val="000000"/>
                <w:sz w:val="20"/>
                <w:szCs w:val="20"/>
              </w:rPr>
              <w:t>157</w:t>
            </w:r>
            <w:r w:rsidR="005719E4" w:rsidRPr="008D7DB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8D7DB3">
              <w:rPr>
                <w:b/>
                <w:bCs/>
                <w:color w:val="000000"/>
                <w:sz w:val="20"/>
                <w:szCs w:val="20"/>
              </w:rPr>
              <w:t>527,9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7324" w14:textId="77777777" w:rsidR="00065FBB" w:rsidRPr="008D7DB3" w:rsidRDefault="00065FBB" w:rsidP="00E23B23">
            <w:pPr>
              <w:jc w:val="center"/>
              <w:rPr>
                <w:b/>
                <w:sz w:val="20"/>
                <w:szCs w:val="20"/>
              </w:rPr>
            </w:pPr>
            <w:r w:rsidRPr="008D7DB3">
              <w:rPr>
                <w:b/>
                <w:sz w:val="20"/>
                <w:szCs w:val="20"/>
              </w:rPr>
              <w:t>+2</w:t>
            </w:r>
            <w:r w:rsidR="005719E4" w:rsidRPr="008D7DB3">
              <w:rPr>
                <w:b/>
                <w:sz w:val="20"/>
                <w:szCs w:val="20"/>
              </w:rPr>
              <w:t> </w:t>
            </w:r>
            <w:r w:rsidRPr="008D7DB3">
              <w:rPr>
                <w:b/>
                <w:sz w:val="20"/>
                <w:szCs w:val="20"/>
              </w:rPr>
              <w:t>258</w:t>
            </w:r>
            <w:r w:rsidR="005719E4" w:rsidRPr="008D7DB3">
              <w:rPr>
                <w:b/>
                <w:sz w:val="20"/>
                <w:szCs w:val="20"/>
              </w:rPr>
              <w:t> </w:t>
            </w:r>
            <w:r w:rsidRPr="008D7DB3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F91C" w14:textId="77777777" w:rsidR="00065FBB" w:rsidRPr="008D7DB3" w:rsidRDefault="00065FBB" w:rsidP="00E23B23">
            <w:pPr>
              <w:jc w:val="center"/>
              <w:rPr>
                <w:b/>
                <w:sz w:val="20"/>
                <w:szCs w:val="20"/>
              </w:rPr>
            </w:pPr>
            <w:r w:rsidRPr="008D7DB3">
              <w:rPr>
                <w:b/>
                <w:sz w:val="20"/>
                <w:szCs w:val="20"/>
              </w:rPr>
              <w:t>+8,1</w:t>
            </w:r>
          </w:p>
        </w:tc>
      </w:tr>
    </w:tbl>
    <w:p w14:paraId="6E8EF614" w14:textId="77777777" w:rsidR="00065FBB" w:rsidRPr="008D7DB3" w:rsidRDefault="00065FBB" w:rsidP="00065FBB">
      <w:pPr>
        <w:ind w:firstLine="709"/>
        <w:jc w:val="both"/>
      </w:pPr>
    </w:p>
    <w:p w14:paraId="7D835E83" w14:textId="77777777" w:rsidR="001C4605" w:rsidRPr="008D7DB3" w:rsidRDefault="00065FBB" w:rsidP="001C4605">
      <w:pPr>
        <w:ind w:firstLine="709"/>
        <w:jc w:val="both"/>
      </w:pPr>
      <w:r w:rsidRPr="008D7DB3">
        <w:t xml:space="preserve">Как видно из таблицы № </w:t>
      </w:r>
      <w:r w:rsidR="001C4605" w:rsidRPr="008D7DB3">
        <w:t>1</w:t>
      </w:r>
      <w:r w:rsidRPr="008D7DB3">
        <w:t xml:space="preserve">, в 2019 году по сравнению с 2018 годом </w:t>
      </w:r>
      <w:r w:rsidR="001C4605" w:rsidRPr="008D7DB3">
        <w:t xml:space="preserve">в основном увеличены расходы по подразделу 0909, что </w:t>
      </w:r>
      <w:r w:rsidR="001C4605" w:rsidRPr="008D7DB3">
        <w:rPr>
          <w:bCs/>
        </w:rPr>
        <w:t xml:space="preserve">обусловлено ростом расходов </w:t>
      </w:r>
      <w:r w:rsidR="001C4605" w:rsidRPr="008D7DB3">
        <w:t>на финансовое обеспечение Терпрограммы ОМС, источником финансирования которой является субвенция ФФОМС.</w:t>
      </w:r>
    </w:p>
    <w:p w14:paraId="33CDD488" w14:textId="77777777" w:rsidR="0054194C" w:rsidRPr="008D7DB3" w:rsidRDefault="0054194C" w:rsidP="0054194C">
      <w:pPr>
        <w:pStyle w:val="a5"/>
        <w:spacing w:after="0"/>
        <w:ind w:firstLine="709"/>
        <w:jc w:val="both"/>
      </w:pPr>
    </w:p>
    <w:p w14:paraId="7A5F3281" w14:textId="77777777" w:rsidR="003F17AD" w:rsidRPr="008D7DB3" w:rsidRDefault="003F17AD" w:rsidP="003F17AD">
      <w:pPr>
        <w:jc w:val="center"/>
        <w:rPr>
          <w:b/>
          <w:i/>
        </w:rPr>
      </w:pPr>
      <w:r w:rsidRPr="008D7DB3">
        <w:rPr>
          <w:b/>
          <w:i/>
        </w:rPr>
        <w:t>Дефицит бюджета ТФОМС, анализ изменения остатков средств бюджета</w:t>
      </w:r>
    </w:p>
    <w:p w14:paraId="31217B8C" w14:textId="77777777" w:rsidR="003F17AD" w:rsidRPr="008D7DB3" w:rsidRDefault="003F17AD" w:rsidP="003F17AD">
      <w:pPr>
        <w:jc w:val="center"/>
        <w:rPr>
          <w:b/>
          <w:i/>
        </w:rPr>
      </w:pPr>
      <w:r w:rsidRPr="008D7DB3">
        <w:rPr>
          <w:b/>
          <w:i/>
        </w:rPr>
        <w:t>ТФОМС на начало и конец финансового года и причины их образования</w:t>
      </w:r>
    </w:p>
    <w:p w14:paraId="477F5512" w14:textId="77777777" w:rsidR="004A36C6" w:rsidRPr="008D7DB3" w:rsidRDefault="004A36C6" w:rsidP="003F17AD">
      <w:pPr>
        <w:ind w:firstLine="709"/>
        <w:jc w:val="both"/>
      </w:pPr>
    </w:p>
    <w:p w14:paraId="6C8D66EC" w14:textId="6B5C1ADC" w:rsidR="003F17AD" w:rsidRPr="008D7DB3" w:rsidRDefault="003F17AD" w:rsidP="003F17AD">
      <w:pPr>
        <w:ind w:firstLine="709"/>
        <w:jc w:val="both"/>
      </w:pPr>
      <w:r w:rsidRPr="008D7DB3">
        <w:t xml:space="preserve">Бюджет ТФОМС утвержден с дефицитом в сумме </w:t>
      </w:r>
      <w:r w:rsidR="004F1EA8" w:rsidRPr="008D7DB3">
        <w:t>95</w:t>
      </w:r>
      <w:r w:rsidR="00712812" w:rsidRPr="008D7DB3">
        <w:t> </w:t>
      </w:r>
      <w:r w:rsidR="004F1EA8" w:rsidRPr="008D7DB3">
        <w:t>196,3</w:t>
      </w:r>
      <w:r w:rsidRPr="008D7DB3">
        <w:t xml:space="preserve"> тыс. руб. с источником погашения за счет остатков средств ОМС. </w:t>
      </w:r>
    </w:p>
    <w:p w14:paraId="07B26D5D" w14:textId="105C5DBC" w:rsidR="00D12407" w:rsidRPr="008D7DB3" w:rsidRDefault="009F0757" w:rsidP="00076D1B">
      <w:pPr>
        <w:ind w:firstLine="709"/>
        <w:jc w:val="both"/>
      </w:pPr>
      <w:r w:rsidRPr="008D7DB3">
        <w:t>И</w:t>
      </w:r>
      <w:r w:rsidR="003F17AD" w:rsidRPr="008D7DB3">
        <w:t>сполнен</w:t>
      </w:r>
      <w:r w:rsidRPr="008D7DB3">
        <w:t xml:space="preserve"> </w:t>
      </w:r>
      <w:r w:rsidR="003F17AD" w:rsidRPr="008D7DB3">
        <w:t>бюджет ТФОМС с профици</w:t>
      </w:r>
      <w:bookmarkStart w:id="0" w:name="_GoBack"/>
      <w:bookmarkEnd w:id="0"/>
      <w:r w:rsidR="003F17AD" w:rsidRPr="008D7DB3">
        <w:t xml:space="preserve">том (доходы превысили расходы) на </w:t>
      </w:r>
      <w:r w:rsidR="00F73528" w:rsidRPr="008D7DB3">
        <w:t>278743</w:t>
      </w:r>
      <w:r w:rsidR="00121319" w:rsidRPr="008D7DB3">
        <w:t xml:space="preserve"> тыс. рублей.</w:t>
      </w:r>
      <w:r w:rsidR="00F73528" w:rsidRPr="008D7DB3">
        <w:t xml:space="preserve"> Профицит обусловлен недо</w:t>
      </w:r>
      <w:r w:rsidR="002E78BD" w:rsidRPr="008D7DB3">
        <w:t>финансирование</w:t>
      </w:r>
      <w:r w:rsidR="00256E40" w:rsidRPr="008D7DB3">
        <w:t>м</w:t>
      </w:r>
      <w:r w:rsidR="002E78BD" w:rsidRPr="008D7DB3">
        <w:t xml:space="preserve"> расходов, о чем указано в предыдущем разделе</w:t>
      </w:r>
      <w:r w:rsidR="00F73528" w:rsidRPr="008D7DB3">
        <w:t>.</w:t>
      </w:r>
    </w:p>
    <w:p w14:paraId="631A458D" w14:textId="77777777" w:rsidR="003F17AD" w:rsidRPr="008D7DB3" w:rsidRDefault="003F17AD" w:rsidP="003F17AD">
      <w:pPr>
        <w:ind w:firstLine="709"/>
        <w:jc w:val="both"/>
      </w:pPr>
      <w:r w:rsidRPr="008D7DB3">
        <w:t xml:space="preserve">Структура остатков средств ОМС представлена в таблице № </w:t>
      </w:r>
      <w:r w:rsidR="009F0757" w:rsidRPr="008D7DB3">
        <w:t>2</w:t>
      </w:r>
      <w:r w:rsidRPr="008D7DB3">
        <w:t>.</w:t>
      </w:r>
    </w:p>
    <w:p w14:paraId="01EB17FB" w14:textId="77777777" w:rsidR="003F17AD" w:rsidRPr="008D7DB3" w:rsidRDefault="003F17AD" w:rsidP="003F17AD">
      <w:pPr>
        <w:ind w:firstLine="709"/>
        <w:jc w:val="right"/>
      </w:pPr>
      <w:r w:rsidRPr="008D7DB3">
        <w:t xml:space="preserve">Таблица № </w:t>
      </w:r>
      <w:r w:rsidR="009F0757" w:rsidRPr="008D7DB3">
        <w:t>2</w:t>
      </w:r>
      <w:r w:rsidRPr="008D7DB3">
        <w:t>, тыс. руб.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54"/>
        <w:gridCol w:w="1417"/>
        <w:gridCol w:w="1308"/>
        <w:gridCol w:w="1066"/>
      </w:tblGrid>
      <w:tr w:rsidR="006C36F4" w:rsidRPr="008D7DB3" w14:paraId="39A66A60" w14:textId="77777777" w:rsidTr="00E23B23">
        <w:trPr>
          <w:cantSplit/>
          <w:jc w:val="center"/>
        </w:trPr>
        <w:tc>
          <w:tcPr>
            <w:tcW w:w="5954" w:type="dxa"/>
          </w:tcPr>
          <w:p w14:paraId="33039EEC" w14:textId="77777777" w:rsidR="006C36F4" w:rsidRPr="008D7DB3" w:rsidRDefault="006C36F4" w:rsidP="00E23B23">
            <w:pPr>
              <w:jc w:val="center"/>
              <w:rPr>
                <w:b/>
                <w:sz w:val="18"/>
                <w:szCs w:val="18"/>
              </w:rPr>
            </w:pPr>
            <w:r w:rsidRPr="008D7DB3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</w:tcPr>
          <w:p w14:paraId="2CF49A0E" w14:textId="77777777" w:rsidR="006C36F4" w:rsidRPr="008D7DB3" w:rsidRDefault="006C36F4" w:rsidP="00E23B23">
            <w:pPr>
              <w:jc w:val="center"/>
              <w:rPr>
                <w:b/>
                <w:sz w:val="18"/>
                <w:szCs w:val="18"/>
              </w:rPr>
            </w:pPr>
            <w:r w:rsidRPr="008D7DB3">
              <w:rPr>
                <w:b/>
                <w:sz w:val="18"/>
                <w:szCs w:val="18"/>
              </w:rPr>
              <w:t>на 01.01.2019</w:t>
            </w:r>
          </w:p>
        </w:tc>
        <w:tc>
          <w:tcPr>
            <w:tcW w:w="1308" w:type="dxa"/>
          </w:tcPr>
          <w:p w14:paraId="3EC6DF28" w14:textId="77777777" w:rsidR="006C36F4" w:rsidRPr="008D7DB3" w:rsidRDefault="006C36F4" w:rsidP="00E23B23">
            <w:pPr>
              <w:jc w:val="center"/>
              <w:rPr>
                <w:b/>
                <w:sz w:val="18"/>
                <w:szCs w:val="18"/>
              </w:rPr>
            </w:pPr>
            <w:r w:rsidRPr="008D7DB3">
              <w:rPr>
                <w:b/>
                <w:sz w:val="18"/>
                <w:szCs w:val="18"/>
              </w:rPr>
              <w:t>на 01.01.2020</w:t>
            </w:r>
          </w:p>
        </w:tc>
        <w:tc>
          <w:tcPr>
            <w:tcW w:w="0" w:type="auto"/>
          </w:tcPr>
          <w:p w14:paraId="6E6BD3BA" w14:textId="77777777" w:rsidR="006C36F4" w:rsidRPr="008D7DB3" w:rsidRDefault="006C36F4" w:rsidP="00E23B23">
            <w:pPr>
              <w:jc w:val="center"/>
              <w:rPr>
                <w:b/>
                <w:sz w:val="18"/>
                <w:szCs w:val="18"/>
              </w:rPr>
            </w:pPr>
            <w:r w:rsidRPr="008D7DB3">
              <w:rPr>
                <w:b/>
                <w:sz w:val="18"/>
                <w:szCs w:val="18"/>
              </w:rPr>
              <w:t>изменение</w:t>
            </w:r>
          </w:p>
        </w:tc>
      </w:tr>
      <w:tr w:rsidR="006C36F4" w:rsidRPr="008D7DB3" w14:paraId="38AF14C5" w14:textId="77777777" w:rsidTr="00097AC7">
        <w:trPr>
          <w:cantSplit/>
          <w:trHeight w:val="145"/>
          <w:jc w:val="center"/>
        </w:trPr>
        <w:tc>
          <w:tcPr>
            <w:tcW w:w="5954" w:type="dxa"/>
            <w:vAlign w:val="center"/>
          </w:tcPr>
          <w:p w14:paraId="404BBC9E" w14:textId="77777777" w:rsidR="006C36F4" w:rsidRPr="008D7DB3" w:rsidRDefault="006C36F4" w:rsidP="00097AC7">
            <w:pPr>
              <w:jc w:val="center"/>
              <w:rPr>
                <w:b/>
                <w:i/>
                <w:sz w:val="18"/>
                <w:szCs w:val="18"/>
              </w:rPr>
            </w:pPr>
            <w:r w:rsidRPr="008D7DB3">
              <w:rPr>
                <w:b/>
                <w:i/>
                <w:sz w:val="18"/>
                <w:szCs w:val="18"/>
              </w:rPr>
              <w:t>Остаток средств ОМС всего, в том числе:</w:t>
            </w:r>
          </w:p>
        </w:tc>
        <w:tc>
          <w:tcPr>
            <w:tcW w:w="1417" w:type="dxa"/>
            <w:vAlign w:val="center"/>
          </w:tcPr>
          <w:p w14:paraId="348FC7C6" w14:textId="77777777" w:rsidR="006C36F4" w:rsidRPr="008D7DB3" w:rsidRDefault="006C36F4" w:rsidP="00097AC7">
            <w:pPr>
              <w:jc w:val="center"/>
              <w:rPr>
                <w:b/>
                <w:i/>
                <w:sz w:val="18"/>
                <w:szCs w:val="18"/>
              </w:rPr>
            </w:pPr>
            <w:r w:rsidRPr="008D7DB3">
              <w:rPr>
                <w:b/>
                <w:i/>
                <w:sz w:val="18"/>
                <w:szCs w:val="18"/>
              </w:rPr>
              <w:t>95</w:t>
            </w:r>
            <w:r w:rsidR="00AC1F10" w:rsidRPr="008D7DB3">
              <w:rPr>
                <w:b/>
                <w:i/>
                <w:sz w:val="18"/>
                <w:szCs w:val="18"/>
              </w:rPr>
              <w:t> </w:t>
            </w:r>
            <w:r w:rsidRPr="008D7DB3">
              <w:rPr>
                <w:b/>
                <w:i/>
                <w:sz w:val="18"/>
                <w:szCs w:val="18"/>
              </w:rPr>
              <w:t>196,3</w:t>
            </w:r>
          </w:p>
        </w:tc>
        <w:tc>
          <w:tcPr>
            <w:tcW w:w="1308" w:type="dxa"/>
            <w:vAlign w:val="center"/>
          </w:tcPr>
          <w:p w14:paraId="0AEFD09F" w14:textId="77777777" w:rsidR="006C36F4" w:rsidRPr="008D7DB3" w:rsidRDefault="006C36F4" w:rsidP="00097AC7">
            <w:pPr>
              <w:jc w:val="center"/>
              <w:rPr>
                <w:b/>
                <w:i/>
                <w:sz w:val="18"/>
                <w:szCs w:val="18"/>
              </w:rPr>
            </w:pPr>
            <w:r w:rsidRPr="008D7DB3">
              <w:rPr>
                <w:b/>
                <w:i/>
                <w:sz w:val="18"/>
                <w:szCs w:val="18"/>
              </w:rPr>
              <w:t>210</w:t>
            </w:r>
            <w:r w:rsidR="00AC1F10" w:rsidRPr="008D7DB3">
              <w:rPr>
                <w:b/>
                <w:i/>
                <w:sz w:val="18"/>
                <w:szCs w:val="18"/>
              </w:rPr>
              <w:t> </w:t>
            </w:r>
            <w:r w:rsidRPr="008D7DB3">
              <w:rPr>
                <w:b/>
                <w:i/>
                <w:sz w:val="18"/>
                <w:szCs w:val="18"/>
              </w:rPr>
              <w:t>697,2</w:t>
            </w:r>
          </w:p>
        </w:tc>
        <w:tc>
          <w:tcPr>
            <w:tcW w:w="0" w:type="auto"/>
            <w:vAlign w:val="center"/>
          </w:tcPr>
          <w:p w14:paraId="2D232780" w14:textId="77777777" w:rsidR="006C36F4" w:rsidRPr="008D7DB3" w:rsidRDefault="006C36F4" w:rsidP="00097AC7">
            <w:pPr>
              <w:spacing w:after="200"/>
              <w:jc w:val="center"/>
              <w:rPr>
                <w:b/>
                <w:i/>
                <w:sz w:val="18"/>
                <w:szCs w:val="18"/>
              </w:rPr>
            </w:pPr>
            <w:r w:rsidRPr="008D7DB3">
              <w:rPr>
                <w:b/>
                <w:i/>
                <w:sz w:val="18"/>
                <w:szCs w:val="18"/>
              </w:rPr>
              <w:t>+115</w:t>
            </w:r>
            <w:r w:rsidR="00AC1F10" w:rsidRPr="008D7DB3">
              <w:rPr>
                <w:b/>
                <w:i/>
                <w:sz w:val="18"/>
                <w:szCs w:val="18"/>
              </w:rPr>
              <w:t> </w:t>
            </w:r>
            <w:r w:rsidRPr="008D7DB3">
              <w:rPr>
                <w:b/>
                <w:i/>
                <w:sz w:val="18"/>
                <w:szCs w:val="18"/>
              </w:rPr>
              <w:t>500,9</w:t>
            </w:r>
          </w:p>
        </w:tc>
      </w:tr>
      <w:tr w:rsidR="006C36F4" w:rsidRPr="008D7DB3" w14:paraId="1A69BECC" w14:textId="77777777" w:rsidTr="00097AC7">
        <w:trPr>
          <w:cantSplit/>
          <w:jc w:val="center"/>
        </w:trPr>
        <w:tc>
          <w:tcPr>
            <w:tcW w:w="5954" w:type="dxa"/>
            <w:vAlign w:val="center"/>
          </w:tcPr>
          <w:p w14:paraId="2FBC970B" w14:textId="77777777" w:rsidR="006C36F4" w:rsidRPr="008D7DB3" w:rsidRDefault="006C36F4" w:rsidP="00097AC7">
            <w:pPr>
              <w:tabs>
                <w:tab w:val="left" w:pos="3922"/>
              </w:tabs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Субвенция ФФОМС (остаток от средств АУП ТФОМС)</w:t>
            </w:r>
          </w:p>
        </w:tc>
        <w:tc>
          <w:tcPr>
            <w:tcW w:w="1417" w:type="dxa"/>
            <w:vAlign w:val="center"/>
          </w:tcPr>
          <w:p w14:paraId="70FB53CA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8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028,7</w:t>
            </w:r>
          </w:p>
        </w:tc>
        <w:tc>
          <w:tcPr>
            <w:tcW w:w="1308" w:type="dxa"/>
            <w:vAlign w:val="center"/>
          </w:tcPr>
          <w:p w14:paraId="74CA6191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5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385,9</w:t>
            </w:r>
          </w:p>
        </w:tc>
        <w:tc>
          <w:tcPr>
            <w:tcW w:w="0" w:type="auto"/>
            <w:vAlign w:val="center"/>
          </w:tcPr>
          <w:p w14:paraId="130DFB2E" w14:textId="75D88AC6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-</w:t>
            </w:r>
            <w:r w:rsidR="00256E40" w:rsidRPr="008D7DB3">
              <w:rPr>
                <w:sz w:val="18"/>
                <w:szCs w:val="18"/>
              </w:rPr>
              <w:t>2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642,8</w:t>
            </w:r>
          </w:p>
        </w:tc>
      </w:tr>
      <w:tr w:rsidR="006C36F4" w:rsidRPr="008D7DB3" w14:paraId="657356FE" w14:textId="77777777" w:rsidTr="00097AC7">
        <w:trPr>
          <w:cantSplit/>
          <w:jc w:val="center"/>
        </w:trPr>
        <w:tc>
          <w:tcPr>
            <w:tcW w:w="5954" w:type="dxa"/>
            <w:vAlign w:val="center"/>
          </w:tcPr>
          <w:p w14:paraId="65C95C98" w14:textId="77777777" w:rsidR="006C36F4" w:rsidRPr="008D7DB3" w:rsidRDefault="006C36F4" w:rsidP="00097AC7">
            <w:pPr>
              <w:tabs>
                <w:tab w:val="left" w:pos="3922"/>
              </w:tabs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 xml:space="preserve">Субвенция ФФОМС на </w:t>
            </w:r>
            <w:proofErr w:type="spellStart"/>
            <w:r w:rsidRPr="008D7DB3">
              <w:rPr>
                <w:sz w:val="18"/>
                <w:szCs w:val="18"/>
              </w:rPr>
              <w:t>софинансирование</w:t>
            </w:r>
            <w:proofErr w:type="spellEnd"/>
            <w:r w:rsidRPr="008D7DB3">
              <w:rPr>
                <w:sz w:val="18"/>
                <w:szCs w:val="18"/>
              </w:rPr>
              <w:t xml:space="preserve"> расходов медицинских организаций на оплату труда медицинского персонала</w:t>
            </w:r>
          </w:p>
        </w:tc>
        <w:tc>
          <w:tcPr>
            <w:tcW w:w="1417" w:type="dxa"/>
            <w:vAlign w:val="center"/>
          </w:tcPr>
          <w:p w14:paraId="78F20DCE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0</w:t>
            </w:r>
          </w:p>
        </w:tc>
        <w:tc>
          <w:tcPr>
            <w:tcW w:w="1308" w:type="dxa"/>
            <w:vAlign w:val="center"/>
          </w:tcPr>
          <w:p w14:paraId="790888D3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139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231,3</w:t>
            </w:r>
          </w:p>
        </w:tc>
        <w:tc>
          <w:tcPr>
            <w:tcW w:w="0" w:type="auto"/>
            <w:vAlign w:val="center"/>
          </w:tcPr>
          <w:p w14:paraId="5776038F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+139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231,3</w:t>
            </w:r>
          </w:p>
        </w:tc>
      </w:tr>
      <w:tr w:rsidR="006C36F4" w:rsidRPr="008D7DB3" w14:paraId="5087DFBE" w14:textId="77777777" w:rsidTr="00097AC7">
        <w:trPr>
          <w:cantSplit/>
          <w:trHeight w:val="133"/>
          <w:jc w:val="center"/>
        </w:trPr>
        <w:tc>
          <w:tcPr>
            <w:tcW w:w="5954" w:type="dxa"/>
            <w:vAlign w:val="center"/>
          </w:tcPr>
          <w:p w14:paraId="14DD4A82" w14:textId="77777777" w:rsidR="006C36F4" w:rsidRPr="008D7DB3" w:rsidRDefault="006C36F4" w:rsidP="00097AC7">
            <w:pPr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Прочие межбюджетные трансферты ТФОМС других регионов (МТР)</w:t>
            </w:r>
          </w:p>
        </w:tc>
        <w:tc>
          <w:tcPr>
            <w:tcW w:w="1417" w:type="dxa"/>
            <w:vAlign w:val="center"/>
          </w:tcPr>
          <w:p w14:paraId="088016DA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7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721,7</w:t>
            </w:r>
          </w:p>
        </w:tc>
        <w:tc>
          <w:tcPr>
            <w:tcW w:w="1308" w:type="dxa"/>
            <w:vAlign w:val="center"/>
          </w:tcPr>
          <w:p w14:paraId="34F95075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1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754,9</w:t>
            </w:r>
          </w:p>
        </w:tc>
        <w:tc>
          <w:tcPr>
            <w:tcW w:w="0" w:type="auto"/>
            <w:vAlign w:val="center"/>
          </w:tcPr>
          <w:p w14:paraId="5B90793C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-5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966,8</w:t>
            </w:r>
          </w:p>
        </w:tc>
      </w:tr>
      <w:tr w:rsidR="006C36F4" w:rsidRPr="008D7DB3" w14:paraId="3D02C10D" w14:textId="77777777" w:rsidTr="00097AC7">
        <w:trPr>
          <w:cantSplit/>
          <w:jc w:val="center"/>
        </w:trPr>
        <w:tc>
          <w:tcPr>
            <w:tcW w:w="5954" w:type="dxa"/>
            <w:vAlign w:val="center"/>
          </w:tcPr>
          <w:p w14:paraId="079F59EA" w14:textId="77777777" w:rsidR="006C36F4" w:rsidRPr="008D7DB3" w:rsidRDefault="006C36F4" w:rsidP="00097AC7">
            <w:pPr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Средства НСЗ ТФОМС на мероприятия по обучению работников, приобретению и ремонту медицинского оборудования</w:t>
            </w:r>
          </w:p>
        </w:tc>
        <w:tc>
          <w:tcPr>
            <w:tcW w:w="1417" w:type="dxa"/>
            <w:vAlign w:val="center"/>
          </w:tcPr>
          <w:p w14:paraId="074909FA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64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356,3</w:t>
            </w:r>
          </w:p>
        </w:tc>
        <w:tc>
          <w:tcPr>
            <w:tcW w:w="1308" w:type="dxa"/>
            <w:vAlign w:val="center"/>
          </w:tcPr>
          <w:p w14:paraId="1810767E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47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927,7</w:t>
            </w:r>
          </w:p>
        </w:tc>
        <w:tc>
          <w:tcPr>
            <w:tcW w:w="0" w:type="auto"/>
            <w:vAlign w:val="center"/>
          </w:tcPr>
          <w:p w14:paraId="4A9E7BDE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-16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428,6</w:t>
            </w:r>
          </w:p>
        </w:tc>
      </w:tr>
      <w:tr w:rsidR="006C36F4" w:rsidRPr="008D7DB3" w14:paraId="5D829B42" w14:textId="77777777" w:rsidTr="00097AC7">
        <w:trPr>
          <w:cantSplit/>
          <w:jc w:val="center"/>
        </w:trPr>
        <w:tc>
          <w:tcPr>
            <w:tcW w:w="5954" w:type="dxa"/>
            <w:vAlign w:val="center"/>
          </w:tcPr>
          <w:p w14:paraId="2DB4DB8D" w14:textId="77777777" w:rsidR="006C36F4" w:rsidRPr="008D7DB3" w:rsidRDefault="006C36F4" w:rsidP="00097AC7">
            <w:pPr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Прочие доходы Фонда (пени, штрафы, восстановление средств ОМС, использованных не по целевому назначению)</w:t>
            </w:r>
          </w:p>
        </w:tc>
        <w:tc>
          <w:tcPr>
            <w:tcW w:w="1417" w:type="dxa"/>
            <w:vAlign w:val="center"/>
          </w:tcPr>
          <w:p w14:paraId="0E57832C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15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089,6</w:t>
            </w:r>
          </w:p>
        </w:tc>
        <w:tc>
          <w:tcPr>
            <w:tcW w:w="1308" w:type="dxa"/>
            <w:vAlign w:val="center"/>
          </w:tcPr>
          <w:p w14:paraId="4E4FE562" w14:textId="77777777" w:rsidR="006C36F4" w:rsidRPr="008D7DB3" w:rsidRDefault="006C36F4" w:rsidP="00097AC7">
            <w:pPr>
              <w:spacing w:after="200"/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16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397,4</w:t>
            </w:r>
          </w:p>
        </w:tc>
        <w:tc>
          <w:tcPr>
            <w:tcW w:w="0" w:type="auto"/>
            <w:vAlign w:val="center"/>
          </w:tcPr>
          <w:p w14:paraId="6A1FB57E" w14:textId="77777777" w:rsidR="006C36F4" w:rsidRPr="008D7DB3" w:rsidRDefault="006C36F4" w:rsidP="00097AC7">
            <w:pPr>
              <w:jc w:val="center"/>
              <w:rPr>
                <w:sz w:val="18"/>
                <w:szCs w:val="18"/>
              </w:rPr>
            </w:pPr>
            <w:r w:rsidRPr="008D7DB3">
              <w:rPr>
                <w:sz w:val="18"/>
                <w:szCs w:val="18"/>
              </w:rPr>
              <w:t>+1</w:t>
            </w:r>
            <w:r w:rsidR="00AC1F10" w:rsidRPr="008D7DB3">
              <w:rPr>
                <w:sz w:val="18"/>
                <w:szCs w:val="18"/>
              </w:rPr>
              <w:t> </w:t>
            </w:r>
            <w:r w:rsidRPr="008D7DB3">
              <w:rPr>
                <w:sz w:val="18"/>
                <w:szCs w:val="18"/>
              </w:rPr>
              <w:t>307,8</w:t>
            </w:r>
          </w:p>
        </w:tc>
      </w:tr>
    </w:tbl>
    <w:p w14:paraId="768B0FCF" w14:textId="77777777" w:rsidR="00D12407" w:rsidRPr="008D7DB3" w:rsidRDefault="00D12407" w:rsidP="009960AD">
      <w:pPr>
        <w:ind w:firstLine="709"/>
        <w:jc w:val="both"/>
      </w:pPr>
    </w:p>
    <w:p w14:paraId="4FEA7A6D" w14:textId="77777777" w:rsidR="009960AD" w:rsidRPr="008D7DB3" w:rsidRDefault="00D12407" w:rsidP="00F73528">
      <w:pPr>
        <w:ind w:firstLine="709"/>
        <w:jc w:val="both"/>
      </w:pPr>
      <w:r w:rsidRPr="008D7DB3">
        <w:t>Как видно из таблицы № 2, в 2019 году по сравнению с 2018 годом в целом произошло увеличение остатков, в том числе:</w:t>
      </w:r>
    </w:p>
    <w:p w14:paraId="716775BF" w14:textId="60CE3274" w:rsidR="00D12407" w:rsidRPr="008D7DB3" w:rsidRDefault="00D12407" w:rsidP="00F73528">
      <w:pPr>
        <w:ind w:firstLine="709"/>
        <w:jc w:val="both"/>
      </w:pPr>
      <w:r w:rsidRPr="008D7DB3">
        <w:t>-на 139</w:t>
      </w:r>
      <w:r w:rsidR="00256E40" w:rsidRPr="008D7DB3">
        <w:t> </w:t>
      </w:r>
      <w:r w:rsidRPr="008D7DB3">
        <w:t xml:space="preserve">231,3 тыс. руб. – в связи с неиспользованием средств НСЗ на </w:t>
      </w:r>
      <w:proofErr w:type="spellStart"/>
      <w:r w:rsidRPr="008D7DB3">
        <w:t>софинансирование</w:t>
      </w:r>
      <w:proofErr w:type="spellEnd"/>
      <w:r w:rsidRPr="008D7DB3">
        <w:t xml:space="preserve"> расходов медицинских организаций </w:t>
      </w:r>
      <w:r w:rsidR="00256E40" w:rsidRPr="008D7DB3">
        <w:t>по доведению заработной платы принятых в 2019 году на работу в медицинскую организацию врачей и среднего медицинского персонала до уровня, установленного Указом Президента РФ от 07.05.2012 № 597 «О мероприятиях по реализации государственной социальной политики» (соответственно 200% и 100% от средней заработной платы по экономике)</w:t>
      </w:r>
      <w:r w:rsidRPr="008D7DB3">
        <w:t>;</w:t>
      </w:r>
    </w:p>
    <w:p w14:paraId="291D0B89" w14:textId="05D1E7DD" w:rsidR="00D12407" w:rsidRPr="008D7DB3" w:rsidRDefault="00D12407" w:rsidP="00F73528">
      <w:pPr>
        <w:ind w:firstLine="709"/>
        <w:jc w:val="both"/>
      </w:pPr>
      <w:r w:rsidRPr="008D7DB3">
        <w:t>- на 1</w:t>
      </w:r>
      <w:r w:rsidR="00256E40" w:rsidRPr="008D7DB3">
        <w:t> </w:t>
      </w:r>
      <w:r w:rsidRPr="008D7DB3">
        <w:t>307,8 тыс. руб. – в связи с поступлением средств</w:t>
      </w:r>
      <w:r w:rsidR="00256E40" w:rsidRPr="008D7DB3">
        <w:t xml:space="preserve">, </w:t>
      </w:r>
      <w:r w:rsidR="00F73528" w:rsidRPr="008D7DB3">
        <w:t xml:space="preserve">использованных не по целевому назначению </w:t>
      </w:r>
      <w:r w:rsidRPr="008D7DB3">
        <w:t>в декабре 2019 года. Данные средства перечислены в ФФОМС в 2020 году.</w:t>
      </w:r>
    </w:p>
    <w:p w14:paraId="5A505704" w14:textId="77777777" w:rsidR="009960AD" w:rsidRPr="008D7DB3" w:rsidRDefault="009960AD" w:rsidP="00F73528">
      <w:pPr>
        <w:ind w:firstLine="709"/>
        <w:jc w:val="both"/>
      </w:pPr>
      <w:r w:rsidRPr="008D7DB3">
        <w:t xml:space="preserve">При </w:t>
      </w:r>
      <w:r w:rsidR="00D12407" w:rsidRPr="008D7DB3">
        <w:t xml:space="preserve">этом </w:t>
      </w:r>
      <w:r w:rsidRPr="008D7DB3">
        <w:t>по отдельным направлениям расходования средств ОМС остатки уменьшились, в том числе:</w:t>
      </w:r>
    </w:p>
    <w:p w14:paraId="572722E5" w14:textId="7CD78EB7" w:rsidR="009960AD" w:rsidRPr="008D7DB3" w:rsidRDefault="009960AD" w:rsidP="00F73528">
      <w:pPr>
        <w:ind w:firstLine="709"/>
        <w:jc w:val="both"/>
      </w:pPr>
      <w:r w:rsidRPr="008D7DB3">
        <w:lastRenderedPageBreak/>
        <w:t>-</w:t>
      </w:r>
      <w:proofErr w:type="gramStart"/>
      <w:r w:rsidRPr="008D7DB3">
        <w:t xml:space="preserve">на  </w:t>
      </w:r>
      <w:r w:rsidR="00256E40" w:rsidRPr="008D7DB3">
        <w:t>2</w:t>
      </w:r>
      <w:proofErr w:type="gramEnd"/>
      <w:r w:rsidR="00256E40" w:rsidRPr="008D7DB3">
        <w:t> </w:t>
      </w:r>
      <w:r w:rsidRPr="008D7DB3">
        <w:t>642,8 тыс. руб. – в связи с уменьшением остатка средств субвенции ФФОМС на обеспечение выполнения функций аппарата органа управления ТФОМС;</w:t>
      </w:r>
    </w:p>
    <w:p w14:paraId="1372A15B" w14:textId="748B0215" w:rsidR="009960AD" w:rsidRPr="008D7DB3" w:rsidRDefault="009960AD" w:rsidP="00F73528">
      <w:pPr>
        <w:ind w:firstLine="709"/>
        <w:jc w:val="both"/>
      </w:pPr>
      <w:r w:rsidRPr="008D7DB3">
        <w:t xml:space="preserve">-на </w:t>
      </w:r>
      <w:r w:rsidR="00D12407" w:rsidRPr="008D7DB3">
        <w:t>5</w:t>
      </w:r>
      <w:r w:rsidR="00256E40" w:rsidRPr="008D7DB3">
        <w:t> </w:t>
      </w:r>
      <w:r w:rsidR="00D12407" w:rsidRPr="008D7DB3">
        <w:t>966,8 тыс. руб. – в связи с поступлением средств от других фондов в конце 2018 года, которые перечислены ГУ ТФОМС в медицинские организации области в январе 2019 года;</w:t>
      </w:r>
    </w:p>
    <w:p w14:paraId="2FA4E4B2" w14:textId="60B8C527" w:rsidR="00D12407" w:rsidRPr="008D7DB3" w:rsidRDefault="00D12407" w:rsidP="00F73528">
      <w:pPr>
        <w:ind w:firstLine="709"/>
        <w:jc w:val="both"/>
      </w:pPr>
      <w:r w:rsidRPr="008D7DB3">
        <w:t>-на 16</w:t>
      </w:r>
      <w:r w:rsidR="00256E40" w:rsidRPr="008D7DB3">
        <w:t> </w:t>
      </w:r>
      <w:r w:rsidRPr="008D7DB3">
        <w:t>428,6 тыс. руб. – в связи с уменьшение</w:t>
      </w:r>
      <w:r w:rsidR="00256E40" w:rsidRPr="008D7DB3">
        <w:t>м</w:t>
      </w:r>
      <w:r w:rsidRPr="008D7DB3">
        <w:t xml:space="preserve"> остатков средств НСЗ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14:paraId="63E642D3" w14:textId="77777777" w:rsidR="00A22C62" w:rsidRPr="008D7DB3" w:rsidRDefault="00190B9B" w:rsidP="00190B9B">
      <w:pPr>
        <w:tabs>
          <w:tab w:val="left" w:pos="3709"/>
        </w:tabs>
        <w:ind w:firstLine="709"/>
        <w:rPr>
          <w:b/>
          <w:i/>
        </w:rPr>
      </w:pPr>
      <w:r w:rsidRPr="008D7DB3">
        <w:tab/>
      </w:r>
    </w:p>
    <w:p w14:paraId="139E8168" w14:textId="77777777" w:rsidR="00707469" w:rsidRPr="008D7DB3" w:rsidRDefault="00707469" w:rsidP="00707469">
      <w:pPr>
        <w:ind w:firstLine="709"/>
        <w:jc w:val="center"/>
        <w:rPr>
          <w:b/>
          <w:i/>
        </w:rPr>
      </w:pPr>
      <w:r w:rsidRPr="008D7DB3">
        <w:rPr>
          <w:b/>
          <w:i/>
        </w:rPr>
        <w:t xml:space="preserve">Анализ дебиторской и кредиторской задолженностей </w:t>
      </w:r>
    </w:p>
    <w:p w14:paraId="4CD40477" w14:textId="77777777" w:rsidR="004A36C6" w:rsidRPr="008D7DB3" w:rsidRDefault="004A36C6" w:rsidP="00707469">
      <w:pPr>
        <w:tabs>
          <w:tab w:val="left" w:pos="0"/>
        </w:tabs>
        <w:ind w:firstLine="720"/>
        <w:jc w:val="both"/>
      </w:pPr>
    </w:p>
    <w:p w14:paraId="42D723B6" w14:textId="7AEF63C9" w:rsidR="00707469" w:rsidRPr="008D7DB3" w:rsidRDefault="00707469" w:rsidP="00707469">
      <w:pPr>
        <w:tabs>
          <w:tab w:val="left" w:pos="0"/>
        </w:tabs>
        <w:ind w:firstLine="720"/>
        <w:jc w:val="both"/>
      </w:pPr>
      <w:r w:rsidRPr="008D7DB3">
        <w:t>Анализ изменения задолженностей ТФОМС за 201</w:t>
      </w:r>
      <w:r w:rsidR="00762B65" w:rsidRPr="008D7DB3">
        <w:t>9</w:t>
      </w:r>
      <w:r w:rsidRPr="008D7DB3">
        <w:t xml:space="preserve"> год приведен в таблице №3.</w:t>
      </w:r>
    </w:p>
    <w:p w14:paraId="66D43674" w14:textId="77777777" w:rsidR="002E78BD" w:rsidRPr="008D7DB3" w:rsidRDefault="002E78BD" w:rsidP="00707469">
      <w:pPr>
        <w:jc w:val="right"/>
      </w:pPr>
    </w:p>
    <w:p w14:paraId="5281C80B" w14:textId="7BA7938B" w:rsidR="00707469" w:rsidRPr="008D7DB3" w:rsidRDefault="00707469" w:rsidP="00707469">
      <w:pPr>
        <w:jc w:val="right"/>
      </w:pPr>
      <w:r w:rsidRPr="008D7DB3">
        <w:t>Таблица № 3, тыс. руб.</w:t>
      </w:r>
    </w:p>
    <w:tbl>
      <w:tblPr>
        <w:tblW w:w="9365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4548"/>
        <w:gridCol w:w="1377"/>
        <w:gridCol w:w="1177"/>
        <w:gridCol w:w="1274"/>
        <w:gridCol w:w="989"/>
      </w:tblGrid>
      <w:tr w:rsidR="00762B65" w:rsidRPr="008D7DB3" w14:paraId="2173DF71" w14:textId="77777777" w:rsidTr="00097AC7">
        <w:trPr>
          <w:trHeight w:val="179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4069" w14:textId="77777777" w:rsidR="00762B65" w:rsidRPr="008D7DB3" w:rsidRDefault="00762B65" w:rsidP="00E23B23">
            <w:pPr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E3FE" w14:textId="77777777" w:rsidR="00762B65" w:rsidRPr="008D7DB3" w:rsidRDefault="00762B65" w:rsidP="00E23B23">
            <w:pPr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bCs/>
                <w:color w:val="000000"/>
                <w:sz w:val="16"/>
                <w:szCs w:val="16"/>
              </w:rPr>
              <w:t>на 01.01.2019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7E08" w14:textId="77777777" w:rsidR="00762B65" w:rsidRPr="008D7DB3" w:rsidRDefault="00762B65" w:rsidP="00E23B23">
            <w:pPr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bCs/>
                <w:color w:val="000000"/>
                <w:sz w:val="16"/>
                <w:szCs w:val="16"/>
              </w:rPr>
              <w:t>на 01.01.2020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F549" w14:textId="77777777" w:rsidR="00762B65" w:rsidRPr="008D7DB3" w:rsidRDefault="00762B65" w:rsidP="00E23B23">
            <w:pPr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bCs/>
                <w:color w:val="000000"/>
                <w:sz w:val="16"/>
                <w:szCs w:val="16"/>
              </w:rPr>
              <w:t>Изменение</w:t>
            </w:r>
          </w:p>
        </w:tc>
      </w:tr>
      <w:tr w:rsidR="00762B65" w:rsidRPr="008D7DB3" w14:paraId="592E1DD3" w14:textId="77777777" w:rsidTr="00097AC7">
        <w:trPr>
          <w:trHeight w:val="55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B76E" w14:textId="77777777" w:rsidR="00762B65" w:rsidRPr="008D7DB3" w:rsidRDefault="00762B65" w:rsidP="00E23B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FECF" w14:textId="77777777" w:rsidR="00762B65" w:rsidRPr="008D7DB3" w:rsidRDefault="00762B65" w:rsidP="00E23B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0AD0" w14:textId="77777777" w:rsidR="00762B65" w:rsidRPr="008D7DB3" w:rsidRDefault="00762B65" w:rsidP="00E23B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AF92" w14:textId="77777777" w:rsidR="00762B65" w:rsidRPr="008D7DB3" w:rsidRDefault="00762B65" w:rsidP="00E23B2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D7DB3">
              <w:rPr>
                <w:color w:val="000000"/>
                <w:sz w:val="16"/>
                <w:szCs w:val="16"/>
              </w:rPr>
              <w:t>абс</w:t>
            </w:r>
            <w:proofErr w:type="spellEnd"/>
            <w:r w:rsidRPr="008D7DB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3DFF" w14:textId="77777777" w:rsidR="00762B65" w:rsidRPr="008D7DB3" w:rsidRDefault="00762B65" w:rsidP="00E23B23">
            <w:pPr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% (раз)</w:t>
            </w:r>
          </w:p>
        </w:tc>
      </w:tr>
      <w:tr w:rsidR="00762B65" w:rsidRPr="008D7DB3" w14:paraId="1B82CC2B" w14:textId="77777777" w:rsidTr="00097AC7">
        <w:trPr>
          <w:trHeight w:val="144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1EB6" w14:textId="77777777" w:rsidR="00762B65" w:rsidRPr="008D7DB3" w:rsidRDefault="00762B65" w:rsidP="00E23B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7DB3">
              <w:rPr>
                <w:b/>
                <w:bCs/>
                <w:color w:val="000000"/>
                <w:sz w:val="16"/>
                <w:szCs w:val="16"/>
              </w:rPr>
              <w:t>Дебиторская задолженность, в том числе: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1E02" w14:textId="77777777" w:rsidR="00762B65" w:rsidRPr="008D7DB3" w:rsidRDefault="00762B65" w:rsidP="00E23B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7DB3"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097AC7" w:rsidRPr="008D7DB3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8D7DB3">
              <w:rPr>
                <w:b/>
                <w:bCs/>
                <w:color w:val="000000"/>
                <w:sz w:val="16"/>
                <w:szCs w:val="16"/>
              </w:rPr>
              <w:t>772,7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102A" w14:textId="77777777" w:rsidR="00762B65" w:rsidRPr="008D7DB3" w:rsidRDefault="00762B65" w:rsidP="00E23B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7DB3">
              <w:rPr>
                <w:b/>
                <w:bCs/>
                <w:color w:val="000000"/>
                <w:sz w:val="16"/>
                <w:szCs w:val="16"/>
              </w:rPr>
              <w:t>31</w:t>
            </w:r>
            <w:r w:rsidR="00097AC7" w:rsidRPr="008D7DB3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8D7DB3">
              <w:rPr>
                <w:b/>
                <w:bCs/>
                <w:color w:val="000000"/>
                <w:sz w:val="16"/>
                <w:szCs w:val="16"/>
              </w:rPr>
              <w:t>347</w:t>
            </w:r>
            <w:r w:rsidR="00097AC7" w:rsidRPr="008D7DB3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8D7DB3">
              <w:rPr>
                <w:b/>
                <w:bCs/>
                <w:color w:val="000000"/>
                <w:sz w:val="16"/>
                <w:szCs w:val="16"/>
              </w:rPr>
              <w:t>846,8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E224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8D7DB3">
              <w:rPr>
                <w:b/>
                <w:color w:val="000000"/>
                <w:sz w:val="16"/>
                <w:szCs w:val="16"/>
              </w:rPr>
              <w:t>+31</w:t>
            </w:r>
            <w:r w:rsidR="00097AC7" w:rsidRPr="008D7DB3">
              <w:rPr>
                <w:b/>
                <w:color w:val="000000"/>
                <w:sz w:val="16"/>
                <w:szCs w:val="16"/>
              </w:rPr>
              <w:t> </w:t>
            </w:r>
            <w:r w:rsidRPr="008D7DB3">
              <w:rPr>
                <w:b/>
                <w:color w:val="000000"/>
                <w:sz w:val="16"/>
                <w:szCs w:val="16"/>
              </w:rPr>
              <w:t>335</w:t>
            </w:r>
            <w:r w:rsidR="00097AC7" w:rsidRPr="008D7DB3">
              <w:rPr>
                <w:b/>
                <w:color w:val="000000"/>
                <w:sz w:val="16"/>
                <w:szCs w:val="16"/>
              </w:rPr>
              <w:t> </w:t>
            </w:r>
            <w:r w:rsidRPr="008D7DB3">
              <w:rPr>
                <w:b/>
                <w:color w:val="000000"/>
                <w:sz w:val="16"/>
                <w:szCs w:val="16"/>
              </w:rPr>
              <w:t>074,1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527A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8D7DB3">
              <w:rPr>
                <w:b/>
                <w:color w:val="000000"/>
                <w:sz w:val="16"/>
                <w:szCs w:val="16"/>
              </w:rPr>
              <w:t>+2454 раза</w:t>
            </w:r>
          </w:p>
        </w:tc>
      </w:tr>
      <w:tr w:rsidR="00762B65" w:rsidRPr="008D7DB3" w14:paraId="4D2DE64C" w14:textId="77777777" w:rsidTr="00097AC7">
        <w:trPr>
          <w:trHeight w:val="144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49CB" w14:textId="77777777" w:rsidR="00762B65" w:rsidRPr="008D7DB3" w:rsidRDefault="00762B65" w:rsidP="00E23B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205 «Расчеты по доходам»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9EC1" w14:textId="77777777" w:rsidR="00762B65" w:rsidRPr="008D7DB3" w:rsidRDefault="00762B65" w:rsidP="00E23B23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8D7DB3">
              <w:rPr>
                <w:bCs/>
                <w:i/>
                <w:color w:val="000000"/>
                <w:sz w:val="16"/>
                <w:szCs w:val="16"/>
              </w:rPr>
              <w:t>8</w:t>
            </w:r>
            <w:r w:rsidR="00097AC7" w:rsidRPr="008D7DB3">
              <w:rPr>
                <w:bCs/>
                <w:i/>
                <w:color w:val="000000"/>
                <w:sz w:val="16"/>
                <w:szCs w:val="16"/>
              </w:rPr>
              <w:t> </w:t>
            </w:r>
            <w:r w:rsidRPr="008D7DB3">
              <w:rPr>
                <w:bCs/>
                <w:i/>
                <w:color w:val="000000"/>
                <w:sz w:val="16"/>
                <w:szCs w:val="16"/>
              </w:rPr>
              <w:t>920,9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19D2" w14:textId="77777777" w:rsidR="00762B65" w:rsidRPr="008D7DB3" w:rsidRDefault="00762B65" w:rsidP="00E23B23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8D7DB3">
              <w:rPr>
                <w:bCs/>
                <w:i/>
                <w:color w:val="000000"/>
                <w:sz w:val="16"/>
                <w:szCs w:val="16"/>
              </w:rPr>
              <w:t>31</w:t>
            </w:r>
            <w:r w:rsidR="00097AC7" w:rsidRPr="008D7DB3">
              <w:rPr>
                <w:bCs/>
                <w:i/>
                <w:color w:val="000000"/>
                <w:sz w:val="16"/>
                <w:szCs w:val="16"/>
              </w:rPr>
              <w:t> </w:t>
            </w:r>
            <w:r w:rsidRPr="008D7DB3">
              <w:rPr>
                <w:bCs/>
                <w:i/>
                <w:color w:val="000000"/>
                <w:sz w:val="16"/>
                <w:szCs w:val="16"/>
              </w:rPr>
              <w:t>342</w:t>
            </w:r>
            <w:r w:rsidR="00097AC7" w:rsidRPr="008D7DB3">
              <w:rPr>
                <w:bCs/>
                <w:i/>
                <w:color w:val="000000"/>
                <w:sz w:val="16"/>
                <w:szCs w:val="16"/>
              </w:rPr>
              <w:t> </w:t>
            </w:r>
            <w:r w:rsidRPr="008D7DB3">
              <w:rPr>
                <w:bCs/>
                <w:i/>
                <w:color w:val="000000"/>
                <w:sz w:val="16"/>
                <w:szCs w:val="16"/>
              </w:rPr>
              <w:t>753,2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609C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+31</w:t>
            </w:r>
            <w:r w:rsidR="00097AC7" w:rsidRPr="008D7DB3">
              <w:rPr>
                <w:color w:val="000000"/>
                <w:sz w:val="16"/>
                <w:szCs w:val="16"/>
              </w:rPr>
              <w:t> </w:t>
            </w:r>
            <w:r w:rsidRPr="008D7DB3">
              <w:rPr>
                <w:color w:val="000000"/>
                <w:sz w:val="16"/>
                <w:szCs w:val="16"/>
              </w:rPr>
              <w:t>333</w:t>
            </w:r>
            <w:r w:rsidR="00097AC7" w:rsidRPr="008D7DB3">
              <w:rPr>
                <w:color w:val="000000"/>
                <w:sz w:val="16"/>
                <w:szCs w:val="16"/>
              </w:rPr>
              <w:t> </w:t>
            </w:r>
            <w:r w:rsidRPr="008D7DB3">
              <w:rPr>
                <w:color w:val="000000"/>
                <w:sz w:val="16"/>
                <w:szCs w:val="16"/>
              </w:rPr>
              <w:t>832,3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19EA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+3513 раз</w:t>
            </w:r>
          </w:p>
        </w:tc>
      </w:tr>
      <w:tr w:rsidR="00762B65" w:rsidRPr="008D7DB3" w14:paraId="7A501F81" w14:textId="77777777" w:rsidTr="00097AC7">
        <w:trPr>
          <w:trHeight w:val="10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C59A" w14:textId="77777777" w:rsidR="00762B65" w:rsidRPr="008D7DB3" w:rsidRDefault="00762B65" w:rsidP="00E23B2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206 «Расчеты по выданным авансам»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1968A" w14:textId="77777777" w:rsidR="00762B65" w:rsidRPr="008D7DB3" w:rsidRDefault="00762B65" w:rsidP="00E23B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3</w:t>
            </w:r>
            <w:r w:rsidR="00097AC7" w:rsidRPr="008D7DB3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8D7DB3">
              <w:rPr>
                <w:i/>
                <w:iCs/>
                <w:color w:val="000000"/>
                <w:sz w:val="16"/>
                <w:szCs w:val="16"/>
              </w:rPr>
              <w:t>631,2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EDB1" w14:textId="77777777" w:rsidR="00762B65" w:rsidRPr="008D7DB3" w:rsidRDefault="00762B65" w:rsidP="00E23B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5</w:t>
            </w:r>
            <w:r w:rsidR="00097AC7" w:rsidRPr="008D7DB3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8D7DB3">
              <w:rPr>
                <w:i/>
                <w:iCs/>
                <w:color w:val="000000"/>
                <w:sz w:val="16"/>
                <w:szCs w:val="16"/>
              </w:rPr>
              <w:t>032,2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9D09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+1</w:t>
            </w:r>
            <w:r w:rsidR="00097AC7" w:rsidRPr="008D7DB3">
              <w:rPr>
                <w:color w:val="000000"/>
                <w:sz w:val="16"/>
                <w:szCs w:val="16"/>
              </w:rPr>
              <w:t> </w:t>
            </w:r>
            <w:r w:rsidRPr="008D7DB3">
              <w:rPr>
                <w:color w:val="000000"/>
                <w:sz w:val="16"/>
                <w:szCs w:val="16"/>
              </w:rPr>
              <w:t>401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0DF4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+38,6%</w:t>
            </w:r>
          </w:p>
        </w:tc>
      </w:tr>
      <w:tr w:rsidR="00762B65" w:rsidRPr="008D7DB3" w14:paraId="3C02CEB8" w14:textId="77777777" w:rsidTr="00097AC7">
        <w:trPr>
          <w:trHeight w:val="15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9E35" w14:textId="77777777" w:rsidR="00762B65" w:rsidRPr="008D7DB3" w:rsidRDefault="00762B65" w:rsidP="00E23B2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209 «Расчеты по ущербу и иным доходам»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4B52" w14:textId="77777777" w:rsidR="00762B65" w:rsidRPr="008D7DB3" w:rsidRDefault="00762B65" w:rsidP="00E23B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220,6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4A34" w14:textId="77777777" w:rsidR="00762B65" w:rsidRPr="008D7DB3" w:rsidRDefault="00762B65" w:rsidP="00E23B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7651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-159,2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01EE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-27,8%</w:t>
            </w:r>
          </w:p>
        </w:tc>
      </w:tr>
      <w:tr w:rsidR="00762B65" w:rsidRPr="008D7DB3" w14:paraId="0C107277" w14:textId="77777777" w:rsidTr="00097AC7">
        <w:trPr>
          <w:trHeight w:val="23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38B7" w14:textId="77777777" w:rsidR="00762B65" w:rsidRPr="008D7DB3" w:rsidRDefault="00762B65" w:rsidP="00E23B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7DB3">
              <w:rPr>
                <w:b/>
                <w:bCs/>
                <w:color w:val="000000"/>
                <w:sz w:val="16"/>
                <w:szCs w:val="16"/>
              </w:rPr>
              <w:t>Кредиторская задолженность, в том числе: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B672" w14:textId="77777777" w:rsidR="00762B65" w:rsidRPr="008D7DB3" w:rsidRDefault="00762B65" w:rsidP="00E23B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7DB3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097AC7" w:rsidRPr="008D7DB3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8D7DB3">
              <w:rPr>
                <w:b/>
                <w:bCs/>
                <w:color w:val="000000"/>
                <w:sz w:val="16"/>
                <w:szCs w:val="16"/>
              </w:rPr>
              <w:t>501,5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17D1" w14:textId="77777777" w:rsidR="00762B65" w:rsidRPr="008D7DB3" w:rsidRDefault="00762B65" w:rsidP="00E23B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7DB3">
              <w:rPr>
                <w:b/>
                <w:bCs/>
                <w:color w:val="000000"/>
                <w:sz w:val="16"/>
                <w:szCs w:val="16"/>
              </w:rPr>
              <w:t>161</w:t>
            </w:r>
            <w:r w:rsidR="00097AC7" w:rsidRPr="008D7DB3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8D7DB3">
              <w:rPr>
                <w:b/>
                <w:bCs/>
                <w:color w:val="000000"/>
                <w:sz w:val="16"/>
                <w:szCs w:val="16"/>
              </w:rPr>
              <w:t>673,2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960C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8D7DB3">
              <w:rPr>
                <w:b/>
                <w:color w:val="000000"/>
                <w:sz w:val="16"/>
                <w:szCs w:val="16"/>
              </w:rPr>
              <w:t>+141</w:t>
            </w:r>
            <w:r w:rsidR="00097AC7" w:rsidRPr="008D7DB3">
              <w:rPr>
                <w:b/>
                <w:color w:val="000000"/>
                <w:sz w:val="16"/>
                <w:szCs w:val="16"/>
              </w:rPr>
              <w:t> </w:t>
            </w:r>
            <w:r w:rsidRPr="008D7DB3">
              <w:rPr>
                <w:b/>
                <w:color w:val="000000"/>
                <w:sz w:val="16"/>
                <w:szCs w:val="16"/>
              </w:rPr>
              <w:t>171,7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447F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8D7DB3">
              <w:rPr>
                <w:b/>
                <w:color w:val="000000"/>
                <w:sz w:val="16"/>
                <w:szCs w:val="16"/>
              </w:rPr>
              <w:t>+7,9 раз</w:t>
            </w:r>
          </w:p>
        </w:tc>
      </w:tr>
      <w:tr w:rsidR="00762B65" w:rsidRPr="008D7DB3" w14:paraId="150F54A7" w14:textId="77777777" w:rsidTr="00097AC7">
        <w:trPr>
          <w:trHeight w:val="13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E6CA" w14:textId="77777777" w:rsidR="00762B65" w:rsidRPr="008D7DB3" w:rsidRDefault="00762B65" w:rsidP="00E23B2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205 «Расчеты по доходам»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CFFE" w14:textId="77777777" w:rsidR="00762B65" w:rsidRPr="008D7DB3" w:rsidRDefault="00762B65" w:rsidP="00E23B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8</w:t>
            </w:r>
            <w:r w:rsidR="00097AC7" w:rsidRPr="008D7DB3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8D7DB3">
              <w:rPr>
                <w:i/>
                <w:iCs/>
                <w:color w:val="000000"/>
                <w:sz w:val="16"/>
                <w:szCs w:val="16"/>
              </w:rPr>
              <w:t>028,7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F972" w14:textId="77777777" w:rsidR="00762B65" w:rsidRPr="008D7DB3" w:rsidRDefault="00762B65" w:rsidP="00E23B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144</w:t>
            </w:r>
            <w:r w:rsidR="00097AC7" w:rsidRPr="008D7DB3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8D7DB3">
              <w:rPr>
                <w:i/>
                <w:iCs/>
                <w:color w:val="000000"/>
                <w:sz w:val="16"/>
                <w:szCs w:val="16"/>
              </w:rPr>
              <w:t>618,1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70C5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+136</w:t>
            </w:r>
            <w:r w:rsidR="00097AC7" w:rsidRPr="008D7DB3">
              <w:rPr>
                <w:color w:val="000000"/>
                <w:sz w:val="16"/>
                <w:szCs w:val="16"/>
              </w:rPr>
              <w:t> </w:t>
            </w:r>
            <w:r w:rsidRPr="008D7DB3">
              <w:rPr>
                <w:color w:val="000000"/>
                <w:sz w:val="16"/>
                <w:szCs w:val="16"/>
              </w:rPr>
              <w:t>589,4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EDB1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+18 раз</w:t>
            </w:r>
          </w:p>
        </w:tc>
      </w:tr>
      <w:tr w:rsidR="00762B65" w:rsidRPr="008D7DB3" w14:paraId="3ADFD7D3" w14:textId="77777777" w:rsidTr="00097AC7">
        <w:trPr>
          <w:trHeight w:val="18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4ABD" w14:textId="77777777" w:rsidR="00762B65" w:rsidRPr="008D7DB3" w:rsidRDefault="00762B65" w:rsidP="00E23B2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302 «Расчеты по принятым обязательствам»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E464" w14:textId="77777777" w:rsidR="00762B65" w:rsidRPr="008D7DB3" w:rsidRDefault="00762B65" w:rsidP="00E23B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12</w:t>
            </w:r>
            <w:r w:rsidR="00097AC7" w:rsidRPr="008D7DB3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8D7DB3">
              <w:rPr>
                <w:i/>
                <w:iCs/>
                <w:color w:val="000000"/>
                <w:sz w:val="16"/>
                <w:szCs w:val="16"/>
              </w:rPr>
              <w:t>177,8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9EDB" w14:textId="77777777" w:rsidR="00762B65" w:rsidRPr="008D7DB3" w:rsidRDefault="00762B65" w:rsidP="00E23B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16</w:t>
            </w:r>
            <w:r w:rsidR="00097AC7" w:rsidRPr="008D7DB3">
              <w:rPr>
                <w:i/>
                <w:iCs/>
                <w:color w:val="000000"/>
                <w:sz w:val="16"/>
                <w:szCs w:val="16"/>
              </w:rPr>
              <w:t> </w:t>
            </w:r>
            <w:r w:rsidRPr="008D7DB3">
              <w:rPr>
                <w:i/>
                <w:iCs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F8D2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+4</w:t>
            </w:r>
            <w:r w:rsidR="00097AC7" w:rsidRPr="008D7DB3">
              <w:rPr>
                <w:color w:val="000000"/>
                <w:sz w:val="16"/>
                <w:szCs w:val="16"/>
              </w:rPr>
              <w:t> </w:t>
            </w:r>
            <w:r w:rsidRPr="008D7DB3">
              <w:rPr>
                <w:color w:val="000000"/>
                <w:sz w:val="16"/>
                <w:szCs w:val="16"/>
              </w:rPr>
              <w:t>607,1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7225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+37,8%</w:t>
            </w:r>
          </w:p>
        </w:tc>
      </w:tr>
      <w:tr w:rsidR="00762B65" w:rsidRPr="008D7DB3" w14:paraId="5A6DE48D" w14:textId="77777777" w:rsidTr="00097AC7">
        <w:trPr>
          <w:trHeight w:val="22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8029" w14:textId="77777777" w:rsidR="00762B65" w:rsidRPr="008D7DB3" w:rsidRDefault="00762B65" w:rsidP="00E23B23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303 «Расчеты по платежам в бюджеты»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7BCF" w14:textId="77777777" w:rsidR="00762B65" w:rsidRPr="008D7DB3" w:rsidRDefault="00762B65" w:rsidP="00E23B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A902" w14:textId="77777777" w:rsidR="00762B65" w:rsidRPr="008D7DB3" w:rsidRDefault="00762B65" w:rsidP="00E23B2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D7DB3">
              <w:rPr>
                <w:i/>
                <w:iCs/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B8D4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-24,8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3D50" w14:textId="77777777" w:rsidR="00762B65" w:rsidRPr="008D7DB3" w:rsidRDefault="00762B65" w:rsidP="00E23B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7DB3">
              <w:rPr>
                <w:color w:val="000000"/>
                <w:sz w:val="16"/>
                <w:szCs w:val="16"/>
              </w:rPr>
              <w:t>-8,4%</w:t>
            </w:r>
          </w:p>
        </w:tc>
      </w:tr>
    </w:tbl>
    <w:p w14:paraId="44E5ED4C" w14:textId="77777777" w:rsidR="00707469" w:rsidRPr="008D7DB3" w:rsidRDefault="00707469" w:rsidP="00707469">
      <w:pPr>
        <w:jc w:val="both"/>
        <w:rPr>
          <w:sz w:val="16"/>
          <w:szCs w:val="16"/>
        </w:rPr>
      </w:pPr>
      <w:r w:rsidRPr="008D7DB3">
        <w:tab/>
      </w:r>
      <w:r w:rsidRPr="008D7DB3">
        <w:rPr>
          <w:sz w:val="16"/>
          <w:szCs w:val="16"/>
        </w:rPr>
        <w:t xml:space="preserve"> </w:t>
      </w:r>
    </w:p>
    <w:p w14:paraId="43CD4657" w14:textId="77777777" w:rsidR="00762B65" w:rsidRPr="008D7DB3" w:rsidRDefault="00762B65" w:rsidP="005B20F7">
      <w:pPr>
        <w:ind w:firstLine="709"/>
        <w:jc w:val="both"/>
      </w:pPr>
      <w:r w:rsidRPr="008D7DB3">
        <w:t xml:space="preserve">В структуре дебиторской задолженности ТФОМС на конец 2019 года наибольшую долю занимает задолженность </w:t>
      </w:r>
      <w:r w:rsidR="00B927E7" w:rsidRPr="008D7DB3">
        <w:t>на сумму</w:t>
      </w:r>
      <w:r w:rsidRPr="008D7DB3">
        <w:t xml:space="preserve"> начисленной </w:t>
      </w:r>
      <w:r w:rsidR="00B927E7" w:rsidRPr="008D7DB3">
        <w:t xml:space="preserve">в 2019 году </w:t>
      </w:r>
      <w:r w:rsidRPr="008D7DB3">
        <w:t>субвенции из Федерального фонда обязательного медицинского страхования</w:t>
      </w:r>
      <w:r w:rsidR="00B927E7" w:rsidRPr="008D7DB3">
        <w:t>, поступающей</w:t>
      </w:r>
      <w:r w:rsidRPr="008D7DB3">
        <w:t xml:space="preserve"> </w:t>
      </w:r>
      <w:r w:rsidR="00B927E7" w:rsidRPr="008D7DB3">
        <w:t>в</w:t>
      </w:r>
      <w:r w:rsidRPr="008D7DB3">
        <w:t xml:space="preserve"> 2020 год</w:t>
      </w:r>
      <w:r w:rsidR="00B927E7" w:rsidRPr="008D7DB3">
        <w:t>у</w:t>
      </w:r>
      <w:r w:rsidRPr="008D7DB3">
        <w:t xml:space="preserve"> в сумме </w:t>
      </w:r>
      <w:r w:rsidRPr="008D7DB3">
        <w:rPr>
          <w:bCs/>
          <w:color w:val="000000"/>
        </w:rPr>
        <w:t>31340190,6 тыс. руб.</w:t>
      </w:r>
      <w:r w:rsidR="00750D29" w:rsidRPr="008D7DB3">
        <w:rPr>
          <w:bCs/>
          <w:color w:val="000000"/>
        </w:rPr>
        <w:t xml:space="preserve"> (счет 205)</w:t>
      </w:r>
      <w:r w:rsidRPr="008D7DB3">
        <w:rPr>
          <w:bCs/>
          <w:color w:val="000000"/>
        </w:rPr>
        <w:t xml:space="preserve">, а также задолженность </w:t>
      </w:r>
      <w:r w:rsidRPr="008D7DB3">
        <w:t xml:space="preserve">медицинских организаций по наложенным на них штрафам и восстановлению нецелевого использования средств в размере 2562,6 тыс. руб. </w:t>
      </w:r>
      <w:r w:rsidR="00750D29" w:rsidRPr="008D7DB3">
        <w:t>(счет 205),</w:t>
      </w:r>
      <w:r w:rsidRPr="008D7DB3">
        <w:t xml:space="preserve"> </w:t>
      </w:r>
      <w:r w:rsidR="00750D29" w:rsidRPr="008D7DB3">
        <w:rPr>
          <w:bCs/>
          <w:color w:val="000000"/>
        </w:rPr>
        <w:t>предоплата</w:t>
      </w:r>
      <w:r w:rsidRPr="008D7DB3">
        <w:t xml:space="preserve"> </w:t>
      </w:r>
      <w:r w:rsidR="001E6C2F" w:rsidRPr="008D7DB3">
        <w:t xml:space="preserve">ГУ ТФОМС </w:t>
      </w:r>
      <w:r w:rsidRPr="008D7DB3">
        <w:t xml:space="preserve">по </w:t>
      </w:r>
      <w:r w:rsidR="00750D29" w:rsidRPr="008D7DB3">
        <w:t xml:space="preserve">договорам </w:t>
      </w:r>
      <w:r w:rsidRPr="008D7DB3">
        <w:t>аренд</w:t>
      </w:r>
      <w:r w:rsidR="00750D29" w:rsidRPr="008D7DB3">
        <w:t>ы за пользование имуществом</w:t>
      </w:r>
      <w:r w:rsidRPr="008D7DB3">
        <w:t xml:space="preserve"> в размере 4901,5 тыс. руб</w:t>
      </w:r>
      <w:r w:rsidR="00750D29" w:rsidRPr="008D7DB3">
        <w:t xml:space="preserve">. (счет 206) и за подписку в размере 130,7 тыс. руб. (счет 206), задолженность медицинских организаций по актам </w:t>
      </w:r>
      <w:proofErr w:type="spellStart"/>
      <w:r w:rsidR="00750D29" w:rsidRPr="008D7DB3">
        <w:t>регэкспертизы</w:t>
      </w:r>
      <w:proofErr w:type="spellEnd"/>
      <w:r w:rsidR="00750D29" w:rsidRPr="008D7DB3">
        <w:t xml:space="preserve"> в размере 61,4 тыс. руб. (счет 209).</w:t>
      </w:r>
    </w:p>
    <w:p w14:paraId="35104741" w14:textId="77777777" w:rsidR="00762B65" w:rsidRPr="008D7DB3" w:rsidRDefault="005B20F7" w:rsidP="00762B65">
      <w:pPr>
        <w:ind w:firstLine="709"/>
        <w:jc w:val="both"/>
      </w:pPr>
      <w:r w:rsidRPr="008D7DB3">
        <w:t xml:space="preserve">Просроченная дебиторская задолженность на 01.01.2019 составила </w:t>
      </w:r>
      <w:r w:rsidR="00762B65" w:rsidRPr="008D7DB3">
        <w:t>1</w:t>
      </w:r>
      <w:r w:rsidR="003D0A8F" w:rsidRPr="008D7DB3">
        <w:t> </w:t>
      </w:r>
      <w:r w:rsidR="00762B65" w:rsidRPr="008D7DB3">
        <w:t>106,7 тыс. руб. (ГБУЗ «Волгоградская областная инфекционная клиническая больница» и ГБУЗ «</w:t>
      </w:r>
      <w:proofErr w:type="spellStart"/>
      <w:r w:rsidR="00762B65" w:rsidRPr="008D7DB3">
        <w:t>Иловлинская</w:t>
      </w:r>
      <w:proofErr w:type="spellEnd"/>
      <w:r w:rsidR="00762B65" w:rsidRPr="008D7DB3">
        <w:t xml:space="preserve"> ЦРБ» - за нецелевое использование средств ОМС, ООО «Центр ЭКО» - штраф за нарушение условий контракта). </w:t>
      </w:r>
      <w:r w:rsidR="003D0A8F" w:rsidRPr="008D7DB3">
        <w:t>Требования</w:t>
      </w:r>
      <w:r w:rsidR="00762B65" w:rsidRPr="008D7DB3">
        <w:t xml:space="preserve"> о взыскании просроченной задолженности наход</w:t>
      </w:r>
      <w:r w:rsidR="003D0A8F" w:rsidRPr="008D7DB3">
        <w:t>я</w:t>
      </w:r>
      <w:r w:rsidR="00762B65" w:rsidRPr="008D7DB3">
        <w:t xml:space="preserve">тся на рассмотрении в Арбитражном суде. </w:t>
      </w:r>
    </w:p>
    <w:p w14:paraId="4C8A65AC" w14:textId="77777777" w:rsidR="00762B65" w:rsidRPr="008D7DB3" w:rsidRDefault="00762B65" w:rsidP="00762B65">
      <w:pPr>
        <w:ind w:firstLine="709"/>
        <w:jc w:val="both"/>
      </w:pPr>
      <w:r w:rsidRPr="008D7DB3">
        <w:t xml:space="preserve">В структуре кредиторской задолженности наибольшую долю занимает остаток </w:t>
      </w:r>
      <w:r w:rsidR="00B51C65" w:rsidRPr="008D7DB3">
        <w:t xml:space="preserve">неиспользованных </w:t>
      </w:r>
      <w:r w:rsidRPr="008D7DB3">
        <w:t xml:space="preserve">межбюджетных трансфертов (подлежащий возврату в бюджет ФФОМС) в сумме </w:t>
      </w:r>
      <w:r w:rsidRPr="008D7DB3">
        <w:rPr>
          <w:iCs/>
          <w:color w:val="000000"/>
        </w:rPr>
        <w:t>144</w:t>
      </w:r>
      <w:r w:rsidR="00B51C65" w:rsidRPr="008D7DB3">
        <w:rPr>
          <w:iCs/>
          <w:color w:val="000000"/>
        </w:rPr>
        <w:t> </w:t>
      </w:r>
      <w:r w:rsidRPr="008D7DB3">
        <w:rPr>
          <w:iCs/>
          <w:color w:val="000000"/>
        </w:rPr>
        <w:t>618,1</w:t>
      </w:r>
      <w:r w:rsidRPr="008D7DB3">
        <w:t xml:space="preserve"> тыс. руб. по субвенциям</w:t>
      </w:r>
      <w:r w:rsidR="00B51C65" w:rsidRPr="008D7DB3">
        <w:t xml:space="preserve"> главным образом на </w:t>
      </w:r>
      <w:proofErr w:type="spellStart"/>
      <w:r w:rsidR="00B51C65" w:rsidRPr="008D7DB3">
        <w:t>софинансирование</w:t>
      </w:r>
      <w:proofErr w:type="spellEnd"/>
      <w:r w:rsidR="00B51C65" w:rsidRPr="008D7DB3">
        <w:t xml:space="preserve"> расходов медицинских организаций на оплату труда медицинского персонала на 139 231,3 тыс. руб.</w:t>
      </w:r>
      <w:r w:rsidRPr="008D7DB3">
        <w:t xml:space="preserve">, а также задолженность </w:t>
      </w:r>
      <w:r w:rsidR="00502520" w:rsidRPr="008D7DB3">
        <w:t xml:space="preserve">ГУ ТФОМС на сумму договоров аренды за пользование имуществом на весь срок действия договоров в 2020 году в соответствии с федеральным стандартом «Аренда» </w:t>
      </w:r>
      <w:r w:rsidRPr="008D7DB3">
        <w:t>в сумме 15751,8 тыс. руб</w:t>
      </w:r>
      <w:r w:rsidR="00502520" w:rsidRPr="008D7DB3">
        <w:t>лей</w:t>
      </w:r>
      <w:r w:rsidRPr="008D7DB3">
        <w:t xml:space="preserve">.  </w:t>
      </w:r>
    </w:p>
    <w:p w14:paraId="746B6840" w14:textId="77777777" w:rsidR="00762B65" w:rsidRPr="008D7DB3" w:rsidRDefault="00762B65" w:rsidP="00762B65">
      <w:pPr>
        <w:ind w:firstLine="709"/>
        <w:jc w:val="both"/>
      </w:pPr>
      <w:r w:rsidRPr="008D7DB3">
        <w:t xml:space="preserve">Просроченная кредиторская задолженность у ГУ ТФОМС на 01.01.2019 и 01.01.2020 отсутствовала. </w:t>
      </w:r>
    </w:p>
    <w:p w14:paraId="578B4740" w14:textId="77777777" w:rsidR="00557809" w:rsidRPr="008D7DB3" w:rsidRDefault="00557809" w:rsidP="00C02EAF">
      <w:pPr>
        <w:ind w:firstLine="709"/>
        <w:jc w:val="center"/>
        <w:rPr>
          <w:b/>
          <w:i/>
        </w:rPr>
      </w:pPr>
    </w:p>
    <w:p w14:paraId="15394096" w14:textId="77777777" w:rsidR="00C02EAF" w:rsidRPr="008D7DB3" w:rsidRDefault="00C02EAF" w:rsidP="00C02EAF">
      <w:pPr>
        <w:ind w:firstLine="709"/>
        <w:jc w:val="center"/>
        <w:rPr>
          <w:b/>
          <w:i/>
        </w:rPr>
      </w:pPr>
      <w:r w:rsidRPr="008D7DB3">
        <w:rPr>
          <w:b/>
          <w:i/>
        </w:rPr>
        <w:t>Анализ исполнения текстовых статей Закона о бюджете ТФОМС, включая анализ использования НСЗ</w:t>
      </w:r>
    </w:p>
    <w:p w14:paraId="571ECC48" w14:textId="77777777" w:rsidR="004A36C6" w:rsidRPr="008D7DB3" w:rsidRDefault="004A36C6" w:rsidP="00C02EA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06F8844" w14:textId="7CBC192D" w:rsidR="00C02EAF" w:rsidRPr="008D7DB3" w:rsidRDefault="00C02EAF" w:rsidP="00C02EA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7DB3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Статья 7 «Расходы на ведение дела страховых медицинских организаций» </w:t>
      </w:r>
    </w:p>
    <w:p w14:paraId="61CB875F" w14:textId="2E3A994F" w:rsidR="00762B65" w:rsidRPr="008D7DB3" w:rsidRDefault="00762B65" w:rsidP="00762B65">
      <w:pPr>
        <w:autoSpaceDE w:val="0"/>
        <w:autoSpaceDN w:val="0"/>
        <w:adjustRightInd w:val="0"/>
        <w:ind w:firstLine="709"/>
        <w:jc w:val="both"/>
        <w:outlineLvl w:val="0"/>
      </w:pPr>
      <w:r w:rsidRPr="008D7DB3">
        <w:rPr>
          <w:bCs/>
          <w:iCs/>
        </w:rPr>
        <w:t xml:space="preserve">По данным </w:t>
      </w:r>
      <w:r w:rsidRPr="008D7DB3">
        <w:t>таблицы № 3 к ф. 0503160 «Пояснительная записка» в</w:t>
      </w:r>
      <w:r w:rsidRPr="008D7DB3">
        <w:rPr>
          <w:bCs/>
          <w:iCs/>
        </w:rPr>
        <w:t xml:space="preserve"> 2019 году на ведение дела страховых медицинских организаций (далее СМО) направлено 264</w:t>
      </w:r>
      <w:r w:rsidR="003E0D08" w:rsidRPr="008D7DB3">
        <w:rPr>
          <w:bCs/>
          <w:iCs/>
        </w:rPr>
        <w:t> </w:t>
      </w:r>
      <w:r w:rsidRPr="008D7DB3">
        <w:rPr>
          <w:bCs/>
          <w:iCs/>
        </w:rPr>
        <w:t xml:space="preserve">906,2 тыс. руб. (1% от средств, направленных СМО по дифференцированным подушевым нормативам), </w:t>
      </w:r>
      <w:r w:rsidRPr="008D7DB3">
        <w:rPr>
          <w:bCs/>
          <w:iCs/>
        </w:rPr>
        <w:lastRenderedPageBreak/>
        <w:t>или на 16</w:t>
      </w:r>
      <w:r w:rsidR="003E0D08" w:rsidRPr="008D7DB3">
        <w:rPr>
          <w:bCs/>
          <w:iCs/>
        </w:rPr>
        <w:t> </w:t>
      </w:r>
      <w:r w:rsidRPr="008D7DB3">
        <w:rPr>
          <w:bCs/>
          <w:iCs/>
        </w:rPr>
        <w:t>904</w:t>
      </w:r>
      <w:r w:rsidRPr="008D7DB3">
        <w:t xml:space="preserve"> тыс. руб. (+6,8%) больше расходов 2018 года (</w:t>
      </w:r>
      <w:r w:rsidRPr="008D7DB3">
        <w:rPr>
          <w:bCs/>
          <w:iCs/>
        </w:rPr>
        <w:t>248</w:t>
      </w:r>
      <w:r w:rsidR="003E0D08" w:rsidRPr="008D7DB3">
        <w:rPr>
          <w:bCs/>
          <w:iCs/>
        </w:rPr>
        <w:t> </w:t>
      </w:r>
      <w:r w:rsidRPr="008D7DB3">
        <w:rPr>
          <w:bCs/>
          <w:iCs/>
        </w:rPr>
        <w:t xml:space="preserve">002,2 </w:t>
      </w:r>
      <w:r w:rsidRPr="008D7DB3">
        <w:t xml:space="preserve">тыс. руб.), что меньше роста расходов на </w:t>
      </w:r>
      <w:proofErr w:type="spellStart"/>
      <w:r w:rsidRPr="008D7DB3">
        <w:t>Терпрограмму</w:t>
      </w:r>
      <w:proofErr w:type="spellEnd"/>
      <w:r w:rsidRPr="008D7DB3">
        <w:t xml:space="preserve"> в 2019 году (+</w:t>
      </w:r>
      <w:r w:rsidR="00062CB6" w:rsidRPr="008D7DB3">
        <w:t>8,5</w:t>
      </w:r>
      <w:r w:rsidRPr="008D7DB3">
        <w:t>%).</w:t>
      </w:r>
    </w:p>
    <w:p w14:paraId="58152C37" w14:textId="77777777" w:rsidR="00C02EAF" w:rsidRPr="008D7DB3" w:rsidRDefault="00C02EAF" w:rsidP="00C02EAF">
      <w:pPr>
        <w:pStyle w:val="ConsPlusNormal"/>
        <w:ind w:firstLine="709"/>
        <w:jc w:val="both"/>
        <w:outlineLvl w:val="0"/>
        <w:rPr>
          <w:i/>
          <w:u w:val="single"/>
        </w:rPr>
      </w:pPr>
      <w:r w:rsidRPr="008D7DB3">
        <w:rPr>
          <w:rFonts w:ascii="Times New Roman" w:hAnsi="Times New Roman" w:cs="Times New Roman"/>
          <w:i/>
          <w:sz w:val="24"/>
          <w:szCs w:val="24"/>
          <w:u w:val="single"/>
        </w:rPr>
        <w:t>Статья 8 «Размер и цели использования средств нормированного страхового запаса Фонда»</w:t>
      </w:r>
    </w:p>
    <w:p w14:paraId="3F4E189E" w14:textId="19183116" w:rsidR="00502520" w:rsidRPr="008D7DB3" w:rsidRDefault="002B18C3" w:rsidP="00502520">
      <w:pPr>
        <w:ind w:firstLine="709"/>
        <w:jc w:val="both"/>
        <w:rPr>
          <w:color w:val="FF0000"/>
        </w:rPr>
      </w:pPr>
      <w:r w:rsidRPr="008D7DB3">
        <w:t>Статьей 8 Закона о бюджете ТФОМС размер НСЗ фонда на 201</w:t>
      </w:r>
      <w:r w:rsidR="00190B9B" w:rsidRPr="008D7DB3">
        <w:t>9</w:t>
      </w:r>
      <w:r w:rsidRPr="008D7DB3">
        <w:t xml:space="preserve"> год установлен в сумме </w:t>
      </w:r>
      <w:r w:rsidR="00190B9B" w:rsidRPr="008D7DB3">
        <w:t>3548023</w:t>
      </w:r>
      <w:r w:rsidRPr="008D7DB3">
        <w:t xml:space="preserve"> тыс. рублей. </w:t>
      </w:r>
    </w:p>
    <w:p w14:paraId="321328AF" w14:textId="375D5A1F" w:rsidR="00502520" w:rsidRPr="008D7DB3" w:rsidRDefault="002B18C3" w:rsidP="00502520">
      <w:pPr>
        <w:ind w:firstLine="709"/>
        <w:jc w:val="both"/>
      </w:pPr>
      <w:r w:rsidRPr="008D7DB3">
        <w:t xml:space="preserve">Сформирован НСЗ в сумме </w:t>
      </w:r>
      <w:r w:rsidR="00190B9B" w:rsidRPr="008D7DB3">
        <w:t>3354550,3</w:t>
      </w:r>
      <w:r w:rsidRPr="008D7DB3">
        <w:t xml:space="preserve"> тыс. руб., израсходовано средств на </w:t>
      </w:r>
      <w:r w:rsidR="00190B9B" w:rsidRPr="008D7DB3">
        <w:t>3167391,2</w:t>
      </w:r>
      <w:r w:rsidRPr="008D7DB3">
        <w:t xml:space="preserve"> тыс. рублей. Остаток на 01.01.20</w:t>
      </w:r>
      <w:r w:rsidR="00190B9B" w:rsidRPr="008D7DB3">
        <w:t>20</w:t>
      </w:r>
      <w:r w:rsidRPr="008D7DB3">
        <w:t xml:space="preserve"> составил </w:t>
      </w:r>
      <w:r w:rsidR="00190B9B" w:rsidRPr="008D7DB3">
        <w:t>187</w:t>
      </w:r>
      <w:r w:rsidR="002E7C36" w:rsidRPr="008D7DB3">
        <w:t> </w:t>
      </w:r>
      <w:r w:rsidR="00190B9B" w:rsidRPr="008D7DB3">
        <w:t>159,</w:t>
      </w:r>
      <w:r w:rsidR="00256E40" w:rsidRPr="008D7DB3">
        <w:t>1</w:t>
      </w:r>
      <w:r w:rsidRPr="008D7DB3">
        <w:t xml:space="preserve"> тыс. руб.,</w:t>
      </w:r>
      <w:r w:rsidR="005C47F3" w:rsidRPr="008D7DB3">
        <w:t xml:space="preserve"> из них 139231,3 тыс. руб. возвращены в 2020 году в бюджет ФФОМС (средства на оплату труда медицинского персонала), остальные средства </w:t>
      </w:r>
      <w:r w:rsidRPr="008D7DB3">
        <w:t xml:space="preserve"> запланирован</w:t>
      </w:r>
      <w:r w:rsidR="00C06610" w:rsidRPr="008D7DB3">
        <w:t>ы</w:t>
      </w:r>
      <w:r w:rsidRPr="008D7DB3">
        <w:t xml:space="preserve"> к расходованию в 20</w:t>
      </w:r>
      <w:r w:rsidR="00190B9B" w:rsidRPr="008D7DB3">
        <w:t>20</w:t>
      </w:r>
      <w:r w:rsidRPr="008D7DB3">
        <w:t xml:space="preserve"> году на </w:t>
      </w:r>
      <w:proofErr w:type="spellStart"/>
      <w:r w:rsidRPr="008D7DB3">
        <w:t>теже</w:t>
      </w:r>
      <w:proofErr w:type="spellEnd"/>
      <w:r w:rsidRPr="008D7DB3">
        <w:t xml:space="preserve"> цели</w:t>
      </w:r>
      <w:r w:rsidR="002E7C36" w:rsidRPr="008D7DB3">
        <w:t xml:space="preserve"> (</w:t>
      </w:r>
      <w:r w:rsidR="00C06610" w:rsidRPr="008D7DB3">
        <w:t xml:space="preserve">на организацию дополнительного профессионального образования медицинских работников, а также по приобретению и проведению ремонта медицинского оборудования). </w:t>
      </w:r>
    </w:p>
    <w:p w14:paraId="240C9FC3" w14:textId="77777777" w:rsidR="002B18C3" w:rsidRPr="008D7DB3" w:rsidRDefault="002B18C3" w:rsidP="002B18C3">
      <w:pPr>
        <w:autoSpaceDE w:val="0"/>
        <w:autoSpaceDN w:val="0"/>
        <w:adjustRightInd w:val="0"/>
        <w:ind w:firstLine="709"/>
        <w:jc w:val="both"/>
      </w:pPr>
      <w:r w:rsidRPr="008D7DB3">
        <w:rPr>
          <w:color w:val="0000FF"/>
        </w:rPr>
        <w:t xml:space="preserve">Приложение № 5 - </w:t>
      </w:r>
      <w:r w:rsidRPr="008D7DB3">
        <w:t>информация о формировании и расходовании НСЗ.</w:t>
      </w:r>
    </w:p>
    <w:p w14:paraId="1359BBAF" w14:textId="77777777" w:rsidR="00B472C4" w:rsidRPr="008D7DB3" w:rsidRDefault="00B472C4" w:rsidP="00903C16">
      <w:pPr>
        <w:ind w:firstLine="709"/>
        <w:jc w:val="center"/>
        <w:rPr>
          <w:b/>
          <w:i/>
        </w:rPr>
      </w:pPr>
    </w:p>
    <w:p w14:paraId="7481D2C2" w14:textId="77777777" w:rsidR="00903C16" w:rsidRPr="008D7DB3" w:rsidRDefault="00903C16" w:rsidP="00903C16">
      <w:pPr>
        <w:ind w:firstLine="709"/>
        <w:jc w:val="center"/>
        <w:rPr>
          <w:b/>
          <w:i/>
        </w:rPr>
      </w:pPr>
      <w:r w:rsidRPr="008D7DB3">
        <w:rPr>
          <w:b/>
          <w:i/>
        </w:rPr>
        <w:t>Анализ расходов на финансирование административно-управленческой деятельности ГУ ТФОМС</w:t>
      </w:r>
    </w:p>
    <w:p w14:paraId="4DC25FED" w14:textId="77777777" w:rsidR="004A36C6" w:rsidRPr="008D7DB3" w:rsidRDefault="004A36C6" w:rsidP="00062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7F406F" w14:textId="538FC697" w:rsidR="00062CB6" w:rsidRPr="008D7DB3" w:rsidRDefault="00062CB6" w:rsidP="00062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DB3">
        <w:rPr>
          <w:rFonts w:ascii="Times New Roman" w:hAnsi="Times New Roman" w:cs="Times New Roman"/>
          <w:sz w:val="24"/>
          <w:szCs w:val="24"/>
        </w:rPr>
        <w:t>Законом о бюджете ТФОМС предусмотрено расходов на административно-управленческую деятельность</w:t>
      </w:r>
      <w:r w:rsidRPr="008D7DB3">
        <w:rPr>
          <w:b/>
          <w:i/>
        </w:rPr>
        <w:t xml:space="preserve"> </w:t>
      </w:r>
      <w:r w:rsidRPr="008D7DB3">
        <w:rPr>
          <w:rFonts w:ascii="Times New Roman" w:hAnsi="Times New Roman" w:cs="Times New Roman"/>
          <w:sz w:val="24"/>
          <w:szCs w:val="24"/>
        </w:rPr>
        <w:t xml:space="preserve">на 2019 год в сумме 240000 тыс. руб., которые исполнены на </w:t>
      </w:r>
      <w:r w:rsidRPr="008D7D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234614,3 </w:t>
      </w:r>
      <w:r w:rsidRPr="008D7DB3">
        <w:rPr>
          <w:rFonts w:ascii="Times New Roman" w:hAnsi="Times New Roman" w:cs="Times New Roman"/>
          <w:sz w:val="24"/>
          <w:szCs w:val="24"/>
        </w:rPr>
        <w:t xml:space="preserve">тыс. руб., или на 97,7 процентов. </w:t>
      </w:r>
    </w:p>
    <w:p w14:paraId="33D7A1CA" w14:textId="77777777" w:rsidR="00062CB6" w:rsidRPr="008D7DB3" w:rsidRDefault="00062CB6" w:rsidP="00062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DB3">
        <w:rPr>
          <w:rFonts w:ascii="Times New Roman" w:hAnsi="Times New Roman" w:cs="Times New Roman"/>
          <w:sz w:val="24"/>
          <w:szCs w:val="24"/>
        </w:rPr>
        <w:t>Основную долю расходов составили расходы на оплату труда и в</w:t>
      </w:r>
      <w:r w:rsidRPr="008D7DB3">
        <w:rPr>
          <w:rFonts w:ascii="Times New Roman" w:hAnsi="Times New Roman" w:cs="Times New Roman"/>
          <w:color w:val="000000"/>
          <w:sz w:val="24"/>
          <w:szCs w:val="24"/>
        </w:rPr>
        <w:t xml:space="preserve">зносы в государственные внебюджетные фонды (74,5%), а также закупку товаров, работ и услуг для обеспечения государственных нужд, </w:t>
      </w:r>
      <w:r w:rsidRPr="008D7DB3">
        <w:rPr>
          <w:rFonts w:ascii="Times New Roman" w:hAnsi="Times New Roman" w:cs="Times New Roman"/>
          <w:sz w:val="24"/>
          <w:szCs w:val="24"/>
        </w:rPr>
        <w:t xml:space="preserve">в т.ч. арендную плату за пользование имуществом ТФОМС и его филиалов. </w:t>
      </w:r>
    </w:p>
    <w:p w14:paraId="72669673" w14:textId="1357183A" w:rsidR="00062CB6" w:rsidRPr="008D7DB3" w:rsidRDefault="00062CB6" w:rsidP="00062CB6">
      <w:pPr>
        <w:ind w:firstLine="720"/>
        <w:jc w:val="both"/>
      </w:pPr>
      <w:r w:rsidRPr="008D7DB3">
        <w:t>Расходы на административно-управленческую деятельность в 2019 году по отношению к 2018 году в целом увеличились на 12642,8 тыс. руб.</w:t>
      </w:r>
      <w:r w:rsidRPr="008D7DB3">
        <w:rPr>
          <w:bCs/>
          <w:iCs/>
          <w:color w:val="000000"/>
        </w:rPr>
        <w:t xml:space="preserve"> </w:t>
      </w:r>
      <w:r w:rsidRPr="008D7DB3">
        <w:t xml:space="preserve">(+5,7%) главным образом за счет увеличения расходов на </w:t>
      </w:r>
      <w:r w:rsidRPr="008D7DB3">
        <w:rPr>
          <w:color w:val="000000"/>
        </w:rPr>
        <w:t xml:space="preserve">закупку товаров, работ </w:t>
      </w:r>
      <w:r w:rsidRPr="008D7DB3">
        <w:t>и услуг</w:t>
      </w:r>
      <w:r w:rsidRPr="008D7DB3">
        <w:rPr>
          <w:color w:val="000000"/>
        </w:rPr>
        <w:t xml:space="preserve"> для обеспечения государственных нужд (</w:t>
      </w:r>
      <w:r w:rsidRPr="008D7DB3">
        <w:t>оборудования и программного обеспечения для защиты информации учреждения, компьютерной техники, транспортных средств, увеличение арендных платежей за арендованное недвижимое имущество).</w:t>
      </w:r>
    </w:p>
    <w:p w14:paraId="64A6B256" w14:textId="77777777" w:rsidR="00062CB6" w:rsidRPr="008D7DB3" w:rsidRDefault="00062CB6" w:rsidP="00062CB6">
      <w:pPr>
        <w:ind w:firstLine="720"/>
        <w:jc w:val="both"/>
      </w:pPr>
    </w:p>
    <w:p w14:paraId="6A14711F" w14:textId="77777777" w:rsidR="009C3560" w:rsidRPr="008D7DB3" w:rsidRDefault="009C3560" w:rsidP="009C3560">
      <w:pPr>
        <w:jc w:val="center"/>
        <w:rPr>
          <w:b/>
          <w:i/>
        </w:rPr>
      </w:pPr>
      <w:r w:rsidRPr="008D7DB3">
        <w:rPr>
          <w:b/>
          <w:i/>
        </w:rPr>
        <w:t>Анализ достижения показателей качества и доступности</w:t>
      </w:r>
    </w:p>
    <w:p w14:paraId="2D4490F9" w14:textId="77777777" w:rsidR="009C3560" w:rsidRPr="008D7DB3" w:rsidRDefault="009C3560" w:rsidP="009C3560">
      <w:pPr>
        <w:jc w:val="center"/>
        <w:rPr>
          <w:b/>
          <w:i/>
        </w:rPr>
      </w:pPr>
      <w:r w:rsidRPr="008D7DB3">
        <w:rPr>
          <w:b/>
          <w:i/>
        </w:rPr>
        <w:t xml:space="preserve"> медицинской помощи, установленных </w:t>
      </w:r>
      <w:proofErr w:type="spellStart"/>
      <w:r w:rsidRPr="008D7DB3">
        <w:rPr>
          <w:b/>
          <w:i/>
        </w:rPr>
        <w:t>Терпрограммой</w:t>
      </w:r>
      <w:proofErr w:type="spellEnd"/>
      <w:r w:rsidRPr="008D7DB3">
        <w:rPr>
          <w:b/>
          <w:i/>
        </w:rPr>
        <w:t>, отдельные вопросы реализации Терпрограммы в части средств ОМС</w:t>
      </w:r>
    </w:p>
    <w:p w14:paraId="1B63C56D" w14:textId="77777777" w:rsidR="004A36C6" w:rsidRPr="008D7DB3" w:rsidRDefault="004A36C6" w:rsidP="00767295">
      <w:pPr>
        <w:ind w:firstLine="708"/>
        <w:jc w:val="both"/>
      </w:pPr>
    </w:p>
    <w:p w14:paraId="3A7A6AB6" w14:textId="34E6F578" w:rsidR="005D4E13" w:rsidRPr="008D7DB3" w:rsidRDefault="00056F85" w:rsidP="00767295">
      <w:pPr>
        <w:ind w:firstLine="708"/>
        <w:jc w:val="both"/>
      </w:pPr>
      <w:r w:rsidRPr="008D7DB3">
        <w:t xml:space="preserve">Анализ </w:t>
      </w:r>
      <w:r w:rsidR="00606F53" w:rsidRPr="008D7DB3">
        <w:t>исполнения целевых значений критериев доступности и качества медицинской помощи (</w:t>
      </w:r>
      <w:r w:rsidR="00606F53" w:rsidRPr="008D7DB3">
        <w:rPr>
          <w:color w:val="0000FF"/>
        </w:rPr>
        <w:t xml:space="preserve">приложение № 6) </w:t>
      </w:r>
      <w:r w:rsidRPr="008D7DB3">
        <w:t xml:space="preserve">проведен </w:t>
      </w:r>
      <w:r w:rsidR="00767295" w:rsidRPr="008D7DB3">
        <w:t xml:space="preserve">в соответствии со </w:t>
      </w:r>
      <w:r w:rsidR="00DF07BD" w:rsidRPr="008D7DB3">
        <w:rPr>
          <w:snapToGrid w:val="0"/>
        </w:rPr>
        <w:t xml:space="preserve">Стандартом финансового контроля СГФК 205 «Организация и проведение внешней проверки годового отчета об исполнении бюджета ТФОМС </w:t>
      </w:r>
      <w:r w:rsidR="00DF07BD" w:rsidRPr="008D7DB3">
        <w:t>Волгоградской области», утвержденным постановлением коллегии КСП от 07.12.2016 № 28/2</w:t>
      </w:r>
      <w:r w:rsidR="00E14838" w:rsidRPr="008D7DB3">
        <w:t>.</w:t>
      </w:r>
    </w:p>
    <w:p w14:paraId="055CA22F" w14:textId="77777777" w:rsidR="00233866" w:rsidRPr="008D7DB3" w:rsidRDefault="00233866" w:rsidP="00233866">
      <w:pPr>
        <w:ind w:firstLine="709"/>
        <w:jc w:val="both"/>
      </w:pPr>
      <w:proofErr w:type="spellStart"/>
      <w:r w:rsidRPr="008D7DB3">
        <w:t>Терпрограммой</w:t>
      </w:r>
      <w:proofErr w:type="spellEnd"/>
      <w:r w:rsidRPr="008D7DB3">
        <w:t xml:space="preserve"> на 201</w:t>
      </w:r>
      <w:r w:rsidR="00D904D2" w:rsidRPr="008D7DB3">
        <w:t>9</w:t>
      </w:r>
      <w:r w:rsidRPr="008D7DB3">
        <w:t xml:space="preserve"> год установлены </w:t>
      </w:r>
      <w:r w:rsidR="00D904D2" w:rsidRPr="008D7DB3">
        <w:t>47</w:t>
      </w:r>
      <w:r w:rsidRPr="008D7DB3">
        <w:t xml:space="preserve"> критери</w:t>
      </w:r>
      <w:r w:rsidR="00D904D2" w:rsidRPr="008D7DB3">
        <w:t>ев</w:t>
      </w:r>
      <w:r w:rsidRPr="008D7DB3">
        <w:t xml:space="preserve"> доступности и качества медицинской помощи, оказываемой в рамках Терпрограммы, в том числе: качества медицинской помощи - </w:t>
      </w:r>
      <w:r w:rsidR="00D904D2" w:rsidRPr="008D7DB3">
        <w:t>30</w:t>
      </w:r>
      <w:r w:rsidRPr="008D7DB3">
        <w:t xml:space="preserve">, доступности медицинской помощи - </w:t>
      </w:r>
      <w:r w:rsidR="00D904D2" w:rsidRPr="008D7DB3">
        <w:t>15</w:t>
      </w:r>
      <w:r w:rsidRPr="008D7DB3">
        <w:t>, эффективности деятельности медицинских организаций - 2.</w:t>
      </w:r>
    </w:p>
    <w:p w14:paraId="4DC6A54A" w14:textId="77777777" w:rsidR="00233866" w:rsidRPr="008D7DB3" w:rsidRDefault="00233866" w:rsidP="00233866">
      <w:pPr>
        <w:ind w:firstLine="709"/>
        <w:jc w:val="both"/>
      </w:pPr>
      <w:r w:rsidRPr="008D7DB3">
        <w:t xml:space="preserve">Из </w:t>
      </w:r>
      <w:r w:rsidR="00D904D2" w:rsidRPr="008D7DB3">
        <w:t>30</w:t>
      </w:r>
      <w:r w:rsidRPr="008D7DB3">
        <w:t xml:space="preserve"> критери</w:t>
      </w:r>
      <w:r w:rsidR="00D904D2" w:rsidRPr="008D7DB3">
        <w:t xml:space="preserve">ев </w:t>
      </w:r>
      <w:r w:rsidRPr="008D7DB3">
        <w:rPr>
          <w:u w:val="single"/>
        </w:rPr>
        <w:t>качества</w:t>
      </w:r>
      <w:r w:rsidRPr="008D7DB3">
        <w:t xml:space="preserve"> медицинской помощи не выполнено </w:t>
      </w:r>
      <w:r w:rsidR="00D904D2" w:rsidRPr="008D7DB3">
        <w:t xml:space="preserve">9 </w:t>
      </w:r>
      <w:r w:rsidR="0025120A" w:rsidRPr="008D7DB3">
        <w:t>(</w:t>
      </w:r>
      <w:r w:rsidR="00D904D2" w:rsidRPr="008D7DB3">
        <w:t>30</w:t>
      </w:r>
      <w:r w:rsidR="00D60B3B" w:rsidRPr="008D7DB3">
        <w:t>%</w:t>
      </w:r>
      <w:r w:rsidR="0025120A" w:rsidRPr="008D7DB3">
        <w:t>)</w:t>
      </w:r>
      <w:r w:rsidR="00D60B3B" w:rsidRPr="008D7DB3">
        <w:t xml:space="preserve">: </w:t>
      </w:r>
    </w:p>
    <w:p w14:paraId="58BFD4E8" w14:textId="77777777" w:rsidR="00D904D2" w:rsidRPr="008D7DB3" w:rsidRDefault="00D904D2" w:rsidP="00D904D2">
      <w:pPr>
        <w:ind w:firstLine="709"/>
        <w:jc w:val="both"/>
      </w:pPr>
      <w:r w:rsidRPr="008D7DB3">
        <w:t>- «Доля умерших в трудоспособном возрасте на дому в общем количестве умерших в трудоспособном возрасте» (план – 39%, факт – 43,4%);</w:t>
      </w:r>
    </w:p>
    <w:p w14:paraId="5257BDFE" w14:textId="77777777" w:rsidR="00D904D2" w:rsidRPr="008D7DB3" w:rsidRDefault="00D904D2" w:rsidP="00D904D2">
      <w:pPr>
        <w:ind w:firstLine="709"/>
        <w:jc w:val="both"/>
      </w:pPr>
      <w:r w:rsidRPr="008D7DB3">
        <w:t xml:space="preserve">-«Смертность населения» (план – 12,7%, факт – 13,1%) (в том числе городского населения (план – 12,5%, факт – 12,9%), сельского </w:t>
      </w:r>
      <w:proofErr w:type="gramStart"/>
      <w:r w:rsidRPr="008D7DB3">
        <w:t>населения  (</w:t>
      </w:r>
      <w:proofErr w:type="gramEnd"/>
      <w:r w:rsidRPr="008D7DB3">
        <w:t xml:space="preserve">план – 14 %, факт – 14%). </w:t>
      </w:r>
    </w:p>
    <w:p w14:paraId="0B20A0D4" w14:textId="77777777" w:rsidR="00E23B23" w:rsidRPr="008D7DB3" w:rsidRDefault="00D904D2" w:rsidP="00D904D2">
      <w:pPr>
        <w:ind w:firstLine="709"/>
        <w:jc w:val="both"/>
      </w:pPr>
      <w:r w:rsidRPr="008D7DB3">
        <w:t>По пояснениям Облздрава невыполнение вышеуказанных показателей связано с низкой приверженностью граждан к здоровому образу жизни и поздней обращаемостью в медицинские организации.</w:t>
      </w:r>
      <w:r w:rsidR="00E23B23" w:rsidRPr="008D7DB3">
        <w:t xml:space="preserve"> </w:t>
      </w:r>
    </w:p>
    <w:p w14:paraId="7DC69989" w14:textId="77777777" w:rsidR="00D904D2" w:rsidRPr="008D7DB3" w:rsidRDefault="00D904D2" w:rsidP="00D904D2">
      <w:pPr>
        <w:ind w:firstLine="709"/>
        <w:jc w:val="both"/>
      </w:pPr>
      <w:r w:rsidRPr="008D7DB3">
        <w:lastRenderedPageBreak/>
        <w:t xml:space="preserve">-«Материнская смертность» (план </w:t>
      </w:r>
      <w:proofErr w:type="gramStart"/>
      <w:r w:rsidRPr="008D7DB3">
        <w:t>–  4</w:t>
      </w:r>
      <w:proofErr w:type="gramEnd"/>
      <w:r w:rsidRPr="008D7DB3">
        <w:t xml:space="preserve"> на 100 тыс. родившихся живыми, факт – 18,8 на 100 тыс. родившихся живыми), связана в основном с </w:t>
      </w:r>
      <w:proofErr w:type="spellStart"/>
      <w:r w:rsidRPr="008D7DB3">
        <w:t>экстрагенитальными</w:t>
      </w:r>
      <w:proofErr w:type="spellEnd"/>
      <w:r w:rsidRPr="008D7DB3">
        <w:t xml:space="preserve"> патологиями (сопутствующими заболеваниями).</w:t>
      </w:r>
    </w:p>
    <w:p w14:paraId="46FD29A2" w14:textId="02D4C082" w:rsidR="00D904D2" w:rsidRPr="008D7DB3" w:rsidRDefault="00D904D2" w:rsidP="00D904D2">
      <w:pPr>
        <w:ind w:firstLine="709"/>
        <w:jc w:val="both"/>
      </w:pPr>
      <w:r w:rsidRPr="008D7DB3">
        <w:t xml:space="preserve"> Следует отметить, </w:t>
      </w:r>
      <w:r w:rsidR="00256E40" w:rsidRPr="008D7DB3">
        <w:t xml:space="preserve">что </w:t>
      </w:r>
      <w:r w:rsidRPr="008D7DB3">
        <w:t xml:space="preserve">в 2019 году значительно выросла материнская смертность по сравнению с 2016-2018 годами. Так, по сравнению с 2016 годом смертность увеличилась в 5,4 раза, с 2017 годом – в 4,7 раза, с 2018 годом – в 2,2 раза. </w:t>
      </w:r>
    </w:p>
    <w:p w14:paraId="79331845" w14:textId="77777777" w:rsidR="00D904D2" w:rsidRPr="008D7DB3" w:rsidRDefault="00D904D2" w:rsidP="00D904D2">
      <w:pPr>
        <w:ind w:firstLine="709"/>
        <w:jc w:val="both"/>
      </w:pPr>
      <w:r w:rsidRPr="008D7DB3">
        <w:t xml:space="preserve">-«Доля </w:t>
      </w:r>
      <w:proofErr w:type="gramStart"/>
      <w:r w:rsidRPr="008D7DB3">
        <w:t>умерших  в</w:t>
      </w:r>
      <w:proofErr w:type="gramEnd"/>
      <w:r w:rsidRPr="008D7DB3">
        <w:t xml:space="preserve"> возрасте 0 - 4 лет на дому в общем количестве умерших в возрасте 0-4 лет» (план – 15%, факт – 16,2%). Невыполнение показателя обусловлено в большей степени социально-бытовыми факторами (вредные привычки родителей (алкоголизм) и отсутствие необходимой заботы и внимания родителей к своим детям).</w:t>
      </w:r>
    </w:p>
    <w:p w14:paraId="383708E7" w14:textId="77777777" w:rsidR="00213200" w:rsidRPr="008D7DB3" w:rsidRDefault="00213200" w:rsidP="00213200">
      <w:pPr>
        <w:ind w:firstLine="709"/>
        <w:jc w:val="both"/>
      </w:pPr>
      <w:r w:rsidRPr="008D7DB3">
        <w:t>-Доля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года» (план – 6,3%, факт – 5,8%).</w:t>
      </w:r>
    </w:p>
    <w:p w14:paraId="325D46E2" w14:textId="77777777" w:rsidR="00213200" w:rsidRPr="008D7DB3" w:rsidRDefault="00213200" w:rsidP="00213200">
      <w:pPr>
        <w:ind w:firstLine="709"/>
        <w:jc w:val="both"/>
      </w:pPr>
      <w:r w:rsidRPr="008D7DB3">
        <w:t>-«Доля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возраста» (план – 6,4%, факт – 5,1%).</w:t>
      </w:r>
    </w:p>
    <w:p w14:paraId="3F751216" w14:textId="631F1BE3" w:rsidR="00213200" w:rsidRPr="008D7DB3" w:rsidRDefault="00256E40" w:rsidP="00213200">
      <w:pPr>
        <w:ind w:firstLine="709"/>
        <w:jc w:val="both"/>
      </w:pPr>
      <w:r w:rsidRPr="008D7DB3">
        <w:t>По пояснениям Облздрава н</w:t>
      </w:r>
      <w:r w:rsidR="00213200" w:rsidRPr="008D7DB3">
        <w:t xml:space="preserve">евыполнение двух </w:t>
      </w:r>
      <w:r w:rsidRPr="008D7DB3">
        <w:t xml:space="preserve">последних </w:t>
      </w:r>
      <w:r w:rsidR="00213200" w:rsidRPr="008D7DB3">
        <w:t>показателей связано с преобладанием лиц, имею</w:t>
      </w:r>
      <w:r w:rsidRPr="008D7DB3">
        <w:t xml:space="preserve">щих </w:t>
      </w:r>
      <w:r w:rsidR="00213200" w:rsidRPr="008D7DB3">
        <w:t>хроническ</w:t>
      </w:r>
      <w:r w:rsidRPr="008D7DB3">
        <w:t>ие</w:t>
      </w:r>
      <w:r w:rsidR="00213200" w:rsidRPr="008D7DB3">
        <w:t xml:space="preserve"> заболевани</w:t>
      </w:r>
      <w:r w:rsidRPr="008D7DB3">
        <w:t>я, в числе проходящих профилактические медицинские осмотры</w:t>
      </w:r>
      <w:r w:rsidR="00213200" w:rsidRPr="008D7DB3">
        <w:t>.</w:t>
      </w:r>
    </w:p>
    <w:p w14:paraId="0943A27F" w14:textId="3A7589E7" w:rsidR="00213200" w:rsidRPr="008D7DB3" w:rsidRDefault="00213200" w:rsidP="00213200">
      <w:pPr>
        <w:ind w:firstLine="709"/>
        <w:jc w:val="both"/>
      </w:pPr>
      <w:r w:rsidRPr="008D7DB3">
        <w:t>-«Доля впервые выявленных онкологических заболеваний при профилактических медицинских осмотрах, в том числе</w:t>
      </w:r>
      <w:r w:rsidR="009341CB" w:rsidRPr="008D7DB3">
        <w:t xml:space="preserve"> в</w:t>
      </w:r>
      <w:r w:rsidRPr="008D7DB3">
        <w:t xml:space="preserve"> рамках диспансеризации, в общем количестве впервые в жизни зарегистрированных онкологических заболеваний в течение года» (план – 14,1%, факт – 9%) в связи отсутствием при диспансеризации и профилактических медицинских осмотрах всего объема лабораторных и инструментальных исследований, позволяющи</w:t>
      </w:r>
      <w:r w:rsidR="009341CB" w:rsidRPr="008D7DB3">
        <w:t>х</w:t>
      </w:r>
      <w:r w:rsidRPr="008D7DB3">
        <w:t xml:space="preserve"> установить соответствующий диагноз.</w:t>
      </w:r>
    </w:p>
    <w:p w14:paraId="02BDA713" w14:textId="77777777" w:rsidR="00213200" w:rsidRPr="008D7DB3" w:rsidRDefault="00213200" w:rsidP="00213200">
      <w:pPr>
        <w:ind w:firstLine="709"/>
        <w:jc w:val="both"/>
      </w:pPr>
      <w:r w:rsidRPr="008D7DB3">
        <w:t xml:space="preserve">-«Доля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года» (план – </w:t>
      </w:r>
      <w:r w:rsidR="00FA2AED" w:rsidRPr="008D7DB3">
        <w:t>57,9</w:t>
      </w:r>
      <w:r w:rsidRPr="008D7DB3">
        <w:t xml:space="preserve">%, факт – </w:t>
      </w:r>
      <w:r w:rsidR="00FA2AED" w:rsidRPr="008D7DB3">
        <w:t>55,2</w:t>
      </w:r>
      <w:r w:rsidRPr="008D7DB3">
        <w:t xml:space="preserve">%) в связи с </w:t>
      </w:r>
      <w:r w:rsidR="008C4FF0" w:rsidRPr="008D7DB3">
        <w:t xml:space="preserve">низкой </w:t>
      </w:r>
      <w:proofErr w:type="spellStart"/>
      <w:r w:rsidR="008C4FF0" w:rsidRPr="008D7DB3">
        <w:t>онконастороженностью</w:t>
      </w:r>
      <w:proofErr w:type="spellEnd"/>
      <w:r w:rsidR="008C4FF0" w:rsidRPr="008D7DB3">
        <w:t xml:space="preserve"> населения, недостаточным оснащением медицинской техникой для выявления онкозаболеваний, кадровым дефицитом.</w:t>
      </w:r>
    </w:p>
    <w:p w14:paraId="40BF3B93" w14:textId="4A38327E" w:rsidR="00213200" w:rsidRPr="008D7DB3" w:rsidRDefault="00213200" w:rsidP="00213200">
      <w:pPr>
        <w:ind w:firstLine="709"/>
        <w:jc w:val="both"/>
      </w:pPr>
      <w:r w:rsidRPr="008D7DB3">
        <w:t>- «Доля пациентов с инфарктом миокарда, госпитализированных в первые 12 часов от начала заболевания, в общем количестве госпитализированных пац</w:t>
      </w:r>
      <w:r w:rsidR="00E23B23" w:rsidRPr="008D7DB3">
        <w:t>и</w:t>
      </w:r>
      <w:r w:rsidRPr="008D7DB3">
        <w:t>ентов с инфарктом миокарда» (план – 42%, факт – 41%) в связи  с недостаточной настороженностью пациентов к  симптомам острых сосудистых заболеваний, и</w:t>
      </w:r>
      <w:r w:rsidR="009341CB" w:rsidRPr="008D7DB3">
        <w:t>,</w:t>
      </w:r>
      <w:r w:rsidRPr="008D7DB3">
        <w:t xml:space="preserve"> как следствие, поздним  обращением граждан в медицинские организации.</w:t>
      </w:r>
    </w:p>
    <w:p w14:paraId="035D4EAD" w14:textId="68F5E1DD" w:rsidR="005B1F6A" w:rsidRPr="008D7DB3" w:rsidRDefault="005B1F6A" w:rsidP="005B1F6A">
      <w:pPr>
        <w:ind w:firstLine="709"/>
        <w:jc w:val="both"/>
      </w:pPr>
      <w:r w:rsidRPr="008D7DB3">
        <w:t xml:space="preserve">Таким образом, невыполнение показателей по заболеваемости и смертности населения может быть обусловлено невыполнением показателей по проведению диспансеризации и профилактических осмотров, сутью которых является выявление </w:t>
      </w:r>
      <w:hyperlink r:id="rId8" w:tooltip="Болезнь" w:history="1">
        <w:r w:rsidRPr="008D7DB3">
          <w:t>хронических</w:t>
        </w:r>
      </w:hyperlink>
      <w:r w:rsidRPr="008D7DB3">
        <w:t xml:space="preserve"> неинфекционных заболеваний, являющихся основной причиной преждевременной </w:t>
      </w:r>
      <w:hyperlink r:id="rId9" w:tooltip="Смертность" w:history="1">
        <w:r w:rsidRPr="008D7DB3">
          <w:t>смертности</w:t>
        </w:r>
      </w:hyperlink>
      <w:r w:rsidRPr="008D7DB3">
        <w:t xml:space="preserve"> в РФ (болезни </w:t>
      </w:r>
      <w:hyperlink r:id="rId10" w:tooltip="Сердечно-сосудистая система" w:history="1">
        <w:r w:rsidRPr="008D7DB3">
          <w:t>системы кровообращения</w:t>
        </w:r>
      </w:hyperlink>
      <w:r w:rsidRPr="008D7DB3">
        <w:t xml:space="preserve">, </w:t>
      </w:r>
      <w:hyperlink r:id="rId11" w:tooltip="Онкология" w:history="1">
        <w:r w:rsidRPr="008D7DB3">
          <w:t>онкологические заболевания</w:t>
        </w:r>
      </w:hyperlink>
      <w:r w:rsidRPr="008D7DB3">
        <w:t xml:space="preserve">, болезни </w:t>
      </w:r>
      <w:hyperlink r:id="rId12" w:tooltip="Органы дыхания" w:history="1">
        <w:r w:rsidRPr="008D7DB3">
          <w:t>органов дыхания</w:t>
        </w:r>
      </w:hyperlink>
      <w:r w:rsidRPr="008D7DB3">
        <w:t xml:space="preserve">, </w:t>
      </w:r>
      <w:hyperlink r:id="rId13" w:tooltip="Сахарный диабет" w:history="1">
        <w:r w:rsidRPr="008D7DB3">
          <w:t>сахарный диабет)</w:t>
        </w:r>
      </w:hyperlink>
      <w:r w:rsidRPr="008D7DB3">
        <w:t>.</w:t>
      </w:r>
    </w:p>
    <w:p w14:paraId="2D9FE5EA" w14:textId="77777777" w:rsidR="00213200" w:rsidRPr="008D7DB3" w:rsidRDefault="00213200" w:rsidP="00213200">
      <w:pPr>
        <w:ind w:firstLine="709"/>
        <w:jc w:val="both"/>
      </w:pPr>
      <w:r w:rsidRPr="008D7DB3">
        <w:t xml:space="preserve">Из 15 </w:t>
      </w:r>
      <w:r w:rsidRPr="008D7DB3">
        <w:rPr>
          <w:u w:val="single"/>
        </w:rPr>
        <w:t>критериев доступности медицинской помощи</w:t>
      </w:r>
      <w:r w:rsidRPr="008D7DB3">
        <w:t xml:space="preserve"> не выполнено 5 (33,3%</w:t>
      </w:r>
      <w:proofErr w:type="gramStart"/>
      <w:r w:rsidRPr="008D7DB3">
        <w:t>),  из</w:t>
      </w:r>
      <w:proofErr w:type="gramEnd"/>
      <w:r w:rsidRPr="008D7DB3">
        <w:t xml:space="preserve"> них:</w:t>
      </w:r>
    </w:p>
    <w:p w14:paraId="6A441C25" w14:textId="77777777" w:rsidR="00213200" w:rsidRPr="008D7DB3" w:rsidRDefault="00213200" w:rsidP="00213200">
      <w:pPr>
        <w:ind w:firstLine="709"/>
        <w:jc w:val="both"/>
      </w:pPr>
      <w:r w:rsidRPr="008D7DB3">
        <w:t>-«Обеспеченность населения врачами» (план – 37,2 на 10 тыс. человек населения, факт – 36,5 на 10 тыс. человек населения) и «Обеспеченность населения средним медицинским персоналом» (план – 88,7 на 10 тыс. человек населения, факт – 86,2 на 10 тыс. человек населения) в связи дефицито</w:t>
      </w:r>
      <w:r w:rsidR="00971F1E" w:rsidRPr="008D7DB3">
        <w:t>м кадров медицинских работников.</w:t>
      </w:r>
    </w:p>
    <w:p w14:paraId="51F8A4FC" w14:textId="4866E306" w:rsidR="00971F1E" w:rsidRPr="008D7DB3" w:rsidRDefault="00220DEF" w:rsidP="00213200">
      <w:pPr>
        <w:ind w:firstLine="709"/>
        <w:jc w:val="both"/>
      </w:pPr>
      <w:r w:rsidRPr="008D7DB3">
        <w:t>Следует отметить, что</w:t>
      </w:r>
      <w:r w:rsidR="001504DF" w:rsidRPr="008D7DB3">
        <w:t>,</w:t>
      </w:r>
      <w:r w:rsidRPr="008D7DB3">
        <w:t xml:space="preserve"> несмотря на привлечение </w:t>
      </w:r>
      <w:proofErr w:type="gramStart"/>
      <w:r w:rsidRPr="008D7DB3">
        <w:t>специалистов</w:t>
      </w:r>
      <w:proofErr w:type="gramEnd"/>
      <w:r w:rsidRPr="008D7DB3">
        <w:t xml:space="preserve"> а рамках государственных программ «Земский доктор» и Земский фельдшер»</w:t>
      </w:r>
      <w:r w:rsidR="0038546C" w:rsidRPr="008D7DB3">
        <w:t>,</w:t>
      </w:r>
      <w:r w:rsidRPr="008D7DB3">
        <w:t xml:space="preserve"> увеличивается отток с</w:t>
      </w:r>
      <w:r w:rsidR="0038546C" w:rsidRPr="008D7DB3">
        <w:t>пе</w:t>
      </w:r>
      <w:r w:rsidRPr="008D7DB3">
        <w:t>циалистов из медицинских организаций.</w:t>
      </w:r>
    </w:p>
    <w:p w14:paraId="4ADE46D1" w14:textId="22A9C67C" w:rsidR="00220DEF" w:rsidRPr="008D7DB3" w:rsidRDefault="00220DEF" w:rsidP="00213200">
      <w:pPr>
        <w:ind w:firstLine="709"/>
        <w:jc w:val="both"/>
      </w:pPr>
      <w:r w:rsidRPr="008D7DB3">
        <w:t>Как показала камеральная внешняя проверка бюджетной отчетности и отдельных вопросов исполнения областного бюджета за 2019 год Облздрава</w:t>
      </w:r>
      <w:r w:rsidR="0038546C" w:rsidRPr="008D7DB3">
        <w:t>,</w:t>
      </w:r>
      <w:r w:rsidRPr="008D7DB3">
        <w:t xml:space="preserve"> договоры о предоставлении единовременной компенсационной выплаты по программе «Земский доктор/фельдшер» в 2019 году были заключены с</w:t>
      </w:r>
      <w:r w:rsidR="0038546C" w:rsidRPr="008D7DB3">
        <w:t>о</w:t>
      </w:r>
      <w:r w:rsidRPr="008D7DB3">
        <w:t xml:space="preserve"> 154 медицинскими работниками (94 врача </w:t>
      </w:r>
      <w:r w:rsidRPr="008D7DB3">
        <w:lastRenderedPageBreak/>
        <w:t xml:space="preserve">и 60 фельдшеров). При этом </w:t>
      </w:r>
      <w:r w:rsidR="002E78BD" w:rsidRPr="008D7DB3">
        <w:t>на протяжении последнего времени наблюдается</w:t>
      </w:r>
      <w:r w:rsidRPr="008D7DB3">
        <w:t xml:space="preserve"> </w:t>
      </w:r>
      <w:r w:rsidR="002E78BD" w:rsidRPr="008D7DB3">
        <w:t>рост</w:t>
      </w:r>
      <w:r w:rsidRPr="008D7DB3">
        <w:t xml:space="preserve"> возврат</w:t>
      </w:r>
      <w:r w:rsidR="002E78BD" w:rsidRPr="008D7DB3">
        <w:t>ов</w:t>
      </w:r>
      <w:r w:rsidRPr="008D7DB3">
        <w:t xml:space="preserve"> единовременной компенсационной выплаты, полученной ранее медицинскими работниками, переехавшими в населенные пункты сельской местности в связи с досрочным прекращением трудового договора (до истечения 5-летнего срока). </w:t>
      </w:r>
    </w:p>
    <w:p w14:paraId="4C4F8FA6" w14:textId="77777777" w:rsidR="006F1A42" w:rsidRPr="008D7DB3" w:rsidRDefault="006F1A42" w:rsidP="006F1A42">
      <w:pPr>
        <w:ind w:firstLine="709"/>
        <w:jc w:val="both"/>
      </w:pPr>
      <w:r w:rsidRPr="008D7DB3">
        <w:t>Так, в 2019 году при плане 12 млн. руб. фактически возвращено – 16,9 млн. руб., в 2018 году - при плане 4,2 млн. руб. факт составил 5,8 млн. руб., т.е. отмечается динамика роста возвратов единовременной компенсационной выплаты.</w:t>
      </w:r>
    </w:p>
    <w:p w14:paraId="2346B756" w14:textId="66304CC6" w:rsidR="006F1A42" w:rsidRPr="008D7DB3" w:rsidRDefault="006F1A42" w:rsidP="006F1A42">
      <w:pPr>
        <w:ind w:firstLine="709"/>
        <w:jc w:val="both"/>
      </w:pPr>
      <w:r w:rsidRPr="008D7DB3">
        <w:t>По пояснениям Облздрава причинами досрочного расторжения договоров являются</w:t>
      </w:r>
      <w:r w:rsidR="0038546C" w:rsidRPr="008D7DB3">
        <w:t>,</w:t>
      </w:r>
      <w:r w:rsidRPr="008D7DB3">
        <w:t xml:space="preserve"> в том числе необеспеченность населенных пунктов досуговыми центрами, спортивными объектами, дорогами, общественным транспортом и </w:t>
      </w:r>
      <w:proofErr w:type="spellStart"/>
      <w:r w:rsidRPr="008D7DB3">
        <w:t>др</w:t>
      </w:r>
      <w:proofErr w:type="spellEnd"/>
      <w:r w:rsidRPr="008D7DB3">
        <w:t>;</w:t>
      </w:r>
    </w:p>
    <w:p w14:paraId="6AF42486" w14:textId="39862935" w:rsidR="00213200" w:rsidRPr="008D7DB3" w:rsidRDefault="00213200" w:rsidP="00213200">
      <w:pPr>
        <w:tabs>
          <w:tab w:val="left" w:pos="993"/>
        </w:tabs>
        <w:ind w:firstLine="709"/>
        <w:jc w:val="both"/>
      </w:pPr>
      <w:r w:rsidRPr="008D7DB3">
        <w:t>-</w:t>
      </w:r>
      <w:r w:rsidR="0038546C" w:rsidRPr="008D7DB3">
        <w:t> </w:t>
      </w:r>
      <w:r w:rsidRPr="008D7DB3">
        <w:t>«Доля охвата диспансеризацией взрослого населения, подлежащего диспансеризации» (план – 25%, факт – 24,8%)</w:t>
      </w:r>
      <w:r w:rsidR="0038546C" w:rsidRPr="008D7DB3">
        <w:t>,</w:t>
      </w:r>
      <w:r w:rsidR="001046D3" w:rsidRPr="008D7DB3">
        <w:t xml:space="preserve"> в связи</w:t>
      </w:r>
      <w:r w:rsidR="0038546C" w:rsidRPr="008D7DB3">
        <w:t xml:space="preserve"> с</w:t>
      </w:r>
      <w:r w:rsidR="001046D3" w:rsidRPr="008D7DB3">
        <w:t xml:space="preserve"> </w:t>
      </w:r>
      <w:r w:rsidRPr="008D7DB3">
        <w:t>низкой обращаемостью и приверженностью к участию в прохождении профилактических медицинских осмотров (в основном среди лиц мужского пола).</w:t>
      </w:r>
    </w:p>
    <w:p w14:paraId="332A110E" w14:textId="73C07645" w:rsidR="00213200" w:rsidRPr="008D7DB3" w:rsidRDefault="00213200" w:rsidP="00213200">
      <w:pPr>
        <w:ind w:firstLine="709"/>
        <w:jc w:val="both"/>
        <w:rPr>
          <w:color w:val="FF0000"/>
        </w:rPr>
      </w:pPr>
      <w:r w:rsidRPr="008D7DB3">
        <w:t>-</w:t>
      </w:r>
      <w:r w:rsidR="0038546C" w:rsidRPr="008D7DB3">
        <w:t> </w:t>
      </w:r>
      <w:r w:rsidRPr="008D7DB3">
        <w:t xml:space="preserve">«Доля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пунктов» (план – 67,8%, факт – 70,1%) в связи </w:t>
      </w:r>
      <w:r w:rsidR="00E23B23" w:rsidRPr="008D7DB3">
        <w:t xml:space="preserve">с </w:t>
      </w:r>
      <w:proofErr w:type="spellStart"/>
      <w:r w:rsidRPr="008D7DB3">
        <w:t>невведением</w:t>
      </w:r>
      <w:proofErr w:type="spellEnd"/>
      <w:r w:rsidRPr="008D7DB3">
        <w:t xml:space="preserve"> в 2019 году </w:t>
      </w:r>
      <w:r w:rsidR="00E23B23" w:rsidRPr="008D7DB3">
        <w:t xml:space="preserve">в эксплуатацию </w:t>
      </w:r>
      <w:r w:rsidRPr="008D7DB3">
        <w:t xml:space="preserve">построенных </w:t>
      </w:r>
      <w:proofErr w:type="spellStart"/>
      <w:r w:rsidRPr="008D7DB3">
        <w:t>ФАПов</w:t>
      </w:r>
      <w:proofErr w:type="spellEnd"/>
      <w:r w:rsidRPr="008D7DB3">
        <w:t xml:space="preserve"> по причине прохождения их лицензирования на осуществление медицинской деятельности.</w:t>
      </w:r>
    </w:p>
    <w:p w14:paraId="6FDD20F9" w14:textId="77777777" w:rsidR="00213200" w:rsidRPr="008D7DB3" w:rsidRDefault="00213200" w:rsidP="00213200">
      <w:pPr>
        <w:ind w:firstLine="709"/>
        <w:jc w:val="both"/>
      </w:pPr>
      <w:r w:rsidRPr="008D7DB3">
        <w:t xml:space="preserve">- «Число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жительства»  (план - 4 чел., факт 0 чел.) в связи с </w:t>
      </w:r>
      <w:r w:rsidR="00702E5B" w:rsidRPr="008D7DB3">
        <w:t xml:space="preserve"> не обращением граждан</w:t>
      </w:r>
      <w:r w:rsidRPr="008D7DB3">
        <w:t xml:space="preserve">. </w:t>
      </w:r>
    </w:p>
    <w:p w14:paraId="1146D6F6" w14:textId="52C07865" w:rsidR="001046D3" w:rsidRPr="008D7DB3" w:rsidRDefault="001046D3" w:rsidP="001046D3">
      <w:pPr>
        <w:ind w:firstLine="709"/>
        <w:jc w:val="both"/>
      </w:pPr>
      <w:r w:rsidRPr="008D7DB3">
        <w:t xml:space="preserve">Из 2-х </w:t>
      </w:r>
      <w:r w:rsidRPr="008D7DB3">
        <w:rPr>
          <w:u w:val="single"/>
        </w:rPr>
        <w:t>критериев эффективности деятельности медицинских организаций</w:t>
      </w:r>
      <w:r w:rsidRPr="008D7DB3">
        <w:t xml:space="preserve"> в 2019 году также</w:t>
      </w:r>
      <w:r w:rsidR="0038546C" w:rsidRPr="008D7DB3">
        <w:t>,</w:t>
      </w:r>
      <w:r w:rsidRPr="008D7DB3">
        <w:t xml:space="preserve"> как и в 2018 и 2017 годах</w:t>
      </w:r>
      <w:r w:rsidR="0038546C" w:rsidRPr="008D7DB3">
        <w:t>,</w:t>
      </w:r>
      <w:r w:rsidRPr="008D7DB3">
        <w:t xml:space="preserve"> не выполнен - «Среднегодовая занятость койки круглосуточного стационара в медицинских организациях» (план – 328 дня в году, факт – 308 дней в году; в 2018 году план – 333  дня в году, факт – 310,1 дня в году; в 2017 году план – 332 дня в году, факт – 315,8 дней в году). </w:t>
      </w:r>
    </w:p>
    <w:p w14:paraId="65B1616C" w14:textId="77777777" w:rsidR="00D37011" w:rsidRPr="008D7DB3" w:rsidRDefault="00D37011" w:rsidP="001046D3">
      <w:pPr>
        <w:ind w:firstLine="709"/>
        <w:jc w:val="both"/>
      </w:pPr>
      <w:r w:rsidRPr="008D7DB3">
        <w:t xml:space="preserve">В 2019 году по результатам  </w:t>
      </w:r>
      <w:r w:rsidR="00CB1F52" w:rsidRPr="008D7DB3">
        <w:t>камеральной внешней проверки бюджетной отчетности и отдельных вопросов исполнения бюджета ТФОМС Волгоградской области за 2018 год</w:t>
      </w:r>
      <w:r w:rsidRPr="008D7DB3">
        <w:t xml:space="preserve">   были скорректированы критерии качества и доступности </w:t>
      </w:r>
      <w:r w:rsidR="005F254F" w:rsidRPr="008D7DB3">
        <w:t xml:space="preserve">медицинской помощи </w:t>
      </w:r>
      <w:r w:rsidRPr="008D7DB3">
        <w:t xml:space="preserve">Терпрограммы, которые существенно </w:t>
      </w:r>
      <w:r w:rsidR="005F254F" w:rsidRPr="008D7DB3">
        <w:t>были перевыполнены</w:t>
      </w:r>
      <w:r w:rsidRPr="008D7DB3">
        <w:t xml:space="preserve"> </w:t>
      </w:r>
      <w:r w:rsidR="005F254F" w:rsidRPr="008D7DB3">
        <w:t>за последние три года.</w:t>
      </w:r>
    </w:p>
    <w:p w14:paraId="60F36611" w14:textId="77777777" w:rsidR="005F254F" w:rsidRPr="008D7DB3" w:rsidRDefault="005F254F" w:rsidP="001046D3">
      <w:pPr>
        <w:ind w:firstLine="709"/>
        <w:jc w:val="both"/>
      </w:pPr>
      <w:r w:rsidRPr="008D7DB3">
        <w:t>Однако, некоторые показатели были скорректированы значительно ниже их достижения в предшествующие годы</w:t>
      </w:r>
      <w:r w:rsidR="005A6941" w:rsidRPr="008D7DB3">
        <w:t xml:space="preserve"> (№№ 24, 30, 39, 40 приложения № 6)</w:t>
      </w:r>
      <w:r w:rsidRPr="008D7DB3">
        <w:t xml:space="preserve">.  </w:t>
      </w:r>
    </w:p>
    <w:p w14:paraId="749F8159" w14:textId="04E7011F" w:rsidR="005F254F" w:rsidRPr="008D7DB3" w:rsidRDefault="005F254F" w:rsidP="005F254F">
      <w:pPr>
        <w:ind w:firstLine="709"/>
        <w:jc w:val="both"/>
      </w:pPr>
      <w:r w:rsidRPr="008D7DB3">
        <w:t xml:space="preserve">Например, критерий «доля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Терпрограммы» выполнен </w:t>
      </w:r>
      <w:r w:rsidR="00E23B23" w:rsidRPr="008D7DB3">
        <w:t xml:space="preserve">на </w:t>
      </w:r>
      <w:r w:rsidRPr="008D7DB3">
        <w:t xml:space="preserve">3,9% при плане 3%, или в 1,3 раза. Аналогичная ситуация наблюдалась в 2017 и 2018 годах, когда данный показатель был перевыполнен в 1,5 раза (план – 2,7%, факт </w:t>
      </w:r>
      <w:r w:rsidR="00E23B23" w:rsidRPr="008D7DB3">
        <w:t xml:space="preserve">– 3,9%) и в </w:t>
      </w:r>
      <w:r w:rsidRPr="008D7DB3">
        <w:t xml:space="preserve">1,4 раза (план – 2,7%, факт – 3,8%) соответственно. </w:t>
      </w:r>
      <w:proofErr w:type="spellStart"/>
      <w:r w:rsidRPr="008D7DB3">
        <w:t>Терпрограммой</w:t>
      </w:r>
      <w:proofErr w:type="spellEnd"/>
      <w:r w:rsidRPr="008D7DB3">
        <w:t xml:space="preserve"> на 2020 год показатель увеличен до 3,5%, или на 0,5 процентных пунктов </w:t>
      </w:r>
      <w:r w:rsidR="0038546C" w:rsidRPr="008D7DB3">
        <w:t>относительно</w:t>
      </w:r>
      <w:r w:rsidRPr="008D7DB3">
        <w:t xml:space="preserve"> 2019 год</w:t>
      </w:r>
      <w:r w:rsidR="0038546C" w:rsidRPr="008D7DB3">
        <w:t>а,</w:t>
      </w:r>
      <w:r w:rsidRPr="008D7DB3">
        <w:t xml:space="preserve"> но ниже</w:t>
      </w:r>
      <w:r w:rsidR="0038546C" w:rsidRPr="008D7DB3">
        <w:t>,</w:t>
      </w:r>
      <w:r w:rsidRPr="008D7DB3">
        <w:t xml:space="preserve"> чем фактическое выполнение за последние три года.</w:t>
      </w:r>
    </w:p>
    <w:p w14:paraId="2632381B" w14:textId="76E7F8E8" w:rsidR="00FA2AED" w:rsidRPr="008D7DB3" w:rsidRDefault="00FA2AED" w:rsidP="00FA2AED">
      <w:pPr>
        <w:ind w:firstLine="708"/>
        <w:jc w:val="both"/>
      </w:pPr>
      <w:r w:rsidRPr="008D7DB3">
        <w:t xml:space="preserve">Критерий «число лиц, проживающих в сельской местности, которым оказана скорая медицинская помощь» </w:t>
      </w:r>
      <w:r w:rsidR="00D37011" w:rsidRPr="008D7DB3">
        <w:t xml:space="preserve">выполнен </w:t>
      </w:r>
      <w:r w:rsidR="005F254F" w:rsidRPr="008D7DB3">
        <w:t>на 223,9 случаев на 1000 чел. сельской местности при плане 190 случаев на 1000 чел. сельской местности, или в 1,2 раза. В 2017 и 2018 годах данный показатель был перевыполнен в 2 раза (план– 99,1 сл. на 1000 чел. сельского населения, факт – 194,9 сл. на 1000 чел. сельского населения) и в 2,1 раза (</w:t>
      </w:r>
      <w:proofErr w:type="gramStart"/>
      <w:r w:rsidR="005F254F" w:rsidRPr="008D7DB3">
        <w:t>план  -</w:t>
      </w:r>
      <w:proofErr w:type="gramEnd"/>
      <w:r w:rsidR="005F254F" w:rsidRPr="008D7DB3">
        <w:t xml:space="preserve"> 100,1 сл. на 1000 чел. сельского населения, факт – 208,8 сл. на 1000 чел. сельского населения). </w:t>
      </w:r>
      <w:proofErr w:type="spellStart"/>
      <w:r w:rsidR="005F254F" w:rsidRPr="008D7DB3">
        <w:t>Терпрограммой</w:t>
      </w:r>
      <w:proofErr w:type="spellEnd"/>
      <w:r w:rsidR="005F254F" w:rsidRPr="008D7DB3">
        <w:t xml:space="preserve"> на 2020 год показатель увеличен до 195 сл. на 1000 чел. сельского населения, или на 0,5 процентных пунктов выше, чем на 2019 год, но ниже</w:t>
      </w:r>
      <w:r w:rsidR="0038546C" w:rsidRPr="008D7DB3">
        <w:t>,</w:t>
      </w:r>
      <w:r w:rsidR="005F254F" w:rsidRPr="008D7DB3">
        <w:t xml:space="preserve"> чем фактическое выполнение за последние три года.</w:t>
      </w:r>
    </w:p>
    <w:p w14:paraId="6F9F388D" w14:textId="77777777" w:rsidR="00FF6BF6" w:rsidRPr="008D7DB3" w:rsidRDefault="00FF6BF6" w:rsidP="00FF6BF6">
      <w:pPr>
        <w:ind w:firstLine="708"/>
        <w:jc w:val="both"/>
      </w:pPr>
      <w:r w:rsidRPr="008D7DB3">
        <w:t xml:space="preserve">Кроме того, в 2019 году значительно перевыполнены некоторые критерии качества и доступности медицинской помощи, которые впервые включены в </w:t>
      </w:r>
      <w:proofErr w:type="spellStart"/>
      <w:r w:rsidRPr="008D7DB3">
        <w:t>Терпрограмму</w:t>
      </w:r>
      <w:proofErr w:type="spellEnd"/>
      <w:r w:rsidRPr="008D7DB3">
        <w:t xml:space="preserve"> в 2019 году.</w:t>
      </w:r>
    </w:p>
    <w:p w14:paraId="4A4963C5" w14:textId="07028683" w:rsidR="005A6941" w:rsidRPr="008D7DB3" w:rsidRDefault="00FF6BF6" w:rsidP="00FF6BF6">
      <w:pPr>
        <w:ind w:firstLine="708"/>
        <w:jc w:val="both"/>
      </w:pPr>
      <w:r w:rsidRPr="008D7DB3">
        <w:lastRenderedPageBreak/>
        <w:t>Например, критерий «</w:t>
      </w:r>
      <w:r w:rsidR="005A6941" w:rsidRPr="008D7DB3">
        <w:t xml:space="preserve"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человека» выполнен на 75,3% при плане 36,3%, или в 2,1 раза. На 2020 год показатель увеличен до 50%, или на 13,7 процентных пунктов </w:t>
      </w:r>
      <w:r w:rsidR="0038546C" w:rsidRPr="008D7DB3">
        <w:t>относительно</w:t>
      </w:r>
      <w:r w:rsidR="005A6941" w:rsidRPr="008D7DB3">
        <w:t xml:space="preserve"> 2019 год</w:t>
      </w:r>
      <w:r w:rsidR="0038546C" w:rsidRPr="008D7DB3">
        <w:t>а</w:t>
      </w:r>
      <w:r w:rsidR="005A6941" w:rsidRPr="008D7DB3">
        <w:t>.</w:t>
      </w:r>
    </w:p>
    <w:p w14:paraId="7C8561CB" w14:textId="708ADA56" w:rsidR="00402AC8" w:rsidRPr="008D7DB3" w:rsidRDefault="005A6941" w:rsidP="00FF6BF6">
      <w:pPr>
        <w:ind w:firstLine="708"/>
        <w:jc w:val="both"/>
      </w:pPr>
      <w:r w:rsidRPr="008D7DB3">
        <w:t>Критерий «число пациентов, получивших паллиативную медицинскую помощь по месту жительства, в том числе на дом</w:t>
      </w:r>
      <w:r w:rsidR="0038546C" w:rsidRPr="008D7DB3">
        <w:t>у</w:t>
      </w:r>
      <w:r w:rsidRPr="008D7DB3">
        <w:t xml:space="preserve">» выполнен на 8027 чел. при плане 5000 </w:t>
      </w:r>
      <w:proofErr w:type="gramStart"/>
      <w:r w:rsidRPr="008D7DB3">
        <w:t>чел</w:t>
      </w:r>
      <w:proofErr w:type="gramEnd"/>
      <w:r w:rsidRPr="008D7DB3">
        <w:t xml:space="preserve">, или в 1,6 раза.  </w:t>
      </w:r>
      <w:r w:rsidR="00402AC8" w:rsidRPr="008D7DB3">
        <w:t>На 2020 год показатель увеличен до 5500 чел.</w:t>
      </w:r>
      <w:r w:rsidR="0038546C" w:rsidRPr="008D7DB3">
        <w:t>,</w:t>
      </w:r>
      <w:r w:rsidR="00402AC8" w:rsidRPr="008D7DB3">
        <w:t xml:space="preserve"> или на 500 чел. больше, чем на 2019 год.</w:t>
      </w:r>
    </w:p>
    <w:p w14:paraId="240591CC" w14:textId="2911F232" w:rsidR="00402AC8" w:rsidRPr="008D7DB3" w:rsidRDefault="00402AC8" w:rsidP="00402AC8">
      <w:pPr>
        <w:ind w:firstLine="708"/>
        <w:jc w:val="both"/>
      </w:pPr>
      <w:r w:rsidRPr="008D7DB3">
        <w:t xml:space="preserve">Критерий «доля женщин, которым проведено экстракорпоральное оплодотворение, в общем количестве женщин с бесплодием» выполнен на 61,9% при плане 40%, или </w:t>
      </w:r>
      <w:r w:rsidR="0038546C" w:rsidRPr="008D7DB3">
        <w:t xml:space="preserve">перевыполнен </w:t>
      </w:r>
      <w:r w:rsidRPr="008D7DB3">
        <w:t>в 1,5 раза.  На 2020 год показатель запланирован на уровне плана 2019 года – 40 процентов.</w:t>
      </w:r>
    </w:p>
    <w:p w14:paraId="04B70C11" w14:textId="77777777" w:rsidR="00AF2528" w:rsidRPr="008D7DB3" w:rsidRDefault="00402AC8" w:rsidP="005867DA">
      <w:pPr>
        <w:ind w:firstLine="709"/>
        <w:jc w:val="both"/>
        <w:rPr>
          <w:color w:val="000000"/>
        </w:rPr>
      </w:pPr>
      <w:r w:rsidRPr="008D7DB3">
        <w:rPr>
          <w:color w:val="000000"/>
        </w:rPr>
        <w:t>В связи с этим</w:t>
      </w:r>
      <w:r w:rsidR="00AF2528" w:rsidRPr="008D7DB3">
        <w:rPr>
          <w:color w:val="000000"/>
        </w:rPr>
        <w:t xml:space="preserve"> КСП считает целесообразным скорректировать на 20</w:t>
      </w:r>
      <w:r w:rsidRPr="008D7DB3">
        <w:rPr>
          <w:color w:val="000000"/>
        </w:rPr>
        <w:t>20</w:t>
      </w:r>
      <w:r w:rsidR="00AF2528" w:rsidRPr="008D7DB3">
        <w:rPr>
          <w:color w:val="000000"/>
        </w:rPr>
        <w:t xml:space="preserve"> год существенно перевыполненные критерии качества и доступности </w:t>
      </w:r>
      <w:r w:rsidRPr="008D7DB3">
        <w:rPr>
          <w:color w:val="000000"/>
        </w:rPr>
        <w:t xml:space="preserve">медицинской помощи </w:t>
      </w:r>
      <w:r w:rsidR="00AF2528" w:rsidRPr="008D7DB3">
        <w:rPr>
          <w:color w:val="000000"/>
        </w:rPr>
        <w:t>с учетом их достижения в предшествующие год</w:t>
      </w:r>
      <w:r w:rsidR="003768E8" w:rsidRPr="008D7DB3">
        <w:rPr>
          <w:color w:val="000000"/>
        </w:rPr>
        <w:t>ы</w:t>
      </w:r>
      <w:r w:rsidR="00AF2528" w:rsidRPr="008D7DB3">
        <w:rPr>
          <w:color w:val="000000"/>
        </w:rPr>
        <w:t>.</w:t>
      </w:r>
    </w:p>
    <w:p w14:paraId="7D568A31" w14:textId="66686ED1" w:rsidR="00157631" w:rsidRPr="008D7DB3" w:rsidRDefault="00157631" w:rsidP="00157631">
      <w:pPr>
        <w:ind w:firstLine="709"/>
        <w:jc w:val="both"/>
      </w:pPr>
      <w:r w:rsidRPr="008D7DB3">
        <w:t>Сравнительным анализом формирования и выполнения Терпрограммы за 201</w:t>
      </w:r>
      <w:r w:rsidR="00C50B6E" w:rsidRPr="008D7DB3">
        <w:t>8</w:t>
      </w:r>
      <w:r w:rsidRPr="008D7DB3">
        <w:t xml:space="preserve"> и 201</w:t>
      </w:r>
      <w:r w:rsidR="00C50B6E" w:rsidRPr="008D7DB3">
        <w:t>9</w:t>
      </w:r>
      <w:r w:rsidRPr="008D7DB3">
        <w:t xml:space="preserve"> годы за счет средств ОМС (</w:t>
      </w:r>
      <w:r w:rsidRPr="008D7DB3">
        <w:rPr>
          <w:color w:val="0000FF"/>
        </w:rPr>
        <w:t xml:space="preserve">приложение № </w:t>
      </w:r>
      <w:r w:rsidR="00AF2528" w:rsidRPr="008D7DB3">
        <w:rPr>
          <w:color w:val="0000FF"/>
        </w:rPr>
        <w:t>7</w:t>
      </w:r>
      <w:r w:rsidRPr="008D7DB3">
        <w:rPr>
          <w:color w:val="0000FF"/>
        </w:rPr>
        <w:t xml:space="preserve">) </w:t>
      </w:r>
      <w:r w:rsidRPr="008D7DB3">
        <w:t xml:space="preserve">установлено </w:t>
      </w:r>
      <w:r w:rsidR="001F742A" w:rsidRPr="008D7DB3">
        <w:t xml:space="preserve">невыполнение </w:t>
      </w:r>
      <w:r w:rsidR="00BB1690" w:rsidRPr="008D7DB3">
        <w:t xml:space="preserve">объёмов </w:t>
      </w:r>
      <w:r w:rsidR="001F742A" w:rsidRPr="008D7DB3">
        <w:t>все</w:t>
      </w:r>
      <w:r w:rsidR="00BB1690" w:rsidRPr="008D7DB3">
        <w:t>х</w:t>
      </w:r>
      <w:r w:rsidR="001F742A" w:rsidRPr="008D7DB3">
        <w:t xml:space="preserve"> вид</w:t>
      </w:r>
      <w:r w:rsidR="00BB1690" w:rsidRPr="008D7DB3">
        <w:t xml:space="preserve">ов </w:t>
      </w:r>
      <w:r w:rsidR="001F742A" w:rsidRPr="008D7DB3">
        <w:t>медицинской помощи, кроме специализированной медицинской помощи, оказанной в стационарных условиях</w:t>
      </w:r>
      <w:r w:rsidR="0038546C" w:rsidRPr="008D7DB3">
        <w:t>.</w:t>
      </w:r>
      <w:r w:rsidR="001F742A" w:rsidRPr="008D7DB3">
        <w:t xml:space="preserve"> </w:t>
      </w:r>
      <w:r w:rsidR="0038546C" w:rsidRPr="008D7DB3">
        <w:t>Н</w:t>
      </w:r>
      <w:r w:rsidRPr="008D7DB3">
        <w:t>апример:</w:t>
      </w:r>
    </w:p>
    <w:p w14:paraId="7C006578" w14:textId="77777777" w:rsidR="00595F15" w:rsidRPr="008D7DB3" w:rsidRDefault="00595F15" w:rsidP="00595F15">
      <w:pPr>
        <w:ind w:firstLine="709"/>
        <w:jc w:val="both"/>
        <w:rPr>
          <w:color w:val="FF0000"/>
        </w:rPr>
      </w:pPr>
      <w:r w:rsidRPr="008D7DB3">
        <w:t>- амбулаторная помощь, оказанная в связи с заболеваниями, не выполнена на</w:t>
      </w:r>
      <w:r w:rsidR="00C50B6E" w:rsidRPr="008D7DB3">
        <w:t xml:space="preserve"> 444037 обращений</w:t>
      </w:r>
      <w:r w:rsidRPr="008D7DB3">
        <w:t xml:space="preserve"> (-</w:t>
      </w:r>
      <w:r w:rsidR="00C50B6E" w:rsidRPr="008D7DB3">
        <w:t>10,1</w:t>
      </w:r>
      <w:r w:rsidRPr="008D7DB3">
        <w:t xml:space="preserve">%) при уровне финансирования </w:t>
      </w:r>
      <w:r w:rsidR="00C50B6E" w:rsidRPr="008D7DB3">
        <w:t>92,6</w:t>
      </w:r>
      <w:r w:rsidRPr="008D7DB3">
        <w:t xml:space="preserve"> </w:t>
      </w:r>
      <w:r w:rsidR="009D232C" w:rsidRPr="008D7DB3">
        <w:t>% (5363598,5 тыс. руб.)</w:t>
      </w:r>
      <w:r w:rsidRPr="008D7DB3">
        <w:t xml:space="preserve">. </w:t>
      </w:r>
      <w:r w:rsidR="005F3222" w:rsidRPr="008D7DB3">
        <w:t>П</w:t>
      </w:r>
      <w:r w:rsidR="009D232C" w:rsidRPr="008D7DB3">
        <w:t>о сравнению с 2018 год</w:t>
      </w:r>
      <w:r w:rsidR="005F3222" w:rsidRPr="008D7DB3">
        <w:t>ом</w:t>
      </w:r>
      <w:r w:rsidR="009D232C" w:rsidRPr="008D7DB3">
        <w:t xml:space="preserve"> объем </w:t>
      </w:r>
      <w:r w:rsidRPr="008D7DB3">
        <w:t xml:space="preserve">оказанной помощи </w:t>
      </w:r>
      <w:r w:rsidR="005F3222" w:rsidRPr="008D7DB3">
        <w:t xml:space="preserve">уменьшился </w:t>
      </w:r>
      <w:r w:rsidR="009D232C" w:rsidRPr="008D7DB3">
        <w:t>на</w:t>
      </w:r>
      <w:r w:rsidRPr="008D7DB3">
        <w:t xml:space="preserve"> </w:t>
      </w:r>
      <w:r w:rsidR="009D232C" w:rsidRPr="008D7DB3">
        <w:t>335183</w:t>
      </w:r>
      <w:r w:rsidRPr="008D7DB3">
        <w:t xml:space="preserve"> обращения (</w:t>
      </w:r>
      <w:r w:rsidR="009D232C" w:rsidRPr="008D7DB3">
        <w:t>-8,5</w:t>
      </w:r>
      <w:r w:rsidRPr="008D7DB3">
        <w:t>%).</w:t>
      </w:r>
      <w:r w:rsidR="000401E7" w:rsidRPr="008D7DB3">
        <w:t xml:space="preserve">  </w:t>
      </w:r>
    </w:p>
    <w:p w14:paraId="3641AD8C" w14:textId="77777777" w:rsidR="001E2042" w:rsidRPr="008D7DB3" w:rsidRDefault="00EA5E33" w:rsidP="00EA5E33">
      <w:pPr>
        <w:ind w:firstLine="709"/>
        <w:jc w:val="both"/>
      </w:pPr>
      <w:r w:rsidRPr="008D7DB3">
        <w:t xml:space="preserve">- амбулаторная помощь, оказанная в неотложной форме, не выполнена на </w:t>
      </w:r>
      <w:r w:rsidR="009D232C" w:rsidRPr="008D7DB3">
        <w:t>108509</w:t>
      </w:r>
      <w:r w:rsidRPr="008D7DB3">
        <w:t xml:space="preserve"> посещений (-</w:t>
      </w:r>
      <w:r w:rsidR="009D232C" w:rsidRPr="008D7DB3">
        <w:t>7,8</w:t>
      </w:r>
      <w:r w:rsidRPr="008D7DB3">
        <w:t xml:space="preserve">%) при уровне финансирования </w:t>
      </w:r>
      <w:r w:rsidR="009D232C" w:rsidRPr="008D7DB3">
        <w:t>97,5</w:t>
      </w:r>
      <w:r w:rsidRPr="008D7DB3">
        <w:t xml:space="preserve"> процента. </w:t>
      </w:r>
      <w:r w:rsidR="000401E7" w:rsidRPr="008D7DB3">
        <w:t xml:space="preserve">По сравнению с 2018 годом объем оказанной помощи </w:t>
      </w:r>
      <w:proofErr w:type="gramStart"/>
      <w:r w:rsidR="000401E7" w:rsidRPr="008D7DB3">
        <w:t>увеличился  на</w:t>
      </w:r>
      <w:proofErr w:type="gramEnd"/>
      <w:r w:rsidR="000401E7" w:rsidRPr="008D7DB3">
        <w:t xml:space="preserve"> 3,1 процента.</w:t>
      </w:r>
    </w:p>
    <w:p w14:paraId="10AB9E91" w14:textId="77777777" w:rsidR="00511F28" w:rsidRPr="008D7DB3" w:rsidRDefault="00511F28" w:rsidP="00511F28">
      <w:pPr>
        <w:ind w:firstLine="709"/>
        <w:jc w:val="both"/>
      </w:pPr>
      <w:r w:rsidRPr="008D7DB3">
        <w:t xml:space="preserve">-медицинская помощь в условиях дневного стационара не выполнена на 31518 </w:t>
      </w:r>
      <w:proofErr w:type="spellStart"/>
      <w:r w:rsidRPr="008D7DB3">
        <w:t>пациенто</w:t>
      </w:r>
      <w:proofErr w:type="spellEnd"/>
      <w:r w:rsidRPr="008D7DB3">
        <w:t xml:space="preserve">-дней (-2,2%) при уровне финансирования 99,9 процента. </w:t>
      </w:r>
      <w:r w:rsidR="000401E7" w:rsidRPr="008D7DB3">
        <w:t xml:space="preserve">По сравнению с 2018 годом объем оказанной помощи увеличился на </w:t>
      </w:r>
      <w:r w:rsidRPr="008D7DB3">
        <w:t>16912 посещения (+1,2%).</w:t>
      </w:r>
    </w:p>
    <w:p w14:paraId="22EED7D3" w14:textId="77777777" w:rsidR="00511F28" w:rsidRPr="008D7DB3" w:rsidRDefault="00511F28" w:rsidP="00EA5E33">
      <w:pPr>
        <w:ind w:firstLine="709"/>
        <w:jc w:val="both"/>
        <w:rPr>
          <w:strike/>
        </w:rPr>
      </w:pPr>
      <w:r w:rsidRPr="008D7DB3">
        <w:t xml:space="preserve">-медицинская помощь, оказанная в амбулаторных условиях с профилактическими и иными целями, не выполнена на 450428 посещений (-6,3%) при уровне финансирования 100,2 процента. </w:t>
      </w:r>
      <w:r w:rsidR="000D48FA" w:rsidRPr="008D7DB3">
        <w:t xml:space="preserve">По сравнению с 2018 годом объем оказанной помощи увеличился на </w:t>
      </w:r>
      <w:r w:rsidRPr="008D7DB3">
        <w:t>879306 посещения (+15,1%).</w:t>
      </w:r>
    </w:p>
    <w:p w14:paraId="3FDA8781" w14:textId="212A300F" w:rsidR="000D48FA" w:rsidRPr="008D7DB3" w:rsidRDefault="000D48FA" w:rsidP="00511F28">
      <w:pPr>
        <w:ind w:firstLine="709"/>
        <w:jc w:val="both"/>
      </w:pPr>
      <w:r w:rsidRPr="008D7DB3">
        <w:t xml:space="preserve">Невыполнение объёмов всех видов медицинской помощи, кроме оказываемой в стационарных условиях, свидетельствует о </w:t>
      </w:r>
      <w:r w:rsidR="0059739F" w:rsidRPr="008D7DB3">
        <w:t xml:space="preserve">недостатках развития </w:t>
      </w:r>
      <w:proofErr w:type="spellStart"/>
      <w:r w:rsidR="0059739F" w:rsidRPr="008D7DB3">
        <w:t>стационарозамещающих</w:t>
      </w:r>
      <w:proofErr w:type="spellEnd"/>
      <w:r w:rsidR="0059739F" w:rsidRPr="008D7DB3">
        <w:t xml:space="preserve"> технологи</w:t>
      </w:r>
      <w:r w:rsidR="0038546C" w:rsidRPr="008D7DB3">
        <w:t>й</w:t>
      </w:r>
      <w:r w:rsidR="0059739F" w:rsidRPr="008D7DB3">
        <w:t>, как наименее затратных.</w:t>
      </w:r>
    </w:p>
    <w:p w14:paraId="3D8D2F23" w14:textId="77777777" w:rsidR="00AC6937" w:rsidRPr="008D7DB3" w:rsidRDefault="00AC6937" w:rsidP="00AC6937">
      <w:pPr>
        <w:ind w:firstLine="709"/>
        <w:jc w:val="both"/>
      </w:pPr>
      <w:r w:rsidRPr="008D7DB3">
        <w:t>Анализом расходования в 20</w:t>
      </w:r>
      <w:r w:rsidR="00511F28" w:rsidRPr="008D7DB3">
        <w:t>19</w:t>
      </w:r>
      <w:r w:rsidRPr="008D7DB3">
        <w:t xml:space="preserve"> году медицинскими организациями средств, полученных за оказанную в рамках Терпрограммы на 201</w:t>
      </w:r>
      <w:r w:rsidR="00E97BA8" w:rsidRPr="008D7DB3">
        <w:t>9</w:t>
      </w:r>
      <w:r w:rsidRPr="008D7DB3">
        <w:t xml:space="preserve"> год медицинскую помощь, (</w:t>
      </w:r>
      <w:r w:rsidRPr="008D7DB3">
        <w:rPr>
          <w:color w:val="0000FF"/>
        </w:rPr>
        <w:t xml:space="preserve">приложение № </w:t>
      </w:r>
      <w:r w:rsidR="003768E8" w:rsidRPr="008D7DB3">
        <w:rPr>
          <w:color w:val="0000FF"/>
        </w:rPr>
        <w:t>8</w:t>
      </w:r>
      <w:r w:rsidRPr="008D7DB3">
        <w:t xml:space="preserve">) установлено, что основную долю расходов составляют расходы </w:t>
      </w:r>
      <w:r w:rsidR="00E97BA8" w:rsidRPr="008D7DB3">
        <w:t>на оплату труда - 64%, увеличение стоимости материальных запасов – 21,5%, прочие работы и услуги – 4,7%, коммунальные платежи – 3,6%, услуги по содержанию имущества – 1,8%, транспортные услуги - 1,4%, увеличение стоимости основных средств – 1,1 процента</w:t>
      </w:r>
      <w:r w:rsidRPr="008D7DB3">
        <w:t xml:space="preserve">. </w:t>
      </w:r>
    </w:p>
    <w:p w14:paraId="6C56324C" w14:textId="77777777" w:rsidR="00E97BA8" w:rsidRPr="008D7DB3" w:rsidRDefault="00E97BA8" w:rsidP="00D6384F">
      <w:pPr>
        <w:ind w:firstLine="709"/>
        <w:rPr>
          <w:b/>
          <w:i/>
        </w:rPr>
      </w:pPr>
    </w:p>
    <w:p w14:paraId="41D46C9E" w14:textId="77777777" w:rsidR="00EF471B" w:rsidRPr="008D7DB3" w:rsidRDefault="00EF471B" w:rsidP="00EF471B">
      <w:pPr>
        <w:ind w:firstLine="709"/>
        <w:jc w:val="center"/>
        <w:rPr>
          <w:b/>
          <w:i/>
        </w:rPr>
      </w:pPr>
      <w:r w:rsidRPr="008D7DB3">
        <w:rPr>
          <w:b/>
          <w:i/>
        </w:rPr>
        <w:t>Анализ состояния внутреннего финансового аудита</w:t>
      </w:r>
    </w:p>
    <w:p w14:paraId="0D57CF87" w14:textId="77777777" w:rsidR="00062CB6" w:rsidRPr="008D7DB3" w:rsidRDefault="00062CB6" w:rsidP="00062CB6">
      <w:pPr>
        <w:autoSpaceDE w:val="0"/>
        <w:autoSpaceDN w:val="0"/>
        <w:adjustRightInd w:val="0"/>
        <w:ind w:firstLine="540"/>
        <w:jc w:val="both"/>
      </w:pPr>
      <w:r w:rsidRPr="008D7DB3">
        <w:t>Внутренний финансовый аудит в 2019 году осуществлялся находящимся в непосредственном подчинении директору ГУ ТФОМС контрольно-ревизионным отделом (</w:t>
      </w:r>
      <w:r w:rsidRPr="008D7DB3">
        <w:rPr>
          <w:color w:val="0000FF"/>
        </w:rPr>
        <w:t>приложение №</w:t>
      </w:r>
      <w:r w:rsidR="00511F28" w:rsidRPr="008D7DB3">
        <w:rPr>
          <w:color w:val="0000FF"/>
        </w:rPr>
        <w:t>9</w:t>
      </w:r>
      <w:r w:rsidRPr="008D7DB3">
        <w:rPr>
          <w:color w:val="0000FF"/>
        </w:rPr>
        <w:t xml:space="preserve"> - </w:t>
      </w:r>
      <w:r w:rsidRPr="008D7DB3">
        <w:t>информация о состоянии внутреннего финансового аудита в ГУ ТФОМС в 2019 году).</w:t>
      </w:r>
    </w:p>
    <w:p w14:paraId="7CC1379F" w14:textId="272014BD" w:rsidR="00062CB6" w:rsidRPr="008D7DB3" w:rsidRDefault="00062CB6" w:rsidP="00062CB6">
      <w:pPr>
        <w:autoSpaceDE w:val="0"/>
        <w:autoSpaceDN w:val="0"/>
        <w:adjustRightInd w:val="0"/>
        <w:ind w:firstLine="709"/>
        <w:jc w:val="both"/>
      </w:pPr>
      <w:r w:rsidRPr="008D7DB3">
        <w:t xml:space="preserve">Согласно отчетности ГУ ТФОМС в рамках внутреннего финансового аудита проведено 4 проверки в соответствии с </w:t>
      </w:r>
      <w:r w:rsidR="0038546C" w:rsidRPr="008D7DB3">
        <w:t>П</w:t>
      </w:r>
      <w:r w:rsidRPr="008D7DB3">
        <w:t xml:space="preserve">ланом внутреннего финансового аудита, утвержденного директором ГУ ТФОМС 18.12.2019. Выполнение </w:t>
      </w:r>
      <w:r w:rsidR="0038546C" w:rsidRPr="008D7DB3">
        <w:t>п</w:t>
      </w:r>
      <w:r w:rsidRPr="008D7DB3">
        <w:t>лана составило 100%, нарушений и недостатков не выявлено.</w:t>
      </w:r>
    </w:p>
    <w:p w14:paraId="1B7FB6D7" w14:textId="77777777" w:rsidR="00062CB6" w:rsidRPr="008D7DB3" w:rsidRDefault="00062CB6" w:rsidP="00062CB6">
      <w:pPr>
        <w:ind w:firstLine="709"/>
        <w:jc w:val="center"/>
        <w:rPr>
          <w:i/>
        </w:rPr>
      </w:pPr>
    </w:p>
    <w:p w14:paraId="6BE8F7D8" w14:textId="77777777" w:rsidR="004A36C6" w:rsidRPr="008D7DB3" w:rsidRDefault="004A36C6" w:rsidP="00062CB6">
      <w:pPr>
        <w:ind w:firstLine="709"/>
        <w:jc w:val="center"/>
        <w:rPr>
          <w:b/>
          <w:i/>
        </w:rPr>
      </w:pPr>
    </w:p>
    <w:p w14:paraId="34DE0FA2" w14:textId="77777777" w:rsidR="004A36C6" w:rsidRPr="008D7DB3" w:rsidRDefault="004A36C6" w:rsidP="00062CB6">
      <w:pPr>
        <w:ind w:firstLine="709"/>
        <w:jc w:val="center"/>
        <w:rPr>
          <w:b/>
          <w:i/>
        </w:rPr>
      </w:pPr>
    </w:p>
    <w:p w14:paraId="0D961520" w14:textId="637905BD" w:rsidR="00062CB6" w:rsidRPr="008D7DB3" w:rsidRDefault="00062CB6" w:rsidP="00062CB6">
      <w:pPr>
        <w:ind w:firstLine="709"/>
        <w:jc w:val="center"/>
        <w:rPr>
          <w:b/>
          <w:i/>
        </w:rPr>
      </w:pPr>
      <w:r w:rsidRPr="008D7DB3">
        <w:rPr>
          <w:b/>
          <w:i/>
        </w:rPr>
        <w:lastRenderedPageBreak/>
        <w:t>Основные показатели контрольно-ревизионной работы ГУ ТФОМС</w:t>
      </w:r>
    </w:p>
    <w:p w14:paraId="1D582FEB" w14:textId="77777777" w:rsidR="004A36C6" w:rsidRPr="008D7DB3" w:rsidRDefault="004A36C6" w:rsidP="00062CB6">
      <w:pPr>
        <w:ind w:firstLine="709"/>
        <w:jc w:val="both"/>
        <w:rPr>
          <w:rStyle w:val="af5"/>
          <w:color w:val="auto"/>
        </w:rPr>
      </w:pPr>
    </w:p>
    <w:p w14:paraId="51B516E2" w14:textId="460A89E0" w:rsidR="00062CB6" w:rsidRPr="008D7DB3" w:rsidRDefault="00062CB6" w:rsidP="00062CB6">
      <w:pPr>
        <w:ind w:firstLine="709"/>
        <w:jc w:val="both"/>
      </w:pPr>
      <w:r w:rsidRPr="008D7DB3">
        <w:rPr>
          <w:rStyle w:val="af5"/>
          <w:color w:val="auto"/>
        </w:rPr>
        <w:t xml:space="preserve">План проверок страховых медицинских организаций (далее СМО) и медицинских организаций на 2019 год ГУ ТФОМС выполнен на 131% (план - 116 организаций, факт – 152 организаций). </w:t>
      </w:r>
    </w:p>
    <w:p w14:paraId="2B3BC707" w14:textId="77777777" w:rsidR="00062CB6" w:rsidRPr="008D7DB3" w:rsidRDefault="00062CB6" w:rsidP="00062CB6">
      <w:pPr>
        <w:ind w:firstLine="709"/>
        <w:jc w:val="both"/>
      </w:pPr>
      <w:r w:rsidRPr="008D7DB3">
        <w:t>Согласно отчету о контрольно-ревизионной работе ГУ ТФОМС в 2019 году проведено 27 проверок в СМО и 125</w:t>
      </w:r>
      <w:r w:rsidR="00052530" w:rsidRPr="008D7DB3">
        <w:t xml:space="preserve"> проверок</w:t>
      </w:r>
      <w:r w:rsidRPr="008D7DB3">
        <w:t xml:space="preserve"> в медицинских организациях. </w:t>
      </w:r>
    </w:p>
    <w:p w14:paraId="2F4F12BD" w14:textId="217A0CD7" w:rsidR="00062CB6" w:rsidRPr="008D7DB3" w:rsidRDefault="00062CB6" w:rsidP="00062CB6">
      <w:pPr>
        <w:ind w:firstLine="709"/>
        <w:jc w:val="both"/>
        <w:rPr>
          <w:color w:val="FF0000"/>
        </w:rPr>
      </w:pPr>
      <w:r w:rsidRPr="008D7DB3">
        <w:t>Выявлено нецелевое использование средств в медицинских организациях на 7822,8 тыс. рублей. Восстановлено средств ОМС по результатам проверок медицинскими организациями на 14221,5 тыс. руб., из них по проверкам отчетного периода – 6972,6 тыс. руб., по проверкам предыдущих периодов – 7248,9 тыс. рублей.</w:t>
      </w:r>
      <w:r w:rsidR="00274C68" w:rsidRPr="008D7DB3">
        <w:t xml:space="preserve"> </w:t>
      </w:r>
    </w:p>
    <w:p w14:paraId="078EA32C" w14:textId="77777777" w:rsidR="00062CB6" w:rsidRPr="008D7DB3" w:rsidRDefault="00062CB6" w:rsidP="00062CB6">
      <w:pPr>
        <w:ind w:firstLine="709"/>
        <w:jc w:val="both"/>
        <w:rPr>
          <w:rStyle w:val="af5"/>
          <w:color w:val="auto"/>
        </w:rPr>
      </w:pPr>
      <w:r w:rsidRPr="008D7DB3">
        <w:t xml:space="preserve">Кроме того, по результатам проверок СМО и </w:t>
      </w:r>
      <w:r w:rsidRPr="008D7DB3">
        <w:rPr>
          <w:rStyle w:val="af5"/>
          <w:color w:val="auto"/>
        </w:rPr>
        <w:t xml:space="preserve">медицинских организаций в 2019 году предъявлено штрафов и пени на 1584,8 тыс. руб., в т.ч. медицинским организациям – 1549,4 тыс. руб. (из них за несвоевременный возврат средств, использованных не по назначению, - 1243,9 тыс. руб.), СМО – 35,4 тыс. рублей. </w:t>
      </w:r>
    </w:p>
    <w:p w14:paraId="06167F8B" w14:textId="77777777" w:rsidR="00062CB6" w:rsidRPr="008D7DB3" w:rsidRDefault="00062CB6" w:rsidP="00062CB6">
      <w:pPr>
        <w:ind w:firstLine="709"/>
        <w:jc w:val="both"/>
        <w:rPr>
          <w:rStyle w:val="af5"/>
          <w:color w:val="auto"/>
        </w:rPr>
      </w:pPr>
      <w:r w:rsidRPr="008D7DB3">
        <w:t xml:space="preserve">В 2019 году всего получено штрафов и пени на 1873,7 тыс. руб. (от </w:t>
      </w:r>
      <w:r w:rsidRPr="008D7DB3">
        <w:rPr>
          <w:rStyle w:val="af5"/>
          <w:color w:val="auto"/>
        </w:rPr>
        <w:t>медицинских организаций – 1838,3 тыс. руб., СМО – 35,4 тыс. руб.), в том числе п</w:t>
      </w:r>
      <w:r w:rsidRPr="008D7DB3">
        <w:t xml:space="preserve">о проверкам отчетного периода на 1042,9 </w:t>
      </w:r>
      <w:r w:rsidRPr="008D7DB3">
        <w:rPr>
          <w:rStyle w:val="af5"/>
          <w:color w:val="auto"/>
        </w:rPr>
        <w:t xml:space="preserve">тыс. руб. </w:t>
      </w:r>
      <w:r w:rsidRPr="008D7DB3">
        <w:t xml:space="preserve">(от </w:t>
      </w:r>
      <w:r w:rsidRPr="008D7DB3">
        <w:rPr>
          <w:rStyle w:val="af5"/>
          <w:color w:val="auto"/>
        </w:rPr>
        <w:t xml:space="preserve">медицинских организаций – 35,4 тыс. руб., СМО – 1007,5 тыс. руб.). </w:t>
      </w:r>
    </w:p>
    <w:p w14:paraId="5D379939" w14:textId="77777777" w:rsidR="002E78BD" w:rsidRPr="008D7DB3" w:rsidRDefault="002E78BD" w:rsidP="004D5BAA">
      <w:pPr>
        <w:ind w:firstLine="709"/>
        <w:jc w:val="center"/>
        <w:rPr>
          <w:b/>
          <w:i/>
        </w:rPr>
      </w:pPr>
    </w:p>
    <w:p w14:paraId="28279F96" w14:textId="00BC91F2" w:rsidR="004D5BAA" w:rsidRPr="008D7DB3" w:rsidRDefault="004D5BAA" w:rsidP="004D5BAA">
      <w:pPr>
        <w:ind w:firstLine="709"/>
        <w:jc w:val="center"/>
        <w:rPr>
          <w:b/>
          <w:i/>
        </w:rPr>
      </w:pPr>
      <w:r w:rsidRPr="008D7DB3">
        <w:rPr>
          <w:b/>
          <w:i/>
        </w:rPr>
        <w:t>Выводы</w:t>
      </w:r>
    </w:p>
    <w:p w14:paraId="1321F7CA" w14:textId="77777777" w:rsidR="006162C0" w:rsidRPr="008D7DB3" w:rsidRDefault="006162C0" w:rsidP="004D5BAA">
      <w:pPr>
        <w:ind w:firstLine="709"/>
        <w:jc w:val="center"/>
        <w:rPr>
          <w:b/>
          <w:i/>
        </w:rPr>
      </w:pPr>
    </w:p>
    <w:p w14:paraId="192BC000" w14:textId="77777777" w:rsidR="004D5BAA" w:rsidRPr="008D7DB3" w:rsidRDefault="004D5BAA" w:rsidP="004D5BA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D7DB3">
        <w:t>1. Проверкой состава и содержания бюджетной отчетности ГУ ТФОМС за 201</w:t>
      </w:r>
      <w:r w:rsidR="00511F28" w:rsidRPr="008D7DB3">
        <w:t>9</w:t>
      </w:r>
      <w:r w:rsidRPr="008D7DB3">
        <w:t xml:space="preserve"> год выявлено </w:t>
      </w:r>
      <w:r w:rsidR="00511F28" w:rsidRPr="008D7DB3">
        <w:t>4</w:t>
      </w:r>
      <w:r w:rsidRPr="008D7DB3">
        <w:t xml:space="preserve"> случа</w:t>
      </w:r>
      <w:r w:rsidR="00511F28" w:rsidRPr="008D7DB3">
        <w:t>я</w:t>
      </w:r>
      <w:r w:rsidRPr="008D7DB3">
        <w:t xml:space="preserve"> нарушений Инструкции №191н, </w:t>
      </w:r>
      <w:r w:rsidR="00511F28" w:rsidRPr="008D7DB3">
        <w:t>которые</w:t>
      </w:r>
      <w:r w:rsidRPr="008D7DB3">
        <w:t xml:space="preserve"> устранены в ходе проверки.</w:t>
      </w:r>
    </w:p>
    <w:p w14:paraId="3E717BA5" w14:textId="77777777" w:rsidR="004D5BAA" w:rsidRPr="008D7DB3" w:rsidRDefault="0080487B" w:rsidP="004D5BAA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8D7DB3">
        <w:t>2</w:t>
      </w:r>
      <w:r w:rsidR="004D5BAA" w:rsidRPr="008D7DB3">
        <w:t>. При исполнении бюджета ТФОМС не исполнены расходы:</w:t>
      </w:r>
    </w:p>
    <w:p w14:paraId="22A132E6" w14:textId="0E1EC579" w:rsidR="006162C0" w:rsidRPr="008D7DB3" w:rsidRDefault="006162C0" w:rsidP="006162C0">
      <w:pPr>
        <w:ind w:firstLine="708"/>
        <w:jc w:val="both"/>
      </w:pPr>
      <w:r w:rsidRPr="008D7DB3">
        <w:t xml:space="preserve">- по обязательствам на финансирование медицинских организаций за медицинскую помощь, оказанную медицинскими учреждениями Волгоградской области лицам, застрахованным на территории других субъектов РФ, на </w:t>
      </w:r>
      <w:r w:rsidR="0080487B" w:rsidRPr="008D7DB3">
        <w:t>93529,2</w:t>
      </w:r>
      <w:r w:rsidRPr="008D7DB3">
        <w:t xml:space="preserve"> тыс. руб.</w:t>
      </w:r>
      <w:r w:rsidR="00F41503" w:rsidRPr="008D7DB3">
        <w:t>,</w:t>
      </w:r>
      <w:r w:rsidRPr="008D7DB3">
        <w:t xml:space="preserve"> по причине </w:t>
      </w:r>
      <w:proofErr w:type="spellStart"/>
      <w:r w:rsidRPr="008D7DB3">
        <w:t>не</w:t>
      </w:r>
      <w:r w:rsidR="0035400D" w:rsidRPr="008D7DB3">
        <w:t>перечисления</w:t>
      </w:r>
      <w:proofErr w:type="spellEnd"/>
      <w:r w:rsidR="0035400D" w:rsidRPr="008D7DB3">
        <w:t xml:space="preserve"> </w:t>
      </w:r>
      <w:r w:rsidRPr="008D7DB3">
        <w:t>средств други</w:t>
      </w:r>
      <w:r w:rsidR="008829E1" w:rsidRPr="008D7DB3">
        <w:t>ми</w:t>
      </w:r>
      <w:r w:rsidRPr="008D7DB3">
        <w:t xml:space="preserve"> территориальны</w:t>
      </w:r>
      <w:r w:rsidR="008829E1" w:rsidRPr="008D7DB3">
        <w:t>ми</w:t>
      </w:r>
      <w:r w:rsidRPr="008D7DB3">
        <w:t xml:space="preserve"> фонд</w:t>
      </w:r>
      <w:r w:rsidR="008829E1" w:rsidRPr="008D7DB3">
        <w:t>ами</w:t>
      </w:r>
      <w:r w:rsidRPr="008D7DB3">
        <w:t xml:space="preserve"> субъектов РФ; </w:t>
      </w:r>
    </w:p>
    <w:p w14:paraId="1D2A5FBF" w14:textId="15DA91E0" w:rsidR="006162C0" w:rsidRPr="008D7DB3" w:rsidRDefault="006162C0" w:rsidP="006162C0">
      <w:pPr>
        <w:autoSpaceDE w:val="0"/>
        <w:autoSpaceDN w:val="0"/>
        <w:adjustRightInd w:val="0"/>
        <w:ind w:firstLine="709"/>
        <w:jc w:val="both"/>
      </w:pPr>
      <w:r w:rsidRPr="008D7DB3">
        <w:t xml:space="preserve">- на мероприятия, осуществляемые за счет средств НСЗ ТФОМС, по организации профессионального обучения медицинских работников, а также </w:t>
      </w:r>
      <w:r w:rsidR="008829E1" w:rsidRPr="008D7DB3">
        <w:t xml:space="preserve">на </w:t>
      </w:r>
      <w:r w:rsidRPr="008D7DB3">
        <w:t xml:space="preserve">приобретение и проведение ремонта медицинского оборудования на </w:t>
      </w:r>
      <w:r w:rsidR="00174469" w:rsidRPr="008D7DB3">
        <w:t xml:space="preserve">40596,7 </w:t>
      </w:r>
      <w:r w:rsidRPr="008D7DB3">
        <w:t xml:space="preserve">тыс. руб., которые </w:t>
      </w:r>
      <w:r w:rsidR="0035400D" w:rsidRPr="008D7DB3">
        <w:t xml:space="preserve">с учетом положений действующего законодательства РФ </w:t>
      </w:r>
      <w:r w:rsidRPr="008D7DB3">
        <w:t>предусмотрены к расходованию в 20</w:t>
      </w:r>
      <w:r w:rsidR="00174469" w:rsidRPr="008D7DB3">
        <w:t>20</w:t>
      </w:r>
      <w:r w:rsidRPr="008D7DB3">
        <w:t xml:space="preserve"> году;</w:t>
      </w:r>
    </w:p>
    <w:p w14:paraId="305F5E6B" w14:textId="1E40EAC4" w:rsidR="007010F4" w:rsidRPr="008D7DB3" w:rsidRDefault="002333E1" w:rsidP="007010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D7DB3">
        <w:t>- </w:t>
      </w:r>
      <w:r w:rsidR="007010F4" w:rsidRPr="008D7DB3">
        <w:t xml:space="preserve">на финансирование расходов медицинских организаций по доведению заработной платы принятых в 2019 году на работу в медицинскую организацию врачей и среднего медицинского персонала до уровня, установленного Указом Президента РФ от 07.05.2012 № 597 «О мероприятиях по реализации государственной социальной политики» (соответственно 200% и 100% от средней заработной платы по экономике), на 139 231,3 тыс. руб., или на 79,8% </w:t>
      </w:r>
      <w:r w:rsidR="00374447" w:rsidRPr="008D7DB3">
        <w:t>по причине невыполнения показателей обеспеченности учреждений врачами и средним медицинским персоналом вновь принятыми медицинскими работниками</w:t>
      </w:r>
      <w:r w:rsidR="007010F4" w:rsidRPr="008D7DB3">
        <w:t>;</w:t>
      </w:r>
    </w:p>
    <w:p w14:paraId="2F255E85" w14:textId="77777777" w:rsidR="006162C0" w:rsidRPr="008D7DB3" w:rsidRDefault="0080487B" w:rsidP="006162C0">
      <w:pPr>
        <w:ind w:firstLine="709"/>
        <w:jc w:val="both"/>
      </w:pPr>
      <w:r w:rsidRPr="008D7DB3">
        <w:t>-</w:t>
      </w:r>
      <w:r w:rsidR="00EA70D0" w:rsidRPr="008D7DB3">
        <w:t> на</w:t>
      </w:r>
      <w:r w:rsidR="006162C0" w:rsidRPr="008D7DB3">
        <w:t xml:space="preserve"> закупк</w:t>
      </w:r>
      <w:r w:rsidR="00EA70D0" w:rsidRPr="008D7DB3">
        <w:t>у</w:t>
      </w:r>
      <w:r w:rsidR="006162C0" w:rsidRPr="008D7DB3">
        <w:t xml:space="preserve"> </w:t>
      </w:r>
      <w:r w:rsidRPr="008D7DB3">
        <w:t>товаров, работ и услуг за счет экономии, возникшей при проведении конкурентных процедур, сокращением расходов на служебные поездки, применения регрессивной шкалы начисления взносов на 5385,7 тыс. рублей.</w:t>
      </w:r>
    </w:p>
    <w:p w14:paraId="47A7F1C0" w14:textId="4850F579" w:rsidR="00AA2CE9" w:rsidRPr="008D7DB3" w:rsidRDefault="00902DFB" w:rsidP="00C751D7">
      <w:pPr>
        <w:ind w:firstLine="709"/>
        <w:jc w:val="both"/>
      </w:pPr>
      <w:r w:rsidRPr="008D7DB3">
        <w:t>3</w:t>
      </w:r>
      <w:r w:rsidR="002F38E7" w:rsidRPr="008D7DB3">
        <w:t>. </w:t>
      </w:r>
      <w:r w:rsidR="006B2E80" w:rsidRPr="008D7DB3">
        <w:t xml:space="preserve">Согласно информации Облздрава </w:t>
      </w:r>
      <w:r w:rsidR="00C751D7" w:rsidRPr="008D7DB3">
        <w:t xml:space="preserve">в 2019 году не выполнены объёмы всех видов медицинской помощи, кроме оказываемой в стационарных условиях, что свидетельствует о недостаточных мерах по развитию </w:t>
      </w:r>
      <w:proofErr w:type="spellStart"/>
      <w:r w:rsidR="00C751D7" w:rsidRPr="008D7DB3">
        <w:t>стационарозамещающих</w:t>
      </w:r>
      <w:proofErr w:type="spellEnd"/>
      <w:r w:rsidR="00C751D7" w:rsidRPr="008D7DB3">
        <w:t xml:space="preserve"> технологий, как наименее затратных. </w:t>
      </w:r>
      <w:r w:rsidR="00C25726" w:rsidRPr="008D7DB3">
        <w:t xml:space="preserve">При этом </w:t>
      </w:r>
      <w:r w:rsidR="00C751D7" w:rsidRPr="008D7DB3">
        <w:t xml:space="preserve">по сравнению с 2018 годом </w:t>
      </w:r>
      <w:r w:rsidR="00C25726" w:rsidRPr="008D7DB3">
        <w:t xml:space="preserve">отмечается динамика </w:t>
      </w:r>
      <w:r w:rsidR="00A24D4B" w:rsidRPr="008D7DB3">
        <w:t xml:space="preserve">роста </w:t>
      </w:r>
      <w:r w:rsidR="00C25726" w:rsidRPr="008D7DB3">
        <w:t>по объемам оказанной помощи</w:t>
      </w:r>
      <w:r w:rsidR="00A24D4B" w:rsidRPr="008D7DB3">
        <w:t xml:space="preserve"> в стационарных условиях</w:t>
      </w:r>
      <w:r w:rsidR="00C25726" w:rsidRPr="008D7DB3">
        <w:t>.</w:t>
      </w:r>
    </w:p>
    <w:p w14:paraId="10F24000" w14:textId="689B3333" w:rsidR="006162C0" w:rsidRPr="008D7DB3" w:rsidRDefault="00902DFB" w:rsidP="00AA2CE9">
      <w:pPr>
        <w:tabs>
          <w:tab w:val="left" w:pos="993"/>
        </w:tabs>
        <w:ind w:firstLine="709"/>
        <w:jc w:val="both"/>
      </w:pPr>
      <w:r w:rsidRPr="008D7DB3">
        <w:t>4</w:t>
      </w:r>
      <w:r w:rsidR="00AA2CE9" w:rsidRPr="008D7DB3">
        <w:t xml:space="preserve">. Из </w:t>
      </w:r>
      <w:r w:rsidR="00E97BA8" w:rsidRPr="008D7DB3">
        <w:t xml:space="preserve">47 </w:t>
      </w:r>
      <w:r w:rsidR="00AA2CE9" w:rsidRPr="008D7DB3">
        <w:t>целевых значений критериев реализации Терпрограммы на 201</w:t>
      </w:r>
      <w:r w:rsidR="00E97BA8" w:rsidRPr="008D7DB3">
        <w:t>9</w:t>
      </w:r>
      <w:r w:rsidR="00AA2CE9" w:rsidRPr="008D7DB3">
        <w:t xml:space="preserve"> год не выполнено </w:t>
      </w:r>
      <w:r w:rsidR="00E97BA8" w:rsidRPr="008D7DB3">
        <w:t>15</w:t>
      </w:r>
      <w:r w:rsidR="00AA2CE9" w:rsidRPr="008D7DB3">
        <w:t xml:space="preserve">, из них </w:t>
      </w:r>
      <w:r w:rsidR="00E97BA8" w:rsidRPr="008D7DB3">
        <w:t xml:space="preserve">9 </w:t>
      </w:r>
      <w:r w:rsidR="00AA2CE9" w:rsidRPr="008D7DB3">
        <w:t xml:space="preserve">критериев качества медицинской помощи, </w:t>
      </w:r>
      <w:r w:rsidR="00E97BA8" w:rsidRPr="008D7DB3">
        <w:t>5</w:t>
      </w:r>
      <w:r w:rsidR="00AA2CE9" w:rsidRPr="008D7DB3">
        <w:t xml:space="preserve"> критери</w:t>
      </w:r>
      <w:r w:rsidR="00E97BA8" w:rsidRPr="008D7DB3">
        <w:t>ев</w:t>
      </w:r>
      <w:r w:rsidR="00AA2CE9" w:rsidRPr="008D7DB3">
        <w:t xml:space="preserve"> доступности медицинской помощи, 1 критерий эффективности деятельности медицинских организаций.</w:t>
      </w:r>
    </w:p>
    <w:p w14:paraId="388DED08" w14:textId="78592625" w:rsidR="003774A7" w:rsidRPr="008D7DB3" w:rsidRDefault="00902DFB" w:rsidP="003774A7">
      <w:pPr>
        <w:ind w:firstLine="709"/>
        <w:jc w:val="both"/>
      </w:pPr>
      <w:r w:rsidRPr="008D7DB3">
        <w:t>5</w:t>
      </w:r>
      <w:r w:rsidR="00AA2CE9" w:rsidRPr="008D7DB3">
        <w:t>.</w:t>
      </w:r>
      <w:r w:rsidRPr="008D7DB3">
        <w:t> </w:t>
      </w:r>
      <w:r w:rsidR="008D4666" w:rsidRPr="008D7DB3">
        <w:t>П</w:t>
      </w:r>
      <w:r w:rsidR="003774A7" w:rsidRPr="008D7DB3">
        <w:t xml:space="preserve">еревыполнение </w:t>
      </w:r>
      <w:r w:rsidR="008D4666" w:rsidRPr="008D7DB3">
        <w:t xml:space="preserve">некоторых </w:t>
      </w:r>
      <w:r w:rsidR="003774A7" w:rsidRPr="008D7DB3">
        <w:t xml:space="preserve">критериев качества и доступности медицинской помощи свидетельствует о </w:t>
      </w:r>
      <w:r w:rsidR="00C25726" w:rsidRPr="008D7DB3">
        <w:t>целесообразности</w:t>
      </w:r>
      <w:r w:rsidR="003774A7" w:rsidRPr="008D7DB3">
        <w:t xml:space="preserve"> корректировки их плановых значений в </w:t>
      </w:r>
      <w:proofErr w:type="spellStart"/>
      <w:r w:rsidR="003774A7" w:rsidRPr="008D7DB3">
        <w:t>Терпрограмме</w:t>
      </w:r>
      <w:proofErr w:type="spellEnd"/>
      <w:r w:rsidR="003774A7" w:rsidRPr="008D7DB3">
        <w:t>.</w:t>
      </w:r>
    </w:p>
    <w:p w14:paraId="4E9A5B7F" w14:textId="77777777" w:rsidR="004A36C6" w:rsidRPr="008D7DB3" w:rsidRDefault="004A36C6" w:rsidP="004D5BAA">
      <w:pPr>
        <w:jc w:val="center"/>
        <w:rPr>
          <w:b/>
          <w:i/>
        </w:rPr>
      </w:pPr>
    </w:p>
    <w:p w14:paraId="37CB2C1D" w14:textId="0F19420B" w:rsidR="004D5BAA" w:rsidRPr="008D7DB3" w:rsidRDefault="004D5BAA" w:rsidP="004D5BAA">
      <w:pPr>
        <w:jc w:val="center"/>
        <w:rPr>
          <w:b/>
          <w:i/>
        </w:rPr>
      </w:pPr>
      <w:r w:rsidRPr="008D7DB3">
        <w:rPr>
          <w:b/>
          <w:i/>
        </w:rPr>
        <w:t>Предложения</w:t>
      </w:r>
    </w:p>
    <w:p w14:paraId="5707695A" w14:textId="77777777" w:rsidR="00902DFB" w:rsidRPr="008D7DB3" w:rsidRDefault="00902DFB" w:rsidP="004D5BAA">
      <w:pPr>
        <w:jc w:val="center"/>
        <w:rPr>
          <w:b/>
          <w:i/>
        </w:rPr>
      </w:pPr>
    </w:p>
    <w:p w14:paraId="21155B8C" w14:textId="77777777" w:rsidR="005E0D5D" w:rsidRPr="008D7DB3" w:rsidRDefault="003A2B3C" w:rsidP="003A2B3C">
      <w:pPr>
        <w:pStyle w:val="aff"/>
        <w:numPr>
          <w:ilvl w:val="0"/>
          <w:numId w:val="4"/>
        </w:numPr>
        <w:rPr>
          <w:i/>
          <w:u w:val="single"/>
        </w:rPr>
      </w:pPr>
      <w:r w:rsidRPr="008D7DB3">
        <w:t>Совместно с Облздравом:</w:t>
      </w:r>
    </w:p>
    <w:p w14:paraId="4B65D191" w14:textId="77777777" w:rsidR="00C06610" w:rsidRPr="008D7DB3" w:rsidRDefault="003A2B3C" w:rsidP="003A2B3C">
      <w:pPr>
        <w:pStyle w:val="aff"/>
        <w:tabs>
          <w:tab w:val="left" w:pos="0"/>
          <w:tab w:val="left" w:pos="993"/>
        </w:tabs>
        <w:ind w:left="0" w:firstLine="709"/>
        <w:jc w:val="both"/>
      </w:pPr>
      <w:r w:rsidRPr="008D7DB3">
        <w:t xml:space="preserve">- в </w:t>
      </w:r>
      <w:r w:rsidR="00C06610" w:rsidRPr="008D7DB3">
        <w:t>целях предотвращения дефицита медицинских кадров в Волгоградской области проанализировать причины отсутствия запланированного прироста кадровой численности медицинского персонала и принять меры к сокращению данного дефицита.</w:t>
      </w:r>
    </w:p>
    <w:p w14:paraId="1C257B00" w14:textId="77777777" w:rsidR="00227716" w:rsidRPr="008D7DB3" w:rsidRDefault="003A2B3C" w:rsidP="003A2B3C">
      <w:pPr>
        <w:tabs>
          <w:tab w:val="left" w:pos="709"/>
        </w:tabs>
        <w:ind w:left="709"/>
        <w:jc w:val="both"/>
      </w:pPr>
      <w:r w:rsidRPr="008D7DB3">
        <w:t xml:space="preserve">- </w:t>
      </w:r>
      <w:r w:rsidR="0026402E" w:rsidRPr="008D7DB3">
        <w:t>рассмотреть вопрос</w:t>
      </w:r>
      <w:r w:rsidR="00227716" w:rsidRPr="008D7DB3">
        <w:t>ы:</w:t>
      </w:r>
    </w:p>
    <w:p w14:paraId="64EC61E0" w14:textId="77777777" w:rsidR="0026402E" w:rsidRPr="008D7DB3" w:rsidRDefault="003A2B3C" w:rsidP="00486BCA">
      <w:pPr>
        <w:tabs>
          <w:tab w:val="left" w:pos="709"/>
        </w:tabs>
        <w:jc w:val="both"/>
      </w:pPr>
      <w:r w:rsidRPr="008D7DB3">
        <w:tab/>
      </w:r>
      <w:r w:rsidR="00227716" w:rsidRPr="008D7DB3">
        <w:t xml:space="preserve">о </w:t>
      </w:r>
      <w:r w:rsidR="0026402E" w:rsidRPr="008D7DB3">
        <w:t xml:space="preserve">корректировке значений критериев качества и доступности медицинской помощи, эффективности деятельности медицинских организаций </w:t>
      </w:r>
      <w:r w:rsidR="0026402E" w:rsidRPr="008D7DB3">
        <w:rPr>
          <w:rStyle w:val="af5"/>
          <w:color w:val="auto"/>
        </w:rPr>
        <w:t>Терпрограммы на 20</w:t>
      </w:r>
      <w:r w:rsidR="00402AC8" w:rsidRPr="008D7DB3">
        <w:rPr>
          <w:rStyle w:val="af5"/>
          <w:color w:val="auto"/>
        </w:rPr>
        <w:t>20</w:t>
      </w:r>
      <w:r w:rsidR="0026402E" w:rsidRPr="008D7DB3">
        <w:rPr>
          <w:rStyle w:val="af5"/>
          <w:color w:val="auto"/>
        </w:rPr>
        <w:t xml:space="preserve"> год, утвержденной Законом Волгоградской области от </w:t>
      </w:r>
      <w:r w:rsidR="008D4666" w:rsidRPr="008D7DB3">
        <w:rPr>
          <w:rStyle w:val="af5"/>
          <w:color w:val="auto"/>
        </w:rPr>
        <w:t>06.12.2019</w:t>
      </w:r>
      <w:r w:rsidR="0026402E" w:rsidRPr="008D7DB3">
        <w:rPr>
          <w:rStyle w:val="af5"/>
          <w:color w:val="auto"/>
        </w:rPr>
        <w:t xml:space="preserve"> № </w:t>
      </w:r>
      <w:r w:rsidR="008D4666" w:rsidRPr="008D7DB3">
        <w:rPr>
          <w:rStyle w:val="af5"/>
          <w:color w:val="auto"/>
        </w:rPr>
        <w:t>127</w:t>
      </w:r>
      <w:r w:rsidR="0026402E" w:rsidRPr="008D7DB3">
        <w:rPr>
          <w:rStyle w:val="af5"/>
          <w:color w:val="auto"/>
        </w:rPr>
        <w:t xml:space="preserve">-ОД, </w:t>
      </w:r>
      <w:r w:rsidR="0026402E" w:rsidRPr="008D7DB3">
        <w:t>по которым наблюдается высокая динамика невыполнения и перевыполнения, с учетом фактически сложившихся обстоятельств и реального потенциала</w:t>
      </w:r>
      <w:r w:rsidR="00227716" w:rsidRPr="008D7DB3">
        <w:t xml:space="preserve"> медицины Волгоградской области;</w:t>
      </w:r>
    </w:p>
    <w:p w14:paraId="5B73B507" w14:textId="6F3D444A" w:rsidR="00C06610" w:rsidRPr="008D7DB3" w:rsidRDefault="003A2B3C" w:rsidP="003A2B3C">
      <w:pPr>
        <w:tabs>
          <w:tab w:val="left" w:pos="0"/>
        </w:tabs>
        <w:jc w:val="both"/>
      </w:pPr>
      <w:r w:rsidRPr="008D7DB3">
        <w:tab/>
      </w:r>
      <w:r w:rsidR="00227716" w:rsidRPr="008D7DB3">
        <w:t xml:space="preserve">о проведении анализа причин невыполнения отдельных видов медицинской помощи, предусмотренных </w:t>
      </w:r>
      <w:proofErr w:type="spellStart"/>
      <w:r w:rsidR="00227716" w:rsidRPr="008D7DB3">
        <w:t>Терпрограммой</w:t>
      </w:r>
      <w:proofErr w:type="spellEnd"/>
      <w:r w:rsidR="00227716" w:rsidRPr="008D7DB3">
        <w:t xml:space="preserve">, по результатам которого проработать механизмы, направленные на повышение уровня выполнения утвержденных объемов медицинской помощи </w:t>
      </w:r>
      <w:r w:rsidR="00475E2B" w:rsidRPr="008D7DB3">
        <w:t xml:space="preserve">в первую очередь по </w:t>
      </w:r>
      <w:proofErr w:type="spellStart"/>
      <w:r w:rsidR="00475E2B" w:rsidRPr="008D7DB3">
        <w:t>стационарозамещающим</w:t>
      </w:r>
      <w:proofErr w:type="spellEnd"/>
      <w:r w:rsidR="00475E2B" w:rsidRPr="008D7DB3">
        <w:t xml:space="preserve"> видам </w:t>
      </w:r>
      <w:r w:rsidR="00227716" w:rsidRPr="008D7DB3">
        <w:t xml:space="preserve">и эффективности использования средств ОМС.  </w:t>
      </w:r>
    </w:p>
    <w:p w14:paraId="00F4A18B" w14:textId="4AC9740C" w:rsidR="004F1612" w:rsidRPr="008D7DB3" w:rsidRDefault="00DE197F" w:rsidP="004F1612">
      <w:pPr>
        <w:ind w:firstLine="708"/>
        <w:jc w:val="both"/>
      </w:pPr>
      <w:r w:rsidRPr="008D7DB3">
        <w:t>2</w:t>
      </w:r>
      <w:r w:rsidR="00427FE0" w:rsidRPr="008D7DB3">
        <w:t>. </w:t>
      </w:r>
      <w:r w:rsidR="00E97BA8" w:rsidRPr="008D7DB3">
        <w:t>В целях недопущения случаев искажения форм бюджетной отчетности и нарушения требований Инструкций №191н при составлении бюджетной отчетности ТФОМС</w:t>
      </w:r>
      <w:r w:rsidR="00E97BA8" w:rsidRPr="008D7DB3">
        <w:rPr>
          <w:bCs/>
        </w:rPr>
        <w:t xml:space="preserve"> </w:t>
      </w:r>
      <w:r w:rsidR="00E97BA8" w:rsidRPr="008D7DB3">
        <w:t>р</w:t>
      </w:r>
      <w:r w:rsidR="00427FE0" w:rsidRPr="008D7DB3">
        <w:t xml:space="preserve">ассмотреть вопрос о проведении с ответственными сотрудниками рабочего совещания с разъяснением выявленных ошибок и способов </w:t>
      </w:r>
      <w:r w:rsidR="00F41503" w:rsidRPr="008D7DB3">
        <w:t xml:space="preserve">их </w:t>
      </w:r>
      <w:r w:rsidR="00427FE0" w:rsidRPr="008D7DB3">
        <w:t>устранения</w:t>
      </w:r>
      <w:r w:rsidR="00E97BA8" w:rsidRPr="008D7DB3">
        <w:t>.</w:t>
      </w:r>
    </w:p>
    <w:p w14:paraId="43E5F65C" w14:textId="77777777" w:rsidR="00B3666E" w:rsidRPr="008D7DB3" w:rsidRDefault="00486BCA" w:rsidP="00E97BA8">
      <w:pPr>
        <w:tabs>
          <w:tab w:val="left" w:pos="709"/>
        </w:tabs>
        <w:jc w:val="both"/>
      </w:pPr>
      <w:r w:rsidRPr="008D7DB3">
        <w:rPr>
          <w:bCs/>
        </w:rPr>
        <w:tab/>
      </w:r>
      <w:r w:rsidR="00B3666E" w:rsidRPr="008D7DB3">
        <w:t xml:space="preserve"> </w:t>
      </w:r>
    </w:p>
    <w:p w14:paraId="68290F59" w14:textId="77777777" w:rsidR="00427FE0" w:rsidRPr="008D7DB3" w:rsidRDefault="00427FE0" w:rsidP="002407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</w:rPr>
      </w:pPr>
    </w:p>
    <w:p w14:paraId="0A3EAC2B" w14:textId="77777777" w:rsidR="00E874FB" w:rsidRPr="009B6F7E" w:rsidRDefault="00E874FB" w:rsidP="00E874FB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8D7DB3">
        <w:rPr>
          <w:b/>
        </w:rPr>
        <w:t>Аудитор                                                                                             М.Е. Татаринцев</w:t>
      </w:r>
    </w:p>
    <w:p w14:paraId="215F9124" w14:textId="77777777" w:rsidR="004A0953" w:rsidRDefault="004A0953" w:rsidP="003E5354">
      <w:pPr>
        <w:autoSpaceDE w:val="0"/>
        <w:autoSpaceDN w:val="0"/>
        <w:adjustRightInd w:val="0"/>
        <w:ind w:firstLine="708"/>
        <w:jc w:val="both"/>
      </w:pPr>
    </w:p>
    <w:p w14:paraId="6A4FC94C" w14:textId="77777777" w:rsidR="00EF5C25" w:rsidRDefault="00EF5C25" w:rsidP="00EF5C25">
      <w:pPr>
        <w:spacing w:before="100" w:after="100"/>
        <w:ind w:left="60" w:right="60"/>
        <w:jc w:val="both"/>
        <w:rPr>
          <w:color w:val="FF0000"/>
        </w:rPr>
      </w:pPr>
    </w:p>
    <w:p w14:paraId="11EA63CB" w14:textId="77777777" w:rsidR="00EF5C25" w:rsidRPr="00EF5C25" w:rsidRDefault="00EF5C25" w:rsidP="00EF5C25">
      <w:pPr>
        <w:spacing w:before="100" w:after="100"/>
        <w:ind w:left="60" w:right="60"/>
        <w:jc w:val="both"/>
        <w:rPr>
          <w:color w:val="FF0000"/>
        </w:rPr>
      </w:pPr>
    </w:p>
    <w:sectPr w:rsidR="00EF5C25" w:rsidRPr="00EF5C25" w:rsidSect="004A36C6">
      <w:headerReference w:type="even" r:id="rId14"/>
      <w:headerReference w:type="default" r:id="rId15"/>
      <w:pgSz w:w="11906" w:h="16838" w:code="9"/>
      <w:pgMar w:top="851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E1F97" w14:textId="77777777" w:rsidR="000E065B" w:rsidRDefault="000E065B">
      <w:r>
        <w:separator/>
      </w:r>
    </w:p>
  </w:endnote>
  <w:endnote w:type="continuationSeparator" w:id="0">
    <w:p w14:paraId="1DFC9B54" w14:textId="77777777" w:rsidR="000E065B" w:rsidRDefault="000E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37BB" w14:textId="77777777" w:rsidR="000E065B" w:rsidRDefault="000E065B">
      <w:r>
        <w:separator/>
      </w:r>
    </w:p>
  </w:footnote>
  <w:footnote w:type="continuationSeparator" w:id="0">
    <w:p w14:paraId="085F8F6B" w14:textId="77777777" w:rsidR="000E065B" w:rsidRDefault="000E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7E63" w14:textId="77777777" w:rsidR="00E23B23" w:rsidRDefault="004B1446" w:rsidP="00CF44C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3B2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0556CBC" w14:textId="77777777" w:rsidR="00E23B23" w:rsidRDefault="00E23B2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14D8" w14:textId="77777777" w:rsidR="00E23B23" w:rsidRDefault="004B1446" w:rsidP="00CF44C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3B2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488F">
      <w:rPr>
        <w:rStyle w:val="aa"/>
        <w:noProof/>
      </w:rPr>
      <w:t>5</w:t>
    </w:r>
    <w:r>
      <w:rPr>
        <w:rStyle w:val="aa"/>
      </w:rPr>
      <w:fldChar w:fldCharType="end"/>
    </w:r>
  </w:p>
  <w:p w14:paraId="2D999017" w14:textId="77777777" w:rsidR="00E23B23" w:rsidRDefault="00E23B23" w:rsidP="00F324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E6C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02213"/>
    <w:multiLevelType w:val="hybridMultilevel"/>
    <w:tmpl w:val="BE428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512D97"/>
    <w:multiLevelType w:val="hybridMultilevel"/>
    <w:tmpl w:val="7E38B34E"/>
    <w:lvl w:ilvl="0" w:tplc="E2B0F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956EB9"/>
    <w:multiLevelType w:val="hybridMultilevel"/>
    <w:tmpl w:val="1B4EE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845"/>
    <w:rsid w:val="00000356"/>
    <w:rsid w:val="0000047E"/>
    <w:rsid w:val="00000E07"/>
    <w:rsid w:val="00001E80"/>
    <w:rsid w:val="00002223"/>
    <w:rsid w:val="000027C6"/>
    <w:rsid w:val="000028B9"/>
    <w:rsid w:val="00002D9B"/>
    <w:rsid w:val="00003005"/>
    <w:rsid w:val="00003C01"/>
    <w:rsid w:val="0000450C"/>
    <w:rsid w:val="00005907"/>
    <w:rsid w:val="00006265"/>
    <w:rsid w:val="00006612"/>
    <w:rsid w:val="0000712D"/>
    <w:rsid w:val="000076D9"/>
    <w:rsid w:val="00007CA0"/>
    <w:rsid w:val="00007EF5"/>
    <w:rsid w:val="000106E1"/>
    <w:rsid w:val="00010820"/>
    <w:rsid w:val="00010AC6"/>
    <w:rsid w:val="00011832"/>
    <w:rsid w:val="000118FD"/>
    <w:rsid w:val="00011CC8"/>
    <w:rsid w:val="00012548"/>
    <w:rsid w:val="00012966"/>
    <w:rsid w:val="0001368C"/>
    <w:rsid w:val="00013911"/>
    <w:rsid w:val="0001446C"/>
    <w:rsid w:val="000148B4"/>
    <w:rsid w:val="00014CD8"/>
    <w:rsid w:val="00015321"/>
    <w:rsid w:val="000157FA"/>
    <w:rsid w:val="00015860"/>
    <w:rsid w:val="00015B39"/>
    <w:rsid w:val="00016698"/>
    <w:rsid w:val="0001710E"/>
    <w:rsid w:val="00020A97"/>
    <w:rsid w:val="0002144C"/>
    <w:rsid w:val="0002187C"/>
    <w:rsid w:val="00021CE0"/>
    <w:rsid w:val="00022963"/>
    <w:rsid w:val="00022EF5"/>
    <w:rsid w:val="000230E0"/>
    <w:rsid w:val="00023140"/>
    <w:rsid w:val="000236C6"/>
    <w:rsid w:val="0002382D"/>
    <w:rsid w:val="000246EF"/>
    <w:rsid w:val="0002487B"/>
    <w:rsid w:val="00024DE4"/>
    <w:rsid w:val="00025910"/>
    <w:rsid w:val="00025B9A"/>
    <w:rsid w:val="0002692C"/>
    <w:rsid w:val="00026EFB"/>
    <w:rsid w:val="0003049B"/>
    <w:rsid w:val="000304CA"/>
    <w:rsid w:val="000304E4"/>
    <w:rsid w:val="000307E1"/>
    <w:rsid w:val="000309AE"/>
    <w:rsid w:val="000309C3"/>
    <w:rsid w:val="000311D1"/>
    <w:rsid w:val="000316BF"/>
    <w:rsid w:val="0003193D"/>
    <w:rsid w:val="00032B8F"/>
    <w:rsid w:val="00032F9B"/>
    <w:rsid w:val="0003323B"/>
    <w:rsid w:val="00033437"/>
    <w:rsid w:val="000337DE"/>
    <w:rsid w:val="00033D95"/>
    <w:rsid w:val="00033EE5"/>
    <w:rsid w:val="000344E7"/>
    <w:rsid w:val="00034C3C"/>
    <w:rsid w:val="00034C78"/>
    <w:rsid w:val="00035240"/>
    <w:rsid w:val="00036007"/>
    <w:rsid w:val="000360B5"/>
    <w:rsid w:val="000360E0"/>
    <w:rsid w:val="00036389"/>
    <w:rsid w:val="000368E3"/>
    <w:rsid w:val="00037455"/>
    <w:rsid w:val="0003764F"/>
    <w:rsid w:val="000378C9"/>
    <w:rsid w:val="00040051"/>
    <w:rsid w:val="0004009D"/>
    <w:rsid w:val="000401E7"/>
    <w:rsid w:val="00040FB8"/>
    <w:rsid w:val="0004188E"/>
    <w:rsid w:val="00042177"/>
    <w:rsid w:val="0004250C"/>
    <w:rsid w:val="000427C8"/>
    <w:rsid w:val="000428F5"/>
    <w:rsid w:val="00042F8B"/>
    <w:rsid w:val="00044213"/>
    <w:rsid w:val="00044990"/>
    <w:rsid w:val="00044A80"/>
    <w:rsid w:val="00044D99"/>
    <w:rsid w:val="00046953"/>
    <w:rsid w:val="000469DD"/>
    <w:rsid w:val="000475DE"/>
    <w:rsid w:val="00047ABA"/>
    <w:rsid w:val="00047C7B"/>
    <w:rsid w:val="000517C9"/>
    <w:rsid w:val="000517E8"/>
    <w:rsid w:val="00051D5B"/>
    <w:rsid w:val="00052175"/>
    <w:rsid w:val="00052530"/>
    <w:rsid w:val="00052B55"/>
    <w:rsid w:val="000531BF"/>
    <w:rsid w:val="000536DD"/>
    <w:rsid w:val="00053904"/>
    <w:rsid w:val="00053B5E"/>
    <w:rsid w:val="00053D3C"/>
    <w:rsid w:val="000546F7"/>
    <w:rsid w:val="000546FE"/>
    <w:rsid w:val="00054A31"/>
    <w:rsid w:val="00054EE6"/>
    <w:rsid w:val="00055342"/>
    <w:rsid w:val="0005564C"/>
    <w:rsid w:val="00055B72"/>
    <w:rsid w:val="00055E60"/>
    <w:rsid w:val="000560C4"/>
    <w:rsid w:val="000565BA"/>
    <w:rsid w:val="00056620"/>
    <w:rsid w:val="000566A6"/>
    <w:rsid w:val="00056945"/>
    <w:rsid w:val="00056F85"/>
    <w:rsid w:val="000570CA"/>
    <w:rsid w:val="00057970"/>
    <w:rsid w:val="00057D10"/>
    <w:rsid w:val="00057E51"/>
    <w:rsid w:val="00057F0C"/>
    <w:rsid w:val="0006029A"/>
    <w:rsid w:val="00060FB8"/>
    <w:rsid w:val="00061760"/>
    <w:rsid w:val="00062CB6"/>
    <w:rsid w:val="000631CD"/>
    <w:rsid w:val="000639C8"/>
    <w:rsid w:val="00063B52"/>
    <w:rsid w:val="0006409C"/>
    <w:rsid w:val="00064391"/>
    <w:rsid w:val="00064491"/>
    <w:rsid w:val="000645CE"/>
    <w:rsid w:val="00064A31"/>
    <w:rsid w:val="00064C22"/>
    <w:rsid w:val="00065000"/>
    <w:rsid w:val="000653C1"/>
    <w:rsid w:val="00065562"/>
    <w:rsid w:val="00065FBB"/>
    <w:rsid w:val="00065FC6"/>
    <w:rsid w:val="0006649B"/>
    <w:rsid w:val="000667F4"/>
    <w:rsid w:val="00066CDF"/>
    <w:rsid w:val="00067366"/>
    <w:rsid w:val="000705CB"/>
    <w:rsid w:val="0007062A"/>
    <w:rsid w:val="00070808"/>
    <w:rsid w:val="000718D2"/>
    <w:rsid w:val="000719C3"/>
    <w:rsid w:val="00071BE7"/>
    <w:rsid w:val="00071DC5"/>
    <w:rsid w:val="000720D9"/>
    <w:rsid w:val="000721E8"/>
    <w:rsid w:val="00072290"/>
    <w:rsid w:val="00072520"/>
    <w:rsid w:val="00072F8B"/>
    <w:rsid w:val="00073228"/>
    <w:rsid w:val="000736F5"/>
    <w:rsid w:val="00073F68"/>
    <w:rsid w:val="00073F9E"/>
    <w:rsid w:val="0007442E"/>
    <w:rsid w:val="00074F0F"/>
    <w:rsid w:val="00075182"/>
    <w:rsid w:val="00076D1B"/>
    <w:rsid w:val="0007719F"/>
    <w:rsid w:val="000774B1"/>
    <w:rsid w:val="00077B11"/>
    <w:rsid w:val="00077E60"/>
    <w:rsid w:val="00080402"/>
    <w:rsid w:val="0008059D"/>
    <w:rsid w:val="00080836"/>
    <w:rsid w:val="00080D7A"/>
    <w:rsid w:val="00080DEE"/>
    <w:rsid w:val="00081069"/>
    <w:rsid w:val="0008113C"/>
    <w:rsid w:val="000811B6"/>
    <w:rsid w:val="00081ACB"/>
    <w:rsid w:val="00081DE0"/>
    <w:rsid w:val="00082527"/>
    <w:rsid w:val="000829CA"/>
    <w:rsid w:val="00082DB1"/>
    <w:rsid w:val="000835A3"/>
    <w:rsid w:val="000838BB"/>
    <w:rsid w:val="00083F4C"/>
    <w:rsid w:val="000840A4"/>
    <w:rsid w:val="00084235"/>
    <w:rsid w:val="0008451F"/>
    <w:rsid w:val="00084600"/>
    <w:rsid w:val="00084675"/>
    <w:rsid w:val="00084A9D"/>
    <w:rsid w:val="00085232"/>
    <w:rsid w:val="00085415"/>
    <w:rsid w:val="000855C6"/>
    <w:rsid w:val="00085D9A"/>
    <w:rsid w:val="0008643F"/>
    <w:rsid w:val="0008646C"/>
    <w:rsid w:val="0008691F"/>
    <w:rsid w:val="0008707F"/>
    <w:rsid w:val="0008749B"/>
    <w:rsid w:val="0009045D"/>
    <w:rsid w:val="00090A22"/>
    <w:rsid w:val="00090DD5"/>
    <w:rsid w:val="000916C9"/>
    <w:rsid w:val="00091B46"/>
    <w:rsid w:val="00091C3E"/>
    <w:rsid w:val="00091E87"/>
    <w:rsid w:val="00092222"/>
    <w:rsid w:val="000928AC"/>
    <w:rsid w:val="00092926"/>
    <w:rsid w:val="00092C7B"/>
    <w:rsid w:val="000934A0"/>
    <w:rsid w:val="00093613"/>
    <w:rsid w:val="000942A1"/>
    <w:rsid w:val="000942B8"/>
    <w:rsid w:val="0009480C"/>
    <w:rsid w:val="00094B63"/>
    <w:rsid w:val="000951E6"/>
    <w:rsid w:val="0009530B"/>
    <w:rsid w:val="0009530C"/>
    <w:rsid w:val="00095317"/>
    <w:rsid w:val="000959DD"/>
    <w:rsid w:val="00095F3F"/>
    <w:rsid w:val="00096224"/>
    <w:rsid w:val="000963E3"/>
    <w:rsid w:val="0009684F"/>
    <w:rsid w:val="000968DA"/>
    <w:rsid w:val="00096903"/>
    <w:rsid w:val="00096EE1"/>
    <w:rsid w:val="00097AC7"/>
    <w:rsid w:val="00097B30"/>
    <w:rsid w:val="00097DC8"/>
    <w:rsid w:val="000A06C2"/>
    <w:rsid w:val="000A0762"/>
    <w:rsid w:val="000A1681"/>
    <w:rsid w:val="000A1B51"/>
    <w:rsid w:val="000A250C"/>
    <w:rsid w:val="000A283E"/>
    <w:rsid w:val="000A2E41"/>
    <w:rsid w:val="000A2E9D"/>
    <w:rsid w:val="000A36B5"/>
    <w:rsid w:val="000A38B1"/>
    <w:rsid w:val="000A3B30"/>
    <w:rsid w:val="000A3EB6"/>
    <w:rsid w:val="000A43E8"/>
    <w:rsid w:val="000A4455"/>
    <w:rsid w:val="000A446B"/>
    <w:rsid w:val="000A45E9"/>
    <w:rsid w:val="000A4873"/>
    <w:rsid w:val="000A556A"/>
    <w:rsid w:val="000A5A90"/>
    <w:rsid w:val="000A5BDA"/>
    <w:rsid w:val="000A5C3E"/>
    <w:rsid w:val="000A625E"/>
    <w:rsid w:val="000A7385"/>
    <w:rsid w:val="000A7712"/>
    <w:rsid w:val="000A7783"/>
    <w:rsid w:val="000A7B75"/>
    <w:rsid w:val="000B01FC"/>
    <w:rsid w:val="000B0806"/>
    <w:rsid w:val="000B0CA9"/>
    <w:rsid w:val="000B114A"/>
    <w:rsid w:val="000B184E"/>
    <w:rsid w:val="000B2202"/>
    <w:rsid w:val="000B2488"/>
    <w:rsid w:val="000B2EEE"/>
    <w:rsid w:val="000B304C"/>
    <w:rsid w:val="000B3D77"/>
    <w:rsid w:val="000B4C7E"/>
    <w:rsid w:val="000B5A1D"/>
    <w:rsid w:val="000B5A2F"/>
    <w:rsid w:val="000B5D2B"/>
    <w:rsid w:val="000B60F2"/>
    <w:rsid w:val="000B6D43"/>
    <w:rsid w:val="000B701E"/>
    <w:rsid w:val="000B7FE4"/>
    <w:rsid w:val="000C006A"/>
    <w:rsid w:val="000C0426"/>
    <w:rsid w:val="000C0941"/>
    <w:rsid w:val="000C15BC"/>
    <w:rsid w:val="000C1A6A"/>
    <w:rsid w:val="000C1F42"/>
    <w:rsid w:val="000C3E94"/>
    <w:rsid w:val="000C4E32"/>
    <w:rsid w:val="000C4FD2"/>
    <w:rsid w:val="000C5682"/>
    <w:rsid w:val="000C56AD"/>
    <w:rsid w:val="000C597B"/>
    <w:rsid w:val="000C5BA0"/>
    <w:rsid w:val="000C6F81"/>
    <w:rsid w:val="000D0342"/>
    <w:rsid w:val="000D0879"/>
    <w:rsid w:val="000D0E92"/>
    <w:rsid w:val="000D118C"/>
    <w:rsid w:val="000D1904"/>
    <w:rsid w:val="000D1AF8"/>
    <w:rsid w:val="000D29A3"/>
    <w:rsid w:val="000D2AB7"/>
    <w:rsid w:val="000D2B87"/>
    <w:rsid w:val="000D3023"/>
    <w:rsid w:val="000D3129"/>
    <w:rsid w:val="000D31E4"/>
    <w:rsid w:val="000D3625"/>
    <w:rsid w:val="000D3BC8"/>
    <w:rsid w:val="000D4799"/>
    <w:rsid w:val="000D48FA"/>
    <w:rsid w:val="000D4B39"/>
    <w:rsid w:val="000D4B89"/>
    <w:rsid w:val="000D542E"/>
    <w:rsid w:val="000D5B49"/>
    <w:rsid w:val="000D5DB0"/>
    <w:rsid w:val="000D61B0"/>
    <w:rsid w:val="000D6215"/>
    <w:rsid w:val="000D6309"/>
    <w:rsid w:val="000D7281"/>
    <w:rsid w:val="000E0364"/>
    <w:rsid w:val="000E065B"/>
    <w:rsid w:val="000E0E4E"/>
    <w:rsid w:val="000E15A4"/>
    <w:rsid w:val="000E1AB0"/>
    <w:rsid w:val="000E1F35"/>
    <w:rsid w:val="000E24E7"/>
    <w:rsid w:val="000E2D4B"/>
    <w:rsid w:val="000E31A9"/>
    <w:rsid w:val="000E3EFB"/>
    <w:rsid w:val="000E40C5"/>
    <w:rsid w:val="000E4E61"/>
    <w:rsid w:val="000E5315"/>
    <w:rsid w:val="000E570F"/>
    <w:rsid w:val="000E5EF4"/>
    <w:rsid w:val="000E604F"/>
    <w:rsid w:val="000E65D5"/>
    <w:rsid w:val="000E68B5"/>
    <w:rsid w:val="000E6CE3"/>
    <w:rsid w:val="000E6D39"/>
    <w:rsid w:val="000E718B"/>
    <w:rsid w:val="000E72EA"/>
    <w:rsid w:val="000E7A1A"/>
    <w:rsid w:val="000E7E46"/>
    <w:rsid w:val="000F058C"/>
    <w:rsid w:val="000F087B"/>
    <w:rsid w:val="000F135D"/>
    <w:rsid w:val="000F15F1"/>
    <w:rsid w:val="000F17A1"/>
    <w:rsid w:val="000F3BBA"/>
    <w:rsid w:val="000F3D4D"/>
    <w:rsid w:val="000F443D"/>
    <w:rsid w:val="000F485D"/>
    <w:rsid w:val="000F4BC0"/>
    <w:rsid w:val="000F4C59"/>
    <w:rsid w:val="000F5239"/>
    <w:rsid w:val="000F54B1"/>
    <w:rsid w:val="000F5C2D"/>
    <w:rsid w:val="000F5D0D"/>
    <w:rsid w:val="000F6580"/>
    <w:rsid w:val="000F669D"/>
    <w:rsid w:val="000F688F"/>
    <w:rsid w:val="000F68DA"/>
    <w:rsid w:val="000F7051"/>
    <w:rsid w:val="000F7159"/>
    <w:rsid w:val="000F7474"/>
    <w:rsid w:val="000F79D3"/>
    <w:rsid w:val="001003E3"/>
    <w:rsid w:val="0010062D"/>
    <w:rsid w:val="00100AE5"/>
    <w:rsid w:val="00100BA7"/>
    <w:rsid w:val="00100C8E"/>
    <w:rsid w:val="00100EA5"/>
    <w:rsid w:val="00100FB1"/>
    <w:rsid w:val="00100FCF"/>
    <w:rsid w:val="00101093"/>
    <w:rsid w:val="0010174D"/>
    <w:rsid w:val="00101F71"/>
    <w:rsid w:val="00103483"/>
    <w:rsid w:val="00103BC6"/>
    <w:rsid w:val="00103E9C"/>
    <w:rsid w:val="001046D3"/>
    <w:rsid w:val="00104741"/>
    <w:rsid w:val="00104764"/>
    <w:rsid w:val="0010496C"/>
    <w:rsid w:val="001051A2"/>
    <w:rsid w:val="001058AD"/>
    <w:rsid w:val="00105FEC"/>
    <w:rsid w:val="001061A4"/>
    <w:rsid w:val="001068A3"/>
    <w:rsid w:val="00106D7F"/>
    <w:rsid w:val="001078D3"/>
    <w:rsid w:val="00107A78"/>
    <w:rsid w:val="00107D33"/>
    <w:rsid w:val="0011064B"/>
    <w:rsid w:val="00110AF6"/>
    <w:rsid w:val="00110DF6"/>
    <w:rsid w:val="00111ADB"/>
    <w:rsid w:val="0011369F"/>
    <w:rsid w:val="001136EE"/>
    <w:rsid w:val="00113795"/>
    <w:rsid w:val="00113834"/>
    <w:rsid w:val="00113C97"/>
    <w:rsid w:val="00113F0E"/>
    <w:rsid w:val="00114096"/>
    <w:rsid w:val="00114239"/>
    <w:rsid w:val="001142B0"/>
    <w:rsid w:val="001146B6"/>
    <w:rsid w:val="001149DB"/>
    <w:rsid w:val="00114C1E"/>
    <w:rsid w:val="00114CD4"/>
    <w:rsid w:val="00114FB4"/>
    <w:rsid w:val="00115E2B"/>
    <w:rsid w:val="001165BD"/>
    <w:rsid w:val="00116F59"/>
    <w:rsid w:val="00117C68"/>
    <w:rsid w:val="00120038"/>
    <w:rsid w:val="0012006F"/>
    <w:rsid w:val="00120C9D"/>
    <w:rsid w:val="001212BE"/>
    <w:rsid w:val="00121319"/>
    <w:rsid w:val="001214E0"/>
    <w:rsid w:val="00121638"/>
    <w:rsid w:val="0012166B"/>
    <w:rsid w:val="00121F71"/>
    <w:rsid w:val="001222B5"/>
    <w:rsid w:val="00122591"/>
    <w:rsid w:val="00122B49"/>
    <w:rsid w:val="00122B73"/>
    <w:rsid w:val="00122FE8"/>
    <w:rsid w:val="00123388"/>
    <w:rsid w:val="0012373D"/>
    <w:rsid w:val="00123A7E"/>
    <w:rsid w:val="00123E72"/>
    <w:rsid w:val="00124179"/>
    <w:rsid w:val="00124310"/>
    <w:rsid w:val="00124590"/>
    <w:rsid w:val="00124595"/>
    <w:rsid w:val="001246B9"/>
    <w:rsid w:val="00124FA7"/>
    <w:rsid w:val="00125406"/>
    <w:rsid w:val="0012542B"/>
    <w:rsid w:val="00125801"/>
    <w:rsid w:val="00125BFC"/>
    <w:rsid w:val="00125D07"/>
    <w:rsid w:val="00125ED7"/>
    <w:rsid w:val="001261C9"/>
    <w:rsid w:val="001266CB"/>
    <w:rsid w:val="00126C21"/>
    <w:rsid w:val="00127753"/>
    <w:rsid w:val="00127987"/>
    <w:rsid w:val="00127994"/>
    <w:rsid w:val="001301AD"/>
    <w:rsid w:val="001302AE"/>
    <w:rsid w:val="00130513"/>
    <w:rsid w:val="00130C8B"/>
    <w:rsid w:val="00130F32"/>
    <w:rsid w:val="00131060"/>
    <w:rsid w:val="001314E2"/>
    <w:rsid w:val="001315A7"/>
    <w:rsid w:val="00131825"/>
    <w:rsid w:val="00131B20"/>
    <w:rsid w:val="00132488"/>
    <w:rsid w:val="001329EF"/>
    <w:rsid w:val="001344F5"/>
    <w:rsid w:val="001349E0"/>
    <w:rsid w:val="00134C54"/>
    <w:rsid w:val="00134EE0"/>
    <w:rsid w:val="00135106"/>
    <w:rsid w:val="00135378"/>
    <w:rsid w:val="00135457"/>
    <w:rsid w:val="00135F59"/>
    <w:rsid w:val="00136F01"/>
    <w:rsid w:val="00137357"/>
    <w:rsid w:val="001375F6"/>
    <w:rsid w:val="00137879"/>
    <w:rsid w:val="00137A06"/>
    <w:rsid w:val="00137A14"/>
    <w:rsid w:val="00137DE9"/>
    <w:rsid w:val="001402AA"/>
    <w:rsid w:val="0014066F"/>
    <w:rsid w:val="001406A5"/>
    <w:rsid w:val="001407AE"/>
    <w:rsid w:val="00140AF7"/>
    <w:rsid w:val="00140D5B"/>
    <w:rsid w:val="001410F6"/>
    <w:rsid w:val="00141163"/>
    <w:rsid w:val="001416F6"/>
    <w:rsid w:val="001418AB"/>
    <w:rsid w:val="00141A3C"/>
    <w:rsid w:val="00141B90"/>
    <w:rsid w:val="00142871"/>
    <w:rsid w:val="00142A4E"/>
    <w:rsid w:val="00142C85"/>
    <w:rsid w:val="001433F5"/>
    <w:rsid w:val="00143B11"/>
    <w:rsid w:val="00144396"/>
    <w:rsid w:val="00144E97"/>
    <w:rsid w:val="0014513E"/>
    <w:rsid w:val="00145729"/>
    <w:rsid w:val="00145A0A"/>
    <w:rsid w:val="00145D28"/>
    <w:rsid w:val="001463D8"/>
    <w:rsid w:val="00146596"/>
    <w:rsid w:val="00146F05"/>
    <w:rsid w:val="001502FC"/>
    <w:rsid w:val="001504DF"/>
    <w:rsid w:val="00150509"/>
    <w:rsid w:val="00150516"/>
    <w:rsid w:val="00151656"/>
    <w:rsid w:val="001519E5"/>
    <w:rsid w:val="00151A0A"/>
    <w:rsid w:val="00152505"/>
    <w:rsid w:val="001526A9"/>
    <w:rsid w:val="00152C38"/>
    <w:rsid w:val="00153660"/>
    <w:rsid w:val="00153C38"/>
    <w:rsid w:val="00155326"/>
    <w:rsid w:val="00156924"/>
    <w:rsid w:val="00156A95"/>
    <w:rsid w:val="00156E1F"/>
    <w:rsid w:val="001570F3"/>
    <w:rsid w:val="001575E2"/>
    <w:rsid w:val="00157631"/>
    <w:rsid w:val="00157EBF"/>
    <w:rsid w:val="001600EB"/>
    <w:rsid w:val="00160133"/>
    <w:rsid w:val="00160D66"/>
    <w:rsid w:val="00161580"/>
    <w:rsid w:val="001617D7"/>
    <w:rsid w:val="00161EC1"/>
    <w:rsid w:val="00162132"/>
    <w:rsid w:val="001635CE"/>
    <w:rsid w:val="001636FE"/>
    <w:rsid w:val="001640CC"/>
    <w:rsid w:val="00164FD0"/>
    <w:rsid w:val="00166208"/>
    <w:rsid w:val="0016625A"/>
    <w:rsid w:val="00166280"/>
    <w:rsid w:val="00166570"/>
    <w:rsid w:val="00166580"/>
    <w:rsid w:val="001671A9"/>
    <w:rsid w:val="00167956"/>
    <w:rsid w:val="00167D71"/>
    <w:rsid w:val="00171894"/>
    <w:rsid w:val="0017192C"/>
    <w:rsid w:val="001723C4"/>
    <w:rsid w:val="00172862"/>
    <w:rsid w:val="00173136"/>
    <w:rsid w:val="001733C6"/>
    <w:rsid w:val="001736EA"/>
    <w:rsid w:val="00173A15"/>
    <w:rsid w:val="00174469"/>
    <w:rsid w:val="001745C3"/>
    <w:rsid w:val="001746E8"/>
    <w:rsid w:val="00174A9E"/>
    <w:rsid w:val="00174B19"/>
    <w:rsid w:val="00175974"/>
    <w:rsid w:val="0017649B"/>
    <w:rsid w:val="00176756"/>
    <w:rsid w:val="00176799"/>
    <w:rsid w:val="00176A84"/>
    <w:rsid w:val="001771D1"/>
    <w:rsid w:val="00177CAC"/>
    <w:rsid w:val="00180643"/>
    <w:rsid w:val="00180662"/>
    <w:rsid w:val="00181365"/>
    <w:rsid w:val="00181A4B"/>
    <w:rsid w:val="00181DC9"/>
    <w:rsid w:val="00181E53"/>
    <w:rsid w:val="001831F5"/>
    <w:rsid w:val="00183544"/>
    <w:rsid w:val="00183DC9"/>
    <w:rsid w:val="00184019"/>
    <w:rsid w:val="0018437E"/>
    <w:rsid w:val="00184845"/>
    <w:rsid w:val="00184854"/>
    <w:rsid w:val="00184BB6"/>
    <w:rsid w:val="00185283"/>
    <w:rsid w:val="001855D5"/>
    <w:rsid w:val="00185809"/>
    <w:rsid w:val="001859D8"/>
    <w:rsid w:val="001865FD"/>
    <w:rsid w:val="00186671"/>
    <w:rsid w:val="00186842"/>
    <w:rsid w:val="00186DE4"/>
    <w:rsid w:val="001878C9"/>
    <w:rsid w:val="00187C03"/>
    <w:rsid w:val="00187D70"/>
    <w:rsid w:val="0019027A"/>
    <w:rsid w:val="00190B9B"/>
    <w:rsid w:val="0019238E"/>
    <w:rsid w:val="00192857"/>
    <w:rsid w:val="00193037"/>
    <w:rsid w:val="00193721"/>
    <w:rsid w:val="001939DA"/>
    <w:rsid w:val="0019530F"/>
    <w:rsid w:val="0019577A"/>
    <w:rsid w:val="0019582F"/>
    <w:rsid w:val="001958E6"/>
    <w:rsid w:val="00195D20"/>
    <w:rsid w:val="00196645"/>
    <w:rsid w:val="0019668B"/>
    <w:rsid w:val="0019683D"/>
    <w:rsid w:val="00196AF1"/>
    <w:rsid w:val="00196B00"/>
    <w:rsid w:val="001971AF"/>
    <w:rsid w:val="00197237"/>
    <w:rsid w:val="00197C61"/>
    <w:rsid w:val="00197D63"/>
    <w:rsid w:val="001A0471"/>
    <w:rsid w:val="001A0CF0"/>
    <w:rsid w:val="001A1702"/>
    <w:rsid w:val="001A19B1"/>
    <w:rsid w:val="001A22C3"/>
    <w:rsid w:val="001A2D89"/>
    <w:rsid w:val="001A344B"/>
    <w:rsid w:val="001A3BEB"/>
    <w:rsid w:val="001A3CB8"/>
    <w:rsid w:val="001A428B"/>
    <w:rsid w:val="001A4296"/>
    <w:rsid w:val="001A563F"/>
    <w:rsid w:val="001A594A"/>
    <w:rsid w:val="001A5B3F"/>
    <w:rsid w:val="001A5D55"/>
    <w:rsid w:val="001A63DE"/>
    <w:rsid w:val="001A6859"/>
    <w:rsid w:val="001A6A6D"/>
    <w:rsid w:val="001A6A74"/>
    <w:rsid w:val="001A716D"/>
    <w:rsid w:val="001A7199"/>
    <w:rsid w:val="001A737A"/>
    <w:rsid w:val="001A75C1"/>
    <w:rsid w:val="001A7795"/>
    <w:rsid w:val="001A7CC3"/>
    <w:rsid w:val="001B0154"/>
    <w:rsid w:val="001B077F"/>
    <w:rsid w:val="001B100E"/>
    <w:rsid w:val="001B1C3D"/>
    <w:rsid w:val="001B202A"/>
    <w:rsid w:val="001B20B3"/>
    <w:rsid w:val="001B2446"/>
    <w:rsid w:val="001B293F"/>
    <w:rsid w:val="001B2A11"/>
    <w:rsid w:val="001B2F20"/>
    <w:rsid w:val="001B2F6B"/>
    <w:rsid w:val="001B33BB"/>
    <w:rsid w:val="001B34B3"/>
    <w:rsid w:val="001B41A0"/>
    <w:rsid w:val="001B4366"/>
    <w:rsid w:val="001B4927"/>
    <w:rsid w:val="001B4FBC"/>
    <w:rsid w:val="001B505E"/>
    <w:rsid w:val="001B5109"/>
    <w:rsid w:val="001B5164"/>
    <w:rsid w:val="001B516E"/>
    <w:rsid w:val="001B51CA"/>
    <w:rsid w:val="001B551D"/>
    <w:rsid w:val="001B55F1"/>
    <w:rsid w:val="001B63EB"/>
    <w:rsid w:val="001B6929"/>
    <w:rsid w:val="001B74D0"/>
    <w:rsid w:val="001B7560"/>
    <w:rsid w:val="001B764A"/>
    <w:rsid w:val="001B7E93"/>
    <w:rsid w:val="001C0434"/>
    <w:rsid w:val="001C1AF5"/>
    <w:rsid w:val="001C24B5"/>
    <w:rsid w:val="001C29C9"/>
    <w:rsid w:val="001C2E94"/>
    <w:rsid w:val="001C312B"/>
    <w:rsid w:val="001C3A12"/>
    <w:rsid w:val="001C4365"/>
    <w:rsid w:val="001C43FB"/>
    <w:rsid w:val="001C444C"/>
    <w:rsid w:val="001C4605"/>
    <w:rsid w:val="001C4667"/>
    <w:rsid w:val="001C52F1"/>
    <w:rsid w:val="001C59E9"/>
    <w:rsid w:val="001C72E2"/>
    <w:rsid w:val="001C793F"/>
    <w:rsid w:val="001C7D87"/>
    <w:rsid w:val="001D0AE9"/>
    <w:rsid w:val="001D0C35"/>
    <w:rsid w:val="001D0EFA"/>
    <w:rsid w:val="001D0F6C"/>
    <w:rsid w:val="001D0F75"/>
    <w:rsid w:val="001D10E9"/>
    <w:rsid w:val="001D12E9"/>
    <w:rsid w:val="001D14D5"/>
    <w:rsid w:val="001D159C"/>
    <w:rsid w:val="001D1632"/>
    <w:rsid w:val="001D174B"/>
    <w:rsid w:val="001D1E50"/>
    <w:rsid w:val="001D1FC3"/>
    <w:rsid w:val="001D20AC"/>
    <w:rsid w:val="001D2769"/>
    <w:rsid w:val="001D2CDA"/>
    <w:rsid w:val="001D2D90"/>
    <w:rsid w:val="001D3CD8"/>
    <w:rsid w:val="001D4C6B"/>
    <w:rsid w:val="001D63CC"/>
    <w:rsid w:val="001D640B"/>
    <w:rsid w:val="001D6A2D"/>
    <w:rsid w:val="001D72E9"/>
    <w:rsid w:val="001D7D90"/>
    <w:rsid w:val="001E00DE"/>
    <w:rsid w:val="001E03A2"/>
    <w:rsid w:val="001E06B1"/>
    <w:rsid w:val="001E0F2F"/>
    <w:rsid w:val="001E1126"/>
    <w:rsid w:val="001E138E"/>
    <w:rsid w:val="001E13A5"/>
    <w:rsid w:val="001E2042"/>
    <w:rsid w:val="001E236C"/>
    <w:rsid w:val="001E237E"/>
    <w:rsid w:val="001E3030"/>
    <w:rsid w:val="001E304C"/>
    <w:rsid w:val="001E379F"/>
    <w:rsid w:val="001E3A2A"/>
    <w:rsid w:val="001E3B76"/>
    <w:rsid w:val="001E3CB9"/>
    <w:rsid w:val="001E4015"/>
    <w:rsid w:val="001E4FA1"/>
    <w:rsid w:val="001E57BB"/>
    <w:rsid w:val="001E66FB"/>
    <w:rsid w:val="001E6B4B"/>
    <w:rsid w:val="001E6C2F"/>
    <w:rsid w:val="001E6DD5"/>
    <w:rsid w:val="001E703C"/>
    <w:rsid w:val="001E78E7"/>
    <w:rsid w:val="001F0CC1"/>
    <w:rsid w:val="001F17BD"/>
    <w:rsid w:val="001F1B2A"/>
    <w:rsid w:val="001F1DA4"/>
    <w:rsid w:val="001F1FD0"/>
    <w:rsid w:val="001F24C9"/>
    <w:rsid w:val="001F2732"/>
    <w:rsid w:val="001F2E5A"/>
    <w:rsid w:val="001F2F34"/>
    <w:rsid w:val="001F3A12"/>
    <w:rsid w:val="001F3B85"/>
    <w:rsid w:val="001F3E37"/>
    <w:rsid w:val="001F4118"/>
    <w:rsid w:val="001F4410"/>
    <w:rsid w:val="001F5ED3"/>
    <w:rsid w:val="001F61CC"/>
    <w:rsid w:val="001F642D"/>
    <w:rsid w:val="001F644A"/>
    <w:rsid w:val="001F6705"/>
    <w:rsid w:val="001F6788"/>
    <w:rsid w:val="001F68BE"/>
    <w:rsid w:val="001F691A"/>
    <w:rsid w:val="001F6BEA"/>
    <w:rsid w:val="001F7054"/>
    <w:rsid w:val="001F742A"/>
    <w:rsid w:val="001F7BA6"/>
    <w:rsid w:val="001F7BCE"/>
    <w:rsid w:val="0020024A"/>
    <w:rsid w:val="00200331"/>
    <w:rsid w:val="0020048F"/>
    <w:rsid w:val="0020057A"/>
    <w:rsid w:val="0020084F"/>
    <w:rsid w:val="002008A6"/>
    <w:rsid w:val="002023F9"/>
    <w:rsid w:val="002026EB"/>
    <w:rsid w:val="00202F96"/>
    <w:rsid w:val="0020321E"/>
    <w:rsid w:val="00203462"/>
    <w:rsid w:val="002037D6"/>
    <w:rsid w:val="00203E75"/>
    <w:rsid w:val="002040CD"/>
    <w:rsid w:val="0020496B"/>
    <w:rsid w:val="002049D4"/>
    <w:rsid w:val="00204BCC"/>
    <w:rsid w:val="00205938"/>
    <w:rsid w:val="00205EBF"/>
    <w:rsid w:val="00206620"/>
    <w:rsid w:val="0020689A"/>
    <w:rsid w:val="0020689C"/>
    <w:rsid w:val="00206B87"/>
    <w:rsid w:val="002078D8"/>
    <w:rsid w:val="00207EA2"/>
    <w:rsid w:val="00207FB9"/>
    <w:rsid w:val="00210DBF"/>
    <w:rsid w:val="00210EB0"/>
    <w:rsid w:val="0021154F"/>
    <w:rsid w:val="00211FB3"/>
    <w:rsid w:val="0021206C"/>
    <w:rsid w:val="002120BF"/>
    <w:rsid w:val="0021254F"/>
    <w:rsid w:val="0021298B"/>
    <w:rsid w:val="002131A5"/>
    <w:rsid w:val="00213200"/>
    <w:rsid w:val="002134D4"/>
    <w:rsid w:val="00213591"/>
    <w:rsid w:val="00214086"/>
    <w:rsid w:val="00214150"/>
    <w:rsid w:val="0021427C"/>
    <w:rsid w:val="00214438"/>
    <w:rsid w:val="00214B4F"/>
    <w:rsid w:val="00214B71"/>
    <w:rsid w:val="0021510E"/>
    <w:rsid w:val="002153D1"/>
    <w:rsid w:val="0021599C"/>
    <w:rsid w:val="002159BB"/>
    <w:rsid w:val="00215D26"/>
    <w:rsid w:val="00215D71"/>
    <w:rsid w:val="002160D1"/>
    <w:rsid w:val="0021661E"/>
    <w:rsid w:val="00216C3C"/>
    <w:rsid w:val="002171AA"/>
    <w:rsid w:val="00217729"/>
    <w:rsid w:val="0022029A"/>
    <w:rsid w:val="00220339"/>
    <w:rsid w:val="0022046D"/>
    <w:rsid w:val="00220CCF"/>
    <w:rsid w:val="00220DEF"/>
    <w:rsid w:val="00221102"/>
    <w:rsid w:val="002211C5"/>
    <w:rsid w:val="002213E1"/>
    <w:rsid w:val="002219D2"/>
    <w:rsid w:val="00221F93"/>
    <w:rsid w:val="00222AA8"/>
    <w:rsid w:val="00224BE9"/>
    <w:rsid w:val="00224E1B"/>
    <w:rsid w:val="00224EAE"/>
    <w:rsid w:val="0022560F"/>
    <w:rsid w:val="002256BB"/>
    <w:rsid w:val="00225889"/>
    <w:rsid w:val="00225A07"/>
    <w:rsid w:val="00225F06"/>
    <w:rsid w:val="002261B2"/>
    <w:rsid w:val="00226FE4"/>
    <w:rsid w:val="00227109"/>
    <w:rsid w:val="00227147"/>
    <w:rsid w:val="002275C6"/>
    <w:rsid w:val="00227716"/>
    <w:rsid w:val="00227AE3"/>
    <w:rsid w:val="0023019B"/>
    <w:rsid w:val="00230876"/>
    <w:rsid w:val="002316CC"/>
    <w:rsid w:val="00231B98"/>
    <w:rsid w:val="00231FE5"/>
    <w:rsid w:val="00232123"/>
    <w:rsid w:val="0023266D"/>
    <w:rsid w:val="00232CF7"/>
    <w:rsid w:val="00232D68"/>
    <w:rsid w:val="00233053"/>
    <w:rsid w:val="00233213"/>
    <w:rsid w:val="0023321B"/>
    <w:rsid w:val="002333E1"/>
    <w:rsid w:val="00233866"/>
    <w:rsid w:val="00233BBA"/>
    <w:rsid w:val="00233F41"/>
    <w:rsid w:val="00234656"/>
    <w:rsid w:val="00234DF8"/>
    <w:rsid w:val="00235240"/>
    <w:rsid w:val="002354D4"/>
    <w:rsid w:val="002356F4"/>
    <w:rsid w:val="002357C3"/>
    <w:rsid w:val="00235851"/>
    <w:rsid w:val="00236A88"/>
    <w:rsid w:val="00236D10"/>
    <w:rsid w:val="002370AA"/>
    <w:rsid w:val="0023718D"/>
    <w:rsid w:val="00237660"/>
    <w:rsid w:val="00237CED"/>
    <w:rsid w:val="0024055B"/>
    <w:rsid w:val="0024060E"/>
    <w:rsid w:val="00240649"/>
    <w:rsid w:val="00240778"/>
    <w:rsid w:val="00240E61"/>
    <w:rsid w:val="0024163D"/>
    <w:rsid w:val="00242C86"/>
    <w:rsid w:val="00242FEE"/>
    <w:rsid w:val="00243CA3"/>
    <w:rsid w:val="0024407A"/>
    <w:rsid w:val="002440F5"/>
    <w:rsid w:val="00244B58"/>
    <w:rsid w:val="00244BC5"/>
    <w:rsid w:val="00244D9E"/>
    <w:rsid w:val="002455B8"/>
    <w:rsid w:val="002459EB"/>
    <w:rsid w:val="00245D93"/>
    <w:rsid w:val="00245DB9"/>
    <w:rsid w:val="0024617C"/>
    <w:rsid w:val="00246222"/>
    <w:rsid w:val="00246585"/>
    <w:rsid w:val="00246633"/>
    <w:rsid w:val="00246E99"/>
    <w:rsid w:val="002474BF"/>
    <w:rsid w:val="00247983"/>
    <w:rsid w:val="002506AC"/>
    <w:rsid w:val="00250A52"/>
    <w:rsid w:val="0025117D"/>
    <w:rsid w:val="0025120A"/>
    <w:rsid w:val="002518E2"/>
    <w:rsid w:val="00252F23"/>
    <w:rsid w:val="002539A7"/>
    <w:rsid w:val="00253B56"/>
    <w:rsid w:val="002540D8"/>
    <w:rsid w:val="002541E3"/>
    <w:rsid w:val="0025467B"/>
    <w:rsid w:val="00254BBB"/>
    <w:rsid w:val="00254CB3"/>
    <w:rsid w:val="00255165"/>
    <w:rsid w:val="00255A37"/>
    <w:rsid w:val="00255B2A"/>
    <w:rsid w:val="002561EF"/>
    <w:rsid w:val="002569D7"/>
    <w:rsid w:val="00256E40"/>
    <w:rsid w:val="0025700F"/>
    <w:rsid w:val="00257032"/>
    <w:rsid w:val="002572A8"/>
    <w:rsid w:val="00257402"/>
    <w:rsid w:val="00257511"/>
    <w:rsid w:val="002575EF"/>
    <w:rsid w:val="0025794A"/>
    <w:rsid w:val="00257B91"/>
    <w:rsid w:val="00257B94"/>
    <w:rsid w:val="00260997"/>
    <w:rsid w:val="00260A83"/>
    <w:rsid w:val="00260B87"/>
    <w:rsid w:val="00260BBB"/>
    <w:rsid w:val="00260C60"/>
    <w:rsid w:val="00261945"/>
    <w:rsid w:val="00262956"/>
    <w:rsid w:val="00262A1E"/>
    <w:rsid w:val="0026354D"/>
    <w:rsid w:val="002639BB"/>
    <w:rsid w:val="0026402E"/>
    <w:rsid w:val="00264056"/>
    <w:rsid w:val="002646D1"/>
    <w:rsid w:val="002665FA"/>
    <w:rsid w:val="00266676"/>
    <w:rsid w:val="0026698D"/>
    <w:rsid w:val="00266B37"/>
    <w:rsid w:val="00266CA8"/>
    <w:rsid w:val="00267084"/>
    <w:rsid w:val="0026724B"/>
    <w:rsid w:val="0027089F"/>
    <w:rsid w:val="00270B01"/>
    <w:rsid w:val="00271ABF"/>
    <w:rsid w:val="00271B7D"/>
    <w:rsid w:val="00271F99"/>
    <w:rsid w:val="00272C65"/>
    <w:rsid w:val="00273115"/>
    <w:rsid w:val="0027388D"/>
    <w:rsid w:val="002740BB"/>
    <w:rsid w:val="002746FE"/>
    <w:rsid w:val="002748FE"/>
    <w:rsid w:val="00274A40"/>
    <w:rsid w:val="00274C68"/>
    <w:rsid w:val="0027552E"/>
    <w:rsid w:val="00275BC6"/>
    <w:rsid w:val="002762BE"/>
    <w:rsid w:val="002770C7"/>
    <w:rsid w:val="00277F61"/>
    <w:rsid w:val="00280206"/>
    <w:rsid w:val="00280393"/>
    <w:rsid w:val="00281041"/>
    <w:rsid w:val="0028182F"/>
    <w:rsid w:val="00281C3A"/>
    <w:rsid w:val="00281C59"/>
    <w:rsid w:val="0028231C"/>
    <w:rsid w:val="0028250E"/>
    <w:rsid w:val="00282B2C"/>
    <w:rsid w:val="00282FB8"/>
    <w:rsid w:val="002836BE"/>
    <w:rsid w:val="00283B66"/>
    <w:rsid w:val="00284BBC"/>
    <w:rsid w:val="00284EFA"/>
    <w:rsid w:val="00285613"/>
    <w:rsid w:val="002856B7"/>
    <w:rsid w:val="00291494"/>
    <w:rsid w:val="0029228F"/>
    <w:rsid w:val="00292967"/>
    <w:rsid w:val="00292CAF"/>
    <w:rsid w:val="00292E58"/>
    <w:rsid w:val="00293020"/>
    <w:rsid w:val="00293846"/>
    <w:rsid w:val="00293AD9"/>
    <w:rsid w:val="00293E75"/>
    <w:rsid w:val="00293EC1"/>
    <w:rsid w:val="0029430D"/>
    <w:rsid w:val="0029447D"/>
    <w:rsid w:val="00294D78"/>
    <w:rsid w:val="00295944"/>
    <w:rsid w:val="002962CE"/>
    <w:rsid w:val="0029669B"/>
    <w:rsid w:val="00296718"/>
    <w:rsid w:val="00296C0B"/>
    <w:rsid w:val="00296F4B"/>
    <w:rsid w:val="00296F6B"/>
    <w:rsid w:val="002972F4"/>
    <w:rsid w:val="002978ED"/>
    <w:rsid w:val="002A0128"/>
    <w:rsid w:val="002A0311"/>
    <w:rsid w:val="002A0825"/>
    <w:rsid w:val="002A0D02"/>
    <w:rsid w:val="002A0FF5"/>
    <w:rsid w:val="002A25C5"/>
    <w:rsid w:val="002A35EC"/>
    <w:rsid w:val="002A4126"/>
    <w:rsid w:val="002A470E"/>
    <w:rsid w:val="002A4744"/>
    <w:rsid w:val="002A593C"/>
    <w:rsid w:val="002A5E7F"/>
    <w:rsid w:val="002A668A"/>
    <w:rsid w:val="002A6D2C"/>
    <w:rsid w:val="002A6DD6"/>
    <w:rsid w:val="002A7182"/>
    <w:rsid w:val="002A72A3"/>
    <w:rsid w:val="002A72E8"/>
    <w:rsid w:val="002A7786"/>
    <w:rsid w:val="002A7B4D"/>
    <w:rsid w:val="002B0158"/>
    <w:rsid w:val="002B0777"/>
    <w:rsid w:val="002B0F12"/>
    <w:rsid w:val="002B18C3"/>
    <w:rsid w:val="002B2218"/>
    <w:rsid w:val="002B2614"/>
    <w:rsid w:val="002B42A9"/>
    <w:rsid w:val="002B4C42"/>
    <w:rsid w:val="002B4F14"/>
    <w:rsid w:val="002B5AA5"/>
    <w:rsid w:val="002B60CC"/>
    <w:rsid w:val="002B69BC"/>
    <w:rsid w:val="002B6D2E"/>
    <w:rsid w:val="002B6D33"/>
    <w:rsid w:val="002B6DA5"/>
    <w:rsid w:val="002B6DAA"/>
    <w:rsid w:val="002B72FC"/>
    <w:rsid w:val="002B76F9"/>
    <w:rsid w:val="002B77D2"/>
    <w:rsid w:val="002C0B79"/>
    <w:rsid w:val="002C13FF"/>
    <w:rsid w:val="002C1625"/>
    <w:rsid w:val="002C2040"/>
    <w:rsid w:val="002C274B"/>
    <w:rsid w:val="002C3A0E"/>
    <w:rsid w:val="002C3F36"/>
    <w:rsid w:val="002C40FB"/>
    <w:rsid w:val="002C4987"/>
    <w:rsid w:val="002C5244"/>
    <w:rsid w:val="002C5F56"/>
    <w:rsid w:val="002C606E"/>
    <w:rsid w:val="002C7C13"/>
    <w:rsid w:val="002D0DCA"/>
    <w:rsid w:val="002D0FE9"/>
    <w:rsid w:val="002D1069"/>
    <w:rsid w:val="002D1139"/>
    <w:rsid w:val="002D1586"/>
    <w:rsid w:val="002D1627"/>
    <w:rsid w:val="002D20C5"/>
    <w:rsid w:val="002D29A3"/>
    <w:rsid w:val="002D33F5"/>
    <w:rsid w:val="002D365E"/>
    <w:rsid w:val="002D3999"/>
    <w:rsid w:val="002D42D3"/>
    <w:rsid w:val="002D42F2"/>
    <w:rsid w:val="002D42FB"/>
    <w:rsid w:val="002D4CA1"/>
    <w:rsid w:val="002D5F7E"/>
    <w:rsid w:val="002D6960"/>
    <w:rsid w:val="002D6BEB"/>
    <w:rsid w:val="002D6FD7"/>
    <w:rsid w:val="002D7000"/>
    <w:rsid w:val="002E0012"/>
    <w:rsid w:val="002E0AC6"/>
    <w:rsid w:val="002E0BC7"/>
    <w:rsid w:val="002E0BD1"/>
    <w:rsid w:val="002E13A1"/>
    <w:rsid w:val="002E1F65"/>
    <w:rsid w:val="002E223B"/>
    <w:rsid w:val="002E22A1"/>
    <w:rsid w:val="002E22CC"/>
    <w:rsid w:val="002E2C9E"/>
    <w:rsid w:val="002E342F"/>
    <w:rsid w:val="002E3571"/>
    <w:rsid w:val="002E3A22"/>
    <w:rsid w:val="002E3C4E"/>
    <w:rsid w:val="002E3E13"/>
    <w:rsid w:val="002E3F60"/>
    <w:rsid w:val="002E4124"/>
    <w:rsid w:val="002E4422"/>
    <w:rsid w:val="002E4647"/>
    <w:rsid w:val="002E4871"/>
    <w:rsid w:val="002E6015"/>
    <w:rsid w:val="002E609C"/>
    <w:rsid w:val="002E6581"/>
    <w:rsid w:val="002E6786"/>
    <w:rsid w:val="002E695A"/>
    <w:rsid w:val="002E6975"/>
    <w:rsid w:val="002E6AD5"/>
    <w:rsid w:val="002E6B16"/>
    <w:rsid w:val="002E78BD"/>
    <w:rsid w:val="002E7C36"/>
    <w:rsid w:val="002E7D83"/>
    <w:rsid w:val="002F0143"/>
    <w:rsid w:val="002F09FE"/>
    <w:rsid w:val="002F1086"/>
    <w:rsid w:val="002F13A6"/>
    <w:rsid w:val="002F1C40"/>
    <w:rsid w:val="002F1D65"/>
    <w:rsid w:val="002F21D2"/>
    <w:rsid w:val="002F2666"/>
    <w:rsid w:val="002F2905"/>
    <w:rsid w:val="002F35EC"/>
    <w:rsid w:val="002F3838"/>
    <w:rsid w:val="002F38E7"/>
    <w:rsid w:val="002F48FA"/>
    <w:rsid w:val="002F51F1"/>
    <w:rsid w:val="002F5C46"/>
    <w:rsid w:val="002F68EC"/>
    <w:rsid w:val="00300AE0"/>
    <w:rsid w:val="00300E9E"/>
    <w:rsid w:val="00301025"/>
    <w:rsid w:val="003017F9"/>
    <w:rsid w:val="00301930"/>
    <w:rsid w:val="003019B8"/>
    <w:rsid w:val="0030208B"/>
    <w:rsid w:val="003021D5"/>
    <w:rsid w:val="00302BBF"/>
    <w:rsid w:val="003033A9"/>
    <w:rsid w:val="00303516"/>
    <w:rsid w:val="00303551"/>
    <w:rsid w:val="003036DC"/>
    <w:rsid w:val="00303BC1"/>
    <w:rsid w:val="003048FD"/>
    <w:rsid w:val="00304D54"/>
    <w:rsid w:val="00306151"/>
    <w:rsid w:val="0030648F"/>
    <w:rsid w:val="003067DE"/>
    <w:rsid w:val="003076F2"/>
    <w:rsid w:val="00307D9F"/>
    <w:rsid w:val="00310353"/>
    <w:rsid w:val="00311301"/>
    <w:rsid w:val="003115C2"/>
    <w:rsid w:val="0031165A"/>
    <w:rsid w:val="00311ED8"/>
    <w:rsid w:val="0031294B"/>
    <w:rsid w:val="00312BC2"/>
    <w:rsid w:val="0031313B"/>
    <w:rsid w:val="003133CC"/>
    <w:rsid w:val="003133E5"/>
    <w:rsid w:val="00313761"/>
    <w:rsid w:val="00313C6B"/>
    <w:rsid w:val="00314171"/>
    <w:rsid w:val="00314580"/>
    <w:rsid w:val="003146D5"/>
    <w:rsid w:val="00314B49"/>
    <w:rsid w:val="0031574F"/>
    <w:rsid w:val="00315753"/>
    <w:rsid w:val="00315A87"/>
    <w:rsid w:val="003161B0"/>
    <w:rsid w:val="0031690A"/>
    <w:rsid w:val="00316A09"/>
    <w:rsid w:val="00316CA4"/>
    <w:rsid w:val="00316EF1"/>
    <w:rsid w:val="0031718E"/>
    <w:rsid w:val="00317C19"/>
    <w:rsid w:val="00317F00"/>
    <w:rsid w:val="00320011"/>
    <w:rsid w:val="00320079"/>
    <w:rsid w:val="00320723"/>
    <w:rsid w:val="003207DF"/>
    <w:rsid w:val="00320E7A"/>
    <w:rsid w:val="0032110F"/>
    <w:rsid w:val="003214C1"/>
    <w:rsid w:val="00321578"/>
    <w:rsid w:val="00321E28"/>
    <w:rsid w:val="00321F97"/>
    <w:rsid w:val="003221D2"/>
    <w:rsid w:val="00322537"/>
    <w:rsid w:val="00322667"/>
    <w:rsid w:val="003229B1"/>
    <w:rsid w:val="00322C25"/>
    <w:rsid w:val="00322EB0"/>
    <w:rsid w:val="00323BB6"/>
    <w:rsid w:val="00323C45"/>
    <w:rsid w:val="00323F95"/>
    <w:rsid w:val="00324368"/>
    <w:rsid w:val="00325096"/>
    <w:rsid w:val="00327630"/>
    <w:rsid w:val="003277C7"/>
    <w:rsid w:val="003308B8"/>
    <w:rsid w:val="00330EA1"/>
    <w:rsid w:val="00331303"/>
    <w:rsid w:val="003315BA"/>
    <w:rsid w:val="00331767"/>
    <w:rsid w:val="00331BFC"/>
    <w:rsid w:val="00332BA5"/>
    <w:rsid w:val="00332CC4"/>
    <w:rsid w:val="00333764"/>
    <w:rsid w:val="00333A22"/>
    <w:rsid w:val="003340A0"/>
    <w:rsid w:val="00334343"/>
    <w:rsid w:val="00334918"/>
    <w:rsid w:val="00334D1C"/>
    <w:rsid w:val="003350DB"/>
    <w:rsid w:val="00335355"/>
    <w:rsid w:val="00335572"/>
    <w:rsid w:val="00335B6F"/>
    <w:rsid w:val="003361E8"/>
    <w:rsid w:val="003363E3"/>
    <w:rsid w:val="00336470"/>
    <w:rsid w:val="003372B3"/>
    <w:rsid w:val="003379BC"/>
    <w:rsid w:val="00337EE9"/>
    <w:rsid w:val="0034042F"/>
    <w:rsid w:val="003412EA"/>
    <w:rsid w:val="0034219E"/>
    <w:rsid w:val="003424E6"/>
    <w:rsid w:val="00342EAC"/>
    <w:rsid w:val="003447D8"/>
    <w:rsid w:val="003450BC"/>
    <w:rsid w:val="003451A0"/>
    <w:rsid w:val="003452DB"/>
    <w:rsid w:val="00345364"/>
    <w:rsid w:val="00345FB0"/>
    <w:rsid w:val="003460A7"/>
    <w:rsid w:val="00346920"/>
    <w:rsid w:val="00346CFF"/>
    <w:rsid w:val="003475E4"/>
    <w:rsid w:val="0034784D"/>
    <w:rsid w:val="00347D67"/>
    <w:rsid w:val="0035073C"/>
    <w:rsid w:val="00350818"/>
    <w:rsid w:val="00350DDC"/>
    <w:rsid w:val="003514A1"/>
    <w:rsid w:val="00351561"/>
    <w:rsid w:val="003519CC"/>
    <w:rsid w:val="003522CA"/>
    <w:rsid w:val="00352F41"/>
    <w:rsid w:val="003537C3"/>
    <w:rsid w:val="00353D92"/>
    <w:rsid w:val="0035400D"/>
    <w:rsid w:val="0035402D"/>
    <w:rsid w:val="0035418E"/>
    <w:rsid w:val="003542F7"/>
    <w:rsid w:val="00354DD4"/>
    <w:rsid w:val="003551E3"/>
    <w:rsid w:val="0035534E"/>
    <w:rsid w:val="00355424"/>
    <w:rsid w:val="0035542E"/>
    <w:rsid w:val="003561D6"/>
    <w:rsid w:val="00361990"/>
    <w:rsid w:val="00361EFB"/>
    <w:rsid w:val="0036299F"/>
    <w:rsid w:val="00362A4D"/>
    <w:rsid w:val="003630E2"/>
    <w:rsid w:val="00363484"/>
    <w:rsid w:val="00363702"/>
    <w:rsid w:val="00364203"/>
    <w:rsid w:val="003646B6"/>
    <w:rsid w:val="00364DBA"/>
    <w:rsid w:val="00366A49"/>
    <w:rsid w:val="00366E58"/>
    <w:rsid w:val="00367322"/>
    <w:rsid w:val="003677EA"/>
    <w:rsid w:val="00367C05"/>
    <w:rsid w:val="00367D77"/>
    <w:rsid w:val="0037008A"/>
    <w:rsid w:val="0037036E"/>
    <w:rsid w:val="00370446"/>
    <w:rsid w:val="00370614"/>
    <w:rsid w:val="003711CE"/>
    <w:rsid w:val="003714C3"/>
    <w:rsid w:val="00371979"/>
    <w:rsid w:val="0037298A"/>
    <w:rsid w:val="00373E8C"/>
    <w:rsid w:val="00374447"/>
    <w:rsid w:val="00374EB8"/>
    <w:rsid w:val="00374F94"/>
    <w:rsid w:val="003750D5"/>
    <w:rsid w:val="0037510D"/>
    <w:rsid w:val="003752EB"/>
    <w:rsid w:val="00375BBC"/>
    <w:rsid w:val="00376096"/>
    <w:rsid w:val="003761B4"/>
    <w:rsid w:val="003768E8"/>
    <w:rsid w:val="003774A7"/>
    <w:rsid w:val="00377C64"/>
    <w:rsid w:val="00377F73"/>
    <w:rsid w:val="00377FE9"/>
    <w:rsid w:val="0038012B"/>
    <w:rsid w:val="00380C42"/>
    <w:rsid w:val="00381098"/>
    <w:rsid w:val="0038130C"/>
    <w:rsid w:val="00381903"/>
    <w:rsid w:val="00381A5D"/>
    <w:rsid w:val="00381B41"/>
    <w:rsid w:val="00382338"/>
    <w:rsid w:val="0038498F"/>
    <w:rsid w:val="00384F04"/>
    <w:rsid w:val="003851B0"/>
    <w:rsid w:val="00385306"/>
    <w:rsid w:val="0038534B"/>
    <w:rsid w:val="0038546C"/>
    <w:rsid w:val="003858B6"/>
    <w:rsid w:val="003862E0"/>
    <w:rsid w:val="00386E16"/>
    <w:rsid w:val="00387333"/>
    <w:rsid w:val="0038742B"/>
    <w:rsid w:val="00387770"/>
    <w:rsid w:val="00387881"/>
    <w:rsid w:val="00387FFC"/>
    <w:rsid w:val="00390395"/>
    <w:rsid w:val="00390988"/>
    <w:rsid w:val="003911BB"/>
    <w:rsid w:val="0039234F"/>
    <w:rsid w:val="0039311E"/>
    <w:rsid w:val="00393734"/>
    <w:rsid w:val="003943A1"/>
    <w:rsid w:val="003945A7"/>
    <w:rsid w:val="003956D4"/>
    <w:rsid w:val="0039584B"/>
    <w:rsid w:val="003959F4"/>
    <w:rsid w:val="00396319"/>
    <w:rsid w:val="003966A0"/>
    <w:rsid w:val="003971FF"/>
    <w:rsid w:val="00397365"/>
    <w:rsid w:val="00397E24"/>
    <w:rsid w:val="003A048C"/>
    <w:rsid w:val="003A1BE8"/>
    <w:rsid w:val="003A2099"/>
    <w:rsid w:val="003A23CD"/>
    <w:rsid w:val="003A23EB"/>
    <w:rsid w:val="003A2A7C"/>
    <w:rsid w:val="003A2A92"/>
    <w:rsid w:val="003A2B3C"/>
    <w:rsid w:val="003A3BA5"/>
    <w:rsid w:val="003A478C"/>
    <w:rsid w:val="003A4E29"/>
    <w:rsid w:val="003A517C"/>
    <w:rsid w:val="003A51E7"/>
    <w:rsid w:val="003A51F4"/>
    <w:rsid w:val="003A59F7"/>
    <w:rsid w:val="003A6155"/>
    <w:rsid w:val="003A6463"/>
    <w:rsid w:val="003A6E2D"/>
    <w:rsid w:val="003A7101"/>
    <w:rsid w:val="003A721D"/>
    <w:rsid w:val="003A739D"/>
    <w:rsid w:val="003A7B05"/>
    <w:rsid w:val="003A7B8F"/>
    <w:rsid w:val="003B02DB"/>
    <w:rsid w:val="003B0D7B"/>
    <w:rsid w:val="003B128E"/>
    <w:rsid w:val="003B13C3"/>
    <w:rsid w:val="003B1432"/>
    <w:rsid w:val="003B191C"/>
    <w:rsid w:val="003B1D6F"/>
    <w:rsid w:val="003B210E"/>
    <w:rsid w:val="003B2C3F"/>
    <w:rsid w:val="003B3366"/>
    <w:rsid w:val="003B3408"/>
    <w:rsid w:val="003B37C2"/>
    <w:rsid w:val="003B411D"/>
    <w:rsid w:val="003B412B"/>
    <w:rsid w:val="003B4601"/>
    <w:rsid w:val="003B4E94"/>
    <w:rsid w:val="003B50C2"/>
    <w:rsid w:val="003B5798"/>
    <w:rsid w:val="003B5BA3"/>
    <w:rsid w:val="003B6023"/>
    <w:rsid w:val="003B6067"/>
    <w:rsid w:val="003B6376"/>
    <w:rsid w:val="003B67B0"/>
    <w:rsid w:val="003B6A13"/>
    <w:rsid w:val="003B6B6B"/>
    <w:rsid w:val="003B7235"/>
    <w:rsid w:val="003C014E"/>
    <w:rsid w:val="003C10DC"/>
    <w:rsid w:val="003C116F"/>
    <w:rsid w:val="003C133E"/>
    <w:rsid w:val="003C192E"/>
    <w:rsid w:val="003C1977"/>
    <w:rsid w:val="003C19A1"/>
    <w:rsid w:val="003C2C94"/>
    <w:rsid w:val="003C2F56"/>
    <w:rsid w:val="003C311C"/>
    <w:rsid w:val="003C336B"/>
    <w:rsid w:val="003C35FA"/>
    <w:rsid w:val="003C373A"/>
    <w:rsid w:val="003C3D0F"/>
    <w:rsid w:val="003C4364"/>
    <w:rsid w:val="003C4433"/>
    <w:rsid w:val="003C49FE"/>
    <w:rsid w:val="003C4B88"/>
    <w:rsid w:val="003C5138"/>
    <w:rsid w:val="003C5669"/>
    <w:rsid w:val="003C56F8"/>
    <w:rsid w:val="003C6155"/>
    <w:rsid w:val="003C6417"/>
    <w:rsid w:val="003C658D"/>
    <w:rsid w:val="003C6FC5"/>
    <w:rsid w:val="003D03F1"/>
    <w:rsid w:val="003D081A"/>
    <w:rsid w:val="003D098C"/>
    <w:rsid w:val="003D0A8F"/>
    <w:rsid w:val="003D0F1A"/>
    <w:rsid w:val="003D0FE9"/>
    <w:rsid w:val="003D16B9"/>
    <w:rsid w:val="003D1753"/>
    <w:rsid w:val="003D1C84"/>
    <w:rsid w:val="003D2521"/>
    <w:rsid w:val="003D2709"/>
    <w:rsid w:val="003D2C70"/>
    <w:rsid w:val="003D2E46"/>
    <w:rsid w:val="003D3522"/>
    <w:rsid w:val="003D395D"/>
    <w:rsid w:val="003D3EE3"/>
    <w:rsid w:val="003D4278"/>
    <w:rsid w:val="003D4862"/>
    <w:rsid w:val="003D4CF4"/>
    <w:rsid w:val="003D5564"/>
    <w:rsid w:val="003D5D79"/>
    <w:rsid w:val="003D6A12"/>
    <w:rsid w:val="003D6E21"/>
    <w:rsid w:val="003D7296"/>
    <w:rsid w:val="003D7708"/>
    <w:rsid w:val="003E07AE"/>
    <w:rsid w:val="003E0D08"/>
    <w:rsid w:val="003E10A3"/>
    <w:rsid w:val="003E20B5"/>
    <w:rsid w:val="003E2370"/>
    <w:rsid w:val="003E244F"/>
    <w:rsid w:val="003E27F6"/>
    <w:rsid w:val="003E2EC0"/>
    <w:rsid w:val="003E2FC2"/>
    <w:rsid w:val="003E31B9"/>
    <w:rsid w:val="003E32B1"/>
    <w:rsid w:val="003E34D4"/>
    <w:rsid w:val="003E3D08"/>
    <w:rsid w:val="003E40BB"/>
    <w:rsid w:val="003E43EE"/>
    <w:rsid w:val="003E44AE"/>
    <w:rsid w:val="003E461B"/>
    <w:rsid w:val="003E473F"/>
    <w:rsid w:val="003E4F66"/>
    <w:rsid w:val="003E5354"/>
    <w:rsid w:val="003E579A"/>
    <w:rsid w:val="003E5D14"/>
    <w:rsid w:val="003E5E2A"/>
    <w:rsid w:val="003E606B"/>
    <w:rsid w:val="003E610B"/>
    <w:rsid w:val="003E62A7"/>
    <w:rsid w:val="003E6343"/>
    <w:rsid w:val="003E6B70"/>
    <w:rsid w:val="003E6BD1"/>
    <w:rsid w:val="003E7A9D"/>
    <w:rsid w:val="003F0587"/>
    <w:rsid w:val="003F1136"/>
    <w:rsid w:val="003F1352"/>
    <w:rsid w:val="003F1516"/>
    <w:rsid w:val="003F17AD"/>
    <w:rsid w:val="003F1D61"/>
    <w:rsid w:val="003F22C0"/>
    <w:rsid w:val="003F24E8"/>
    <w:rsid w:val="003F2EE3"/>
    <w:rsid w:val="003F3407"/>
    <w:rsid w:val="003F3538"/>
    <w:rsid w:val="003F3A27"/>
    <w:rsid w:val="003F3DEB"/>
    <w:rsid w:val="003F3E69"/>
    <w:rsid w:val="003F40DF"/>
    <w:rsid w:val="003F4D2E"/>
    <w:rsid w:val="003F5F15"/>
    <w:rsid w:val="003F66DE"/>
    <w:rsid w:val="003F6753"/>
    <w:rsid w:val="003F67EF"/>
    <w:rsid w:val="003F6C92"/>
    <w:rsid w:val="003F7113"/>
    <w:rsid w:val="003F75F0"/>
    <w:rsid w:val="00400EC9"/>
    <w:rsid w:val="00401407"/>
    <w:rsid w:val="004020DA"/>
    <w:rsid w:val="00402861"/>
    <w:rsid w:val="00402AC8"/>
    <w:rsid w:val="00403290"/>
    <w:rsid w:val="00403301"/>
    <w:rsid w:val="00403CB8"/>
    <w:rsid w:val="00404375"/>
    <w:rsid w:val="00404FBF"/>
    <w:rsid w:val="004051C7"/>
    <w:rsid w:val="00405333"/>
    <w:rsid w:val="004055F8"/>
    <w:rsid w:val="00405C7E"/>
    <w:rsid w:val="004062E4"/>
    <w:rsid w:val="0040749E"/>
    <w:rsid w:val="00410AD4"/>
    <w:rsid w:val="00411362"/>
    <w:rsid w:val="00411574"/>
    <w:rsid w:val="00411B9E"/>
    <w:rsid w:val="00412747"/>
    <w:rsid w:val="0041283D"/>
    <w:rsid w:val="00412AF3"/>
    <w:rsid w:val="004133B7"/>
    <w:rsid w:val="00413580"/>
    <w:rsid w:val="00413596"/>
    <w:rsid w:val="00413673"/>
    <w:rsid w:val="00413DF5"/>
    <w:rsid w:val="00413E81"/>
    <w:rsid w:val="00413F63"/>
    <w:rsid w:val="004144EA"/>
    <w:rsid w:val="0041539B"/>
    <w:rsid w:val="00415F76"/>
    <w:rsid w:val="00416416"/>
    <w:rsid w:val="0041648F"/>
    <w:rsid w:val="00417F3E"/>
    <w:rsid w:val="00417FAA"/>
    <w:rsid w:val="00420A6F"/>
    <w:rsid w:val="00420D50"/>
    <w:rsid w:val="00421010"/>
    <w:rsid w:val="00422045"/>
    <w:rsid w:val="004227DD"/>
    <w:rsid w:val="00422D9F"/>
    <w:rsid w:val="0042331B"/>
    <w:rsid w:val="00423777"/>
    <w:rsid w:val="00423C7A"/>
    <w:rsid w:val="00424136"/>
    <w:rsid w:val="00424562"/>
    <w:rsid w:val="00424B5A"/>
    <w:rsid w:val="00424DAD"/>
    <w:rsid w:val="0042517E"/>
    <w:rsid w:val="0042526A"/>
    <w:rsid w:val="00425456"/>
    <w:rsid w:val="00425927"/>
    <w:rsid w:val="00425F4D"/>
    <w:rsid w:val="00425FB6"/>
    <w:rsid w:val="004261C9"/>
    <w:rsid w:val="00426E52"/>
    <w:rsid w:val="00427153"/>
    <w:rsid w:val="004273FD"/>
    <w:rsid w:val="004276E2"/>
    <w:rsid w:val="00427779"/>
    <w:rsid w:val="004278BD"/>
    <w:rsid w:val="00427D77"/>
    <w:rsid w:val="00427FE0"/>
    <w:rsid w:val="004300DC"/>
    <w:rsid w:val="0043056D"/>
    <w:rsid w:val="004306DF"/>
    <w:rsid w:val="0043135B"/>
    <w:rsid w:val="0043143E"/>
    <w:rsid w:val="00431C34"/>
    <w:rsid w:val="004327A0"/>
    <w:rsid w:val="0043283B"/>
    <w:rsid w:val="004328C2"/>
    <w:rsid w:val="00432C1D"/>
    <w:rsid w:val="00433235"/>
    <w:rsid w:val="0043327D"/>
    <w:rsid w:val="00433392"/>
    <w:rsid w:val="00436950"/>
    <w:rsid w:val="00437567"/>
    <w:rsid w:val="00437858"/>
    <w:rsid w:val="00437EC9"/>
    <w:rsid w:val="00440138"/>
    <w:rsid w:val="004405AE"/>
    <w:rsid w:val="00441788"/>
    <w:rsid w:val="00441A78"/>
    <w:rsid w:val="00441EB5"/>
    <w:rsid w:val="00442ED0"/>
    <w:rsid w:val="00443A61"/>
    <w:rsid w:val="00443A75"/>
    <w:rsid w:val="00443CCA"/>
    <w:rsid w:val="004444CD"/>
    <w:rsid w:val="0044467F"/>
    <w:rsid w:val="00445262"/>
    <w:rsid w:val="0044529F"/>
    <w:rsid w:val="004453C4"/>
    <w:rsid w:val="00445963"/>
    <w:rsid w:val="00445F91"/>
    <w:rsid w:val="00446592"/>
    <w:rsid w:val="004470D5"/>
    <w:rsid w:val="00447533"/>
    <w:rsid w:val="0044790B"/>
    <w:rsid w:val="00447941"/>
    <w:rsid w:val="00447CE7"/>
    <w:rsid w:val="00450227"/>
    <w:rsid w:val="0045048A"/>
    <w:rsid w:val="0045051F"/>
    <w:rsid w:val="00450570"/>
    <w:rsid w:val="00450FCD"/>
    <w:rsid w:val="00451056"/>
    <w:rsid w:val="004511CA"/>
    <w:rsid w:val="0045159B"/>
    <w:rsid w:val="00452137"/>
    <w:rsid w:val="0045238A"/>
    <w:rsid w:val="004524F3"/>
    <w:rsid w:val="0045280C"/>
    <w:rsid w:val="004528FE"/>
    <w:rsid w:val="00452DE8"/>
    <w:rsid w:val="00453EF0"/>
    <w:rsid w:val="004545F2"/>
    <w:rsid w:val="0045471E"/>
    <w:rsid w:val="00454F43"/>
    <w:rsid w:val="004550E2"/>
    <w:rsid w:val="00455894"/>
    <w:rsid w:val="004563ED"/>
    <w:rsid w:val="004566ED"/>
    <w:rsid w:val="00456B59"/>
    <w:rsid w:val="00456D24"/>
    <w:rsid w:val="00456E7A"/>
    <w:rsid w:val="004571C0"/>
    <w:rsid w:val="0045728F"/>
    <w:rsid w:val="00457741"/>
    <w:rsid w:val="00457928"/>
    <w:rsid w:val="00460366"/>
    <w:rsid w:val="00462167"/>
    <w:rsid w:val="004622AA"/>
    <w:rsid w:val="00462EFF"/>
    <w:rsid w:val="00464478"/>
    <w:rsid w:val="00464AB6"/>
    <w:rsid w:val="00464D03"/>
    <w:rsid w:val="0046503B"/>
    <w:rsid w:val="00465086"/>
    <w:rsid w:val="00465C9B"/>
    <w:rsid w:val="0046625A"/>
    <w:rsid w:val="0046659C"/>
    <w:rsid w:val="00466C56"/>
    <w:rsid w:val="00467260"/>
    <w:rsid w:val="004674CC"/>
    <w:rsid w:val="00467C93"/>
    <w:rsid w:val="0047044B"/>
    <w:rsid w:val="00470E0C"/>
    <w:rsid w:val="00470E5D"/>
    <w:rsid w:val="00471871"/>
    <w:rsid w:val="00471A66"/>
    <w:rsid w:val="00471B1A"/>
    <w:rsid w:val="00471E2E"/>
    <w:rsid w:val="004731D0"/>
    <w:rsid w:val="00473EAF"/>
    <w:rsid w:val="00474968"/>
    <w:rsid w:val="0047508C"/>
    <w:rsid w:val="004751CC"/>
    <w:rsid w:val="00475E2B"/>
    <w:rsid w:val="0047607D"/>
    <w:rsid w:val="00476367"/>
    <w:rsid w:val="00476A7A"/>
    <w:rsid w:val="00476F30"/>
    <w:rsid w:val="00477261"/>
    <w:rsid w:val="0047738C"/>
    <w:rsid w:val="00477396"/>
    <w:rsid w:val="004775B2"/>
    <w:rsid w:val="00477904"/>
    <w:rsid w:val="00477F44"/>
    <w:rsid w:val="00477F88"/>
    <w:rsid w:val="00481D2B"/>
    <w:rsid w:val="004826E9"/>
    <w:rsid w:val="00482AC5"/>
    <w:rsid w:val="00482B08"/>
    <w:rsid w:val="0048355B"/>
    <w:rsid w:val="00483A6F"/>
    <w:rsid w:val="0048403E"/>
    <w:rsid w:val="00484377"/>
    <w:rsid w:val="0048445B"/>
    <w:rsid w:val="00485891"/>
    <w:rsid w:val="00485C87"/>
    <w:rsid w:val="00485CF2"/>
    <w:rsid w:val="00485F31"/>
    <w:rsid w:val="00485FD2"/>
    <w:rsid w:val="00486BBA"/>
    <w:rsid w:val="00486BCA"/>
    <w:rsid w:val="0048718F"/>
    <w:rsid w:val="004874A1"/>
    <w:rsid w:val="0048762B"/>
    <w:rsid w:val="00487B14"/>
    <w:rsid w:val="00490654"/>
    <w:rsid w:val="00490A4F"/>
    <w:rsid w:val="00490DF9"/>
    <w:rsid w:val="00490EAC"/>
    <w:rsid w:val="004921BC"/>
    <w:rsid w:val="004932A2"/>
    <w:rsid w:val="0049373D"/>
    <w:rsid w:val="00493ECE"/>
    <w:rsid w:val="004951BE"/>
    <w:rsid w:val="00495ACB"/>
    <w:rsid w:val="0049625F"/>
    <w:rsid w:val="00497122"/>
    <w:rsid w:val="00497A98"/>
    <w:rsid w:val="004A021C"/>
    <w:rsid w:val="004A08B1"/>
    <w:rsid w:val="004A0953"/>
    <w:rsid w:val="004A0A1B"/>
    <w:rsid w:val="004A0BE5"/>
    <w:rsid w:val="004A0F44"/>
    <w:rsid w:val="004A0F60"/>
    <w:rsid w:val="004A18B5"/>
    <w:rsid w:val="004A1A3F"/>
    <w:rsid w:val="004A1C89"/>
    <w:rsid w:val="004A1E99"/>
    <w:rsid w:val="004A1F99"/>
    <w:rsid w:val="004A22FF"/>
    <w:rsid w:val="004A27DA"/>
    <w:rsid w:val="004A2878"/>
    <w:rsid w:val="004A2CED"/>
    <w:rsid w:val="004A36C6"/>
    <w:rsid w:val="004A3870"/>
    <w:rsid w:val="004A3AFA"/>
    <w:rsid w:val="004A3F51"/>
    <w:rsid w:val="004A413E"/>
    <w:rsid w:val="004A4145"/>
    <w:rsid w:val="004A4665"/>
    <w:rsid w:val="004A46A9"/>
    <w:rsid w:val="004A486F"/>
    <w:rsid w:val="004A4CC4"/>
    <w:rsid w:val="004A4EA4"/>
    <w:rsid w:val="004A55C7"/>
    <w:rsid w:val="004A5B5B"/>
    <w:rsid w:val="004A5CEB"/>
    <w:rsid w:val="004A656F"/>
    <w:rsid w:val="004A665C"/>
    <w:rsid w:val="004A678E"/>
    <w:rsid w:val="004A68E5"/>
    <w:rsid w:val="004A6903"/>
    <w:rsid w:val="004A7215"/>
    <w:rsid w:val="004A7217"/>
    <w:rsid w:val="004A7333"/>
    <w:rsid w:val="004A7B1D"/>
    <w:rsid w:val="004A7D7D"/>
    <w:rsid w:val="004B08B9"/>
    <w:rsid w:val="004B1133"/>
    <w:rsid w:val="004B1446"/>
    <w:rsid w:val="004B19A7"/>
    <w:rsid w:val="004B1E8E"/>
    <w:rsid w:val="004B1FF1"/>
    <w:rsid w:val="004B3780"/>
    <w:rsid w:val="004B3F1E"/>
    <w:rsid w:val="004B4357"/>
    <w:rsid w:val="004B58B1"/>
    <w:rsid w:val="004B5A28"/>
    <w:rsid w:val="004B62AB"/>
    <w:rsid w:val="004B69C5"/>
    <w:rsid w:val="004B6BE3"/>
    <w:rsid w:val="004B6D9A"/>
    <w:rsid w:val="004B7332"/>
    <w:rsid w:val="004B790D"/>
    <w:rsid w:val="004B7925"/>
    <w:rsid w:val="004B7E84"/>
    <w:rsid w:val="004C1442"/>
    <w:rsid w:val="004C1BBF"/>
    <w:rsid w:val="004C270B"/>
    <w:rsid w:val="004C2C6F"/>
    <w:rsid w:val="004C302A"/>
    <w:rsid w:val="004C3170"/>
    <w:rsid w:val="004C3399"/>
    <w:rsid w:val="004C3D87"/>
    <w:rsid w:val="004C3DDD"/>
    <w:rsid w:val="004C46B0"/>
    <w:rsid w:val="004C5131"/>
    <w:rsid w:val="004C52F9"/>
    <w:rsid w:val="004C5740"/>
    <w:rsid w:val="004C5B53"/>
    <w:rsid w:val="004C5CF4"/>
    <w:rsid w:val="004C5D94"/>
    <w:rsid w:val="004C6683"/>
    <w:rsid w:val="004C68FC"/>
    <w:rsid w:val="004C6DD1"/>
    <w:rsid w:val="004C73EC"/>
    <w:rsid w:val="004C777B"/>
    <w:rsid w:val="004C7821"/>
    <w:rsid w:val="004D03BD"/>
    <w:rsid w:val="004D08EB"/>
    <w:rsid w:val="004D0914"/>
    <w:rsid w:val="004D16A7"/>
    <w:rsid w:val="004D195F"/>
    <w:rsid w:val="004D1A6E"/>
    <w:rsid w:val="004D2A5A"/>
    <w:rsid w:val="004D3F38"/>
    <w:rsid w:val="004D49A1"/>
    <w:rsid w:val="004D55E7"/>
    <w:rsid w:val="004D5670"/>
    <w:rsid w:val="004D5BAA"/>
    <w:rsid w:val="004D5E4C"/>
    <w:rsid w:val="004D63A2"/>
    <w:rsid w:val="004D63E4"/>
    <w:rsid w:val="004D68B9"/>
    <w:rsid w:val="004D6E57"/>
    <w:rsid w:val="004D6ED7"/>
    <w:rsid w:val="004D7188"/>
    <w:rsid w:val="004D72B6"/>
    <w:rsid w:val="004D76DA"/>
    <w:rsid w:val="004D7B74"/>
    <w:rsid w:val="004E0E27"/>
    <w:rsid w:val="004E121F"/>
    <w:rsid w:val="004E1261"/>
    <w:rsid w:val="004E1297"/>
    <w:rsid w:val="004E14C3"/>
    <w:rsid w:val="004E164B"/>
    <w:rsid w:val="004E1B06"/>
    <w:rsid w:val="004E1CE6"/>
    <w:rsid w:val="004E1F83"/>
    <w:rsid w:val="004E208D"/>
    <w:rsid w:val="004E2268"/>
    <w:rsid w:val="004E22BF"/>
    <w:rsid w:val="004E29B2"/>
    <w:rsid w:val="004E29EA"/>
    <w:rsid w:val="004E2FF1"/>
    <w:rsid w:val="004E3D17"/>
    <w:rsid w:val="004E41B7"/>
    <w:rsid w:val="004E44EB"/>
    <w:rsid w:val="004E497F"/>
    <w:rsid w:val="004E4FB2"/>
    <w:rsid w:val="004E51CC"/>
    <w:rsid w:val="004E51DF"/>
    <w:rsid w:val="004E5B71"/>
    <w:rsid w:val="004E6383"/>
    <w:rsid w:val="004E68C3"/>
    <w:rsid w:val="004E7D4A"/>
    <w:rsid w:val="004E7E63"/>
    <w:rsid w:val="004F05DE"/>
    <w:rsid w:val="004F1076"/>
    <w:rsid w:val="004F137F"/>
    <w:rsid w:val="004F1612"/>
    <w:rsid w:val="004F188F"/>
    <w:rsid w:val="004F1EA8"/>
    <w:rsid w:val="004F1ED0"/>
    <w:rsid w:val="004F23AC"/>
    <w:rsid w:val="004F27A8"/>
    <w:rsid w:val="004F28FF"/>
    <w:rsid w:val="004F3166"/>
    <w:rsid w:val="004F39B4"/>
    <w:rsid w:val="004F3B6A"/>
    <w:rsid w:val="004F3D4F"/>
    <w:rsid w:val="004F3E68"/>
    <w:rsid w:val="004F3F43"/>
    <w:rsid w:val="004F3FBF"/>
    <w:rsid w:val="004F436C"/>
    <w:rsid w:val="004F55A1"/>
    <w:rsid w:val="004F6137"/>
    <w:rsid w:val="004F6B11"/>
    <w:rsid w:val="004F6BB5"/>
    <w:rsid w:val="004F743D"/>
    <w:rsid w:val="004F7806"/>
    <w:rsid w:val="004F7D66"/>
    <w:rsid w:val="00500021"/>
    <w:rsid w:val="00500242"/>
    <w:rsid w:val="00500782"/>
    <w:rsid w:val="00500B1B"/>
    <w:rsid w:val="00500F5A"/>
    <w:rsid w:val="00500FC9"/>
    <w:rsid w:val="0050167E"/>
    <w:rsid w:val="005017A3"/>
    <w:rsid w:val="00501A35"/>
    <w:rsid w:val="00502031"/>
    <w:rsid w:val="00502520"/>
    <w:rsid w:val="00502CB3"/>
    <w:rsid w:val="0050307E"/>
    <w:rsid w:val="00503539"/>
    <w:rsid w:val="00503957"/>
    <w:rsid w:val="00503A6F"/>
    <w:rsid w:val="0050467E"/>
    <w:rsid w:val="00504AB9"/>
    <w:rsid w:val="0050594E"/>
    <w:rsid w:val="00505F1D"/>
    <w:rsid w:val="00506264"/>
    <w:rsid w:val="005064F6"/>
    <w:rsid w:val="00506676"/>
    <w:rsid w:val="00506993"/>
    <w:rsid w:val="00506D67"/>
    <w:rsid w:val="00506D83"/>
    <w:rsid w:val="00506FB0"/>
    <w:rsid w:val="00507663"/>
    <w:rsid w:val="0051049B"/>
    <w:rsid w:val="005108FC"/>
    <w:rsid w:val="00511506"/>
    <w:rsid w:val="00511B57"/>
    <w:rsid w:val="00511F28"/>
    <w:rsid w:val="00512CAE"/>
    <w:rsid w:val="00513211"/>
    <w:rsid w:val="00513666"/>
    <w:rsid w:val="005148F0"/>
    <w:rsid w:val="00514E81"/>
    <w:rsid w:val="00515C65"/>
    <w:rsid w:val="0051618D"/>
    <w:rsid w:val="00516A9E"/>
    <w:rsid w:val="00516CB7"/>
    <w:rsid w:val="00516CBF"/>
    <w:rsid w:val="00516FBB"/>
    <w:rsid w:val="0052024D"/>
    <w:rsid w:val="00520E41"/>
    <w:rsid w:val="00521197"/>
    <w:rsid w:val="00521777"/>
    <w:rsid w:val="005219F5"/>
    <w:rsid w:val="00522266"/>
    <w:rsid w:val="00523337"/>
    <w:rsid w:val="00524CE6"/>
    <w:rsid w:val="0052520C"/>
    <w:rsid w:val="005254D7"/>
    <w:rsid w:val="00525906"/>
    <w:rsid w:val="00526153"/>
    <w:rsid w:val="00526799"/>
    <w:rsid w:val="00526C7B"/>
    <w:rsid w:val="005273E0"/>
    <w:rsid w:val="00527FDC"/>
    <w:rsid w:val="005311AA"/>
    <w:rsid w:val="0053148A"/>
    <w:rsid w:val="005314E1"/>
    <w:rsid w:val="00532242"/>
    <w:rsid w:val="00532272"/>
    <w:rsid w:val="00532EB7"/>
    <w:rsid w:val="00533573"/>
    <w:rsid w:val="005336AA"/>
    <w:rsid w:val="00533956"/>
    <w:rsid w:val="00533AC8"/>
    <w:rsid w:val="00534487"/>
    <w:rsid w:val="00534A0A"/>
    <w:rsid w:val="00534B56"/>
    <w:rsid w:val="00534D8A"/>
    <w:rsid w:val="005357B6"/>
    <w:rsid w:val="0053620A"/>
    <w:rsid w:val="00536933"/>
    <w:rsid w:val="00536BCC"/>
    <w:rsid w:val="005372FF"/>
    <w:rsid w:val="0054074E"/>
    <w:rsid w:val="00540863"/>
    <w:rsid w:val="005408CF"/>
    <w:rsid w:val="00540971"/>
    <w:rsid w:val="00540BA7"/>
    <w:rsid w:val="00540F90"/>
    <w:rsid w:val="00541011"/>
    <w:rsid w:val="005413D1"/>
    <w:rsid w:val="0054194C"/>
    <w:rsid w:val="0054222C"/>
    <w:rsid w:val="00542378"/>
    <w:rsid w:val="00542444"/>
    <w:rsid w:val="0054256E"/>
    <w:rsid w:val="005435A3"/>
    <w:rsid w:val="00543616"/>
    <w:rsid w:val="005437F2"/>
    <w:rsid w:val="00543CD5"/>
    <w:rsid w:val="005440CE"/>
    <w:rsid w:val="00544D3D"/>
    <w:rsid w:val="00544D99"/>
    <w:rsid w:val="00544ED8"/>
    <w:rsid w:val="0054551A"/>
    <w:rsid w:val="00545BDF"/>
    <w:rsid w:val="00546071"/>
    <w:rsid w:val="00546072"/>
    <w:rsid w:val="005461B5"/>
    <w:rsid w:val="00546F6B"/>
    <w:rsid w:val="0054740F"/>
    <w:rsid w:val="00547412"/>
    <w:rsid w:val="00547665"/>
    <w:rsid w:val="005477D0"/>
    <w:rsid w:val="00547A63"/>
    <w:rsid w:val="00547DC4"/>
    <w:rsid w:val="00550384"/>
    <w:rsid w:val="00551861"/>
    <w:rsid w:val="00553304"/>
    <w:rsid w:val="005538C1"/>
    <w:rsid w:val="00554297"/>
    <w:rsid w:val="005542D5"/>
    <w:rsid w:val="005545C6"/>
    <w:rsid w:val="00554AC5"/>
    <w:rsid w:val="00554CA8"/>
    <w:rsid w:val="00554F13"/>
    <w:rsid w:val="0055544E"/>
    <w:rsid w:val="00555870"/>
    <w:rsid w:val="005561BB"/>
    <w:rsid w:val="00556A4D"/>
    <w:rsid w:val="00556BCA"/>
    <w:rsid w:val="005573AE"/>
    <w:rsid w:val="005577A5"/>
    <w:rsid w:val="00557809"/>
    <w:rsid w:val="00560333"/>
    <w:rsid w:val="00560885"/>
    <w:rsid w:val="00560AD9"/>
    <w:rsid w:val="005610DB"/>
    <w:rsid w:val="005612AA"/>
    <w:rsid w:val="00561768"/>
    <w:rsid w:val="00561B87"/>
    <w:rsid w:val="00561D01"/>
    <w:rsid w:val="00561DE9"/>
    <w:rsid w:val="00562677"/>
    <w:rsid w:val="005627D8"/>
    <w:rsid w:val="00562878"/>
    <w:rsid w:val="00562C00"/>
    <w:rsid w:val="0056325F"/>
    <w:rsid w:val="00563F82"/>
    <w:rsid w:val="00564042"/>
    <w:rsid w:val="005644A9"/>
    <w:rsid w:val="005654E7"/>
    <w:rsid w:val="00565CA4"/>
    <w:rsid w:val="00566095"/>
    <w:rsid w:val="00566132"/>
    <w:rsid w:val="0056615B"/>
    <w:rsid w:val="00566944"/>
    <w:rsid w:val="00567109"/>
    <w:rsid w:val="005674F0"/>
    <w:rsid w:val="005675AB"/>
    <w:rsid w:val="00567666"/>
    <w:rsid w:val="00567C61"/>
    <w:rsid w:val="00567C65"/>
    <w:rsid w:val="00567E25"/>
    <w:rsid w:val="005710FB"/>
    <w:rsid w:val="00571882"/>
    <w:rsid w:val="005719E4"/>
    <w:rsid w:val="0057270E"/>
    <w:rsid w:val="00572BFC"/>
    <w:rsid w:val="00572FFA"/>
    <w:rsid w:val="00573382"/>
    <w:rsid w:val="00573AD2"/>
    <w:rsid w:val="00573AF4"/>
    <w:rsid w:val="00574125"/>
    <w:rsid w:val="00574F6B"/>
    <w:rsid w:val="005750C5"/>
    <w:rsid w:val="00575133"/>
    <w:rsid w:val="005753DC"/>
    <w:rsid w:val="0057594B"/>
    <w:rsid w:val="00575A7E"/>
    <w:rsid w:val="00575CB4"/>
    <w:rsid w:val="00575DC2"/>
    <w:rsid w:val="00575DD6"/>
    <w:rsid w:val="0057613B"/>
    <w:rsid w:val="005764C7"/>
    <w:rsid w:val="00576959"/>
    <w:rsid w:val="005773A7"/>
    <w:rsid w:val="005774E0"/>
    <w:rsid w:val="005776B6"/>
    <w:rsid w:val="00577966"/>
    <w:rsid w:val="00577DEB"/>
    <w:rsid w:val="005808E9"/>
    <w:rsid w:val="00580AB5"/>
    <w:rsid w:val="0058172A"/>
    <w:rsid w:val="00581932"/>
    <w:rsid w:val="00581BBD"/>
    <w:rsid w:val="00581C4E"/>
    <w:rsid w:val="00581DAD"/>
    <w:rsid w:val="0058248C"/>
    <w:rsid w:val="00582A43"/>
    <w:rsid w:val="00582D18"/>
    <w:rsid w:val="00583411"/>
    <w:rsid w:val="00583701"/>
    <w:rsid w:val="00583A11"/>
    <w:rsid w:val="0058405C"/>
    <w:rsid w:val="0058430F"/>
    <w:rsid w:val="00584624"/>
    <w:rsid w:val="005856DE"/>
    <w:rsid w:val="005856E9"/>
    <w:rsid w:val="00585FAC"/>
    <w:rsid w:val="00586082"/>
    <w:rsid w:val="005860C6"/>
    <w:rsid w:val="00586186"/>
    <w:rsid w:val="00586196"/>
    <w:rsid w:val="00586346"/>
    <w:rsid w:val="005863C6"/>
    <w:rsid w:val="00586551"/>
    <w:rsid w:val="0058671D"/>
    <w:rsid w:val="005867DA"/>
    <w:rsid w:val="00587D8D"/>
    <w:rsid w:val="00590B70"/>
    <w:rsid w:val="00590C7E"/>
    <w:rsid w:val="005911D6"/>
    <w:rsid w:val="005919C2"/>
    <w:rsid w:val="00591AFD"/>
    <w:rsid w:val="005921E1"/>
    <w:rsid w:val="00592E50"/>
    <w:rsid w:val="005931D7"/>
    <w:rsid w:val="00595D93"/>
    <w:rsid w:val="00595F15"/>
    <w:rsid w:val="005966AC"/>
    <w:rsid w:val="00596ABD"/>
    <w:rsid w:val="00596F44"/>
    <w:rsid w:val="0059726D"/>
    <w:rsid w:val="0059739F"/>
    <w:rsid w:val="0059742F"/>
    <w:rsid w:val="00597A80"/>
    <w:rsid w:val="005A061D"/>
    <w:rsid w:val="005A0689"/>
    <w:rsid w:val="005A1105"/>
    <w:rsid w:val="005A1579"/>
    <w:rsid w:val="005A225A"/>
    <w:rsid w:val="005A388A"/>
    <w:rsid w:val="005A44D6"/>
    <w:rsid w:val="005A458B"/>
    <w:rsid w:val="005A49C2"/>
    <w:rsid w:val="005A4A8A"/>
    <w:rsid w:val="005A5801"/>
    <w:rsid w:val="005A5A02"/>
    <w:rsid w:val="005A6346"/>
    <w:rsid w:val="005A6941"/>
    <w:rsid w:val="005A6DA3"/>
    <w:rsid w:val="005A7636"/>
    <w:rsid w:val="005A79DC"/>
    <w:rsid w:val="005A7C8F"/>
    <w:rsid w:val="005B003D"/>
    <w:rsid w:val="005B00F1"/>
    <w:rsid w:val="005B0967"/>
    <w:rsid w:val="005B0AA5"/>
    <w:rsid w:val="005B1561"/>
    <w:rsid w:val="005B176D"/>
    <w:rsid w:val="005B18C6"/>
    <w:rsid w:val="005B1F6A"/>
    <w:rsid w:val="005B20F7"/>
    <w:rsid w:val="005B27F8"/>
    <w:rsid w:val="005B2A27"/>
    <w:rsid w:val="005B2AAA"/>
    <w:rsid w:val="005B2B33"/>
    <w:rsid w:val="005B2C87"/>
    <w:rsid w:val="005B2CDB"/>
    <w:rsid w:val="005B3AE5"/>
    <w:rsid w:val="005B3D73"/>
    <w:rsid w:val="005B3E83"/>
    <w:rsid w:val="005B3EBE"/>
    <w:rsid w:val="005B3F65"/>
    <w:rsid w:val="005B420C"/>
    <w:rsid w:val="005B4900"/>
    <w:rsid w:val="005B4C38"/>
    <w:rsid w:val="005B4C76"/>
    <w:rsid w:val="005B50A4"/>
    <w:rsid w:val="005B5883"/>
    <w:rsid w:val="005B664C"/>
    <w:rsid w:val="005B6C6B"/>
    <w:rsid w:val="005B7796"/>
    <w:rsid w:val="005B7CFD"/>
    <w:rsid w:val="005C002A"/>
    <w:rsid w:val="005C075E"/>
    <w:rsid w:val="005C1079"/>
    <w:rsid w:val="005C1BD1"/>
    <w:rsid w:val="005C26D3"/>
    <w:rsid w:val="005C399A"/>
    <w:rsid w:val="005C4045"/>
    <w:rsid w:val="005C4626"/>
    <w:rsid w:val="005C47F3"/>
    <w:rsid w:val="005C51B9"/>
    <w:rsid w:val="005C63BA"/>
    <w:rsid w:val="005C65FB"/>
    <w:rsid w:val="005C6981"/>
    <w:rsid w:val="005C6D23"/>
    <w:rsid w:val="005C72C0"/>
    <w:rsid w:val="005C7B8A"/>
    <w:rsid w:val="005C7DAF"/>
    <w:rsid w:val="005D056D"/>
    <w:rsid w:val="005D0F09"/>
    <w:rsid w:val="005D1090"/>
    <w:rsid w:val="005D1E8B"/>
    <w:rsid w:val="005D2078"/>
    <w:rsid w:val="005D2307"/>
    <w:rsid w:val="005D2CDD"/>
    <w:rsid w:val="005D3211"/>
    <w:rsid w:val="005D40DE"/>
    <w:rsid w:val="005D41A5"/>
    <w:rsid w:val="005D439A"/>
    <w:rsid w:val="005D48E1"/>
    <w:rsid w:val="005D4E13"/>
    <w:rsid w:val="005D53E3"/>
    <w:rsid w:val="005D5B5C"/>
    <w:rsid w:val="005D5EBD"/>
    <w:rsid w:val="005D5EED"/>
    <w:rsid w:val="005D6739"/>
    <w:rsid w:val="005D68FD"/>
    <w:rsid w:val="005D6CCD"/>
    <w:rsid w:val="005D6FB9"/>
    <w:rsid w:val="005E071F"/>
    <w:rsid w:val="005E0D5D"/>
    <w:rsid w:val="005E15AF"/>
    <w:rsid w:val="005E1A2D"/>
    <w:rsid w:val="005E1DFE"/>
    <w:rsid w:val="005E1EF3"/>
    <w:rsid w:val="005E2078"/>
    <w:rsid w:val="005E2375"/>
    <w:rsid w:val="005E26F3"/>
    <w:rsid w:val="005E2AA5"/>
    <w:rsid w:val="005E2ECD"/>
    <w:rsid w:val="005E3065"/>
    <w:rsid w:val="005E3449"/>
    <w:rsid w:val="005E366F"/>
    <w:rsid w:val="005E36AE"/>
    <w:rsid w:val="005E4361"/>
    <w:rsid w:val="005E4917"/>
    <w:rsid w:val="005E49BC"/>
    <w:rsid w:val="005E4E18"/>
    <w:rsid w:val="005E4F6A"/>
    <w:rsid w:val="005E4FE6"/>
    <w:rsid w:val="005E5376"/>
    <w:rsid w:val="005E5B04"/>
    <w:rsid w:val="005E5D6B"/>
    <w:rsid w:val="005E604B"/>
    <w:rsid w:val="005E6233"/>
    <w:rsid w:val="005E7216"/>
    <w:rsid w:val="005E77E0"/>
    <w:rsid w:val="005E7C06"/>
    <w:rsid w:val="005E7EC6"/>
    <w:rsid w:val="005F00D2"/>
    <w:rsid w:val="005F01E2"/>
    <w:rsid w:val="005F0412"/>
    <w:rsid w:val="005F053F"/>
    <w:rsid w:val="005F098B"/>
    <w:rsid w:val="005F0994"/>
    <w:rsid w:val="005F0E4A"/>
    <w:rsid w:val="005F10C9"/>
    <w:rsid w:val="005F19CC"/>
    <w:rsid w:val="005F2056"/>
    <w:rsid w:val="005F23BD"/>
    <w:rsid w:val="005F2490"/>
    <w:rsid w:val="005F254F"/>
    <w:rsid w:val="005F3222"/>
    <w:rsid w:val="005F335E"/>
    <w:rsid w:val="005F3A14"/>
    <w:rsid w:val="005F403B"/>
    <w:rsid w:val="005F488F"/>
    <w:rsid w:val="005F49FC"/>
    <w:rsid w:val="005F4C23"/>
    <w:rsid w:val="005F4C44"/>
    <w:rsid w:val="005F541F"/>
    <w:rsid w:val="005F5F55"/>
    <w:rsid w:val="005F627F"/>
    <w:rsid w:val="005F683C"/>
    <w:rsid w:val="005F6F4E"/>
    <w:rsid w:val="005F6FBF"/>
    <w:rsid w:val="005F7083"/>
    <w:rsid w:val="005F710B"/>
    <w:rsid w:val="005F71A0"/>
    <w:rsid w:val="006000C8"/>
    <w:rsid w:val="006003C5"/>
    <w:rsid w:val="006006E5"/>
    <w:rsid w:val="00600A7B"/>
    <w:rsid w:val="00601002"/>
    <w:rsid w:val="00601C4B"/>
    <w:rsid w:val="006027BD"/>
    <w:rsid w:val="00602871"/>
    <w:rsid w:val="00602B36"/>
    <w:rsid w:val="0060382D"/>
    <w:rsid w:val="00603AC7"/>
    <w:rsid w:val="00603E2A"/>
    <w:rsid w:val="006041E4"/>
    <w:rsid w:val="00604246"/>
    <w:rsid w:val="00604440"/>
    <w:rsid w:val="00604695"/>
    <w:rsid w:val="006055A0"/>
    <w:rsid w:val="006061AB"/>
    <w:rsid w:val="00606E27"/>
    <w:rsid w:val="00606F53"/>
    <w:rsid w:val="00607586"/>
    <w:rsid w:val="00607D5E"/>
    <w:rsid w:val="00607F48"/>
    <w:rsid w:val="00610D59"/>
    <w:rsid w:val="00611101"/>
    <w:rsid w:val="006113F1"/>
    <w:rsid w:val="00611AAD"/>
    <w:rsid w:val="00611CF4"/>
    <w:rsid w:val="006127EF"/>
    <w:rsid w:val="00612E12"/>
    <w:rsid w:val="00613080"/>
    <w:rsid w:val="006137E2"/>
    <w:rsid w:val="0061391B"/>
    <w:rsid w:val="00613A82"/>
    <w:rsid w:val="00613FAA"/>
    <w:rsid w:val="006145A3"/>
    <w:rsid w:val="00614818"/>
    <w:rsid w:val="0061533F"/>
    <w:rsid w:val="0061577E"/>
    <w:rsid w:val="00615803"/>
    <w:rsid w:val="00615818"/>
    <w:rsid w:val="00615CB2"/>
    <w:rsid w:val="006162C0"/>
    <w:rsid w:val="00616615"/>
    <w:rsid w:val="00616EEB"/>
    <w:rsid w:val="0061704F"/>
    <w:rsid w:val="00617840"/>
    <w:rsid w:val="006179E2"/>
    <w:rsid w:val="00617EDB"/>
    <w:rsid w:val="00620174"/>
    <w:rsid w:val="00620347"/>
    <w:rsid w:val="00620E8F"/>
    <w:rsid w:val="0062181C"/>
    <w:rsid w:val="00621915"/>
    <w:rsid w:val="00621C72"/>
    <w:rsid w:val="00621F3C"/>
    <w:rsid w:val="00622002"/>
    <w:rsid w:val="00622562"/>
    <w:rsid w:val="00622AC6"/>
    <w:rsid w:val="00622B8F"/>
    <w:rsid w:val="00622D74"/>
    <w:rsid w:val="0062310C"/>
    <w:rsid w:val="0062368C"/>
    <w:rsid w:val="00624B7D"/>
    <w:rsid w:val="00624CC8"/>
    <w:rsid w:val="006254FE"/>
    <w:rsid w:val="0062576D"/>
    <w:rsid w:val="00625C2C"/>
    <w:rsid w:val="00626575"/>
    <w:rsid w:val="00626A4C"/>
    <w:rsid w:val="00626AA4"/>
    <w:rsid w:val="00626C09"/>
    <w:rsid w:val="006274D0"/>
    <w:rsid w:val="00630200"/>
    <w:rsid w:val="00630544"/>
    <w:rsid w:val="006308A7"/>
    <w:rsid w:val="00631502"/>
    <w:rsid w:val="00631566"/>
    <w:rsid w:val="006316AC"/>
    <w:rsid w:val="00631ACE"/>
    <w:rsid w:val="00632899"/>
    <w:rsid w:val="00632C8E"/>
    <w:rsid w:val="00632CCC"/>
    <w:rsid w:val="00632F3D"/>
    <w:rsid w:val="00633B8A"/>
    <w:rsid w:val="00634DA6"/>
    <w:rsid w:val="00635252"/>
    <w:rsid w:val="006357D3"/>
    <w:rsid w:val="00636319"/>
    <w:rsid w:val="00636412"/>
    <w:rsid w:val="0063670F"/>
    <w:rsid w:val="006367A5"/>
    <w:rsid w:val="00636941"/>
    <w:rsid w:val="0063732F"/>
    <w:rsid w:val="0063747F"/>
    <w:rsid w:val="00637604"/>
    <w:rsid w:val="006376D6"/>
    <w:rsid w:val="00637A4D"/>
    <w:rsid w:val="00637C41"/>
    <w:rsid w:val="00640A1F"/>
    <w:rsid w:val="00640D3F"/>
    <w:rsid w:val="00641437"/>
    <w:rsid w:val="0064146A"/>
    <w:rsid w:val="006415E2"/>
    <w:rsid w:val="00641FDD"/>
    <w:rsid w:val="0064210B"/>
    <w:rsid w:val="00642C23"/>
    <w:rsid w:val="00642E09"/>
    <w:rsid w:val="006434E5"/>
    <w:rsid w:val="00643747"/>
    <w:rsid w:val="00643749"/>
    <w:rsid w:val="0064378A"/>
    <w:rsid w:val="00643843"/>
    <w:rsid w:val="00643CC3"/>
    <w:rsid w:val="00643ED7"/>
    <w:rsid w:val="006447A2"/>
    <w:rsid w:val="00644B43"/>
    <w:rsid w:val="00644B97"/>
    <w:rsid w:val="00645789"/>
    <w:rsid w:val="00646183"/>
    <w:rsid w:val="0064684F"/>
    <w:rsid w:val="00646987"/>
    <w:rsid w:val="00647696"/>
    <w:rsid w:val="00647993"/>
    <w:rsid w:val="006503EC"/>
    <w:rsid w:val="006521C3"/>
    <w:rsid w:val="00652CF5"/>
    <w:rsid w:val="00652F2C"/>
    <w:rsid w:val="00653353"/>
    <w:rsid w:val="0065356A"/>
    <w:rsid w:val="00653652"/>
    <w:rsid w:val="006536FC"/>
    <w:rsid w:val="00653887"/>
    <w:rsid w:val="00653D33"/>
    <w:rsid w:val="00654C76"/>
    <w:rsid w:val="00654DB6"/>
    <w:rsid w:val="00654F16"/>
    <w:rsid w:val="006550FF"/>
    <w:rsid w:val="006555B5"/>
    <w:rsid w:val="006558FA"/>
    <w:rsid w:val="00656C17"/>
    <w:rsid w:val="0065759F"/>
    <w:rsid w:val="00657ECB"/>
    <w:rsid w:val="00657FBD"/>
    <w:rsid w:val="006601BB"/>
    <w:rsid w:val="00660DED"/>
    <w:rsid w:val="00660EED"/>
    <w:rsid w:val="00660F38"/>
    <w:rsid w:val="006614FA"/>
    <w:rsid w:val="0066281D"/>
    <w:rsid w:val="0066288A"/>
    <w:rsid w:val="00662FBD"/>
    <w:rsid w:val="00663175"/>
    <w:rsid w:val="0066347B"/>
    <w:rsid w:val="0066376C"/>
    <w:rsid w:val="00663B20"/>
    <w:rsid w:val="00663EAB"/>
    <w:rsid w:val="0066480B"/>
    <w:rsid w:val="00665053"/>
    <w:rsid w:val="00665247"/>
    <w:rsid w:val="00665F9B"/>
    <w:rsid w:val="00666D62"/>
    <w:rsid w:val="00666F88"/>
    <w:rsid w:val="0067120D"/>
    <w:rsid w:val="00671479"/>
    <w:rsid w:val="00671743"/>
    <w:rsid w:val="00671A6B"/>
    <w:rsid w:val="006725CF"/>
    <w:rsid w:val="006726AD"/>
    <w:rsid w:val="00672F9C"/>
    <w:rsid w:val="006736D4"/>
    <w:rsid w:val="006736DB"/>
    <w:rsid w:val="006737E6"/>
    <w:rsid w:val="006738CD"/>
    <w:rsid w:val="00673B4B"/>
    <w:rsid w:val="00673C43"/>
    <w:rsid w:val="00673E28"/>
    <w:rsid w:val="00674628"/>
    <w:rsid w:val="00674B4F"/>
    <w:rsid w:val="00674E5E"/>
    <w:rsid w:val="00675182"/>
    <w:rsid w:val="006756A1"/>
    <w:rsid w:val="00675C92"/>
    <w:rsid w:val="00675D4B"/>
    <w:rsid w:val="00676223"/>
    <w:rsid w:val="00676AE5"/>
    <w:rsid w:val="0067709B"/>
    <w:rsid w:val="00677301"/>
    <w:rsid w:val="00677628"/>
    <w:rsid w:val="006776AF"/>
    <w:rsid w:val="0067777E"/>
    <w:rsid w:val="006777A1"/>
    <w:rsid w:val="00677910"/>
    <w:rsid w:val="00680A54"/>
    <w:rsid w:val="00680D3D"/>
    <w:rsid w:val="00680F68"/>
    <w:rsid w:val="006810FC"/>
    <w:rsid w:val="00681211"/>
    <w:rsid w:val="00681538"/>
    <w:rsid w:val="00681BBF"/>
    <w:rsid w:val="00681C7A"/>
    <w:rsid w:val="00681DE7"/>
    <w:rsid w:val="006827E6"/>
    <w:rsid w:val="006828E1"/>
    <w:rsid w:val="00682AE7"/>
    <w:rsid w:val="00682D37"/>
    <w:rsid w:val="00682D6B"/>
    <w:rsid w:val="00683233"/>
    <w:rsid w:val="00683307"/>
    <w:rsid w:val="00683B33"/>
    <w:rsid w:val="00683DD0"/>
    <w:rsid w:val="00683F63"/>
    <w:rsid w:val="00683FF2"/>
    <w:rsid w:val="006842A3"/>
    <w:rsid w:val="0068479D"/>
    <w:rsid w:val="0068480D"/>
    <w:rsid w:val="00684A18"/>
    <w:rsid w:val="00684B8E"/>
    <w:rsid w:val="00684FC7"/>
    <w:rsid w:val="0068522C"/>
    <w:rsid w:val="00685818"/>
    <w:rsid w:val="00685987"/>
    <w:rsid w:val="00685BC6"/>
    <w:rsid w:val="0068665F"/>
    <w:rsid w:val="00686C93"/>
    <w:rsid w:val="006873D8"/>
    <w:rsid w:val="0068788E"/>
    <w:rsid w:val="00687E6E"/>
    <w:rsid w:val="00690703"/>
    <w:rsid w:val="006909C6"/>
    <w:rsid w:val="00690D27"/>
    <w:rsid w:val="00690E3A"/>
    <w:rsid w:val="00691285"/>
    <w:rsid w:val="006914DA"/>
    <w:rsid w:val="006919D3"/>
    <w:rsid w:val="00691B3F"/>
    <w:rsid w:val="00691F9C"/>
    <w:rsid w:val="00692328"/>
    <w:rsid w:val="00692510"/>
    <w:rsid w:val="00692527"/>
    <w:rsid w:val="00692673"/>
    <w:rsid w:val="00693191"/>
    <w:rsid w:val="006942AF"/>
    <w:rsid w:val="006944AA"/>
    <w:rsid w:val="0069469B"/>
    <w:rsid w:val="00694AF8"/>
    <w:rsid w:val="00695F84"/>
    <w:rsid w:val="00695FDC"/>
    <w:rsid w:val="00696056"/>
    <w:rsid w:val="00696607"/>
    <w:rsid w:val="00697164"/>
    <w:rsid w:val="00697BD4"/>
    <w:rsid w:val="006A0748"/>
    <w:rsid w:val="006A0A20"/>
    <w:rsid w:val="006A0C53"/>
    <w:rsid w:val="006A0D0D"/>
    <w:rsid w:val="006A0F35"/>
    <w:rsid w:val="006A1047"/>
    <w:rsid w:val="006A12CF"/>
    <w:rsid w:val="006A17B0"/>
    <w:rsid w:val="006A189E"/>
    <w:rsid w:val="006A1FEF"/>
    <w:rsid w:val="006A218C"/>
    <w:rsid w:val="006A2CB9"/>
    <w:rsid w:val="006A2E19"/>
    <w:rsid w:val="006A387C"/>
    <w:rsid w:val="006A39C7"/>
    <w:rsid w:val="006A3CC7"/>
    <w:rsid w:val="006A3D3A"/>
    <w:rsid w:val="006A3E28"/>
    <w:rsid w:val="006A48C1"/>
    <w:rsid w:val="006A49CD"/>
    <w:rsid w:val="006A4E21"/>
    <w:rsid w:val="006A5008"/>
    <w:rsid w:val="006A53AD"/>
    <w:rsid w:val="006A5AF8"/>
    <w:rsid w:val="006A60CA"/>
    <w:rsid w:val="006A66C9"/>
    <w:rsid w:val="006A6A6C"/>
    <w:rsid w:val="006A719F"/>
    <w:rsid w:val="006B07DE"/>
    <w:rsid w:val="006B0AEB"/>
    <w:rsid w:val="006B1B86"/>
    <w:rsid w:val="006B1CEA"/>
    <w:rsid w:val="006B1E79"/>
    <w:rsid w:val="006B22C5"/>
    <w:rsid w:val="006B246F"/>
    <w:rsid w:val="006B2D33"/>
    <w:rsid w:val="006B2E80"/>
    <w:rsid w:val="006B2E9C"/>
    <w:rsid w:val="006B2F1C"/>
    <w:rsid w:val="006B3893"/>
    <w:rsid w:val="006B3D34"/>
    <w:rsid w:val="006B4474"/>
    <w:rsid w:val="006B45FB"/>
    <w:rsid w:val="006B5051"/>
    <w:rsid w:val="006B5696"/>
    <w:rsid w:val="006B59AA"/>
    <w:rsid w:val="006B64CF"/>
    <w:rsid w:val="006B6691"/>
    <w:rsid w:val="006B6893"/>
    <w:rsid w:val="006B6CAC"/>
    <w:rsid w:val="006B7277"/>
    <w:rsid w:val="006B7D2D"/>
    <w:rsid w:val="006C00C0"/>
    <w:rsid w:val="006C0128"/>
    <w:rsid w:val="006C02E4"/>
    <w:rsid w:val="006C0686"/>
    <w:rsid w:val="006C16D4"/>
    <w:rsid w:val="006C1AA7"/>
    <w:rsid w:val="006C20F1"/>
    <w:rsid w:val="006C2131"/>
    <w:rsid w:val="006C27A8"/>
    <w:rsid w:val="006C2E84"/>
    <w:rsid w:val="006C32C8"/>
    <w:rsid w:val="006C36F4"/>
    <w:rsid w:val="006C3A12"/>
    <w:rsid w:val="006C3E28"/>
    <w:rsid w:val="006C4647"/>
    <w:rsid w:val="006C4BB2"/>
    <w:rsid w:val="006C575A"/>
    <w:rsid w:val="006C5829"/>
    <w:rsid w:val="006C5EF7"/>
    <w:rsid w:val="006C614A"/>
    <w:rsid w:val="006C64E8"/>
    <w:rsid w:val="006C6B3F"/>
    <w:rsid w:val="006C7383"/>
    <w:rsid w:val="006C748D"/>
    <w:rsid w:val="006C7511"/>
    <w:rsid w:val="006C7A98"/>
    <w:rsid w:val="006C7C95"/>
    <w:rsid w:val="006C7FFE"/>
    <w:rsid w:val="006D005F"/>
    <w:rsid w:val="006D063B"/>
    <w:rsid w:val="006D07F6"/>
    <w:rsid w:val="006D08CC"/>
    <w:rsid w:val="006D12C6"/>
    <w:rsid w:val="006D154D"/>
    <w:rsid w:val="006D15EC"/>
    <w:rsid w:val="006D1C84"/>
    <w:rsid w:val="006D1C8A"/>
    <w:rsid w:val="006D240D"/>
    <w:rsid w:val="006D3ADA"/>
    <w:rsid w:val="006D3E23"/>
    <w:rsid w:val="006D4006"/>
    <w:rsid w:val="006D4450"/>
    <w:rsid w:val="006D4E70"/>
    <w:rsid w:val="006D5932"/>
    <w:rsid w:val="006D5C22"/>
    <w:rsid w:val="006D6214"/>
    <w:rsid w:val="006D65A7"/>
    <w:rsid w:val="006D6D0E"/>
    <w:rsid w:val="006D78C9"/>
    <w:rsid w:val="006D7B5C"/>
    <w:rsid w:val="006D7F54"/>
    <w:rsid w:val="006E0813"/>
    <w:rsid w:val="006E1875"/>
    <w:rsid w:val="006E21CC"/>
    <w:rsid w:val="006E35F2"/>
    <w:rsid w:val="006E44CE"/>
    <w:rsid w:val="006E468C"/>
    <w:rsid w:val="006E56C2"/>
    <w:rsid w:val="006E59BD"/>
    <w:rsid w:val="006E60DB"/>
    <w:rsid w:val="006E6164"/>
    <w:rsid w:val="006E65DA"/>
    <w:rsid w:val="006E670C"/>
    <w:rsid w:val="006E6899"/>
    <w:rsid w:val="006E6A5C"/>
    <w:rsid w:val="006E6B3F"/>
    <w:rsid w:val="006E7141"/>
    <w:rsid w:val="006E738A"/>
    <w:rsid w:val="006E74C0"/>
    <w:rsid w:val="006E74C2"/>
    <w:rsid w:val="006E77BD"/>
    <w:rsid w:val="006E77FF"/>
    <w:rsid w:val="006E7857"/>
    <w:rsid w:val="006E7D4A"/>
    <w:rsid w:val="006E7DA6"/>
    <w:rsid w:val="006F015A"/>
    <w:rsid w:val="006F021A"/>
    <w:rsid w:val="006F05A5"/>
    <w:rsid w:val="006F13DD"/>
    <w:rsid w:val="006F1A42"/>
    <w:rsid w:val="006F1AA9"/>
    <w:rsid w:val="006F2131"/>
    <w:rsid w:val="006F2481"/>
    <w:rsid w:val="006F28C2"/>
    <w:rsid w:val="006F2AEE"/>
    <w:rsid w:val="006F2BF2"/>
    <w:rsid w:val="006F3B1F"/>
    <w:rsid w:val="006F3E4D"/>
    <w:rsid w:val="006F4033"/>
    <w:rsid w:val="006F4BC9"/>
    <w:rsid w:val="006F4E4F"/>
    <w:rsid w:val="006F5067"/>
    <w:rsid w:val="006F5163"/>
    <w:rsid w:val="006F51A0"/>
    <w:rsid w:val="006F520B"/>
    <w:rsid w:val="006F5259"/>
    <w:rsid w:val="006F52D5"/>
    <w:rsid w:val="006F5C08"/>
    <w:rsid w:val="006F6315"/>
    <w:rsid w:val="006F6750"/>
    <w:rsid w:val="006F71AC"/>
    <w:rsid w:val="006F75C1"/>
    <w:rsid w:val="006F7909"/>
    <w:rsid w:val="006F7A16"/>
    <w:rsid w:val="006F7D93"/>
    <w:rsid w:val="0070082F"/>
    <w:rsid w:val="00700B2C"/>
    <w:rsid w:val="00700DE4"/>
    <w:rsid w:val="007010A5"/>
    <w:rsid w:val="007010F4"/>
    <w:rsid w:val="0070250B"/>
    <w:rsid w:val="00702E5B"/>
    <w:rsid w:val="00702FE2"/>
    <w:rsid w:val="00703613"/>
    <w:rsid w:val="00704209"/>
    <w:rsid w:val="007043B7"/>
    <w:rsid w:val="00705099"/>
    <w:rsid w:val="007053FE"/>
    <w:rsid w:val="00705535"/>
    <w:rsid w:val="00705AFE"/>
    <w:rsid w:val="00705E61"/>
    <w:rsid w:val="00706046"/>
    <w:rsid w:val="007061D9"/>
    <w:rsid w:val="00707469"/>
    <w:rsid w:val="00707690"/>
    <w:rsid w:val="00707830"/>
    <w:rsid w:val="0070785C"/>
    <w:rsid w:val="00707BA1"/>
    <w:rsid w:val="00707E0A"/>
    <w:rsid w:val="00707FFB"/>
    <w:rsid w:val="00711381"/>
    <w:rsid w:val="0071141F"/>
    <w:rsid w:val="00711473"/>
    <w:rsid w:val="00711951"/>
    <w:rsid w:val="00711B22"/>
    <w:rsid w:val="00711E39"/>
    <w:rsid w:val="00712812"/>
    <w:rsid w:val="00713104"/>
    <w:rsid w:val="00713525"/>
    <w:rsid w:val="0071367D"/>
    <w:rsid w:val="007140AC"/>
    <w:rsid w:val="00714801"/>
    <w:rsid w:val="0071509B"/>
    <w:rsid w:val="00715264"/>
    <w:rsid w:val="0071533A"/>
    <w:rsid w:val="0071590D"/>
    <w:rsid w:val="00715AE3"/>
    <w:rsid w:val="00715D20"/>
    <w:rsid w:val="0071636F"/>
    <w:rsid w:val="007164AE"/>
    <w:rsid w:val="007167EA"/>
    <w:rsid w:val="00716A43"/>
    <w:rsid w:val="00716B40"/>
    <w:rsid w:val="00716CB1"/>
    <w:rsid w:val="0071715E"/>
    <w:rsid w:val="0071739C"/>
    <w:rsid w:val="00717E94"/>
    <w:rsid w:val="0072072F"/>
    <w:rsid w:val="007209AC"/>
    <w:rsid w:val="007209C1"/>
    <w:rsid w:val="007214B6"/>
    <w:rsid w:val="007217E2"/>
    <w:rsid w:val="00722482"/>
    <w:rsid w:val="00722577"/>
    <w:rsid w:val="00723009"/>
    <w:rsid w:val="007236D6"/>
    <w:rsid w:val="00723AE3"/>
    <w:rsid w:val="00723CBD"/>
    <w:rsid w:val="00723DB3"/>
    <w:rsid w:val="00723E34"/>
    <w:rsid w:val="00724360"/>
    <w:rsid w:val="0072442D"/>
    <w:rsid w:val="007249AA"/>
    <w:rsid w:val="00724C2E"/>
    <w:rsid w:val="00724E32"/>
    <w:rsid w:val="00724F56"/>
    <w:rsid w:val="007250E9"/>
    <w:rsid w:val="007250FC"/>
    <w:rsid w:val="007251D8"/>
    <w:rsid w:val="0072566B"/>
    <w:rsid w:val="00725827"/>
    <w:rsid w:val="00725F25"/>
    <w:rsid w:val="00726DCC"/>
    <w:rsid w:val="00726E9F"/>
    <w:rsid w:val="00727C43"/>
    <w:rsid w:val="00730D65"/>
    <w:rsid w:val="00731094"/>
    <w:rsid w:val="00732122"/>
    <w:rsid w:val="0073246B"/>
    <w:rsid w:val="00732983"/>
    <w:rsid w:val="00732FE5"/>
    <w:rsid w:val="007330B8"/>
    <w:rsid w:val="0073336E"/>
    <w:rsid w:val="007336BB"/>
    <w:rsid w:val="007337CB"/>
    <w:rsid w:val="007337CF"/>
    <w:rsid w:val="007338FA"/>
    <w:rsid w:val="00733DC9"/>
    <w:rsid w:val="00733E6F"/>
    <w:rsid w:val="0073482E"/>
    <w:rsid w:val="007348A3"/>
    <w:rsid w:val="007348F2"/>
    <w:rsid w:val="00734D2B"/>
    <w:rsid w:val="00734DF6"/>
    <w:rsid w:val="0073515D"/>
    <w:rsid w:val="007351E3"/>
    <w:rsid w:val="007354DA"/>
    <w:rsid w:val="00735CDC"/>
    <w:rsid w:val="0073639C"/>
    <w:rsid w:val="007363E3"/>
    <w:rsid w:val="007364F8"/>
    <w:rsid w:val="007367C9"/>
    <w:rsid w:val="00736F62"/>
    <w:rsid w:val="0074041F"/>
    <w:rsid w:val="00740EBD"/>
    <w:rsid w:val="00740EF6"/>
    <w:rsid w:val="007412F6"/>
    <w:rsid w:val="007413FB"/>
    <w:rsid w:val="0074243D"/>
    <w:rsid w:val="00742C24"/>
    <w:rsid w:val="00743943"/>
    <w:rsid w:val="00744889"/>
    <w:rsid w:val="00744AD8"/>
    <w:rsid w:val="0074552E"/>
    <w:rsid w:val="007458DD"/>
    <w:rsid w:val="00745B38"/>
    <w:rsid w:val="00745EB0"/>
    <w:rsid w:val="00746345"/>
    <w:rsid w:val="007469E6"/>
    <w:rsid w:val="00746CDC"/>
    <w:rsid w:val="00746D54"/>
    <w:rsid w:val="00746DDF"/>
    <w:rsid w:val="00750D29"/>
    <w:rsid w:val="00751415"/>
    <w:rsid w:val="00751D25"/>
    <w:rsid w:val="007527F1"/>
    <w:rsid w:val="00753DE5"/>
    <w:rsid w:val="00754660"/>
    <w:rsid w:val="00754909"/>
    <w:rsid w:val="00754B03"/>
    <w:rsid w:val="00754C45"/>
    <w:rsid w:val="007551A4"/>
    <w:rsid w:val="007563C1"/>
    <w:rsid w:val="00756821"/>
    <w:rsid w:val="00756B5C"/>
    <w:rsid w:val="00757F4E"/>
    <w:rsid w:val="00760089"/>
    <w:rsid w:val="00761B42"/>
    <w:rsid w:val="00762690"/>
    <w:rsid w:val="00762915"/>
    <w:rsid w:val="007629E4"/>
    <w:rsid w:val="00762B65"/>
    <w:rsid w:val="00762C17"/>
    <w:rsid w:val="007630E1"/>
    <w:rsid w:val="00763C5F"/>
    <w:rsid w:val="00763D3E"/>
    <w:rsid w:val="00763D4A"/>
    <w:rsid w:val="00763DC6"/>
    <w:rsid w:val="00764014"/>
    <w:rsid w:val="007641CF"/>
    <w:rsid w:val="0076444A"/>
    <w:rsid w:val="00764944"/>
    <w:rsid w:val="007653F0"/>
    <w:rsid w:val="007656AE"/>
    <w:rsid w:val="00765B7B"/>
    <w:rsid w:val="0076621A"/>
    <w:rsid w:val="00766297"/>
    <w:rsid w:val="00766481"/>
    <w:rsid w:val="0076663D"/>
    <w:rsid w:val="007667DC"/>
    <w:rsid w:val="00766FD6"/>
    <w:rsid w:val="00767295"/>
    <w:rsid w:val="00767891"/>
    <w:rsid w:val="00767C33"/>
    <w:rsid w:val="00767E5A"/>
    <w:rsid w:val="00770340"/>
    <w:rsid w:val="00770C39"/>
    <w:rsid w:val="0077129C"/>
    <w:rsid w:val="007713A3"/>
    <w:rsid w:val="00771A61"/>
    <w:rsid w:val="00771EB4"/>
    <w:rsid w:val="007722E0"/>
    <w:rsid w:val="0077314E"/>
    <w:rsid w:val="00773AD0"/>
    <w:rsid w:val="00773AFD"/>
    <w:rsid w:val="00773B38"/>
    <w:rsid w:val="00773DB0"/>
    <w:rsid w:val="0077463E"/>
    <w:rsid w:val="00774B3E"/>
    <w:rsid w:val="00774C78"/>
    <w:rsid w:val="00774CDD"/>
    <w:rsid w:val="00774DF1"/>
    <w:rsid w:val="00774F25"/>
    <w:rsid w:val="00775192"/>
    <w:rsid w:val="007759F4"/>
    <w:rsid w:val="00775E50"/>
    <w:rsid w:val="00776B38"/>
    <w:rsid w:val="00776B53"/>
    <w:rsid w:val="00776B5F"/>
    <w:rsid w:val="00776D46"/>
    <w:rsid w:val="00777025"/>
    <w:rsid w:val="0078017F"/>
    <w:rsid w:val="007802AB"/>
    <w:rsid w:val="007805C1"/>
    <w:rsid w:val="0078060F"/>
    <w:rsid w:val="0078081F"/>
    <w:rsid w:val="007819FF"/>
    <w:rsid w:val="00781D61"/>
    <w:rsid w:val="00781F00"/>
    <w:rsid w:val="00781FFA"/>
    <w:rsid w:val="0078201A"/>
    <w:rsid w:val="00782A67"/>
    <w:rsid w:val="00782D01"/>
    <w:rsid w:val="00782EC0"/>
    <w:rsid w:val="00782F05"/>
    <w:rsid w:val="00783072"/>
    <w:rsid w:val="00783163"/>
    <w:rsid w:val="00783975"/>
    <w:rsid w:val="007847F9"/>
    <w:rsid w:val="007849C2"/>
    <w:rsid w:val="00784F33"/>
    <w:rsid w:val="00785415"/>
    <w:rsid w:val="007854B3"/>
    <w:rsid w:val="00785B1C"/>
    <w:rsid w:val="007861D1"/>
    <w:rsid w:val="00786393"/>
    <w:rsid w:val="007866F2"/>
    <w:rsid w:val="007867A3"/>
    <w:rsid w:val="007867B0"/>
    <w:rsid w:val="00786C74"/>
    <w:rsid w:val="0078702E"/>
    <w:rsid w:val="00787A2A"/>
    <w:rsid w:val="00787B02"/>
    <w:rsid w:val="00787EFF"/>
    <w:rsid w:val="00790301"/>
    <w:rsid w:val="00791359"/>
    <w:rsid w:val="007916ED"/>
    <w:rsid w:val="00791D22"/>
    <w:rsid w:val="00791E1A"/>
    <w:rsid w:val="00791E2E"/>
    <w:rsid w:val="00792A70"/>
    <w:rsid w:val="00792BEB"/>
    <w:rsid w:val="00793754"/>
    <w:rsid w:val="00793BCB"/>
    <w:rsid w:val="00793FB5"/>
    <w:rsid w:val="00794506"/>
    <w:rsid w:val="0079487B"/>
    <w:rsid w:val="00794A64"/>
    <w:rsid w:val="007959E4"/>
    <w:rsid w:val="00795D4D"/>
    <w:rsid w:val="007967BE"/>
    <w:rsid w:val="00796808"/>
    <w:rsid w:val="007969B6"/>
    <w:rsid w:val="00797CC1"/>
    <w:rsid w:val="00797CD4"/>
    <w:rsid w:val="00797D58"/>
    <w:rsid w:val="007A053D"/>
    <w:rsid w:val="007A0E1B"/>
    <w:rsid w:val="007A0EC7"/>
    <w:rsid w:val="007A0FCE"/>
    <w:rsid w:val="007A12D5"/>
    <w:rsid w:val="007A17E7"/>
    <w:rsid w:val="007A23D8"/>
    <w:rsid w:val="007A242F"/>
    <w:rsid w:val="007A25B6"/>
    <w:rsid w:val="007A2A16"/>
    <w:rsid w:val="007A2AA3"/>
    <w:rsid w:val="007A3B5C"/>
    <w:rsid w:val="007A3CA3"/>
    <w:rsid w:val="007A4603"/>
    <w:rsid w:val="007A4761"/>
    <w:rsid w:val="007A4B6E"/>
    <w:rsid w:val="007A4E7E"/>
    <w:rsid w:val="007A54FA"/>
    <w:rsid w:val="007A55A1"/>
    <w:rsid w:val="007A5919"/>
    <w:rsid w:val="007A59E4"/>
    <w:rsid w:val="007A6561"/>
    <w:rsid w:val="007A6587"/>
    <w:rsid w:val="007A6D84"/>
    <w:rsid w:val="007A717C"/>
    <w:rsid w:val="007A7432"/>
    <w:rsid w:val="007A7B25"/>
    <w:rsid w:val="007A7DFD"/>
    <w:rsid w:val="007B09B6"/>
    <w:rsid w:val="007B143B"/>
    <w:rsid w:val="007B2033"/>
    <w:rsid w:val="007B29F9"/>
    <w:rsid w:val="007B3D81"/>
    <w:rsid w:val="007B42AE"/>
    <w:rsid w:val="007B4A4D"/>
    <w:rsid w:val="007B4F49"/>
    <w:rsid w:val="007B5463"/>
    <w:rsid w:val="007B5A9D"/>
    <w:rsid w:val="007B5C53"/>
    <w:rsid w:val="007B63A6"/>
    <w:rsid w:val="007B6409"/>
    <w:rsid w:val="007B645D"/>
    <w:rsid w:val="007B6529"/>
    <w:rsid w:val="007B662D"/>
    <w:rsid w:val="007B696E"/>
    <w:rsid w:val="007B6A25"/>
    <w:rsid w:val="007B700E"/>
    <w:rsid w:val="007B7649"/>
    <w:rsid w:val="007B7777"/>
    <w:rsid w:val="007B77FF"/>
    <w:rsid w:val="007B7AB9"/>
    <w:rsid w:val="007B7D8B"/>
    <w:rsid w:val="007C0181"/>
    <w:rsid w:val="007C0CFC"/>
    <w:rsid w:val="007C10A0"/>
    <w:rsid w:val="007C13B5"/>
    <w:rsid w:val="007C15F2"/>
    <w:rsid w:val="007C24FB"/>
    <w:rsid w:val="007C2D91"/>
    <w:rsid w:val="007C4137"/>
    <w:rsid w:val="007C4142"/>
    <w:rsid w:val="007C470B"/>
    <w:rsid w:val="007C5653"/>
    <w:rsid w:val="007C6441"/>
    <w:rsid w:val="007C6DF3"/>
    <w:rsid w:val="007C7D5C"/>
    <w:rsid w:val="007D042D"/>
    <w:rsid w:val="007D0CB2"/>
    <w:rsid w:val="007D1251"/>
    <w:rsid w:val="007D1BF4"/>
    <w:rsid w:val="007D2059"/>
    <w:rsid w:val="007D229A"/>
    <w:rsid w:val="007D2966"/>
    <w:rsid w:val="007D2BC3"/>
    <w:rsid w:val="007D34B0"/>
    <w:rsid w:val="007D3AC5"/>
    <w:rsid w:val="007D3DED"/>
    <w:rsid w:val="007D4D29"/>
    <w:rsid w:val="007D5314"/>
    <w:rsid w:val="007D5AEA"/>
    <w:rsid w:val="007D5B07"/>
    <w:rsid w:val="007D5B5C"/>
    <w:rsid w:val="007D5DF5"/>
    <w:rsid w:val="007D66F8"/>
    <w:rsid w:val="007D70D9"/>
    <w:rsid w:val="007D7357"/>
    <w:rsid w:val="007D74E2"/>
    <w:rsid w:val="007D7538"/>
    <w:rsid w:val="007D7E4E"/>
    <w:rsid w:val="007D7F33"/>
    <w:rsid w:val="007E1BB1"/>
    <w:rsid w:val="007E1E07"/>
    <w:rsid w:val="007E1ECE"/>
    <w:rsid w:val="007E32CC"/>
    <w:rsid w:val="007E357D"/>
    <w:rsid w:val="007E35F3"/>
    <w:rsid w:val="007E42D6"/>
    <w:rsid w:val="007E4346"/>
    <w:rsid w:val="007E4744"/>
    <w:rsid w:val="007E47B3"/>
    <w:rsid w:val="007E47BE"/>
    <w:rsid w:val="007E4A2B"/>
    <w:rsid w:val="007E4AE0"/>
    <w:rsid w:val="007E5351"/>
    <w:rsid w:val="007E589D"/>
    <w:rsid w:val="007E5D4A"/>
    <w:rsid w:val="007E61CD"/>
    <w:rsid w:val="007E62CB"/>
    <w:rsid w:val="007E6BC0"/>
    <w:rsid w:val="007E6E61"/>
    <w:rsid w:val="007E76C8"/>
    <w:rsid w:val="007E7C3F"/>
    <w:rsid w:val="007E7EC9"/>
    <w:rsid w:val="007F036C"/>
    <w:rsid w:val="007F0D6B"/>
    <w:rsid w:val="007F13ED"/>
    <w:rsid w:val="007F15A7"/>
    <w:rsid w:val="007F17D9"/>
    <w:rsid w:val="007F1919"/>
    <w:rsid w:val="007F224B"/>
    <w:rsid w:val="007F25D7"/>
    <w:rsid w:val="007F27EF"/>
    <w:rsid w:val="007F2A8B"/>
    <w:rsid w:val="007F333F"/>
    <w:rsid w:val="007F33DC"/>
    <w:rsid w:val="007F38E3"/>
    <w:rsid w:val="007F3B01"/>
    <w:rsid w:val="007F3FAB"/>
    <w:rsid w:val="007F55B2"/>
    <w:rsid w:val="007F5D3E"/>
    <w:rsid w:val="007F6141"/>
    <w:rsid w:val="007F634F"/>
    <w:rsid w:val="007F7033"/>
    <w:rsid w:val="007F72C9"/>
    <w:rsid w:val="00800078"/>
    <w:rsid w:val="00800196"/>
    <w:rsid w:val="00800BE9"/>
    <w:rsid w:val="008010B0"/>
    <w:rsid w:val="0080120D"/>
    <w:rsid w:val="00801A87"/>
    <w:rsid w:val="00802988"/>
    <w:rsid w:val="00802DC6"/>
    <w:rsid w:val="00803994"/>
    <w:rsid w:val="00803DFB"/>
    <w:rsid w:val="00803ED1"/>
    <w:rsid w:val="00804187"/>
    <w:rsid w:val="0080487B"/>
    <w:rsid w:val="00804FDA"/>
    <w:rsid w:val="0080574E"/>
    <w:rsid w:val="00805AAC"/>
    <w:rsid w:val="00806392"/>
    <w:rsid w:val="00806918"/>
    <w:rsid w:val="00806E2E"/>
    <w:rsid w:val="008076DC"/>
    <w:rsid w:val="008077C0"/>
    <w:rsid w:val="00807A2B"/>
    <w:rsid w:val="00807A91"/>
    <w:rsid w:val="00807E15"/>
    <w:rsid w:val="00810485"/>
    <w:rsid w:val="008104A5"/>
    <w:rsid w:val="00810C72"/>
    <w:rsid w:val="008119AA"/>
    <w:rsid w:val="00811C35"/>
    <w:rsid w:val="00812E67"/>
    <w:rsid w:val="0081350E"/>
    <w:rsid w:val="008138DF"/>
    <w:rsid w:val="00813B81"/>
    <w:rsid w:val="00813D36"/>
    <w:rsid w:val="008142EB"/>
    <w:rsid w:val="00814331"/>
    <w:rsid w:val="00814681"/>
    <w:rsid w:val="00815214"/>
    <w:rsid w:val="0081528E"/>
    <w:rsid w:val="00815F06"/>
    <w:rsid w:val="00816C07"/>
    <w:rsid w:val="00817676"/>
    <w:rsid w:val="008178F9"/>
    <w:rsid w:val="0082093B"/>
    <w:rsid w:val="00820A6B"/>
    <w:rsid w:val="00820EC8"/>
    <w:rsid w:val="008213A6"/>
    <w:rsid w:val="00821767"/>
    <w:rsid w:val="00821B23"/>
    <w:rsid w:val="00821CF0"/>
    <w:rsid w:val="00821D53"/>
    <w:rsid w:val="00822A98"/>
    <w:rsid w:val="00822AC4"/>
    <w:rsid w:val="00823013"/>
    <w:rsid w:val="008239A8"/>
    <w:rsid w:val="00825505"/>
    <w:rsid w:val="008255BE"/>
    <w:rsid w:val="00825B26"/>
    <w:rsid w:val="008262DD"/>
    <w:rsid w:val="00826AE1"/>
    <w:rsid w:val="00826D31"/>
    <w:rsid w:val="00826DC1"/>
    <w:rsid w:val="00826DC6"/>
    <w:rsid w:val="008277BD"/>
    <w:rsid w:val="0083007A"/>
    <w:rsid w:val="0083070B"/>
    <w:rsid w:val="0083073A"/>
    <w:rsid w:val="00830F00"/>
    <w:rsid w:val="00831189"/>
    <w:rsid w:val="008315D2"/>
    <w:rsid w:val="008317F4"/>
    <w:rsid w:val="00831EBE"/>
    <w:rsid w:val="00831F65"/>
    <w:rsid w:val="0083211C"/>
    <w:rsid w:val="008322AC"/>
    <w:rsid w:val="00833106"/>
    <w:rsid w:val="0083350E"/>
    <w:rsid w:val="00833826"/>
    <w:rsid w:val="00833A4C"/>
    <w:rsid w:val="00833E14"/>
    <w:rsid w:val="00834064"/>
    <w:rsid w:val="0083460C"/>
    <w:rsid w:val="008347D6"/>
    <w:rsid w:val="008348A3"/>
    <w:rsid w:val="00834C8A"/>
    <w:rsid w:val="00834D83"/>
    <w:rsid w:val="00834DC7"/>
    <w:rsid w:val="00834FB0"/>
    <w:rsid w:val="0083501B"/>
    <w:rsid w:val="00835023"/>
    <w:rsid w:val="0083547E"/>
    <w:rsid w:val="00835514"/>
    <w:rsid w:val="008356ED"/>
    <w:rsid w:val="008365ED"/>
    <w:rsid w:val="00837075"/>
    <w:rsid w:val="00837FBB"/>
    <w:rsid w:val="0084056F"/>
    <w:rsid w:val="008410FD"/>
    <w:rsid w:val="0084187C"/>
    <w:rsid w:val="0084296F"/>
    <w:rsid w:val="00843B9E"/>
    <w:rsid w:val="0084402B"/>
    <w:rsid w:val="008441C4"/>
    <w:rsid w:val="008459ED"/>
    <w:rsid w:val="00845A79"/>
    <w:rsid w:val="00845CD2"/>
    <w:rsid w:val="008503E4"/>
    <w:rsid w:val="00850495"/>
    <w:rsid w:val="00850505"/>
    <w:rsid w:val="00850AB4"/>
    <w:rsid w:val="00851153"/>
    <w:rsid w:val="0085174E"/>
    <w:rsid w:val="00851992"/>
    <w:rsid w:val="00851C72"/>
    <w:rsid w:val="0085213D"/>
    <w:rsid w:val="00852E3C"/>
    <w:rsid w:val="00853469"/>
    <w:rsid w:val="0085356C"/>
    <w:rsid w:val="00853701"/>
    <w:rsid w:val="00853703"/>
    <w:rsid w:val="00853E3E"/>
    <w:rsid w:val="0085407D"/>
    <w:rsid w:val="008540F2"/>
    <w:rsid w:val="008544DC"/>
    <w:rsid w:val="00854872"/>
    <w:rsid w:val="00854A0A"/>
    <w:rsid w:val="00854AD8"/>
    <w:rsid w:val="00855557"/>
    <w:rsid w:val="00855603"/>
    <w:rsid w:val="00855AB5"/>
    <w:rsid w:val="00855CCE"/>
    <w:rsid w:val="00856B90"/>
    <w:rsid w:val="00856D99"/>
    <w:rsid w:val="00857801"/>
    <w:rsid w:val="00857D14"/>
    <w:rsid w:val="008607F1"/>
    <w:rsid w:val="00860D21"/>
    <w:rsid w:val="00860D88"/>
    <w:rsid w:val="00861193"/>
    <w:rsid w:val="00863272"/>
    <w:rsid w:val="0086346A"/>
    <w:rsid w:val="00863F21"/>
    <w:rsid w:val="0086431D"/>
    <w:rsid w:val="00864478"/>
    <w:rsid w:val="00864876"/>
    <w:rsid w:val="00865186"/>
    <w:rsid w:val="008651AB"/>
    <w:rsid w:val="008651EC"/>
    <w:rsid w:val="008653EC"/>
    <w:rsid w:val="00865C27"/>
    <w:rsid w:val="00865C81"/>
    <w:rsid w:val="00866D9E"/>
    <w:rsid w:val="00866F06"/>
    <w:rsid w:val="0086724B"/>
    <w:rsid w:val="00867867"/>
    <w:rsid w:val="008679CD"/>
    <w:rsid w:val="00867B03"/>
    <w:rsid w:val="008710BD"/>
    <w:rsid w:val="00871C76"/>
    <w:rsid w:val="0087318E"/>
    <w:rsid w:val="008731D4"/>
    <w:rsid w:val="0087428C"/>
    <w:rsid w:val="008746D8"/>
    <w:rsid w:val="0087490C"/>
    <w:rsid w:val="00874BED"/>
    <w:rsid w:val="00874D49"/>
    <w:rsid w:val="00874DFB"/>
    <w:rsid w:val="0087535C"/>
    <w:rsid w:val="00875A69"/>
    <w:rsid w:val="00875F99"/>
    <w:rsid w:val="00876527"/>
    <w:rsid w:val="00876593"/>
    <w:rsid w:val="00877318"/>
    <w:rsid w:val="008806EA"/>
    <w:rsid w:val="00880972"/>
    <w:rsid w:val="00880A73"/>
    <w:rsid w:val="00880A77"/>
    <w:rsid w:val="00880F49"/>
    <w:rsid w:val="00880FB9"/>
    <w:rsid w:val="0088101D"/>
    <w:rsid w:val="008814C4"/>
    <w:rsid w:val="008819D2"/>
    <w:rsid w:val="008822A1"/>
    <w:rsid w:val="0088264D"/>
    <w:rsid w:val="008829E1"/>
    <w:rsid w:val="00882EEE"/>
    <w:rsid w:val="008831D0"/>
    <w:rsid w:val="00883D2B"/>
    <w:rsid w:val="00883F02"/>
    <w:rsid w:val="0088435E"/>
    <w:rsid w:val="008844A1"/>
    <w:rsid w:val="00884941"/>
    <w:rsid w:val="00884F3B"/>
    <w:rsid w:val="0088586F"/>
    <w:rsid w:val="00885945"/>
    <w:rsid w:val="008859F9"/>
    <w:rsid w:val="00885E77"/>
    <w:rsid w:val="008864C9"/>
    <w:rsid w:val="0088684E"/>
    <w:rsid w:val="00886A8B"/>
    <w:rsid w:val="00886C87"/>
    <w:rsid w:val="008870BC"/>
    <w:rsid w:val="008878C4"/>
    <w:rsid w:val="00887CBE"/>
    <w:rsid w:val="00887CD4"/>
    <w:rsid w:val="00887F57"/>
    <w:rsid w:val="00887F6C"/>
    <w:rsid w:val="00890C26"/>
    <w:rsid w:val="00890E21"/>
    <w:rsid w:val="00890FAE"/>
    <w:rsid w:val="008914C9"/>
    <w:rsid w:val="008919E7"/>
    <w:rsid w:val="00891FCE"/>
    <w:rsid w:val="00892473"/>
    <w:rsid w:val="00892F31"/>
    <w:rsid w:val="008932DC"/>
    <w:rsid w:val="00893960"/>
    <w:rsid w:val="008939C1"/>
    <w:rsid w:val="00893C11"/>
    <w:rsid w:val="0089476A"/>
    <w:rsid w:val="00894ED6"/>
    <w:rsid w:val="008957A3"/>
    <w:rsid w:val="00895D53"/>
    <w:rsid w:val="00896011"/>
    <w:rsid w:val="0089640E"/>
    <w:rsid w:val="00896878"/>
    <w:rsid w:val="008973AC"/>
    <w:rsid w:val="00897973"/>
    <w:rsid w:val="00897C1D"/>
    <w:rsid w:val="00897CD4"/>
    <w:rsid w:val="008A0560"/>
    <w:rsid w:val="008A05D1"/>
    <w:rsid w:val="008A06B4"/>
    <w:rsid w:val="008A06E2"/>
    <w:rsid w:val="008A09D1"/>
    <w:rsid w:val="008A10AD"/>
    <w:rsid w:val="008A122D"/>
    <w:rsid w:val="008A163B"/>
    <w:rsid w:val="008A1AAD"/>
    <w:rsid w:val="008A1C7D"/>
    <w:rsid w:val="008A20FE"/>
    <w:rsid w:val="008A2181"/>
    <w:rsid w:val="008A259F"/>
    <w:rsid w:val="008A3541"/>
    <w:rsid w:val="008A35D4"/>
    <w:rsid w:val="008A4B87"/>
    <w:rsid w:val="008A5673"/>
    <w:rsid w:val="008A66C0"/>
    <w:rsid w:val="008A73B3"/>
    <w:rsid w:val="008A746D"/>
    <w:rsid w:val="008A75B9"/>
    <w:rsid w:val="008A7A0C"/>
    <w:rsid w:val="008A7B6D"/>
    <w:rsid w:val="008A7BE3"/>
    <w:rsid w:val="008A7CAB"/>
    <w:rsid w:val="008A7F6F"/>
    <w:rsid w:val="008B0DC1"/>
    <w:rsid w:val="008B106D"/>
    <w:rsid w:val="008B1614"/>
    <w:rsid w:val="008B20C8"/>
    <w:rsid w:val="008B226E"/>
    <w:rsid w:val="008B2D89"/>
    <w:rsid w:val="008B3092"/>
    <w:rsid w:val="008B311A"/>
    <w:rsid w:val="008B3BE7"/>
    <w:rsid w:val="008B4314"/>
    <w:rsid w:val="008B4326"/>
    <w:rsid w:val="008B4383"/>
    <w:rsid w:val="008B4841"/>
    <w:rsid w:val="008B48D2"/>
    <w:rsid w:val="008B4AC7"/>
    <w:rsid w:val="008B4E1E"/>
    <w:rsid w:val="008B502C"/>
    <w:rsid w:val="008B52EA"/>
    <w:rsid w:val="008B53C7"/>
    <w:rsid w:val="008B55A7"/>
    <w:rsid w:val="008B583A"/>
    <w:rsid w:val="008B59DA"/>
    <w:rsid w:val="008B680F"/>
    <w:rsid w:val="008B6D0D"/>
    <w:rsid w:val="008B74EB"/>
    <w:rsid w:val="008B7834"/>
    <w:rsid w:val="008C035D"/>
    <w:rsid w:val="008C07F3"/>
    <w:rsid w:val="008C0937"/>
    <w:rsid w:val="008C1298"/>
    <w:rsid w:val="008C141E"/>
    <w:rsid w:val="008C17C1"/>
    <w:rsid w:val="008C1ECB"/>
    <w:rsid w:val="008C3D3D"/>
    <w:rsid w:val="008C4019"/>
    <w:rsid w:val="008C40FA"/>
    <w:rsid w:val="008C493A"/>
    <w:rsid w:val="008C4A88"/>
    <w:rsid w:val="008C4FF0"/>
    <w:rsid w:val="008C54EC"/>
    <w:rsid w:val="008C5F3C"/>
    <w:rsid w:val="008C5F9F"/>
    <w:rsid w:val="008C616D"/>
    <w:rsid w:val="008C61FB"/>
    <w:rsid w:val="008C7149"/>
    <w:rsid w:val="008D01B8"/>
    <w:rsid w:val="008D057A"/>
    <w:rsid w:val="008D0677"/>
    <w:rsid w:val="008D08CB"/>
    <w:rsid w:val="008D0BDF"/>
    <w:rsid w:val="008D0CEB"/>
    <w:rsid w:val="008D10A0"/>
    <w:rsid w:val="008D147E"/>
    <w:rsid w:val="008D165E"/>
    <w:rsid w:val="008D1881"/>
    <w:rsid w:val="008D1C7A"/>
    <w:rsid w:val="008D23B3"/>
    <w:rsid w:val="008D2875"/>
    <w:rsid w:val="008D2965"/>
    <w:rsid w:val="008D2F79"/>
    <w:rsid w:val="008D329E"/>
    <w:rsid w:val="008D4666"/>
    <w:rsid w:val="008D46E7"/>
    <w:rsid w:val="008D59E2"/>
    <w:rsid w:val="008D637C"/>
    <w:rsid w:val="008D661F"/>
    <w:rsid w:val="008D78C7"/>
    <w:rsid w:val="008D7D6A"/>
    <w:rsid w:val="008D7DB3"/>
    <w:rsid w:val="008D7DE1"/>
    <w:rsid w:val="008E0305"/>
    <w:rsid w:val="008E3217"/>
    <w:rsid w:val="008E3F60"/>
    <w:rsid w:val="008E446A"/>
    <w:rsid w:val="008E4B62"/>
    <w:rsid w:val="008E4B86"/>
    <w:rsid w:val="008E556B"/>
    <w:rsid w:val="008E5630"/>
    <w:rsid w:val="008E61A1"/>
    <w:rsid w:val="008E6A67"/>
    <w:rsid w:val="008E7767"/>
    <w:rsid w:val="008E7FD0"/>
    <w:rsid w:val="008F0267"/>
    <w:rsid w:val="008F06B2"/>
    <w:rsid w:val="008F1353"/>
    <w:rsid w:val="008F1493"/>
    <w:rsid w:val="008F16A6"/>
    <w:rsid w:val="008F175E"/>
    <w:rsid w:val="008F1C15"/>
    <w:rsid w:val="008F2324"/>
    <w:rsid w:val="008F2862"/>
    <w:rsid w:val="008F2EA1"/>
    <w:rsid w:val="008F3013"/>
    <w:rsid w:val="008F32DF"/>
    <w:rsid w:val="008F37AC"/>
    <w:rsid w:val="008F3E8D"/>
    <w:rsid w:val="008F42ED"/>
    <w:rsid w:val="008F43AF"/>
    <w:rsid w:val="008F4438"/>
    <w:rsid w:val="008F5245"/>
    <w:rsid w:val="008F5321"/>
    <w:rsid w:val="008F5459"/>
    <w:rsid w:val="008F55B5"/>
    <w:rsid w:val="008F6480"/>
    <w:rsid w:val="008F66BE"/>
    <w:rsid w:val="008F6E33"/>
    <w:rsid w:val="008F6FE3"/>
    <w:rsid w:val="008F728C"/>
    <w:rsid w:val="008F766A"/>
    <w:rsid w:val="008F78E3"/>
    <w:rsid w:val="0090011A"/>
    <w:rsid w:val="00900444"/>
    <w:rsid w:val="009004BA"/>
    <w:rsid w:val="00900A6F"/>
    <w:rsid w:val="00900D75"/>
    <w:rsid w:val="00900FA6"/>
    <w:rsid w:val="00901E01"/>
    <w:rsid w:val="00901E4A"/>
    <w:rsid w:val="00901EE0"/>
    <w:rsid w:val="00901F1C"/>
    <w:rsid w:val="00902007"/>
    <w:rsid w:val="00902982"/>
    <w:rsid w:val="00902A62"/>
    <w:rsid w:val="00902DFB"/>
    <w:rsid w:val="009031BA"/>
    <w:rsid w:val="009031E7"/>
    <w:rsid w:val="009034C1"/>
    <w:rsid w:val="009034F4"/>
    <w:rsid w:val="0090365D"/>
    <w:rsid w:val="00903C16"/>
    <w:rsid w:val="00903DC0"/>
    <w:rsid w:val="0090481E"/>
    <w:rsid w:val="00904DAB"/>
    <w:rsid w:val="0090565A"/>
    <w:rsid w:val="0090785B"/>
    <w:rsid w:val="00910595"/>
    <w:rsid w:val="009110E9"/>
    <w:rsid w:val="00911DCB"/>
    <w:rsid w:val="0091256C"/>
    <w:rsid w:val="00912ACF"/>
    <w:rsid w:val="00912D16"/>
    <w:rsid w:val="00912D1A"/>
    <w:rsid w:val="00912F46"/>
    <w:rsid w:val="00913073"/>
    <w:rsid w:val="0091378D"/>
    <w:rsid w:val="0091390B"/>
    <w:rsid w:val="00913D88"/>
    <w:rsid w:val="00913F0F"/>
    <w:rsid w:val="00914DB6"/>
    <w:rsid w:val="0091501E"/>
    <w:rsid w:val="00915431"/>
    <w:rsid w:val="0091557A"/>
    <w:rsid w:val="009168FD"/>
    <w:rsid w:val="00916DD3"/>
    <w:rsid w:val="00916EAB"/>
    <w:rsid w:val="00920228"/>
    <w:rsid w:val="0092024A"/>
    <w:rsid w:val="009204BC"/>
    <w:rsid w:val="009206C0"/>
    <w:rsid w:val="009208F4"/>
    <w:rsid w:val="009211A5"/>
    <w:rsid w:val="009213A8"/>
    <w:rsid w:val="00921999"/>
    <w:rsid w:val="00921A76"/>
    <w:rsid w:val="00921C33"/>
    <w:rsid w:val="00921E31"/>
    <w:rsid w:val="00922030"/>
    <w:rsid w:val="0092295F"/>
    <w:rsid w:val="00922D57"/>
    <w:rsid w:val="00922EC5"/>
    <w:rsid w:val="0092300E"/>
    <w:rsid w:val="009231DE"/>
    <w:rsid w:val="00923558"/>
    <w:rsid w:val="00923CF1"/>
    <w:rsid w:val="009242F3"/>
    <w:rsid w:val="009245D9"/>
    <w:rsid w:val="00924ED3"/>
    <w:rsid w:val="00925878"/>
    <w:rsid w:val="00925A45"/>
    <w:rsid w:val="00925F57"/>
    <w:rsid w:val="0092613E"/>
    <w:rsid w:val="009262D3"/>
    <w:rsid w:val="009266FF"/>
    <w:rsid w:val="00926B1A"/>
    <w:rsid w:val="00926E19"/>
    <w:rsid w:val="00927AD9"/>
    <w:rsid w:val="00927AF7"/>
    <w:rsid w:val="00927DE7"/>
    <w:rsid w:val="00927F65"/>
    <w:rsid w:val="00930BF4"/>
    <w:rsid w:val="009311AB"/>
    <w:rsid w:val="00931B19"/>
    <w:rsid w:val="00931CEB"/>
    <w:rsid w:val="0093234D"/>
    <w:rsid w:val="009328C9"/>
    <w:rsid w:val="00933F62"/>
    <w:rsid w:val="00933FA5"/>
    <w:rsid w:val="009341CB"/>
    <w:rsid w:val="00934271"/>
    <w:rsid w:val="009342C3"/>
    <w:rsid w:val="00934C97"/>
    <w:rsid w:val="00935461"/>
    <w:rsid w:val="00935554"/>
    <w:rsid w:val="00935F24"/>
    <w:rsid w:val="00936390"/>
    <w:rsid w:val="009376C8"/>
    <w:rsid w:val="0093785E"/>
    <w:rsid w:val="009378DA"/>
    <w:rsid w:val="00940568"/>
    <w:rsid w:val="00940E0F"/>
    <w:rsid w:val="0094139C"/>
    <w:rsid w:val="00941532"/>
    <w:rsid w:val="00942374"/>
    <w:rsid w:val="0094246D"/>
    <w:rsid w:val="0094274E"/>
    <w:rsid w:val="00942DE3"/>
    <w:rsid w:val="00942E79"/>
    <w:rsid w:val="00942F3D"/>
    <w:rsid w:val="00943D21"/>
    <w:rsid w:val="00943DC1"/>
    <w:rsid w:val="0094403F"/>
    <w:rsid w:val="0094407F"/>
    <w:rsid w:val="00944434"/>
    <w:rsid w:val="009456D7"/>
    <w:rsid w:val="00946416"/>
    <w:rsid w:val="00946C82"/>
    <w:rsid w:val="00946D60"/>
    <w:rsid w:val="00946DB9"/>
    <w:rsid w:val="00946F61"/>
    <w:rsid w:val="00947098"/>
    <w:rsid w:val="009471BC"/>
    <w:rsid w:val="0094736F"/>
    <w:rsid w:val="009502A8"/>
    <w:rsid w:val="00950A17"/>
    <w:rsid w:val="00950A91"/>
    <w:rsid w:val="00951B0F"/>
    <w:rsid w:val="00951B37"/>
    <w:rsid w:val="00951C10"/>
    <w:rsid w:val="00951E3A"/>
    <w:rsid w:val="00951F7D"/>
    <w:rsid w:val="0095215B"/>
    <w:rsid w:val="00952AF6"/>
    <w:rsid w:val="00952EEF"/>
    <w:rsid w:val="00953156"/>
    <w:rsid w:val="009531AD"/>
    <w:rsid w:val="00953667"/>
    <w:rsid w:val="009540D2"/>
    <w:rsid w:val="00954708"/>
    <w:rsid w:val="00954D61"/>
    <w:rsid w:val="00954E28"/>
    <w:rsid w:val="00954E60"/>
    <w:rsid w:val="00955575"/>
    <w:rsid w:val="009556A3"/>
    <w:rsid w:val="009558CF"/>
    <w:rsid w:val="00956172"/>
    <w:rsid w:val="0095664C"/>
    <w:rsid w:val="0095668A"/>
    <w:rsid w:val="00957271"/>
    <w:rsid w:val="009573BB"/>
    <w:rsid w:val="00957992"/>
    <w:rsid w:val="00957FFA"/>
    <w:rsid w:val="009604D3"/>
    <w:rsid w:val="009605F9"/>
    <w:rsid w:val="00961119"/>
    <w:rsid w:val="00961EA8"/>
    <w:rsid w:val="00962058"/>
    <w:rsid w:val="00962864"/>
    <w:rsid w:val="00963E00"/>
    <w:rsid w:val="00964A06"/>
    <w:rsid w:val="0096501B"/>
    <w:rsid w:val="009653AE"/>
    <w:rsid w:val="00966085"/>
    <w:rsid w:val="00966208"/>
    <w:rsid w:val="0096692C"/>
    <w:rsid w:val="00966CEE"/>
    <w:rsid w:val="00966F19"/>
    <w:rsid w:val="00967003"/>
    <w:rsid w:val="00967567"/>
    <w:rsid w:val="00967642"/>
    <w:rsid w:val="009679CC"/>
    <w:rsid w:val="0097017C"/>
    <w:rsid w:val="0097031C"/>
    <w:rsid w:val="0097043D"/>
    <w:rsid w:val="00970E6A"/>
    <w:rsid w:val="0097118A"/>
    <w:rsid w:val="00971288"/>
    <w:rsid w:val="009715EF"/>
    <w:rsid w:val="00971DAA"/>
    <w:rsid w:val="00971F01"/>
    <w:rsid w:val="00971F1E"/>
    <w:rsid w:val="00972604"/>
    <w:rsid w:val="0097311B"/>
    <w:rsid w:val="00973450"/>
    <w:rsid w:val="0097420A"/>
    <w:rsid w:val="00974622"/>
    <w:rsid w:val="009749ED"/>
    <w:rsid w:val="00974AEA"/>
    <w:rsid w:val="00974C77"/>
    <w:rsid w:val="009754BA"/>
    <w:rsid w:val="00975608"/>
    <w:rsid w:val="0097764B"/>
    <w:rsid w:val="00977D74"/>
    <w:rsid w:val="00980316"/>
    <w:rsid w:val="00980CCF"/>
    <w:rsid w:val="00980E57"/>
    <w:rsid w:val="00980FFA"/>
    <w:rsid w:val="009811E7"/>
    <w:rsid w:val="00981DDC"/>
    <w:rsid w:val="00982426"/>
    <w:rsid w:val="00982C4C"/>
    <w:rsid w:val="00983563"/>
    <w:rsid w:val="009845FE"/>
    <w:rsid w:val="0098483A"/>
    <w:rsid w:val="00984BB7"/>
    <w:rsid w:val="0098500D"/>
    <w:rsid w:val="009852E9"/>
    <w:rsid w:val="00985430"/>
    <w:rsid w:val="009856DC"/>
    <w:rsid w:val="00985BF1"/>
    <w:rsid w:val="0098600C"/>
    <w:rsid w:val="00986212"/>
    <w:rsid w:val="00986242"/>
    <w:rsid w:val="0098664D"/>
    <w:rsid w:val="0098695E"/>
    <w:rsid w:val="00986BB4"/>
    <w:rsid w:val="00986FD3"/>
    <w:rsid w:val="0098755B"/>
    <w:rsid w:val="00987959"/>
    <w:rsid w:val="00987A4F"/>
    <w:rsid w:val="00987AEC"/>
    <w:rsid w:val="0099009B"/>
    <w:rsid w:val="00990297"/>
    <w:rsid w:val="0099037D"/>
    <w:rsid w:val="0099044D"/>
    <w:rsid w:val="009919D0"/>
    <w:rsid w:val="00991B2E"/>
    <w:rsid w:val="00991E40"/>
    <w:rsid w:val="00994D49"/>
    <w:rsid w:val="0099506E"/>
    <w:rsid w:val="00995843"/>
    <w:rsid w:val="00995E13"/>
    <w:rsid w:val="009960AD"/>
    <w:rsid w:val="009963C7"/>
    <w:rsid w:val="00996655"/>
    <w:rsid w:val="0099673E"/>
    <w:rsid w:val="00996BED"/>
    <w:rsid w:val="00997568"/>
    <w:rsid w:val="00997B03"/>
    <w:rsid w:val="009A0439"/>
    <w:rsid w:val="009A0C82"/>
    <w:rsid w:val="009A0D7F"/>
    <w:rsid w:val="009A1277"/>
    <w:rsid w:val="009A19E8"/>
    <w:rsid w:val="009A234D"/>
    <w:rsid w:val="009A2514"/>
    <w:rsid w:val="009A2DE3"/>
    <w:rsid w:val="009A2E3D"/>
    <w:rsid w:val="009A344C"/>
    <w:rsid w:val="009A344E"/>
    <w:rsid w:val="009A3F9E"/>
    <w:rsid w:val="009A40C1"/>
    <w:rsid w:val="009A4750"/>
    <w:rsid w:val="009A4961"/>
    <w:rsid w:val="009A4BF6"/>
    <w:rsid w:val="009A5260"/>
    <w:rsid w:val="009A56BA"/>
    <w:rsid w:val="009A6A89"/>
    <w:rsid w:val="009A6DAA"/>
    <w:rsid w:val="009A6E31"/>
    <w:rsid w:val="009A746F"/>
    <w:rsid w:val="009A74C8"/>
    <w:rsid w:val="009A7E9B"/>
    <w:rsid w:val="009B01B2"/>
    <w:rsid w:val="009B042C"/>
    <w:rsid w:val="009B0547"/>
    <w:rsid w:val="009B0950"/>
    <w:rsid w:val="009B0B6D"/>
    <w:rsid w:val="009B15A2"/>
    <w:rsid w:val="009B18EE"/>
    <w:rsid w:val="009B1ADF"/>
    <w:rsid w:val="009B2772"/>
    <w:rsid w:val="009B3E18"/>
    <w:rsid w:val="009B40DD"/>
    <w:rsid w:val="009B43DD"/>
    <w:rsid w:val="009B4881"/>
    <w:rsid w:val="009B4BFA"/>
    <w:rsid w:val="009B5E84"/>
    <w:rsid w:val="009B5FB2"/>
    <w:rsid w:val="009B62E3"/>
    <w:rsid w:val="009B658D"/>
    <w:rsid w:val="009B660F"/>
    <w:rsid w:val="009B6D32"/>
    <w:rsid w:val="009B6D45"/>
    <w:rsid w:val="009B78C3"/>
    <w:rsid w:val="009B7A13"/>
    <w:rsid w:val="009B7C1C"/>
    <w:rsid w:val="009C0122"/>
    <w:rsid w:val="009C02E2"/>
    <w:rsid w:val="009C1020"/>
    <w:rsid w:val="009C119A"/>
    <w:rsid w:val="009C1211"/>
    <w:rsid w:val="009C12BF"/>
    <w:rsid w:val="009C1C94"/>
    <w:rsid w:val="009C1CB0"/>
    <w:rsid w:val="009C1FB8"/>
    <w:rsid w:val="009C2052"/>
    <w:rsid w:val="009C244D"/>
    <w:rsid w:val="009C25AB"/>
    <w:rsid w:val="009C26D6"/>
    <w:rsid w:val="009C2998"/>
    <w:rsid w:val="009C2B74"/>
    <w:rsid w:val="009C2CE4"/>
    <w:rsid w:val="009C2D26"/>
    <w:rsid w:val="009C3075"/>
    <w:rsid w:val="009C32F6"/>
    <w:rsid w:val="009C3560"/>
    <w:rsid w:val="009C378A"/>
    <w:rsid w:val="009C41AA"/>
    <w:rsid w:val="009C43DA"/>
    <w:rsid w:val="009C4B18"/>
    <w:rsid w:val="009C4EEE"/>
    <w:rsid w:val="009C57E6"/>
    <w:rsid w:val="009C5EFF"/>
    <w:rsid w:val="009C66FA"/>
    <w:rsid w:val="009C6F3B"/>
    <w:rsid w:val="009C7216"/>
    <w:rsid w:val="009C7784"/>
    <w:rsid w:val="009D1166"/>
    <w:rsid w:val="009D16C1"/>
    <w:rsid w:val="009D232C"/>
    <w:rsid w:val="009D2BCC"/>
    <w:rsid w:val="009D2F12"/>
    <w:rsid w:val="009D3358"/>
    <w:rsid w:val="009D3610"/>
    <w:rsid w:val="009D3C5E"/>
    <w:rsid w:val="009D429B"/>
    <w:rsid w:val="009D47E2"/>
    <w:rsid w:val="009D4EA9"/>
    <w:rsid w:val="009D5555"/>
    <w:rsid w:val="009D699F"/>
    <w:rsid w:val="009D6D4C"/>
    <w:rsid w:val="009D6F80"/>
    <w:rsid w:val="009D75C2"/>
    <w:rsid w:val="009E0229"/>
    <w:rsid w:val="009E07C0"/>
    <w:rsid w:val="009E0D80"/>
    <w:rsid w:val="009E0F1F"/>
    <w:rsid w:val="009E0FF4"/>
    <w:rsid w:val="009E161E"/>
    <w:rsid w:val="009E175E"/>
    <w:rsid w:val="009E302B"/>
    <w:rsid w:val="009E3647"/>
    <w:rsid w:val="009E389B"/>
    <w:rsid w:val="009E437D"/>
    <w:rsid w:val="009E4476"/>
    <w:rsid w:val="009E4C4E"/>
    <w:rsid w:val="009E50F9"/>
    <w:rsid w:val="009E510E"/>
    <w:rsid w:val="009E601B"/>
    <w:rsid w:val="009E637B"/>
    <w:rsid w:val="009E6659"/>
    <w:rsid w:val="009E6E75"/>
    <w:rsid w:val="009E71C1"/>
    <w:rsid w:val="009E74E1"/>
    <w:rsid w:val="009E769E"/>
    <w:rsid w:val="009F02F7"/>
    <w:rsid w:val="009F03C6"/>
    <w:rsid w:val="009F058A"/>
    <w:rsid w:val="009F0757"/>
    <w:rsid w:val="009F1472"/>
    <w:rsid w:val="009F1638"/>
    <w:rsid w:val="009F25DE"/>
    <w:rsid w:val="009F3666"/>
    <w:rsid w:val="009F368A"/>
    <w:rsid w:val="009F3BB1"/>
    <w:rsid w:val="009F3CD6"/>
    <w:rsid w:val="009F3F77"/>
    <w:rsid w:val="009F4BCC"/>
    <w:rsid w:val="009F504C"/>
    <w:rsid w:val="009F514F"/>
    <w:rsid w:val="009F54B0"/>
    <w:rsid w:val="009F6166"/>
    <w:rsid w:val="009F6701"/>
    <w:rsid w:val="009F67BF"/>
    <w:rsid w:val="009F6928"/>
    <w:rsid w:val="009F6C45"/>
    <w:rsid w:val="009F747E"/>
    <w:rsid w:val="009F7985"/>
    <w:rsid w:val="00A018FE"/>
    <w:rsid w:val="00A01F41"/>
    <w:rsid w:val="00A024E6"/>
    <w:rsid w:val="00A02729"/>
    <w:rsid w:val="00A02A93"/>
    <w:rsid w:val="00A02C9A"/>
    <w:rsid w:val="00A0309F"/>
    <w:rsid w:val="00A032E8"/>
    <w:rsid w:val="00A03367"/>
    <w:rsid w:val="00A04C0E"/>
    <w:rsid w:val="00A04E34"/>
    <w:rsid w:val="00A0519B"/>
    <w:rsid w:val="00A05543"/>
    <w:rsid w:val="00A0586E"/>
    <w:rsid w:val="00A058A4"/>
    <w:rsid w:val="00A05D40"/>
    <w:rsid w:val="00A06185"/>
    <w:rsid w:val="00A061E7"/>
    <w:rsid w:val="00A0648E"/>
    <w:rsid w:val="00A06A92"/>
    <w:rsid w:val="00A06BB4"/>
    <w:rsid w:val="00A06C6A"/>
    <w:rsid w:val="00A07508"/>
    <w:rsid w:val="00A07694"/>
    <w:rsid w:val="00A101DE"/>
    <w:rsid w:val="00A1079E"/>
    <w:rsid w:val="00A1141A"/>
    <w:rsid w:val="00A115AF"/>
    <w:rsid w:val="00A120F1"/>
    <w:rsid w:val="00A128A0"/>
    <w:rsid w:val="00A12F34"/>
    <w:rsid w:val="00A137C1"/>
    <w:rsid w:val="00A1392A"/>
    <w:rsid w:val="00A13B23"/>
    <w:rsid w:val="00A13CCF"/>
    <w:rsid w:val="00A14682"/>
    <w:rsid w:val="00A1597F"/>
    <w:rsid w:val="00A15D5D"/>
    <w:rsid w:val="00A15DFF"/>
    <w:rsid w:val="00A15EA0"/>
    <w:rsid w:val="00A161BA"/>
    <w:rsid w:val="00A16BB5"/>
    <w:rsid w:val="00A16EEA"/>
    <w:rsid w:val="00A170A6"/>
    <w:rsid w:val="00A17C10"/>
    <w:rsid w:val="00A203E1"/>
    <w:rsid w:val="00A2054D"/>
    <w:rsid w:val="00A21217"/>
    <w:rsid w:val="00A219B3"/>
    <w:rsid w:val="00A21F6C"/>
    <w:rsid w:val="00A220B4"/>
    <w:rsid w:val="00A221A4"/>
    <w:rsid w:val="00A22869"/>
    <w:rsid w:val="00A22883"/>
    <w:rsid w:val="00A22B10"/>
    <w:rsid w:val="00A22C62"/>
    <w:rsid w:val="00A22CC9"/>
    <w:rsid w:val="00A23109"/>
    <w:rsid w:val="00A233F9"/>
    <w:rsid w:val="00A23FB6"/>
    <w:rsid w:val="00A2457B"/>
    <w:rsid w:val="00A24D4B"/>
    <w:rsid w:val="00A24DD5"/>
    <w:rsid w:val="00A252DB"/>
    <w:rsid w:val="00A253EF"/>
    <w:rsid w:val="00A275A9"/>
    <w:rsid w:val="00A27B85"/>
    <w:rsid w:val="00A30B08"/>
    <w:rsid w:val="00A30F49"/>
    <w:rsid w:val="00A317E9"/>
    <w:rsid w:val="00A32180"/>
    <w:rsid w:val="00A323FA"/>
    <w:rsid w:val="00A3356E"/>
    <w:rsid w:val="00A338C7"/>
    <w:rsid w:val="00A343C2"/>
    <w:rsid w:val="00A357DE"/>
    <w:rsid w:val="00A35996"/>
    <w:rsid w:val="00A364EF"/>
    <w:rsid w:val="00A3684B"/>
    <w:rsid w:val="00A36A22"/>
    <w:rsid w:val="00A36B44"/>
    <w:rsid w:val="00A36BBE"/>
    <w:rsid w:val="00A37044"/>
    <w:rsid w:val="00A40265"/>
    <w:rsid w:val="00A40500"/>
    <w:rsid w:val="00A4105E"/>
    <w:rsid w:val="00A41375"/>
    <w:rsid w:val="00A41422"/>
    <w:rsid w:val="00A415E6"/>
    <w:rsid w:val="00A4191D"/>
    <w:rsid w:val="00A41A74"/>
    <w:rsid w:val="00A41BF0"/>
    <w:rsid w:val="00A41E3D"/>
    <w:rsid w:val="00A424BD"/>
    <w:rsid w:val="00A426D1"/>
    <w:rsid w:val="00A42768"/>
    <w:rsid w:val="00A4285C"/>
    <w:rsid w:val="00A42BF8"/>
    <w:rsid w:val="00A43178"/>
    <w:rsid w:val="00A433A9"/>
    <w:rsid w:val="00A439CF"/>
    <w:rsid w:val="00A43F06"/>
    <w:rsid w:val="00A43F33"/>
    <w:rsid w:val="00A444C3"/>
    <w:rsid w:val="00A44A07"/>
    <w:rsid w:val="00A44DCA"/>
    <w:rsid w:val="00A4518A"/>
    <w:rsid w:val="00A46005"/>
    <w:rsid w:val="00A463C5"/>
    <w:rsid w:val="00A46767"/>
    <w:rsid w:val="00A47235"/>
    <w:rsid w:val="00A474CA"/>
    <w:rsid w:val="00A47AD3"/>
    <w:rsid w:val="00A503A1"/>
    <w:rsid w:val="00A50679"/>
    <w:rsid w:val="00A508A1"/>
    <w:rsid w:val="00A50CCD"/>
    <w:rsid w:val="00A51026"/>
    <w:rsid w:val="00A515DE"/>
    <w:rsid w:val="00A51798"/>
    <w:rsid w:val="00A51C2A"/>
    <w:rsid w:val="00A51DF1"/>
    <w:rsid w:val="00A51F59"/>
    <w:rsid w:val="00A52390"/>
    <w:rsid w:val="00A5248E"/>
    <w:rsid w:val="00A529C8"/>
    <w:rsid w:val="00A53568"/>
    <w:rsid w:val="00A53626"/>
    <w:rsid w:val="00A54AC9"/>
    <w:rsid w:val="00A552D9"/>
    <w:rsid w:val="00A559EF"/>
    <w:rsid w:val="00A560C9"/>
    <w:rsid w:val="00A56AAF"/>
    <w:rsid w:val="00A56AD9"/>
    <w:rsid w:val="00A56B6A"/>
    <w:rsid w:val="00A578F2"/>
    <w:rsid w:val="00A57998"/>
    <w:rsid w:val="00A57B26"/>
    <w:rsid w:val="00A60915"/>
    <w:rsid w:val="00A61027"/>
    <w:rsid w:val="00A61522"/>
    <w:rsid w:val="00A6193C"/>
    <w:rsid w:val="00A623CA"/>
    <w:rsid w:val="00A639E7"/>
    <w:rsid w:val="00A63A70"/>
    <w:rsid w:val="00A63D1D"/>
    <w:rsid w:val="00A6444B"/>
    <w:rsid w:val="00A648E8"/>
    <w:rsid w:val="00A64982"/>
    <w:rsid w:val="00A64A24"/>
    <w:rsid w:val="00A657B1"/>
    <w:rsid w:val="00A65832"/>
    <w:rsid w:val="00A65969"/>
    <w:rsid w:val="00A65A53"/>
    <w:rsid w:val="00A65B6C"/>
    <w:rsid w:val="00A65BB6"/>
    <w:rsid w:val="00A65F96"/>
    <w:rsid w:val="00A6667A"/>
    <w:rsid w:val="00A667E7"/>
    <w:rsid w:val="00A6763E"/>
    <w:rsid w:val="00A70397"/>
    <w:rsid w:val="00A7113A"/>
    <w:rsid w:val="00A7170F"/>
    <w:rsid w:val="00A7300F"/>
    <w:rsid w:val="00A73423"/>
    <w:rsid w:val="00A73910"/>
    <w:rsid w:val="00A73980"/>
    <w:rsid w:val="00A7415B"/>
    <w:rsid w:val="00A747B5"/>
    <w:rsid w:val="00A7483A"/>
    <w:rsid w:val="00A74936"/>
    <w:rsid w:val="00A74B25"/>
    <w:rsid w:val="00A74F49"/>
    <w:rsid w:val="00A750AA"/>
    <w:rsid w:val="00A7511F"/>
    <w:rsid w:val="00A75182"/>
    <w:rsid w:val="00A752C4"/>
    <w:rsid w:val="00A75D1F"/>
    <w:rsid w:val="00A7646F"/>
    <w:rsid w:val="00A766FC"/>
    <w:rsid w:val="00A77031"/>
    <w:rsid w:val="00A77138"/>
    <w:rsid w:val="00A77374"/>
    <w:rsid w:val="00A773E0"/>
    <w:rsid w:val="00A77E3D"/>
    <w:rsid w:val="00A77FFA"/>
    <w:rsid w:val="00A8003A"/>
    <w:rsid w:val="00A80985"/>
    <w:rsid w:val="00A80F12"/>
    <w:rsid w:val="00A81992"/>
    <w:rsid w:val="00A819F9"/>
    <w:rsid w:val="00A81BBF"/>
    <w:rsid w:val="00A81EAF"/>
    <w:rsid w:val="00A82DB6"/>
    <w:rsid w:val="00A832E1"/>
    <w:rsid w:val="00A83442"/>
    <w:rsid w:val="00A837B8"/>
    <w:rsid w:val="00A83C87"/>
    <w:rsid w:val="00A84BF3"/>
    <w:rsid w:val="00A85233"/>
    <w:rsid w:val="00A853FE"/>
    <w:rsid w:val="00A856C6"/>
    <w:rsid w:val="00A85E24"/>
    <w:rsid w:val="00A85E3A"/>
    <w:rsid w:val="00A863B9"/>
    <w:rsid w:val="00A8683C"/>
    <w:rsid w:val="00A86A46"/>
    <w:rsid w:val="00A86BD6"/>
    <w:rsid w:val="00A873C8"/>
    <w:rsid w:val="00A8742F"/>
    <w:rsid w:val="00A87BD9"/>
    <w:rsid w:val="00A87E0F"/>
    <w:rsid w:val="00A902B6"/>
    <w:rsid w:val="00A90973"/>
    <w:rsid w:val="00A90ADF"/>
    <w:rsid w:val="00A90CCD"/>
    <w:rsid w:val="00A90D0C"/>
    <w:rsid w:val="00A90E86"/>
    <w:rsid w:val="00A911CF"/>
    <w:rsid w:val="00A912BC"/>
    <w:rsid w:val="00A92123"/>
    <w:rsid w:val="00A92319"/>
    <w:rsid w:val="00A92D29"/>
    <w:rsid w:val="00A931ED"/>
    <w:rsid w:val="00A93596"/>
    <w:rsid w:val="00A9360D"/>
    <w:rsid w:val="00A9405B"/>
    <w:rsid w:val="00A942AB"/>
    <w:rsid w:val="00A94C11"/>
    <w:rsid w:val="00A94CFA"/>
    <w:rsid w:val="00A94E2D"/>
    <w:rsid w:val="00A95580"/>
    <w:rsid w:val="00A9635E"/>
    <w:rsid w:val="00A9651C"/>
    <w:rsid w:val="00A97989"/>
    <w:rsid w:val="00A97C53"/>
    <w:rsid w:val="00AA00E9"/>
    <w:rsid w:val="00AA098C"/>
    <w:rsid w:val="00AA0ADF"/>
    <w:rsid w:val="00AA10D4"/>
    <w:rsid w:val="00AA1394"/>
    <w:rsid w:val="00AA2986"/>
    <w:rsid w:val="00AA2CE9"/>
    <w:rsid w:val="00AA2EAD"/>
    <w:rsid w:val="00AA33A1"/>
    <w:rsid w:val="00AA3699"/>
    <w:rsid w:val="00AA37B8"/>
    <w:rsid w:val="00AA4BDF"/>
    <w:rsid w:val="00AA4CB1"/>
    <w:rsid w:val="00AA562B"/>
    <w:rsid w:val="00AA59A8"/>
    <w:rsid w:val="00AA60EA"/>
    <w:rsid w:val="00AA6454"/>
    <w:rsid w:val="00AA66B2"/>
    <w:rsid w:val="00AA6766"/>
    <w:rsid w:val="00AA6B09"/>
    <w:rsid w:val="00AA6D93"/>
    <w:rsid w:val="00AA712F"/>
    <w:rsid w:val="00AB011D"/>
    <w:rsid w:val="00AB0A65"/>
    <w:rsid w:val="00AB0E9E"/>
    <w:rsid w:val="00AB155E"/>
    <w:rsid w:val="00AB1695"/>
    <w:rsid w:val="00AB171B"/>
    <w:rsid w:val="00AB25E3"/>
    <w:rsid w:val="00AB2969"/>
    <w:rsid w:val="00AB2A56"/>
    <w:rsid w:val="00AB2F30"/>
    <w:rsid w:val="00AB3364"/>
    <w:rsid w:val="00AB33D8"/>
    <w:rsid w:val="00AB3A31"/>
    <w:rsid w:val="00AB3B2E"/>
    <w:rsid w:val="00AB3E5D"/>
    <w:rsid w:val="00AB423E"/>
    <w:rsid w:val="00AB433E"/>
    <w:rsid w:val="00AB52B3"/>
    <w:rsid w:val="00AB5B97"/>
    <w:rsid w:val="00AB5ED1"/>
    <w:rsid w:val="00AB60BF"/>
    <w:rsid w:val="00AB612B"/>
    <w:rsid w:val="00AB637C"/>
    <w:rsid w:val="00AB6724"/>
    <w:rsid w:val="00AB6B29"/>
    <w:rsid w:val="00AB6FC4"/>
    <w:rsid w:val="00AB729F"/>
    <w:rsid w:val="00AB731C"/>
    <w:rsid w:val="00AB7EC6"/>
    <w:rsid w:val="00AB7FAF"/>
    <w:rsid w:val="00AC06C1"/>
    <w:rsid w:val="00AC1167"/>
    <w:rsid w:val="00AC1EF4"/>
    <w:rsid w:val="00AC1F10"/>
    <w:rsid w:val="00AC1F59"/>
    <w:rsid w:val="00AC2026"/>
    <w:rsid w:val="00AC219D"/>
    <w:rsid w:val="00AC229D"/>
    <w:rsid w:val="00AC2429"/>
    <w:rsid w:val="00AC2E0C"/>
    <w:rsid w:val="00AC3271"/>
    <w:rsid w:val="00AC3726"/>
    <w:rsid w:val="00AC387B"/>
    <w:rsid w:val="00AC3F40"/>
    <w:rsid w:val="00AC42FE"/>
    <w:rsid w:val="00AC4656"/>
    <w:rsid w:val="00AC46B4"/>
    <w:rsid w:val="00AC4EBF"/>
    <w:rsid w:val="00AC50AA"/>
    <w:rsid w:val="00AC51F8"/>
    <w:rsid w:val="00AC5876"/>
    <w:rsid w:val="00AC5963"/>
    <w:rsid w:val="00AC5ACC"/>
    <w:rsid w:val="00AC5B29"/>
    <w:rsid w:val="00AC6937"/>
    <w:rsid w:val="00AC6A87"/>
    <w:rsid w:val="00AC6F93"/>
    <w:rsid w:val="00AC72AA"/>
    <w:rsid w:val="00AC732D"/>
    <w:rsid w:val="00AC73FA"/>
    <w:rsid w:val="00AC747A"/>
    <w:rsid w:val="00AC760B"/>
    <w:rsid w:val="00AC7C15"/>
    <w:rsid w:val="00AD0248"/>
    <w:rsid w:val="00AD05B3"/>
    <w:rsid w:val="00AD0D47"/>
    <w:rsid w:val="00AD1DD5"/>
    <w:rsid w:val="00AD2529"/>
    <w:rsid w:val="00AD2B42"/>
    <w:rsid w:val="00AD3841"/>
    <w:rsid w:val="00AD38FD"/>
    <w:rsid w:val="00AD4065"/>
    <w:rsid w:val="00AD435A"/>
    <w:rsid w:val="00AD50F1"/>
    <w:rsid w:val="00AD5143"/>
    <w:rsid w:val="00AD7192"/>
    <w:rsid w:val="00AD71BD"/>
    <w:rsid w:val="00AD7271"/>
    <w:rsid w:val="00AD78D7"/>
    <w:rsid w:val="00AD7FE3"/>
    <w:rsid w:val="00AE04FE"/>
    <w:rsid w:val="00AE0709"/>
    <w:rsid w:val="00AE072E"/>
    <w:rsid w:val="00AE0A43"/>
    <w:rsid w:val="00AE1091"/>
    <w:rsid w:val="00AE1125"/>
    <w:rsid w:val="00AE3E25"/>
    <w:rsid w:val="00AE5836"/>
    <w:rsid w:val="00AE5992"/>
    <w:rsid w:val="00AE5B01"/>
    <w:rsid w:val="00AE5CE3"/>
    <w:rsid w:val="00AE5DE6"/>
    <w:rsid w:val="00AE5DEC"/>
    <w:rsid w:val="00AE6696"/>
    <w:rsid w:val="00AE7029"/>
    <w:rsid w:val="00AE73F4"/>
    <w:rsid w:val="00AE7462"/>
    <w:rsid w:val="00AE7885"/>
    <w:rsid w:val="00AE7EFA"/>
    <w:rsid w:val="00AF04ED"/>
    <w:rsid w:val="00AF06BF"/>
    <w:rsid w:val="00AF09D2"/>
    <w:rsid w:val="00AF0EEA"/>
    <w:rsid w:val="00AF1A6B"/>
    <w:rsid w:val="00AF22B0"/>
    <w:rsid w:val="00AF2528"/>
    <w:rsid w:val="00AF2B12"/>
    <w:rsid w:val="00AF2DA3"/>
    <w:rsid w:val="00AF3528"/>
    <w:rsid w:val="00AF36D2"/>
    <w:rsid w:val="00AF4927"/>
    <w:rsid w:val="00AF4E0E"/>
    <w:rsid w:val="00AF5280"/>
    <w:rsid w:val="00AF5301"/>
    <w:rsid w:val="00AF5650"/>
    <w:rsid w:val="00AF56D8"/>
    <w:rsid w:val="00AF6107"/>
    <w:rsid w:val="00AF635B"/>
    <w:rsid w:val="00AF64EA"/>
    <w:rsid w:val="00AF65DA"/>
    <w:rsid w:val="00AF6C76"/>
    <w:rsid w:val="00AF6D98"/>
    <w:rsid w:val="00AF6F93"/>
    <w:rsid w:val="00AF7743"/>
    <w:rsid w:val="00AF77DC"/>
    <w:rsid w:val="00B0057B"/>
    <w:rsid w:val="00B009A9"/>
    <w:rsid w:val="00B00A52"/>
    <w:rsid w:val="00B00CEC"/>
    <w:rsid w:val="00B01786"/>
    <w:rsid w:val="00B01A07"/>
    <w:rsid w:val="00B01D8A"/>
    <w:rsid w:val="00B0209A"/>
    <w:rsid w:val="00B0233B"/>
    <w:rsid w:val="00B028A1"/>
    <w:rsid w:val="00B02EF6"/>
    <w:rsid w:val="00B03001"/>
    <w:rsid w:val="00B0326B"/>
    <w:rsid w:val="00B03D45"/>
    <w:rsid w:val="00B040B6"/>
    <w:rsid w:val="00B0548E"/>
    <w:rsid w:val="00B05B50"/>
    <w:rsid w:val="00B068D3"/>
    <w:rsid w:val="00B06A6B"/>
    <w:rsid w:val="00B070FF"/>
    <w:rsid w:val="00B078A8"/>
    <w:rsid w:val="00B10301"/>
    <w:rsid w:val="00B10715"/>
    <w:rsid w:val="00B10F7C"/>
    <w:rsid w:val="00B11AA3"/>
    <w:rsid w:val="00B124CE"/>
    <w:rsid w:val="00B12B78"/>
    <w:rsid w:val="00B131F3"/>
    <w:rsid w:val="00B139B8"/>
    <w:rsid w:val="00B13F57"/>
    <w:rsid w:val="00B13F73"/>
    <w:rsid w:val="00B140E9"/>
    <w:rsid w:val="00B140F3"/>
    <w:rsid w:val="00B14627"/>
    <w:rsid w:val="00B14C86"/>
    <w:rsid w:val="00B15281"/>
    <w:rsid w:val="00B15A17"/>
    <w:rsid w:val="00B15C6B"/>
    <w:rsid w:val="00B15D44"/>
    <w:rsid w:val="00B1670F"/>
    <w:rsid w:val="00B16879"/>
    <w:rsid w:val="00B169FF"/>
    <w:rsid w:val="00B16AB8"/>
    <w:rsid w:val="00B16BC3"/>
    <w:rsid w:val="00B17240"/>
    <w:rsid w:val="00B17367"/>
    <w:rsid w:val="00B1788F"/>
    <w:rsid w:val="00B17914"/>
    <w:rsid w:val="00B17E38"/>
    <w:rsid w:val="00B204EB"/>
    <w:rsid w:val="00B20899"/>
    <w:rsid w:val="00B20BAA"/>
    <w:rsid w:val="00B21037"/>
    <w:rsid w:val="00B2107A"/>
    <w:rsid w:val="00B219DD"/>
    <w:rsid w:val="00B21B83"/>
    <w:rsid w:val="00B21E42"/>
    <w:rsid w:val="00B22093"/>
    <w:rsid w:val="00B22301"/>
    <w:rsid w:val="00B229EF"/>
    <w:rsid w:val="00B22F1E"/>
    <w:rsid w:val="00B23B8A"/>
    <w:rsid w:val="00B24191"/>
    <w:rsid w:val="00B241A5"/>
    <w:rsid w:val="00B243EB"/>
    <w:rsid w:val="00B24457"/>
    <w:rsid w:val="00B250C1"/>
    <w:rsid w:val="00B25426"/>
    <w:rsid w:val="00B25939"/>
    <w:rsid w:val="00B25CAC"/>
    <w:rsid w:val="00B26228"/>
    <w:rsid w:val="00B26336"/>
    <w:rsid w:val="00B264BE"/>
    <w:rsid w:val="00B26C27"/>
    <w:rsid w:val="00B27016"/>
    <w:rsid w:val="00B308DB"/>
    <w:rsid w:val="00B30A26"/>
    <w:rsid w:val="00B30EBB"/>
    <w:rsid w:val="00B3138B"/>
    <w:rsid w:val="00B318A0"/>
    <w:rsid w:val="00B31A49"/>
    <w:rsid w:val="00B31B53"/>
    <w:rsid w:val="00B327EE"/>
    <w:rsid w:val="00B32C92"/>
    <w:rsid w:val="00B3304C"/>
    <w:rsid w:val="00B3349B"/>
    <w:rsid w:val="00B33A7F"/>
    <w:rsid w:val="00B33ABD"/>
    <w:rsid w:val="00B33C7D"/>
    <w:rsid w:val="00B34E05"/>
    <w:rsid w:val="00B34F1A"/>
    <w:rsid w:val="00B34FC2"/>
    <w:rsid w:val="00B3529D"/>
    <w:rsid w:val="00B3587E"/>
    <w:rsid w:val="00B36052"/>
    <w:rsid w:val="00B36100"/>
    <w:rsid w:val="00B3666E"/>
    <w:rsid w:val="00B36721"/>
    <w:rsid w:val="00B36C15"/>
    <w:rsid w:val="00B37542"/>
    <w:rsid w:val="00B40BB1"/>
    <w:rsid w:val="00B40EA6"/>
    <w:rsid w:val="00B40F7F"/>
    <w:rsid w:val="00B41019"/>
    <w:rsid w:val="00B4130E"/>
    <w:rsid w:val="00B41998"/>
    <w:rsid w:val="00B4223C"/>
    <w:rsid w:val="00B422F8"/>
    <w:rsid w:val="00B42432"/>
    <w:rsid w:val="00B42CE7"/>
    <w:rsid w:val="00B43301"/>
    <w:rsid w:val="00B43F39"/>
    <w:rsid w:val="00B442F5"/>
    <w:rsid w:val="00B4466C"/>
    <w:rsid w:val="00B451F5"/>
    <w:rsid w:val="00B45B74"/>
    <w:rsid w:val="00B463C0"/>
    <w:rsid w:val="00B46A62"/>
    <w:rsid w:val="00B46DB2"/>
    <w:rsid w:val="00B471AF"/>
    <w:rsid w:val="00B472C4"/>
    <w:rsid w:val="00B47668"/>
    <w:rsid w:val="00B50284"/>
    <w:rsid w:val="00B504E0"/>
    <w:rsid w:val="00B50710"/>
    <w:rsid w:val="00B50A26"/>
    <w:rsid w:val="00B50F60"/>
    <w:rsid w:val="00B515C7"/>
    <w:rsid w:val="00B515DC"/>
    <w:rsid w:val="00B51722"/>
    <w:rsid w:val="00B51C65"/>
    <w:rsid w:val="00B51CC1"/>
    <w:rsid w:val="00B51F43"/>
    <w:rsid w:val="00B522B8"/>
    <w:rsid w:val="00B52902"/>
    <w:rsid w:val="00B529ED"/>
    <w:rsid w:val="00B53170"/>
    <w:rsid w:val="00B53EA7"/>
    <w:rsid w:val="00B5405C"/>
    <w:rsid w:val="00B5423E"/>
    <w:rsid w:val="00B546EE"/>
    <w:rsid w:val="00B54D19"/>
    <w:rsid w:val="00B54DD5"/>
    <w:rsid w:val="00B558A4"/>
    <w:rsid w:val="00B55AE4"/>
    <w:rsid w:val="00B55FEB"/>
    <w:rsid w:val="00B5631D"/>
    <w:rsid w:val="00B56640"/>
    <w:rsid w:val="00B5695D"/>
    <w:rsid w:val="00B56DEF"/>
    <w:rsid w:val="00B56E7B"/>
    <w:rsid w:val="00B57A75"/>
    <w:rsid w:val="00B603A9"/>
    <w:rsid w:val="00B60832"/>
    <w:rsid w:val="00B60914"/>
    <w:rsid w:val="00B609F1"/>
    <w:rsid w:val="00B60E2F"/>
    <w:rsid w:val="00B60F89"/>
    <w:rsid w:val="00B614F5"/>
    <w:rsid w:val="00B6201C"/>
    <w:rsid w:val="00B6205A"/>
    <w:rsid w:val="00B620AD"/>
    <w:rsid w:val="00B62254"/>
    <w:rsid w:val="00B625D8"/>
    <w:rsid w:val="00B62661"/>
    <w:rsid w:val="00B62B8D"/>
    <w:rsid w:val="00B633AE"/>
    <w:rsid w:val="00B6353D"/>
    <w:rsid w:val="00B63B6F"/>
    <w:rsid w:val="00B645C7"/>
    <w:rsid w:val="00B646BE"/>
    <w:rsid w:val="00B64BD7"/>
    <w:rsid w:val="00B651FA"/>
    <w:rsid w:val="00B65524"/>
    <w:rsid w:val="00B65825"/>
    <w:rsid w:val="00B659D4"/>
    <w:rsid w:val="00B65FD0"/>
    <w:rsid w:val="00B66538"/>
    <w:rsid w:val="00B66B84"/>
    <w:rsid w:val="00B66BC8"/>
    <w:rsid w:val="00B67F37"/>
    <w:rsid w:val="00B70A30"/>
    <w:rsid w:val="00B71942"/>
    <w:rsid w:val="00B721EB"/>
    <w:rsid w:val="00B72275"/>
    <w:rsid w:val="00B72591"/>
    <w:rsid w:val="00B7261B"/>
    <w:rsid w:val="00B73EC5"/>
    <w:rsid w:val="00B74646"/>
    <w:rsid w:val="00B74B93"/>
    <w:rsid w:val="00B74ED0"/>
    <w:rsid w:val="00B7537D"/>
    <w:rsid w:val="00B75559"/>
    <w:rsid w:val="00B75746"/>
    <w:rsid w:val="00B75CC7"/>
    <w:rsid w:val="00B75D8D"/>
    <w:rsid w:val="00B7675D"/>
    <w:rsid w:val="00B76BC1"/>
    <w:rsid w:val="00B77F79"/>
    <w:rsid w:val="00B8008C"/>
    <w:rsid w:val="00B8131B"/>
    <w:rsid w:val="00B81A26"/>
    <w:rsid w:val="00B81A46"/>
    <w:rsid w:val="00B81C46"/>
    <w:rsid w:val="00B81E4A"/>
    <w:rsid w:val="00B8211A"/>
    <w:rsid w:val="00B837A6"/>
    <w:rsid w:val="00B83D06"/>
    <w:rsid w:val="00B83F78"/>
    <w:rsid w:val="00B8432F"/>
    <w:rsid w:val="00B84545"/>
    <w:rsid w:val="00B84B1E"/>
    <w:rsid w:val="00B855EC"/>
    <w:rsid w:val="00B85E3E"/>
    <w:rsid w:val="00B8622C"/>
    <w:rsid w:val="00B867AF"/>
    <w:rsid w:val="00B86D1B"/>
    <w:rsid w:val="00B86F20"/>
    <w:rsid w:val="00B875C8"/>
    <w:rsid w:val="00B87617"/>
    <w:rsid w:val="00B87882"/>
    <w:rsid w:val="00B87F2E"/>
    <w:rsid w:val="00B909BA"/>
    <w:rsid w:val="00B90C84"/>
    <w:rsid w:val="00B90DD3"/>
    <w:rsid w:val="00B90DFE"/>
    <w:rsid w:val="00B90F57"/>
    <w:rsid w:val="00B91094"/>
    <w:rsid w:val="00B9159B"/>
    <w:rsid w:val="00B919FD"/>
    <w:rsid w:val="00B920BE"/>
    <w:rsid w:val="00B92515"/>
    <w:rsid w:val="00B92651"/>
    <w:rsid w:val="00B927E7"/>
    <w:rsid w:val="00B92DBD"/>
    <w:rsid w:val="00B92F8E"/>
    <w:rsid w:val="00B93459"/>
    <w:rsid w:val="00B9539B"/>
    <w:rsid w:val="00B95B6D"/>
    <w:rsid w:val="00B95D0E"/>
    <w:rsid w:val="00B95E84"/>
    <w:rsid w:val="00B95FBA"/>
    <w:rsid w:val="00B960F2"/>
    <w:rsid w:val="00B966BB"/>
    <w:rsid w:val="00B96F32"/>
    <w:rsid w:val="00B97286"/>
    <w:rsid w:val="00BA0571"/>
    <w:rsid w:val="00BA05A8"/>
    <w:rsid w:val="00BA0AEC"/>
    <w:rsid w:val="00BA0E39"/>
    <w:rsid w:val="00BA11DC"/>
    <w:rsid w:val="00BA1309"/>
    <w:rsid w:val="00BA1401"/>
    <w:rsid w:val="00BA1659"/>
    <w:rsid w:val="00BA1732"/>
    <w:rsid w:val="00BA2357"/>
    <w:rsid w:val="00BA2927"/>
    <w:rsid w:val="00BA3456"/>
    <w:rsid w:val="00BA34FE"/>
    <w:rsid w:val="00BA37C7"/>
    <w:rsid w:val="00BA3B79"/>
    <w:rsid w:val="00BA42C3"/>
    <w:rsid w:val="00BA4803"/>
    <w:rsid w:val="00BA49FC"/>
    <w:rsid w:val="00BA50ED"/>
    <w:rsid w:val="00BA5257"/>
    <w:rsid w:val="00BA52FD"/>
    <w:rsid w:val="00BA5A3D"/>
    <w:rsid w:val="00BA5F8F"/>
    <w:rsid w:val="00BA68F5"/>
    <w:rsid w:val="00BA6C10"/>
    <w:rsid w:val="00BA6E1C"/>
    <w:rsid w:val="00BA73B5"/>
    <w:rsid w:val="00BA79DA"/>
    <w:rsid w:val="00BA7B1E"/>
    <w:rsid w:val="00BA7E02"/>
    <w:rsid w:val="00BB0008"/>
    <w:rsid w:val="00BB0721"/>
    <w:rsid w:val="00BB0BD7"/>
    <w:rsid w:val="00BB0F40"/>
    <w:rsid w:val="00BB0F70"/>
    <w:rsid w:val="00BB1690"/>
    <w:rsid w:val="00BB226A"/>
    <w:rsid w:val="00BB345B"/>
    <w:rsid w:val="00BB35DB"/>
    <w:rsid w:val="00BB39B8"/>
    <w:rsid w:val="00BB3ECA"/>
    <w:rsid w:val="00BB4140"/>
    <w:rsid w:val="00BB47A5"/>
    <w:rsid w:val="00BB51D1"/>
    <w:rsid w:val="00BB5950"/>
    <w:rsid w:val="00BB667C"/>
    <w:rsid w:val="00BB6B43"/>
    <w:rsid w:val="00BB73EC"/>
    <w:rsid w:val="00BB7508"/>
    <w:rsid w:val="00BB7841"/>
    <w:rsid w:val="00BC0561"/>
    <w:rsid w:val="00BC06C7"/>
    <w:rsid w:val="00BC070A"/>
    <w:rsid w:val="00BC0801"/>
    <w:rsid w:val="00BC0819"/>
    <w:rsid w:val="00BC11AE"/>
    <w:rsid w:val="00BC1C2B"/>
    <w:rsid w:val="00BC258F"/>
    <w:rsid w:val="00BC28D4"/>
    <w:rsid w:val="00BC3051"/>
    <w:rsid w:val="00BC330E"/>
    <w:rsid w:val="00BC3BAC"/>
    <w:rsid w:val="00BC4B32"/>
    <w:rsid w:val="00BC5C90"/>
    <w:rsid w:val="00BC6991"/>
    <w:rsid w:val="00BC710A"/>
    <w:rsid w:val="00BC7CC5"/>
    <w:rsid w:val="00BC7D01"/>
    <w:rsid w:val="00BD0414"/>
    <w:rsid w:val="00BD08DA"/>
    <w:rsid w:val="00BD112E"/>
    <w:rsid w:val="00BD16ED"/>
    <w:rsid w:val="00BD2242"/>
    <w:rsid w:val="00BD2293"/>
    <w:rsid w:val="00BD2A4C"/>
    <w:rsid w:val="00BD2BA0"/>
    <w:rsid w:val="00BD32B5"/>
    <w:rsid w:val="00BD380C"/>
    <w:rsid w:val="00BD3D2F"/>
    <w:rsid w:val="00BD447B"/>
    <w:rsid w:val="00BD44B2"/>
    <w:rsid w:val="00BD4539"/>
    <w:rsid w:val="00BD453C"/>
    <w:rsid w:val="00BD4745"/>
    <w:rsid w:val="00BD4BEE"/>
    <w:rsid w:val="00BD4D4F"/>
    <w:rsid w:val="00BD50BC"/>
    <w:rsid w:val="00BD59DD"/>
    <w:rsid w:val="00BD675E"/>
    <w:rsid w:val="00BD753F"/>
    <w:rsid w:val="00BD7B16"/>
    <w:rsid w:val="00BD7BD9"/>
    <w:rsid w:val="00BE018C"/>
    <w:rsid w:val="00BE0218"/>
    <w:rsid w:val="00BE083D"/>
    <w:rsid w:val="00BE0AD0"/>
    <w:rsid w:val="00BE0BE4"/>
    <w:rsid w:val="00BE0C55"/>
    <w:rsid w:val="00BE13E9"/>
    <w:rsid w:val="00BE178A"/>
    <w:rsid w:val="00BE17E4"/>
    <w:rsid w:val="00BE1958"/>
    <w:rsid w:val="00BE1D27"/>
    <w:rsid w:val="00BE1F2A"/>
    <w:rsid w:val="00BE2E47"/>
    <w:rsid w:val="00BE32F2"/>
    <w:rsid w:val="00BE4E2B"/>
    <w:rsid w:val="00BE512B"/>
    <w:rsid w:val="00BE5E6A"/>
    <w:rsid w:val="00BE5F21"/>
    <w:rsid w:val="00BE622C"/>
    <w:rsid w:val="00BE6BBB"/>
    <w:rsid w:val="00BE6F46"/>
    <w:rsid w:val="00BE73B4"/>
    <w:rsid w:val="00BE754F"/>
    <w:rsid w:val="00BE77C6"/>
    <w:rsid w:val="00BE79B1"/>
    <w:rsid w:val="00BE7ACE"/>
    <w:rsid w:val="00BF03D0"/>
    <w:rsid w:val="00BF0DE0"/>
    <w:rsid w:val="00BF139D"/>
    <w:rsid w:val="00BF17FD"/>
    <w:rsid w:val="00BF1857"/>
    <w:rsid w:val="00BF1A98"/>
    <w:rsid w:val="00BF1AEF"/>
    <w:rsid w:val="00BF1F9A"/>
    <w:rsid w:val="00BF254F"/>
    <w:rsid w:val="00BF273A"/>
    <w:rsid w:val="00BF294B"/>
    <w:rsid w:val="00BF3580"/>
    <w:rsid w:val="00BF3B1F"/>
    <w:rsid w:val="00BF3B91"/>
    <w:rsid w:val="00BF3F42"/>
    <w:rsid w:val="00BF44FB"/>
    <w:rsid w:val="00BF4602"/>
    <w:rsid w:val="00BF4869"/>
    <w:rsid w:val="00BF4B89"/>
    <w:rsid w:val="00BF5288"/>
    <w:rsid w:val="00BF5478"/>
    <w:rsid w:val="00BF55EF"/>
    <w:rsid w:val="00BF56D3"/>
    <w:rsid w:val="00BF583E"/>
    <w:rsid w:val="00BF5F20"/>
    <w:rsid w:val="00BF5FB2"/>
    <w:rsid w:val="00BF604E"/>
    <w:rsid w:val="00BF6596"/>
    <w:rsid w:val="00BF68A9"/>
    <w:rsid w:val="00BF6D34"/>
    <w:rsid w:val="00BF7284"/>
    <w:rsid w:val="00BF737F"/>
    <w:rsid w:val="00BF7611"/>
    <w:rsid w:val="00BF7700"/>
    <w:rsid w:val="00BF7B8D"/>
    <w:rsid w:val="00C00EFF"/>
    <w:rsid w:val="00C0183D"/>
    <w:rsid w:val="00C018C1"/>
    <w:rsid w:val="00C01ADB"/>
    <w:rsid w:val="00C02005"/>
    <w:rsid w:val="00C02D07"/>
    <w:rsid w:val="00C02EAF"/>
    <w:rsid w:val="00C03BEA"/>
    <w:rsid w:val="00C03D16"/>
    <w:rsid w:val="00C042AC"/>
    <w:rsid w:val="00C0430B"/>
    <w:rsid w:val="00C04969"/>
    <w:rsid w:val="00C04E4A"/>
    <w:rsid w:val="00C04E81"/>
    <w:rsid w:val="00C0597F"/>
    <w:rsid w:val="00C05B12"/>
    <w:rsid w:val="00C06610"/>
    <w:rsid w:val="00C068A1"/>
    <w:rsid w:val="00C06D43"/>
    <w:rsid w:val="00C06FB7"/>
    <w:rsid w:val="00C071FD"/>
    <w:rsid w:val="00C0730E"/>
    <w:rsid w:val="00C07923"/>
    <w:rsid w:val="00C11C96"/>
    <w:rsid w:val="00C12E09"/>
    <w:rsid w:val="00C12F3D"/>
    <w:rsid w:val="00C13594"/>
    <w:rsid w:val="00C13DDF"/>
    <w:rsid w:val="00C143AA"/>
    <w:rsid w:val="00C14462"/>
    <w:rsid w:val="00C14C91"/>
    <w:rsid w:val="00C15084"/>
    <w:rsid w:val="00C15771"/>
    <w:rsid w:val="00C15802"/>
    <w:rsid w:val="00C16CF0"/>
    <w:rsid w:val="00C17019"/>
    <w:rsid w:val="00C177B7"/>
    <w:rsid w:val="00C1791D"/>
    <w:rsid w:val="00C2058E"/>
    <w:rsid w:val="00C2064E"/>
    <w:rsid w:val="00C20700"/>
    <w:rsid w:val="00C207D2"/>
    <w:rsid w:val="00C20D49"/>
    <w:rsid w:val="00C20EB6"/>
    <w:rsid w:val="00C21768"/>
    <w:rsid w:val="00C21844"/>
    <w:rsid w:val="00C219B7"/>
    <w:rsid w:val="00C21A7E"/>
    <w:rsid w:val="00C22A78"/>
    <w:rsid w:val="00C23306"/>
    <w:rsid w:val="00C234FD"/>
    <w:rsid w:val="00C23521"/>
    <w:rsid w:val="00C24280"/>
    <w:rsid w:val="00C248B3"/>
    <w:rsid w:val="00C248D3"/>
    <w:rsid w:val="00C24A64"/>
    <w:rsid w:val="00C24DCE"/>
    <w:rsid w:val="00C24F42"/>
    <w:rsid w:val="00C2567A"/>
    <w:rsid w:val="00C25726"/>
    <w:rsid w:val="00C25860"/>
    <w:rsid w:val="00C2710C"/>
    <w:rsid w:val="00C278B5"/>
    <w:rsid w:val="00C27E31"/>
    <w:rsid w:val="00C304FD"/>
    <w:rsid w:val="00C3111D"/>
    <w:rsid w:val="00C31994"/>
    <w:rsid w:val="00C3280F"/>
    <w:rsid w:val="00C329CC"/>
    <w:rsid w:val="00C3315F"/>
    <w:rsid w:val="00C3397D"/>
    <w:rsid w:val="00C341AE"/>
    <w:rsid w:val="00C346AD"/>
    <w:rsid w:val="00C3545B"/>
    <w:rsid w:val="00C3577A"/>
    <w:rsid w:val="00C35A0C"/>
    <w:rsid w:val="00C35D73"/>
    <w:rsid w:val="00C361E5"/>
    <w:rsid w:val="00C3688C"/>
    <w:rsid w:val="00C36921"/>
    <w:rsid w:val="00C369B9"/>
    <w:rsid w:val="00C36E38"/>
    <w:rsid w:val="00C37711"/>
    <w:rsid w:val="00C37E4E"/>
    <w:rsid w:val="00C407C0"/>
    <w:rsid w:val="00C408E2"/>
    <w:rsid w:val="00C4098B"/>
    <w:rsid w:val="00C40D09"/>
    <w:rsid w:val="00C40ECE"/>
    <w:rsid w:val="00C40F69"/>
    <w:rsid w:val="00C4143A"/>
    <w:rsid w:val="00C4154D"/>
    <w:rsid w:val="00C41AA4"/>
    <w:rsid w:val="00C4261F"/>
    <w:rsid w:val="00C42CC6"/>
    <w:rsid w:val="00C42DCC"/>
    <w:rsid w:val="00C434EE"/>
    <w:rsid w:val="00C43A79"/>
    <w:rsid w:val="00C43D6B"/>
    <w:rsid w:val="00C43F1D"/>
    <w:rsid w:val="00C4409D"/>
    <w:rsid w:val="00C445D4"/>
    <w:rsid w:val="00C44647"/>
    <w:rsid w:val="00C44D0C"/>
    <w:rsid w:val="00C44E4B"/>
    <w:rsid w:val="00C45176"/>
    <w:rsid w:val="00C456AF"/>
    <w:rsid w:val="00C45B48"/>
    <w:rsid w:val="00C47345"/>
    <w:rsid w:val="00C47BA6"/>
    <w:rsid w:val="00C47D00"/>
    <w:rsid w:val="00C47FA5"/>
    <w:rsid w:val="00C50362"/>
    <w:rsid w:val="00C50AAC"/>
    <w:rsid w:val="00C50ADD"/>
    <w:rsid w:val="00C50B6E"/>
    <w:rsid w:val="00C50FD8"/>
    <w:rsid w:val="00C5140E"/>
    <w:rsid w:val="00C51932"/>
    <w:rsid w:val="00C51999"/>
    <w:rsid w:val="00C51A9B"/>
    <w:rsid w:val="00C52254"/>
    <w:rsid w:val="00C53633"/>
    <w:rsid w:val="00C53761"/>
    <w:rsid w:val="00C5390B"/>
    <w:rsid w:val="00C53A7B"/>
    <w:rsid w:val="00C53E8E"/>
    <w:rsid w:val="00C542F9"/>
    <w:rsid w:val="00C54DF3"/>
    <w:rsid w:val="00C558CA"/>
    <w:rsid w:val="00C5687F"/>
    <w:rsid w:val="00C57270"/>
    <w:rsid w:val="00C57391"/>
    <w:rsid w:val="00C577F2"/>
    <w:rsid w:val="00C57863"/>
    <w:rsid w:val="00C57929"/>
    <w:rsid w:val="00C57BC5"/>
    <w:rsid w:val="00C605AE"/>
    <w:rsid w:val="00C60896"/>
    <w:rsid w:val="00C6143D"/>
    <w:rsid w:val="00C61A3C"/>
    <w:rsid w:val="00C61BE1"/>
    <w:rsid w:val="00C61E6B"/>
    <w:rsid w:val="00C62125"/>
    <w:rsid w:val="00C6241E"/>
    <w:rsid w:val="00C62887"/>
    <w:rsid w:val="00C62BA3"/>
    <w:rsid w:val="00C62BFC"/>
    <w:rsid w:val="00C630BA"/>
    <w:rsid w:val="00C6342F"/>
    <w:rsid w:val="00C6478F"/>
    <w:rsid w:val="00C647FC"/>
    <w:rsid w:val="00C64928"/>
    <w:rsid w:val="00C64A58"/>
    <w:rsid w:val="00C64DA7"/>
    <w:rsid w:val="00C64E4B"/>
    <w:rsid w:val="00C64F50"/>
    <w:rsid w:val="00C65910"/>
    <w:rsid w:val="00C65B83"/>
    <w:rsid w:val="00C65DBD"/>
    <w:rsid w:val="00C6613E"/>
    <w:rsid w:val="00C66D23"/>
    <w:rsid w:val="00C674E5"/>
    <w:rsid w:val="00C67999"/>
    <w:rsid w:val="00C67A1D"/>
    <w:rsid w:val="00C67F63"/>
    <w:rsid w:val="00C70369"/>
    <w:rsid w:val="00C70566"/>
    <w:rsid w:val="00C707EB"/>
    <w:rsid w:val="00C7184D"/>
    <w:rsid w:val="00C71BBC"/>
    <w:rsid w:val="00C72BE0"/>
    <w:rsid w:val="00C734AF"/>
    <w:rsid w:val="00C73D2E"/>
    <w:rsid w:val="00C74259"/>
    <w:rsid w:val="00C744F4"/>
    <w:rsid w:val="00C74709"/>
    <w:rsid w:val="00C75191"/>
    <w:rsid w:val="00C751D7"/>
    <w:rsid w:val="00C75EC2"/>
    <w:rsid w:val="00C76152"/>
    <w:rsid w:val="00C767B1"/>
    <w:rsid w:val="00C76DA4"/>
    <w:rsid w:val="00C76E86"/>
    <w:rsid w:val="00C77DEB"/>
    <w:rsid w:val="00C80B3A"/>
    <w:rsid w:val="00C810CA"/>
    <w:rsid w:val="00C82091"/>
    <w:rsid w:val="00C83009"/>
    <w:rsid w:val="00C833C0"/>
    <w:rsid w:val="00C834D7"/>
    <w:rsid w:val="00C83CB1"/>
    <w:rsid w:val="00C840D5"/>
    <w:rsid w:val="00C845AA"/>
    <w:rsid w:val="00C84905"/>
    <w:rsid w:val="00C84D74"/>
    <w:rsid w:val="00C84EA9"/>
    <w:rsid w:val="00C84F57"/>
    <w:rsid w:val="00C84F99"/>
    <w:rsid w:val="00C8687C"/>
    <w:rsid w:val="00C869F5"/>
    <w:rsid w:val="00C874E6"/>
    <w:rsid w:val="00C876A0"/>
    <w:rsid w:val="00C9006D"/>
    <w:rsid w:val="00C907AF"/>
    <w:rsid w:val="00C9296C"/>
    <w:rsid w:val="00C92C5F"/>
    <w:rsid w:val="00C9370B"/>
    <w:rsid w:val="00C9381C"/>
    <w:rsid w:val="00C938E3"/>
    <w:rsid w:val="00C93D91"/>
    <w:rsid w:val="00C94024"/>
    <w:rsid w:val="00C948A6"/>
    <w:rsid w:val="00C94C0A"/>
    <w:rsid w:val="00C94D79"/>
    <w:rsid w:val="00C94DB4"/>
    <w:rsid w:val="00C95134"/>
    <w:rsid w:val="00C95227"/>
    <w:rsid w:val="00C9548C"/>
    <w:rsid w:val="00C962B8"/>
    <w:rsid w:val="00C97143"/>
    <w:rsid w:val="00C97446"/>
    <w:rsid w:val="00C975C7"/>
    <w:rsid w:val="00C97698"/>
    <w:rsid w:val="00C977BA"/>
    <w:rsid w:val="00C97BE0"/>
    <w:rsid w:val="00CA12B5"/>
    <w:rsid w:val="00CA1B85"/>
    <w:rsid w:val="00CA1E1F"/>
    <w:rsid w:val="00CA2540"/>
    <w:rsid w:val="00CA2ABD"/>
    <w:rsid w:val="00CA2CD1"/>
    <w:rsid w:val="00CA2DDC"/>
    <w:rsid w:val="00CA2ECE"/>
    <w:rsid w:val="00CA3AC5"/>
    <w:rsid w:val="00CA3D1C"/>
    <w:rsid w:val="00CA3DDD"/>
    <w:rsid w:val="00CA3F58"/>
    <w:rsid w:val="00CA44F7"/>
    <w:rsid w:val="00CA47B3"/>
    <w:rsid w:val="00CA4A3B"/>
    <w:rsid w:val="00CA4C18"/>
    <w:rsid w:val="00CA59F1"/>
    <w:rsid w:val="00CA670F"/>
    <w:rsid w:val="00CA6A79"/>
    <w:rsid w:val="00CA73BE"/>
    <w:rsid w:val="00CA743B"/>
    <w:rsid w:val="00CA7856"/>
    <w:rsid w:val="00CB0685"/>
    <w:rsid w:val="00CB0687"/>
    <w:rsid w:val="00CB0DEF"/>
    <w:rsid w:val="00CB14AD"/>
    <w:rsid w:val="00CB17EF"/>
    <w:rsid w:val="00CB1850"/>
    <w:rsid w:val="00CB1EA8"/>
    <w:rsid w:val="00CB1F52"/>
    <w:rsid w:val="00CB38A9"/>
    <w:rsid w:val="00CB4173"/>
    <w:rsid w:val="00CB43C1"/>
    <w:rsid w:val="00CB4860"/>
    <w:rsid w:val="00CB4A72"/>
    <w:rsid w:val="00CB502C"/>
    <w:rsid w:val="00CB5BC2"/>
    <w:rsid w:val="00CB6022"/>
    <w:rsid w:val="00CB65F8"/>
    <w:rsid w:val="00CB6BCF"/>
    <w:rsid w:val="00CB6ECE"/>
    <w:rsid w:val="00CB7942"/>
    <w:rsid w:val="00CC00F9"/>
    <w:rsid w:val="00CC0AAD"/>
    <w:rsid w:val="00CC0B68"/>
    <w:rsid w:val="00CC0BDF"/>
    <w:rsid w:val="00CC1B11"/>
    <w:rsid w:val="00CC1D9A"/>
    <w:rsid w:val="00CC2CBB"/>
    <w:rsid w:val="00CC3448"/>
    <w:rsid w:val="00CC35D9"/>
    <w:rsid w:val="00CC4CA7"/>
    <w:rsid w:val="00CC58CD"/>
    <w:rsid w:val="00CC6017"/>
    <w:rsid w:val="00CC6409"/>
    <w:rsid w:val="00CC681F"/>
    <w:rsid w:val="00CC6856"/>
    <w:rsid w:val="00CC6F17"/>
    <w:rsid w:val="00CC7585"/>
    <w:rsid w:val="00CC7A35"/>
    <w:rsid w:val="00CD09F9"/>
    <w:rsid w:val="00CD1C6F"/>
    <w:rsid w:val="00CD1D2A"/>
    <w:rsid w:val="00CD211E"/>
    <w:rsid w:val="00CD2244"/>
    <w:rsid w:val="00CD22BB"/>
    <w:rsid w:val="00CD2329"/>
    <w:rsid w:val="00CD29B8"/>
    <w:rsid w:val="00CD2FE1"/>
    <w:rsid w:val="00CD3802"/>
    <w:rsid w:val="00CD3899"/>
    <w:rsid w:val="00CD3C4D"/>
    <w:rsid w:val="00CD522A"/>
    <w:rsid w:val="00CD5251"/>
    <w:rsid w:val="00CD5EAA"/>
    <w:rsid w:val="00CD6690"/>
    <w:rsid w:val="00CD6993"/>
    <w:rsid w:val="00CD7466"/>
    <w:rsid w:val="00CD7574"/>
    <w:rsid w:val="00CD794C"/>
    <w:rsid w:val="00CD7A2C"/>
    <w:rsid w:val="00CE0522"/>
    <w:rsid w:val="00CE0CB6"/>
    <w:rsid w:val="00CE0D8A"/>
    <w:rsid w:val="00CE18B3"/>
    <w:rsid w:val="00CE1C6C"/>
    <w:rsid w:val="00CE2F72"/>
    <w:rsid w:val="00CE37F1"/>
    <w:rsid w:val="00CE3835"/>
    <w:rsid w:val="00CE38F4"/>
    <w:rsid w:val="00CE3D82"/>
    <w:rsid w:val="00CE46BF"/>
    <w:rsid w:val="00CE49B4"/>
    <w:rsid w:val="00CE4A4B"/>
    <w:rsid w:val="00CE54DC"/>
    <w:rsid w:val="00CE5581"/>
    <w:rsid w:val="00CE5DF8"/>
    <w:rsid w:val="00CE5EE6"/>
    <w:rsid w:val="00CE5FA5"/>
    <w:rsid w:val="00CE6140"/>
    <w:rsid w:val="00CE6C76"/>
    <w:rsid w:val="00CE728E"/>
    <w:rsid w:val="00CE7532"/>
    <w:rsid w:val="00CE78F5"/>
    <w:rsid w:val="00CE7E76"/>
    <w:rsid w:val="00CF0057"/>
    <w:rsid w:val="00CF084F"/>
    <w:rsid w:val="00CF0A27"/>
    <w:rsid w:val="00CF0F0F"/>
    <w:rsid w:val="00CF15F9"/>
    <w:rsid w:val="00CF166D"/>
    <w:rsid w:val="00CF19B8"/>
    <w:rsid w:val="00CF1BC1"/>
    <w:rsid w:val="00CF1C83"/>
    <w:rsid w:val="00CF1DE8"/>
    <w:rsid w:val="00CF1E8F"/>
    <w:rsid w:val="00CF2C70"/>
    <w:rsid w:val="00CF3260"/>
    <w:rsid w:val="00CF37BE"/>
    <w:rsid w:val="00CF3C5C"/>
    <w:rsid w:val="00CF44C9"/>
    <w:rsid w:val="00CF47BF"/>
    <w:rsid w:val="00CF4DEB"/>
    <w:rsid w:val="00CF5494"/>
    <w:rsid w:val="00CF57AA"/>
    <w:rsid w:val="00CF5EE4"/>
    <w:rsid w:val="00CF653A"/>
    <w:rsid w:val="00CF7BF5"/>
    <w:rsid w:val="00CF7D20"/>
    <w:rsid w:val="00D0023B"/>
    <w:rsid w:val="00D00E7E"/>
    <w:rsid w:val="00D010D0"/>
    <w:rsid w:val="00D01902"/>
    <w:rsid w:val="00D01FC8"/>
    <w:rsid w:val="00D02604"/>
    <w:rsid w:val="00D02978"/>
    <w:rsid w:val="00D02A33"/>
    <w:rsid w:val="00D02BD5"/>
    <w:rsid w:val="00D030B8"/>
    <w:rsid w:val="00D032F0"/>
    <w:rsid w:val="00D03CF4"/>
    <w:rsid w:val="00D04115"/>
    <w:rsid w:val="00D04185"/>
    <w:rsid w:val="00D04642"/>
    <w:rsid w:val="00D04CD6"/>
    <w:rsid w:val="00D0504A"/>
    <w:rsid w:val="00D054BD"/>
    <w:rsid w:val="00D05E89"/>
    <w:rsid w:val="00D060D5"/>
    <w:rsid w:val="00D060F2"/>
    <w:rsid w:val="00D06532"/>
    <w:rsid w:val="00D1047A"/>
    <w:rsid w:val="00D109CA"/>
    <w:rsid w:val="00D10E41"/>
    <w:rsid w:val="00D10FDF"/>
    <w:rsid w:val="00D1148D"/>
    <w:rsid w:val="00D11682"/>
    <w:rsid w:val="00D1169F"/>
    <w:rsid w:val="00D116A4"/>
    <w:rsid w:val="00D11A01"/>
    <w:rsid w:val="00D11EFE"/>
    <w:rsid w:val="00D122AC"/>
    <w:rsid w:val="00D12407"/>
    <w:rsid w:val="00D12520"/>
    <w:rsid w:val="00D12861"/>
    <w:rsid w:val="00D1396F"/>
    <w:rsid w:val="00D13E9C"/>
    <w:rsid w:val="00D13FD2"/>
    <w:rsid w:val="00D14048"/>
    <w:rsid w:val="00D1430B"/>
    <w:rsid w:val="00D1440B"/>
    <w:rsid w:val="00D14462"/>
    <w:rsid w:val="00D146BE"/>
    <w:rsid w:val="00D153F1"/>
    <w:rsid w:val="00D15EB7"/>
    <w:rsid w:val="00D161CE"/>
    <w:rsid w:val="00D161D3"/>
    <w:rsid w:val="00D17025"/>
    <w:rsid w:val="00D17041"/>
    <w:rsid w:val="00D17B3D"/>
    <w:rsid w:val="00D17BB3"/>
    <w:rsid w:val="00D17FBD"/>
    <w:rsid w:val="00D2010D"/>
    <w:rsid w:val="00D2057C"/>
    <w:rsid w:val="00D205ED"/>
    <w:rsid w:val="00D206B4"/>
    <w:rsid w:val="00D20889"/>
    <w:rsid w:val="00D20BB9"/>
    <w:rsid w:val="00D20CA0"/>
    <w:rsid w:val="00D20CCE"/>
    <w:rsid w:val="00D20D55"/>
    <w:rsid w:val="00D22020"/>
    <w:rsid w:val="00D2269A"/>
    <w:rsid w:val="00D226D2"/>
    <w:rsid w:val="00D2293B"/>
    <w:rsid w:val="00D22977"/>
    <w:rsid w:val="00D22A41"/>
    <w:rsid w:val="00D231E4"/>
    <w:rsid w:val="00D231F0"/>
    <w:rsid w:val="00D2358E"/>
    <w:rsid w:val="00D23650"/>
    <w:rsid w:val="00D236CD"/>
    <w:rsid w:val="00D24BD0"/>
    <w:rsid w:val="00D24C45"/>
    <w:rsid w:val="00D25A8E"/>
    <w:rsid w:val="00D25C51"/>
    <w:rsid w:val="00D26019"/>
    <w:rsid w:val="00D26128"/>
    <w:rsid w:val="00D26F09"/>
    <w:rsid w:val="00D26FF1"/>
    <w:rsid w:val="00D277DF"/>
    <w:rsid w:val="00D2786E"/>
    <w:rsid w:val="00D27E33"/>
    <w:rsid w:val="00D30133"/>
    <w:rsid w:val="00D30300"/>
    <w:rsid w:val="00D312A0"/>
    <w:rsid w:val="00D320BA"/>
    <w:rsid w:val="00D35295"/>
    <w:rsid w:val="00D35BC9"/>
    <w:rsid w:val="00D3656B"/>
    <w:rsid w:val="00D365C0"/>
    <w:rsid w:val="00D368A7"/>
    <w:rsid w:val="00D36D04"/>
    <w:rsid w:val="00D36EE1"/>
    <w:rsid w:val="00D36FA6"/>
    <w:rsid w:val="00D37011"/>
    <w:rsid w:val="00D3701B"/>
    <w:rsid w:val="00D376EB"/>
    <w:rsid w:val="00D376F8"/>
    <w:rsid w:val="00D37FA0"/>
    <w:rsid w:val="00D41E02"/>
    <w:rsid w:val="00D41F49"/>
    <w:rsid w:val="00D425FB"/>
    <w:rsid w:val="00D431A9"/>
    <w:rsid w:val="00D434D7"/>
    <w:rsid w:val="00D43711"/>
    <w:rsid w:val="00D43949"/>
    <w:rsid w:val="00D454C1"/>
    <w:rsid w:val="00D45556"/>
    <w:rsid w:val="00D45DEA"/>
    <w:rsid w:val="00D463BC"/>
    <w:rsid w:val="00D46918"/>
    <w:rsid w:val="00D46EFE"/>
    <w:rsid w:val="00D47897"/>
    <w:rsid w:val="00D47CE9"/>
    <w:rsid w:val="00D47E22"/>
    <w:rsid w:val="00D50B6A"/>
    <w:rsid w:val="00D50C08"/>
    <w:rsid w:val="00D515B5"/>
    <w:rsid w:val="00D5173B"/>
    <w:rsid w:val="00D519F2"/>
    <w:rsid w:val="00D5216B"/>
    <w:rsid w:val="00D522DF"/>
    <w:rsid w:val="00D52421"/>
    <w:rsid w:val="00D52727"/>
    <w:rsid w:val="00D53253"/>
    <w:rsid w:val="00D5326F"/>
    <w:rsid w:val="00D534FC"/>
    <w:rsid w:val="00D53ABF"/>
    <w:rsid w:val="00D53F67"/>
    <w:rsid w:val="00D5433F"/>
    <w:rsid w:val="00D543A3"/>
    <w:rsid w:val="00D553E0"/>
    <w:rsid w:val="00D55744"/>
    <w:rsid w:val="00D558AC"/>
    <w:rsid w:val="00D562FA"/>
    <w:rsid w:val="00D568A0"/>
    <w:rsid w:val="00D5768A"/>
    <w:rsid w:val="00D57B76"/>
    <w:rsid w:val="00D57CBC"/>
    <w:rsid w:val="00D57F98"/>
    <w:rsid w:val="00D57FAE"/>
    <w:rsid w:val="00D60042"/>
    <w:rsid w:val="00D604D3"/>
    <w:rsid w:val="00D60A04"/>
    <w:rsid w:val="00D60B38"/>
    <w:rsid w:val="00D60B3B"/>
    <w:rsid w:val="00D60BA1"/>
    <w:rsid w:val="00D60F58"/>
    <w:rsid w:val="00D61271"/>
    <w:rsid w:val="00D61507"/>
    <w:rsid w:val="00D61BE1"/>
    <w:rsid w:val="00D61E86"/>
    <w:rsid w:val="00D62483"/>
    <w:rsid w:val="00D626D7"/>
    <w:rsid w:val="00D6271A"/>
    <w:rsid w:val="00D627F7"/>
    <w:rsid w:val="00D62E8B"/>
    <w:rsid w:val="00D6307E"/>
    <w:rsid w:val="00D6384F"/>
    <w:rsid w:val="00D638D8"/>
    <w:rsid w:val="00D63EB2"/>
    <w:rsid w:val="00D64521"/>
    <w:rsid w:val="00D64BC9"/>
    <w:rsid w:val="00D64F91"/>
    <w:rsid w:val="00D6584B"/>
    <w:rsid w:val="00D65A82"/>
    <w:rsid w:val="00D65DB7"/>
    <w:rsid w:val="00D65E08"/>
    <w:rsid w:val="00D660B2"/>
    <w:rsid w:val="00D666E3"/>
    <w:rsid w:val="00D66AF4"/>
    <w:rsid w:val="00D66B48"/>
    <w:rsid w:val="00D67BBF"/>
    <w:rsid w:val="00D67BC8"/>
    <w:rsid w:val="00D67C32"/>
    <w:rsid w:val="00D67D10"/>
    <w:rsid w:val="00D70087"/>
    <w:rsid w:val="00D70151"/>
    <w:rsid w:val="00D701D3"/>
    <w:rsid w:val="00D7062D"/>
    <w:rsid w:val="00D7096A"/>
    <w:rsid w:val="00D71DD6"/>
    <w:rsid w:val="00D72816"/>
    <w:rsid w:val="00D72B0A"/>
    <w:rsid w:val="00D731C8"/>
    <w:rsid w:val="00D73B32"/>
    <w:rsid w:val="00D73BEB"/>
    <w:rsid w:val="00D741FA"/>
    <w:rsid w:val="00D742AA"/>
    <w:rsid w:val="00D742C7"/>
    <w:rsid w:val="00D74446"/>
    <w:rsid w:val="00D74585"/>
    <w:rsid w:val="00D74592"/>
    <w:rsid w:val="00D745AC"/>
    <w:rsid w:val="00D7475A"/>
    <w:rsid w:val="00D74BE2"/>
    <w:rsid w:val="00D74DD0"/>
    <w:rsid w:val="00D74E9B"/>
    <w:rsid w:val="00D75354"/>
    <w:rsid w:val="00D758A5"/>
    <w:rsid w:val="00D771C2"/>
    <w:rsid w:val="00D773A3"/>
    <w:rsid w:val="00D774A1"/>
    <w:rsid w:val="00D77A91"/>
    <w:rsid w:val="00D8075B"/>
    <w:rsid w:val="00D81540"/>
    <w:rsid w:val="00D81862"/>
    <w:rsid w:val="00D81A32"/>
    <w:rsid w:val="00D826A2"/>
    <w:rsid w:val="00D82F7A"/>
    <w:rsid w:val="00D83B3D"/>
    <w:rsid w:val="00D83E0D"/>
    <w:rsid w:val="00D848D0"/>
    <w:rsid w:val="00D84D77"/>
    <w:rsid w:val="00D84F8F"/>
    <w:rsid w:val="00D851D7"/>
    <w:rsid w:val="00D85558"/>
    <w:rsid w:val="00D86582"/>
    <w:rsid w:val="00D86843"/>
    <w:rsid w:val="00D8690B"/>
    <w:rsid w:val="00D86B1B"/>
    <w:rsid w:val="00D86BEB"/>
    <w:rsid w:val="00D873F2"/>
    <w:rsid w:val="00D87F56"/>
    <w:rsid w:val="00D904D2"/>
    <w:rsid w:val="00D9073D"/>
    <w:rsid w:val="00D90832"/>
    <w:rsid w:val="00D910BF"/>
    <w:rsid w:val="00D910F3"/>
    <w:rsid w:val="00D91132"/>
    <w:rsid w:val="00D9134E"/>
    <w:rsid w:val="00D917BB"/>
    <w:rsid w:val="00D923BC"/>
    <w:rsid w:val="00D9250D"/>
    <w:rsid w:val="00D92AE9"/>
    <w:rsid w:val="00D92EDB"/>
    <w:rsid w:val="00D93014"/>
    <w:rsid w:val="00D9317B"/>
    <w:rsid w:val="00D9338D"/>
    <w:rsid w:val="00D93479"/>
    <w:rsid w:val="00D93932"/>
    <w:rsid w:val="00D93B50"/>
    <w:rsid w:val="00D9463D"/>
    <w:rsid w:val="00D94A57"/>
    <w:rsid w:val="00D94B62"/>
    <w:rsid w:val="00D94EEC"/>
    <w:rsid w:val="00D95492"/>
    <w:rsid w:val="00D96068"/>
    <w:rsid w:val="00D9655E"/>
    <w:rsid w:val="00D9712F"/>
    <w:rsid w:val="00D97674"/>
    <w:rsid w:val="00D978FA"/>
    <w:rsid w:val="00DA0197"/>
    <w:rsid w:val="00DA05B1"/>
    <w:rsid w:val="00DA0B7B"/>
    <w:rsid w:val="00DA17A4"/>
    <w:rsid w:val="00DA207B"/>
    <w:rsid w:val="00DA2415"/>
    <w:rsid w:val="00DA2784"/>
    <w:rsid w:val="00DA2BD6"/>
    <w:rsid w:val="00DA30CF"/>
    <w:rsid w:val="00DA3551"/>
    <w:rsid w:val="00DA3C2D"/>
    <w:rsid w:val="00DA3CB9"/>
    <w:rsid w:val="00DA4056"/>
    <w:rsid w:val="00DA4222"/>
    <w:rsid w:val="00DA5402"/>
    <w:rsid w:val="00DB019D"/>
    <w:rsid w:val="00DB03A7"/>
    <w:rsid w:val="00DB05F5"/>
    <w:rsid w:val="00DB12C8"/>
    <w:rsid w:val="00DB1F7B"/>
    <w:rsid w:val="00DB1FE5"/>
    <w:rsid w:val="00DB25E1"/>
    <w:rsid w:val="00DB274D"/>
    <w:rsid w:val="00DB3058"/>
    <w:rsid w:val="00DB3706"/>
    <w:rsid w:val="00DB3A7F"/>
    <w:rsid w:val="00DB4393"/>
    <w:rsid w:val="00DB4AE1"/>
    <w:rsid w:val="00DB5184"/>
    <w:rsid w:val="00DB5A9B"/>
    <w:rsid w:val="00DB64FF"/>
    <w:rsid w:val="00DB663F"/>
    <w:rsid w:val="00DB6CFA"/>
    <w:rsid w:val="00DB7648"/>
    <w:rsid w:val="00DB776B"/>
    <w:rsid w:val="00DC0FEC"/>
    <w:rsid w:val="00DC12CF"/>
    <w:rsid w:val="00DC1518"/>
    <w:rsid w:val="00DC1A01"/>
    <w:rsid w:val="00DC28F6"/>
    <w:rsid w:val="00DC2F1F"/>
    <w:rsid w:val="00DC332F"/>
    <w:rsid w:val="00DC3B3C"/>
    <w:rsid w:val="00DC3FCB"/>
    <w:rsid w:val="00DC4180"/>
    <w:rsid w:val="00DC421D"/>
    <w:rsid w:val="00DC48E2"/>
    <w:rsid w:val="00DC4B33"/>
    <w:rsid w:val="00DC4FF2"/>
    <w:rsid w:val="00DC584E"/>
    <w:rsid w:val="00DC63AB"/>
    <w:rsid w:val="00DC6B84"/>
    <w:rsid w:val="00DC7926"/>
    <w:rsid w:val="00DD0101"/>
    <w:rsid w:val="00DD04E1"/>
    <w:rsid w:val="00DD084C"/>
    <w:rsid w:val="00DD08B2"/>
    <w:rsid w:val="00DD0F0F"/>
    <w:rsid w:val="00DD12F4"/>
    <w:rsid w:val="00DD143C"/>
    <w:rsid w:val="00DD20D1"/>
    <w:rsid w:val="00DD32A8"/>
    <w:rsid w:val="00DD3EEE"/>
    <w:rsid w:val="00DD3F8E"/>
    <w:rsid w:val="00DD4AFD"/>
    <w:rsid w:val="00DD4B97"/>
    <w:rsid w:val="00DD4BA7"/>
    <w:rsid w:val="00DD506A"/>
    <w:rsid w:val="00DD5E4F"/>
    <w:rsid w:val="00DD6460"/>
    <w:rsid w:val="00DD76D4"/>
    <w:rsid w:val="00DD7A6A"/>
    <w:rsid w:val="00DD7CEC"/>
    <w:rsid w:val="00DE0444"/>
    <w:rsid w:val="00DE0574"/>
    <w:rsid w:val="00DE0584"/>
    <w:rsid w:val="00DE0FA7"/>
    <w:rsid w:val="00DE197F"/>
    <w:rsid w:val="00DE1C9E"/>
    <w:rsid w:val="00DE1CB9"/>
    <w:rsid w:val="00DE1E51"/>
    <w:rsid w:val="00DE2E16"/>
    <w:rsid w:val="00DE2E8F"/>
    <w:rsid w:val="00DE2EBA"/>
    <w:rsid w:val="00DE30F8"/>
    <w:rsid w:val="00DE3289"/>
    <w:rsid w:val="00DE4B2C"/>
    <w:rsid w:val="00DE5000"/>
    <w:rsid w:val="00DE5024"/>
    <w:rsid w:val="00DE56C3"/>
    <w:rsid w:val="00DE5909"/>
    <w:rsid w:val="00DE5D01"/>
    <w:rsid w:val="00DE6BAA"/>
    <w:rsid w:val="00DE72A6"/>
    <w:rsid w:val="00DE7A12"/>
    <w:rsid w:val="00DF01B3"/>
    <w:rsid w:val="00DF07BD"/>
    <w:rsid w:val="00DF0A3B"/>
    <w:rsid w:val="00DF0B5B"/>
    <w:rsid w:val="00DF10EC"/>
    <w:rsid w:val="00DF1378"/>
    <w:rsid w:val="00DF196C"/>
    <w:rsid w:val="00DF1C02"/>
    <w:rsid w:val="00DF1C76"/>
    <w:rsid w:val="00DF22D6"/>
    <w:rsid w:val="00DF274E"/>
    <w:rsid w:val="00DF2CD5"/>
    <w:rsid w:val="00DF2E9B"/>
    <w:rsid w:val="00DF39F2"/>
    <w:rsid w:val="00DF3FC2"/>
    <w:rsid w:val="00DF483D"/>
    <w:rsid w:val="00DF4FC8"/>
    <w:rsid w:val="00DF5217"/>
    <w:rsid w:val="00DF540A"/>
    <w:rsid w:val="00DF6B4B"/>
    <w:rsid w:val="00DF6E11"/>
    <w:rsid w:val="00DF7214"/>
    <w:rsid w:val="00DF7687"/>
    <w:rsid w:val="00DF7919"/>
    <w:rsid w:val="00DF7D39"/>
    <w:rsid w:val="00E00054"/>
    <w:rsid w:val="00E0088F"/>
    <w:rsid w:val="00E01147"/>
    <w:rsid w:val="00E0231E"/>
    <w:rsid w:val="00E02E33"/>
    <w:rsid w:val="00E03307"/>
    <w:rsid w:val="00E03C54"/>
    <w:rsid w:val="00E04583"/>
    <w:rsid w:val="00E045B0"/>
    <w:rsid w:val="00E04ACF"/>
    <w:rsid w:val="00E04ADA"/>
    <w:rsid w:val="00E04DCE"/>
    <w:rsid w:val="00E04E7C"/>
    <w:rsid w:val="00E050B0"/>
    <w:rsid w:val="00E05707"/>
    <w:rsid w:val="00E05B9F"/>
    <w:rsid w:val="00E062A1"/>
    <w:rsid w:val="00E06BDA"/>
    <w:rsid w:val="00E06E76"/>
    <w:rsid w:val="00E06FBE"/>
    <w:rsid w:val="00E07388"/>
    <w:rsid w:val="00E1039E"/>
    <w:rsid w:val="00E1111D"/>
    <w:rsid w:val="00E115EC"/>
    <w:rsid w:val="00E118EF"/>
    <w:rsid w:val="00E11BFD"/>
    <w:rsid w:val="00E120D3"/>
    <w:rsid w:val="00E1219D"/>
    <w:rsid w:val="00E12351"/>
    <w:rsid w:val="00E1277B"/>
    <w:rsid w:val="00E129CC"/>
    <w:rsid w:val="00E12A4E"/>
    <w:rsid w:val="00E12BE9"/>
    <w:rsid w:val="00E12D71"/>
    <w:rsid w:val="00E12FD4"/>
    <w:rsid w:val="00E138F7"/>
    <w:rsid w:val="00E140D2"/>
    <w:rsid w:val="00E145FB"/>
    <w:rsid w:val="00E1469B"/>
    <w:rsid w:val="00E14838"/>
    <w:rsid w:val="00E14941"/>
    <w:rsid w:val="00E14DB1"/>
    <w:rsid w:val="00E15007"/>
    <w:rsid w:val="00E155DA"/>
    <w:rsid w:val="00E15697"/>
    <w:rsid w:val="00E158F6"/>
    <w:rsid w:val="00E15A0A"/>
    <w:rsid w:val="00E15AA0"/>
    <w:rsid w:val="00E15B28"/>
    <w:rsid w:val="00E15CDC"/>
    <w:rsid w:val="00E16068"/>
    <w:rsid w:val="00E163D9"/>
    <w:rsid w:val="00E17167"/>
    <w:rsid w:val="00E1741D"/>
    <w:rsid w:val="00E17635"/>
    <w:rsid w:val="00E17EF5"/>
    <w:rsid w:val="00E200A0"/>
    <w:rsid w:val="00E20260"/>
    <w:rsid w:val="00E20F15"/>
    <w:rsid w:val="00E212E5"/>
    <w:rsid w:val="00E21EA9"/>
    <w:rsid w:val="00E22A99"/>
    <w:rsid w:val="00E22C02"/>
    <w:rsid w:val="00E22DF5"/>
    <w:rsid w:val="00E22E7A"/>
    <w:rsid w:val="00E231AB"/>
    <w:rsid w:val="00E2342E"/>
    <w:rsid w:val="00E23B23"/>
    <w:rsid w:val="00E24692"/>
    <w:rsid w:val="00E247C9"/>
    <w:rsid w:val="00E247D7"/>
    <w:rsid w:val="00E248D0"/>
    <w:rsid w:val="00E24916"/>
    <w:rsid w:val="00E24932"/>
    <w:rsid w:val="00E24B0A"/>
    <w:rsid w:val="00E24ECE"/>
    <w:rsid w:val="00E25065"/>
    <w:rsid w:val="00E2564F"/>
    <w:rsid w:val="00E257E9"/>
    <w:rsid w:val="00E260C7"/>
    <w:rsid w:val="00E26558"/>
    <w:rsid w:val="00E269F7"/>
    <w:rsid w:val="00E26C56"/>
    <w:rsid w:val="00E270F4"/>
    <w:rsid w:val="00E2717A"/>
    <w:rsid w:val="00E27201"/>
    <w:rsid w:val="00E2746E"/>
    <w:rsid w:val="00E275DE"/>
    <w:rsid w:val="00E27649"/>
    <w:rsid w:val="00E27A77"/>
    <w:rsid w:val="00E30BCB"/>
    <w:rsid w:val="00E30CC3"/>
    <w:rsid w:val="00E30E75"/>
    <w:rsid w:val="00E314F4"/>
    <w:rsid w:val="00E31819"/>
    <w:rsid w:val="00E31CE8"/>
    <w:rsid w:val="00E31CFC"/>
    <w:rsid w:val="00E31E2E"/>
    <w:rsid w:val="00E31FEB"/>
    <w:rsid w:val="00E321A8"/>
    <w:rsid w:val="00E32CD8"/>
    <w:rsid w:val="00E33775"/>
    <w:rsid w:val="00E3387C"/>
    <w:rsid w:val="00E33A62"/>
    <w:rsid w:val="00E33A95"/>
    <w:rsid w:val="00E33F83"/>
    <w:rsid w:val="00E33FF8"/>
    <w:rsid w:val="00E34138"/>
    <w:rsid w:val="00E34645"/>
    <w:rsid w:val="00E353CF"/>
    <w:rsid w:val="00E3606F"/>
    <w:rsid w:val="00E363D6"/>
    <w:rsid w:val="00E366FC"/>
    <w:rsid w:val="00E36987"/>
    <w:rsid w:val="00E372D1"/>
    <w:rsid w:val="00E37300"/>
    <w:rsid w:val="00E37D63"/>
    <w:rsid w:val="00E37E33"/>
    <w:rsid w:val="00E4081A"/>
    <w:rsid w:val="00E40B23"/>
    <w:rsid w:val="00E40B66"/>
    <w:rsid w:val="00E410D3"/>
    <w:rsid w:val="00E4117A"/>
    <w:rsid w:val="00E41A14"/>
    <w:rsid w:val="00E42910"/>
    <w:rsid w:val="00E42ACE"/>
    <w:rsid w:val="00E433E3"/>
    <w:rsid w:val="00E438BE"/>
    <w:rsid w:val="00E43B7F"/>
    <w:rsid w:val="00E449E7"/>
    <w:rsid w:val="00E44DF7"/>
    <w:rsid w:val="00E45190"/>
    <w:rsid w:val="00E45CFA"/>
    <w:rsid w:val="00E45F43"/>
    <w:rsid w:val="00E46110"/>
    <w:rsid w:val="00E46266"/>
    <w:rsid w:val="00E463D9"/>
    <w:rsid w:val="00E4640A"/>
    <w:rsid w:val="00E46B09"/>
    <w:rsid w:val="00E46C30"/>
    <w:rsid w:val="00E46CE2"/>
    <w:rsid w:val="00E46D8F"/>
    <w:rsid w:val="00E46EA3"/>
    <w:rsid w:val="00E479A2"/>
    <w:rsid w:val="00E47C66"/>
    <w:rsid w:val="00E47DD6"/>
    <w:rsid w:val="00E507E5"/>
    <w:rsid w:val="00E50A0F"/>
    <w:rsid w:val="00E510F6"/>
    <w:rsid w:val="00E5112E"/>
    <w:rsid w:val="00E51CDA"/>
    <w:rsid w:val="00E51EDF"/>
    <w:rsid w:val="00E520B6"/>
    <w:rsid w:val="00E524CB"/>
    <w:rsid w:val="00E52924"/>
    <w:rsid w:val="00E52D82"/>
    <w:rsid w:val="00E53615"/>
    <w:rsid w:val="00E53ABB"/>
    <w:rsid w:val="00E54B36"/>
    <w:rsid w:val="00E551B0"/>
    <w:rsid w:val="00E557B7"/>
    <w:rsid w:val="00E5626E"/>
    <w:rsid w:val="00E56A05"/>
    <w:rsid w:val="00E56AD5"/>
    <w:rsid w:val="00E56E47"/>
    <w:rsid w:val="00E57B5B"/>
    <w:rsid w:val="00E57DA7"/>
    <w:rsid w:val="00E60490"/>
    <w:rsid w:val="00E6070B"/>
    <w:rsid w:val="00E61088"/>
    <w:rsid w:val="00E610DB"/>
    <w:rsid w:val="00E61220"/>
    <w:rsid w:val="00E62484"/>
    <w:rsid w:val="00E6251E"/>
    <w:rsid w:val="00E62D5F"/>
    <w:rsid w:val="00E6313C"/>
    <w:rsid w:val="00E6380F"/>
    <w:rsid w:val="00E63A30"/>
    <w:rsid w:val="00E63CA9"/>
    <w:rsid w:val="00E63D7D"/>
    <w:rsid w:val="00E63FA3"/>
    <w:rsid w:val="00E641CD"/>
    <w:rsid w:val="00E64CED"/>
    <w:rsid w:val="00E64D15"/>
    <w:rsid w:val="00E64D4E"/>
    <w:rsid w:val="00E65007"/>
    <w:rsid w:val="00E66746"/>
    <w:rsid w:val="00E66BC7"/>
    <w:rsid w:val="00E66BF0"/>
    <w:rsid w:val="00E66D84"/>
    <w:rsid w:val="00E67163"/>
    <w:rsid w:val="00E671D9"/>
    <w:rsid w:val="00E703F5"/>
    <w:rsid w:val="00E70A95"/>
    <w:rsid w:val="00E70BEF"/>
    <w:rsid w:val="00E71432"/>
    <w:rsid w:val="00E7144C"/>
    <w:rsid w:val="00E716A6"/>
    <w:rsid w:val="00E7402B"/>
    <w:rsid w:val="00E740A9"/>
    <w:rsid w:val="00E7458F"/>
    <w:rsid w:val="00E74A6B"/>
    <w:rsid w:val="00E74EC7"/>
    <w:rsid w:val="00E74EE4"/>
    <w:rsid w:val="00E7506E"/>
    <w:rsid w:val="00E75C34"/>
    <w:rsid w:val="00E75C97"/>
    <w:rsid w:val="00E76205"/>
    <w:rsid w:val="00E76FB6"/>
    <w:rsid w:val="00E76FD2"/>
    <w:rsid w:val="00E7759E"/>
    <w:rsid w:val="00E80A6E"/>
    <w:rsid w:val="00E80BDE"/>
    <w:rsid w:val="00E81272"/>
    <w:rsid w:val="00E815AE"/>
    <w:rsid w:val="00E81714"/>
    <w:rsid w:val="00E81A85"/>
    <w:rsid w:val="00E8214C"/>
    <w:rsid w:val="00E82177"/>
    <w:rsid w:val="00E82319"/>
    <w:rsid w:val="00E823E6"/>
    <w:rsid w:val="00E826B1"/>
    <w:rsid w:val="00E82EB7"/>
    <w:rsid w:val="00E83640"/>
    <w:rsid w:val="00E844D0"/>
    <w:rsid w:val="00E84513"/>
    <w:rsid w:val="00E848D3"/>
    <w:rsid w:val="00E859D7"/>
    <w:rsid w:val="00E85D6F"/>
    <w:rsid w:val="00E863D5"/>
    <w:rsid w:val="00E8662D"/>
    <w:rsid w:val="00E86B0E"/>
    <w:rsid w:val="00E87057"/>
    <w:rsid w:val="00E874FB"/>
    <w:rsid w:val="00E87576"/>
    <w:rsid w:val="00E87F4E"/>
    <w:rsid w:val="00E9026E"/>
    <w:rsid w:val="00E902E6"/>
    <w:rsid w:val="00E92403"/>
    <w:rsid w:val="00E928B3"/>
    <w:rsid w:val="00E929A5"/>
    <w:rsid w:val="00E92B46"/>
    <w:rsid w:val="00E92B56"/>
    <w:rsid w:val="00E932BD"/>
    <w:rsid w:val="00E941DC"/>
    <w:rsid w:val="00E94580"/>
    <w:rsid w:val="00E9459D"/>
    <w:rsid w:val="00E95092"/>
    <w:rsid w:val="00E956E0"/>
    <w:rsid w:val="00E957D1"/>
    <w:rsid w:val="00E961BE"/>
    <w:rsid w:val="00E96239"/>
    <w:rsid w:val="00E964BF"/>
    <w:rsid w:val="00E96BB8"/>
    <w:rsid w:val="00E97BA8"/>
    <w:rsid w:val="00E97F73"/>
    <w:rsid w:val="00EA0019"/>
    <w:rsid w:val="00EA0B49"/>
    <w:rsid w:val="00EA187A"/>
    <w:rsid w:val="00EA1F04"/>
    <w:rsid w:val="00EA238A"/>
    <w:rsid w:val="00EA26E7"/>
    <w:rsid w:val="00EA27EF"/>
    <w:rsid w:val="00EA29B5"/>
    <w:rsid w:val="00EA2F23"/>
    <w:rsid w:val="00EA30A7"/>
    <w:rsid w:val="00EA3A69"/>
    <w:rsid w:val="00EA40CA"/>
    <w:rsid w:val="00EA41CB"/>
    <w:rsid w:val="00EA41E9"/>
    <w:rsid w:val="00EA5699"/>
    <w:rsid w:val="00EA5E33"/>
    <w:rsid w:val="00EA70D0"/>
    <w:rsid w:val="00EA7405"/>
    <w:rsid w:val="00EA7888"/>
    <w:rsid w:val="00EA7E2F"/>
    <w:rsid w:val="00EA7F6A"/>
    <w:rsid w:val="00EB02C6"/>
    <w:rsid w:val="00EB0A05"/>
    <w:rsid w:val="00EB10C5"/>
    <w:rsid w:val="00EB136B"/>
    <w:rsid w:val="00EB15E8"/>
    <w:rsid w:val="00EB1763"/>
    <w:rsid w:val="00EB30F2"/>
    <w:rsid w:val="00EB345C"/>
    <w:rsid w:val="00EB39EC"/>
    <w:rsid w:val="00EB41EE"/>
    <w:rsid w:val="00EB42F9"/>
    <w:rsid w:val="00EB4598"/>
    <w:rsid w:val="00EB4B4F"/>
    <w:rsid w:val="00EB4EF3"/>
    <w:rsid w:val="00EB4F7C"/>
    <w:rsid w:val="00EB541C"/>
    <w:rsid w:val="00EB54C3"/>
    <w:rsid w:val="00EB5645"/>
    <w:rsid w:val="00EB663E"/>
    <w:rsid w:val="00EB6895"/>
    <w:rsid w:val="00EB7073"/>
    <w:rsid w:val="00EB74C5"/>
    <w:rsid w:val="00EB784D"/>
    <w:rsid w:val="00EC0019"/>
    <w:rsid w:val="00EC03CA"/>
    <w:rsid w:val="00EC0724"/>
    <w:rsid w:val="00EC14B6"/>
    <w:rsid w:val="00EC14F8"/>
    <w:rsid w:val="00EC1CC6"/>
    <w:rsid w:val="00EC1F04"/>
    <w:rsid w:val="00EC2A5A"/>
    <w:rsid w:val="00EC2BC2"/>
    <w:rsid w:val="00EC2C18"/>
    <w:rsid w:val="00EC30B9"/>
    <w:rsid w:val="00EC3419"/>
    <w:rsid w:val="00EC35B1"/>
    <w:rsid w:val="00EC37D6"/>
    <w:rsid w:val="00EC3B6E"/>
    <w:rsid w:val="00EC4144"/>
    <w:rsid w:val="00EC4457"/>
    <w:rsid w:val="00EC5B27"/>
    <w:rsid w:val="00EC5EC2"/>
    <w:rsid w:val="00EC67FF"/>
    <w:rsid w:val="00EC6858"/>
    <w:rsid w:val="00EC6CEB"/>
    <w:rsid w:val="00EC72C1"/>
    <w:rsid w:val="00EC72D7"/>
    <w:rsid w:val="00EC743F"/>
    <w:rsid w:val="00EC76DE"/>
    <w:rsid w:val="00EC7D27"/>
    <w:rsid w:val="00EC7E0B"/>
    <w:rsid w:val="00EC7F80"/>
    <w:rsid w:val="00ED09F8"/>
    <w:rsid w:val="00ED0BDD"/>
    <w:rsid w:val="00ED0E61"/>
    <w:rsid w:val="00ED1C0E"/>
    <w:rsid w:val="00ED2129"/>
    <w:rsid w:val="00ED276E"/>
    <w:rsid w:val="00ED2854"/>
    <w:rsid w:val="00ED2A79"/>
    <w:rsid w:val="00ED2A81"/>
    <w:rsid w:val="00ED31E3"/>
    <w:rsid w:val="00ED3208"/>
    <w:rsid w:val="00ED3B87"/>
    <w:rsid w:val="00ED4146"/>
    <w:rsid w:val="00ED4BB3"/>
    <w:rsid w:val="00ED4F71"/>
    <w:rsid w:val="00ED50B4"/>
    <w:rsid w:val="00ED5A4C"/>
    <w:rsid w:val="00ED5CD4"/>
    <w:rsid w:val="00ED5E9D"/>
    <w:rsid w:val="00ED6888"/>
    <w:rsid w:val="00EE0442"/>
    <w:rsid w:val="00EE0501"/>
    <w:rsid w:val="00EE063C"/>
    <w:rsid w:val="00EE0CBD"/>
    <w:rsid w:val="00EE1511"/>
    <w:rsid w:val="00EE1998"/>
    <w:rsid w:val="00EE1D15"/>
    <w:rsid w:val="00EE24BB"/>
    <w:rsid w:val="00EE2965"/>
    <w:rsid w:val="00EE33EF"/>
    <w:rsid w:val="00EE42A9"/>
    <w:rsid w:val="00EE4A93"/>
    <w:rsid w:val="00EE4AAF"/>
    <w:rsid w:val="00EE4EDC"/>
    <w:rsid w:val="00EE51EA"/>
    <w:rsid w:val="00EE5558"/>
    <w:rsid w:val="00EE5AC0"/>
    <w:rsid w:val="00EE6244"/>
    <w:rsid w:val="00EE6668"/>
    <w:rsid w:val="00EE687A"/>
    <w:rsid w:val="00EE6A0D"/>
    <w:rsid w:val="00EE6F81"/>
    <w:rsid w:val="00EE6FAD"/>
    <w:rsid w:val="00EE72CF"/>
    <w:rsid w:val="00EE7558"/>
    <w:rsid w:val="00EE7573"/>
    <w:rsid w:val="00EE764A"/>
    <w:rsid w:val="00EE770B"/>
    <w:rsid w:val="00EE78DC"/>
    <w:rsid w:val="00EF091B"/>
    <w:rsid w:val="00EF0B82"/>
    <w:rsid w:val="00EF0C95"/>
    <w:rsid w:val="00EF0CF1"/>
    <w:rsid w:val="00EF0E18"/>
    <w:rsid w:val="00EF1A0E"/>
    <w:rsid w:val="00EF1D18"/>
    <w:rsid w:val="00EF24F8"/>
    <w:rsid w:val="00EF291F"/>
    <w:rsid w:val="00EF471B"/>
    <w:rsid w:val="00EF4B3C"/>
    <w:rsid w:val="00EF4C68"/>
    <w:rsid w:val="00EF4E6C"/>
    <w:rsid w:val="00EF58A5"/>
    <w:rsid w:val="00EF5C25"/>
    <w:rsid w:val="00EF5DBF"/>
    <w:rsid w:val="00EF617F"/>
    <w:rsid w:val="00EF63D7"/>
    <w:rsid w:val="00EF6593"/>
    <w:rsid w:val="00EF669B"/>
    <w:rsid w:val="00EF6764"/>
    <w:rsid w:val="00EF6C4D"/>
    <w:rsid w:val="00EF73F5"/>
    <w:rsid w:val="00EF7486"/>
    <w:rsid w:val="00EF758A"/>
    <w:rsid w:val="00EF792C"/>
    <w:rsid w:val="00EF7A50"/>
    <w:rsid w:val="00F004CD"/>
    <w:rsid w:val="00F00902"/>
    <w:rsid w:val="00F0144C"/>
    <w:rsid w:val="00F01973"/>
    <w:rsid w:val="00F02884"/>
    <w:rsid w:val="00F03761"/>
    <w:rsid w:val="00F038B9"/>
    <w:rsid w:val="00F03950"/>
    <w:rsid w:val="00F03CE9"/>
    <w:rsid w:val="00F04CC7"/>
    <w:rsid w:val="00F050CC"/>
    <w:rsid w:val="00F05A09"/>
    <w:rsid w:val="00F05E6C"/>
    <w:rsid w:val="00F0637C"/>
    <w:rsid w:val="00F063DE"/>
    <w:rsid w:val="00F0671C"/>
    <w:rsid w:val="00F07F0D"/>
    <w:rsid w:val="00F1008E"/>
    <w:rsid w:val="00F100D2"/>
    <w:rsid w:val="00F10BB2"/>
    <w:rsid w:val="00F10F9B"/>
    <w:rsid w:val="00F1132D"/>
    <w:rsid w:val="00F1166B"/>
    <w:rsid w:val="00F11866"/>
    <w:rsid w:val="00F11E05"/>
    <w:rsid w:val="00F123C6"/>
    <w:rsid w:val="00F12619"/>
    <w:rsid w:val="00F126C3"/>
    <w:rsid w:val="00F1270E"/>
    <w:rsid w:val="00F129C4"/>
    <w:rsid w:val="00F1312C"/>
    <w:rsid w:val="00F13FA4"/>
    <w:rsid w:val="00F14078"/>
    <w:rsid w:val="00F1414A"/>
    <w:rsid w:val="00F14408"/>
    <w:rsid w:val="00F14833"/>
    <w:rsid w:val="00F14F85"/>
    <w:rsid w:val="00F153A2"/>
    <w:rsid w:val="00F15CA0"/>
    <w:rsid w:val="00F163BA"/>
    <w:rsid w:val="00F1675E"/>
    <w:rsid w:val="00F16B50"/>
    <w:rsid w:val="00F16F04"/>
    <w:rsid w:val="00F177B5"/>
    <w:rsid w:val="00F177C8"/>
    <w:rsid w:val="00F17C44"/>
    <w:rsid w:val="00F202C2"/>
    <w:rsid w:val="00F202F8"/>
    <w:rsid w:val="00F2055E"/>
    <w:rsid w:val="00F2073D"/>
    <w:rsid w:val="00F2095F"/>
    <w:rsid w:val="00F20FF4"/>
    <w:rsid w:val="00F21448"/>
    <w:rsid w:val="00F217CF"/>
    <w:rsid w:val="00F21E8E"/>
    <w:rsid w:val="00F22294"/>
    <w:rsid w:val="00F222AF"/>
    <w:rsid w:val="00F232F6"/>
    <w:rsid w:val="00F2348F"/>
    <w:rsid w:val="00F2366B"/>
    <w:rsid w:val="00F23F26"/>
    <w:rsid w:val="00F243E1"/>
    <w:rsid w:val="00F2443E"/>
    <w:rsid w:val="00F2470C"/>
    <w:rsid w:val="00F24863"/>
    <w:rsid w:val="00F24B08"/>
    <w:rsid w:val="00F24EAC"/>
    <w:rsid w:val="00F25971"/>
    <w:rsid w:val="00F25CC3"/>
    <w:rsid w:val="00F25CCE"/>
    <w:rsid w:val="00F268F6"/>
    <w:rsid w:val="00F2690C"/>
    <w:rsid w:val="00F26AF6"/>
    <w:rsid w:val="00F27B8B"/>
    <w:rsid w:val="00F3049F"/>
    <w:rsid w:val="00F30650"/>
    <w:rsid w:val="00F30C3A"/>
    <w:rsid w:val="00F3249D"/>
    <w:rsid w:val="00F32724"/>
    <w:rsid w:val="00F32C24"/>
    <w:rsid w:val="00F32D8C"/>
    <w:rsid w:val="00F330A3"/>
    <w:rsid w:val="00F3328B"/>
    <w:rsid w:val="00F34045"/>
    <w:rsid w:val="00F34129"/>
    <w:rsid w:val="00F34190"/>
    <w:rsid w:val="00F3429D"/>
    <w:rsid w:val="00F34471"/>
    <w:rsid w:val="00F34C40"/>
    <w:rsid w:val="00F34CB0"/>
    <w:rsid w:val="00F35375"/>
    <w:rsid w:val="00F35AE5"/>
    <w:rsid w:val="00F35EC8"/>
    <w:rsid w:val="00F3728C"/>
    <w:rsid w:val="00F379EA"/>
    <w:rsid w:val="00F401DE"/>
    <w:rsid w:val="00F404D9"/>
    <w:rsid w:val="00F405F6"/>
    <w:rsid w:val="00F40752"/>
    <w:rsid w:val="00F40DA7"/>
    <w:rsid w:val="00F41014"/>
    <w:rsid w:val="00F41503"/>
    <w:rsid w:val="00F41813"/>
    <w:rsid w:val="00F421B8"/>
    <w:rsid w:val="00F423AD"/>
    <w:rsid w:val="00F424F1"/>
    <w:rsid w:val="00F42862"/>
    <w:rsid w:val="00F428C3"/>
    <w:rsid w:val="00F42E88"/>
    <w:rsid w:val="00F4350C"/>
    <w:rsid w:val="00F43A5F"/>
    <w:rsid w:val="00F44289"/>
    <w:rsid w:val="00F4454E"/>
    <w:rsid w:val="00F453A4"/>
    <w:rsid w:val="00F458CA"/>
    <w:rsid w:val="00F45AC6"/>
    <w:rsid w:val="00F471D1"/>
    <w:rsid w:val="00F476EA"/>
    <w:rsid w:val="00F4776F"/>
    <w:rsid w:val="00F479E6"/>
    <w:rsid w:val="00F47E74"/>
    <w:rsid w:val="00F50111"/>
    <w:rsid w:val="00F50870"/>
    <w:rsid w:val="00F50A2B"/>
    <w:rsid w:val="00F50DAE"/>
    <w:rsid w:val="00F51255"/>
    <w:rsid w:val="00F517E6"/>
    <w:rsid w:val="00F523CE"/>
    <w:rsid w:val="00F52569"/>
    <w:rsid w:val="00F52583"/>
    <w:rsid w:val="00F529C5"/>
    <w:rsid w:val="00F53302"/>
    <w:rsid w:val="00F535FA"/>
    <w:rsid w:val="00F5386B"/>
    <w:rsid w:val="00F53878"/>
    <w:rsid w:val="00F53F34"/>
    <w:rsid w:val="00F54154"/>
    <w:rsid w:val="00F5420B"/>
    <w:rsid w:val="00F54E68"/>
    <w:rsid w:val="00F55991"/>
    <w:rsid w:val="00F55DD4"/>
    <w:rsid w:val="00F56876"/>
    <w:rsid w:val="00F56AAC"/>
    <w:rsid w:val="00F56B17"/>
    <w:rsid w:val="00F56E81"/>
    <w:rsid w:val="00F56FC9"/>
    <w:rsid w:val="00F5729F"/>
    <w:rsid w:val="00F57969"/>
    <w:rsid w:val="00F6058C"/>
    <w:rsid w:val="00F60847"/>
    <w:rsid w:val="00F60B25"/>
    <w:rsid w:val="00F610E2"/>
    <w:rsid w:val="00F6169B"/>
    <w:rsid w:val="00F62614"/>
    <w:rsid w:val="00F634DC"/>
    <w:rsid w:val="00F63680"/>
    <w:rsid w:val="00F63A20"/>
    <w:rsid w:val="00F64D4E"/>
    <w:rsid w:val="00F65016"/>
    <w:rsid w:val="00F65482"/>
    <w:rsid w:val="00F65680"/>
    <w:rsid w:val="00F6586A"/>
    <w:rsid w:val="00F659F0"/>
    <w:rsid w:val="00F65D39"/>
    <w:rsid w:val="00F6618F"/>
    <w:rsid w:val="00F66209"/>
    <w:rsid w:val="00F66476"/>
    <w:rsid w:val="00F66512"/>
    <w:rsid w:val="00F66A14"/>
    <w:rsid w:val="00F66BD8"/>
    <w:rsid w:val="00F6791F"/>
    <w:rsid w:val="00F67E86"/>
    <w:rsid w:val="00F67F97"/>
    <w:rsid w:val="00F7040D"/>
    <w:rsid w:val="00F70603"/>
    <w:rsid w:val="00F70852"/>
    <w:rsid w:val="00F70EB2"/>
    <w:rsid w:val="00F70EEF"/>
    <w:rsid w:val="00F71CF9"/>
    <w:rsid w:val="00F72935"/>
    <w:rsid w:val="00F7307B"/>
    <w:rsid w:val="00F73371"/>
    <w:rsid w:val="00F73528"/>
    <w:rsid w:val="00F73A61"/>
    <w:rsid w:val="00F73D0B"/>
    <w:rsid w:val="00F73E05"/>
    <w:rsid w:val="00F74851"/>
    <w:rsid w:val="00F74F5F"/>
    <w:rsid w:val="00F75442"/>
    <w:rsid w:val="00F7597A"/>
    <w:rsid w:val="00F75BAA"/>
    <w:rsid w:val="00F76407"/>
    <w:rsid w:val="00F76C8E"/>
    <w:rsid w:val="00F76CA5"/>
    <w:rsid w:val="00F773EB"/>
    <w:rsid w:val="00F77BB2"/>
    <w:rsid w:val="00F77C22"/>
    <w:rsid w:val="00F80318"/>
    <w:rsid w:val="00F80665"/>
    <w:rsid w:val="00F810B3"/>
    <w:rsid w:val="00F8127E"/>
    <w:rsid w:val="00F8148D"/>
    <w:rsid w:val="00F8169C"/>
    <w:rsid w:val="00F8199E"/>
    <w:rsid w:val="00F82116"/>
    <w:rsid w:val="00F823DE"/>
    <w:rsid w:val="00F824CC"/>
    <w:rsid w:val="00F82500"/>
    <w:rsid w:val="00F82A64"/>
    <w:rsid w:val="00F82E5B"/>
    <w:rsid w:val="00F835EF"/>
    <w:rsid w:val="00F83755"/>
    <w:rsid w:val="00F8413F"/>
    <w:rsid w:val="00F8430B"/>
    <w:rsid w:val="00F84362"/>
    <w:rsid w:val="00F848F1"/>
    <w:rsid w:val="00F84AD8"/>
    <w:rsid w:val="00F84B9F"/>
    <w:rsid w:val="00F85045"/>
    <w:rsid w:val="00F8513F"/>
    <w:rsid w:val="00F852BC"/>
    <w:rsid w:val="00F8539C"/>
    <w:rsid w:val="00F85943"/>
    <w:rsid w:val="00F86CDD"/>
    <w:rsid w:val="00F870E8"/>
    <w:rsid w:val="00F8737C"/>
    <w:rsid w:val="00F87498"/>
    <w:rsid w:val="00F875C8"/>
    <w:rsid w:val="00F87A93"/>
    <w:rsid w:val="00F87D22"/>
    <w:rsid w:val="00F90981"/>
    <w:rsid w:val="00F90A4E"/>
    <w:rsid w:val="00F90CB1"/>
    <w:rsid w:val="00F915A2"/>
    <w:rsid w:val="00F91A5D"/>
    <w:rsid w:val="00F91C93"/>
    <w:rsid w:val="00F91D3D"/>
    <w:rsid w:val="00F91EC4"/>
    <w:rsid w:val="00F92E13"/>
    <w:rsid w:val="00F9338A"/>
    <w:rsid w:val="00F93568"/>
    <w:rsid w:val="00F94817"/>
    <w:rsid w:val="00F94BEA"/>
    <w:rsid w:val="00F94C6B"/>
    <w:rsid w:val="00F94FF1"/>
    <w:rsid w:val="00F951A1"/>
    <w:rsid w:val="00F9557E"/>
    <w:rsid w:val="00F95992"/>
    <w:rsid w:val="00F95E7A"/>
    <w:rsid w:val="00F96256"/>
    <w:rsid w:val="00F96494"/>
    <w:rsid w:val="00F9694F"/>
    <w:rsid w:val="00F96C50"/>
    <w:rsid w:val="00F96D80"/>
    <w:rsid w:val="00FA0051"/>
    <w:rsid w:val="00FA00E9"/>
    <w:rsid w:val="00FA0DD4"/>
    <w:rsid w:val="00FA0E10"/>
    <w:rsid w:val="00FA10F2"/>
    <w:rsid w:val="00FA12C2"/>
    <w:rsid w:val="00FA1A57"/>
    <w:rsid w:val="00FA1ACA"/>
    <w:rsid w:val="00FA20D1"/>
    <w:rsid w:val="00FA21A1"/>
    <w:rsid w:val="00FA2820"/>
    <w:rsid w:val="00FA2A45"/>
    <w:rsid w:val="00FA2AED"/>
    <w:rsid w:val="00FA2C69"/>
    <w:rsid w:val="00FA328A"/>
    <w:rsid w:val="00FA3790"/>
    <w:rsid w:val="00FA3ABF"/>
    <w:rsid w:val="00FA3CA9"/>
    <w:rsid w:val="00FA3D81"/>
    <w:rsid w:val="00FA3DC2"/>
    <w:rsid w:val="00FA3F2E"/>
    <w:rsid w:val="00FA40EA"/>
    <w:rsid w:val="00FA4628"/>
    <w:rsid w:val="00FA4648"/>
    <w:rsid w:val="00FA4A5F"/>
    <w:rsid w:val="00FA4AB3"/>
    <w:rsid w:val="00FA501B"/>
    <w:rsid w:val="00FA52D8"/>
    <w:rsid w:val="00FA57E1"/>
    <w:rsid w:val="00FA5A8A"/>
    <w:rsid w:val="00FA5D03"/>
    <w:rsid w:val="00FA6280"/>
    <w:rsid w:val="00FA6924"/>
    <w:rsid w:val="00FA6948"/>
    <w:rsid w:val="00FA6FA8"/>
    <w:rsid w:val="00FA7091"/>
    <w:rsid w:val="00FA775D"/>
    <w:rsid w:val="00FA7F02"/>
    <w:rsid w:val="00FB02CC"/>
    <w:rsid w:val="00FB08AC"/>
    <w:rsid w:val="00FB11CA"/>
    <w:rsid w:val="00FB17A2"/>
    <w:rsid w:val="00FB1A97"/>
    <w:rsid w:val="00FB1EEC"/>
    <w:rsid w:val="00FB29D7"/>
    <w:rsid w:val="00FB3058"/>
    <w:rsid w:val="00FB3181"/>
    <w:rsid w:val="00FB3686"/>
    <w:rsid w:val="00FB39A7"/>
    <w:rsid w:val="00FB3A0F"/>
    <w:rsid w:val="00FB4570"/>
    <w:rsid w:val="00FB5160"/>
    <w:rsid w:val="00FB53F8"/>
    <w:rsid w:val="00FB5446"/>
    <w:rsid w:val="00FB5933"/>
    <w:rsid w:val="00FB5D6B"/>
    <w:rsid w:val="00FB6A82"/>
    <w:rsid w:val="00FB6ACA"/>
    <w:rsid w:val="00FB7107"/>
    <w:rsid w:val="00FB7373"/>
    <w:rsid w:val="00FB799E"/>
    <w:rsid w:val="00FB7AD1"/>
    <w:rsid w:val="00FB7F45"/>
    <w:rsid w:val="00FC00EB"/>
    <w:rsid w:val="00FC015F"/>
    <w:rsid w:val="00FC1774"/>
    <w:rsid w:val="00FC1C51"/>
    <w:rsid w:val="00FC2336"/>
    <w:rsid w:val="00FC2E10"/>
    <w:rsid w:val="00FC2E5D"/>
    <w:rsid w:val="00FC3AB4"/>
    <w:rsid w:val="00FC3AFC"/>
    <w:rsid w:val="00FC50B8"/>
    <w:rsid w:val="00FC5139"/>
    <w:rsid w:val="00FC5BC7"/>
    <w:rsid w:val="00FC6650"/>
    <w:rsid w:val="00FC6839"/>
    <w:rsid w:val="00FC7011"/>
    <w:rsid w:val="00FC7348"/>
    <w:rsid w:val="00FC777C"/>
    <w:rsid w:val="00FC7918"/>
    <w:rsid w:val="00FC7ECE"/>
    <w:rsid w:val="00FD0102"/>
    <w:rsid w:val="00FD019D"/>
    <w:rsid w:val="00FD0266"/>
    <w:rsid w:val="00FD0600"/>
    <w:rsid w:val="00FD0A9A"/>
    <w:rsid w:val="00FD0CCC"/>
    <w:rsid w:val="00FD0E22"/>
    <w:rsid w:val="00FD146B"/>
    <w:rsid w:val="00FD1C16"/>
    <w:rsid w:val="00FD20A7"/>
    <w:rsid w:val="00FD2382"/>
    <w:rsid w:val="00FD2A11"/>
    <w:rsid w:val="00FD3EE0"/>
    <w:rsid w:val="00FD3FAB"/>
    <w:rsid w:val="00FD44CC"/>
    <w:rsid w:val="00FD47F0"/>
    <w:rsid w:val="00FD4824"/>
    <w:rsid w:val="00FD49F2"/>
    <w:rsid w:val="00FD56B2"/>
    <w:rsid w:val="00FD5765"/>
    <w:rsid w:val="00FD599F"/>
    <w:rsid w:val="00FD5BC5"/>
    <w:rsid w:val="00FD5DA2"/>
    <w:rsid w:val="00FD5E84"/>
    <w:rsid w:val="00FD5FA8"/>
    <w:rsid w:val="00FD654D"/>
    <w:rsid w:val="00FD66C1"/>
    <w:rsid w:val="00FD6C24"/>
    <w:rsid w:val="00FD723C"/>
    <w:rsid w:val="00FD7310"/>
    <w:rsid w:val="00FD7315"/>
    <w:rsid w:val="00FD7717"/>
    <w:rsid w:val="00FE00F8"/>
    <w:rsid w:val="00FE02DD"/>
    <w:rsid w:val="00FE0562"/>
    <w:rsid w:val="00FE0C03"/>
    <w:rsid w:val="00FE0D24"/>
    <w:rsid w:val="00FE16B6"/>
    <w:rsid w:val="00FE22F6"/>
    <w:rsid w:val="00FE299C"/>
    <w:rsid w:val="00FE2D25"/>
    <w:rsid w:val="00FE331B"/>
    <w:rsid w:val="00FE359B"/>
    <w:rsid w:val="00FE37E3"/>
    <w:rsid w:val="00FE3A2B"/>
    <w:rsid w:val="00FE3ADA"/>
    <w:rsid w:val="00FE44CA"/>
    <w:rsid w:val="00FE4E00"/>
    <w:rsid w:val="00FE56F8"/>
    <w:rsid w:val="00FE5A10"/>
    <w:rsid w:val="00FE5E43"/>
    <w:rsid w:val="00FE6210"/>
    <w:rsid w:val="00FE6CC4"/>
    <w:rsid w:val="00FE7792"/>
    <w:rsid w:val="00FE77DA"/>
    <w:rsid w:val="00FE7CF7"/>
    <w:rsid w:val="00FF0292"/>
    <w:rsid w:val="00FF10E0"/>
    <w:rsid w:val="00FF1338"/>
    <w:rsid w:val="00FF1AEE"/>
    <w:rsid w:val="00FF1E9A"/>
    <w:rsid w:val="00FF2C57"/>
    <w:rsid w:val="00FF350A"/>
    <w:rsid w:val="00FF35FC"/>
    <w:rsid w:val="00FF4BFE"/>
    <w:rsid w:val="00FF4C4D"/>
    <w:rsid w:val="00FF5364"/>
    <w:rsid w:val="00FF546C"/>
    <w:rsid w:val="00FF5FC9"/>
    <w:rsid w:val="00FF6321"/>
    <w:rsid w:val="00FF63A8"/>
    <w:rsid w:val="00FF6BF6"/>
    <w:rsid w:val="00FF718F"/>
    <w:rsid w:val="00FF7225"/>
    <w:rsid w:val="00FF750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78D8F"/>
  <w15:docId w15:val="{F3FAC424-3F2F-4C92-9AA1-B7ACFB8C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8484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1B5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2746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8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Основной текст Знак,Òàáë òåêñò, Знак,Знак"/>
    <w:basedOn w:val="a0"/>
    <w:link w:val="11"/>
    <w:uiPriority w:val="99"/>
    <w:rsid w:val="00F63680"/>
    <w:pPr>
      <w:spacing w:after="120"/>
    </w:pPr>
  </w:style>
  <w:style w:type="paragraph" w:styleId="a6">
    <w:name w:val="Title"/>
    <w:basedOn w:val="a0"/>
    <w:link w:val="a7"/>
    <w:qFormat/>
    <w:rsid w:val="00F63680"/>
    <w:pPr>
      <w:jc w:val="center"/>
    </w:pPr>
    <w:rPr>
      <w:b/>
      <w:szCs w:val="20"/>
    </w:rPr>
  </w:style>
  <w:style w:type="paragraph" w:customStyle="1" w:styleId="a8">
    <w:name w:val="Комментарий"/>
    <w:basedOn w:val="a0"/>
    <w:next w:val="a0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2">
    <w:name w:val="1"/>
    <w:rsid w:val="00000356"/>
    <w:rPr>
      <w:sz w:val="24"/>
      <w:szCs w:val="24"/>
    </w:rPr>
  </w:style>
  <w:style w:type="paragraph" w:styleId="a9">
    <w:name w:val="header"/>
    <w:basedOn w:val="a0"/>
    <w:rsid w:val="003C566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3C5669"/>
  </w:style>
  <w:style w:type="paragraph" w:customStyle="1" w:styleId="ab">
    <w:name w:val="Таблицы (моноширинный)"/>
    <w:basedOn w:val="a0"/>
    <w:next w:val="a0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0"/>
    <w:rsid w:val="00F3249D"/>
    <w:pPr>
      <w:tabs>
        <w:tab w:val="center" w:pos="4677"/>
        <w:tab w:val="right" w:pos="9355"/>
      </w:tabs>
    </w:pPr>
  </w:style>
  <w:style w:type="paragraph" w:styleId="ad">
    <w:name w:val="Body Text Indent"/>
    <w:basedOn w:val="a0"/>
    <w:link w:val="ae"/>
    <w:uiPriority w:val="99"/>
    <w:rsid w:val="00D43949"/>
    <w:pPr>
      <w:spacing w:after="120"/>
      <w:ind w:left="283"/>
    </w:pPr>
  </w:style>
  <w:style w:type="paragraph" w:styleId="21">
    <w:name w:val="Body Text 2"/>
    <w:basedOn w:val="a0"/>
    <w:rsid w:val="000D4799"/>
    <w:pPr>
      <w:spacing w:after="120" w:line="480" w:lineRule="auto"/>
    </w:pPr>
  </w:style>
  <w:style w:type="paragraph" w:styleId="af">
    <w:name w:val="Balloon Text"/>
    <w:basedOn w:val="a0"/>
    <w:semiHidden/>
    <w:rsid w:val="00697164"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1"/>
    <w:rsid w:val="000D542E"/>
    <w:pPr>
      <w:autoSpaceDE w:val="0"/>
      <w:autoSpaceDN w:val="0"/>
    </w:pPr>
    <w:rPr>
      <w:sz w:val="20"/>
      <w:szCs w:val="20"/>
    </w:rPr>
  </w:style>
  <w:style w:type="character" w:styleId="af2">
    <w:name w:val="footnote reference"/>
    <w:rsid w:val="000D542E"/>
    <w:rPr>
      <w:vertAlign w:val="superscript"/>
    </w:rPr>
  </w:style>
  <w:style w:type="paragraph" w:customStyle="1" w:styleId="af3">
    <w:name w:val="Заголовок статьи"/>
    <w:basedOn w:val="a0"/>
    <w:next w:val="a0"/>
    <w:rsid w:val="00CE5FA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4">
    <w:name w:val="Прижатый влево"/>
    <w:basedOn w:val="a0"/>
    <w:next w:val="a0"/>
    <w:uiPriority w:val="99"/>
    <w:rsid w:val="00543CD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Гипертекстовая ссылка"/>
    <w:uiPriority w:val="99"/>
    <w:rsid w:val="003522CA"/>
    <w:rPr>
      <w:color w:val="008000"/>
    </w:rPr>
  </w:style>
  <w:style w:type="character" w:customStyle="1" w:styleId="10">
    <w:name w:val="Заголовок 1 Знак"/>
    <w:link w:val="1"/>
    <w:rsid w:val="00E64CED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nformat">
    <w:name w:val="ConsPlusNonformat"/>
    <w:rsid w:val="00F10B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A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endnote text"/>
    <w:basedOn w:val="a0"/>
    <w:link w:val="af7"/>
    <w:uiPriority w:val="99"/>
    <w:rsid w:val="00CF1C83"/>
    <w:rPr>
      <w:rFonts w:eastAsia="Calibri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locked/>
    <w:rsid w:val="00CF1C83"/>
    <w:rPr>
      <w:rFonts w:eastAsia="Calibri"/>
      <w:lang w:val="ru-RU" w:eastAsia="ru-RU" w:bidi="ar-SA"/>
    </w:rPr>
  </w:style>
  <w:style w:type="character" w:styleId="af8">
    <w:name w:val="endnote reference"/>
    <w:semiHidden/>
    <w:rsid w:val="00CF1C83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qFormat/>
    <w:rsid w:val="007F0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0"/>
    <w:rsid w:val="007F036C"/>
    <w:pPr>
      <w:spacing w:after="120" w:line="480" w:lineRule="auto"/>
      <w:ind w:left="283"/>
    </w:pPr>
  </w:style>
  <w:style w:type="paragraph" w:customStyle="1" w:styleId="bl0">
    <w:name w:val="bl0"/>
    <w:basedOn w:val="a0"/>
    <w:rsid w:val="007F036C"/>
    <w:pPr>
      <w:spacing w:before="100" w:beforeAutospacing="1" w:after="100" w:afterAutospacing="1"/>
    </w:pPr>
    <w:rPr>
      <w:b/>
      <w:bCs/>
      <w:sz w:val="18"/>
      <w:szCs w:val="18"/>
    </w:rPr>
  </w:style>
  <w:style w:type="character" w:styleId="af9">
    <w:name w:val="Hyperlink"/>
    <w:uiPriority w:val="99"/>
    <w:rsid w:val="007F036C"/>
    <w:rPr>
      <w:color w:val="0000FF"/>
      <w:u w:val="single"/>
    </w:rPr>
  </w:style>
  <w:style w:type="paragraph" w:styleId="a">
    <w:name w:val="List Bullet"/>
    <w:basedOn w:val="a0"/>
    <w:rsid w:val="007F036C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7F036C"/>
  </w:style>
  <w:style w:type="character" w:customStyle="1" w:styleId="apple-style-span">
    <w:name w:val="apple-style-span"/>
    <w:basedOn w:val="a1"/>
    <w:rsid w:val="007F036C"/>
  </w:style>
  <w:style w:type="paragraph" w:styleId="afa">
    <w:name w:val="Normal (Web)"/>
    <w:basedOn w:val="a0"/>
    <w:unhideWhenUsed/>
    <w:rsid w:val="007F036C"/>
    <w:pPr>
      <w:spacing w:before="100" w:beforeAutospacing="1" w:after="100" w:afterAutospacing="1"/>
    </w:pPr>
  </w:style>
  <w:style w:type="character" w:customStyle="1" w:styleId="fc1297680559311-0">
    <w:name w:val="fc1297680559311-0"/>
    <w:basedOn w:val="a1"/>
    <w:rsid w:val="007F036C"/>
  </w:style>
  <w:style w:type="character" w:customStyle="1" w:styleId="fc1297681311229-0">
    <w:name w:val="fc1297681311229-0"/>
    <w:basedOn w:val="a1"/>
    <w:rsid w:val="007F036C"/>
  </w:style>
  <w:style w:type="character" w:customStyle="1" w:styleId="fc1297681645912-0">
    <w:name w:val="fc1297681645912-0"/>
    <w:basedOn w:val="a1"/>
    <w:rsid w:val="007F036C"/>
  </w:style>
  <w:style w:type="character" w:customStyle="1" w:styleId="fc1297840023609-0">
    <w:name w:val="fc1297840023609-0"/>
    <w:basedOn w:val="a1"/>
    <w:rsid w:val="007F036C"/>
  </w:style>
  <w:style w:type="character" w:customStyle="1" w:styleId="fc1297840023609-1">
    <w:name w:val="fc1297840023609-1"/>
    <w:basedOn w:val="a1"/>
    <w:rsid w:val="007F036C"/>
  </w:style>
  <w:style w:type="character" w:customStyle="1" w:styleId="afb">
    <w:name w:val="Цветовое выделение"/>
    <w:rsid w:val="007F036C"/>
    <w:rPr>
      <w:b/>
      <w:bCs/>
      <w:color w:val="000080"/>
    </w:rPr>
  </w:style>
  <w:style w:type="paragraph" w:customStyle="1" w:styleId="u">
    <w:name w:val="u"/>
    <w:basedOn w:val="a0"/>
    <w:rsid w:val="007F036C"/>
    <w:pPr>
      <w:spacing w:before="100" w:beforeAutospacing="1" w:after="100" w:afterAutospacing="1"/>
    </w:pPr>
  </w:style>
  <w:style w:type="character" w:styleId="afc">
    <w:name w:val="FollowedHyperlink"/>
    <w:rsid w:val="007F036C"/>
    <w:rPr>
      <w:color w:val="800080"/>
      <w:u w:val="single"/>
    </w:rPr>
  </w:style>
  <w:style w:type="paragraph" w:customStyle="1" w:styleId="afd">
    <w:name w:val="Информация об изменениях документа"/>
    <w:basedOn w:val="a8"/>
    <w:next w:val="a0"/>
    <w:rsid w:val="00A9651C"/>
    <w:pPr>
      <w:ind w:left="0"/>
    </w:pPr>
    <w:rPr>
      <w:sz w:val="24"/>
      <w:szCs w:val="24"/>
    </w:rPr>
  </w:style>
  <w:style w:type="character" w:customStyle="1" w:styleId="11">
    <w:name w:val="Основной текст Знак1"/>
    <w:aliases w:val="Основной текст Знак Знак,Òàáë òåêñò Знак, Знак Знак,Знак Знак"/>
    <w:link w:val="a5"/>
    <w:uiPriority w:val="99"/>
    <w:locked/>
    <w:rsid w:val="0095664C"/>
    <w:rPr>
      <w:sz w:val="24"/>
      <w:szCs w:val="24"/>
      <w:lang w:val="ru-RU" w:eastAsia="ru-RU" w:bidi="ar-SA"/>
    </w:rPr>
  </w:style>
  <w:style w:type="character" w:customStyle="1" w:styleId="af1">
    <w:name w:val="Текст сноски Знак"/>
    <w:link w:val="af0"/>
    <w:semiHidden/>
    <w:locked/>
    <w:rsid w:val="0095664C"/>
    <w:rPr>
      <w:lang w:val="ru-RU" w:eastAsia="ru-RU" w:bidi="ar-SA"/>
    </w:rPr>
  </w:style>
  <w:style w:type="character" w:customStyle="1" w:styleId="EndnoteTextChar">
    <w:name w:val="Endnote Text Char"/>
    <w:semiHidden/>
    <w:locked/>
    <w:rsid w:val="0095664C"/>
    <w:rPr>
      <w:rFonts w:eastAsia="Times New Roman" w:cs="Times New Roman"/>
      <w:lang w:val="ru-RU" w:eastAsia="ru-RU" w:bidi="ar-SA"/>
    </w:rPr>
  </w:style>
  <w:style w:type="paragraph" w:customStyle="1" w:styleId="afe">
    <w:name w:val="Текст информации об изменениях"/>
    <w:basedOn w:val="a0"/>
    <w:next w:val="a0"/>
    <w:rsid w:val="008859F9"/>
    <w:pPr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ParaAttribute2">
    <w:name w:val="ParaAttribute2"/>
    <w:rsid w:val="00074F0F"/>
    <w:pPr>
      <w:jc w:val="center"/>
    </w:pPr>
  </w:style>
  <w:style w:type="paragraph" w:customStyle="1" w:styleId="ParaAttribute7">
    <w:name w:val="ParaAttribute7"/>
    <w:rsid w:val="00074F0F"/>
    <w:pPr>
      <w:shd w:val="solid" w:color="FFFFFF" w:fill="auto"/>
      <w:ind w:right="168"/>
      <w:jc w:val="center"/>
    </w:pPr>
  </w:style>
  <w:style w:type="paragraph" w:customStyle="1" w:styleId="ParaAttribute19">
    <w:name w:val="ParaAttribute19"/>
    <w:rsid w:val="00074F0F"/>
    <w:pPr>
      <w:ind w:firstLine="539"/>
      <w:jc w:val="both"/>
    </w:pPr>
  </w:style>
  <w:style w:type="character" w:customStyle="1" w:styleId="CharAttribute5">
    <w:name w:val="CharAttribute5"/>
    <w:rsid w:val="00074F0F"/>
    <w:rPr>
      <w:rFonts w:ascii="Times New Roman" w:eastAsia="Times New Roman"/>
      <w:b/>
      <w:i/>
      <w:spacing w:val="14"/>
      <w:sz w:val="24"/>
    </w:rPr>
  </w:style>
  <w:style w:type="character" w:customStyle="1" w:styleId="CharAttribute6">
    <w:name w:val="CharAttribute6"/>
    <w:rsid w:val="00074F0F"/>
    <w:rPr>
      <w:rFonts w:ascii="Times New Roman" w:eastAsia="Times New Roman"/>
      <w:b/>
      <w:i/>
      <w:spacing w:val="-2"/>
      <w:sz w:val="24"/>
    </w:rPr>
  </w:style>
  <w:style w:type="character" w:customStyle="1" w:styleId="ae">
    <w:name w:val="Основной текст с отступом Знак"/>
    <w:basedOn w:val="a1"/>
    <w:link w:val="ad"/>
    <w:uiPriority w:val="99"/>
    <w:rsid w:val="00CE49B4"/>
    <w:rPr>
      <w:sz w:val="24"/>
      <w:szCs w:val="24"/>
    </w:rPr>
  </w:style>
  <w:style w:type="paragraph" w:styleId="aff">
    <w:name w:val="List Paragraph"/>
    <w:basedOn w:val="a0"/>
    <w:uiPriority w:val="34"/>
    <w:qFormat/>
    <w:rsid w:val="001B7560"/>
    <w:pPr>
      <w:ind w:left="720"/>
      <w:contextualSpacing/>
    </w:pPr>
  </w:style>
  <w:style w:type="paragraph" w:customStyle="1" w:styleId="ConsPlusCell">
    <w:name w:val="ConsPlusCell"/>
    <w:uiPriority w:val="99"/>
    <w:rsid w:val="00B7259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Заголовок Знак"/>
    <w:link w:val="a6"/>
    <w:locked/>
    <w:rsid w:val="00A86BD6"/>
    <w:rPr>
      <w:b/>
      <w:sz w:val="24"/>
    </w:rPr>
  </w:style>
  <w:style w:type="character" w:customStyle="1" w:styleId="FontStyle18">
    <w:name w:val="Font Style18"/>
    <w:basedOn w:val="a1"/>
    <w:uiPriority w:val="99"/>
    <w:rsid w:val="00A86BD6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1"/>
    <w:link w:val="5"/>
    <w:semiHidden/>
    <w:rsid w:val="00274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1B5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B6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basedOn w:val="a1"/>
    <w:link w:val="ConsPlusNormal"/>
    <w:qFormat/>
    <w:locked/>
    <w:rsid w:val="00542444"/>
    <w:rPr>
      <w:rFonts w:ascii="Arial" w:hAnsi="Arial" w:cs="Arial"/>
    </w:rPr>
  </w:style>
  <w:style w:type="paragraph" w:customStyle="1" w:styleId="13">
    <w:name w:val="Абзац списка1"/>
    <w:basedOn w:val="a0"/>
    <w:rsid w:val="005966AC"/>
    <w:pPr>
      <w:ind w:left="720"/>
    </w:pPr>
    <w:rPr>
      <w:rFonts w:eastAsia="Calibri"/>
    </w:rPr>
  </w:style>
  <w:style w:type="paragraph" w:customStyle="1" w:styleId="Style2">
    <w:name w:val="Style2"/>
    <w:basedOn w:val="a0"/>
    <w:rsid w:val="00EB345C"/>
    <w:pPr>
      <w:widowControl w:val="0"/>
      <w:autoSpaceDE w:val="0"/>
      <w:autoSpaceDN w:val="0"/>
      <w:adjustRightInd w:val="0"/>
      <w:spacing w:line="288" w:lineRule="exact"/>
      <w:ind w:firstLine="710"/>
      <w:jc w:val="both"/>
    </w:pPr>
  </w:style>
  <w:style w:type="character" w:customStyle="1" w:styleId="FontStyle13">
    <w:name w:val="Font Style13"/>
    <w:basedOn w:val="a1"/>
    <w:rsid w:val="00EB345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B%D0%B5%D0%B7%D0%BD%D1%8C" TargetMode="External"/><Relationship Id="rId13" Type="http://schemas.openxmlformats.org/officeDocument/2006/relationships/hyperlink" Target="https://ru.wikipedia.org/wiki/%D0%A1%D0%B0%D1%85%D0%B0%D1%80%D0%BD%D1%8B%D0%B9_%D0%B4%D0%B8%D0%B0%D0%B1%D0%B5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1%80%D0%B3%D0%B0%D0%BD%D1%8B_%D0%B4%D1%8B%D1%85%D0%B0%D0%BD%D0%B8%D1%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D%D0%BA%D0%BE%D0%BB%D0%BE%D0%B3%D0%B8%D1%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.wikipedia.org/wiki/%D0%A1%D0%B5%D1%80%D0%B4%D0%B5%D1%87%D0%BD%D0%BE-%D1%81%D0%BE%D1%81%D1%83%D0%B4%D0%B8%D1%81%D1%82%D0%B0%D1%8F_%D1%81%D0%B8%D1%81%D1%82%D0%B5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C%D0%B5%D1%80%D1%82%D0%BD%D0%BE%D1%81%D1%82%D1%8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1A49-F88D-4AF5-A784-556C8DC2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12768</TotalTime>
  <Pages>1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исполнения расходов КУГИ за 2007 год в разрезе разделов и ‎подразделов областного бюджета приведены в таблице</vt:lpstr>
    </vt:vector>
  </TitlesOfParts>
  <Company>EMPOWERING EXPERIENCE WORLD</Company>
  <LinksUpToDate>false</LinksUpToDate>
  <CharactersWithSpaces>33816</CharactersWithSpaces>
  <SharedDoc>false</SharedDoc>
  <HLinks>
    <vt:vector size="12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Settings\Жирков\Рабочий стол\минспорт (камералка)\Акт камералка Минпечать (2014 г.).docx</vt:lpwstr>
      </vt:variant>
      <vt:variant>
        <vt:lpwstr>sub_503160887</vt:lpwstr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Settings\Жирков\Рабочий стол\минспорт (камералка)\Акт камералка Минпечать (2014 г.).docx</vt:lpwstr>
      </vt:variant>
      <vt:variant>
        <vt:lpwstr>sub_503160887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исполнения расходов КУГИ за 2007 год в разрезе разделов и ‎подразделов областного бюджета приведены в таблице</dc:title>
  <dc:creator>I_Panina</dc:creator>
  <cp:lastModifiedBy>A_Avdeev</cp:lastModifiedBy>
  <cp:revision>1247</cp:revision>
  <cp:lastPrinted>2020-04-20T07:36:00Z</cp:lastPrinted>
  <dcterms:created xsi:type="dcterms:W3CDTF">2016-02-29T07:20:00Z</dcterms:created>
  <dcterms:modified xsi:type="dcterms:W3CDTF">2020-04-20T08:08:00Z</dcterms:modified>
</cp:coreProperties>
</file>